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B7EC0" w14:textId="77777777" w:rsidR="00107DD5" w:rsidRDefault="00221D8F" w:rsidP="00CA4815">
      <w:r w:rsidRPr="00CA4815">
        <w:rPr>
          <w:b/>
          <w:bCs/>
          <w:noProof/>
        </w:rPr>
        <w:drawing>
          <wp:anchor distT="0" distB="0" distL="114300" distR="114300" simplePos="0" relativeHeight="251658240" behindDoc="1" locked="1" layoutInCell="1" allowOverlap="1" wp14:anchorId="06AA8B5D" wp14:editId="57B11E24">
            <wp:simplePos x="0" y="0"/>
            <wp:positionH relativeFrom="column">
              <wp:posOffset>-914400</wp:posOffset>
            </wp:positionH>
            <wp:positionV relativeFrom="paragraph">
              <wp:posOffset>-1151890</wp:posOffset>
            </wp:positionV>
            <wp:extent cx="7542000" cy="10666800"/>
            <wp:effectExtent l="0" t="0" r="1905" b="127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42000" cy="106668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40DE1D20" wp14:editId="24102A7F">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bookmarkStart w:id="0" w:name="_Toc197586653" w:displacedByCustomXml="next"/>
    <w:bookmarkStart w:id="1" w:name="_Toc126923157" w:displacedByCustomXml="next"/>
    <w:bookmarkStart w:id="2" w:name="_Toc126923146" w:displacedByCustomXml="next"/>
    <w:sdt>
      <w:sdtPr>
        <w:rPr>
          <w:rFonts w:eastAsiaTheme="minorHAnsi"/>
        </w:rPr>
        <w:alias w:val="Title"/>
        <w:tag w:val=""/>
        <w:id w:val="1478495247"/>
        <w:placeholder>
          <w:docPart w:val="026D9A923AB949B48FD45161E4265184"/>
        </w:placeholder>
        <w:dataBinding w:prefixMappings="xmlns:ns0='http://purl.org/dc/elements/1.1/' xmlns:ns1='http://schemas.openxmlformats.org/package/2006/metadata/core-properties' " w:xpath="/ns1:coreProperties[1]/ns0:title[1]" w:storeItemID="{6C3C8BC8-F283-45AE-878A-BAB7291924A1}"/>
        <w:text/>
      </w:sdtPr>
      <w:sdtContent>
        <w:p w14:paraId="6E5A6FB4" w14:textId="28764F86" w:rsidR="00221D8F" w:rsidRDefault="00B4472B" w:rsidP="00221D8F">
          <w:pPr>
            <w:pStyle w:val="Heading1"/>
          </w:pPr>
          <w:r>
            <w:rPr>
              <w:rFonts w:eastAsiaTheme="minorHAnsi"/>
            </w:rPr>
            <w:t>Choice and Affordability Fund Guidelines</w:t>
          </w:r>
        </w:p>
      </w:sdtContent>
    </w:sdt>
    <w:bookmarkEnd w:id="0" w:displacedByCustomXml="prev"/>
    <w:bookmarkEnd w:id="1" w:displacedByCustomXml="prev"/>
    <w:bookmarkEnd w:id="2" w:displacedByCustomXml="prev"/>
    <w:p w14:paraId="1E7C3212" w14:textId="377E96CC" w:rsidR="0017134D" w:rsidRDefault="00B4472B" w:rsidP="00EB4C2F">
      <w:pPr>
        <w:pStyle w:val="Subtitle"/>
      </w:pPr>
      <w:r>
        <w:t>2020-2029</w:t>
      </w:r>
    </w:p>
    <w:p w14:paraId="1D99A2C0" w14:textId="77777777" w:rsidR="00107D87" w:rsidRDefault="00107D87">
      <w:pPr>
        <w:sectPr w:rsidR="00107D87" w:rsidSect="00221D8F">
          <w:pgSz w:w="11906" w:h="16838"/>
          <w:pgMar w:top="1814" w:right="1440" w:bottom="1440" w:left="1440" w:header="709" w:footer="709" w:gutter="0"/>
          <w:cols w:space="708"/>
          <w:docGrid w:linePitch="360"/>
        </w:sectPr>
      </w:pPr>
    </w:p>
    <w:p w14:paraId="2A055ACC" w14:textId="0BB8D750" w:rsidR="0017134D" w:rsidRPr="00107D87" w:rsidRDefault="0017134D" w:rsidP="00ED0DDF">
      <w:pPr>
        <w:spacing w:before="8760"/>
        <w:rPr>
          <w:rStyle w:val="Strong"/>
        </w:rPr>
      </w:pPr>
    </w:p>
    <w:p w14:paraId="2A78FCAF" w14:textId="33684409" w:rsidR="0017134D" w:rsidRDefault="00107D87" w:rsidP="00107D87">
      <w:pPr>
        <w:spacing w:after="480"/>
      </w:pPr>
      <w:r>
        <w:br/>
      </w:r>
    </w:p>
    <w:p w14:paraId="7E827E5E" w14:textId="77777777" w:rsidR="0017134D" w:rsidRDefault="00107D87" w:rsidP="0017134D">
      <w:r>
        <w:rPr>
          <w:noProof/>
        </w:rPr>
        <w:drawing>
          <wp:inline distT="0" distB="0" distL="0" distR="0" wp14:anchorId="1B3B03C2" wp14:editId="420BF71A">
            <wp:extent cx="843643" cy="295275"/>
            <wp:effectExtent l="0" t="0" r="0" b="0"/>
            <wp:docPr id="1" name="Picture 1"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53901" cy="298865"/>
                    </a:xfrm>
                    <a:prstGeom prst="rect">
                      <a:avLst/>
                    </a:prstGeom>
                  </pic:spPr>
                </pic:pic>
              </a:graphicData>
            </a:graphic>
          </wp:inline>
        </w:drawing>
      </w:r>
    </w:p>
    <w:p w14:paraId="6F36D036" w14:textId="77777777" w:rsidR="0017134D" w:rsidRDefault="0017134D" w:rsidP="0017134D">
      <w:r>
        <w:t xml:space="preserve">With the exception of the Commonwealth Coat of Arms, the Department’s logo, any material protected by a trade mark and where otherwise noted all material presented in this document is provided under a </w:t>
      </w:r>
      <w:hyperlink r:id="rId15" w:history="1">
        <w:r w:rsidRPr="007B2CA1">
          <w:rPr>
            <w:rStyle w:val="Hyperlink"/>
          </w:rPr>
          <w:t>Creative Commons Attribution 4.0 International</w:t>
        </w:r>
      </w:hyperlink>
      <w:r>
        <w:t xml:space="preserve"> (</w:t>
      </w:r>
      <w:r w:rsidR="00107D87" w:rsidRPr="007B2CA1">
        <w:t>https://creativecommons.org/licenses/by/4.0/</w:t>
      </w:r>
      <w:r>
        <w:t>)</w:t>
      </w:r>
      <w:r w:rsidR="00107D87">
        <w:t xml:space="preserve"> </w:t>
      </w:r>
      <w:r>
        <w:t>licence.</w:t>
      </w:r>
    </w:p>
    <w:p w14:paraId="24DE8F65" w14:textId="77777777" w:rsidR="0017134D" w:rsidRDefault="0017134D" w:rsidP="0017134D">
      <w:r>
        <w:t xml:space="preserve">The details of the relevant licence conditions are available on the Creative Commons website (accessible using the links provided) as is the full legal code for the </w:t>
      </w:r>
      <w:hyperlink r:id="rId16" w:history="1">
        <w:r w:rsidRPr="007B2CA1">
          <w:rPr>
            <w:rStyle w:val="Hyperlink"/>
          </w:rPr>
          <w:t>CC BY 4.0 International</w:t>
        </w:r>
      </w:hyperlink>
      <w:r>
        <w:t xml:space="preserve"> (</w:t>
      </w:r>
      <w:r w:rsidR="00107D87" w:rsidRPr="007B2CA1">
        <w:t>https://creativecommons.org/licenses/by/4.0/legalcode</w:t>
      </w:r>
      <w:r>
        <w:t>)</w:t>
      </w:r>
      <w:r w:rsidR="00107D87">
        <w:t xml:space="preserve"> </w:t>
      </w:r>
    </w:p>
    <w:p w14:paraId="092FDF33" w14:textId="022593D6" w:rsidR="0017134D" w:rsidRDefault="0017134D" w:rsidP="0017134D">
      <w:r>
        <w:t>The document must be attributed as the</w:t>
      </w:r>
      <w:r w:rsidR="005C64CF">
        <w:t xml:space="preserve"> Choice and Affordability Fund Guidelines</w:t>
      </w:r>
      <w:r w:rsidR="0092066C">
        <w:t xml:space="preserve"> 2020-2029</w:t>
      </w:r>
      <w:r w:rsidR="005C64CF">
        <w:t>.</w:t>
      </w:r>
    </w:p>
    <w:p w14:paraId="0C926246" w14:textId="77777777" w:rsidR="00107D87" w:rsidRDefault="00107D87" w:rsidP="0017134D">
      <w:pPr>
        <w:sectPr w:rsidR="00107D87">
          <w:pgSz w:w="11906" w:h="16838"/>
          <w:pgMar w:top="1440" w:right="1440" w:bottom="1440" w:left="1440" w:header="708" w:footer="708" w:gutter="0"/>
          <w:cols w:space="708"/>
          <w:docGrid w:linePitch="360"/>
        </w:sectPr>
      </w:pPr>
    </w:p>
    <w:sdt>
      <w:sdtPr>
        <w:rPr>
          <w:rFonts w:asciiTheme="minorHAnsi" w:eastAsiaTheme="minorEastAsia" w:hAnsiTheme="minorHAnsi" w:cstheme="minorBidi"/>
          <w:b w:val="0"/>
          <w:bCs/>
          <w:color w:val="000000" w:themeColor="text1"/>
          <w:sz w:val="22"/>
          <w:szCs w:val="22"/>
          <w:lang w:val="en-AU"/>
        </w:rPr>
        <w:id w:val="-139263470"/>
        <w:docPartObj>
          <w:docPartGallery w:val="Table of Contents"/>
          <w:docPartUnique/>
        </w:docPartObj>
      </w:sdtPr>
      <w:sdtEndPr>
        <w:rPr>
          <w:rFonts w:eastAsiaTheme="minorHAnsi"/>
          <w:bCs w:val="0"/>
          <w:color w:val="auto"/>
        </w:rPr>
      </w:sdtEndPr>
      <w:sdtContent>
        <w:p w14:paraId="56456A89" w14:textId="77777777" w:rsidR="00E444AA" w:rsidRPr="003C539C" w:rsidRDefault="00E444AA" w:rsidP="00E444AA">
          <w:pPr>
            <w:pStyle w:val="TOCHeading"/>
          </w:pPr>
          <w:r w:rsidRPr="00D84395">
            <w:t>Contents</w:t>
          </w:r>
        </w:p>
        <w:p w14:paraId="05DC8817" w14:textId="078D63E5" w:rsidR="00655A37" w:rsidRDefault="00E444AA">
          <w:pPr>
            <w:pStyle w:val="TOC1"/>
            <w:rPr>
              <w:rFonts w:eastAsiaTheme="minorEastAsia"/>
              <w:noProof/>
              <w:kern w:val="2"/>
              <w:sz w:val="24"/>
              <w:szCs w:val="24"/>
              <w:lang w:eastAsia="en-AU"/>
              <w14:ligatures w14:val="standardContextual"/>
            </w:rPr>
          </w:pPr>
          <w:r>
            <w:rPr>
              <w:rFonts w:ascii="Calibri" w:eastAsiaTheme="majorEastAsia" w:hAnsi="Calibri" w:cstheme="majorBidi"/>
              <w:color w:val="343741"/>
              <w:sz w:val="32"/>
              <w:szCs w:val="32"/>
            </w:rPr>
            <w:fldChar w:fldCharType="begin"/>
          </w:r>
          <w:r>
            <w:rPr>
              <w:rFonts w:ascii="Calibri" w:eastAsiaTheme="majorEastAsia" w:hAnsi="Calibri" w:cstheme="majorBidi"/>
              <w:color w:val="343741"/>
              <w:sz w:val="32"/>
              <w:szCs w:val="32"/>
            </w:rPr>
            <w:instrText xml:space="preserve"> TOC \o "1-3" \h \z \u </w:instrText>
          </w:r>
          <w:r>
            <w:rPr>
              <w:rFonts w:ascii="Calibri" w:eastAsiaTheme="majorEastAsia" w:hAnsi="Calibri" w:cstheme="majorBidi"/>
              <w:color w:val="343741"/>
              <w:sz w:val="32"/>
              <w:szCs w:val="32"/>
            </w:rPr>
            <w:fldChar w:fldCharType="separate"/>
          </w:r>
          <w:hyperlink w:anchor="_Toc197586653" w:history="1">
            <w:r w:rsidR="00655A37" w:rsidRPr="00D11ECD">
              <w:rPr>
                <w:rStyle w:val="Hyperlink"/>
                <w:b/>
                <w:bCs/>
                <w:noProof/>
              </w:rPr>
              <w:t>Choice and Affordability Fund Guidelines</w:t>
            </w:r>
            <w:r w:rsidR="00655A37">
              <w:rPr>
                <w:noProof/>
                <w:webHidden/>
              </w:rPr>
              <w:tab/>
            </w:r>
            <w:r w:rsidR="00655A37">
              <w:rPr>
                <w:noProof/>
                <w:webHidden/>
              </w:rPr>
              <w:fldChar w:fldCharType="begin"/>
            </w:r>
            <w:r w:rsidR="00655A37">
              <w:rPr>
                <w:noProof/>
                <w:webHidden/>
              </w:rPr>
              <w:instrText xml:space="preserve"> PAGEREF _Toc197586653 \h </w:instrText>
            </w:r>
            <w:r w:rsidR="00655A37">
              <w:rPr>
                <w:noProof/>
                <w:webHidden/>
              </w:rPr>
            </w:r>
            <w:r w:rsidR="00655A37">
              <w:rPr>
                <w:noProof/>
                <w:webHidden/>
              </w:rPr>
              <w:fldChar w:fldCharType="separate"/>
            </w:r>
            <w:r w:rsidR="008F0B65">
              <w:rPr>
                <w:noProof/>
                <w:webHidden/>
              </w:rPr>
              <w:t>1</w:t>
            </w:r>
            <w:r w:rsidR="00655A37">
              <w:rPr>
                <w:noProof/>
                <w:webHidden/>
              </w:rPr>
              <w:fldChar w:fldCharType="end"/>
            </w:r>
          </w:hyperlink>
        </w:p>
        <w:p w14:paraId="785D7DF1" w14:textId="414FB2F5" w:rsidR="00655A37" w:rsidRDefault="00655A37">
          <w:pPr>
            <w:pStyle w:val="TOC2"/>
            <w:tabs>
              <w:tab w:val="right" w:leader="dot" w:pos="9016"/>
            </w:tabs>
            <w:rPr>
              <w:rFonts w:eastAsiaTheme="minorEastAsia"/>
              <w:noProof/>
              <w:kern w:val="2"/>
              <w:sz w:val="24"/>
              <w:szCs w:val="24"/>
              <w:lang w:eastAsia="en-AU"/>
              <w14:ligatures w14:val="standardContextual"/>
            </w:rPr>
          </w:pPr>
          <w:hyperlink w:anchor="_Toc197586654" w:history="1">
            <w:r w:rsidRPr="00DE1467">
              <w:rPr>
                <w:rStyle w:val="Hyperlink"/>
                <w:rFonts w:ascii="Calibri" w:eastAsiaTheme="majorEastAsia" w:hAnsi="Calibri" w:cstheme="majorBidi"/>
                <w:b/>
                <w:noProof/>
              </w:rPr>
              <w:t>Preamble</w:t>
            </w:r>
            <w:r>
              <w:rPr>
                <w:noProof/>
                <w:webHidden/>
              </w:rPr>
              <w:tab/>
            </w:r>
            <w:r>
              <w:rPr>
                <w:noProof/>
                <w:webHidden/>
              </w:rPr>
              <w:fldChar w:fldCharType="begin"/>
            </w:r>
            <w:r>
              <w:rPr>
                <w:noProof/>
                <w:webHidden/>
              </w:rPr>
              <w:instrText xml:space="preserve"> PAGEREF _Toc197586654 \h </w:instrText>
            </w:r>
            <w:r>
              <w:rPr>
                <w:noProof/>
                <w:webHidden/>
              </w:rPr>
            </w:r>
            <w:r>
              <w:rPr>
                <w:noProof/>
                <w:webHidden/>
              </w:rPr>
              <w:fldChar w:fldCharType="separate"/>
            </w:r>
            <w:r w:rsidR="008F0B65">
              <w:rPr>
                <w:noProof/>
                <w:webHidden/>
              </w:rPr>
              <w:t>4</w:t>
            </w:r>
            <w:r>
              <w:rPr>
                <w:noProof/>
                <w:webHidden/>
              </w:rPr>
              <w:fldChar w:fldCharType="end"/>
            </w:r>
          </w:hyperlink>
        </w:p>
        <w:p w14:paraId="35B59178" w14:textId="423251A9" w:rsidR="00655A37" w:rsidRDefault="00655A37">
          <w:pPr>
            <w:pStyle w:val="TOC2"/>
            <w:tabs>
              <w:tab w:val="right" w:leader="dot" w:pos="9016"/>
            </w:tabs>
            <w:rPr>
              <w:rFonts w:eastAsiaTheme="minorEastAsia"/>
              <w:noProof/>
              <w:kern w:val="2"/>
              <w:sz w:val="24"/>
              <w:szCs w:val="24"/>
              <w:lang w:eastAsia="en-AU"/>
              <w14:ligatures w14:val="standardContextual"/>
            </w:rPr>
          </w:pPr>
          <w:hyperlink w:anchor="_Toc197586655" w:history="1">
            <w:r w:rsidRPr="00DE1467">
              <w:rPr>
                <w:rStyle w:val="Hyperlink"/>
                <w:rFonts w:ascii="Calibri" w:eastAsiaTheme="majorEastAsia" w:hAnsi="Calibri" w:cstheme="majorBidi"/>
                <w:b/>
                <w:noProof/>
              </w:rPr>
              <w:t>Priorities</w:t>
            </w:r>
            <w:r>
              <w:rPr>
                <w:noProof/>
                <w:webHidden/>
              </w:rPr>
              <w:tab/>
            </w:r>
            <w:r>
              <w:rPr>
                <w:noProof/>
                <w:webHidden/>
              </w:rPr>
              <w:fldChar w:fldCharType="begin"/>
            </w:r>
            <w:r>
              <w:rPr>
                <w:noProof/>
                <w:webHidden/>
              </w:rPr>
              <w:instrText xml:space="preserve"> PAGEREF _Toc197586655 \h </w:instrText>
            </w:r>
            <w:r>
              <w:rPr>
                <w:noProof/>
                <w:webHidden/>
              </w:rPr>
            </w:r>
            <w:r>
              <w:rPr>
                <w:noProof/>
                <w:webHidden/>
              </w:rPr>
              <w:fldChar w:fldCharType="separate"/>
            </w:r>
            <w:r w:rsidR="008F0B65">
              <w:rPr>
                <w:noProof/>
                <w:webHidden/>
              </w:rPr>
              <w:t>4</w:t>
            </w:r>
            <w:r>
              <w:rPr>
                <w:noProof/>
                <w:webHidden/>
              </w:rPr>
              <w:fldChar w:fldCharType="end"/>
            </w:r>
          </w:hyperlink>
        </w:p>
        <w:p w14:paraId="119A7972" w14:textId="303E897D" w:rsidR="00655A37" w:rsidRDefault="00655A37">
          <w:pPr>
            <w:pStyle w:val="TOC1"/>
            <w:rPr>
              <w:rFonts w:eastAsiaTheme="minorEastAsia"/>
              <w:noProof/>
              <w:kern w:val="2"/>
              <w:sz w:val="24"/>
              <w:szCs w:val="24"/>
              <w:lang w:eastAsia="en-AU"/>
              <w14:ligatures w14:val="standardContextual"/>
            </w:rPr>
          </w:pPr>
          <w:hyperlink w:anchor="_Toc197586656" w:history="1">
            <w:r w:rsidRPr="00DE1467">
              <w:rPr>
                <w:rStyle w:val="Hyperlink"/>
                <w:rFonts w:ascii="Calibri" w:eastAsiaTheme="majorEastAsia" w:hAnsi="Calibri" w:cstheme="majorBidi"/>
                <w:b/>
                <w:noProof/>
              </w:rPr>
              <w:t>Part B – Process</w:t>
            </w:r>
            <w:r>
              <w:rPr>
                <w:noProof/>
                <w:webHidden/>
              </w:rPr>
              <w:tab/>
            </w:r>
            <w:r>
              <w:rPr>
                <w:noProof/>
                <w:webHidden/>
              </w:rPr>
              <w:fldChar w:fldCharType="begin"/>
            </w:r>
            <w:r>
              <w:rPr>
                <w:noProof/>
                <w:webHidden/>
              </w:rPr>
              <w:instrText xml:space="preserve"> PAGEREF _Toc197586656 \h </w:instrText>
            </w:r>
            <w:r>
              <w:rPr>
                <w:noProof/>
                <w:webHidden/>
              </w:rPr>
            </w:r>
            <w:r>
              <w:rPr>
                <w:noProof/>
                <w:webHidden/>
              </w:rPr>
              <w:fldChar w:fldCharType="separate"/>
            </w:r>
            <w:r w:rsidR="008F0B65">
              <w:rPr>
                <w:noProof/>
                <w:webHidden/>
              </w:rPr>
              <w:t>6</w:t>
            </w:r>
            <w:r>
              <w:rPr>
                <w:noProof/>
                <w:webHidden/>
              </w:rPr>
              <w:fldChar w:fldCharType="end"/>
            </w:r>
          </w:hyperlink>
        </w:p>
        <w:p w14:paraId="6E31BD83" w14:textId="66E6B233" w:rsidR="00655A37" w:rsidRDefault="00655A37">
          <w:pPr>
            <w:pStyle w:val="TOC2"/>
            <w:tabs>
              <w:tab w:val="right" w:leader="dot" w:pos="9016"/>
            </w:tabs>
            <w:rPr>
              <w:rFonts w:eastAsiaTheme="minorEastAsia"/>
              <w:noProof/>
              <w:kern w:val="2"/>
              <w:sz w:val="24"/>
              <w:szCs w:val="24"/>
              <w:lang w:eastAsia="en-AU"/>
              <w14:ligatures w14:val="standardContextual"/>
            </w:rPr>
          </w:pPr>
          <w:hyperlink w:anchor="_Toc197586657" w:history="1">
            <w:r w:rsidRPr="00DE1467">
              <w:rPr>
                <w:rStyle w:val="Hyperlink"/>
                <w:rFonts w:ascii="Calibri" w:eastAsiaTheme="majorEastAsia" w:hAnsi="Calibri" w:cstheme="majorBidi"/>
                <w:b/>
                <w:noProof/>
              </w:rPr>
              <w:t>Non-government representative bodies</w:t>
            </w:r>
            <w:r>
              <w:rPr>
                <w:noProof/>
                <w:webHidden/>
              </w:rPr>
              <w:tab/>
            </w:r>
            <w:r>
              <w:rPr>
                <w:noProof/>
                <w:webHidden/>
              </w:rPr>
              <w:fldChar w:fldCharType="begin"/>
            </w:r>
            <w:r>
              <w:rPr>
                <w:noProof/>
                <w:webHidden/>
              </w:rPr>
              <w:instrText xml:space="preserve"> PAGEREF _Toc197586657 \h </w:instrText>
            </w:r>
            <w:r>
              <w:rPr>
                <w:noProof/>
                <w:webHidden/>
              </w:rPr>
            </w:r>
            <w:r>
              <w:rPr>
                <w:noProof/>
                <w:webHidden/>
              </w:rPr>
              <w:fldChar w:fldCharType="separate"/>
            </w:r>
            <w:r w:rsidR="008F0B65">
              <w:rPr>
                <w:noProof/>
                <w:webHidden/>
              </w:rPr>
              <w:t>6</w:t>
            </w:r>
            <w:r>
              <w:rPr>
                <w:noProof/>
                <w:webHidden/>
              </w:rPr>
              <w:fldChar w:fldCharType="end"/>
            </w:r>
          </w:hyperlink>
        </w:p>
        <w:p w14:paraId="05404627" w14:textId="68A99A5A" w:rsidR="00655A37" w:rsidRDefault="00655A37">
          <w:pPr>
            <w:pStyle w:val="TOC2"/>
            <w:tabs>
              <w:tab w:val="right" w:leader="dot" w:pos="9016"/>
            </w:tabs>
            <w:rPr>
              <w:rFonts w:eastAsiaTheme="minorEastAsia"/>
              <w:noProof/>
              <w:kern w:val="2"/>
              <w:sz w:val="24"/>
              <w:szCs w:val="24"/>
              <w:lang w:eastAsia="en-AU"/>
              <w14:ligatures w14:val="standardContextual"/>
            </w:rPr>
          </w:pPr>
          <w:hyperlink w:anchor="_Toc197586658" w:history="1">
            <w:r w:rsidRPr="00DE1467">
              <w:rPr>
                <w:rStyle w:val="Hyperlink"/>
                <w:rFonts w:ascii="Calibri" w:eastAsiaTheme="majorEastAsia" w:hAnsi="Calibri" w:cstheme="majorBidi"/>
                <w:b/>
                <w:noProof/>
              </w:rPr>
              <w:t>Funding</w:t>
            </w:r>
            <w:r>
              <w:rPr>
                <w:noProof/>
                <w:webHidden/>
              </w:rPr>
              <w:tab/>
            </w:r>
            <w:r>
              <w:rPr>
                <w:noProof/>
                <w:webHidden/>
              </w:rPr>
              <w:fldChar w:fldCharType="begin"/>
            </w:r>
            <w:r>
              <w:rPr>
                <w:noProof/>
                <w:webHidden/>
              </w:rPr>
              <w:instrText xml:space="preserve"> PAGEREF _Toc197586658 \h </w:instrText>
            </w:r>
            <w:r>
              <w:rPr>
                <w:noProof/>
                <w:webHidden/>
              </w:rPr>
            </w:r>
            <w:r>
              <w:rPr>
                <w:noProof/>
                <w:webHidden/>
              </w:rPr>
              <w:fldChar w:fldCharType="separate"/>
            </w:r>
            <w:r w:rsidR="008F0B65">
              <w:rPr>
                <w:noProof/>
                <w:webHidden/>
              </w:rPr>
              <w:t>6</w:t>
            </w:r>
            <w:r>
              <w:rPr>
                <w:noProof/>
                <w:webHidden/>
              </w:rPr>
              <w:fldChar w:fldCharType="end"/>
            </w:r>
          </w:hyperlink>
        </w:p>
        <w:p w14:paraId="0DCFE784" w14:textId="27387719" w:rsidR="00655A37" w:rsidRDefault="00655A37">
          <w:pPr>
            <w:pStyle w:val="TOC2"/>
            <w:tabs>
              <w:tab w:val="right" w:leader="dot" w:pos="9016"/>
            </w:tabs>
            <w:rPr>
              <w:rFonts w:eastAsiaTheme="minorEastAsia"/>
              <w:noProof/>
              <w:kern w:val="2"/>
              <w:sz w:val="24"/>
              <w:szCs w:val="24"/>
              <w:lang w:eastAsia="en-AU"/>
              <w14:ligatures w14:val="standardContextual"/>
            </w:rPr>
          </w:pPr>
          <w:hyperlink w:anchor="_Toc197586659" w:history="1">
            <w:r w:rsidRPr="00DE1467">
              <w:rPr>
                <w:rStyle w:val="Hyperlink"/>
                <w:rFonts w:ascii="Calibri" w:eastAsiaTheme="majorEastAsia" w:hAnsi="Calibri" w:cstheme="majorBidi"/>
                <w:b/>
                <w:noProof/>
              </w:rPr>
              <w:t>Sector distribution</w:t>
            </w:r>
            <w:r>
              <w:rPr>
                <w:noProof/>
                <w:webHidden/>
              </w:rPr>
              <w:tab/>
            </w:r>
            <w:r>
              <w:rPr>
                <w:noProof/>
                <w:webHidden/>
              </w:rPr>
              <w:fldChar w:fldCharType="begin"/>
            </w:r>
            <w:r>
              <w:rPr>
                <w:noProof/>
                <w:webHidden/>
              </w:rPr>
              <w:instrText xml:space="preserve"> PAGEREF _Toc197586659 \h </w:instrText>
            </w:r>
            <w:r>
              <w:rPr>
                <w:noProof/>
                <w:webHidden/>
              </w:rPr>
            </w:r>
            <w:r>
              <w:rPr>
                <w:noProof/>
                <w:webHidden/>
              </w:rPr>
              <w:fldChar w:fldCharType="separate"/>
            </w:r>
            <w:r w:rsidR="008F0B65">
              <w:rPr>
                <w:noProof/>
                <w:webHidden/>
              </w:rPr>
              <w:t>7</w:t>
            </w:r>
            <w:r>
              <w:rPr>
                <w:noProof/>
                <w:webHidden/>
              </w:rPr>
              <w:fldChar w:fldCharType="end"/>
            </w:r>
          </w:hyperlink>
        </w:p>
        <w:p w14:paraId="7BF15FE8" w14:textId="277CBE80" w:rsidR="00655A37" w:rsidRDefault="00655A37">
          <w:pPr>
            <w:pStyle w:val="TOC2"/>
            <w:tabs>
              <w:tab w:val="right" w:leader="dot" w:pos="9016"/>
            </w:tabs>
            <w:rPr>
              <w:rFonts w:eastAsiaTheme="minorEastAsia"/>
              <w:noProof/>
              <w:kern w:val="2"/>
              <w:sz w:val="24"/>
              <w:szCs w:val="24"/>
              <w:lang w:eastAsia="en-AU"/>
              <w14:ligatures w14:val="standardContextual"/>
            </w:rPr>
          </w:pPr>
          <w:hyperlink w:anchor="_Toc197586660" w:history="1">
            <w:r w:rsidRPr="00DE1467">
              <w:rPr>
                <w:rStyle w:val="Hyperlink"/>
                <w:rFonts w:ascii="Calibri" w:eastAsiaTheme="majorEastAsia" w:hAnsi="Calibri" w:cstheme="majorBidi"/>
                <w:b/>
                <w:noProof/>
              </w:rPr>
              <w:t>NGRB distribution</w:t>
            </w:r>
            <w:r>
              <w:rPr>
                <w:noProof/>
                <w:webHidden/>
              </w:rPr>
              <w:tab/>
            </w:r>
            <w:r>
              <w:rPr>
                <w:noProof/>
                <w:webHidden/>
              </w:rPr>
              <w:fldChar w:fldCharType="begin"/>
            </w:r>
            <w:r>
              <w:rPr>
                <w:noProof/>
                <w:webHidden/>
              </w:rPr>
              <w:instrText xml:space="preserve"> PAGEREF _Toc197586660 \h </w:instrText>
            </w:r>
            <w:r>
              <w:rPr>
                <w:noProof/>
                <w:webHidden/>
              </w:rPr>
            </w:r>
            <w:r>
              <w:rPr>
                <w:noProof/>
                <w:webHidden/>
              </w:rPr>
              <w:fldChar w:fldCharType="separate"/>
            </w:r>
            <w:r w:rsidR="008F0B65">
              <w:rPr>
                <w:noProof/>
                <w:webHidden/>
              </w:rPr>
              <w:t>7</w:t>
            </w:r>
            <w:r>
              <w:rPr>
                <w:noProof/>
                <w:webHidden/>
              </w:rPr>
              <w:fldChar w:fldCharType="end"/>
            </w:r>
          </w:hyperlink>
        </w:p>
        <w:p w14:paraId="75F946E2" w14:textId="0E0DA05B" w:rsidR="00655A37" w:rsidRDefault="00655A37">
          <w:pPr>
            <w:pStyle w:val="TOC2"/>
            <w:tabs>
              <w:tab w:val="right" w:leader="dot" w:pos="9016"/>
            </w:tabs>
            <w:rPr>
              <w:rFonts w:eastAsiaTheme="minorEastAsia"/>
              <w:noProof/>
              <w:kern w:val="2"/>
              <w:sz w:val="24"/>
              <w:szCs w:val="24"/>
              <w:lang w:eastAsia="en-AU"/>
              <w14:ligatures w14:val="standardContextual"/>
            </w:rPr>
          </w:pPr>
          <w:hyperlink w:anchor="_Toc197586661" w:history="1">
            <w:r w:rsidRPr="00DE1467">
              <w:rPr>
                <w:rStyle w:val="Hyperlink"/>
                <w:rFonts w:ascii="Calibri" w:eastAsiaTheme="majorEastAsia" w:hAnsi="Calibri" w:cstheme="majorBidi"/>
                <w:b/>
                <w:noProof/>
              </w:rPr>
              <w:t>School distribution</w:t>
            </w:r>
            <w:r>
              <w:rPr>
                <w:noProof/>
                <w:webHidden/>
              </w:rPr>
              <w:tab/>
            </w:r>
            <w:r>
              <w:rPr>
                <w:noProof/>
                <w:webHidden/>
              </w:rPr>
              <w:fldChar w:fldCharType="begin"/>
            </w:r>
            <w:r>
              <w:rPr>
                <w:noProof/>
                <w:webHidden/>
              </w:rPr>
              <w:instrText xml:space="preserve"> PAGEREF _Toc197586661 \h </w:instrText>
            </w:r>
            <w:r>
              <w:rPr>
                <w:noProof/>
                <w:webHidden/>
              </w:rPr>
            </w:r>
            <w:r>
              <w:rPr>
                <w:noProof/>
                <w:webHidden/>
              </w:rPr>
              <w:fldChar w:fldCharType="separate"/>
            </w:r>
            <w:r w:rsidR="008F0B65">
              <w:rPr>
                <w:noProof/>
                <w:webHidden/>
              </w:rPr>
              <w:t>7</w:t>
            </w:r>
            <w:r>
              <w:rPr>
                <w:noProof/>
                <w:webHidden/>
              </w:rPr>
              <w:fldChar w:fldCharType="end"/>
            </w:r>
          </w:hyperlink>
        </w:p>
        <w:p w14:paraId="772132D3" w14:textId="54D3313C" w:rsidR="00655A37" w:rsidRDefault="00655A37">
          <w:pPr>
            <w:pStyle w:val="TOC1"/>
            <w:rPr>
              <w:rFonts w:eastAsiaTheme="minorEastAsia"/>
              <w:noProof/>
              <w:kern w:val="2"/>
              <w:sz w:val="24"/>
              <w:szCs w:val="24"/>
              <w:lang w:eastAsia="en-AU"/>
              <w14:ligatures w14:val="standardContextual"/>
            </w:rPr>
          </w:pPr>
          <w:hyperlink w:anchor="_Toc197586662" w:history="1">
            <w:r w:rsidRPr="00DE1467">
              <w:rPr>
                <w:rStyle w:val="Hyperlink"/>
                <w:rFonts w:ascii="Calibri" w:eastAsiaTheme="majorEastAsia" w:hAnsi="Calibri" w:cstheme="majorBidi"/>
                <w:b/>
                <w:noProof/>
              </w:rPr>
              <w:t>Part C – Funding arrangements</w:t>
            </w:r>
            <w:r>
              <w:rPr>
                <w:noProof/>
                <w:webHidden/>
              </w:rPr>
              <w:tab/>
            </w:r>
            <w:r>
              <w:rPr>
                <w:noProof/>
                <w:webHidden/>
              </w:rPr>
              <w:fldChar w:fldCharType="begin"/>
            </w:r>
            <w:r>
              <w:rPr>
                <w:noProof/>
                <w:webHidden/>
              </w:rPr>
              <w:instrText xml:space="preserve"> PAGEREF _Toc197586662 \h </w:instrText>
            </w:r>
            <w:r>
              <w:rPr>
                <w:noProof/>
                <w:webHidden/>
              </w:rPr>
            </w:r>
            <w:r>
              <w:rPr>
                <w:noProof/>
                <w:webHidden/>
              </w:rPr>
              <w:fldChar w:fldCharType="separate"/>
            </w:r>
            <w:r w:rsidR="008F0B65">
              <w:rPr>
                <w:noProof/>
                <w:webHidden/>
              </w:rPr>
              <w:t>8</w:t>
            </w:r>
            <w:r>
              <w:rPr>
                <w:noProof/>
                <w:webHidden/>
              </w:rPr>
              <w:fldChar w:fldCharType="end"/>
            </w:r>
          </w:hyperlink>
        </w:p>
        <w:p w14:paraId="4FA7CA0E" w14:textId="43059E02" w:rsidR="00655A37" w:rsidRDefault="00655A37">
          <w:pPr>
            <w:pStyle w:val="TOC2"/>
            <w:tabs>
              <w:tab w:val="right" w:leader="dot" w:pos="9016"/>
            </w:tabs>
            <w:rPr>
              <w:rFonts w:eastAsiaTheme="minorEastAsia"/>
              <w:noProof/>
              <w:kern w:val="2"/>
              <w:sz w:val="24"/>
              <w:szCs w:val="24"/>
              <w:lang w:eastAsia="en-AU"/>
              <w14:ligatures w14:val="standardContextual"/>
            </w:rPr>
          </w:pPr>
          <w:hyperlink w:anchor="_Toc197586663" w:history="1">
            <w:r w:rsidRPr="00DE1467">
              <w:rPr>
                <w:rStyle w:val="Hyperlink"/>
                <w:rFonts w:ascii="Calibri" w:eastAsiaTheme="majorEastAsia" w:hAnsi="Calibri" w:cstheme="majorBidi"/>
                <w:b/>
                <w:noProof/>
                <w:lang w:eastAsia="en-AU"/>
              </w:rPr>
              <w:t>Use of funding</w:t>
            </w:r>
            <w:r>
              <w:rPr>
                <w:noProof/>
                <w:webHidden/>
              </w:rPr>
              <w:tab/>
            </w:r>
            <w:r>
              <w:rPr>
                <w:noProof/>
                <w:webHidden/>
              </w:rPr>
              <w:fldChar w:fldCharType="begin"/>
            </w:r>
            <w:r>
              <w:rPr>
                <w:noProof/>
                <w:webHidden/>
              </w:rPr>
              <w:instrText xml:space="preserve"> PAGEREF _Toc197586663 \h </w:instrText>
            </w:r>
            <w:r>
              <w:rPr>
                <w:noProof/>
                <w:webHidden/>
              </w:rPr>
            </w:r>
            <w:r>
              <w:rPr>
                <w:noProof/>
                <w:webHidden/>
              </w:rPr>
              <w:fldChar w:fldCharType="separate"/>
            </w:r>
            <w:r w:rsidR="008F0B65">
              <w:rPr>
                <w:noProof/>
                <w:webHidden/>
              </w:rPr>
              <w:t>8</w:t>
            </w:r>
            <w:r>
              <w:rPr>
                <w:noProof/>
                <w:webHidden/>
              </w:rPr>
              <w:fldChar w:fldCharType="end"/>
            </w:r>
          </w:hyperlink>
        </w:p>
        <w:p w14:paraId="72FF493C" w14:textId="0AE9D959" w:rsidR="00655A37" w:rsidRDefault="00655A37">
          <w:pPr>
            <w:pStyle w:val="TOC2"/>
            <w:tabs>
              <w:tab w:val="right" w:leader="dot" w:pos="9016"/>
            </w:tabs>
            <w:rPr>
              <w:rFonts w:eastAsiaTheme="minorEastAsia"/>
              <w:noProof/>
              <w:kern w:val="2"/>
              <w:sz w:val="24"/>
              <w:szCs w:val="24"/>
              <w:lang w:eastAsia="en-AU"/>
              <w14:ligatures w14:val="standardContextual"/>
            </w:rPr>
          </w:pPr>
          <w:hyperlink w:anchor="_Toc197586664" w:history="1">
            <w:r w:rsidRPr="00DE1467">
              <w:rPr>
                <w:rStyle w:val="Hyperlink"/>
                <w:rFonts w:ascii="Calibri" w:eastAsiaTheme="majorEastAsia" w:hAnsi="Calibri" w:cstheme="majorBidi"/>
                <w:b/>
                <w:noProof/>
                <w:lang w:eastAsia="en-AU"/>
              </w:rPr>
              <w:t>Other funding</w:t>
            </w:r>
            <w:r>
              <w:rPr>
                <w:noProof/>
                <w:webHidden/>
              </w:rPr>
              <w:tab/>
            </w:r>
            <w:r>
              <w:rPr>
                <w:noProof/>
                <w:webHidden/>
              </w:rPr>
              <w:fldChar w:fldCharType="begin"/>
            </w:r>
            <w:r>
              <w:rPr>
                <w:noProof/>
                <w:webHidden/>
              </w:rPr>
              <w:instrText xml:space="preserve"> PAGEREF _Toc197586664 \h </w:instrText>
            </w:r>
            <w:r>
              <w:rPr>
                <w:noProof/>
                <w:webHidden/>
              </w:rPr>
            </w:r>
            <w:r>
              <w:rPr>
                <w:noProof/>
                <w:webHidden/>
              </w:rPr>
              <w:fldChar w:fldCharType="separate"/>
            </w:r>
            <w:r w:rsidR="008F0B65">
              <w:rPr>
                <w:noProof/>
                <w:webHidden/>
              </w:rPr>
              <w:t>9</w:t>
            </w:r>
            <w:r>
              <w:rPr>
                <w:noProof/>
                <w:webHidden/>
              </w:rPr>
              <w:fldChar w:fldCharType="end"/>
            </w:r>
          </w:hyperlink>
        </w:p>
        <w:p w14:paraId="46A96DF2" w14:textId="71CF99F3" w:rsidR="00655A37" w:rsidRDefault="00655A37">
          <w:pPr>
            <w:pStyle w:val="TOC1"/>
            <w:rPr>
              <w:rFonts w:eastAsiaTheme="minorEastAsia"/>
              <w:noProof/>
              <w:kern w:val="2"/>
              <w:sz w:val="24"/>
              <w:szCs w:val="24"/>
              <w:lang w:eastAsia="en-AU"/>
              <w14:ligatures w14:val="standardContextual"/>
            </w:rPr>
          </w:pPr>
          <w:hyperlink w:anchor="_Toc197586665" w:history="1">
            <w:r w:rsidRPr="00DE1467">
              <w:rPr>
                <w:rStyle w:val="Hyperlink"/>
                <w:rFonts w:ascii="Calibri" w:eastAsiaTheme="majorEastAsia" w:hAnsi="Calibri" w:cstheme="majorBidi"/>
                <w:b/>
                <w:noProof/>
              </w:rPr>
              <w:t>Part D – Reporting and accountability</w:t>
            </w:r>
            <w:r>
              <w:rPr>
                <w:noProof/>
                <w:webHidden/>
              </w:rPr>
              <w:tab/>
            </w:r>
            <w:r>
              <w:rPr>
                <w:noProof/>
                <w:webHidden/>
              </w:rPr>
              <w:fldChar w:fldCharType="begin"/>
            </w:r>
            <w:r>
              <w:rPr>
                <w:noProof/>
                <w:webHidden/>
              </w:rPr>
              <w:instrText xml:space="preserve"> PAGEREF _Toc197586665 \h </w:instrText>
            </w:r>
            <w:r>
              <w:rPr>
                <w:noProof/>
                <w:webHidden/>
              </w:rPr>
            </w:r>
            <w:r>
              <w:rPr>
                <w:noProof/>
                <w:webHidden/>
              </w:rPr>
              <w:fldChar w:fldCharType="separate"/>
            </w:r>
            <w:r w:rsidR="008F0B65">
              <w:rPr>
                <w:noProof/>
                <w:webHidden/>
              </w:rPr>
              <w:t>9</w:t>
            </w:r>
            <w:r>
              <w:rPr>
                <w:noProof/>
                <w:webHidden/>
              </w:rPr>
              <w:fldChar w:fldCharType="end"/>
            </w:r>
          </w:hyperlink>
        </w:p>
        <w:p w14:paraId="6CEBAD29" w14:textId="18ABE478" w:rsidR="00655A37" w:rsidRDefault="00655A37">
          <w:pPr>
            <w:pStyle w:val="TOC2"/>
            <w:tabs>
              <w:tab w:val="right" w:leader="dot" w:pos="9016"/>
            </w:tabs>
            <w:rPr>
              <w:rFonts w:eastAsiaTheme="minorEastAsia"/>
              <w:noProof/>
              <w:kern w:val="2"/>
              <w:sz w:val="24"/>
              <w:szCs w:val="24"/>
              <w:lang w:eastAsia="en-AU"/>
              <w14:ligatures w14:val="standardContextual"/>
            </w:rPr>
          </w:pPr>
          <w:hyperlink w:anchor="_Toc197586666" w:history="1">
            <w:r w:rsidRPr="00DE1467">
              <w:rPr>
                <w:rStyle w:val="Hyperlink"/>
                <w:rFonts w:ascii="Calibri" w:eastAsiaTheme="majorEastAsia" w:hAnsi="Calibri" w:cstheme="majorBidi"/>
                <w:b/>
                <w:noProof/>
              </w:rPr>
              <w:t>Workplans</w:t>
            </w:r>
            <w:r>
              <w:rPr>
                <w:noProof/>
                <w:webHidden/>
              </w:rPr>
              <w:tab/>
            </w:r>
            <w:r>
              <w:rPr>
                <w:noProof/>
                <w:webHidden/>
              </w:rPr>
              <w:fldChar w:fldCharType="begin"/>
            </w:r>
            <w:r>
              <w:rPr>
                <w:noProof/>
                <w:webHidden/>
              </w:rPr>
              <w:instrText xml:space="preserve"> PAGEREF _Toc197586666 \h </w:instrText>
            </w:r>
            <w:r>
              <w:rPr>
                <w:noProof/>
                <w:webHidden/>
              </w:rPr>
            </w:r>
            <w:r>
              <w:rPr>
                <w:noProof/>
                <w:webHidden/>
              </w:rPr>
              <w:fldChar w:fldCharType="separate"/>
            </w:r>
            <w:r w:rsidR="008F0B65">
              <w:rPr>
                <w:noProof/>
                <w:webHidden/>
              </w:rPr>
              <w:t>9</w:t>
            </w:r>
            <w:r>
              <w:rPr>
                <w:noProof/>
                <w:webHidden/>
              </w:rPr>
              <w:fldChar w:fldCharType="end"/>
            </w:r>
          </w:hyperlink>
        </w:p>
        <w:p w14:paraId="285EEC57" w14:textId="65A43945" w:rsidR="00655A37" w:rsidRDefault="00655A37">
          <w:pPr>
            <w:pStyle w:val="TOC2"/>
            <w:tabs>
              <w:tab w:val="right" w:leader="dot" w:pos="9016"/>
            </w:tabs>
            <w:rPr>
              <w:rFonts w:eastAsiaTheme="minorEastAsia"/>
              <w:noProof/>
              <w:kern w:val="2"/>
              <w:sz w:val="24"/>
              <w:szCs w:val="24"/>
              <w:lang w:eastAsia="en-AU"/>
              <w14:ligatures w14:val="standardContextual"/>
            </w:rPr>
          </w:pPr>
          <w:hyperlink w:anchor="_Toc197586667" w:history="1">
            <w:r w:rsidRPr="00DE1467">
              <w:rPr>
                <w:rStyle w:val="Hyperlink"/>
                <w:rFonts w:ascii="Calibri" w:eastAsiaTheme="majorEastAsia" w:hAnsi="Calibri" w:cstheme="majorBidi"/>
                <w:b/>
                <w:noProof/>
              </w:rPr>
              <w:t>Certificate, report and financial statements</w:t>
            </w:r>
            <w:r>
              <w:rPr>
                <w:noProof/>
                <w:webHidden/>
              </w:rPr>
              <w:tab/>
            </w:r>
            <w:r>
              <w:rPr>
                <w:noProof/>
                <w:webHidden/>
              </w:rPr>
              <w:fldChar w:fldCharType="begin"/>
            </w:r>
            <w:r>
              <w:rPr>
                <w:noProof/>
                <w:webHidden/>
              </w:rPr>
              <w:instrText xml:space="preserve"> PAGEREF _Toc197586667 \h </w:instrText>
            </w:r>
            <w:r>
              <w:rPr>
                <w:noProof/>
                <w:webHidden/>
              </w:rPr>
            </w:r>
            <w:r>
              <w:rPr>
                <w:noProof/>
                <w:webHidden/>
              </w:rPr>
              <w:fldChar w:fldCharType="separate"/>
            </w:r>
            <w:r w:rsidR="008F0B65">
              <w:rPr>
                <w:noProof/>
                <w:webHidden/>
              </w:rPr>
              <w:t>11</w:t>
            </w:r>
            <w:r>
              <w:rPr>
                <w:noProof/>
                <w:webHidden/>
              </w:rPr>
              <w:fldChar w:fldCharType="end"/>
            </w:r>
          </w:hyperlink>
        </w:p>
        <w:p w14:paraId="5C9D958D" w14:textId="78EC8DFD" w:rsidR="00655A37" w:rsidRDefault="00655A37">
          <w:pPr>
            <w:pStyle w:val="TOC2"/>
            <w:tabs>
              <w:tab w:val="right" w:leader="dot" w:pos="9016"/>
            </w:tabs>
            <w:rPr>
              <w:rFonts w:eastAsiaTheme="minorEastAsia"/>
              <w:noProof/>
              <w:kern w:val="2"/>
              <w:sz w:val="24"/>
              <w:szCs w:val="24"/>
              <w:lang w:eastAsia="en-AU"/>
              <w14:ligatures w14:val="standardContextual"/>
            </w:rPr>
          </w:pPr>
          <w:hyperlink w:anchor="_Toc197586668" w:history="1">
            <w:r w:rsidRPr="00DE1467">
              <w:rPr>
                <w:rStyle w:val="Hyperlink"/>
                <w:rFonts w:ascii="Calibri" w:eastAsiaTheme="majorEastAsia" w:hAnsi="Calibri" w:cstheme="majorBidi"/>
                <w:b/>
                <w:noProof/>
              </w:rPr>
              <w:t>Annual reports</w:t>
            </w:r>
            <w:r>
              <w:rPr>
                <w:noProof/>
                <w:webHidden/>
              </w:rPr>
              <w:tab/>
            </w:r>
            <w:r>
              <w:rPr>
                <w:noProof/>
                <w:webHidden/>
              </w:rPr>
              <w:fldChar w:fldCharType="begin"/>
            </w:r>
            <w:r>
              <w:rPr>
                <w:noProof/>
                <w:webHidden/>
              </w:rPr>
              <w:instrText xml:space="preserve"> PAGEREF _Toc197586668 \h </w:instrText>
            </w:r>
            <w:r>
              <w:rPr>
                <w:noProof/>
                <w:webHidden/>
              </w:rPr>
            </w:r>
            <w:r>
              <w:rPr>
                <w:noProof/>
                <w:webHidden/>
              </w:rPr>
              <w:fldChar w:fldCharType="separate"/>
            </w:r>
            <w:r w:rsidR="008F0B65">
              <w:rPr>
                <w:noProof/>
                <w:webHidden/>
              </w:rPr>
              <w:t>11</w:t>
            </w:r>
            <w:r>
              <w:rPr>
                <w:noProof/>
                <w:webHidden/>
              </w:rPr>
              <w:fldChar w:fldCharType="end"/>
            </w:r>
          </w:hyperlink>
        </w:p>
        <w:p w14:paraId="247F3B29" w14:textId="5598706A" w:rsidR="00655A37" w:rsidRDefault="00655A37">
          <w:pPr>
            <w:pStyle w:val="TOC2"/>
            <w:tabs>
              <w:tab w:val="right" w:leader="dot" w:pos="9016"/>
            </w:tabs>
            <w:rPr>
              <w:rFonts w:eastAsiaTheme="minorEastAsia"/>
              <w:noProof/>
              <w:kern w:val="2"/>
              <w:sz w:val="24"/>
              <w:szCs w:val="24"/>
              <w:lang w:eastAsia="en-AU"/>
              <w14:ligatures w14:val="standardContextual"/>
            </w:rPr>
          </w:pPr>
          <w:hyperlink w:anchor="_Toc197586669" w:history="1">
            <w:r w:rsidRPr="00DE1467">
              <w:rPr>
                <w:rStyle w:val="Hyperlink"/>
                <w:rFonts w:ascii="Calibri" w:eastAsiaTheme="majorEastAsia" w:hAnsi="Calibri" w:cstheme="majorBidi"/>
                <w:b/>
                <w:noProof/>
              </w:rPr>
              <w:t>Record keeping and information provision</w:t>
            </w:r>
            <w:r>
              <w:rPr>
                <w:noProof/>
                <w:webHidden/>
              </w:rPr>
              <w:tab/>
            </w:r>
            <w:r>
              <w:rPr>
                <w:noProof/>
                <w:webHidden/>
              </w:rPr>
              <w:fldChar w:fldCharType="begin"/>
            </w:r>
            <w:r>
              <w:rPr>
                <w:noProof/>
                <w:webHidden/>
              </w:rPr>
              <w:instrText xml:space="preserve"> PAGEREF _Toc197586669 \h </w:instrText>
            </w:r>
            <w:r>
              <w:rPr>
                <w:noProof/>
                <w:webHidden/>
              </w:rPr>
            </w:r>
            <w:r>
              <w:rPr>
                <w:noProof/>
                <w:webHidden/>
              </w:rPr>
              <w:fldChar w:fldCharType="separate"/>
            </w:r>
            <w:r w:rsidR="008F0B65">
              <w:rPr>
                <w:noProof/>
                <w:webHidden/>
              </w:rPr>
              <w:t>11</w:t>
            </w:r>
            <w:r>
              <w:rPr>
                <w:noProof/>
                <w:webHidden/>
              </w:rPr>
              <w:fldChar w:fldCharType="end"/>
            </w:r>
          </w:hyperlink>
        </w:p>
        <w:p w14:paraId="400D4DD0" w14:textId="096D7184" w:rsidR="00655A37" w:rsidRDefault="00655A37">
          <w:pPr>
            <w:pStyle w:val="TOC2"/>
            <w:tabs>
              <w:tab w:val="right" w:leader="dot" w:pos="9016"/>
            </w:tabs>
            <w:rPr>
              <w:rFonts w:eastAsiaTheme="minorEastAsia"/>
              <w:noProof/>
              <w:kern w:val="2"/>
              <w:sz w:val="24"/>
              <w:szCs w:val="24"/>
              <w:lang w:eastAsia="en-AU"/>
              <w14:ligatures w14:val="standardContextual"/>
            </w:rPr>
          </w:pPr>
          <w:hyperlink w:anchor="_Toc197586670" w:history="1">
            <w:r w:rsidRPr="00DE1467">
              <w:rPr>
                <w:rStyle w:val="Hyperlink"/>
                <w:rFonts w:ascii="Calibri" w:eastAsiaTheme="majorEastAsia" w:hAnsi="Calibri" w:cstheme="majorBidi"/>
                <w:b/>
                <w:noProof/>
              </w:rPr>
              <w:t>Other requirements</w:t>
            </w:r>
            <w:r>
              <w:rPr>
                <w:noProof/>
                <w:webHidden/>
              </w:rPr>
              <w:tab/>
            </w:r>
            <w:r>
              <w:rPr>
                <w:noProof/>
                <w:webHidden/>
              </w:rPr>
              <w:fldChar w:fldCharType="begin"/>
            </w:r>
            <w:r>
              <w:rPr>
                <w:noProof/>
                <w:webHidden/>
              </w:rPr>
              <w:instrText xml:space="preserve"> PAGEREF _Toc197586670 \h </w:instrText>
            </w:r>
            <w:r>
              <w:rPr>
                <w:noProof/>
                <w:webHidden/>
              </w:rPr>
            </w:r>
            <w:r>
              <w:rPr>
                <w:noProof/>
                <w:webHidden/>
              </w:rPr>
              <w:fldChar w:fldCharType="separate"/>
            </w:r>
            <w:r w:rsidR="008F0B65">
              <w:rPr>
                <w:noProof/>
                <w:webHidden/>
              </w:rPr>
              <w:t>12</w:t>
            </w:r>
            <w:r>
              <w:rPr>
                <w:noProof/>
                <w:webHidden/>
              </w:rPr>
              <w:fldChar w:fldCharType="end"/>
            </w:r>
          </w:hyperlink>
        </w:p>
        <w:p w14:paraId="596F0E0F" w14:textId="4861AE55" w:rsidR="00655A37" w:rsidRDefault="00655A37">
          <w:pPr>
            <w:pStyle w:val="TOC2"/>
            <w:tabs>
              <w:tab w:val="right" w:leader="dot" w:pos="9016"/>
            </w:tabs>
            <w:rPr>
              <w:rFonts w:eastAsiaTheme="minorEastAsia"/>
              <w:noProof/>
              <w:kern w:val="2"/>
              <w:sz w:val="24"/>
              <w:szCs w:val="24"/>
              <w:lang w:eastAsia="en-AU"/>
              <w14:ligatures w14:val="standardContextual"/>
            </w:rPr>
          </w:pPr>
          <w:hyperlink w:anchor="_Toc197586671" w:history="1">
            <w:r w:rsidRPr="00DE1467">
              <w:rPr>
                <w:rStyle w:val="Hyperlink"/>
                <w:rFonts w:ascii="Calibri" w:eastAsiaTheme="majorEastAsia" w:hAnsi="Calibri" w:cstheme="majorBidi"/>
                <w:b/>
                <w:noProof/>
                <w:lang w:eastAsia="en-AU"/>
              </w:rPr>
              <w:t>Consequences for not complying with the Act, the Regulation, these Guidelines or the Agreement</w:t>
            </w:r>
            <w:r>
              <w:rPr>
                <w:noProof/>
                <w:webHidden/>
              </w:rPr>
              <w:tab/>
            </w:r>
            <w:r>
              <w:rPr>
                <w:noProof/>
                <w:webHidden/>
              </w:rPr>
              <w:fldChar w:fldCharType="begin"/>
            </w:r>
            <w:r>
              <w:rPr>
                <w:noProof/>
                <w:webHidden/>
              </w:rPr>
              <w:instrText xml:space="preserve"> PAGEREF _Toc197586671 \h </w:instrText>
            </w:r>
            <w:r>
              <w:rPr>
                <w:noProof/>
                <w:webHidden/>
              </w:rPr>
            </w:r>
            <w:r>
              <w:rPr>
                <w:noProof/>
                <w:webHidden/>
              </w:rPr>
              <w:fldChar w:fldCharType="separate"/>
            </w:r>
            <w:r w:rsidR="008F0B65">
              <w:rPr>
                <w:noProof/>
                <w:webHidden/>
              </w:rPr>
              <w:t>13</w:t>
            </w:r>
            <w:r>
              <w:rPr>
                <w:noProof/>
                <w:webHidden/>
              </w:rPr>
              <w:fldChar w:fldCharType="end"/>
            </w:r>
          </w:hyperlink>
        </w:p>
        <w:p w14:paraId="147B4C10" w14:textId="06C7FF06" w:rsidR="00655A37" w:rsidRDefault="00655A37">
          <w:pPr>
            <w:pStyle w:val="TOC1"/>
            <w:rPr>
              <w:rFonts w:eastAsiaTheme="minorEastAsia"/>
              <w:noProof/>
              <w:kern w:val="2"/>
              <w:sz w:val="24"/>
              <w:szCs w:val="24"/>
              <w:lang w:eastAsia="en-AU"/>
              <w14:ligatures w14:val="standardContextual"/>
            </w:rPr>
          </w:pPr>
          <w:hyperlink w:anchor="_Toc197586672" w:history="1">
            <w:r w:rsidRPr="00DE1467">
              <w:rPr>
                <w:rStyle w:val="Hyperlink"/>
                <w:rFonts w:ascii="Calibri" w:eastAsiaTheme="majorEastAsia" w:hAnsi="Calibri" w:cstheme="majorBidi"/>
                <w:b/>
                <w:noProof/>
              </w:rPr>
              <w:t>Part E – Other information</w:t>
            </w:r>
            <w:r>
              <w:rPr>
                <w:noProof/>
                <w:webHidden/>
              </w:rPr>
              <w:tab/>
            </w:r>
            <w:r>
              <w:rPr>
                <w:noProof/>
                <w:webHidden/>
              </w:rPr>
              <w:fldChar w:fldCharType="begin"/>
            </w:r>
            <w:r>
              <w:rPr>
                <w:noProof/>
                <w:webHidden/>
              </w:rPr>
              <w:instrText xml:space="preserve"> PAGEREF _Toc197586672 \h </w:instrText>
            </w:r>
            <w:r>
              <w:rPr>
                <w:noProof/>
                <w:webHidden/>
              </w:rPr>
            </w:r>
            <w:r>
              <w:rPr>
                <w:noProof/>
                <w:webHidden/>
              </w:rPr>
              <w:fldChar w:fldCharType="separate"/>
            </w:r>
            <w:r w:rsidR="008F0B65">
              <w:rPr>
                <w:noProof/>
                <w:webHidden/>
              </w:rPr>
              <w:t>13</w:t>
            </w:r>
            <w:r>
              <w:rPr>
                <w:noProof/>
                <w:webHidden/>
              </w:rPr>
              <w:fldChar w:fldCharType="end"/>
            </w:r>
          </w:hyperlink>
        </w:p>
        <w:p w14:paraId="5921C9E4" w14:textId="300B1FB6" w:rsidR="00655A37" w:rsidRDefault="00655A37">
          <w:pPr>
            <w:pStyle w:val="TOC2"/>
            <w:tabs>
              <w:tab w:val="right" w:leader="dot" w:pos="9016"/>
            </w:tabs>
            <w:rPr>
              <w:rFonts w:eastAsiaTheme="minorEastAsia"/>
              <w:noProof/>
              <w:kern w:val="2"/>
              <w:sz w:val="24"/>
              <w:szCs w:val="24"/>
              <w:lang w:eastAsia="en-AU"/>
              <w14:ligatures w14:val="standardContextual"/>
            </w:rPr>
          </w:pPr>
          <w:hyperlink w:anchor="_Toc197586673" w:history="1">
            <w:r w:rsidRPr="00DE1467">
              <w:rPr>
                <w:rStyle w:val="Hyperlink"/>
                <w:rFonts w:ascii="Calibri" w:eastAsiaTheme="majorEastAsia" w:hAnsi="Calibri" w:cstheme="majorBidi"/>
                <w:b/>
                <w:noProof/>
              </w:rPr>
              <w:t>Other applicable legislation</w:t>
            </w:r>
            <w:r>
              <w:rPr>
                <w:noProof/>
                <w:webHidden/>
              </w:rPr>
              <w:tab/>
            </w:r>
            <w:r>
              <w:rPr>
                <w:noProof/>
                <w:webHidden/>
              </w:rPr>
              <w:fldChar w:fldCharType="begin"/>
            </w:r>
            <w:r>
              <w:rPr>
                <w:noProof/>
                <w:webHidden/>
              </w:rPr>
              <w:instrText xml:space="preserve"> PAGEREF _Toc197586673 \h </w:instrText>
            </w:r>
            <w:r>
              <w:rPr>
                <w:noProof/>
                <w:webHidden/>
              </w:rPr>
            </w:r>
            <w:r>
              <w:rPr>
                <w:noProof/>
                <w:webHidden/>
              </w:rPr>
              <w:fldChar w:fldCharType="separate"/>
            </w:r>
            <w:r w:rsidR="008F0B65">
              <w:rPr>
                <w:noProof/>
                <w:webHidden/>
              </w:rPr>
              <w:t>13</w:t>
            </w:r>
            <w:r>
              <w:rPr>
                <w:noProof/>
                <w:webHidden/>
              </w:rPr>
              <w:fldChar w:fldCharType="end"/>
            </w:r>
          </w:hyperlink>
        </w:p>
        <w:p w14:paraId="004B25FF" w14:textId="7C2B4C1D" w:rsidR="00655A37" w:rsidRDefault="00655A37">
          <w:pPr>
            <w:pStyle w:val="TOC2"/>
            <w:tabs>
              <w:tab w:val="right" w:leader="dot" w:pos="9016"/>
            </w:tabs>
            <w:rPr>
              <w:rFonts w:eastAsiaTheme="minorEastAsia"/>
              <w:noProof/>
              <w:kern w:val="2"/>
              <w:sz w:val="24"/>
              <w:szCs w:val="24"/>
              <w:lang w:eastAsia="en-AU"/>
              <w14:ligatures w14:val="standardContextual"/>
            </w:rPr>
          </w:pPr>
          <w:hyperlink w:anchor="_Toc197586674" w:history="1">
            <w:r w:rsidRPr="00DE1467">
              <w:rPr>
                <w:rStyle w:val="Hyperlink"/>
                <w:rFonts w:ascii="Calibri" w:eastAsiaTheme="majorEastAsia" w:hAnsi="Calibri" w:cstheme="majorBidi"/>
                <w:b/>
                <w:noProof/>
              </w:rPr>
              <w:t>Updates to these Guidelines</w:t>
            </w:r>
            <w:r>
              <w:rPr>
                <w:noProof/>
                <w:webHidden/>
              </w:rPr>
              <w:tab/>
            </w:r>
            <w:r>
              <w:rPr>
                <w:noProof/>
                <w:webHidden/>
              </w:rPr>
              <w:fldChar w:fldCharType="begin"/>
            </w:r>
            <w:r>
              <w:rPr>
                <w:noProof/>
                <w:webHidden/>
              </w:rPr>
              <w:instrText xml:space="preserve"> PAGEREF _Toc197586674 \h </w:instrText>
            </w:r>
            <w:r>
              <w:rPr>
                <w:noProof/>
                <w:webHidden/>
              </w:rPr>
            </w:r>
            <w:r>
              <w:rPr>
                <w:noProof/>
                <w:webHidden/>
              </w:rPr>
              <w:fldChar w:fldCharType="separate"/>
            </w:r>
            <w:r w:rsidR="008F0B65">
              <w:rPr>
                <w:noProof/>
                <w:webHidden/>
              </w:rPr>
              <w:t>14</w:t>
            </w:r>
            <w:r>
              <w:rPr>
                <w:noProof/>
                <w:webHidden/>
              </w:rPr>
              <w:fldChar w:fldCharType="end"/>
            </w:r>
          </w:hyperlink>
        </w:p>
        <w:p w14:paraId="5DFD45E8" w14:textId="2BA6B396" w:rsidR="00655A37" w:rsidRDefault="00655A37">
          <w:pPr>
            <w:pStyle w:val="TOC2"/>
            <w:tabs>
              <w:tab w:val="right" w:leader="dot" w:pos="9016"/>
            </w:tabs>
            <w:rPr>
              <w:rFonts w:eastAsiaTheme="minorEastAsia"/>
              <w:noProof/>
              <w:kern w:val="2"/>
              <w:sz w:val="24"/>
              <w:szCs w:val="24"/>
              <w:lang w:eastAsia="en-AU"/>
              <w14:ligatures w14:val="standardContextual"/>
            </w:rPr>
          </w:pPr>
          <w:hyperlink w:anchor="_Toc197586675" w:history="1">
            <w:r w:rsidRPr="00DE1467">
              <w:rPr>
                <w:rStyle w:val="Hyperlink"/>
                <w:rFonts w:ascii="Calibri" w:eastAsiaTheme="majorEastAsia" w:hAnsi="Calibri" w:cstheme="majorBidi"/>
                <w:b/>
                <w:noProof/>
              </w:rPr>
              <w:t>Information management</w:t>
            </w:r>
            <w:r>
              <w:rPr>
                <w:noProof/>
                <w:webHidden/>
              </w:rPr>
              <w:tab/>
            </w:r>
            <w:r>
              <w:rPr>
                <w:noProof/>
                <w:webHidden/>
              </w:rPr>
              <w:fldChar w:fldCharType="begin"/>
            </w:r>
            <w:r>
              <w:rPr>
                <w:noProof/>
                <w:webHidden/>
              </w:rPr>
              <w:instrText xml:space="preserve"> PAGEREF _Toc197586675 \h </w:instrText>
            </w:r>
            <w:r>
              <w:rPr>
                <w:noProof/>
                <w:webHidden/>
              </w:rPr>
            </w:r>
            <w:r>
              <w:rPr>
                <w:noProof/>
                <w:webHidden/>
              </w:rPr>
              <w:fldChar w:fldCharType="separate"/>
            </w:r>
            <w:r w:rsidR="008F0B65">
              <w:rPr>
                <w:noProof/>
                <w:webHidden/>
              </w:rPr>
              <w:t>14</w:t>
            </w:r>
            <w:r>
              <w:rPr>
                <w:noProof/>
                <w:webHidden/>
              </w:rPr>
              <w:fldChar w:fldCharType="end"/>
            </w:r>
          </w:hyperlink>
        </w:p>
        <w:p w14:paraId="586FBDCE" w14:textId="169C69A7" w:rsidR="00655A37" w:rsidRDefault="00655A37">
          <w:pPr>
            <w:pStyle w:val="TOC2"/>
            <w:tabs>
              <w:tab w:val="right" w:leader="dot" w:pos="9016"/>
            </w:tabs>
            <w:rPr>
              <w:rFonts w:eastAsiaTheme="minorEastAsia"/>
              <w:noProof/>
              <w:kern w:val="2"/>
              <w:sz w:val="24"/>
              <w:szCs w:val="24"/>
              <w:lang w:eastAsia="en-AU"/>
              <w14:ligatures w14:val="standardContextual"/>
            </w:rPr>
          </w:pPr>
          <w:hyperlink w:anchor="_Toc197586676" w:history="1">
            <w:r w:rsidRPr="00DE1467">
              <w:rPr>
                <w:rStyle w:val="Hyperlink"/>
                <w:rFonts w:ascii="Calibri" w:eastAsiaTheme="majorEastAsia" w:hAnsi="Calibri" w:cstheme="majorBidi"/>
                <w:b/>
                <w:noProof/>
              </w:rPr>
              <w:t>Department contact information</w:t>
            </w:r>
            <w:r>
              <w:rPr>
                <w:noProof/>
                <w:webHidden/>
              </w:rPr>
              <w:tab/>
            </w:r>
            <w:r>
              <w:rPr>
                <w:noProof/>
                <w:webHidden/>
              </w:rPr>
              <w:fldChar w:fldCharType="begin"/>
            </w:r>
            <w:r>
              <w:rPr>
                <w:noProof/>
                <w:webHidden/>
              </w:rPr>
              <w:instrText xml:space="preserve"> PAGEREF _Toc197586676 \h </w:instrText>
            </w:r>
            <w:r>
              <w:rPr>
                <w:noProof/>
                <w:webHidden/>
              </w:rPr>
            </w:r>
            <w:r>
              <w:rPr>
                <w:noProof/>
                <w:webHidden/>
              </w:rPr>
              <w:fldChar w:fldCharType="separate"/>
            </w:r>
            <w:r w:rsidR="008F0B65">
              <w:rPr>
                <w:noProof/>
                <w:webHidden/>
              </w:rPr>
              <w:t>14</w:t>
            </w:r>
            <w:r>
              <w:rPr>
                <w:noProof/>
                <w:webHidden/>
              </w:rPr>
              <w:fldChar w:fldCharType="end"/>
            </w:r>
          </w:hyperlink>
        </w:p>
        <w:p w14:paraId="51D17EF9" w14:textId="2645971E" w:rsidR="00655A37" w:rsidRDefault="00655A37">
          <w:pPr>
            <w:pStyle w:val="TOC1"/>
            <w:rPr>
              <w:rFonts w:eastAsiaTheme="minorEastAsia"/>
              <w:noProof/>
              <w:kern w:val="2"/>
              <w:sz w:val="24"/>
              <w:szCs w:val="24"/>
              <w:lang w:eastAsia="en-AU"/>
              <w14:ligatures w14:val="standardContextual"/>
            </w:rPr>
          </w:pPr>
          <w:hyperlink w:anchor="_Toc197586677" w:history="1">
            <w:r w:rsidRPr="00DE1467">
              <w:rPr>
                <w:rStyle w:val="Hyperlink"/>
                <w:rFonts w:ascii="Calibri" w:eastAsiaTheme="majorEastAsia" w:hAnsi="Calibri" w:cstheme="majorBidi"/>
                <w:b/>
                <w:noProof/>
              </w:rPr>
              <w:t>Glossary</w:t>
            </w:r>
            <w:r>
              <w:rPr>
                <w:noProof/>
                <w:webHidden/>
              </w:rPr>
              <w:tab/>
            </w:r>
            <w:r>
              <w:rPr>
                <w:noProof/>
                <w:webHidden/>
              </w:rPr>
              <w:fldChar w:fldCharType="begin"/>
            </w:r>
            <w:r>
              <w:rPr>
                <w:noProof/>
                <w:webHidden/>
              </w:rPr>
              <w:instrText xml:space="preserve"> PAGEREF _Toc197586677 \h </w:instrText>
            </w:r>
            <w:r>
              <w:rPr>
                <w:noProof/>
                <w:webHidden/>
              </w:rPr>
            </w:r>
            <w:r>
              <w:rPr>
                <w:noProof/>
                <w:webHidden/>
              </w:rPr>
              <w:fldChar w:fldCharType="separate"/>
            </w:r>
            <w:r w:rsidR="008F0B65">
              <w:rPr>
                <w:noProof/>
                <w:webHidden/>
              </w:rPr>
              <w:t>15</w:t>
            </w:r>
            <w:r>
              <w:rPr>
                <w:noProof/>
                <w:webHidden/>
              </w:rPr>
              <w:fldChar w:fldCharType="end"/>
            </w:r>
          </w:hyperlink>
        </w:p>
        <w:p w14:paraId="6D00E8F3" w14:textId="1945CF9A" w:rsidR="00655A37" w:rsidRDefault="00655A37">
          <w:pPr>
            <w:pStyle w:val="TOC1"/>
            <w:rPr>
              <w:rFonts w:eastAsiaTheme="minorEastAsia"/>
              <w:noProof/>
              <w:kern w:val="2"/>
              <w:sz w:val="24"/>
              <w:szCs w:val="24"/>
              <w:lang w:eastAsia="en-AU"/>
              <w14:ligatures w14:val="standardContextual"/>
            </w:rPr>
          </w:pPr>
          <w:hyperlink w:anchor="_Toc197586678" w:history="1">
            <w:r w:rsidRPr="00DE1467">
              <w:rPr>
                <w:rStyle w:val="Hyperlink"/>
                <w:rFonts w:ascii="Calibri" w:eastAsiaTheme="majorEastAsia" w:hAnsi="Calibri" w:cstheme="majorBidi"/>
                <w:b/>
                <w:noProof/>
              </w:rPr>
              <w:t>Version history</w:t>
            </w:r>
            <w:r>
              <w:rPr>
                <w:noProof/>
                <w:webHidden/>
              </w:rPr>
              <w:tab/>
            </w:r>
            <w:r>
              <w:rPr>
                <w:noProof/>
                <w:webHidden/>
              </w:rPr>
              <w:fldChar w:fldCharType="begin"/>
            </w:r>
            <w:r>
              <w:rPr>
                <w:noProof/>
                <w:webHidden/>
              </w:rPr>
              <w:instrText xml:space="preserve"> PAGEREF _Toc197586678 \h </w:instrText>
            </w:r>
            <w:r>
              <w:rPr>
                <w:noProof/>
                <w:webHidden/>
              </w:rPr>
            </w:r>
            <w:r>
              <w:rPr>
                <w:noProof/>
                <w:webHidden/>
              </w:rPr>
              <w:fldChar w:fldCharType="separate"/>
            </w:r>
            <w:r w:rsidR="008F0B65">
              <w:rPr>
                <w:noProof/>
                <w:webHidden/>
              </w:rPr>
              <w:t>16</w:t>
            </w:r>
            <w:r>
              <w:rPr>
                <w:noProof/>
                <w:webHidden/>
              </w:rPr>
              <w:fldChar w:fldCharType="end"/>
            </w:r>
          </w:hyperlink>
        </w:p>
        <w:p w14:paraId="2D88C63C" w14:textId="56F5B1F4" w:rsidR="00E444AA" w:rsidRDefault="00E444AA" w:rsidP="00E444AA">
          <w:r>
            <w:rPr>
              <w:rFonts w:ascii="Calibri" w:eastAsiaTheme="majorEastAsia" w:hAnsi="Calibri" w:cstheme="majorBidi"/>
              <w:b/>
              <w:color w:val="343741"/>
              <w:sz w:val="32"/>
              <w:szCs w:val="32"/>
            </w:rPr>
            <w:fldChar w:fldCharType="end"/>
          </w:r>
        </w:p>
      </w:sdtContent>
    </w:sdt>
    <w:p w14:paraId="061F2ABB" w14:textId="2C15AAC7" w:rsidR="0017134D" w:rsidRDefault="0017134D">
      <w:r>
        <w:br w:type="page"/>
      </w:r>
    </w:p>
    <w:p w14:paraId="65378074" w14:textId="77777777" w:rsidR="00655A37" w:rsidRDefault="00655A37" w:rsidP="00655A37">
      <w:pPr>
        <w:keepNext/>
        <w:keepLines/>
        <w:spacing w:before="240" w:after="0"/>
        <w:rPr>
          <w:rFonts w:ascii="Calibri" w:eastAsiaTheme="majorEastAsia" w:hAnsi="Calibri" w:cstheme="majorBidi"/>
          <w:b/>
          <w:color w:val="343741"/>
          <w:spacing w:val="-10"/>
          <w:kern w:val="28"/>
          <w:sz w:val="60"/>
          <w:szCs w:val="56"/>
        </w:rPr>
      </w:pPr>
      <w:bookmarkStart w:id="3" w:name="_Toc28871141"/>
      <w:r w:rsidRPr="00AC783D">
        <w:rPr>
          <w:rFonts w:ascii="Calibri" w:eastAsiaTheme="majorEastAsia" w:hAnsi="Calibri" w:cstheme="majorBidi"/>
          <w:b/>
          <w:color w:val="343741"/>
          <w:spacing w:val="-10"/>
          <w:kern w:val="28"/>
          <w:sz w:val="60"/>
          <w:szCs w:val="56"/>
        </w:rPr>
        <w:lastRenderedPageBreak/>
        <w:t xml:space="preserve">Choice and Affordability Fund Guidelines </w:t>
      </w:r>
    </w:p>
    <w:p w14:paraId="1D47CF50" w14:textId="77777777" w:rsidR="00655A37" w:rsidRPr="00AC783D" w:rsidRDefault="00655A37" w:rsidP="00655A37">
      <w:pPr>
        <w:keepNext/>
        <w:keepLines/>
        <w:spacing w:before="240" w:after="0"/>
        <w:rPr>
          <w:rFonts w:ascii="Calibri" w:eastAsiaTheme="majorEastAsia" w:hAnsi="Calibri" w:cstheme="majorBidi"/>
          <w:b/>
          <w:color w:val="343741"/>
          <w:sz w:val="32"/>
          <w:szCs w:val="32"/>
        </w:rPr>
      </w:pPr>
      <w:r w:rsidRPr="00AC783D">
        <w:rPr>
          <w:rFonts w:ascii="Calibri" w:eastAsiaTheme="majorEastAsia" w:hAnsi="Calibri" w:cstheme="majorBidi"/>
          <w:b/>
          <w:color w:val="343741"/>
          <w:sz w:val="32"/>
          <w:szCs w:val="32"/>
        </w:rPr>
        <w:t>Part A – Overview</w:t>
      </w:r>
      <w:bookmarkEnd w:id="3"/>
    </w:p>
    <w:p w14:paraId="66E8FC7D" w14:textId="77777777" w:rsidR="00655A37" w:rsidRPr="00AC783D" w:rsidRDefault="00655A37" w:rsidP="00655A37">
      <w:pPr>
        <w:keepNext/>
        <w:keepLines/>
        <w:spacing w:before="240" w:after="0"/>
        <w:outlineLvl w:val="1"/>
        <w:rPr>
          <w:rFonts w:ascii="Calibri" w:eastAsiaTheme="majorEastAsia" w:hAnsi="Calibri" w:cstheme="majorBidi"/>
          <w:b/>
          <w:color w:val="002D3F"/>
          <w:sz w:val="30"/>
          <w:szCs w:val="26"/>
        </w:rPr>
      </w:pPr>
      <w:bookmarkStart w:id="4" w:name="_Toc28871142"/>
      <w:bookmarkStart w:id="5" w:name="_Toc197586654"/>
      <w:r w:rsidRPr="00AC783D">
        <w:rPr>
          <w:rFonts w:ascii="Calibri" w:eastAsiaTheme="majorEastAsia" w:hAnsi="Calibri" w:cstheme="majorBidi"/>
          <w:b/>
          <w:color w:val="002D3F"/>
          <w:sz w:val="30"/>
          <w:szCs w:val="26"/>
        </w:rPr>
        <w:t>Preamble</w:t>
      </w:r>
      <w:bookmarkEnd w:id="4"/>
      <w:bookmarkEnd w:id="5"/>
      <w:r w:rsidRPr="00AC783D">
        <w:rPr>
          <w:rFonts w:ascii="Calibri" w:eastAsiaTheme="majorEastAsia" w:hAnsi="Calibri" w:cstheme="majorBidi"/>
          <w:b/>
          <w:color w:val="002D3F"/>
          <w:sz w:val="30"/>
          <w:szCs w:val="26"/>
        </w:rPr>
        <w:t xml:space="preserve"> </w:t>
      </w:r>
    </w:p>
    <w:p w14:paraId="132B2BBE" w14:textId="77777777" w:rsidR="00655A37" w:rsidRPr="00AC783D" w:rsidRDefault="00655A37" w:rsidP="00655A37">
      <w:pPr>
        <w:numPr>
          <w:ilvl w:val="0"/>
          <w:numId w:val="22"/>
        </w:numPr>
        <w:spacing w:after="200" w:line="276" w:lineRule="auto"/>
      </w:pPr>
      <w:r w:rsidRPr="00AC783D">
        <w:rPr>
          <w:noProof/>
        </w:rPr>
        <w:t>As part of the Australian Government’s commitment to providing choice to Australian families, the Government announced the Choice and Affordability Fund. The Choice and Affordability Fund will provide $1.2 billion over ten years from 2020 to 2029 to address specific challenges in the non-government school sector.</w:t>
      </w:r>
    </w:p>
    <w:p w14:paraId="7A39D3D0" w14:textId="2A2E589F" w:rsidR="00655A37" w:rsidRPr="00AC783D" w:rsidRDefault="00655A37" w:rsidP="00655A37">
      <w:pPr>
        <w:numPr>
          <w:ilvl w:val="0"/>
          <w:numId w:val="22"/>
        </w:numPr>
        <w:spacing w:after="200" w:line="276" w:lineRule="auto"/>
        <w:ind w:left="357" w:hanging="357"/>
        <w:rPr>
          <w:noProof/>
        </w:rPr>
      </w:pPr>
      <w:r w:rsidRPr="00AC783D">
        <w:rPr>
          <w:noProof/>
        </w:rPr>
        <w:t xml:space="preserve">Funding for the Choice and Affordability Fund is provided under section 70, Part 5, Division 4 of the </w:t>
      </w:r>
      <w:r w:rsidRPr="00AC783D">
        <w:rPr>
          <w:i/>
          <w:noProof/>
        </w:rPr>
        <w:t>Australian Education Act 2013</w:t>
      </w:r>
      <w:r w:rsidRPr="00AC783D">
        <w:rPr>
          <w:noProof/>
        </w:rPr>
        <w:t xml:space="preserve"> (the Act), and in accordance with section 31, Part </w:t>
      </w:r>
      <w:r w:rsidR="00C81985">
        <w:rPr>
          <w:noProof/>
        </w:rPr>
        <w:t>4</w:t>
      </w:r>
      <w:r w:rsidRPr="00AC783D">
        <w:rPr>
          <w:noProof/>
        </w:rPr>
        <w:t xml:space="preserve">, Division </w:t>
      </w:r>
      <w:r w:rsidR="00C81985">
        <w:rPr>
          <w:noProof/>
        </w:rPr>
        <w:t>4</w:t>
      </w:r>
      <w:r w:rsidRPr="00AC783D">
        <w:rPr>
          <w:noProof/>
        </w:rPr>
        <w:t xml:space="preserve"> of the Australian Education Regulation 20</w:t>
      </w:r>
      <w:r w:rsidR="00F916F7">
        <w:rPr>
          <w:noProof/>
        </w:rPr>
        <w:t>2</w:t>
      </w:r>
      <w:r w:rsidRPr="00AC783D">
        <w:rPr>
          <w:noProof/>
        </w:rPr>
        <w:t>3 (the Regulation).</w:t>
      </w:r>
    </w:p>
    <w:p w14:paraId="177FD0D2" w14:textId="77777777" w:rsidR="00655A37" w:rsidRPr="00AC783D" w:rsidRDefault="00655A37" w:rsidP="00655A37">
      <w:pPr>
        <w:numPr>
          <w:ilvl w:val="0"/>
          <w:numId w:val="22"/>
        </w:numPr>
        <w:spacing w:after="200" w:line="276" w:lineRule="auto"/>
        <w:rPr>
          <w:noProof/>
        </w:rPr>
      </w:pPr>
      <w:r w:rsidRPr="00AC783D">
        <w:t xml:space="preserve">Section 31 of the Regulation requires that funding received from the Choice and Affordability Fund must be used by non-government representative bodies (NGRBs) for the purpose of supporting school education, and in accordance with: the Choice and Affordability Fund Guidelines (the Guidelines); any written arrangement entered into between the Secretary and </w:t>
      </w:r>
      <w:r w:rsidRPr="00AC783D">
        <w:rPr>
          <w:noProof/>
        </w:rPr>
        <w:t xml:space="preserve">the NGRB (Choice and Affordability Fund Agreement 2020-2029); and any written directions of the Minister. </w:t>
      </w:r>
    </w:p>
    <w:p w14:paraId="1D7ABE51" w14:textId="77777777" w:rsidR="00655A37" w:rsidRPr="00AC783D" w:rsidRDefault="00655A37" w:rsidP="00655A37">
      <w:pPr>
        <w:numPr>
          <w:ilvl w:val="0"/>
          <w:numId w:val="22"/>
        </w:numPr>
        <w:spacing w:after="200" w:line="276" w:lineRule="auto"/>
        <w:rPr>
          <w:noProof/>
        </w:rPr>
      </w:pPr>
      <w:r w:rsidRPr="00AC783D">
        <w:rPr>
          <w:noProof/>
        </w:rPr>
        <w:t>These Guidelines take effect from the date of approval by the Minister.</w:t>
      </w:r>
    </w:p>
    <w:p w14:paraId="08E3DB7B" w14:textId="77777777" w:rsidR="00655A37" w:rsidRPr="00AC783D" w:rsidRDefault="00655A37" w:rsidP="00655A37">
      <w:pPr>
        <w:numPr>
          <w:ilvl w:val="0"/>
          <w:numId w:val="22"/>
        </w:numPr>
        <w:spacing w:after="200" w:line="276" w:lineRule="auto"/>
        <w:rPr>
          <w:noProof/>
        </w:rPr>
      </w:pPr>
      <w:r w:rsidRPr="00AC783D">
        <w:rPr>
          <w:noProof/>
        </w:rPr>
        <w:t>These Guidelines set out the Australian Government’s requirements in relation to the administration, use and reporting of the Choice and Affordability Fund.</w:t>
      </w:r>
    </w:p>
    <w:p w14:paraId="2867BE0C" w14:textId="77777777" w:rsidR="00655A37" w:rsidRPr="00AC783D" w:rsidRDefault="00655A37" w:rsidP="00655A37">
      <w:pPr>
        <w:numPr>
          <w:ilvl w:val="0"/>
          <w:numId w:val="22"/>
        </w:numPr>
        <w:spacing w:after="200" w:line="276" w:lineRule="auto"/>
        <w:rPr>
          <w:noProof/>
        </w:rPr>
      </w:pPr>
      <w:r w:rsidRPr="00AC783D">
        <w:rPr>
          <w:noProof/>
        </w:rPr>
        <w:t>These Guidelines only apply to funding received from the Choice and Affordability Fund.</w:t>
      </w:r>
    </w:p>
    <w:p w14:paraId="2EF2AD53" w14:textId="77777777" w:rsidR="00655A37" w:rsidRPr="00AC783D" w:rsidRDefault="00655A37" w:rsidP="00655A37">
      <w:pPr>
        <w:numPr>
          <w:ilvl w:val="0"/>
          <w:numId w:val="22"/>
        </w:numPr>
        <w:spacing w:after="200" w:line="276" w:lineRule="auto"/>
        <w:rPr>
          <w:noProof/>
        </w:rPr>
      </w:pPr>
      <w:r w:rsidRPr="00AC783D">
        <w:rPr>
          <w:noProof/>
        </w:rPr>
        <w:t>Funding will be provided over the period 2020 to 2029 with payments expected to commence in July 2020.</w:t>
      </w:r>
    </w:p>
    <w:p w14:paraId="2EF01043" w14:textId="77777777" w:rsidR="00655A37" w:rsidRPr="00AC783D" w:rsidRDefault="00655A37" w:rsidP="00655A37">
      <w:pPr>
        <w:numPr>
          <w:ilvl w:val="0"/>
          <w:numId w:val="22"/>
        </w:numPr>
        <w:spacing w:after="200" w:line="276" w:lineRule="auto"/>
        <w:rPr>
          <w:noProof/>
        </w:rPr>
      </w:pPr>
      <w:r w:rsidRPr="00AC783D">
        <w:rPr>
          <w:noProof/>
        </w:rPr>
        <w:t xml:space="preserve">A reference to the Minister for Education (the Minister) in the Guidelines includes a reference to a delegate of the Minister under the Act. </w:t>
      </w:r>
    </w:p>
    <w:p w14:paraId="4AAC9C47" w14:textId="77777777" w:rsidR="00655A37" w:rsidRPr="00AC783D" w:rsidRDefault="00655A37" w:rsidP="00655A37">
      <w:pPr>
        <w:keepNext/>
        <w:keepLines/>
        <w:spacing w:before="240" w:after="0"/>
        <w:outlineLvl w:val="1"/>
        <w:rPr>
          <w:rFonts w:ascii="Calibri" w:eastAsiaTheme="majorEastAsia" w:hAnsi="Calibri" w:cstheme="majorBidi"/>
          <w:b/>
          <w:color w:val="002D3F"/>
          <w:sz w:val="30"/>
          <w:szCs w:val="26"/>
        </w:rPr>
      </w:pPr>
      <w:bookmarkStart w:id="6" w:name="_Objectives"/>
      <w:bookmarkStart w:id="7" w:name="_Toc28871143"/>
      <w:bookmarkStart w:id="8" w:name="_Toc197586655"/>
      <w:bookmarkEnd w:id="6"/>
      <w:r w:rsidRPr="00AC783D">
        <w:rPr>
          <w:rFonts w:ascii="Calibri" w:eastAsiaTheme="majorEastAsia" w:hAnsi="Calibri" w:cstheme="majorBidi"/>
          <w:b/>
          <w:color w:val="002D3F"/>
          <w:sz w:val="30"/>
          <w:szCs w:val="26"/>
        </w:rPr>
        <w:t>Priorities</w:t>
      </w:r>
      <w:bookmarkEnd w:id="7"/>
      <w:bookmarkEnd w:id="8"/>
    </w:p>
    <w:p w14:paraId="5AF423A3" w14:textId="77777777" w:rsidR="00655A37" w:rsidRPr="00AC783D" w:rsidRDefault="00655A37" w:rsidP="00655A37">
      <w:pPr>
        <w:numPr>
          <w:ilvl w:val="0"/>
          <w:numId w:val="22"/>
        </w:numPr>
        <w:spacing w:after="200" w:line="276" w:lineRule="auto"/>
        <w:rPr>
          <w:noProof/>
        </w:rPr>
      </w:pPr>
      <w:r w:rsidRPr="00AC783D">
        <w:rPr>
          <w:noProof/>
        </w:rPr>
        <w:t>The national priorities of the Choice and Affordability Fund are:</w:t>
      </w:r>
    </w:p>
    <w:p w14:paraId="630807DE" w14:textId="77777777" w:rsidR="00655A37" w:rsidRPr="00AC783D" w:rsidRDefault="00655A37" w:rsidP="00655A37">
      <w:pPr>
        <w:numPr>
          <w:ilvl w:val="1"/>
          <w:numId w:val="22"/>
        </w:numPr>
        <w:spacing w:after="120" w:line="276" w:lineRule="auto"/>
        <w:ind w:left="1077"/>
        <w:rPr>
          <w:b/>
          <w:noProof/>
        </w:rPr>
      </w:pPr>
      <w:r w:rsidRPr="00AC783D">
        <w:rPr>
          <w:b/>
          <w:noProof/>
        </w:rPr>
        <w:t xml:space="preserve">Choice and affordability of schools </w:t>
      </w:r>
      <w:r w:rsidRPr="00AC783D">
        <w:rPr>
          <w:b/>
          <w:noProof/>
        </w:rPr>
        <w:br/>
      </w:r>
      <w:r w:rsidRPr="00AC783D">
        <w:rPr>
          <w:noProof/>
        </w:rPr>
        <w:t>The Choice and Affordability Fund will provide funding for initiatives that facilitate parental choice and opportunity giving parents the ability to choose an affordable school that will best suit their individual child.</w:t>
      </w:r>
      <w:r w:rsidRPr="00AC783D">
        <w:rPr>
          <w:b/>
          <w:noProof/>
        </w:rPr>
        <w:t xml:space="preserve"> </w:t>
      </w:r>
    </w:p>
    <w:p w14:paraId="4622BFD1" w14:textId="77777777" w:rsidR="00655A37" w:rsidRPr="00AC783D" w:rsidRDefault="00655A37" w:rsidP="00655A37">
      <w:pPr>
        <w:numPr>
          <w:ilvl w:val="1"/>
          <w:numId w:val="22"/>
        </w:numPr>
        <w:spacing w:after="120" w:line="276" w:lineRule="auto"/>
        <w:rPr>
          <w:b/>
          <w:noProof/>
        </w:rPr>
      </w:pPr>
      <w:r w:rsidRPr="00AC783D">
        <w:rPr>
          <w:b/>
          <w:noProof/>
        </w:rPr>
        <w:lastRenderedPageBreak/>
        <w:t>Transition assistance</w:t>
      </w:r>
    </w:p>
    <w:p w14:paraId="3E258B8B" w14:textId="77777777" w:rsidR="00655A37" w:rsidRPr="00AC783D" w:rsidRDefault="00655A37" w:rsidP="00655A37">
      <w:pPr>
        <w:spacing w:after="120"/>
        <w:ind w:left="1077"/>
        <w:rPr>
          <w:noProof/>
        </w:rPr>
      </w:pPr>
      <w:r w:rsidRPr="00AC783D">
        <w:rPr>
          <w:noProof/>
        </w:rPr>
        <w:t>The Choice and Affordability Fund incorporates the National Adjustment Assistance Fund which was established to provide transition funding support for non-systemic independent schools. This means NGRBs will make financial and other transition support available for schools that would have met the criteria to have access to support through the National Adjustment Assistance Fund; that is, non-systemic independent schools which are expected to experience reductions in per student funding due to changes in Commonwealth recurrent funding settings over 2020 to 2029. The Choice and Affordability Fund will also provide support for schools in general to transition to a new capacity to contribute model for recurrent funding.</w:t>
      </w:r>
    </w:p>
    <w:p w14:paraId="41672C70" w14:textId="77777777" w:rsidR="00655A37" w:rsidRPr="00AC783D" w:rsidRDefault="00655A37" w:rsidP="00655A37">
      <w:pPr>
        <w:numPr>
          <w:ilvl w:val="1"/>
          <w:numId w:val="22"/>
        </w:numPr>
        <w:spacing w:after="120" w:line="276" w:lineRule="auto"/>
        <w:rPr>
          <w:b/>
          <w:noProof/>
        </w:rPr>
      </w:pPr>
      <w:r w:rsidRPr="00AC783D">
        <w:rPr>
          <w:b/>
          <w:noProof/>
        </w:rPr>
        <w:t xml:space="preserve">Special circumstances funding </w:t>
      </w:r>
      <w:r w:rsidRPr="00AC783D">
        <w:rPr>
          <w:b/>
          <w:noProof/>
        </w:rPr>
        <w:br/>
      </w:r>
      <w:r w:rsidRPr="00AC783D">
        <w:rPr>
          <w:noProof/>
        </w:rPr>
        <w:t>The Choice and Affordability Fund will support schools and students impacted by special circumstances or in priority areas such as rural, regional and remote locations and areas affected by drought or other natural disasters.</w:t>
      </w:r>
      <w:r w:rsidRPr="00AC783D">
        <w:rPr>
          <w:b/>
          <w:noProof/>
        </w:rPr>
        <w:t xml:space="preserve"> </w:t>
      </w:r>
    </w:p>
    <w:p w14:paraId="2E208F78" w14:textId="77777777" w:rsidR="00655A37" w:rsidRPr="00AC783D" w:rsidRDefault="00655A37" w:rsidP="00655A37">
      <w:pPr>
        <w:spacing w:after="120"/>
        <w:ind w:left="1077"/>
        <w:rPr>
          <w:noProof/>
        </w:rPr>
      </w:pPr>
      <w:r w:rsidRPr="00AC783D">
        <w:rPr>
          <w:noProof/>
        </w:rPr>
        <w:t>Special circumstances funding will be prioritised for schools requiring short term emergency assistance when unexpected circumstances or events cause severe and temporary financial difficulty. Assistance should be provided for schools in situations that satisfy all of the following criteria</w:t>
      </w:r>
      <w:r w:rsidRPr="00AC783D">
        <w:rPr>
          <w:rFonts w:ascii="Calibri" w:hAnsi="Calibri"/>
          <w:noProof/>
          <w:lang w:val="en"/>
        </w:rPr>
        <w:t>:</w:t>
      </w:r>
    </w:p>
    <w:p w14:paraId="322CACB6" w14:textId="77777777" w:rsidR="00655A37" w:rsidRPr="00AC783D" w:rsidRDefault="00655A37" w:rsidP="00655A37">
      <w:pPr>
        <w:numPr>
          <w:ilvl w:val="0"/>
          <w:numId w:val="23"/>
        </w:numPr>
        <w:spacing w:after="0" w:line="240" w:lineRule="auto"/>
        <w:ind w:left="1560" w:hanging="426"/>
        <w:rPr>
          <w:rFonts w:ascii="Calibri" w:hAnsi="Calibri"/>
          <w:noProof/>
        </w:rPr>
      </w:pPr>
      <w:r w:rsidRPr="00AC783D">
        <w:rPr>
          <w:b/>
          <w:bCs/>
        </w:rPr>
        <w:t>unexpected</w:t>
      </w:r>
    </w:p>
    <w:p w14:paraId="76EA8BD8" w14:textId="77777777" w:rsidR="00655A37" w:rsidRPr="00AC783D" w:rsidRDefault="00655A37" w:rsidP="00655A37">
      <w:pPr>
        <w:numPr>
          <w:ilvl w:val="1"/>
          <w:numId w:val="23"/>
        </w:numPr>
        <w:spacing w:after="0" w:line="240" w:lineRule="auto"/>
        <w:ind w:left="1985" w:hanging="425"/>
      </w:pPr>
      <w:r w:rsidRPr="00AC783D">
        <w:t>Could not have been reasonably foreseen.</w:t>
      </w:r>
    </w:p>
    <w:p w14:paraId="1F03D37C" w14:textId="77777777" w:rsidR="00655A37" w:rsidRPr="00AC783D" w:rsidRDefault="00655A37" w:rsidP="00655A37">
      <w:pPr>
        <w:numPr>
          <w:ilvl w:val="0"/>
          <w:numId w:val="23"/>
        </w:numPr>
        <w:spacing w:after="0" w:line="240" w:lineRule="auto"/>
        <w:ind w:left="1560" w:hanging="426"/>
        <w:rPr>
          <w:b/>
          <w:bCs/>
        </w:rPr>
      </w:pPr>
      <w:r w:rsidRPr="00AC783D">
        <w:rPr>
          <w:b/>
          <w:bCs/>
        </w:rPr>
        <w:t>causing severe financial difficulty</w:t>
      </w:r>
    </w:p>
    <w:p w14:paraId="70D4F2D1" w14:textId="77777777" w:rsidR="00655A37" w:rsidRPr="00AC783D" w:rsidRDefault="00655A37" w:rsidP="00655A37">
      <w:pPr>
        <w:numPr>
          <w:ilvl w:val="1"/>
          <w:numId w:val="23"/>
        </w:numPr>
        <w:spacing w:after="0" w:line="240" w:lineRule="auto"/>
        <w:ind w:left="1985" w:hanging="425"/>
      </w:pPr>
      <w:r w:rsidRPr="00AC783D">
        <w:t>Where a school faces a real prospect of having to cease a large part of its educational activities or significantly lower its educational services.</w:t>
      </w:r>
    </w:p>
    <w:p w14:paraId="347433AA" w14:textId="77777777" w:rsidR="00655A37" w:rsidRPr="00AC783D" w:rsidRDefault="00655A37" w:rsidP="00655A37">
      <w:pPr>
        <w:numPr>
          <w:ilvl w:val="0"/>
          <w:numId w:val="23"/>
        </w:numPr>
        <w:spacing w:after="0" w:line="240" w:lineRule="auto"/>
        <w:ind w:left="1560" w:hanging="426"/>
        <w:rPr>
          <w:b/>
          <w:bCs/>
        </w:rPr>
      </w:pPr>
      <w:r w:rsidRPr="00AC783D">
        <w:rPr>
          <w:b/>
          <w:bCs/>
        </w:rPr>
        <w:t>short term</w:t>
      </w:r>
    </w:p>
    <w:p w14:paraId="68EEBE6C" w14:textId="77777777" w:rsidR="00655A37" w:rsidRPr="00AC783D" w:rsidRDefault="00655A37" w:rsidP="00655A37">
      <w:pPr>
        <w:numPr>
          <w:ilvl w:val="1"/>
          <w:numId w:val="23"/>
        </w:numPr>
        <w:spacing w:after="0" w:line="240" w:lineRule="auto"/>
        <w:ind w:left="1985" w:hanging="425"/>
      </w:pPr>
      <w:r w:rsidRPr="00AC783D">
        <w:t>Schools should be able to overcome their financial difficulty and resume operations and must provide a five-year business and recovery plan.</w:t>
      </w:r>
    </w:p>
    <w:p w14:paraId="2A0C21E2" w14:textId="77777777" w:rsidR="00655A37" w:rsidRPr="00AC783D" w:rsidRDefault="00655A37" w:rsidP="00655A37">
      <w:pPr>
        <w:numPr>
          <w:ilvl w:val="0"/>
          <w:numId w:val="23"/>
        </w:numPr>
        <w:spacing w:after="0" w:line="240" w:lineRule="auto"/>
        <w:ind w:left="1560" w:hanging="426"/>
      </w:pPr>
      <w:r w:rsidRPr="00AC783D">
        <w:rPr>
          <w:b/>
          <w:bCs/>
        </w:rPr>
        <w:t xml:space="preserve">a special need </w:t>
      </w:r>
    </w:p>
    <w:p w14:paraId="2E7C9D1D" w14:textId="77777777" w:rsidR="00655A37" w:rsidRPr="00AC783D" w:rsidRDefault="00655A37" w:rsidP="00655A37">
      <w:pPr>
        <w:numPr>
          <w:ilvl w:val="1"/>
          <w:numId w:val="23"/>
        </w:numPr>
        <w:spacing w:after="120" w:line="240" w:lineRule="auto"/>
        <w:ind w:left="1984" w:hanging="425"/>
      </w:pPr>
      <w:r w:rsidRPr="00AC783D">
        <w:t>Schools have exhausted all other options to remedy the financial situation of the school.</w:t>
      </w:r>
    </w:p>
    <w:p w14:paraId="7DA43C58" w14:textId="77777777" w:rsidR="00655A37" w:rsidRPr="00AC783D" w:rsidRDefault="00655A37" w:rsidP="00655A37">
      <w:pPr>
        <w:numPr>
          <w:ilvl w:val="1"/>
          <w:numId w:val="22"/>
        </w:numPr>
        <w:spacing w:after="120" w:line="276" w:lineRule="auto"/>
        <w:rPr>
          <w:b/>
          <w:noProof/>
        </w:rPr>
      </w:pPr>
      <w:r w:rsidRPr="00AC783D">
        <w:rPr>
          <w:b/>
          <w:noProof/>
        </w:rPr>
        <w:t>Strengthening outcomes for schools and educationally disadvantaged schools and students</w:t>
      </w:r>
    </w:p>
    <w:p w14:paraId="20AC01DE" w14:textId="77777777" w:rsidR="00655A37" w:rsidRPr="00AC783D" w:rsidRDefault="00655A37" w:rsidP="00655A37">
      <w:pPr>
        <w:spacing w:after="120"/>
        <w:ind w:left="1077"/>
        <w:rPr>
          <w:noProof/>
        </w:rPr>
      </w:pPr>
      <w:r w:rsidRPr="00AC783D">
        <w:rPr>
          <w:noProof/>
        </w:rPr>
        <w:t>The Choice and Affordability Fund will support initiatives that strengthen outcomes for schools such as helping underperforming schools improve outcomes including through school industry partnerships, and supporting educationally disadvantaged schools and students.</w:t>
      </w:r>
    </w:p>
    <w:p w14:paraId="01D06BE8" w14:textId="77777777" w:rsidR="00655A37" w:rsidRPr="00AC783D" w:rsidRDefault="00655A37" w:rsidP="00655A37">
      <w:pPr>
        <w:numPr>
          <w:ilvl w:val="1"/>
          <w:numId w:val="22"/>
        </w:numPr>
        <w:spacing w:after="120" w:line="276" w:lineRule="auto"/>
        <w:rPr>
          <w:b/>
          <w:noProof/>
        </w:rPr>
      </w:pPr>
      <w:r w:rsidRPr="00AC783D">
        <w:rPr>
          <w:b/>
          <w:noProof/>
        </w:rPr>
        <w:t>Student wellbeing and support</w:t>
      </w:r>
    </w:p>
    <w:p w14:paraId="33C856FC" w14:textId="77777777" w:rsidR="00655A37" w:rsidRPr="00AC783D" w:rsidRDefault="00655A37" w:rsidP="00655A37">
      <w:pPr>
        <w:spacing w:after="120"/>
        <w:ind w:left="1077"/>
        <w:rPr>
          <w:noProof/>
        </w:rPr>
      </w:pPr>
      <w:r w:rsidRPr="00AC783D">
        <w:rPr>
          <w:noProof/>
        </w:rPr>
        <w:t>Student wellbeing is essential for both academic and social development. The Choice and Affordability Fund will support schools that require additional assistance to ensure safe, supportive and respectful learning environments.</w:t>
      </w:r>
    </w:p>
    <w:p w14:paraId="27BDC1C4" w14:textId="77777777" w:rsidR="00655A37" w:rsidRPr="00AC783D" w:rsidRDefault="00655A37" w:rsidP="00655A37">
      <w:pPr>
        <w:numPr>
          <w:ilvl w:val="1"/>
          <w:numId w:val="22"/>
        </w:numPr>
        <w:spacing w:after="120" w:line="276" w:lineRule="auto"/>
        <w:rPr>
          <w:b/>
          <w:noProof/>
        </w:rPr>
      </w:pPr>
      <w:r w:rsidRPr="00AC783D">
        <w:rPr>
          <w:b/>
          <w:noProof/>
        </w:rPr>
        <w:t xml:space="preserve">Other priorities </w:t>
      </w:r>
      <w:r w:rsidRPr="00AC783D">
        <w:rPr>
          <w:noProof/>
        </w:rPr>
        <w:t>identified by the Minister from time to time, as specified in any written direction by the Minister to the NGRB under paragraph 31(1)(e) of the Regulation.</w:t>
      </w:r>
      <w:r w:rsidRPr="00AC783D">
        <w:rPr>
          <w:b/>
          <w:noProof/>
        </w:rPr>
        <w:t xml:space="preserve"> </w:t>
      </w:r>
    </w:p>
    <w:p w14:paraId="35BF39DF" w14:textId="77777777" w:rsidR="00655A37" w:rsidRPr="00AC783D" w:rsidRDefault="00655A37" w:rsidP="00655A37">
      <w:pPr>
        <w:numPr>
          <w:ilvl w:val="0"/>
          <w:numId w:val="22"/>
        </w:numPr>
        <w:spacing w:after="200" w:line="276" w:lineRule="auto"/>
        <w:rPr>
          <w:noProof/>
        </w:rPr>
      </w:pPr>
      <w:r w:rsidRPr="00AC783D">
        <w:rPr>
          <w:noProof/>
        </w:rPr>
        <w:lastRenderedPageBreak/>
        <w:t xml:space="preserve">NGRBs are not required to address all priorities. However, priorities </w:t>
      </w:r>
      <w:r w:rsidRPr="00AC783D">
        <w:rPr>
          <w:i/>
          <w:noProof/>
        </w:rPr>
        <w:t>b) Transition assistance</w:t>
      </w:r>
      <w:r w:rsidRPr="00AC783D">
        <w:rPr>
          <w:noProof/>
        </w:rPr>
        <w:t xml:space="preserve"> and </w:t>
      </w:r>
      <w:r w:rsidRPr="00AC783D">
        <w:rPr>
          <w:i/>
          <w:noProof/>
        </w:rPr>
        <w:t>c) Special circumstances funding</w:t>
      </w:r>
      <w:r w:rsidRPr="00AC783D">
        <w:rPr>
          <w:noProof/>
        </w:rPr>
        <w:t>, are compulsory inclusions for all NGRBs and, along with the regional transition assistance support outlined in paragraph 23 below, these priorities should be prioritised over the other national priorities.</w:t>
      </w:r>
    </w:p>
    <w:p w14:paraId="041BE64C" w14:textId="77777777" w:rsidR="00655A37" w:rsidRPr="00AC783D" w:rsidRDefault="00655A37" w:rsidP="00655A37">
      <w:pPr>
        <w:numPr>
          <w:ilvl w:val="0"/>
          <w:numId w:val="22"/>
        </w:numPr>
        <w:spacing w:after="200" w:line="276" w:lineRule="auto"/>
        <w:rPr>
          <w:noProof/>
        </w:rPr>
      </w:pPr>
      <w:r w:rsidRPr="00AC783D">
        <w:rPr>
          <w:noProof/>
        </w:rPr>
        <w:t xml:space="preserve">A subset of priorities that each NGRB will address is detailed in written arrangements between the NGRB and the Secretary of the Department of Education (the department). </w:t>
      </w:r>
    </w:p>
    <w:p w14:paraId="3D5EB39F" w14:textId="77777777" w:rsidR="00655A37" w:rsidRPr="00AC783D" w:rsidRDefault="00655A37" w:rsidP="00655A37">
      <w:pPr>
        <w:numPr>
          <w:ilvl w:val="0"/>
          <w:numId w:val="22"/>
        </w:numPr>
        <w:spacing w:after="200" w:line="276" w:lineRule="auto"/>
        <w:rPr>
          <w:noProof/>
        </w:rPr>
      </w:pPr>
      <w:r w:rsidRPr="00AC783D">
        <w:rPr>
          <w:noProof/>
        </w:rPr>
        <w:t xml:space="preserve">Where new priorities emerge, the Minister will consult with NGRBs on priorities </w:t>
      </w:r>
      <w:r w:rsidRPr="00AC783D">
        <w:rPr>
          <w:rFonts w:cstheme="majorHAnsi"/>
        </w:rPr>
        <w:t>to be progressed by the agreement of both parties in accordance with</w:t>
      </w:r>
      <w:r w:rsidRPr="00AC783D">
        <w:t xml:space="preserve"> </w:t>
      </w:r>
      <w:r w:rsidRPr="00AC783D">
        <w:rPr>
          <w:rFonts w:cstheme="majorHAnsi"/>
        </w:rPr>
        <w:t>the NGRB’s Choice and Affordability Fund Agreement (the Agreement).</w:t>
      </w:r>
      <w:r w:rsidRPr="00AC783D">
        <w:rPr>
          <w:noProof/>
        </w:rPr>
        <w:t xml:space="preserve"> Accordingly, these Guidelines are subject to revision. </w:t>
      </w:r>
    </w:p>
    <w:p w14:paraId="751DB592" w14:textId="77777777" w:rsidR="00655A37" w:rsidRPr="00AC783D" w:rsidRDefault="00655A37" w:rsidP="00655A37">
      <w:pPr>
        <w:keepNext/>
        <w:keepLines/>
        <w:spacing w:before="240" w:after="0"/>
        <w:outlineLvl w:val="0"/>
        <w:rPr>
          <w:rFonts w:ascii="Calibri" w:eastAsiaTheme="majorEastAsia" w:hAnsi="Calibri" w:cstheme="majorBidi"/>
          <w:b/>
          <w:color w:val="343741"/>
          <w:sz w:val="32"/>
          <w:szCs w:val="32"/>
        </w:rPr>
      </w:pPr>
      <w:bookmarkStart w:id="9" w:name="_Toc28871144"/>
      <w:bookmarkStart w:id="10" w:name="_Toc197586656"/>
      <w:r w:rsidRPr="00AC783D">
        <w:rPr>
          <w:rFonts w:ascii="Calibri" w:eastAsiaTheme="majorEastAsia" w:hAnsi="Calibri" w:cstheme="majorBidi"/>
          <w:b/>
          <w:color w:val="343741"/>
          <w:sz w:val="32"/>
          <w:szCs w:val="32"/>
        </w:rPr>
        <w:t>Part B – Process</w:t>
      </w:r>
      <w:bookmarkEnd w:id="9"/>
      <w:bookmarkEnd w:id="10"/>
    </w:p>
    <w:p w14:paraId="0FCBA7F0" w14:textId="77777777" w:rsidR="00655A37" w:rsidRPr="00AC783D" w:rsidRDefault="00655A37" w:rsidP="00655A37">
      <w:pPr>
        <w:keepNext/>
        <w:keepLines/>
        <w:spacing w:before="240" w:after="0"/>
        <w:outlineLvl w:val="1"/>
        <w:rPr>
          <w:rFonts w:ascii="Calibri" w:eastAsiaTheme="majorEastAsia" w:hAnsi="Calibri" w:cstheme="majorBidi"/>
          <w:b/>
          <w:color w:val="002D3F"/>
          <w:sz w:val="30"/>
          <w:szCs w:val="26"/>
        </w:rPr>
      </w:pPr>
      <w:bookmarkStart w:id="11" w:name="_Toc28871145"/>
      <w:bookmarkStart w:id="12" w:name="_Toc197586657"/>
      <w:r w:rsidRPr="00AC783D">
        <w:rPr>
          <w:rFonts w:ascii="Calibri" w:eastAsiaTheme="majorEastAsia" w:hAnsi="Calibri" w:cstheme="majorBidi"/>
          <w:b/>
          <w:color w:val="002D3F"/>
          <w:sz w:val="30"/>
          <w:szCs w:val="26"/>
        </w:rPr>
        <w:t>Non-government representative bodies</w:t>
      </w:r>
      <w:bookmarkEnd w:id="11"/>
      <w:bookmarkEnd w:id="12"/>
      <w:r w:rsidRPr="00AC783D">
        <w:rPr>
          <w:rFonts w:ascii="Calibri" w:eastAsiaTheme="majorEastAsia" w:hAnsi="Calibri" w:cstheme="majorBidi"/>
          <w:b/>
          <w:color w:val="002D3F"/>
          <w:sz w:val="30"/>
          <w:szCs w:val="26"/>
        </w:rPr>
        <w:t xml:space="preserve"> </w:t>
      </w:r>
    </w:p>
    <w:p w14:paraId="12F66C72" w14:textId="77777777" w:rsidR="00655A37" w:rsidRPr="00AC783D" w:rsidRDefault="00655A37" w:rsidP="00655A37">
      <w:pPr>
        <w:keepNext/>
        <w:keepLines/>
        <w:numPr>
          <w:ilvl w:val="0"/>
          <w:numId w:val="22"/>
        </w:numPr>
        <w:spacing w:after="200" w:line="276" w:lineRule="auto"/>
      </w:pPr>
      <w:r w:rsidRPr="00AC783D">
        <w:t xml:space="preserve">Commonwealth Choice and Affordability funding may only be paid to a non-government school through an NGRB. </w:t>
      </w:r>
    </w:p>
    <w:p w14:paraId="12AB051E" w14:textId="77777777" w:rsidR="00655A37" w:rsidRPr="00AC783D" w:rsidRDefault="00655A37" w:rsidP="00655A37">
      <w:pPr>
        <w:keepNext/>
        <w:keepLines/>
        <w:numPr>
          <w:ilvl w:val="0"/>
          <w:numId w:val="22"/>
        </w:numPr>
        <w:spacing w:after="200" w:line="276" w:lineRule="auto"/>
      </w:pPr>
      <w:r w:rsidRPr="00AC783D">
        <w:t>NGRBs are bodies approved by the Minister under section 91 the Act.</w:t>
      </w:r>
    </w:p>
    <w:p w14:paraId="45F0101D" w14:textId="77777777" w:rsidR="00655A37" w:rsidRPr="00AC783D" w:rsidRDefault="00655A37" w:rsidP="00655A37">
      <w:pPr>
        <w:numPr>
          <w:ilvl w:val="0"/>
          <w:numId w:val="22"/>
        </w:numPr>
        <w:spacing w:after="200" w:line="276" w:lineRule="auto"/>
      </w:pPr>
      <w:r w:rsidRPr="00AC783D">
        <w:t xml:space="preserve">A list of NGRBs in each state and territory, and their </w:t>
      </w:r>
      <w:r>
        <w:t xml:space="preserve">contact numbers, is available on the </w:t>
      </w:r>
      <w:hyperlink r:id="rId17" w:history="1">
        <w:r>
          <w:rPr>
            <w:rStyle w:val="Hyperlink"/>
          </w:rPr>
          <w:t>Department of Education</w:t>
        </w:r>
      </w:hyperlink>
      <w:r>
        <w:t xml:space="preserve"> website</w:t>
      </w:r>
      <w:r w:rsidRPr="00AC783D">
        <w:t xml:space="preserve">. </w:t>
      </w:r>
    </w:p>
    <w:p w14:paraId="25A6F590" w14:textId="77777777" w:rsidR="00655A37" w:rsidRPr="00AC783D" w:rsidRDefault="00655A37" w:rsidP="00655A37">
      <w:pPr>
        <w:numPr>
          <w:ilvl w:val="0"/>
          <w:numId w:val="22"/>
        </w:numPr>
        <w:spacing w:after="200" w:line="276" w:lineRule="auto"/>
        <w:ind w:left="357" w:hanging="357"/>
      </w:pPr>
      <w:r w:rsidRPr="00AC783D">
        <w:t>NGRBs are expected to work collaboratively with non</w:t>
      </w:r>
      <w:r w:rsidRPr="00AC783D">
        <w:noBreakHyphen/>
        <w:t>government schools to support local priorities. NGRBs are expected to deliver on their Agreement and ensure that all</w:t>
      </w:r>
      <w:r w:rsidRPr="00AC783D">
        <w:br/>
        <w:t>non</w:t>
      </w:r>
      <w:r w:rsidRPr="00AC783D">
        <w:noBreakHyphen/>
        <w:t>government schools are afforded equity of access to appropriate initiatives and activities. Each NGRB will determine the equitable share of funding for its schools in accordance with the allocative mechanism applied by that NGRB and in accordance with its Agreement.</w:t>
      </w:r>
    </w:p>
    <w:p w14:paraId="112764AA" w14:textId="77777777" w:rsidR="00655A37" w:rsidRPr="00AC783D" w:rsidRDefault="00655A37" w:rsidP="00655A37">
      <w:pPr>
        <w:keepNext/>
        <w:keepLines/>
        <w:spacing w:before="240" w:after="0"/>
        <w:outlineLvl w:val="1"/>
        <w:rPr>
          <w:rFonts w:ascii="Calibri" w:eastAsiaTheme="majorEastAsia" w:hAnsi="Calibri" w:cstheme="majorBidi"/>
          <w:b/>
          <w:color w:val="002D3F"/>
          <w:sz w:val="30"/>
          <w:szCs w:val="26"/>
        </w:rPr>
      </w:pPr>
      <w:bookmarkStart w:id="13" w:name="_Toc28871146"/>
      <w:bookmarkStart w:id="14" w:name="_Toc197586658"/>
      <w:r w:rsidRPr="00AC783D">
        <w:rPr>
          <w:rFonts w:ascii="Calibri" w:eastAsiaTheme="majorEastAsia" w:hAnsi="Calibri" w:cstheme="majorBidi"/>
          <w:b/>
          <w:color w:val="002D3F"/>
          <w:sz w:val="30"/>
          <w:szCs w:val="26"/>
        </w:rPr>
        <w:t>Funding</w:t>
      </w:r>
      <w:bookmarkEnd w:id="13"/>
      <w:bookmarkEnd w:id="14"/>
      <w:r w:rsidRPr="00AC783D">
        <w:rPr>
          <w:rFonts w:ascii="Calibri" w:eastAsiaTheme="majorEastAsia" w:hAnsi="Calibri" w:cstheme="majorBidi"/>
          <w:b/>
          <w:color w:val="002D3F"/>
          <w:sz w:val="30"/>
          <w:szCs w:val="26"/>
        </w:rPr>
        <w:t xml:space="preserve"> </w:t>
      </w:r>
    </w:p>
    <w:p w14:paraId="2F4D8EF2" w14:textId="77777777" w:rsidR="00655A37" w:rsidRPr="00AC783D" w:rsidRDefault="00655A37" w:rsidP="00655A37">
      <w:pPr>
        <w:numPr>
          <w:ilvl w:val="0"/>
          <w:numId w:val="22"/>
        </w:numPr>
        <w:spacing w:after="200" w:line="276" w:lineRule="auto"/>
        <w:ind w:left="357" w:hanging="357"/>
        <w:rPr>
          <w:noProof/>
        </w:rPr>
      </w:pPr>
      <w:r w:rsidRPr="00AC783D">
        <w:rPr>
          <w:noProof/>
        </w:rPr>
        <w:t>Funding will be administered by the NGRB on behalf of non</w:t>
      </w:r>
      <w:r w:rsidRPr="00AC783D">
        <w:rPr>
          <w:noProof/>
        </w:rPr>
        <w:noBreakHyphen/>
        <w:t xml:space="preserve">government schools.  </w:t>
      </w:r>
    </w:p>
    <w:p w14:paraId="4D71B4CD" w14:textId="77777777" w:rsidR="00655A37" w:rsidRPr="00AC783D" w:rsidRDefault="00655A37" w:rsidP="00655A37">
      <w:pPr>
        <w:numPr>
          <w:ilvl w:val="0"/>
          <w:numId w:val="22"/>
        </w:numPr>
        <w:spacing w:after="200" w:line="276" w:lineRule="auto"/>
        <w:rPr>
          <w:noProof/>
        </w:rPr>
      </w:pPr>
      <w:r w:rsidRPr="00AC783D">
        <w:rPr>
          <w:noProof/>
        </w:rPr>
        <w:t>Prior to making a determination under section 70 of the Act, the Minister must be satisfied there is a current Agreement in place between the Secretary and the NGRB and that the NGRB is complying with that Agreement.</w:t>
      </w:r>
    </w:p>
    <w:p w14:paraId="1E3202FA" w14:textId="77777777" w:rsidR="00655A37" w:rsidRPr="00AC783D" w:rsidRDefault="00655A37" w:rsidP="00655A37">
      <w:pPr>
        <w:keepNext/>
        <w:keepLines/>
        <w:spacing w:before="240" w:after="0"/>
        <w:outlineLvl w:val="1"/>
        <w:rPr>
          <w:rFonts w:ascii="Calibri" w:eastAsiaTheme="majorEastAsia" w:hAnsi="Calibri" w:cstheme="majorBidi"/>
          <w:b/>
          <w:noProof/>
          <w:color w:val="002D3F"/>
          <w:sz w:val="30"/>
          <w:szCs w:val="26"/>
        </w:rPr>
      </w:pPr>
      <w:bookmarkStart w:id="15" w:name="_Toc28871147"/>
      <w:bookmarkStart w:id="16" w:name="_Toc197586659"/>
      <w:r w:rsidRPr="00AC783D">
        <w:rPr>
          <w:rFonts w:ascii="Calibri" w:eastAsiaTheme="majorEastAsia" w:hAnsi="Calibri" w:cstheme="majorBidi"/>
          <w:b/>
          <w:noProof/>
          <w:color w:val="002D3F"/>
          <w:sz w:val="30"/>
          <w:szCs w:val="26"/>
        </w:rPr>
        <w:lastRenderedPageBreak/>
        <w:t>Sector distribution</w:t>
      </w:r>
      <w:bookmarkEnd w:id="15"/>
      <w:bookmarkEnd w:id="16"/>
    </w:p>
    <w:p w14:paraId="7FA8F6E0" w14:textId="77777777" w:rsidR="00655A37" w:rsidRPr="00AC783D" w:rsidRDefault="00655A37" w:rsidP="00655A37">
      <w:pPr>
        <w:keepNext/>
        <w:keepLines/>
        <w:numPr>
          <w:ilvl w:val="0"/>
          <w:numId w:val="22"/>
        </w:numPr>
        <w:spacing w:after="200" w:line="276" w:lineRule="auto"/>
        <w:ind w:left="357" w:hanging="357"/>
      </w:pPr>
      <w:r w:rsidRPr="00AC783D">
        <w:t>The estimated 2020 sector level and state and territory funding distribution is set out below.</w:t>
      </w:r>
    </w:p>
    <w:p w14:paraId="1013E936" w14:textId="77777777" w:rsidR="00655A37" w:rsidRPr="00AC783D" w:rsidRDefault="00655A37" w:rsidP="00655A37">
      <w:pPr>
        <w:keepNext/>
        <w:keepLines/>
        <w:spacing w:after="0"/>
        <w:ind w:left="426"/>
      </w:pPr>
      <w:r w:rsidRPr="00AC783D">
        <w:t>Table 1. Estimated 2020 distribution of Choice and Affordability funding to the systemic Catholic and independent sector by state and territory ($m)</w:t>
      </w:r>
    </w:p>
    <w:tbl>
      <w:tblPr>
        <w:tblStyle w:val="DEEWRTable"/>
        <w:tblW w:w="8646" w:type="dxa"/>
        <w:tblInd w:w="426" w:type="dxa"/>
        <w:tblLayout w:type="fixed"/>
        <w:tblLook w:val="0420" w:firstRow="1" w:lastRow="0" w:firstColumn="0" w:lastColumn="0" w:noHBand="0" w:noVBand="1"/>
        <w:tblCaption w:val="Table 1. Estimated 2020 distribution of Choice and Affordability funding to the systemic Catholic and independent sector by state and territory ($m)"/>
        <w:tblDescription w:val="Table contains estimated 2020 distribution of Choice and Affordability funding by sector by state and territory in millions of dollars"/>
      </w:tblPr>
      <w:tblGrid>
        <w:gridCol w:w="2268"/>
        <w:gridCol w:w="787"/>
        <w:gridCol w:w="772"/>
        <w:gridCol w:w="709"/>
        <w:gridCol w:w="708"/>
        <w:gridCol w:w="677"/>
        <w:gridCol w:w="741"/>
        <w:gridCol w:w="709"/>
        <w:gridCol w:w="567"/>
        <w:gridCol w:w="708"/>
      </w:tblGrid>
      <w:tr w:rsidR="00655A37" w:rsidRPr="00AC783D" w14:paraId="13E8A1CA" w14:textId="77777777" w:rsidTr="008E65D2">
        <w:trPr>
          <w:cnfStyle w:val="100000000000" w:firstRow="1" w:lastRow="0" w:firstColumn="0" w:lastColumn="0" w:oddVBand="0" w:evenVBand="0" w:oddHBand="0" w:evenHBand="0" w:firstRowFirstColumn="0" w:firstRowLastColumn="0" w:lastRowFirstColumn="0" w:lastRowLastColumn="0"/>
          <w:trHeight w:val="266"/>
          <w:tblHeader/>
        </w:trPr>
        <w:tc>
          <w:tcPr>
            <w:tcW w:w="2268" w:type="dxa"/>
          </w:tcPr>
          <w:p w14:paraId="66E67D94" w14:textId="77777777" w:rsidR="00655A37" w:rsidRPr="00AC783D" w:rsidRDefault="00655A37" w:rsidP="008E65D2">
            <w:pPr>
              <w:keepNext/>
              <w:keepLines/>
            </w:pPr>
            <w:r w:rsidRPr="00AC783D">
              <w:t xml:space="preserve"> </w:t>
            </w:r>
          </w:p>
        </w:tc>
        <w:tc>
          <w:tcPr>
            <w:tcW w:w="787" w:type="dxa"/>
          </w:tcPr>
          <w:p w14:paraId="336C831D" w14:textId="77777777" w:rsidR="00655A37" w:rsidRPr="00AC783D" w:rsidRDefault="00655A37" w:rsidP="008E65D2">
            <w:pPr>
              <w:keepNext/>
              <w:keepLines/>
              <w:jc w:val="right"/>
            </w:pPr>
            <w:r w:rsidRPr="00AC783D">
              <w:t>NSW</w:t>
            </w:r>
          </w:p>
        </w:tc>
        <w:tc>
          <w:tcPr>
            <w:tcW w:w="772" w:type="dxa"/>
          </w:tcPr>
          <w:p w14:paraId="64EEBC09" w14:textId="77777777" w:rsidR="00655A37" w:rsidRPr="00AC783D" w:rsidRDefault="00655A37" w:rsidP="008E65D2">
            <w:pPr>
              <w:keepNext/>
              <w:keepLines/>
              <w:jc w:val="right"/>
            </w:pPr>
            <w:r w:rsidRPr="00AC783D">
              <w:t>VIC</w:t>
            </w:r>
          </w:p>
        </w:tc>
        <w:tc>
          <w:tcPr>
            <w:tcW w:w="709" w:type="dxa"/>
          </w:tcPr>
          <w:p w14:paraId="35B09091" w14:textId="77777777" w:rsidR="00655A37" w:rsidRPr="00AC783D" w:rsidRDefault="00655A37" w:rsidP="008E65D2">
            <w:pPr>
              <w:keepNext/>
              <w:keepLines/>
              <w:jc w:val="right"/>
            </w:pPr>
            <w:r w:rsidRPr="00AC783D">
              <w:t>Qld</w:t>
            </w:r>
          </w:p>
        </w:tc>
        <w:tc>
          <w:tcPr>
            <w:tcW w:w="708" w:type="dxa"/>
          </w:tcPr>
          <w:p w14:paraId="51A6E8B6" w14:textId="77777777" w:rsidR="00655A37" w:rsidRPr="00AC783D" w:rsidRDefault="00655A37" w:rsidP="008E65D2">
            <w:pPr>
              <w:keepNext/>
              <w:keepLines/>
              <w:jc w:val="right"/>
            </w:pPr>
            <w:r w:rsidRPr="00AC783D">
              <w:t>SA</w:t>
            </w:r>
          </w:p>
        </w:tc>
        <w:tc>
          <w:tcPr>
            <w:tcW w:w="677" w:type="dxa"/>
          </w:tcPr>
          <w:p w14:paraId="0B3A6663" w14:textId="77777777" w:rsidR="00655A37" w:rsidRPr="00AC783D" w:rsidRDefault="00655A37" w:rsidP="008E65D2">
            <w:pPr>
              <w:keepNext/>
              <w:keepLines/>
              <w:jc w:val="right"/>
            </w:pPr>
            <w:r w:rsidRPr="00AC783D">
              <w:t>WA</w:t>
            </w:r>
          </w:p>
        </w:tc>
        <w:tc>
          <w:tcPr>
            <w:tcW w:w="741" w:type="dxa"/>
          </w:tcPr>
          <w:p w14:paraId="5A769664" w14:textId="77777777" w:rsidR="00655A37" w:rsidRPr="00AC783D" w:rsidRDefault="00655A37" w:rsidP="008E65D2">
            <w:pPr>
              <w:keepNext/>
              <w:keepLines/>
              <w:jc w:val="right"/>
            </w:pPr>
            <w:r w:rsidRPr="00AC783D">
              <w:t>Tas.</w:t>
            </w:r>
          </w:p>
        </w:tc>
        <w:tc>
          <w:tcPr>
            <w:tcW w:w="709" w:type="dxa"/>
          </w:tcPr>
          <w:p w14:paraId="12745D89" w14:textId="77777777" w:rsidR="00655A37" w:rsidRPr="00AC783D" w:rsidRDefault="00655A37" w:rsidP="008E65D2">
            <w:pPr>
              <w:keepNext/>
              <w:keepLines/>
              <w:jc w:val="right"/>
            </w:pPr>
            <w:r w:rsidRPr="00AC783D">
              <w:t>ACT</w:t>
            </w:r>
          </w:p>
        </w:tc>
        <w:tc>
          <w:tcPr>
            <w:tcW w:w="567" w:type="dxa"/>
          </w:tcPr>
          <w:p w14:paraId="15351721" w14:textId="77777777" w:rsidR="00655A37" w:rsidRPr="00AC783D" w:rsidRDefault="00655A37" w:rsidP="008E65D2">
            <w:pPr>
              <w:keepNext/>
              <w:keepLines/>
              <w:jc w:val="right"/>
            </w:pPr>
            <w:r w:rsidRPr="00AC783D">
              <w:t>NT</w:t>
            </w:r>
          </w:p>
        </w:tc>
        <w:tc>
          <w:tcPr>
            <w:tcW w:w="708" w:type="dxa"/>
          </w:tcPr>
          <w:p w14:paraId="30C515F8" w14:textId="77777777" w:rsidR="00655A37" w:rsidRPr="00AC783D" w:rsidRDefault="00655A37" w:rsidP="008E65D2">
            <w:pPr>
              <w:keepNext/>
              <w:keepLines/>
              <w:jc w:val="right"/>
            </w:pPr>
            <w:r w:rsidRPr="00AC783D">
              <w:t>Total</w:t>
            </w:r>
          </w:p>
        </w:tc>
      </w:tr>
      <w:tr w:rsidR="00655A37" w:rsidRPr="00AC783D" w14:paraId="45DD9F91" w14:textId="77777777" w:rsidTr="008E65D2">
        <w:trPr>
          <w:trHeight w:val="283"/>
        </w:trPr>
        <w:tc>
          <w:tcPr>
            <w:tcW w:w="2268" w:type="dxa"/>
          </w:tcPr>
          <w:p w14:paraId="5E937BED" w14:textId="77777777" w:rsidR="00655A37" w:rsidRPr="00AC783D" w:rsidRDefault="00655A37" w:rsidP="008E65D2">
            <w:pPr>
              <w:keepNext/>
              <w:keepLines/>
            </w:pPr>
            <w:r w:rsidRPr="00AC783D">
              <w:t>Systemic Catholic sector</w:t>
            </w:r>
          </w:p>
        </w:tc>
        <w:tc>
          <w:tcPr>
            <w:tcW w:w="787" w:type="dxa"/>
          </w:tcPr>
          <w:p w14:paraId="5B06201E" w14:textId="77777777" w:rsidR="00655A37" w:rsidRPr="00AC783D" w:rsidRDefault="00655A37" w:rsidP="008E65D2">
            <w:pPr>
              <w:keepNext/>
              <w:keepLines/>
              <w:jc w:val="right"/>
            </w:pPr>
            <w:r w:rsidRPr="00AC783D">
              <w:t>20.1</w:t>
            </w:r>
          </w:p>
        </w:tc>
        <w:tc>
          <w:tcPr>
            <w:tcW w:w="772" w:type="dxa"/>
          </w:tcPr>
          <w:p w14:paraId="150B03C1" w14:textId="77777777" w:rsidR="00655A37" w:rsidRPr="00AC783D" w:rsidRDefault="00655A37" w:rsidP="008E65D2">
            <w:pPr>
              <w:keepNext/>
              <w:keepLines/>
              <w:jc w:val="right"/>
            </w:pPr>
            <w:r w:rsidRPr="00AC783D">
              <w:t>18.0</w:t>
            </w:r>
          </w:p>
        </w:tc>
        <w:tc>
          <w:tcPr>
            <w:tcW w:w="709" w:type="dxa"/>
          </w:tcPr>
          <w:p w14:paraId="629BC952" w14:textId="77777777" w:rsidR="00655A37" w:rsidRPr="00AC783D" w:rsidRDefault="00655A37" w:rsidP="008E65D2">
            <w:pPr>
              <w:keepNext/>
              <w:keepLines/>
              <w:jc w:val="right"/>
            </w:pPr>
            <w:r w:rsidRPr="00AC783D">
              <w:t>11.1</w:t>
            </w:r>
          </w:p>
        </w:tc>
        <w:tc>
          <w:tcPr>
            <w:tcW w:w="708" w:type="dxa"/>
          </w:tcPr>
          <w:p w14:paraId="0D873033" w14:textId="77777777" w:rsidR="00655A37" w:rsidRPr="00AC783D" w:rsidRDefault="00655A37" w:rsidP="008E65D2">
            <w:pPr>
              <w:keepNext/>
              <w:keepLines/>
              <w:jc w:val="right"/>
            </w:pPr>
            <w:r w:rsidRPr="00AC783D">
              <w:t>3.5</w:t>
            </w:r>
          </w:p>
        </w:tc>
        <w:tc>
          <w:tcPr>
            <w:tcW w:w="677" w:type="dxa"/>
          </w:tcPr>
          <w:p w14:paraId="1650CD1A" w14:textId="77777777" w:rsidR="00655A37" w:rsidRPr="00AC783D" w:rsidRDefault="00655A37" w:rsidP="008E65D2">
            <w:pPr>
              <w:keepNext/>
              <w:keepLines/>
              <w:jc w:val="right"/>
            </w:pPr>
            <w:r w:rsidRPr="00AC783D">
              <w:t>5.7</w:t>
            </w:r>
          </w:p>
        </w:tc>
        <w:tc>
          <w:tcPr>
            <w:tcW w:w="741" w:type="dxa"/>
          </w:tcPr>
          <w:p w14:paraId="34D9173E" w14:textId="77777777" w:rsidR="00655A37" w:rsidRPr="00AC783D" w:rsidRDefault="00655A37" w:rsidP="008E65D2">
            <w:pPr>
              <w:keepNext/>
              <w:keepLines/>
              <w:jc w:val="right"/>
            </w:pPr>
            <w:r w:rsidRPr="00AC783D">
              <w:t>1.4</w:t>
            </w:r>
          </w:p>
        </w:tc>
        <w:tc>
          <w:tcPr>
            <w:tcW w:w="709" w:type="dxa"/>
          </w:tcPr>
          <w:p w14:paraId="075D733A" w14:textId="77777777" w:rsidR="00655A37" w:rsidRPr="00AC783D" w:rsidRDefault="00655A37" w:rsidP="008E65D2">
            <w:pPr>
              <w:keepNext/>
              <w:keepLines/>
              <w:jc w:val="right"/>
            </w:pPr>
            <w:r w:rsidRPr="00AC783D">
              <w:t>1.1</w:t>
            </w:r>
          </w:p>
        </w:tc>
        <w:tc>
          <w:tcPr>
            <w:tcW w:w="567" w:type="dxa"/>
          </w:tcPr>
          <w:p w14:paraId="271A3969" w14:textId="77777777" w:rsidR="00655A37" w:rsidRPr="00AC783D" w:rsidRDefault="00655A37" w:rsidP="008E65D2">
            <w:pPr>
              <w:keepNext/>
              <w:keepLines/>
              <w:jc w:val="right"/>
            </w:pPr>
            <w:r w:rsidRPr="00AC783D">
              <w:t>0.7</w:t>
            </w:r>
          </w:p>
        </w:tc>
        <w:tc>
          <w:tcPr>
            <w:tcW w:w="708" w:type="dxa"/>
          </w:tcPr>
          <w:p w14:paraId="3419339B" w14:textId="77777777" w:rsidR="00655A37" w:rsidRPr="00AC783D" w:rsidRDefault="00655A37" w:rsidP="008E65D2">
            <w:pPr>
              <w:keepNext/>
              <w:keepLines/>
              <w:jc w:val="right"/>
              <w:rPr>
                <w:b/>
              </w:rPr>
            </w:pPr>
            <w:r w:rsidRPr="00AC783D">
              <w:rPr>
                <w:b/>
              </w:rPr>
              <w:t>61.5</w:t>
            </w:r>
          </w:p>
        </w:tc>
      </w:tr>
      <w:tr w:rsidR="00655A37" w:rsidRPr="00AC783D" w14:paraId="795D0ED7" w14:textId="77777777" w:rsidTr="008E65D2">
        <w:trPr>
          <w:trHeight w:val="266"/>
        </w:trPr>
        <w:tc>
          <w:tcPr>
            <w:tcW w:w="2268" w:type="dxa"/>
          </w:tcPr>
          <w:p w14:paraId="623F6AD8" w14:textId="77777777" w:rsidR="00655A37" w:rsidRPr="00AC783D" w:rsidRDefault="00655A37" w:rsidP="008E65D2">
            <w:pPr>
              <w:keepNext/>
              <w:keepLines/>
            </w:pPr>
            <w:r w:rsidRPr="00AC783D">
              <w:t>Independent sector</w:t>
            </w:r>
          </w:p>
        </w:tc>
        <w:tc>
          <w:tcPr>
            <w:tcW w:w="787" w:type="dxa"/>
          </w:tcPr>
          <w:p w14:paraId="35F2D343" w14:textId="77777777" w:rsidR="00655A37" w:rsidRPr="00AC783D" w:rsidRDefault="00655A37" w:rsidP="008E65D2">
            <w:pPr>
              <w:keepNext/>
              <w:keepLines/>
              <w:jc w:val="right"/>
            </w:pPr>
            <w:r w:rsidRPr="00AC783D">
              <w:t>14.6</w:t>
            </w:r>
          </w:p>
        </w:tc>
        <w:tc>
          <w:tcPr>
            <w:tcW w:w="772" w:type="dxa"/>
          </w:tcPr>
          <w:p w14:paraId="3F9F6F4E" w14:textId="77777777" w:rsidR="00655A37" w:rsidRPr="00AC783D" w:rsidRDefault="00655A37" w:rsidP="008E65D2">
            <w:pPr>
              <w:keepNext/>
              <w:keepLines/>
              <w:jc w:val="right"/>
            </w:pPr>
            <w:r w:rsidRPr="00AC783D">
              <w:t>7.9</w:t>
            </w:r>
          </w:p>
        </w:tc>
        <w:tc>
          <w:tcPr>
            <w:tcW w:w="709" w:type="dxa"/>
          </w:tcPr>
          <w:p w14:paraId="627DE57D" w14:textId="77777777" w:rsidR="00655A37" w:rsidRPr="00AC783D" w:rsidRDefault="00655A37" w:rsidP="008E65D2">
            <w:pPr>
              <w:keepNext/>
              <w:keepLines/>
              <w:jc w:val="right"/>
            </w:pPr>
            <w:r w:rsidRPr="00AC783D">
              <w:t>7.5</w:t>
            </w:r>
          </w:p>
        </w:tc>
        <w:tc>
          <w:tcPr>
            <w:tcW w:w="708" w:type="dxa"/>
          </w:tcPr>
          <w:p w14:paraId="12D9EAAB" w14:textId="77777777" w:rsidR="00655A37" w:rsidRPr="00AC783D" w:rsidRDefault="00655A37" w:rsidP="008E65D2">
            <w:pPr>
              <w:keepNext/>
              <w:keepLines/>
              <w:jc w:val="right"/>
            </w:pPr>
            <w:r w:rsidRPr="00AC783D">
              <w:t>3.8</w:t>
            </w:r>
          </w:p>
        </w:tc>
        <w:tc>
          <w:tcPr>
            <w:tcW w:w="677" w:type="dxa"/>
          </w:tcPr>
          <w:p w14:paraId="4D0C5812" w14:textId="77777777" w:rsidR="00655A37" w:rsidRPr="00AC783D" w:rsidRDefault="00655A37" w:rsidP="008E65D2">
            <w:pPr>
              <w:keepNext/>
              <w:keepLines/>
              <w:jc w:val="right"/>
            </w:pPr>
            <w:r w:rsidRPr="00AC783D">
              <w:t>5.3</w:t>
            </w:r>
          </w:p>
        </w:tc>
        <w:tc>
          <w:tcPr>
            <w:tcW w:w="741" w:type="dxa"/>
          </w:tcPr>
          <w:p w14:paraId="6D9B7BFC" w14:textId="77777777" w:rsidR="00655A37" w:rsidRPr="00AC783D" w:rsidRDefault="00655A37" w:rsidP="008E65D2">
            <w:pPr>
              <w:keepNext/>
              <w:keepLines/>
              <w:jc w:val="right"/>
            </w:pPr>
            <w:r w:rsidRPr="00AC783D">
              <w:t>1.1</w:t>
            </w:r>
          </w:p>
        </w:tc>
        <w:tc>
          <w:tcPr>
            <w:tcW w:w="709" w:type="dxa"/>
          </w:tcPr>
          <w:p w14:paraId="00F05D66" w14:textId="77777777" w:rsidR="00655A37" w:rsidRPr="00AC783D" w:rsidRDefault="00655A37" w:rsidP="008E65D2">
            <w:pPr>
              <w:keepNext/>
              <w:keepLines/>
              <w:jc w:val="right"/>
            </w:pPr>
            <w:r w:rsidRPr="00AC783D">
              <w:t>0.7</w:t>
            </w:r>
          </w:p>
        </w:tc>
        <w:tc>
          <w:tcPr>
            <w:tcW w:w="567" w:type="dxa"/>
          </w:tcPr>
          <w:p w14:paraId="203BC66F" w14:textId="77777777" w:rsidR="00655A37" w:rsidRPr="00AC783D" w:rsidRDefault="00655A37" w:rsidP="008E65D2">
            <w:pPr>
              <w:keepNext/>
              <w:keepLines/>
              <w:jc w:val="right"/>
            </w:pPr>
            <w:r w:rsidRPr="00AC783D">
              <w:t>0.7</w:t>
            </w:r>
          </w:p>
        </w:tc>
        <w:tc>
          <w:tcPr>
            <w:tcW w:w="708" w:type="dxa"/>
          </w:tcPr>
          <w:p w14:paraId="30384287" w14:textId="77777777" w:rsidR="00655A37" w:rsidRPr="00AC783D" w:rsidRDefault="00655A37" w:rsidP="008E65D2">
            <w:pPr>
              <w:keepNext/>
              <w:keepLines/>
              <w:jc w:val="right"/>
              <w:rPr>
                <w:b/>
              </w:rPr>
            </w:pPr>
            <w:r w:rsidRPr="00AC783D">
              <w:rPr>
                <w:b/>
              </w:rPr>
              <w:t>41.5</w:t>
            </w:r>
          </w:p>
        </w:tc>
      </w:tr>
    </w:tbl>
    <w:p w14:paraId="020F55D8" w14:textId="77777777" w:rsidR="00655A37" w:rsidRPr="00AC783D" w:rsidRDefault="00655A37" w:rsidP="00655A37">
      <w:pPr>
        <w:keepNext/>
        <w:keepLines/>
        <w:numPr>
          <w:ilvl w:val="0"/>
          <w:numId w:val="22"/>
        </w:numPr>
        <w:spacing w:before="240" w:after="120" w:line="276" w:lineRule="auto"/>
        <w:rPr>
          <w:noProof/>
        </w:rPr>
      </w:pPr>
      <w:bookmarkStart w:id="17" w:name="_Toc497145843"/>
      <w:r w:rsidRPr="00AC783D">
        <w:rPr>
          <w:noProof/>
        </w:rPr>
        <w:t>Funding to the systemic Catholic and independent sectors for future years from 2021 to 2029 will be indexed in accordance with</w:t>
      </w:r>
      <w:r w:rsidRPr="00AC783D">
        <w:t xml:space="preserve"> </w:t>
      </w:r>
      <w:r w:rsidRPr="00AC783D">
        <w:rPr>
          <w:noProof/>
        </w:rPr>
        <w:t>the Schooling Resource Standard (SRS) indexation factor for a year</w:t>
      </w:r>
      <w:r w:rsidRPr="00AC783D">
        <w:t xml:space="preserve"> as set out in paragraph 25B(2)(b) of the Regulation</w:t>
      </w:r>
      <w:r w:rsidRPr="00AC783D">
        <w:rPr>
          <w:noProof/>
        </w:rPr>
        <w:t>.</w:t>
      </w:r>
    </w:p>
    <w:p w14:paraId="215CE16A" w14:textId="77777777" w:rsidR="00655A37" w:rsidRPr="00AC783D" w:rsidRDefault="00655A37" w:rsidP="00655A37">
      <w:pPr>
        <w:keepNext/>
        <w:keepLines/>
        <w:spacing w:before="240" w:after="0"/>
        <w:outlineLvl w:val="1"/>
        <w:rPr>
          <w:rFonts w:ascii="Calibri" w:eastAsiaTheme="majorEastAsia" w:hAnsi="Calibri" w:cstheme="majorBidi"/>
          <w:b/>
          <w:noProof/>
          <w:color w:val="002D3F"/>
          <w:sz w:val="30"/>
          <w:szCs w:val="26"/>
        </w:rPr>
      </w:pPr>
      <w:bookmarkStart w:id="18" w:name="_Toc28871148"/>
      <w:bookmarkStart w:id="19" w:name="_Toc197586660"/>
      <w:r w:rsidRPr="00AC783D">
        <w:rPr>
          <w:rFonts w:ascii="Calibri" w:eastAsiaTheme="majorEastAsia" w:hAnsi="Calibri" w:cstheme="majorBidi"/>
          <w:b/>
          <w:noProof/>
          <w:color w:val="002D3F"/>
          <w:sz w:val="30"/>
          <w:szCs w:val="26"/>
        </w:rPr>
        <w:t>NGRB distribution</w:t>
      </w:r>
      <w:bookmarkEnd w:id="18"/>
      <w:bookmarkEnd w:id="19"/>
    </w:p>
    <w:p w14:paraId="03405DDB" w14:textId="77777777" w:rsidR="00655A37" w:rsidRPr="00AC783D" w:rsidRDefault="00655A37" w:rsidP="00655A37">
      <w:pPr>
        <w:numPr>
          <w:ilvl w:val="0"/>
          <w:numId w:val="22"/>
        </w:numPr>
        <w:spacing w:after="200" w:line="276" w:lineRule="auto"/>
        <w:rPr>
          <w:noProof/>
        </w:rPr>
      </w:pPr>
      <w:r w:rsidRPr="00AC783D">
        <w:rPr>
          <w:noProof/>
        </w:rPr>
        <w:t>NGRBs or the national representative body for a sector may advise the department of any proposed variations to the state and territory distribution of sector funding in Table 1 for 2020 or any subsequent year. This advice may be used to inform the Minister’s determination of financial assistance for the year under section 70 of the Act. The final funding distribution will be made publicly available on the department’s website.</w:t>
      </w:r>
    </w:p>
    <w:p w14:paraId="575D4378" w14:textId="77777777" w:rsidR="00655A37" w:rsidRPr="00AC783D" w:rsidRDefault="00655A37" w:rsidP="00655A37">
      <w:pPr>
        <w:numPr>
          <w:ilvl w:val="0"/>
          <w:numId w:val="22"/>
        </w:numPr>
        <w:spacing w:after="200" w:line="276" w:lineRule="auto"/>
        <w:rPr>
          <w:noProof/>
        </w:rPr>
      </w:pPr>
      <w:r w:rsidRPr="00AC783D">
        <w:rPr>
          <w:noProof/>
        </w:rPr>
        <w:t>Under Division 4 of Part 6 of the Act the Minister may approve a person as an NGRB for a non</w:t>
      </w:r>
      <w:r w:rsidRPr="00AC783D">
        <w:rPr>
          <w:noProof/>
        </w:rPr>
        <w:noBreakHyphen/>
        <w:t xml:space="preserve">government school. Independent sector schools reflected in Table 1 (i.e. the second row) may be represented either by an independent or Catholic sector NGRB. NGRB approvals will be reflected in the funding allocations set out in NGRB Agreements. </w:t>
      </w:r>
    </w:p>
    <w:p w14:paraId="2FF2332E" w14:textId="77777777" w:rsidR="00655A37" w:rsidRPr="00AC783D" w:rsidRDefault="00655A37" w:rsidP="00655A37">
      <w:pPr>
        <w:keepNext/>
        <w:keepLines/>
        <w:spacing w:before="240" w:after="0"/>
        <w:outlineLvl w:val="1"/>
        <w:rPr>
          <w:rFonts w:ascii="Calibri" w:eastAsiaTheme="majorEastAsia" w:hAnsi="Calibri" w:cstheme="majorBidi"/>
          <w:b/>
          <w:noProof/>
          <w:color w:val="002D3F"/>
          <w:sz w:val="30"/>
          <w:szCs w:val="26"/>
        </w:rPr>
      </w:pPr>
      <w:bookmarkStart w:id="20" w:name="_Toc28871149"/>
      <w:bookmarkStart w:id="21" w:name="_Toc197586661"/>
      <w:r w:rsidRPr="00AC783D">
        <w:rPr>
          <w:rFonts w:ascii="Calibri" w:eastAsiaTheme="majorEastAsia" w:hAnsi="Calibri" w:cstheme="majorBidi"/>
          <w:b/>
          <w:noProof/>
          <w:color w:val="002D3F"/>
          <w:sz w:val="30"/>
          <w:szCs w:val="26"/>
        </w:rPr>
        <w:t>School distribution</w:t>
      </w:r>
      <w:bookmarkEnd w:id="20"/>
      <w:bookmarkEnd w:id="21"/>
    </w:p>
    <w:p w14:paraId="79A23B5B" w14:textId="77777777" w:rsidR="00655A37" w:rsidRPr="00AC783D" w:rsidRDefault="00655A37" w:rsidP="00655A37">
      <w:pPr>
        <w:numPr>
          <w:ilvl w:val="0"/>
          <w:numId w:val="22"/>
        </w:numPr>
        <w:spacing w:before="240" w:after="200" w:line="276" w:lineRule="auto"/>
        <w:rPr>
          <w:noProof/>
        </w:rPr>
      </w:pPr>
      <w:r w:rsidRPr="00AC783D">
        <w:rPr>
          <w:noProof/>
        </w:rPr>
        <w:t>Further to paragraphs 10 and 28, to ensure support for regional and remote schools during transition to the Direct Measure of Income for capacity to contribute, which commences in 2020, at least a 9 per cent proportion of the national level sector allocations over the period 2020 to 2029 must be quarantined for regional transition assistance. The national representative body for a sector will provide the department with advice on proportion of funding quarantined at the national sector level and the distribution of the regional funding amount across states and territories. NGRBs must provide regional and remote schools with financial assistance that is at least equal to the regional funding distributed to the NGRB and must provide advice in Agreements and workplans on how assistance will be used to support regional and remote schools.</w:t>
      </w:r>
    </w:p>
    <w:p w14:paraId="5FCC157B" w14:textId="77777777" w:rsidR="00655A37" w:rsidRPr="00AC783D" w:rsidRDefault="00655A37" w:rsidP="00655A37">
      <w:pPr>
        <w:numPr>
          <w:ilvl w:val="0"/>
          <w:numId w:val="22"/>
        </w:numPr>
        <w:spacing w:before="240" w:after="200" w:line="276" w:lineRule="auto"/>
        <w:ind w:left="357" w:hanging="357"/>
        <w:rPr>
          <w:noProof/>
        </w:rPr>
      </w:pPr>
      <w:r w:rsidRPr="00AC783D">
        <w:rPr>
          <w:noProof/>
        </w:rPr>
        <w:t xml:space="preserve">Agreements will also specify a process for identifying transition assistance for schools that would have received support through the former National Adjustment Assistance Fund. The department will advise NGRBs of their represented schools that would have met the criteria to have access to support through the former National Adjustment Assistance Fund. Advice will </w:t>
      </w:r>
      <w:r w:rsidRPr="00AC783D">
        <w:rPr>
          <w:noProof/>
        </w:rPr>
        <w:lastRenderedPageBreak/>
        <w:t>incorporate the impact on schools of the latest changes to funding arrangements, including the Direct Measure of Income for capacity to contribute.</w:t>
      </w:r>
    </w:p>
    <w:p w14:paraId="3361009A" w14:textId="77777777" w:rsidR="00655A37" w:rsidRPr="00AC783D" w:rsidRDefault="00655A37" w:rsidP="00655A37">
      <w:pPr>
        <w:keepNext/>
        <w:keepLines/>
        <w:spacing w:before="240" w:after="0"/>
        <w:outlineLvl w:val="0"/>
        <w:rPr>
          <w:rFonts w:ascii="Calibri" w:eastAsiaTheme="majorEastAsia" w:hAnsi="Calibri" w:cstheme="majorBidi"/>
          <w:b/>
          <w:noProof/>
          <w:sz w:val="32"/>
          <w:szCs w:val="32"/>
        </w:rPr>
      </w:pPr>
      <w:bookmarkStart w:id="22" w:name="_Toc28871150"/>
      <w:bookmarkStart w:id="23" w:name="_Toc197586662"/>
      <w:r w:rsidRPr="00AC783D">
        <w:rPr>
          <w:rFonts w:ascii="Calibri" w:eastAsiaTheme="majorEastAsia" w:hAnsi="Calibri" w:cstheme="majorBidi"/>
          <w:b/>
          <w:noProof/>
          <w:color w:val="343741"/>
          <w:sz w:val="32"/>
          <w:szCs w:val="32"/>
        </w:rPr>
        <w:t xml:space="preserve">Part C – </w:t>
      </w:r>
      <w:bookmarkEnd w:id="17"/>
      <w:r w:rsidRPr="00AC783D">
        <w:rPr>
          <w:rFonts w:ascii="Calibri" w:eastAsiaTheme="majorEastAsia" w:hAnsi="Calibri" w:cstheme="majorBidi"/>
          <w:b/>
          <w:noProof/>
          <w:color w:val="343741"/>
          <w:sz w:val="32"/>
          <w:szCs w:val="32"/>
        </w:rPr>
        <w:t>Funding arrangements</w:t>
      </w:r>
      <w:bookmarkEnd w:id="22"/>
      <w:bookmarkEnd w:id="23"/>
    </w:p>
    <w:p w14:paraId="2B60E385" w14:textId="77777777" w:rsidR="00655A37" w:rsidRPr="00AC783D" w:rsidRDefault="00655A37" w:rsidP="00655A37">
      <w:pPr>
        <w:keepNext/>
        <w:keepLines/>
        <w:spacing w:before="240" w:after="0"/>
        <w:outlineLvl w:val="1"/>
        <w:rPr>
          <w:rFonts w:ascii="Calibri" w:eastAsiaTheme="majorEastAsia" w:hAnsi="Calibri" w:cstheme="majorBidi"/>
          <w:b/>
          <w:color w:val="002D3F"/>
          <w:sz w:val="30"/>
          <w:szCs w:val="26"/>
          <w:lang w:eastAsia="en-AU"/>
        </w:rPr>
      </w:pPr>
      <w:bookmarkStart w:id="24" w:name="_Use_of_Funding"/>
      <w:bookmarkStart w:id="25" w:name="_Toc28871151"/>
      <w:bookmarkStart w:id="26" w:name="_Toc197586663"/>
      <w:bookmarkEnd w:id="24"/>
      <w:r w:rsidRPr="00AC783D">
        <w:rPr>
          <w:rFonts w:ascii="Calibri" w:eastAsiaTheme="majorEastAsia" w:hAnsi="Calibri" w:cstheme="majorBidi"/>
          <w:b/>
          <w:color w:val="002D3F"/>
          <w:sz w:val="30"/>
          <w:szCs w:val="26"/>
          <w:lang w:eastAsia="en-AU"/>
        </w:rPr>
        <w:t>Use of funding</w:t>
      </w:r>
      <w:bookmarkEnd w:id="25"/>
      <w:bookmarkEnd w:id="26"/>
    </w:p>
    <w:p w14:paraId="3F053B69" w14:textId="77777777" w:rsidR="00655A37" w:rsidRPr="00AC783D" w:rsidRDefault="00655A37" w:rsidP="00655A37">
      <w:pPr>
        <w:keepNext/>
        <w:keepLines/>
        <w:numPr>
          <w:ilvl w:val="0"/>
          <w:numId w:val="22"/>
        </w:numPr>
        <w:spacing w:after="200" w:line="276" w:lineRule="auto"/>
        <w:rPr>
          <w:noProof/>
        </w:rPr>
      </w:pPr>
      <w:r w:rsidRPr="00AC783D">
        <w:rPr>
          <w:noProof/>
        </w:rPr>
        <w:t>The funding will be used to provide financial assistance and support to non</w:t>
      </w:r>
      <w:r w:rsidRPr="00AC783D">
        <w:rPr>
          <w:noProof/>
        </w:rPr>
        <w:noBreakHyphen/>
        <w:t xml:space="preserve">government schools and must be spent in accordance with the requirements outlined in the Act, Regulation, these Guidelines and the NGRB’s Agreement. </w:t>
      </w:r>
    </w:p>
    <w:p w14:paraId="46C4F9AB" w14:textId="77777777" w:rsidR="00655A37" w:rsidRPr="00AC783D" w:rsidRDefault="00655A37" w:rsidP="00655A37">
      <w:pPr>
        <w:numPr>
          <w:ilvl w:val="0"/>
          <w:numId w:val="22"/>
        </w:numPr>
        <w:spacing w:after="200" w:line="276" w:lineRule="auto"/>
        <w:rPr>
          <w:noProof/>
        </w:rPr>
      </w:pPr>
      <w:r w:rsidRPr="00AC783D">
        <w:rPr>
          <w:noProof/>
        </w:rPr>
        <w:t>NGRBs must only spend, or commit to spend, Choice and Affordability funding for the benefit of schools that the NGRB is approved at that time to represent.</w:t>
      </w:r>
    </w:p>
    <w:p w14:paraId="0DAAFCC0" w14:textId="77777777" w:rsidR="00655A37" w:rsidRPr="00AC783D" w:rsidRDefault="00655A37" w:rsidP="00655A37">
      <w:pPr>
        <w:numPr>
          <w:ilvl w:val="0"/>
          <w:numId w:val="22"/>
        </w:numPr>
        <w:spacing w:after="120" w:line="276" w:lineRule="auto"/>
        <w:rPr>
          <w:noProof/>
        </w:rPr>
      </w:pPr>
      <w:r w:rsidRPr="00AC783D">
        <w:rPr>
          <w:noProof/>
        </w:rPr>
        <w:t>NGRBs, approved authorities and non</w:t>
      </w:r>
      <w:r w:rsidRPr="00AC783D">
        <w:rPr>
          <w:noProof/>
        </w:rPr>
        <w:noBreakHyphen/>
        <w:t>government schools must only spend, or commit to spend, Choice and Affordability funding for the purposes of</w:t>
      </w:r>
      <w:r w:rsidRPr="00AC783D">
        <w:t xml:space="preserve"> </w:t>
      </w:r>
      <w:r w:rsidRPr="00AC783D">
        <w:rPr>
          <w:noProof/>
        </w:rPr>
        <w:t>supporting school education (refer to section 31 of the Regulation) and for:</w:t>
      </w:r>
    </w:p>
    <w:p w14:paraId="73AF0D3E" w14:textId="77777777" w:rsidR="00655A37" w:rsidRPr="00AC783D" w:rsidRDefault="00655A37" w:rsidP="00655A37">
      <w:pPr>
        <w:numPr>
          <w:ilvl w:val="1"/>
          <w:numId w:val="24"/>
        </w:numPr>
        <w:spacing w:after="0" w:line="276" w:lineRule="auto"/>
      </w:pPr>
      <w:r w:rsidRPr="00AC783D">
        <w:t>implementing the activities specified in the NGRB’s Agreement;</w:t>
      </w:r>
    </w:p>
    <w:p w14:paraId="1D9BE5E8" w14:textId="77777777" w:rsidR="00655A37" w:rsidRPr="00AC783D" w:rsidRDefault="00655A37" w:rsidP="00655A37">
      <w:pPr>
        <w:numPr>
          <w:ilvl w:val="1"/>
          <w:numId w:val="24"/>
        </w:numPr>
        <w:spacing w:after="0" w:line="276" w:lineRule="auto"/>
      </w:pPr>
      <w:r w:rsidRPr="00AC783D">
        <w:t>delivering activities directly for the benefit of or on behalf of non-government schools and in accordance with the NGRB’s Agreement; and</w:t>
      </w:r>
    </w:p>
    <w:p w14:paraId="00CFBBCB" w14:textId="77777777" w:rsidR="00655A37" w:rsidRPr="00AC783D" w:rsidRDefault="00655A37" w:rsidP="00655A37">
      <w:pPr>
        <w:numPr>
          <w:ilvl w:val="1"/>
          <w:numId w:val="24"/>
        </w:numPr>
        <w:spacing w:after="120" w:line="276" w:lineRule="auto"/>
        <w:ind w:left="1077" w:hanging="357"/>
      </w:pPr>
      <w:r w:rsidRPr="00AC783D">
        <w:t xml:space="preserve">administration costs of the NGRB directly associated with implementing the activities specified in the Agreement in accordance with the following requirements: </w:t>
      </w:r>
    </w:p>
    <w:p w14:paraId="3C640B4D" w14:textId="77777777" w:rsidR="00655A37" w:rsidRPr="00AC783D" w:rsidRDefault="00655A37" w:rsidP="00655A37">
      <w:pPr>
        <w:numPr>
          <w:ilvl w:val="2"/>
          <w:numId w:val="24"/>
        </w:numPr>
        <w:spacing w:after="160" w:line="276" w:lineRule="auto"/>
        <w:ind w:left="1418" w:hanging="241"/>
        <w:rPr>
          <w:rFonts w:cstheme="majorHAnsi"/>
        </w:rPr>
      </w:pPr>
      <w:r w:rsidRPr="00AC783D">
        <w:rPr>
          <w:rFonts w:cstheme="majorHAnsi"/>
        </w:rPr>
        <w:t>NGRBs can use up to two per cent of total funding provided over the ten years from 2020 to 2029 to meet the costs of administering the Choice and Affordability Fund, unless otherwise agreed by the Minister through a written direction issued under paragraph 31(1)(e) of the Regulation;</w:t>
      </w:r>
    </w:p>
    <w:p w14:paraId="6512576C" w14:textId="77777777" w:rsidR="00655A37" w:rsidRPr="00AC783D" w:rsidRDefault="00655A37" w:rsidP="00655A37">
      <w:pPr>
        <w:numPr>
          <w:ilvl w:val="2"/>
          <w:numId w:val="24"/>
        </w:numPr>
        <w:spacing w:after="160" w:line="276" w:lineRule="auto"/>
        <w:ind w:left="1418" w:hanging="241"/>
        <w:rPr>
          <w:rFonts w:cstheme="majorHAnsi"/>
        </w:rPr>
      </w:pPr>
      <w:r w:rsidRPr="00AC783D">
        <w:rPr>
          <w:rFonts w:cstheme="majorHAnsi"/>
        </w:rPr>
        <w:t>In limited circumstances, where an NGRB incurs additional expenses that would not be able to be met by the limit of two per cent specified in paragraph 27(c)(i) above, the NGRB may apply to the Minister in writing for an increased proportion of funds to meet these expenses and increase its administration allowance for a calendar year. Any agreement given by the Minister will be notified through a written direction issued under paragraph 31(1)(e) of the Regulation.</w:t>
      </w:r>
    </w:p>
    <w:p w14:paraId="0BB0B65C" w14:textId="77777777" w:rsidR="00655A37" w:rsidRPr="00AC783D" w:rsidRDefault="00655A37" w:rsidP="00655A37">
      <w:pPr>
        <w:numPr>
          <w:ilvl w:val="0"/>
          <w:numId w:val="22"/>
        </w:numPr>
        <w:spacing w:after="200" w:line="276" w:lineRule="auto"/>
        <w:rPr>
          <w:noProof/>
        </w:rPr>
      </w:pPr>
      <w:r w:rsidRPr="00AC783D">
        <w:rPr>
          <w:noProof/>
        </w:rPr>
        <w:t>Choice and Affordability funding from the Australian Government to NGRBs must be spent or be committed to be spent over the period 1 July 2020 to 31 December 2029. NGRBs have discretion to spend Choice and Affordability funding over the period 2020 to 2029 in order to best achieve the objectives of the Choice and Affordability Fund, through the agreed priorities, according to their own circumstances and subject to any conditions specified in Agreements. For avoidance of doubt, expenditure of some or all of the funds received may occur in later years, as long as the NGRB commits to the expenditure before 31 December 2029, in order to best achieve the objectives of the Choice and Affordability Fund.</w:t>
      </w:r>
    </w:p>
    <w:p w14:paraId="15509F06" w14:textId="77777777" w:rsidR="00655A37" w:rsidRPr="00AC783D" w:rsidRDefault="00655A37" w:rsidP="00655A37">
      <w:pPr>
        <w:numPr>
          <w:ilvl w:val="0"/>
          <w:numId w:val="22"/>
        </w:numPr>
        <w:spacing w:after="200" w:line="276" w:lineRule="auto"/>
        <w:rPr>
          <w:noProof/>
        </w:rPr>
      </w:pPr>
      <w:r w:rsidRPr="00AC783D">
        <w:rPr>
          <w:noProof/>
        </w:rPr>
        <w:t xml:space="preserve">The NGRB must spend, or commit to spend, all funding provided under the Act by 31 December 2029, unless a later date is approved by the Minister. This obligation survives </w:t>
      </w:r>
      <w:r w:rsidRPr="00AC783D">
        <w:rPr>
          <w:noProof/>
        </w:rPr>
        <w:lastRenderedPageBreak/>
        <w:t>notwithstanding the expiry of the Guidelines or Agreement. Such approval must be requested by the NGRB, and the NGRB must provide any supporting information required by the Minister, prior to the end of the year in question. Such approval will generally only be considered in exceptional circumstances. Any agreement given by the Minister will be notified through a written direction issued under paragraph 31(1)(e) of the Regulation.</w:t>
      </w:r>
    </w:p>
    <w:p w14:paraId="50F1541D" w14:textId="77777777" w:rsidR="00655A37" w:rsidRPr="00AC783D" w:rsidRDefault="00655A37" w:rsidP="00655A37">
      <w:pPr>
        <w:numPr>
          <w:ilvl w:val="0"/>
          <w:numId w:val="22"/>
        </w:numPr>
        <w:spacing w:after="120" w:line="276" w:lineRule="auto"/>
        <w:rPr>
          <w:noProof/>
        </w:rPr>
      </w:pPr>
      <w:r w:rsidRPr="00AC783D">
        <w:rPr>
          <w:noProof/>
        </w:rPr>
        <w:t>Choice and Affordability funding must not be used for:</w:t>
      </w:r>
    </w:p>
    <w:p w14:paraId="5534B972" w14:textId="77777777" w:rsidR="00655A37" w:rsidRPr="00AC783D" w:rsidRDefault="00655A37" w:rsidP="00655A37">
      <w:pPr>
        <w:numPr>
          <w:ilvl w:val="0"/>
          <w:numId w:val="25"/>
        </w:numPr>
        <w:spacing w:after="0" w:line="276" w:lineRule="auto"/>
      </w:pPr>
      <w:r w:rsidRPr="00AC783D">
        <w:t>other operations of the NGRB not directly related to activities addressing national priorities under the Agreement</w:t>
      </w:r>
    </w:p>
    <w:p w14:paraId="62BB2D3E" w14:textId="77777777" w:rsidR="00655A37" w:rsidRPr="00AC783D" w:rsidRDefault="00655A37" w:rsidP="00655A37">
      <w:pPr>
        <w:numPr>
          <w:ilvl w:val="0"/>
          <w:numId w:val="25"/>
        </w:numPr>
        <w:spacing w:after="0" w:line="276" w:lineRule="auto"/>
      </w:pPr>
      <w:r w:rsidRPr="00AC783D">
        <w:t>study tours</w:t>
      </w:r>
    </w:p>
    <w:p w14:paraId="41C393C4" w14:textId="77777777" w:rsidR="00655A37" w:rsidRPr="00AC783D" w:rsidRDefault="00655A37" w:rsidP="00655A37">
      <w:pPr>
        <w:numPr>
          <w:ilvl w:val="0"/>
          <w:numId w:val="25"/>
        </w:numPr>
        <w:spacing w:after="0" w:line="276" w:lineRule="auto"/>
      </w:pPr>
      <w:r w:rsidRPr="00AC783D">
        <w:t>international travel of any kind</w:t>
      </w:r>
    </w:p>
    <w:p w14:paraId="0708A3CB" w14:textId="77777777" w:rsidR="00655A37" w:rsidRPr="00AC783D" w:rsidRDefault="00655A37" w:rsidP="00655A37">
      <w:pPr>
        <w:numPr>
          <w:ilvl w:val="0"/>
          <w:numId w:val="25"/>
        </w:numPr>
        <w:spacing w:after="0" w:line="276" w:lineRule="auto"/>
      </w:pPr>
      <w:r w:rsidRPr="00AC783D">
        <w:t>capital expenditure as defined in the Act unless the expenditure is for providing equipment, such as information technology equipment</w:t>
      </w:r>
    </w:p>
    <w:p w14:paraId="71805133" w14:textId="77777777" w:rsidR="00655A37" w:rsidRPr="00AC783D" w:rsidRDefault="00655A37" w:rsidP="00655A37">
      <w:pPr>
        <w:numPr>
          <w:ilvl w:val="0"/>
          <w:numId w:val="25"/>
        </w:numPr>
        <w:spacing w:after="0" w:line="276" w:lineRule="auto"/>
      </w:pPr>
      <w:r w:rsidRPr="00AC783D">
        <w:t>security for any form of loan, credit, payment or other interest</w:t>
      </w:r>
    </w:p>
    <w:p w14:paraId="62B8030B" w14:textId="77777777" w:rsidR="00655A37" w:rsidRPr="00AC783D" w:rsidRDefault="00655A37" w:rsidP="00655A37">
      <w:pPr>
        <w:numPr>
          <w:ilvl w:val="0"/>
          <w:numId w:val="25"/>
        </w:numPr>
        <w:spacing w:after="0" w:line="276" w:lineRule="auto"/>
      </w:pPr>
      <w:r w:rsidRPr="00AC783D">
        <w:t>the preparation of, or in the course of, any litigation, except litigation by a state or territory to recover a debt from the NGRB arising under the operation of the Act.</w:t>
      </w:r>
    </w:p>
    <w:p w14:paraId="48599E07" w14:textId="77777777" w:rsidR="00655A37" w:rsidRPr="00AC783D" w:rsidRDefault="00655A37" w:rsidP="00655A37">
      <w:pPr>
        <w:keepNext/>
        <w:keepLines/>
        <w:spacing w:before="240" w:after="0"/>
        <w:outlineLvl w:val="1"/>
        <w:rPr>
          <w:rFonts w:ascii="Calibri" w:eastAsiaTheme="majorEastAsia" w:hAnsi="Calibri" w:cstheme="majorBidi"/>
          <w:b/>
          <w:color w:val="002D3F"/>
          <w:sz w:val="30"/>
          <w:szCs w:val="26"/>
          <w:lang w:eastAsia="en-AU"/>
        </w:rPr>
      </w:pPr>
      <w:bookmarkStart w:id="27" w:name="_Toc28871152"/>
      <w:bookmarkStart w:id="28" w:name="_Toc197586664"/>
      <w:r w:rsidRPr="00AC783D">
        <w:rPr>
          <w:rFonts w:ascii="Calibri" w:eastAsiaTheme="majorEastAsia" w:hAnsi="Calibri" w:cstheme="majorBidi"/>
          <w:b/>
          <w:color w:val="002D3F"/>
          <w:sz w:val="30"/>
          <w:szCs w:val="26"/>
          <w:lang w:eastAsia="en-AU"/>
        </w:rPr>
        <w:t>Other funding</w:t>
      </w:r>
      <w:bookmarkEnd w:id="27"/>
      <w:bookmarkEnd w:id="28"/>
    </w:p>
    <w:p w14:paraId="31105500" w14:textId="77777777" w:rsidR="00655A37" w:rsidRPr="00AC783D" w:rsidRDefault="00655A37" w:rsidP="00655A37">
      <w:pPr>
        <w:numPr>
          <w:ilvl w:val="0"/>
          <w:numId w:val="22"/>
        </w:numPr>
        <w:spacing w:after="200" w:line="276" w:lineRule="auto"/>
        <w:rPr>
          <w:noProof/>
        </w:rPr>
      </w:pPr>
      <w:r w:rsidRPr="00AC783D">
        <w:rPr>
          <w:noProof/>
        </w:rPr>
        <w:t xml:space="preserve">The </w:t>
      </w:r>
      <w:r w:rsidRPr="00AC783D">
        <w:t>Choice</w:t>
      </w:r>
      <w:r w:rsidRPr="00AC783D">
        <w:rPr>
          <w:noProof/>
        </w:rPr>
        <w:t xml:space="preserve"> and Affordability Fund is not intended as a replacement for other sources of Commonwealth funding. </w:t>
      </w:r>
    </w:p>
    <w:p w14:paraId="5A99AE66" w14:textId="77777777" w:rsidR="00655A37" w:rsidRPr="00AC783D" w:rsidRDefault="00655A37" w:rsidP="00655A37">
      <w:pPr>
        <w:keepNext/>
        <w:keepLines/>
        <w:spacing w:before="240" w:after="0"/>
        <w:outlineLvl w:val="0"/>
        <w:rPr>
          <w:rFonts w:ascii="Calibri" w:eastAsiaTheme="majorEastAsia" w:hAnsi="Calibri" w:cstheme="majorBidi"/>
          <w:b/>
          <w:color w:val="343741"/>
          <w:sz w:val="32"/>
          <w:szCs w:val="32"/>
        </w:rPr>
      </w:pPr>
      <w:bookmarkStart w:id="29" w:name="_Toc28871153"/>
      <w:bookmarkStart w:id="30" w:name="_Toc197586665"/>
      <w:r w:rsidRPr="00AC783D">
        <w:rPr>
          <w:rFonts w:ascii="Calibri" w:eastAsiaTheme="majorEastAsia" w:hAnsi="Calibri" w:cstheme="majorBidi"/>
          <w:b/>
          <w:color w:val="343741"/>
          <w:sz w:val="32"/>
          <w:szCs w:val="32"/>
        </w:rPr>
        <w:t>Part D – Reporting and accountability</w:t>
      </w:r>
      <w:bookmarkEnd w:id="29"/>
      <w:bookmarkEnd w:id="30"/>
    </w:p>
    <w:p w14:paraId="54C4713F" w14:textId="77777777" w:rsidR="00655A37" w:rsidRPr="00AC783D" w:rsidRDefault="00655A37" w:rsidP="00655A37">
      <w:pPr>
        <w:numPr>
          <w:ilvl w:val="0"/>
          <w:numId w:val="22"/>
        </w:numPr>
        <w:spacing w:after="200" w:line="276" w:lineRule="auto"/>
      </w:pPr>
      <w:r w:rsidRPr="00AC783D">
        <w:t xml:space="preserve">The provisions in this part will reflect the ability to use funds flexibly over the period as per </w:t>
      </w:r>
      <w:r w:rsidRPr="00AC783D">
        <w:rPr>
          <w:color w:val="287BB3"/>
          <w:u w:val="single"/>
        </w:rPr>
        <w:t>paragraphs 27 and 28</w:t>
      </w:r>
      <w:r w:rsidRPr="00AC783D">
        <w:t xml:space="preserve"> of these Guidelines. </w:t>
      </w:r>
    </w:p>
    <w:p w14:paraId="0F3950D6" w14:textId="77777777" w:rsidR="00655A37" w:rsidRPr="00AC783D" w:rsidRDefault="00655A37" w:rsidP="00655A37">
      <w:pPr>
        <w:numPr>
          <w:ilvl w:val="0"/>
          <w:numId w:val="22"/>
        </w:numPr>
        <w:spacing w:after="200" w:line="276" w:lineRule="auto"/>
      </w:pPr>
      <w:r w:rsidRPr="00AC783D">
        <w:t xml:space="preserve">The approach to the delivery of activities and initiatives of the Choice and Affordability Fund will differ by state and by NGRB. Where a consistent approach to delivery of priorities </w:t>
      </w:r>
      <w:r w:rsidRPr="00AC783D">
        <w:rPr>
          <w:i/>
        </w:rPr>
        <w:t>a) Choice and Affordability of Schools, b) Transition assistance or c) Special circumstances funding</w:t>
      </w:r>
      <w:r w:rsidRPr="00AC783D">
        <w:t xml:space="preserve"> is anticipated over the period of the Agreement, the Agreement will provide the mechanism for reporting and accountability and workplans will not be mandatory. Delivery approaches that are subject to change in activities over time, that are more complex in nature, or involve centralised program expenditure by the NGRB, will require workplans to support an adequate level of reporting and accountability.</w:t>
      </w:r>
    </w:p>
    <w:p w14:paraId="24DED824" w14:textId="77777777" w:rsidR="00655A37" w:rsidRPr="00AC783D" w:rsidRDefault="00655A37" w:rsidP="00655A37">
      <w:pPr>
        <w:numPr>
          <w:ilvl w:val="0"/>
          <w:numId w:val="22"/>
        </w:numPr>
        <w:spacing w:after="120" w:line="276" w:lineRule="auto"/>
        <w:rPr>
          <w:noProof/>
        </w:rPr>
      </w:pPr>
      <w:r w:rsidRPr="00AC783D">
        <w:rPr>
          <w:noProof/>
        </w:rPr>
        <w:t>Agreements, including workplans, will be made publicly available on the department’s website.</w:t>
      </w:r>
    </w:p>
    <w:p w14:paraId="1416B1FA" w14:textId="77777777" w:rsidR="00655A37" w:rsidRPr="00AC783D" w:rsidRDefault="00655A37" w:rsidP="00655A37">
      <w:pPr>
        <w:keepNext/>
        <w:keepLines/>
        <w:spacing w:before="240" w:after="0"/>
        <w:outlineLvl w:val="1"/>
        <w:rPr>
          <w:rFonts w:ascii="Calibri" w:eastAsiaTheme="majorEastAsia" w:hAnsi="Calibri" w:cstheme="majorBidi"/>
          <w:b/>
          <w:color w:val="002D3F"/>
          <w:sz w:val="30"/>
          <w:szCs w:val="26"/>
        </w:rPr>
      </w:pPr>
      <w:bookmarkStart w:id="31" w:name="_Toc28871154"/>
      <w:bookmarkStart w:id="32" w:name="_Toc197586666"/>
      <w:r w:rsidRPr="00AC783D">
        <w:rPr>
          <w:rFonts w:ascii="Calibri" w:eastAsiaTheme="majorEastAsia" w:hAnsi="Calibri" w:cstheme="majorBidi"/>
          <w:b/>
          <w:color w:val="002D3F"/>
          <w:sz w:val="30"/>
          <w:szCs w:val="26"/>
        </w:rPr>
        <w:t>Workplans</w:t>
      </w:r>
      <w:bookmarkEnd w:id="31"/>
      <w:bookmarkEnd w:id="32"/>
      <w:r w:rsidRPr="00AC783D">
        <w:rPr>
          <w:rFonts w:ascii="Calibri" w:eastAsiaTheme="majorEastAsia" w:hAnsi="Calibri" w:cstheme="majorBidi"/>
          <w:b/>
          <w:color w:val="002D3F"/>
          <w:sz w:val="30"/>
          <w:szCs w:val="26"/>
        </w:rPr>
        <w:t xml:space="preserve"> </w:t>
      </w:r>
    </w:p>
    <w:p w14:paraId="45B66F94" w14:textId="77777777" w:rsidR="00655A37" w:rsidRPr="00AC783D" w:rsidRDefault="00655A37" w:rsidP="00655A37">
      <w:pPr>
        <w:numPr>
          <w:ilvl w:val="0"/>
          <w:numId w:val="22"/>
        </w:numPr>
        <w:spacing w:after="200" w:line="276" w:lineRule="auto"/>
      </w:pPr>
      <w:r w:rsidRPr="00AC783D">
        <w:t xml:space="preserve">Further to paragraph 33 of these Guidelines, and if required by the Agreement between the Secretary and NGRB, the NGRB must submit workplans, detailing actions to support local level priorities to the department for approval. </w:t>
      </w:r>
    </w:p>
    <w:p w14:paraId="02E35D9B" w14:textId="77777777" w:rsidR="00655A37" w:rsidRPr="00AC783D" w:rsidRDefault="00655A37" w:rsidP="00655A37">
      <w:pPr>
        <w:numPr>
          <w:ilvl w:val="0"/>
          <w:numId w:val="22"/>
        </w:numPr>
        <w:spacing w:after="200" w:line="276" w:lineRule="auto"/>
      </w:pPr>
      <w:r w:rsidRPr="00AC783D">
        <w:t xml:space="preserve">The workplan must be submitted and approved prior to provision of Choice and Affordability funding for the period covered by the workplan. </w:t>
      </w:r>
    </w:p>
    <w:p w14:paraId="678AB8CE" w14:textId="77777777" w:rsidR="00655A37" w:rsidRPr="00AC783D" w:rsidRDefault="00655A37" w:rsidP="00655A37">
      <w:pPr>
        <w:numPr>
          <w:ilvl w:val="0"/>
          <w:numId w:val="22"/>
        </w:numPr>
        <w:spacing w:after="200" w:line="276" w:lineRule="auto"/>
      </w:pPr>
      <w:r w:rsidRPr="00AC783D">
        <w:lastRenderedPageBreak/>
        <w:t>Local priorities must support and align with national priorities listed in the Agreement.</w:t>
      </w:r>
    </w:p>
    <w:p w14:paraId="4FE0AB34" w14:textId="5601F930" w:rsidR="00655A37" w:rsidRPr="00AC783D" w:rsidRDefault="00655A37" w:rsidP="00655A37">
      <w:pPr>
        <w:numPr>
          <w:ilvl w:val="0"/>
          <w:numId w:val="22"/>
        </w:numPr>
        <w:spacing w:after="200" w:line="276" w:lineRule="auto"/>
      </w:pPr>
      <w:r w:rsidRPr="00AC783D">
        <w:t xml:space="preserve">A two year workplan is required to cover the period 2020 to 2021. </w:t>
      </w:r>
      <w:r w:rsidR="007D3D38">
        <w:t>F</w:t>
      </w:r>
      <w:r w:rsidRPr="00AC783D">
        <w:t>our-year workplans are required to cover the periods 2022 to 2025</w:t>
      </w:r>
      <w:r w:rsidR="00EC2800">
        <w:t>.  Two year workplans are required to cover the periods 2026 to 2027 and 2028 to 2029.</w:t>
      </w:r>
      <w:r w:rsidRPr="00AC783D">
        <w:t xml:space="preserve"> </w:t>
      </w:r>
    </w:p>
    <w:p w14:paraId="7914B7BD" w14:textId="77777777" w:rsidR="00655A37" w:rsidRPr="00AC783D" w:rsidRDefault="00655A37" w:rsidP="00655A37">
      <w:pPr>
        <w:numPr>
          <w:ilvl w:val="0"/>
          <w:numId w:val="22"/>
        </w:numPr>
        <w:spacing w:after="200" w:line="276" w:lineRule="auto"/>
      </w:pPr>
      <w:r w:rsidRPr="00AC783D">
        <w:t xml:space="preserve">Prior to the conclusion of each workplan, an updated workplan must be submitted to, and approved by, the Secretary in order to continue receiving Choice and Affordability funding for the following period. Payment is subject to a satisfactory workplan being received and approved. </w:t>
      </w:r>
    </w:p>
    <w:p w14:paraId="2AD9C34D" w14:textId="77777777" w:rsidR="00655A37" w:rsidRPr="00AC783D" w:rsidRDefault="00655A37" w:rsidP="00655A37">
      <w:pPr>
        <w:numPr>
          <w:ilvl w:val="0"/>
          <w:numId w:val="22"/>
        </w:numPr>
        <w:spacing w:after="200" w:line="276" w:lineRule="auto"/>
      </w:pPr>
      <w:r w:rsidRPr="00AC783D">
        <w:t xml:space="preserve">Any delay by the NGRB in meeting these timeframes may affect payments and/or the timing of payments. </w:t>
      </w:r>
    </w:p>
    <w:p w14:paraId="7F261B57" w14:textId="77777777" w:rsidR="00655A37" w:rsidRPr="00AC783D" w:rsidRDefault="00655A37" w:rsidP="00655A37">
      <w:pPr>
        <w:numPr>
          <w:ilvl w:val="0"/>
          <w:numId w:val="22"/>
        </w:numPr>
        <w:spacing w:after="200" w:line="276" w:lineRule="auto"/>
      </w:pPr>
      <w:r w:rsidRPr="00AC783D">
        <w:t xml:space="preserve">The workplan must focus on at least one of the national priorities listed in </w:t>
      </w:r>
      <w:r w:rsidRPr="00AC783D">
        <w:rPr>
          <w:color w:val="287BB3"/>
          <w:u w:val="single"/>
        </w:rPr>
        <w:t>paragraph 9</w:t>
      </w:r>
      <w:r w:rsidRPr="00AC783D">
        <w:t xml:space="preserve"> of these Guidelines and local priorities agreed by the Parties. </w:t>
      </w:r>
    </w:p>
    <w:p w14:paraId="73F3C58C" w14:textId="77777777" w:rsidR="00655A37" w:rsidRPr="00AC783D" w:rsidRDefault="00655A37" w:rsidP="00655A37">
      <w:pPr>
        <w:numPr>
          <w:ilvl w:val="0"/>
          <w:numId w:val="22"/>
        </w:numPr>
        <w:spacing w:after="200" w:line="276" w:lineRule="auto"/>
      </w:pPr>
      <w:r w:rsidRPr="00AC783D">
        <w:t xml:space="preserve">Any workplan must be in a template approved by the Secretary. A workplan template will be provided to NGRBs by the department as an attachment to the Agreement. </w:t>
      </w:r>
    </w:p>
    <w:p w14:paraId="69EE9041" w14:textId="77777777" w:rsidR="00655A37" w:rsidRPr="00AC783D" w:rsidRDefault="00655A37" w:rsidP="00655A37">
      <w:pPr>
        <w:numPr>
          <w:ilvl w:val="0"/>
          <w:numId w:val="22"/>
        </w:numPr>
        <w:spacing w:after="120" w:line="276" w:lineRule="auto"/>
      </w:pPr>
      <w:r w:rsidRPr="00AC783D">
        <w:t xml:space="preserve"> A workplan must include:</w:t>
      </w:r>
    </w:p>
    <w:p w14:paraId="00210C52" w14:textId="77777777" w:rsidR="00655A37" w:rsidRPr="00AC783D" w:rsidRDefault="00655A37" w:rsidP="00655A37">
      <w:pPr>
        <w:numPr>
          <w:ilvl w:val="0"/>
          <w:numId w:val="26"/>
        </w:numPr>
        <w:spacing w:after="0" w:line="276" w:lineRule="auto"/>
      </w:pPr>
      <w:r w:rsidRPr="00AC783D">
        <w:t>the activities the NGRB will undertake for the period of the workplan that support the national and local priorities</w:t>
      </w:r>
    </w:p>
    <w:p w14:paraId="0EE25F30" w14:textId="77777777" w:rsidR="00655A37" w:rsidRPr="00AC783D" w:rsidRDefault="00655A37" w:rsidP="00655A37">
      <w:pPr>
        <w:numPr>
          <w:ilvl w:val="0"/>
          <w:numId w:val="26"/>
        </w:numPr>
        <w:spacing w:after="0" w:line="276" w:lineRule="auto"/>
      </w:pPr>
      <w:r w:rsidRPr="00AC783D">
        <w:t>an indicative budget for each activity</w:t>
      </w:r>
    </w:p>
    <w:p w14:paraId="1D6A6D2A" w14:textId="77777777" w:rsidR="00655A37" w:rsidRPr="00AC783D" w:rsidRDefault="00655A37" w:rsidP="00655A37">
      <w:pPr>
        <w:numPr>
          <w:ilvl w:val="0"/>
          <w:numId w:val="26"/>
        </w:numPr>
        <w:spacing w:after="0" w:line="276" w:lineRule="auto"/>
      </w:pPr>
      <w:r w:rsidRPr="00AC783D">
        <w:t>the expected funding allocation from the NGRB to approved authorities as well as centrally expended support by priority</w:t>
      </w:r>
    </w:p>
    <w:p w14:paraId="16EA92FF" w14:textId="77777777" w:rsidR="00655A37" w:rsidRPr="00AC783D" w:rsidRDefault="00655A37" w:rsidP="00655A37">
      <w:pPr>
        <w:numPr>
          <w:ilvl w:val="0"/>
          <w:numId w:val="26"/>
        </w:numPr>
        <w:spacing w:after="0" w:line="276" w:lineRule="auto"/>
      </w:pPr>
      <w:r w:rsidRPr="00AC783D">
        <w:t>an outline of the intended outcomes of the activity and quantifiable measures of success, where possible</w:t>
      </w:r>
    </w:p>
    <w:p w14:paraId="4016092B" w14:textId="77777777" w:rsidR="00655A37" w:rsidRPr="00AC783D" w:rsidRDefault="00655A37" w:rsidP="00655A37">
      <w:pPr>
        <w:numPr>
          <w:ilvl w:val="0"/>
          <w:numId w:val="26"/>
        </w:numPr>
        <w:spacing w:after="200" w:line="276" w:lineRule="auto"/>
      </w:pPr>
      <w:r w:rsidRPr="00AC783D">
        <w:t>how the NGRB proposes to enable the approved authorities it supports for the purposes of the Choice and Affordability Fund to participate in activities as appropriate.</w:t>
      </w:r>
    </w:p>
    <w:p w14:paraId="286A89DE" w14:textId="77777777" w:rsidR="00655A37" w:rsidRPr="00AC783D" w:rsidRDefault="00655A37" w:rsidP="00655A37">
      <w:pPr>
        <w:numPr>
          <w:ilvl w:val="0"/>
          <w:numId w:val="22"/>
        </w:numPr>
        <w:spacing w:after="200" w:line="276" w:lineRule="auto"/>
      </w:pPr>
      <w:r w:rsidRPr="00AC783D">
        <w:t xml:space="preserve">The Secretary will assess a workplan against the requirements in these Guidelines, and any written directions issued by the Minister </w:t>
      </w:r>
      <w:r w:rsidRPr="00AC783D">
        <w:rPr>
          <w:noProof/>
        </w:rPr>
        <w:t>under paragraph 31(1)(e) of the Regulation,</w:t>
      </w:r>
      <w:r w:rsidRPr="00AC783D">
        <w:t xml:space="preserve"> and approve it once satisfied the workplan meets the requirements. </w:t>
      </w:r>
    </w:p>
    <w:p w14:paraId="1A37DBEC" w14:textId="77777777" w:rsidR="00655A37" w:rsidRPr="00AC783D" w:rsidRDefault="00655A37" w:rsidP="00655A37">
      <w:pPr>
        <w:numPr>
          <w:ilvl w:val="0"/>
          <w:numId w:val="22"/>
        </w:numPr>
        <w:spacing w:after="200" w:line="276" w:lineRule="auto"/>
      </w:pPr>
      <w:r w:rsidRPr="00AC783D">
        <w:t xml:space="preserve">Once approved, the workplan forms an attachment to, and is part of, the Agreement between the Secretary and NGRB. </w:t>
      </w:r>
    </w:p>
    <w:p w14:paraId="6BFCB124" w14:textId="77777777" w:rsidR="00655A37" w:rsidRPr="00AC783D" w:rsidRDefault="00655A37" w:rsidP="00655A37">
      <w:pPr>
        <w:numPr>
          <w:ilvl w:val="0"/>
          <w:numId w:val="22"/>
        </w:numPr>
        <w:spacing w:after="200" w:line="276" w:lineRule="auto"/>
      </w:pPr>
      <w:r w:rsidRPr="00AC783D">
        <w:t xml:space="preserve">In accordance with the Agreement, any variations to an approved workplan that results in a significant redirection of resources or a significant impact on intended outcomes must be agreed by both the Secretary and the relevant NGRB in writing. </w:t>
      </w:r>
    </w:p>
    <w:p w14:paraId="5824AC0F" w14:textId="77777777" w:rsidR="00655A37" w:rsidRPr="00AC783D" w:rsidRDefault="00655A37" w:rsidP="00655A37">
      <w:pPr>
        <w:keepNext/>
        <w:keepLines/>
        <w:spacing w:before="240" w:after="0"/>
        <w:outlineLvl w:val="1"/>
        <w:rPr>
          <w:rFonts w:ascii="Calibri" w:eastAsiaTheme="majorEastAsia" w:hAnsi="Calibri" w:cstheme="majorBidi"/>
          <w:b/>
          <w:color w:val="002D3F"/>
          <w:sz w:val="30"/>
          <w:szCs w:val="26"/>
        </w:rPr>
      </w:pPr>
      <w:bookmarkStart w:id="33" w:name="_Toc28871155"/>
      <w:bookmarkStart w:id="34" w:name="_Toc197586667"/>
      <w:r w:rsidRPr="00AC783D">
        <w:rPr>
          <w:rFonts w:ascii="Calibri" w:eastAsiaTheme="majorEastAsia" w:hAnsi="Calibri" w:cstheme="majorBidi"/>
          <w:b/>
          <w:color w:val="002D3F"/>
          <w:sz w:val="30"/>
          <w:szCs w:val="26"/>
        </w:rPr>
        <w:lastRenderedPageBreak/>
        <w:t>Certificate, report and financial statements</w:t>
      </w:r>
      <w:bookmarkEnd w:id="33"/>
      <w:bookmarkEnd w:id="34"/>
    </w:p>
    <w:p w14:paraId="11E9B091" w14:textId="77777777" w:rsidR="00655A37" w:rsidRPr="00AC783D" w:rsidRDefault="00655A37" w:rsidP="00655A37">
      <w:pPr>
        <w:keepNext/>
        <w:keepLines/>
        <w:numPr>
          <w:ilvl w:val="0"/>
          <w:numId w:val="22"/>
        </w:numPr>
        <w:spacing w:after="200" w:line="276" w:lineRule="auto"/>
        <w:rPr>
          <w:rFonts w:cstheme="majorHAnsi"/>
        </w:rPr>
      </w:pPr>
      <w:r w:rsidRPr="00AC783D">
        <w:rPr>
          <w:rFonts w:cstheme="majorHAnsi"/>
        </w:rPr>
        <w:t>Each NGRB must comply with the financial statement, reporting and acquittal requirements as specified in sections 34, 36 and 38 of the Regulation.</w:t>
      </w:r>
    </w:p>
    <w:p w14:paraId="4D275A7B" w14:textId="77777777" w:rsidR="00655A37" w:rsidRPr="00AC783D" w:rsidRDefault="00655A37" w:rsidP="00655A37">
      <w:pPr>
        <w:keepNext/>
        <w:keepLines/>
        <w:numPr>
          <w:ilvl w:val="0"/>
          <w:numId w:val="22"/>
        </w:numPr>
        <w:spacing w:after="200" w:line="276" w:lineRule="auto"/>
        <w:rPr>
          <w:rFonts w:cstheme="majorHAnsi"/>
        </w:rPr>
      </w:pPr>
      <w:r w:rsidRPr="00AC783D">
        <w:rPr>
          <w:rFonts w:cstheme="majorHAnsi"/>
        </w:rPr>
        <w:t>Acquittal reports must identify funding spent in each year as well as funding committed to be spent in a future year.</w:t>
      </w:r>
    </w:p>
    <w:p w14:paraId="79C6F62C" w14:textId="77777777" w:rsidR="00655A37" w:rsidRPr="00AC783D" w:rsidRDefault="00655A37" w:rsidP="00655A37">
      <w:pPr>
        <w:keepNext/>
        <w:keepLines/>
        <w:numPr>
          <w:ilvl w:val="0"/>
          <w:numId w:val="22"/>
        </w:numPr>
        <w:spacing w:after="200" w:line="276" w:lineRule="auto"/>
        <w:rPr>
          <w:rFonts w:cstheme="majorHAnsi"/>
        </w:rPr>
      </w:pPr>
      <w:r w:rsidRPr="00AC783D">
        <w:rPr>
          <w:rFonts w:cstheme="majorHAnsi"/>
        </w:rPr>
        <w:t>NGRBs must require non</w:t>
      </w:r>
      <w:r w:rsidRPr="00AC783D">
        <w:rPr>
          <w:rFonts w:cstheme="majorHAnsi"/>
        </w:rPr>
        <w:noBreakHyphen/>
        <w:t xml:space="preserve">government schools to certify that distributed funding has been used for the purposes it was provided. </w:t>
      </w:r>
    </w:p>
    <w:p w14:paraId="60DEFFDA" w14:textId="77777777" w:rsidR="00655A37" w:rsidRPr="00AC783D" w:rsidRDefault="00655A37" w:rsidP="00655A37">
      <w:pPr>
        <w:keepNext/>
        <w:keepLines/>
        <w:spacing w:before="240" w:after="0"/>
        <w:outlineLvl w:val="1"/>
        <w:rPr>
          <w:rFonts w:ascii="Calibri" w:eastAsiaTheme="majorEastAsia" w:hAnsi="Calibri" w:cstheme="majorBidi"/>
          <w:b/>
          <w:color w:val="002D3F"/>
          <w:sz w:val="30"/>
          <w:szCs w:val="26"/>
        </w:rPr>
      </w:pPr>
      <w:bookmarkStart w:id="35" w:name="_Toc28871156"/>
      <w:bookmarkStart w:id="36" w:name="_Toc197586668"/>
      <w:r w:rsidRPr="00AC783D">
        <w:rPr>
          <w:rFonts w:ascii="Calibri" w:eastAsiaTheme="majorEastAsia" w:hAnsi="Calibri" w:cstheme="majorBidi"/>
          <w:b/>
          <w:color w:val="002D3F"/>
          <w:sz w:val="30"/>
          <w:szCs w:val="26"/>
        </w:rPr>
        <w:t>Annual reports</w:t>
      </w:r>
      <w:bookmarkEnd w:id="35"/>
      <w:bookmarkEnd w:id="36"/>
    </w:p>
    <w:p w14:paraId="660A306D" w14:textId="77777777" w:rsidR="00655A37" w:rsidRPr="00AC783D" w:rsidRDefault="00655A37" w:rsidP="00655A37">
      <w:pPr>
        <w:numPr>
          <w:ilvl w:val="0"/>
          <w:numId w:val="22"/>
        </w:numPr>
        <w:autoSpaceDE w:val="0"/>
        <w:autoSpaceDN w:val="0"/>
        <w:adjustRightInd w:val="0"/>
        <w:spacing w:after="200" w:line="240" w:lineRule="auto"/>
        <w:rPr>
          <w:rFonts w:ascii="Calibri" w:hAnsi="Calibri" w:cs="Calibri"/>
        </w:rPr>
      </w:pPr>
      <w:r w:rsidRPr="00AC783D">
        <w:rPr>
          <w:rFonts w:ascii="Calibri" w:hAnsi="Calibri" w:cs="Calibri"/>
          <w:color w:val="000000"/>
        </w:rPr>
        <w:t xml:space="preserve">By 30 June each year the NGRB must provide the Secretary with a report, as provided for by section 36(6) of the Regulation, in relation </w:t>
      </w:r>
      <w:r w:rsidRPr="00AC783D">
        <w:rPr>
          <w:rFonts w:ascii="Calibri" w:hAnsi="Calibri" w:cs="Calibri"/>
        </w:rPr>
        <w:t xml:space="preserve">to its activities for the previous year (annual report). </w:t>
      </w:r>
    </w:p>
    <w:p w14:paraId="2FF0A475" w14:textId="77777777" w:rsidR="00655A37" w:rsidRPr="00AC783D" w:rsidRDefault="00655A37" w:rsidP="00655A37">
      <w:pPr>
        <w:numPr>
          <w:ilvl w:val="0"/>
          <w:numId w:val="22"/>
        </w:numPr>
        <w:autoSpaceDE w:val="0"/>
        <w:autoSpaceDN w:val="0"/>
        <w:adjustRightInd w:val="0"/>
        <w:spacing w:after="200" w:line="240" w:lineRule="auto"/>
        <w:rPr>
          <w:rFonts w:ascii="Calibri" w:hAnsi="Calibri" w:cs="Calibri"/>
        </w:rPr>
      </w:pPr>
      <w:r w:rsidRPr="00AC783D">
        <w:rPr>
          <w:rFonts w:ascii="Calibri" w:hAnsi="Calibri" w:cs="Calibri"/>
        </w:rPr>
        <w:t xml:space="preserve">The annual report must be in the template approved by the Secretary, provided as an Attachment to the Agreement. </w:t>
      </w:r>
    </w:p>
    <w:p w14:paraId="3DE1F4B2" w14:textId="77777777" w:rsidR="00655A37" w:rsidRPr="00AC783D" w:rsidRDefault="00655A37" w:rsidP="00655A37">
      <w:pPr>
        <w:numPr>
          <w:ilvl w:val="0"/>
          <w:numId w:val="22"/>
        </w:numPr>
        <w:autoSpaceDE w:val="0"/>
        <w:autoSpaceDN w:val="0"/>
        <w:adjustRightInd w:val="0"/>
        <w:spacing w:after="120" w:line="240" w:lineRule="auto"/>
        <w:contextualSpacing/>
        <w:rPr>
          <w:rFonts w:ascii="Calibri" w:hAnsi="Calibri" w:cs="Calibri"/>
        </w:rPr>
      </w:pPr>
      <w:r w:rsidRPr="00AC783D">
        <w:rPr>
          <w:rFonts w:cstheme="majorHAnsi"/>
        </w:rPr>
        <w:t xml:space="preserve">The annual report should outline progress in achieving the priority objectives and intended outcomes identified in the Agreement, including the workplan. </w:t>
      </w:r>
      <w:r w:rsidRPr="00AC783D">
        <w:rPr>
          <w:rFonts w:ascii="Calibri" w:hAnsi="Calibri" w:cs="Calibri"/>
        </w:rPr>
        <w:t xml:space="preserve">At a minimum, the annual report must include: </w:t>
      </w:r>
    </w:p>
    <w:p w14:paraId="2075227D" w14:textId="77777777" w:rsidR="00655A37" w:rsidRPr="00AC783D" w:rsidRDefault="00655A37" w:rsidP="00655A37">
      <w:pPr>
        <w:keepNext/>
        <w:keepLines/>
        <w:numPr>
          <w:ilvl w:val="0"/>
          <w:numId w:val="27"/>
        </w:numPr>
        <w:spacing w:after="0" w:line="276" w:lineRule="auto"/>
        <w:rPr>
          <w:rFonts w:cstheme="majorHAnsi"/>
        </w:rPr>
      </w:pPr>
      <w:r w:rsidRPr="00AC783D">
        <w:rPr>
          <w:rFonts w:cstheme="majorHAnsi"/>
        </w:rPr>
        <w:t xml:space="preserve">a detailed activity report against each priority as set out in the NGRB Agreement including listing of schools targeted against each priority and description of outcomes </w:t>
      </w:r>
    </w:p>
    <w:p w14:paraId="48B8D65F" w14:textId="77777777" w:rsidR="00655A37" w:rsidRPr="00AC783D" w:rsidRDefault="00655A37" w:rsidP="00655A37">
      <w:pPr>
        <w:keepNext/>
        <w:keepLines/>
        <w:numPr>
          <w:ilvl w:val="0"/>
          <w:numId w:val="27"/>
        </w:numPr>
        <w:spacing w:after="0" w:line="276" w:lineRule="auto"/>
        <w:rPr>
          <w:rFonts w:cstheme="majorHAnsi"/>
        </w:rPr>
      </w:pPr>
      <w:r w:rsidRPr="00AC783D">
        <w:rPr>
          <w:rFonts w:cstheme="majorHAnsi"/>
        </w:rPr>
        <w:t>a report on distribution of funding including separate identification of total funding provided directly to schools by priority, as well as centrally expended support by priority</w:t>
      </w:r>
    </w:p>
    <w:p w14:paraId="7604E6DB" w14:textId="77777777" w:rsidR="00655A37" w:rsidRPr="00AC783D" w:rsidRDefault="00655A37" w:rsidP="00655A37">
      <w:pPr>
        <w:numPr>
          <w:ilvl w:val="0"/>
          <w:numId w:val="27"/>
        </w:numPr>
        <w:spacing w:after="160" w:line="276" w:lineRule="auto"/>
        <w:rPr>
          <w:rFonts w:cstheme="majorHAnsi"/>
        </w:rPr>
      </w:pPr>
      <w:r w:rsidRPr="00AC783D">
        <w:rPr>
          <w:rFonts w:cstheme="majorHAnsi"/>
        </w:rPr>
        <w:t>financial statements prepared in accordance with the Australian Accounting Standards, as outlined in section 38 of the Regulation.</w:t>
      </w:r>
    </w:p>
    <w:p w14:paraId="3519526D" w14:textId="77777777" w:rsidR="00655A37" w:rsidRPr="00AC783D" w:rsidRDefault="00655A37" w:rsidP="00655A37">
      <w:pPr>
        <w:numPr>
          <w:ilvl w:val="0"/>
          <w:numId w:val="22"/>
        </w:numPr>
        <w:spacing w:after="120" w:line="276" w:lineRule="auto"/>
        <w:rPr>
          <w:rFonts w:cstheme="majorHAnsi"/>
        </w:rPr>
      </w:pPr>
      <w:r w:rsidRPr="00AC783D">
        <w:rPr>
          <w:rFonts w:cstheme="majorHAnsi"/>
        </w:rPr>
        <w:t xml:space="preserve">The Minister’s approval of an annual report is required as a condition of ongoing funding. In assessing annual reports, the </w:t>
      </w:r>
      <w:r w:rsidRPr="00AC783D">
        <w:t xml:space="preserve">Minister </w:t>
      </w:r>
      <w:r w:rsidRPr="00AC783D">
        <w:rPr>
          <w:rFonts w:cstheme="majorHAnsi"/>
        </w:rPr>
        <w:t>will consider:</w:t>
      </w:r>
    </w:p>
    <w:p w14:paraId="277BE49C" w14:textId="77777777" w:rsidR="00655A37" w:rsidRPr="00AC783D" w:rsidRDefault="00655A37" w:rsidP="00655A37">
      <w:pPr>
        <w:numPr>
          <w:ilvl w:val="0"/>
          <w:numId w:val="28"/>
        </w:numPr>
        <w:spacing w:after="0" w:line="276" w:lineRule="auto"/>
        <w:rPr>
          <w:rFonts w:cstheme="majorHAnsi"/>
        </w:rPr>
      </w:pPr>
      <w:r w:rsidRPr="00AC783D">
        <w:rPr>
          <w:rFonts w:cstheme="majorHAnsi"/>
        </w:rPr>
        <w:t xml:space="preserve">consistency of the annual report with the Agreement priorities or workplan </w:t>
      </w:r>
    </w:p>
    <w:p w14:paraId="56FDF350" w14:textId="77777777" w:rsidR="00655A37" w:rsidRPr="00AC783D" w:rsidRDefault="00655A37" w:rsidP="00655A37">
      <w:pPr>
        <w:numPr>
          <w:ilvl w:val="0"/>
          <w:numId w:val="28"/>
        </w:numPr>
        <w:spacing w:after="120" w:line="276" w:lineRule="auto"/>
        <w:rPr>
          <w:rFonts w:cstheme="majorHAnsi"/>
        </w:rPr>
      </w:pPr>
      <w:r w:rsidRPr="00AC783D">
        <w:rPr>
          <w:rFonts w:cstheme="majorHAnsi"/>
        </w:rPr>
        <w:t xml:space="preserve">the distribution of funding to the </w:t>
      </w:r>
      <w:r w:rsidRPr="00AC783D">
        <w:t>NGRB’s</w:t>
      </w:r>
      <w:r w:rsidRPr="00AC783D">
        <w:rPr>
          <w:rFonts w:cstheme="majorHAnsi"/>
        </w:rPr>
        <w:t xml:space="preserve"> represented schools.</w:t>
      </w:r>
    </w:p>
    <w:p w14:paraId="676C1834" w14:textId="77777777" w:rsidR="00655A37" w:rsidRPr="00AC783D" w:rsidRDefault="00655A37" w:rsidP="00655A37">
      <w:pPr>
        <w:numPr>
          <w:ilvl w:val="0"/>
          <w:numId w:val="29"/>
        </w:numPr>
        <w:spacing w:after="160" w:line="276" w:lineRule="auto"/>
        <w:rPr>
          <w:rFonts w:cstheme="majorHAnsi"/>
        </w:rPr>
      </w:pPr>
      <w:r w:rsidRPr="00AC783D">
        <w:rPr>
          <w:rFonts w:cstheme="majorHAnsi"/>
        </w:rPr>
        <w:t xml:space="preserve">Note: Representation is prescribed in accordance with section 89 of the Act and membership of a NGRB is not a prerequisite to representation </w:t>
      </w:r>
    </w:p>
    <w:p w14:paraId="38E9826B" w14:textId="77777777" w:rsidR="00655A37" w:rsidRPr="00184BFD" w:rsidRDefault="00655A37" w:rsidP="00655A37">
      <w:pPr>
        <w:pStyle w:val="ListParagraph"/>
        <w:numPr>
          <w:ilvl w:val="0"/>
          <w:numId w:val="22"/>
        </w:numPr>
        <w:spacing w:line="276" w:lineRule="auto"/>
        <w:rPr>
          <w:rFonts w:cstheme="majorHAnsi"/>
        </w:rPr>
      </w:pPr>
      <w:r w:rsidRPr="00AC783D">
        <w:rPr>
          <w:rFonts w:cstheme="majorHAnsi"/>
        </w:rPr>
        <w:t>Following this, the department will publish a consolidated annual report on the expenditure of Choice and Affordability funding. This will be available on the department’s website.</w:t>
      </w:r>
      <w:r w:rsidRPr="00184BFD">
        <w:rPr>
          <w:rFonts w:cstheme="majorHAnsi"/>
        </w:rPr>
        <w:t xml:space="preserve"> </w:t>
      </w:r>
    </w:p>
    <w:p w14:paraId="713D228D" w14:textId="77777777" w:rsidR="00655A37" w:rsidRPr="00AC783D" w:rsidRDefault="00655A37" w:rsidP="00655A37">
      <w:pPr>
        <w:keepNext/>
        <w:keepLines/>
        <w:spacing w:before="240" w:after="0"/>
        <w:outlineLvl w:val="1"/>
        <w:rPr>
          <w:rFonts w:ascii="Calibri" w:eastAsiaTheme="majorEastAsia" w:hAnsi="Calibri" w:cstheme="majorBidi"/>
          <w:b/>
          <w:color w:val="002D3F"/>
          <w:sz w:val="30"/>
          <w:szCs w:val="26"/>
        </w:rPr>
      </w:pPr>
      <w:bookmarkStart w:id="37" w:name="_Toc28871157"/>
      <w:bookmarkStart w:id="38" w:name="_Toc197586669"/>
      <w:r w:rsidRPr="00AC783D">
        <w:rPr>
          <w:rFonts w:ascii="Calibri" w:eastAsiaTheme="majorEastAsia" w:hAnsi="Calibri" w:cstheme="majorBidi"/>
          <w:b/>
          <w:color w:val="002D3F"/>
          <w:sz w:val="30"/>
          <w:szCs w:val="26"/>
        </w:rPr>
        <w:t>Record keeping and information provision</w:t>
      </w:r>
      <w:bookmarkEnd w:id="37"/>
      <w:bookmarkEnd w:id="38"/>
    </w:p>
    <w:p w14:paraId="516379B3" w14:textId="77777777" w:rsidR="00655A37" w:rsidRPr="00AC783D" w:rsidRDefault="00655A37" w:rsidP="00655A37">
      <w:pPr>
        <w:numPr>
          <w:ilvl w:val="0"/>
          <w:numId w:val="22"/>
        </w:numPr>
        <w:spacing w:after="120" w:line="276" w:lineRule="auto"/>
        <w:rPr>
          <w:rFonts w:cstheme="majorHAnsi"/>
        </w:rPr>
      </w:pPr>
      <w:r w:rsidRPr="00AC783D">
        <w:rPr>
          <w:rFonts w:cstheme="majorHAnsi"/>
        </w:rPr>
        <w:t>In accordance with the NGRBs’ obligations under section 39 of the Regulation, NGRBs must allow a person authorised by the Minister (or their delegate) to do either or both of the following:</w:t>
      </w:r>
    </w:p>
    <w:p w14:paraId="7040B93E" w14:textId="77777777" w:rsidR="00655A37" w:rsidRPr="00AC783D" w:rsidRDefault="00655A37" w:rsidP="00655A37">
      <w:pPr>
        <w:numPr>
          <w:ilvl w:val="0"/>
          <w:numId w:val="30"/>
        </w:numPr>
        <w:spacing w:after="0" w:line="276" w:lineRule="auto"/>
        <w:rPr>
          <w:rFonts w:cstheme="majorHAnsi"/>
        </w:rPr>
      </w:pPr>
      <w:r w:rsidRPr="00AC783D">
        <w:rPr>
          <w:rFonts w:cstheme="majorHAnsi"/>
        </w:rPr>
        <w:t>have full and free access, at all reasonable times after giving reasonable notice to the NGRB, to the NGRB’s accounts, records and other documents relating to the Choice and Affordability Fund the NGRB is required to provide to the department; and/or</w:t>
      </w:r>
    </w:p>
    <w:p w14:paraId="7E0F6AF8" w14:textId="77777777" w:rsidR="00655A37" w:rsidRPr="00AC783D" w:rsidRDefault="00655A37" w:rsidP="00655A37">
      <w:pPr>
        <w:numPr>
          <w:ilvl w:val="0"/>
          <w:numId w:val="30"/>
        </w:numPr>
        <w:spacing w:after="200" w:line="276" w:lineRule="auto"/>
        <w:rPr>
          <w:rFonts w:cstheme="minorHAnsi"/>
        </w:rPr>
      </w:pPr>
      <w:r w:rsidRPr="00AC783D">
        <w:rPr>
          <w:rFonts w:cstheme="minorHAnsi"/>
        </w:rPr>
        <w:t xml:space="preserve">take extracts from, or make copies of, the material referred to above. </w:t>
      </w:r>
    </w:p>
    <w:p w14:paraId="30879837" w14:textId="77777777" w:rsidR="00655A37" w:rsidRPr="00AC783D" w:rsidRDefault="00655A37" w:rsidP="00655A37">
      <w:pPr>
        <w:numPr>
          <w:ilvl w:val="0"/>
          <w:numId w:val="22"/>
        </w:numPr>
        <w:autoSpaceDE w:val="0"/>
        <w:autoSpaceDN w:val="0"/>
        <w:adjustRightInd w:val="0"/>
        <w:spacing w:after="200" w:line="276" w:lineRule="auto"/>
        <w:contextualSpacing/>
        <w:rPr>
          <w:rFonts w:cstheme="minorHAnsi"/>
          <w:color w:val="000000"/>
        </w:rPr>
      </w:pPr>
      <w:r w:rsidRPr="00AC783D">
        <w:rPr>
          <w:rFonts w:cstheme="minorHAnsi"/>
          <w:color w:val="000000"/>
        </w:rPr>
        <w:lastRenderedPageBreak/>
        <w:t xml:space="preserve">Each NGRB must keep records as specified in section 37 of the Regulation. </w:t>
      </w:r>
    </w:p>
    <w:p w14:paraId="5CE75404" w14:textId="77777777" w:rsidR="00655A37" w:rsidRPr="00AC783D" w:rsidRDefault="00655A37" w:rsidP="00655A37">
      <w:pPr>
        <w:autoSpaceDE w:val="0"/>
        <w:autoSpaceDN w:val="0"/>
        <w:adjustRightInd w:val="0"/>
        <w:spacing w:after="135" w:line="360" w:lineRule="auto"/>
        <w:ind w:left="360"/>
        <w:contextualSpacing/>
        <w:rPr>
          <w:rFonts w:cstheme="minorHAnsi"/>
          <w:color w:val="000000"/>
        </w:rPr>
      </w:pPr>
    </w:p>
    <w:p w14:paraId="318EF5B8" w14:textId="77777777" w:rsidR="00655A37" w:rsidRPr="00AC783D" w:rsidRDefault="00655A37" w:rsidP="00655A37">
      <w:pPr>
        <w:numPr>
          <w:ilvl w:val="0"/>
          <w:numId w:val="22"/>
        </w:numPr>
        <w:autoSpaceDE w:val="0"/>
        <w:autoSpaceDN w:val="0"/>
        <w:adjustRightInd w:val="0"/>
        <w:spacing w:after="120" w:line="276" w:lineRule="auto"/>
        <w:rPr>
          <w:rFonts w:cstheme="minorHAnsi"/>
          <w:color w:val="000000"/>
        </w:rPr>
      </w:pPr>
      <w:r w:rsidRPr="00AC783D">
        <w:rPr>
          <w:rFonts w:cstheme="minorHAnsi"/>
          <w:color w:val="000000"/>
        </w:rPr>
        <w:t xml:space="preserve">Records relating to the body’s compliance with the Act and its financial administration would include but are not limited to records: </w:t>
      </w:r>
    </w:p>
    <w:p w14:paraId="54756CA2" w14:textId="77777777" w:rsidR="00655A37" w:rsidRPr="00AC783D" w:rsidRDefault="00655A37" w:rsidP="00655A37">
      <w:pPr>
        <w:numPr>
          <w:ilvl w:val="0"/>
          <w:numId w:val="31"/>
        </w:numPr>
        <w:spacing w:after="0" w:line="276" w:lineRule="auto"/>
        <w:rPr>
          <w:rFonts w:cstheme="majorHAnsi"/>
        </w:rPr>
      </w:pPr>
      <w:r w:rsidRPr="00AC783D">
        <w:rPr>
          <w:rFonts w:cstheme="majorHAnsi"/>
        </w:rPr>
        <w:t xml:space="preserve">identifying all receipt and expenditure of funding provided under the Act; </w:t>
      </w:r>
    </w:p>
    <w:p w14:paraId="37D5660F" w14:textId="77777777" w:rsidR="00655A37" w:rsidRPr="00AC783D" w:rsidRDefault="00655A37" w:rsidP="00655A37">
      <w:pPr>
        <w:numPr>
          <w:ilvl w:val="0"/>
          <w:numId w:val="31"/>
        </w:numPr>
        <w:spacing w:after="0" w:line="276" w:lineRule="auto"/>
        <w:rPr>
          <w:rFonts w:cstheme="majorHAnsi"/>
        </w:rPr>
      </w:pPr>
      <w:r w:rsidRPr="00AC783D">
        <w:rPr>
          <w:rFonts w:cstheme="majorHAnsi"/>
        </w:rPr>
        <w:t>demonstrating the NGRB is meeting its obligations under the Act, the Regulation, these Guidelines and the Agreement;</w:t>
      </w:r>
    </w:p>
    <w:p w14:paraId="10B913CF" w14:textId="77777777" w:rsidR="00655A37" w:rsidRPr="00AC783D" w:rsidRDefault="00655A37" w:rsidP="00655A37">
      <w:pPr>
        <w:numPr>
          <w:ilvl w:val="0"/>
          <w:numId w:val="31"/>
        </w:numPr>
        <w:spacing w:after="0" w:line="276" w:lineRule="auto"/>
        <w:rPr>
          <w:rFonts w:cstheme="majorHAnsi"/>
        </w:rPr>
      </w:pPr>
      <w:r w:rsidRPr="00AC783D">
        <w:rPr>
          <w:rFonts w:cstheme="majorHAnsi"/>
        </w:rPr>
        <w:t>demonstrating NGRB decision-making in relation to its financial administration and governance;</w:t>
      </w:r>
    </w:p>
    <w:p w14:paraId="2739B52E" w14:textId="77777777" w:rsidR="00655A37" w:rsidRPr="00AC783D" w:rsidRDefault="00655A37" w:rsidP="00655A37">
      <w:pPr>
        <w:numPr>
          <w:ilvl w:val="0"/>
          <w:numId w:val="31"/>
        </w:numPr>
        <w:spacing w:after="200" w:line="276" w:lineRule="auto"/>
        <w:rPr>
          <w:rFonts w:cstheme="majorHAnsi"/>
        </w:rPr>
      </w:pPr>
      <w:r w:rsidRPr="00AC783D" w:rsidDel="00470577">
        <w:rPr>
          <w:rFonts w:cstheme="majorHAnsi"/>
        </w:rPr>
        <w:t>meet</w:t>
      </w:r>
      <w:r w:rsidRPr="00AC783D">
        <w:rPr>
          <w:rFonts w:cstheme="majorHAnsi"/>
        </w:rPr>
        <w:t>ing</w:t>
      </w:r>
      <w:r w:rsidRPr="00AC783D" w:rsidDel="00470577">
        <w:rPr>
          <w:rFonts w:cstheme="majorHAnsi"/>
        </w:rPr>
        <w:t xml:space="preserve"> the department’s expectations of consistency, equity and transparency and opportunity </w:t>
      </w:r>
      <w:r w:rsidRPr="00AC783D" w:rsidDel="00470577">
        <w:rPr>
          <w:rFonts w:cstheme="minorHAnsi"/>
        </w:rPr>
        <w:t>for</w:t>
      </w:r>
      <w:r w:rsidRPr="00AC783D" w:rsidDel="00470577">
        <w:rPr>
          <w:rFonts w:cstheme="majorHAnsi"/>
        </w:rPr>
        <w:t xml:space="preserve"> schools to access funding. </w:t>
      </w:r>
    </w:p>
    <w:p w14:paraId="6BE87C67" w14:textId="77777777" w:rsidR="00655A37" w:rsidRPr="00AC783D" w:rsidRDefault="00655A37" w:rsidP="00655A37">
      <w:pPr>
        <w:autoSpaceDE w:val="0"/>
        <w:autoSpaceDN w:val="0"/>
        <w:adjustRightInd w:val="0"/>
        <w:spacing w:line="240" w:lineRule="auto"/>
        <w:ind w:left="426"/>
        <w:rPr>
          <w:rFonts w:ascii="Calibri" w:hAnsi="Calibri" w:cs="Calibri"/>
          <w:i/>
          <w:iCs/>
          <w:color w:val="000000"/>
        </w:rPr>
      </w:pPr>
      <w:r w:rsidRPr="00AC783D">
        <w:rPr>
          <w:rFonts w:ascii="Calibri" w:hAnsi="Calibri" w:cs="Calibri"/>
          <w:i/>
          <w:iCs/>
          <w:color w:val="000000"/>
        </w:rPr>
        <w:t xml:space="preserve">Note: records must be identifiably separate from other records that the NGRB may hold for the purposes of other undertakings the NGRB conducts or to which the NGRB is related, and records must be kept for 7 years. </w:t>
      </w:r>
    </w:p>
    <w:p w14:paraId="50F95B53" w14:textId="77777777" w:rsidR="00655A37" w:rsidRPr="00AC783D" w:rsidRDefault="00655A37" w:rsidP="00655A37">
      <w:pPr>
        <w:keepNext/>
        <w:keepLines/>
        <w:spacing w:before="240" w:after="0"/>
        <w:outlineLvl w:val="1"/>
        <w:rPr>
          <w:rFonts w:ascii="Calibri" w:eastAsiaTheme="majorEastAsia" w:hAnsi="Calibri" w:cstheme="majorBidi"/>
          <w:b/>
          <w:color w:val="002D3F"/>
          <w:sz w:val="30"/>
          <w:szCs w:val="26"/>
        </w:rPr>
      </w:pPr>
      <w:bookmarkStart w:id="39" w:name="_Toc28871158"/>
      <w:bookmarkStart w:id="40" w:name="_Toc197586670"/>
      <w:r w:rsidRPr="00AC783D">
        <w:rPr>
          <w:rFonts w:ascii="Calibri" w:eastAsiaTheme="majorEastAsia" w:hAnsi="Calibri" w:cstheme="majorBidi"/>
          <w:b/>
          <w:color w:val="002D3F"/>
          <w:sz w:val="30"/>
          <w:szCs w:val="26"/>
        </w:rPr>
        <w:t>Other requirements</w:t>
      </w:r>
      <w:bookmarkEnd w:id="39"/>
      <w:bookmarkEnd w:id="40"/>
    </w:p>
    <w:p w14:paraId="09316C2D" w14:textId="77777777" w:rsidR="00655A37" w:rsidRPr="00AC783D" w:rsidRDefault="00655A37" w:rsidP="00655A37">
      <w:pPr>
        <w:autoSpaceDE w:val="0"/>
        <w:autoSpaceDN w:val="0"/>
        <w:adjustRightInd w:val="0"/>
        <w:spacing w:after="120"/>
        <w:rPr>
          <w:rFonts w:ascii="Calibri" w:hAnsi="Calibri" w:cs="Calibri"/>
          <w:i/>
          <w:iCs/>
          <w:color w:val="000000"/>
        </w:rPr>
      </w:pPr>
      <w:r w:rsidRPr="00AC783D">
        <w:rPr>
          <w:rFonts w:ascii="Calibri" w:hAnsi="Calibri" w:cs="Calibri"/>
          <w:i/>
          <w:iCs/>
          <w:color w:val="000000"/>
        </w:rPr>
        <w:t xml:space="preserve">Identifying Commonwealth funding </w:t>
      </w:r>
    </w:p>
    <w:p w14:paraId="480FB8D6" w14:textId="77777777" w:rsidR="00655A37" w:rsidRPr="00AC783D" w:rsidRDefault="00655A37" w:rsidP="00655A37">
      <w:pPr>
        <w:numPr>
          <w:ilvl w:val="0"/>
          <w:numId w:val="22"/>
        </w:numPr>
        <w:autoSpaceDE w:val="0"/>
        <w:autoSpaceDN w:val="0"/>
        <w:adjustRightInd w:val="0"/>
        <w:spacing w:after="0" w:line="276" w:lineRule="auto"/>
        <w:contextualSpacing/>
        <w:rPr>
          <w:rFonts w:ascii="Cambria" w:hAnsi="Cambria" w:cs="Cambria"/>
          <w:color w:val="000000"/>
        </w:rPr>
      </w:pPr>
      <w:r w:rsidRPr="00AC783D">
        <w:rPr>
          <w:rFonts w:ascii="Calibri" w:hAnsi="Calibri" w:cs="Calibri"/>
          <w:color w:val="000000"/>
        </w:rPr>
        <w:t>When an NGRB undertakes an activity specified in its approved workplan, the Australian Government requires the NGRB to acknowledge, in all publicly available materials, Australian Government funding through the Choice and Affordability Fund as having provided partial or complete funding for the activity with the following words “</w:t>
      </w:r>
      <w:r w:rsidRPr="00AC783D">
        <w:rPr>
          <w:rFonts w:ascii="Calibri" w:hAnsi="Calibri" w:cs="Calibri"/>
          <w:i/>
          <w:iCs/>
          <w:color w:val="000000"/>
        </w:rPr>
        <w:t xml:space="preserve">This project is </w:t>
      </w:r>
      <w:r w:rsidRPr="00AC783D">
        <w:rPr>
          <w:rFonts w:ascii="Calibri" w:hAnsi="Calibri" w:cs="Calibri"/>
          <w:iCs/>
          <w:color w:val="000000"/>
        </w:rPr>
        <w:t>[</w:t>
      </w:r>
      <w:r w:rsidRPr="00AC783D">
        <w:rPr>
          <w:rFonts w:ascii="Calibri" w:hAnsi="Calibri" w:cs="Calibri"/>
          <w:i/>
          <w:iCs/>
          <w:color w:val="000000"/>
        </w:rPr>
        <w:t>funded/partially funded</w:t>
      </w:r>
      <w:r w:rsidRPr="00AC783D">
        <w:rPr>
          <w:rFonts w:ascii="Calibri" w:hAnsi="Calibri" w:cs="Calibri"/>
          <w:iCs/>
          <w:color w:val="000000"/>
        </w:rPr>
        <w:t>]</w:t>
      </w:r>
      <w:r w:rsidRPr="00AC783D">
        <w:rPr>
          <w:rFonts w:ascii="Calibri" w:hAnsi="Calibri" w:cs="Calibri"/>
          <w:i/>
          <w:iCs/>
          <w:color w:val="000000"/>
        </w:rPr>
        <w:t xml:space="preserve"> </w:t>
      </w:r>
      <w:r w:rsidRPr="00AC783D">
        <w:rPr>
          <w:rFonts w:ascii="Calibri" w:hAnsi="Calibri" w:cs="Calibri"/>
          <w:iCs/>
          <w:color w:val="000000"/>
        </w:rPr>
        <w:t>[NGRB to delete whichever is inapplicable]</w:t>
      </w:r>
      <w:r w:rsidRPr="00AC783D">
        <w:rPr>
          <w:rFonts w:ascii="Calibri" w:hAnsi="Calibri" w:cs="Calibri"/>
          <w:i/>
          <w:iCs/>
          <w:color w:val="000000"/>
        </w:rPr>
        <w:t xml:space="preserve"> by the Australian Government through the Choice and Affordability Fund</w:t>
      </w:r>
      <w:r w:rsidRPr="00AC783D">
        <w:rPr>
          <w:rFonts w:ascii="Calibri" w:hAnsi="Calibri" w:cs="Calibri"/>
          <w:color w:val="000000"/>
        </w:rPr>
        <w:t xml:space="preserve">”. </w:t>
      </w:r>
    </w:p>
    <w:p w14:paraId="1E32D651" w14:textId="77777777" w:rsidR="00655A37" w:rsidRPr="00AC783D" w:rsidRDefault="00655A37" w:rsidP="00655A37">
      <w:pPr>
        <w:autoSpaceDE w:val="0"/>
        <w:autoSpaceDN w:val="0"/>
        <w:adjustRightInd w:val="0"/>
        <w:spacing w:after="0" w:line="360" w:lineRule="auto"/>
        <w:ind w:left="360"/>
        <w:contextualSpacing/>
        <w:rPr>
          <w:rFonts w:ascii="Cambria" w:hAnsi="Cambria" w:cs="Cambria"/>
          <w:color w:val="000000"/>
        </w:rPr>
      </w:pPr>
    </w:p>
    <w:p w14:paraId="1F549C79" w14:textId="77777777" w:rsidR="00655A37" w:rsidRPr="00AC783D" w:rsidRDefault="00655A37" w:rsidP="00655A37">
      <w:pPr>
        <w:autoSpaceDE w:val="0"/>
        <w:autoSpaceDN w:val="0"/>
        <w:adjustRightInd w:val="0"/>
        <w:spacing w:after="120"/>
        <w:rPr>
          <w:rFonts w:ascii="Calibri" w:hAnsi="Calibri" w:cs="Calibri"/>
          <w:i/>
          <w:iCs/>
          <w:color w:val="000000"/>
        </w:rPr>
      </w:pPr>
      <w:r w:rsidRPr="00AC783D">
        <w:rPr>
          <w:rFonts w:ascii="Calibri" w:hAnsi="Calibri" w:cs="Calibri"/>
          <w:i/>
          <w:iCs/>
          <w:color w:val="000000"/>
        </w:rPr>
        <w:t xml:space="preserve">Access to premises and records, and the provision of information and records </w:t>
      </w:r>
    </w:p>
    <w:p w14:paraId="0C038688" w14:textId="77777777" w:rsidR="00655A37" w:rsidRPr="00AC783D" w:rsidRDefault="00655A37" w:rsidP="00655A37">
      <w:pPr>
        <w:numPr>
          <w:ilvl w:val="0"/>
          <w:numId w:val="22"/>
        </w:numPr>
        <w:autoSpaceDE w:val="0"/>
        <w:autoSpaceDN w:val="0"/>
        <w:adjustRightInd w:val="0"/>
        <w:spacing w:after="200" w:line="276" w:lineRule="auto"/>
        <w:rPr>
          <w:rFonts w:ascii="Calibri" w:hAnsi="Calibri" w:cs="Calibri"/>
          <w:color w:val="000000"/>
        </w:rPr>
      </w:pPr>
      <w:r w:rsidRPr="00AC783D">
        <w:rPr>
          <w:rFonts w:ascii="Calibri" w:hAnsi="Calibri" w:cs="Calibri"/>
          <w:color w:val="000000"/>
        </w:rPr>
        <w:t xml:space="preserve">Each NGRB must provide an authorised person full and free access to premises and records of the NGRB, at all reasonable times and after the giving of reasonable notice to the NGRB, in accordance with section 39 of the Regulation. </w:t>
      </w:r>
    </w:p>
    <w:p w14:paraId="7E4CC833" w14:textId="77777777" w:rsidR="00655A37" w:rsidRPr="00AC783D" w:rsidRDefault="00655A37" w:rsidP="00655A37">
      <w:pPr>
        <w:numPr>
          <w:ilvl w:val="0"/>
          <w:numId w:val="22"/>
        </w:numPr>
        <w:autoSpaceDE w:val="0"/>
        <w:autoSpaceDN w:val="0"/>
        <w:adjustRightInd w:val="0"/>
        <w:spacing w:after="200" w:line="276" w:lineRule="auto"/>
        <w:rPr>
          <w:rFonts w:ascii="Calibri" w:hAnsi="Calibri" w:cs="Calibri"/>
          <w:color w:val="000000"/>
        </w:rPr>
      </w:pPr>
      <w:r w:rsidRPr="00AC783D">
        <w:rPr>
          <w:rFonts w:ascii="Calibri" w:hAnsi="Calibri" w:cs="Calibri"/>
          <w:color w:val="000000"/>
        </w:rPr>
        <w:t>An NGRB must also the authorised person to take extracts from, or make copies of, the records.</w:t>
      </w:r>
    </w:p>
    <w:p w14:paraId="62A94097" w14:textId="77777777" w:rsidR="00655A37" w:rsidRPr="00AC783D" w:rsidRDefault="00655A37" w:rsidP="00655A37">
      <w:pPr>
        <w:numPr>
          <w:ilvl w:val="0"/>
          <w:numId w:val="22"/>
        </w:numPr>
        <w:autoSpaceDE w:val="0"/>
        <w:autoSpaceDN w:val="0"/>
        <w:adjustRightInd w:val="0"/>
        <w:spacing w:after="200" w:line="276" w:lineRule="auto"/>
        <w:rPr>
          <w:rFonts w:ascii="Calibri" w:hAnsi="Calibri" w:cs="Calibri"/>
          <w:color w:val="000000"/>
        </w:rPr>
      </w:pPr>
      <w:r w:rsidRPr="00AC783D">
        <w:rPr>
          <w:rFonts w:ascii="Calibri" w:hAnsi="Calibri" w:cs="Calibri"/>
          <w:color w:val="000000"/>
        </w:rPr>
        <w:t xml:space="preserve">For example, from time to time, the department may undertake an audit of the financial and administrative procedures of a NGRB. Such audits may be undertaken by the department or by an independent auditor engaged by the department. </w:t>
      </w:r>
    </w:p>
    <w:p w14:paraId="121FC8A2" w14:textId="77777777" w:rsidR="00655A37" w:rsidRPr="00AC783D" w:rsidRDefault="00655A37" w:rsidP="00655A37">
      <w:pPr>
        <w:numPr>
          <w:ilvl w:val="0"/>
          <w:numId w:val="22"/>
        </w:numPr>
        <w:autoSpaceDE w:val="0"/>
        <w:autoSpaceDN w:val="0"/>
        <w:adjustRightInd w:val="0"/>
        <w:spacing w:after="0" w:line="276" w:lineRule="auto"/>
        <w:contextualSpacing/>
        <w:rPr>
          <w:rFonts w:ascii="Calibri" w:hAnsi="Calibri" w:cs="Calibri"/>
          <w:color w:val="000000"/>
        </w:rPr>
      </w:pPr>
      <w:r w:rsidRPr="00AC783D">
        <w:rPr>
          <w:rFonts w:ascii="Calibri" w:hAnsi="Calibri" w:cs="Calibri"/>
          <w:color w:val="000000"/>
        </w:rPr>
        <w:t xml:space="preserve">Matters to be audited will be determined by the department, but without limitation, may include: </w:t>
      </w:r>
    </w:p>
    <w:p w14:paraId="6860B847" w14:textId="77777777" w:rsidR="00655A37" w:rsidRPr="00AC783D" w:rsidRDefault="00655A37" w:rsidP="00655A37">
      <w:pPr>
        <w:numPr>
          <w:ilvl w:val="0"/>
          <w:numId w:val="32"/>
        </w:numPr>
        <w:spacing w:after="0" w:line="276" w:lineRule="auto"/>
      </w:pPr>
      <w:r w:rsidRPr="00AC783D">
        <w:t>compliance by the NGRB with the Act and the Regulation, including these Guidelines and the Agreement.</w:t>
      </w:r>
    </w:p>
    <w:p w14:paraId="618A7C4B" w14:textId="77777777" w:rsidR="00655A37" w:rsidRPr="00AC783D" w:rsidRDefault="00655A37" w:rsidP="00655A37">
      <w:pPr>
        <w:numPr>
          <w:ilvl w:val="0"/>
          <w:numId w:val="32"/>
        </w:numPr>
        <w:spacing w:after="160" w:line="276" w:lineRule="auto"/>
      </w:pPr>
      <w:r w:rsidRPr="00AC783D">
        <w:t xml:space="preserve">the financial </w:t>
      </w:r>
      <w:r w:rsidRPr="00AC783D">
        <w:rPr>
          <w:rFonts w:cstheme="majorHAnsi"/>
        </w:rPr>
        <w:t>administration</w:t>
      </w:r>
      <w:r w:rsidRPr="00AC783D">
        <w:t xml:space="preserve"> of the NGRB. </w:t>
      </w:r>
    </w:p>
    <w:p w14:paraId="18CF36CB" w14:textId="77777777" w:rsidR="00655A37" w:rsidRPr="00AC783D" w:rsidRDefault="00655A37" w:rsidP="00655A37">
      <w:pPr>
        <w:numPr>
          <w:ilvl w:val="0"/>
          <w:numId w:val="22"/>
        </w:numPr>
        <w:autoSpaceDE w:val="0"/>
        <w:autoSpaceDN w:val="0"/>
        <w:adjustRightInd w:val="0"/>
        <w:spacing w:after="0" w:line="276" w:lineRule="auto"/>
        <w:contextualSpacing/>
        <w:rPr>
          <w:rFonts w:ascii="Calibri" w:hAnsi="Calibri" w:cs="Calibri"/>
          <w:color w:val="000000"/>
        </w:rPr>
      </w:pPr>
      <w:r w:rsidRPr="00AC783D">
        <w:rPr>
          <w:rFonts w:ascii="Calibri" w:hAnsi="Calibri" w:cs="Calibri"/>
          <w:color w:val="000000"/>
        </w:rPr>
        <w:t xml:space="preserve">Each NGRB must also provide the Minister, or an authorised person, information and records in accordance with section 39A of the Regulation. </w:t>
      </w:r>
    </w:p>
    <w:p w14:paraId="6075D2A6" w14:textId="77777777" w:rsidR="00655A37" w:rsidRPr="00AC783D" w:rsidRDefault="00655A37" w:rsidP="00655A37">
      <w:pPr>
        <w:autoSpaceDE w:val="0"/>
        <w:autoSpaceDN w:val="0"/>
        <w:adjustRightInd w:val="0"/>
        <w:spacing w:after="0" w:line="360" w:lineRule="auto"/>
        <w:ind w:left="360"/>
        <w:contextualSpacing/>
        <w:rPr>
          <w:rFonts w:ascii="Calibri" w:hAnsi="Calibri" w:cs="Calibri"/>
          <w:color w:val="000000"/>
        </w:rPr>
      </w:pPr>
    </w:p>
    <w:p w14:paraId="231F2065" w14:textId="77777777" w:rsidR="00655A37" w:rsidRPr="00AC783D" w:rsidRDefault="00655A37" w:rsidP="00655A37">
      <w:pPr>
        <w:autoSpaceDE w:val="0"/>
        <w:autoSpaceDN w:val="0"/>
        <w:adjustRightInd w:val="0"/>
        <w:spacing w:after="120"/>
        <w:rPr>
          <w:rFonts w:ascii="Calibri" w:hAnsi="Calibri" w:cs="Calibri"/>
          <w:i/>
          <w:iCs/>
          <w:color w:val="000000"/>
        </w:rPr>
      </w:pPr>
      <w:r w:rsidRPr="00AC783D">
        <w:rPr>
          <w:rFonts w:ascii="Calibri" w:hAnsi="Calibri" w:cs="Calibri"/>
          <w:i/>
          <w:iCs/>
          <w:color w:val="000000"/>
        </w:rPr>
        <w:t xml:space="preserve">Keeping the Minister informed </w:t>
      </w:r>
    </w:p>
    <w:p w14:paraId="7C2A805B" w14:textId="77777777" w:rsidR="00655A37" w:rsidRPr="00AC783D" w:rsidRDefault="00655A37" w:rsidP="00655A37">
      <w:pPr>
        <w:numPr>
          <w:ilvl w:val="0"/>
          <w:numId w:val="22"/>
        </w:numPr>
        <w:autoSpaceDE w:val="0"/>
        <w:autoSpaceDN w:val="0"/>
        <w:adjustRightInd w:val="0"/>
        <w:spacing w:after="0" w:line="276" w:lineRule="auto"/>
        <w:contextualSpacing/>
        <w:rPr>
          <w:rFonts w:ascii="Calibri" w:hAnsi="Calibri" w:cs="Calibri"/>
          <w:color w:val="000000"/>
        </w:rPr>
      </w:pPr>
      <w:r w:rsidRPr="00AC783D">
        <w:rPr>
          <w:rFonts w:ascii="Calibri" w:hAnsi="Calibri" w:cs="Calibri"/>
          <w:color w:val="000000"/>
        </w:rPr>
        <w:t xml:space="preserve">Each NGRB must keep the Minister informed of changes to its operations as specified in section 40 of the Regulation, including but not limited to any change in the key individuals (as defined in section 4 of the Regulation) of the NGRB. </w:t>
      </w:r>
    </w:p>
    <w:p w14:paraId="058B0FB5" w14:textId="77777777" w:rsidR="00655A37" w:rsidRPr="00AC783D" w:rsidRDefault="00655A37" w:rsidP="00655A37">
      <w:pPr>
        <w:autoSpaceDE w:val="0"/>
        <w:autoSpaceDN w:val="0"/>
        <w:adjustRightInd w:val="0"/>
        <w:spacing w:after="0" w:line="360" w:lineRule="auto"/>
        <w:ind w:left="360"/>
        <w:contextualSpacing/>
        <w:rPr>
          <w:rFonts w:ascii="Calibri" w:hAnsi="Calibri" w:cs="Calibri"/>
          <w:color w:val="000000"/>
        </w:rPr>
      </w:pPr>
    </w:p>
    <w:p w14:paraId="42E654EA" w14:textId="77777777" w:rsidR="00655A37" w:rsidRPr="00AC783D" w:rsidRDefault="00655A37" w:rsidP="00655A37">
      <w:pPr>
        <w:autoSpaceDE w:val="0"/>
        <w:autoSpaceDN w:val="0"/>
        <w:adjustRightInd w:val="0"/>
        <w:spacing w:after="120"/>
        <w:rPr>
          <w:rFonts w:ascii="Calibri" w:hAnsi="Calibri" w:cs="Calibri"/>
          <w:i/>
          <w:iCs/>
          <w:color w:val="000000"/>
        </w:rPr>
      </w:pPr>
      <w:r w:rsidRPr="00AC783D">
        <w:rPr>
          <w:rFonts w:ascii="Calibri" w:hAnsi="Calibri" w:cs="Calibri"/>
          <w:i/>
          <w:iCs/>
          <w:color w:val="000000"/>
        </w:rPr>
        <w:t xml:space="preserve">Information to the public about financial assistance </w:t>
      </w:r>
    </w:p>
    <w:p w14:paraId="19547DC3" w14:textId="77777777" w:rsidR="00655A37" w:rsidRPr="00AC783D" w:rsidRDefault="00655A37" w:rsidP="00655A37">
      <w:pPr>
        <w:numPr>
          <w:ilvl w:val="0"/>
          <w:numId w:val="22"/>
        </w:numPr>
        <w:autoSpaceDE w:val="0"/>
        <w:autoSpaceDN w:val="0"/>
        <w:adjustRightInd w:val="0"/>
        <w:spacing w:after="200" w:line="276" w:lineRule="auto"/>
        <w:rPr>
          <w:rFonts w:ascii="Calibri" w:hAnsi="Calibri" w:cs="Calibri"/>
          <w:color w:val="000000"/>
        </w:rPr>
      </w:pPr>
      <w:r w:rsidRPr="00AC783D">
        <w:rPr>
          <w:rFonts w:ascii="Calibri" w:hAnsi="Calibri" w:cs="Calibri"/>
          <w:color w:val="000000"/>
        </w:rPr>
        <w:t xml:space="preserve">As set out in paragraphs 62(1)(b), (c), (d) of the Regulation, each NGRB must ensure that it makes the financial assistance it receives from the Australian Government, including the Choice and Affordability Fund, publicly available each year, including the application of that financial assistance, how a school applies for assistance and how decisions of the NGRB to allocate funding are reviewed. </w:t>
      </w:r>
    </w:p>
    <w:p w14:paraId="596952C4" w14:textId="77777777" w:rsidR="00655A37" w:rsidRPr="00AC783D" w:rsidRDefault="00655A37" w:rsidP="00655A37">
      <w:pPr>
        <w:numPr>
          <w:ilvl w:val="0"/>
          <w:numId w:val="22"/>
        </w:numPr>
        <w:autoSpaceDE w:val="0"/>
        <w:autoSpaceDN w:val="0"/>
        <w:adjustRightInd w:val="0"/>
        <w:spacing w:after="0" w:line="276" w:lineRule="auto"/>
        <w:contextualSpacing/>
        <w:rPr>
          <w:rFonts w:ascii="Calibri" w:hAnsi="Calibri" w:cs="Calibri"/>
          <w:color w:val="000000"/>
        </w:rPr>
      </w:pPr>
      <w:r w:rsidRPr="00AC783D">
        <w:rPr>
          <w:rFonts w:ascii="Calibri" w:hAnsi="Calibri" w:cs="Calibri"/>
          <w:color w:val="000000"/>
        </w:rPr>
        <w:t xml:space="preserve">Each NGRB must ensure that it makes its approved workplan, and annual reports publicly available. </w:t>
      </w:r>
    </w:p>
    <w:p w14:paraId="38991A7F" w14:textId="77777777" w:rsidR="00655A37" w:rsidRPr="00AC783D" w:rsidRDefault="00655A37" w:rsidP="00655A37">
      <w:pPr>
        <w:autoSpaceDE w:val="0"/>
        <w:autoSpaceDN w:val="0"/>
        <w:adjustRightInd w:val="0"/>
        <w:spacing w:after="0" w:line="360" w:lineRule="auto"/>
        <w:ind w:left="360"/>
        <w:contextualSpacing/>
        <w:rPr>
          <w:rFonts w:ascii="Calibri" w:hAnsi="Calibri" w:cs="Calibri"/>
          <w:color w:val="000000"/>
        </w:rPr>
      </w:pPr>
    </w:p>
    <w:p w14:paraId="649A4630" w14:textId="77777777" w:rsidR="00655A37" w:rsidRPr="00AC783D" w:rsidRDefault="00655A37" w:rsidP="00655A37">
      <w:pPr>
        <w:autoSpaceDE w:val="0"/>
        <w:autoSpaceDN w:val="0"/>
        <w:adjustRightInd w:val="0"/>
        <w:spacing w:after="120"/>
        <w:rPr>
          <w:rFonts w:ascii="Calibri" w:hAnsi="Calibri" w:cs="Calibri"/>
          <w:i/>
          <w:iCs/>
          <w:color w:val="000000"/>
        </w:rPr>
      </w:pPr>
      <w:r w:rsidRPr="00AC783D">
        <w:rPr>
          <w:rFonts w:ascii="Calibri" w:hAnsi="Calibri" w:cs="Calibri"/>
          <w:i/>
          <w:iCs/>
          <w:color w:val="000000"/>
        </w:rPr>
        <w:t xml:space="preserve">Criminal Code </w:t>
      </w:r>
    </w:p>
    <w:p w14:paraId="0D83874B" w14:textId="77777777" w:rsidR="00655A37" w:rsidRPr="00AC783D" w:rsidRDefault="00655A37" w:rsidP="00655A37">
      <w:pPr>
        <w:numPr>
          <w:ilvl w:val="0"/>
          <w:numId w:val="22"/>
        </w:numPr>
        <w:autoSpaceDE w:val="0"/>
        <w:autoSpaceDN w:val="0"/>
        <w:adjustRightInd w:val="0"/>
        <w:spacing w:after="0" w:line="276" w:lineRule="auto"/>
        <w:contextualSpacing/>
        <w:rPr>
          <w:rFonts w:ascii="Calibri" w:hAnsi="Calibri" w:cs="Calibri"/>
          <w:color w:val="000000"/>
        </w:rPr>
      </w:pPr>
      <w:r w:rsidRPr="00AC783D">
        <w:rPr>
          <w:rFonts w:ascii="Calibri" w:hAnsi="Calibri" w:cs="Calibri"/>
          <w:color w:val="000000"/>
        </w:rPr>
        <w:t xml:space="preserve">NGRBs should note that in providing any information to the department, giving false or misleading information is a serious offence under section 137.1 of the </w:t>
      </w:r>
      <w:r w:rsidRPr="00AC783D">
        <w:rPr>
          <w:rFonts w:ascii="Calibri" w:hAnsi="Calibri" w:cs="Calibri"/>
          <w:i/>
          <w:iCs/>
          <w:color w:val="000000"/>
        </w:rPr>
        <w:t xml:space="preserve">Criminal Code Act 1995 </w:t>
      </w:r>
      <w:r w:rsidRPr="00AC783D">
        <w:rPr>
          <w:rFonts w:ascii="Calibri" w:hAnsi="Calibri" w:cs="Calibri"/>
          <w:iCs/>
          <w:color w:val="000000"/>
        </w:rPr>
        <w:t>(Cth).</w:t>
      </w:r>
      <w:r w:rsidRPr="00AC783D">
        <w:rPr>
          <w:rFonts w:ascii="Calibri" w:hAnsi="Calibri" w:cs="Calibri"/>
          <w:i/>
          <w:iCs/>
          <w:color w:val="000000"/>
        </w:rPr>
        <w:t xml:space="preserve"> </w:t>
      </w:r>
    </w:p>
    <w:p w14:paraId="09E9F249" w14:textId="77777777" w:rsidR="00655A37" w:rsidRPr="00AC783D" w:rsidRDefault="00655A37" w:rsidP="00655A37">
      <w:pPr>
        <w:keepNext/>
        <w:keepLines/>
        <w:spacing w:before="240" w:after="0"/>
        <w:outlineLvl w:val="1"/>
        <w:rPr>
          <w:rFonts w:ascii="Calibri" w:eastAsiaTheme="majorEastAsia" w:hAnsi="Calibri" w:cstheme="majorBidi"/>
          <w:b/>
          <w:color w:val="002D3F"/>
          <w:sz w:val="30"/>
          <w:szCs w:val="26"/>
          <w:lang w:eastAsia="en-AU"/>
        </w:rPr>
      </w:pPr>
      <w:bookmarkStart w:id="41" w:name="_Toc28871159"/>
      <w:bookmarkStart w:id="42" w:name="_Toc197586671"/>
      <w:r w:rsidRPr="00AC783D">
        <w:rPr>
          <w:rFonts w:ascii="Calibri" w:eastAsiaTheme="majorEastAsia" w:hAnsi="Calibri" w:cstheme="majorBidi"/>
          <w:b/>
          <w:color w:val="002D3F"/>
          <w:sz w:val="30"/>
          <w:szCs w:val="26"/>
          <w:lang w:eastAsia="en-AU"/>
        </w:rPr>
        <w:t>Consequences for not complying with the Act, the Regulation, these Guidelines or the Agreement</w:t>
      </w:r>
      <w:bookmarkEnd w:id="41"/>
      <w:bookmarkEnd w:id="42"/>
    </w:p>
    <w:p w14:paraId="6F008A2C" w14:textId="77777777" w:rsidR="00655A37" w:rsidRPr="00AC783D" w:rsidRDefault="00655A37" w:rsidP="00655A37">
      <w:pPr>
        <w:numPr>
          <w:ilvl w:val="0"/>
          <w:numId w:val="22"/>
        </w:numPr>
        <w:spacing w:after="200" w:line="276" w:lineRule="auto"/>
        <w:rPr>
          <w:rFonts w:cstheme="majorHAnsi"/>
        </w:rPr>
      </w:pPr>
      <w:r w:rsidRPr="00AC783D">
        <w:rPr>
          <w:rFonts w:cstheme="majorHAnsi"/>
        </w:rPr>
        <w:t>If an NGRB does not comply with any of its requirements in the Act, the Regulation, these Guidelines or the Agreement, the Minister may consider taking one or more compliance actions against that NGRB, including but not limited to where there is evidence the NGRB may have misused Choice and Affordability funding (such as by not using it for the purposes it was provided).</w:t>
      </w:r>
    </w:p>
    <w:p w14:paraId="02C1A7E9" w14:textId="77777777" w:rsidR="00655A37" w:rsidRPr="00AC783D" w:rsidRDefault="00655A37" w:rsidP="00655A37">
      <w:pPr>
        <w:numPr>
          <w:ilvl w:val="0"/>
          <w:numId w:val="22"/>
        </w:numPr>
        <w:spacing w:after="200" w:line="276" w:lineRule="auto"/>
        <w:rPr>
          <w:rFonts w:cstheme="majorHAnsi"/>
        </w:rPr>
      </w:pPr>
      <w:r w:rsidRPr="00AC783D">
        <w:rPr>
          <w:rFonts w:cstheme="majorHAnsi"/>
        </w:rPr>
        <w:t>These include imposing conditions on the approval of the NGRB under the Act (section 96 of the Act). Further, under section 110 of the Act, the Minister may make a determination to suspend, withhold or require the repayment of funds.</w:t>
      </w:r>
    </w:p>
    <w:p w14:paraId="5A5334BD" w14:textId="77777777" w:rsidR="00655A37" w:rsidRPr="00AC783D" w:rsidRDefault="00655A37" w:rsidP="00655A37">
      <w:pPr>
        <w:keepNext/>
        <w:keepLines/>
        <w:spacing w:before="240" w:after="0"/>
        <w:outlineLvl w:val="0"/>
        <w:rPr>
          <w:rFonts w:ascii="Calibri" w:eastAsiaTheme="majorEastAsia" w:hAnsi="Calibri" w:cstheme="majorBidi"/>
          <w:b/>
          <w:color w:val="343741"/>
          <w:sz w:val="32"/>
          <w:szCs w:val="32"/>
        </w:rPr>
      </w:pPr>
      <w:bookmarkStart w:id="43" w:name="_Toc28871160"/>
      <w:bookmarkStart w:id="44" w:name="_Toc197586672"/>
      <w:r w:rsidRPr="00AC783D">
        <w:rPr>
          <w:rFonts w:ascii="Calibri" w:eastAsiaTheme="majorEastAsia" w:hAnsi="Calibri" w:cstheme="majorBidi"/>
          <w:b/>
          <w:color w:val="343741"/>
          <w:sz w:val="32"/>
          <w:szCs w:val="32"/>
        </w:rPr>
        <w:t>Part E – Other information</w:t>
      </w:r>
      <w:bookmarkEnd w:id="43"/>
      <w:bookmarkEnd w:id="44"/>
    </w:p>
    <w:p w14:paraId="451B1F1D" w14:textId="77777777" w:rsidR="00655A37" w:rsidRPr="00AC783D" w:rsidRDefault="00655A37" w:rsidP="00655A37">
      <w:pPr>
        <w:keepNext/>
        <w:keepLines/>
        <w:spacing w:before="240" w:after="0"/>
        <w:outlineLvl w:val="1"/>
        <w:rPr>
          <w:rFonts w:ascii="Calibri" w:eastAsiaTheme="majorEastAsia" w:hAnsi="Calibri" w:cstheme="majorBidi"/>
          <w:b/>
          <w:color w:val="002D3F"/>
          <w:sz w:val="30"/>
          <w:szCs w:val="26"/>
        </w:rPr>
      </w:pPr>
      <w:bookmarkStart w:id="45" w:name="_Toc28871161"/>
      <w:bookmarkStart w:id="46" w:name="_Toc197586673"/>
      <w:r w:rsidRPr="00AC783D">
        <w:rPr>
          <w:rFonts w:ascii="Calibri" w:eastAsiaTheme="majorEastAsia" w:hAnsi="Calibri" w:cstheme="majorBidi"/>
          <w:b/>
          <w:color w:val="002D3F"/>
          <w:sz w:val="30"/>
          <w:szCs w:val="26"/>
        </w:rPr>
        <w:t>Other applicable legislation</w:t>
      </w:r>
      <w:bookmarkEnd w:id="45"/>
      <w:bookmarkEnd w:id="46"/>
    </w:p>
    <w:p w14:paraId="3C856DF5" w14:textId="77777777" w:rsidR="00655A37" w:rsidRPr="00AC783D" w:rsidRDefault="00655A37" w:rsidP="00655A37">
      <w:pPr>
        <w:keepNext/>
        <w:keepLines/>
        <w:numPr>
          <w:ilvl w:val="0"/>
          <w:numId w:val="22"/>
        </w:numPr>
        <w:spacing w:after="120" w:line="276" w:lineRule="auto"/>
        <w:rPr>
          <w:rFonts w:cstheme="majorHAnsi"/>
        </w:rPr>
      </w:pPr>
      <w:r w:rsidRPr="00AC783D">
        <w:rPr>
          <w:rFonts w:cstheme="majorHAnsi"/>
        </w:rPr>
        <w:t>NGRBs must comply with any relevant statutes, regulations, by-laws and requirements of any Commonwealth, state, territory or local authority, including, where applicable, relevant anti-discrimination laws and the:</w:t>
      </w:r>
    </w:p>
    <w:p w14:paraId="65D82259" w14:textId="77777777" w:rsidR="00655A37" w:rsidRPr="00AC783D" w:rsidRDefault="00655A37" w:rsidP="00655A37">
      <w:pPr>
        <w:numPr>
          <w:ilvl w:val="0"/>
          <w:numId w:val="33"/>
        </w:numPr>
        <w:spacing w:after="0" w:line="276" w:lineRule="auto"/>
      </w:pPr>
      <w:r w:rsidRPr="00AC783D">
        <w:rPr>
          <w:i/>
        </w:rPr>
        <w:t>Fair Work Act 2009</w:t>
      </w:r>
      <w:r w:rsidRPr="00AC783D">
        <w:t xml:space="preserve"> (Cth)</w:t>
      </w:r>
    </w:p>
    <w:p w14:paraId="2FAAA213" w14:textId="77777777" w:rsidR="00655A37" w:rsidRPr="00AC783D" w:rsidRDefault="00655A37" w:rsidP="00655A37">
      <w:pPr>
        <w:numPr>
          <w:ilvl w:val="0"/>
          <w:numId w:val="33"/>
        </w:numPr>
        <w:spacing w:after="0" w:line="276" w:lineRule="auto"/>
      </w:pPr>
      <w:r w:rsidRPr="00AC783D">
        <w:rPr>
          <w:i/>
        </w:rPr>
        <w:t>Privacy Act 1988</w:t>
      </w:r>
      <w:r w:rsidRPr="00AC783D">
        <w:t xml:space="preserve"> (Cth)</w:t>
      </w:r>
    </w:p>
    <w:p w14:paraId="40188267" w14:textId="77777777" w:rsidR="00655A37" w:rsidRPr="00AC783D" w:rsidRDefault="00655A37" w:rsidP="00655A37">
      <w:pPr>
        <w:numPr>
          <w:ilvl w:val="0"/>
          <w:numId w:val="33"/>
        </w:numPr>
        <w:spacing w:after="200" w:line="276" w:lineRule="auto"/>
      </w:pPr>
      <w:r w:rsidRPr="00AC783D">
        <w:rPr>
          <w:i/>
        </w:rPr>
        <w:lastRenderedPageBreak/>
        <w:t>Criminal Code Act 1995</w:t>
      </w:r>
      <w:r w:rsidRPr="00AC783D">
        <w:t xml:space="preserve"> (Cth)</w:t>
      </w:r>
    </w:p>
    <w:p w14:paraId="074F788C" w14:textId="77777777" w:rsidR="00655A37" w:rsidRPr="00AC783D" w:rsidRDefault="00655A37" w:rsidP="00655A37">
      <w:pPr>
        <w:keepNext/>
        <w:keepLines/>
        <w:spacing w:before="240" w:after="0"/>
        <w:outlineLvl w:val="1"/>
        <w:rPr>
          <w:rFonts w:ascii="Calibri" w:eastAsiaTheme="majorEastAsia" w:hAnsi="Calibri" w:cstheme="majorBidi"/>
          <w:b/>
          <w:color w:val="002D3F"/>
          <w:sz w:val="30"/>
          <w:szCs w:val="26"/>
        </w:rPr>
      </w:pPr>
      <w:bookmarkStart w:id="47" w:name="_Toc28871162"/>
      <w:bookmarkStart w:id="48" w:name="_Toc197586674"/>
      <w:r w:rsidRPr="00AC783D">
        <w:rPr>
          <w:rFonts w:ascii="Calibri" w:eastAsiaTheme="majorEastAsia" w:hAnsi="Calibri" w:cstheme="majorBidi"/>
          <w:b/>
          <w:color w:val="002D3F"/>
          <w:sz w:val="30"/>
          <w:szCs w:val="26"/>
        </w:rPr>
        <w:t>Updates to these Guidelines</w:t>
      </w:r>
      <w:bookmarkEnd w:id="47"/>
      <w:bookmarkEnd w:id="48"/>
    </w:p>
    <w:p w14:paraId="0ED03F25" w14:textId="77777777" w:rsidR="00655A37" w:rsidRPr="00AC783D" w:rsidRDefault="00655A37" w:rsidP="00655A37">
      <w:pPr>
        <w:numPr>
          <w:ilvl w:val="0"/>
          <w:numId w:val="22"/>
        </w:numPr>
        <w:spacing w:after="200" w:line="276" w:lineRule="auto"/>
        <w:contextualSpacing/>
      </w:pPr>
      <w:r w:rsidRPr="00AC783D">
        <w:t xml:space="preserve">These Guidelines will be updated as priorities change or as required, after consultation with relevant parties. The current version will be published on the department’s website. </w:t>
      </w:r>
    </w:p>
    <w:p w14:paraId="66132F54" w14:textId="77777777" w:rsidR="00655A37" w:rsidRPr="00AC783D" w:rsidRDefault="00655A37" w:rsidP="00655A37">
      <w:pPr>
        <w:keepNext/>
        <w:keepLines/>
        <w:spacing w:before="240" w:after="0"/>
        <w:outlineLvl w:val="1"/>
        <w:rPr>
          <w:rFonts w:ascii="Calibri" w:eastAsiaTheme="majorEastAsia" w:hAnsi="Calibri" w:cstheme="majorBidi"/>
          <w:b/>
          <w:color w:val="002D3F"/>
          <w:sz w:val="30"/>
          <w:szCs w:val="26"/>
        </w:rPr>
      </w:pPr>
      <w:bookmarkStart w:id="49" w:name="_Toc28871163"/>
      <w:bookmarkStart w:id="50" w:name="_Toc197586675"/>
      <w:r w:rsidRPr="00AC783D">
        <w:rPr>
          <w:rFonts w:ascii="Calibri" w:eastAsiaTheme="majorEastAsia" w:hAnsi="Calibri" w:cstheme="majorBidi"/>
          <w:b/>
          <w:color w:val="002D3F"/>
          <w:sz w:val="30"/>
          <w:szCs w:val="26"/>
        </w:rPr>
        <w:t>Information management</w:t>
      </w:r>
      <w:bookmarkEnd w:id="49"/>
      <w:bookmarkEnd w:id="50"/>
    </w:p>
    <w:p w14:paraId="090B8EE6" w14:textId="77777777" w:rsidR="00655A37" w:rsidRPr="00AC783D" w:rsidRDefault="00655A37" w:rsidP="00655A37">
      <w:pPr>
        <w:numPr>
          <w:ilvl w:val="0"/>
          <w:numId w:val="22"/>
        </w:numPr>
        <w:autoSpaceDE w:val="0"/>
        <w:autoSpaceDN w:val="0"/>
        <w:adjustRightInd w:val="0"/>
        <w:spacing w:after="135" w:line="276" w:lineRule="auto"/>
        <w:contextualSpacing/>
        <w:rPr>
          <w:rFonts w:cstheme="majorHAnsi"/>
        </w:rPr>
      </w:pPr>
      <w:r w:rsidRPr="00AC783D">
        <w:rPr>
          <w:rFonts w:cstheme="majorHAnsi"/>
        </w:rPr>
        <w:t xml:space="preserve">Information created or provided for the purposes of the Act, including information, plans, and reports provided by NGRBs in accordance with the Regulation, these Guidelines and the Agreement, is “school education information” under the Act. It can therefore be used, disclosed and published in accordance with section 125 of the Act and section 65 of the Regulation. </w:t>
      </w:r>
    </w:p>
    <w:p w14:paraId="1B75B7D1" w14:textId="77777777" w:rsidR="00655A37" w:rsidRPr="00AC783D" w:rsidRDefault="00655A37" w:rsidP="00655A37">
      <w:pPr>
        <w:autoSpaceDE w:val="0"/>
        <w:autoSpaceDN w:val="0"/>
        <w:adjustRightInd w:val="0"/>
        <w:spacing w:after="0" w:line="240" w:lineRule="auto"/>
        <w:ind w:left="360"/>
        <w:contextualSpacing/>
        <w:rPr>
          <w:rFonts w:cstheme="majorHAnsi"/>
        </w:rPr>
      </w:pPr>
    </w:p>
    <w:p w14:paraId="0E19917D" w14:textId="77777777" w:rsidR="00655A37" w:rsidRPr="00AC783D" w:rsidRDefault="00655A37" w:rsidP="00655A37">
      <w:pPr>
        <w:numPr>
          <w:ilvl w:val="0"/>
          <w:numId w:val="22"/>
        </w:numPr>
        <w:autoSpaceDE w:val="0"/>
        <w:autoSpaceDN w:val="0"/>
        <w:adjustRightInd w:val="0"/>
        <w:spacing w:after="135" w:line="276" w:lineRule="auto"/>
        <w:contextualSpacing/>
        <w:rPr>
          <w:rFonts w:cstheme="majorHAnsi"/>
        </w:rPr>
      </w:pPr>
      <w:r w:rsidRPr="00AC783D">
        <w:rPr>
          <w:rFonts w:cstheme="majorHAnsi"/>
        </w:rPr>
        <w:t xml:space="preserve">The department is subject to the </w:t>
      </w:r>
      <w:r w:rsidRPr="00AC783D">
        <w:rPr>
          <w:rFonts w:cstheme="majorHAnsi"/>
          <w:i/>
        </w:rPr>
        <w:t>Freedom of Information Act 1982</w:t>
      </w:r>
      <w:r w:rsidRPr="00AC783D">
        <w:rPr>
          <w:rFonts w:cstheme="majorHAnsi"/>
        </w:rPr>
        <w:t xml:space="preserve"> (Cth) and any information held by the department, including information, plans, and reports provided by NGRBs in accordance with the Regulation, these Guidelines and the Agreement, may be subject to freedom of information applications. </w:t>
      </w:r>
    </w:p>
    <w:p w14:paraId="05EF239B" w14:textId="77777777" w:rsidR="00655A37" w:rsidRPr="00AC783D" w:rsidRDefault="00655A37" w:rsidP="00655A37">
      <w:pPr>
        <w:keepNext/>
        <w:keepLines/>
        <w:spacing w:before="240" w:after="0"/>
        <w:outlineLvl w:val="1"/>
        <w:rPr>
          <w:rFonts w:ascii="Calibri" w:eastAsiaTheme="majorEastAsia" w:hAnsi="Calibri" w:cstheme="majorBidi"/>
          <w:b/>
          <w:color w:val="002D3F"/>
          <w:sz w:val="30"/>
          <w:szCs w:val="26"/>
        </w:rPr>
      </w:pPr>
      <w:bookmarkStart w:id="51" w:name="_Toc28871164"/>
      <w:bookmarkStart w:id="52" w:name="_Toc197586676"/>
      <w:r w:rsidRPr="00AC783D">
        <w:rPr>
          <w:rFonts w:ascii="Calibri" w:eastAsiaTheme="majorEastAsia" w:hAnsi="Calibri" w:cstheme="majorBidi"/>
          <w:b/>
          <w:color w:val="002D3F"/>
          <w:sz w:val="30"/>
          <w:szCs w:val="26"/>
        </w:rPr>
        <w:t>Department contact information</w:t>
      </w:r>
      <w:bookmarkEnd w:id="51"/>
      <w:bookmarkEnd w:id="52"/>
      <w:r w:rsidRPr="00AC783D">
        <w:rPr>
          <w:rFonts w:ascii="Calibri" w:eastAsiaTheme="majorEastAsia" w:hAnsi="Calibri" w:cstheme="majorBidi"/>
          <w:b/>
          <w:color w:val="002D3F"/>
          <w:sz w:val="30"/>
          <w:szCs w:val="26"/>
        </w:rPr>
        <w:t xml:space="preserve"> </w:t>
      </w:r>
    </w:p>
    <w:p w14:paraId="4235B7D1" w14:textId="77777777" w:rsidR="00655A37" w:rsidRPr="00AC783D" w:rsidRDefault="00655A37" w:rsidP="00655A37">
      <w:pPr>
        <w:keepNext/>
        <w:keepLines/>
        <w:spacing w:after="120"/>
      </w:pPr>
      <w:r w:rsidRPr="00AC783D">
        <w:t>Contact details for the department are as follows:</w:t>
      </w:r>
    </w:p>
    <w:p w14:paraId="21D9A3D8" w14:textId="77777777" w:rsidR="00655A37" w:rsidRPr="00AC783D" w:rsidRDefault="00655A37" w:rsidP="00655A37">
      <w:pPr>
        <w:keepNext/>
        <w:keepLines/>
        <w:spacing w:after="0"/>
        <w:ind w:left="426"/>
      </w:pPr>
      <w:r w:rsidRPr="00AC783D">
        <w:t>Postal</w:t>
      </w:r>
    </w:p>
    <w:p w14:paraId="356F63EB" w14:textId="77777777" w:rsidR="00655A37" w:rsidRPr="00AC783D" w:rsidRDefault="00655A37" w:rsidP="00655A37">
      <w:pPr>
        <w:keepNext/>
        <w:keepLines/>
        <w:spacing w:after="0"/>
        <w:ind w:left="426"/>
      </w:pPr>
      <w:r w:rsidRPr="00AC783D">
        <w:t xml:space="preserve">Director, </w:t>
      </w:r>
      <w:r>
        <w:t>SUF &amp; CAF Team</w:t>
      </w:r>
    </w:p>
    <w:p w14:paraId="0D590F08" w14:textId="77777777" w:rsidR="00655A37" w:rsidRPr="00AC783D" w:rsidRDefault="00655A37" w:rsidP="00655A37">
      <w:pPr>
        <w:keepNext/>
        <w:keepLines/>
        <w:ind w:left="426"/>
      </w:pPr>
      <w:r w:rsidRPr="00AC783D">
        <w:t>GPO Box 9880 CANBERRA ACT 2601</w:t>
      </w:r>
    </w:p>
    <w:p w14:paraId="2CA26586" w14:textId="77777777" w:rsidR="00655A37" w:rsidRPr="00AC783D" w:rsidRDefault="00655A37" w:rsidP="00655A37">
      <w:pPr>
        <w:keepNext/>
        <w:keepLines/>
        <w:spacing w:after="0"/>
        <w:ind w:left="426"/>
      </w:pPr>
      <w:r w:rsidRPr="00AC783D">
        <w:t>Email</w:t>
      </w:r>
    </w:p>
    <w:p w14:paraId="6D1D8152" w14:textId="77777777" w:rsidR="00655A37" w:rsidRPr="00AC783D" w:rsidRDefault="00655A37" w:rsidP="00655A37">
      <w:pPr>
        <w:keepNext/>
        <w:keepLines/>
        <w:ind w:left="426"/>
      </w:pPr>
      <w:hyperlink r:id="rId18" w:history="1">
        <w:r w:rsidRPr="00E158F7">
          <w:rPr>
            <w:rStyle w:val="Hyperlink"/>
          </w:rPr>
          <w:t>CAF@education.gov.au</w:t>
        </w:r>
      </w:hyperlink>
      <w:r w:rsidRPr="00AC783D">
        <w:rPr>
          <w:color w:val="287BB3"/>
          <w:u w:val="single"/>
        </w:rPr>
        <w:t xml:space="preserve"> </w:t>
      </w:r>
      <w:r w:rsidRPr="00AC783D">
        <w:t xml:space="preserve"> </w:t>
      </w:r>
    </w:p>
    <w:p w14:paraId="1FF7171C" w14:textId="77777777" w:rsidR="00655A37" w:rsidRPr="00AC783D" w:rsidRDefault="00655A37" w:rsidP="00655A37">
      <w:pPr>
        <w:keepNext/>
        <w:keepLines/>
        <w:spacing w:before="240" w:after="0"/>
        <w:outlineLvl w:val="0"/>
        <w:rPr>
          <w:rFonts w:ascii="Calibri" w:eastAsiaTheme="majorEastAsia" w:hAnsi="Calibri" w:cstheme="majorBidi"/>
          <w:b/>
          <w:color w:val="343741"/>
          <w:sz w:val="32"/>
          <w:szCs w:val="32"/>
        </w:rPr>
        <w:sectPr w:rsidR="00655A37" w:rsidRPr="00AC783D" w:rsidSect="00655A37">
          <w:headerReference w:type="default" r:id="rId19"/>
          <w:footerReference w:type="default" r:id="rId20"/>
          <w:pgSz w:w="11906" w:h="16838"/>
          <w:pgMar w:top="1985" w:right="1440" w:bottom="1440" w:left="1440" w:header="708" w:footer="1011" w:gutter="0"/>
          <w:cols w:space="708"/>
          <w:docGrid w:linePitch="360"/>
        </w:sectPr>
      </w:pPr>
    </w:p>
    <w:p w14:paraId="653E4B6F" w14:textId="77777777" w:rsidR="00655A37" w:rsidRPr="00AC783D" w:rsidRDefault="00655A37" w:rsidP="00655A37">
      <w:pPr>
        <w:keepNext/>
        <w:keepLines/>
        <w:spacing w:before="240" w:after="0"/>
        <w:outlineLvl w:val="0"/>
        <w:rPr>
          <w:rFonts w:ascii="Calibri" w:eastAsiaTheme="majorEastAsia" w:hAnsi="Calibri" w:cstheme="majorBidi"/>
          <w:b/>
          <w:color w:val="343741"/>
          <w:sz w:val="32"/>
          <w:szCs w:val="32"/>
        </w:rPr>
      </w:pPr>
      <w:bookmarkStart w:id="53" w:name="_Toc28871165"/>
      <w:bookmarkStart w:id="54" w:name="_Toc197586677"/>
      <w:r w:rsidRPr="00AC783D">
        <w:rPr>
          <w:rFonts w:ascii="Calibri" w:eastAsiaTheme="majorEastAsia" w:hAnsi="Calibri" w:cstheme="majorBidi"/>
          <w:b/>
          <w:color w:val="343741"/>
          <w:sz w:val="32"/>
          <w:szCs w:val="32"/>
        </w:rPr>
        <w:lastRenderedPageBreak/>
        <w:t>Glossary</w:t>
      </w:r>
      <w:bookmarkEnd w:id="53"/>
      <w:bookmarkEnd w:id="54"/>
    </w:p>
    <w:p w14:paraId="21E0DF5B" w14:textId="77777777" w:rsidR="00655A37" w:rsidRPr="00AC783D" w:rsidRDefault="00655A37" w:rsidP="00655A37">
      <w:pPr>
        <w:autoSpaceDE w:val="0"/>
        <w:autoSpaceDN w:val="0"/>
        <w:adjustRightInd w:val="0"/>
        <w:spacing w:after="0" w:line="240" w:lineRule="auto"/>
        <w:rPr>
          <w:rFonts w:ascii="Calibri" w:hAnsi="Calibri" w:cs="Calibri"/>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8"/>
        <w:gridCol w:w="5838"/>
      </w:tblGrid>
      <w:tr w:rsidR="00655A37" w:rsidRPr="00AC783D" w14:paraId="0663055C" w14:textId="77777777" w:rsidTr="008E65D2">
        <w:trPr>
          <w:trHeight w:val="110"/>
        </w:trPr>
        <w:tc>
          <w:tcPr>
            <w:tcW w:w="2938" w:type="dxa"/>
            <w:shd w:val="clear" w:color="auto" w:fill="329184" w:themeFill="accent4" w:themeFillShade="BF"/>
          </w:tcPr>
          <w:p w14:paraId="4AE56D77" w14:textId="77777777" w:rsidR="00655A37" w:rsidRPr="00AC783D" w:rsidRDefault="00655A37" w:rsidP="008E65D2">
            <w:pPr>
              <w:autoSpaceDE w:val="0"/>
              <w:autoSpaceDN w:val="0"/>
              <w:adjustRightInd w:val="0"/>
              <w:spacing w:after="0"/>
              <w:rPr>
                <w:rFonts w:ascii="Calibri" w:hAnsi="Calibri" w:cs="Calibri"/>
                <w:color w:val="FFFFFF" w:themeColor="background1"/>
              </w:rPr>
            </w:pPr>
            <w:r w:rsidRPr="00AC783D">
              <w:rPr>
                <w:rFonts w:ascii="Calibri" w:hAnsi="Calibri" w:cs="Calibri"/>
                <w:color w:val="FFFFFF" w:themeColor="background1"/>
              </w:rPr>
              <w:t xml:space="preserve">Term </w:t>
            </w:r>
          </w:p>
        </w:tc>
        <w:tc>
          <w:tcPr>
            <w:tcW w:w="5838" w:type="dxa"/>
            <w:shd w:val="clear" w:color="auto" w:fill="329184" w:themeFill="accent4" w:themeFillShade="BF"/>
          </w:tcPr>
          <w:p w14:paraId="5EA54C0A" w14:textId="77777777" w:rsidR="00655A37" w:rsidRPr="00AC783D" w:rsidRDefault="00655A37" w:rsidP="008E65D2">
            <w:pPr>
              <w:autoSpaceDE w:val="0"/>
              <w:autoSpaceDN w:val="0"/>
              <w:adjustRightInd w:val="0"/>
              <w:spacing w:after="0"/>
              <w:rPr>
                <w:rFonts w:ascii="Calibri" w:hAnsi="Calibri" w:cs="Calibri"/>
                <w:color w:val="FFFFFF" w:themeColor="background1"/>
              </w:rPr>
            </w:pPr>
            <w:r w:rsidRPr="00AC783D">
              <w:rPr>
                <w:rFonts w:ascii="Calibri" w:hAnsi="Calibri" w:cs="Calibri"/>
                <w:color w:val="FFFFFF" w:themeColor="background1"/>
              </w:rPr>
              <w:t xml:space="preserve">Definition </w:t>
            </w:r>
          </w:p>
        </w:tc>
      </w:tr>
      <w:tr w:rsidR="00655A37" w:rsidRPr="00AC783D" w14:paraId="7FCFF9F2" w14:textId="77777777" w:rsidTr="008E65D2">
        <w:trPr>
          <w:trHeight w:val="379"/>
        </w:trPr>
        <w:tc>
          <w:tcPr>
            <w:tcW w:w="2938" w:type="dxa"/>
          </w:tcPr>
          <w:p w14:paraId="1FD15937" w14:textId="77777777" w:rsidR="00655A37" w:rsidRPr="00AC783D" w:rsidRDefault="00655A37" w:rsidP="008E65D2">
            <w:pPr>
              <w:autoSpaceDE w:val="0"/>
              <w:autoSpaceDN w:val="0"/>
              <w:adjustRightInd w:val="0"/>
              <w:spacing w:after="0"/>
              <w:rPr>
                <w:rFonts w:ascii="Calibri" w:hAnsi="Calibri" w:cs="Calibri"/>
                <w:color w:val="000000"/>
              </w:rPr>
            </w:pPr>
            <w:r w:rsidRPr="00AC783D">
              <w:rPr>
                <w:rFonts w:ascii="Calibri" w:hAnsi="Calibri" w:cs="Calibri"/>
                <w:color w:val="000000"/>
              </w:rPr>
              <w:t xml:space="preserve">Approved authority </w:t>
            </w:r>
          </w:p>
        </w:tc>
        <w:tc>
          <w:tcPr>
            <w:tcW w:w="5838" w:type="dxa"/>
          </w:tcPr>
          <w:p w14:paraId="3D584EB3" w14:textId="77777777" w:rsidR="00655A37" w:rsidRPr="00AC783D" w:rsidRDefault="00655A37" w:rsidP="008E65D2">
            <w:pPr>
              <w:autoSpaceDE w:val="0"/>
              <w:autoSpaceDN w:val="0"/>
              <w:adjustRightInd w:val="0"/>
              <w:spacing w:after="0"/>
              <w:rPr>
                <w:rFonts w:ascii="Calibri" w:hAnsi="Calibri" w:cs="Calibri"/>
                <w:color w:val="000000"/>
              </w:rPr>
            </w:pPr>
            <w:r w:rsidRPr="00AC783D">
              <w:rPr>
                <w:b/>
              </w:rPr>
              <w:t xml:space="preserve">Approved authority </w:t>
            </w:r>
            <w:r w:rsidRPr="00AC783D">
              <w:t xml:space="preserve">for school means the person that is approved by the Minister as the approved authority for the school under section 73 of the </w:t>
            </w:r>
            <w:r w:rsidRPr="00AC783D">
              <w:rPr>
                <w:i/>
              </w:rPr>
              <w:t xml:space="preserve">Australian Education Act </w:t>
            </w:r>
            <w:r w:rsidRPr="00AC783D">
              <w:t>2013to receive financial assistance from the Australian Government for one or more schools. For a government school located in a state or territory, the approved authority is the state or territory government. For a non-government school, the approved authority is the body corporate that is approved by the Minister for the school</w:t>
            </w:r>
            <w:r w:rsidRPr="00AC783D">
              <w:rPr>
                <w:rFonts w:ascii="Calibri" w:hAnsi="Calibri" w:cs="Calibri"/>
                <w:color w:val="000000"/>
              </w:rPr>
              <w:t xml:space="preserve">. </w:t>
            </w:r>
          </w:p>
        </w:tc>
      </w:tr>
      <w:tr w:rsidR="00655A37" w:rsidRPr="00AC783D" w14:paraId="13FE51AE" w14:textId="77777777" w:rsidTr="008E65D2">
        <w:trPr>
          <w:trHeight w:val="781"/>
        </w:trPr>
        <w:tc>
          <w:tcPr>
            <w:tcW w:w="2938" w:type="dxa"/>
          </w:tcPr>
          <w:p w14:paraId="68B4BFB5" w14:textId="77777777" w:rsidR="00655A37" w:rsidRPr="00AC783D" w:rsidRDefault="00655A37" w:rsidP="008E65D2">
            <w:pPr>
              <w:autoSpaceDE w:val="0"/>
              <w:autoSpaceDN w:val="0"/>
              <w:adjustRightInd w:val="0"/>
              <w:spacing w:after="0"/>
              <w:rPr>
                <w:rFonts w:ascii="Calibri" w:hAnsi="Calibri" w:cs="Calibri"/>
                <w:color w:val="000000"/>
              </w:rPr>
            </w:pPr>
            <w:r w:rsidRPr="00AC783D">
              <w:rPr>
                <w:rFonts w:ascii="Calibri" w:hAnsi="Calibri" w:cs="Calibri"/>
                <w:color w:val="000000"/>
              </w:rPr>
              <w:t>SRS indexation factor</w:t>
            </w:r>
          </w:p>
        </w:tc>
        <w:tc>
          <w:tcPr>
            <w:tcW w:w="5838" w:type="dxa"/>
          </w:tcPr>
          <w:p w14:paraId="792B7A43" w14:textId="77777777" w:rsidR="00655A37" w:rsidRPr="00AC783D" w:rsidRDefault="00655A37" w:rsidP="008E65D2">
            <w:pPr>
              <w:autoSpaceDE w:val="0"/>
              <w:autoSpaceDN w:val="0"/>
              <w:adjustRightInd w:val="0"/>
              <w:spacing w:after="0"/>
              <w:rPr>
                <w:rFonts w:ascii="Calibri" w:hAnsi="Calibri" w:cs="Calibri"/>
                <w:color w:val="000000"/>
              </w:rPr>
            </w:pPr>
            <w:r w:rsidRPr="00AC783D">
              <w:rPr>
                <w:rFonts w:ascii="Calibri" w:hAnsi="Calibri" w:cs="Calibri"/>
                <w:color w:val="000000"/>
              </w:rPr>
              <w:t xml:space="preserve">Each year the base amount per student of the </w:t>
            </w:r>
            <w:r w:rsidRPr="00AC783D">
              <w:rPr>
                <w:rFonts w:ascii="Calibri" w:hAnsi="Calibri" w:cs="Calibri"/>
                <w:b/>
                <w:bCs/>
                <w:color w:val="000000"/>
              </w:rPr>
              <w:t xml:space="preserve">Schooling Resource Standard (SRS) </w:t>
            </w:r>
            <w:r w:rsidRPr="00AC783D">
              <w:rPr>
                <w:rFonts w:ascii="Calibri" w:hAnsi="Calibri" w:cs="Calibri"/>
                <w:color w:val="000000"/>
              </w:rPr>
              <w:t xml:space="preserve">is indexed to at least keep up with the real cost of education. From 2018 to 2020, the SRS will be indexed at a fixed rate. From 2021 onwards, the SRS indexation rate will grow at whichever is higher of 3 per cent or a floating rate based on economy wide measures of 75 per cent Wage Price Index and 25 per cent Consumer Price Index. </w:t>
            </w:r>
          </w:p>
        </w:tc>
      </w:tr>
      <w:tr w:rsidR="00655A37" w:rsidRPr="00AC783D" w14:paraId="3B5608B2" w14:textId="77777777" w:rsidTr="008E65D2">
        <w:trPr>
          <w:trHeight w:val="244"/>
        </w:trPr>
        <w:tc>
          <w:tcPr>
            <w:tcW w:w="2938" w:type="dxa"/>
          </w:tcPr>
          <w:p w14:paraId="1E904513" w14:textId="77777777" w:rsidR="00655A37" w:rsidRPr="00AC783D" w:rsidRDefault="00655A37" w:rsidP="008E65D2">
            <w:pPr>
              <w:autoSpaceDE w:val="0"/>
              <w:autoSpaceDN w:val="0"/>
              <w:adjustRightInd w:val="0"/>
              <w:spacing w:after="0"/>
              <w:rPr>
                <w:rFonts w:ascii="Calibri" w:hAnsi="Calibri" w:cs="Calibri"/>
                <w:color w:val="000000"/>
              </w:rPr>
            </w:pPr>
            <w:r w:rsidRPr="00AC783D">
              <w:rPr>
                <w:rFonts w:ascii="Calibri" w:hAnsi="Calibri" w:cs="Calibri"/>
                <w:color w:val="000000"/>
              </w:rPr>
              <w:t xml:space="preserve">Non-systemic independent school </w:t>
            </w:r>
          </w:p>
        </w:tc>
        <w:tc>
          <w:tcPr>
            <w:tcW w:w="5838" w:type="dxa"/>
          </w:tcPr>
          <w:p w14:paraId="1FB69A9C" w14:textId="77777777" w:rsidR="00655A37" w:rsidRPr="00AC783D" w:rsidRDefault="00655A37" w:rsidP="008E65D2">
            <w:pPr>
              <w:autoSpaceDE w:val="0"/>
              <w:autoSpaceDN w:val="0"/>
              <w:adjustRightInd w:val="0"/>
              <w:spacing w:after="0"/>
              <w:rPr>
                <w:rFonts w:ascii="Calibri" w:hAnsi="Calibri" w:cs="Calibri"/>
                <w:color w:val="000000"/>
              </w:rPr>
            </w:pPr>
            <w:r w:rsidRPr="00AC783D">
              <w:rPr>
                <w:rFonts w:ascii="Calibri" w:hAnsi="Calibri" w:cs="Calibri"/>
                <w:color w:val="000000"/>
              </w:rPr>
              <w:t xml:space="preserve">A </w:t>
            </w:r>
            <w:r w:rsidRPr="00AC783D">
              <w:rPr>
                <w:rFonts w:ascii="Calibri" w:hAnsi="Calibri" w:cs="Calibri"/>
                <w:b/>
                <w:color w:val="000000"/>
              </w:rPr>
              <w:t>non-systemic independent school</w:t>
            </w:r>
            <w:r w:rsidRPr="00AC783D">
              <w:rPr>
                <w:rFonts w:ascii="Calibri" w:hAnsi="Calibri" w:cs="Calibri"/>
                <w:color w:val="000000"/>
              </w:rPr>
              <w:t xml:space="preserve"> is a school which belongs to an approved authority which is not an approved system authority as defined under subsection 78(6) of the Act. </w:t>
            </w:r>
          </w:p>
        </w:tc>
      </w:tr>
    </w:tbl>
    <w:p w14:paraId="6E986D14" w14:textId="77777777" w:rsidR="00655A37" w:rsidRPr="00AC783D" w:rsidRDefault="00655A37" w:rsidP="00655A37"/>
    <w:p w14:paraId="689D7EFD" w14:textId="77777777" w:rsidR="00655A37" w:rsidRPr="00AC783D" w:rsidRDefault="00655A37" w:rsidP="00655A37">
      <w:pPr>
        <w:keepNext/>
        <w:keepLines/>
        <w:spacing w:before="240" w:after="0"/>
        <w:outlineLvl w:val="0"/>
        <w:rPr>
          <w:rFonts w:ascii="Calibri" w:eastAsiaTheme="majorEastAsia" w:hAnsi="Calibri" w:cstheme="majorBidi"/>
          <w:b/>
          <w:color w:val="343741"/>
          <w:sz w:val="32"/>
          <w:szCs w:val="32"/>
        </w:rPr>
        <w:sectPr w:rsidR="00655A37" w:rsidRPr="00AC783D" w:rsidSect="00655A37">
          <w:pgSz w:w="11906" w:h="16838"/>
          <w:pgMar w:top="1985" w:right="1440" w:bottom="1440" w:left="1440" w:header="708" w:footer="1011" w:gutter="0"/>
          <w:cols w:space="708"/>
          <w:docGrid w:linePitch="360"/>
        </w:sectPr>
      </w:pPr>
    </w:p>
    <w:p w14:paraId="7D1DB14F" w14:textId="77777777" w:rsidR="00655A37" w:rsidRPr="00AC783D" w:rsidRDefault="00655A37" w:rsidP="00655A37">
      <w:pPr>
        <w:keepNext/>
        <w:keepLines/>
        <w:spacing w:before="240" w:after="0"/>
        <w:outlineLvl w:val="0"/>
        <w:rPr>
          <w:rFonts w:ascii="Calibri" w:eastAsiaTheme="majorEastAsia" w:hAnsi="Calibri" w:cstheme="majorBidi"/>
          <w:b/>
          <w:color w:val="343741"/>
          <w:sz w:val="32"/>
          <w:szCs w:val="32"/>
        </w:rPr>
      </w:pPr>
      <w:bookmarkStart w:id="55" w:name="_Toc28871166"/>
      <w:bookmarkStart w:id="56" w:name="_Toc197586678"/>
      <w:r w:rsidRPr="00AC783D">
        <w:rPr>
          <w:rFonts w:ascii="Calibri" w:eastAsiaTheme="majorEastAsia" w:hAnsi="Calibri" w:cstheme="majorBidi"/>
          <w:b/>
          <w:color w:val="343741"/>
          <w:sz w:val="32"/>
          <w:szCs w:val="32"/>
        </w:rPr>
        <w:lastRenderedPageBreak/>
        <w:t>Version history</w:t>
      </w:r>
      <w:bookmarkEnd w:id="55"/>
      <w:bookmarkEnd w:id="56"/>
    </w:p>
    <w:tbl>
      <w:tblPr>
        <w:tblStyle w:val="DEEWRTable"/>
        <w:tblW w:w="0" w:type="auto"/>
        <w:tblLook w:val="04A0" w:firstRow="1" w:lastRow="0" w:firstColumn="1" w:lastColumn="0" w:noHBand="0" w:noVBand="1"/>
        <w:tblCaption w:val="Version history"/>
        <w:tblDescription w:val="Summary of versions and changes from the previous version"/>
      </w:tblPr>
      <w:tblGrid>
        <w:gridCol w:w="4508"/>
        <w:gridCol w:w="4508"/>
      </w:tblGrid>
      <w:tr w:rsidR="00655A37" w:rsidRPr="00AC783D" w14:paraId="320A173A" w14:textId="77777777" w:rsidTr="008E65D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08" w:type="dxa"/>
          </w:tcPr>
          <w:p w14:paraId="77281822" w14:textId="77777777" w:rsidR="00655A37" w:rsidRPr="00AC783D" w:rsidRDefault="00655A37" w:rsidP="008E65D2">
            <w:r w:rsidRPr="00AC783D">
              <w:t>Date</w:t>
            </w:r>
          </w:p>
        </w:tc>
        <w:tc>
          <w:tcPr>
            <w:tcW w:w="4508" w:type="dxa"/>
          </w:tcPr>
          <w:p w14:paraId="5832DB0B" w14:textId="77777777" w:rsidR="00655A37" w:rsidRPr="00AC783D" w:rsidRDefault="00655A37" w:rsidP="008E65D2">
            <w:pPr>
              <w:cnfStyle w:val="100000000000" w:firstRow="1" w:lastRow="0" w:firstColumn="0" w:lastColumn="0" w:oddVBand="0" w:evenVBand="0" w:oddHBand="0" w:evenHBand="0" w:firstRowFirstColumn="0" w:firstRowLastColumn="0" w:lastRowFirstColumn="0" w:lastRowLastColumn="0"/>
            </w:pPr>
            <w:r w:rsidRPr="00AC783D">
              <w:t>Changes from previous version</w:t>
            </w:r>
          </w:p>
        </w:tc>
      </w:tr>
      <w:tr w:rsidR="00655A37" w:rsidRPr="00AC783D" w14:paraId="2BC21EA5" w14:textId="77777777" w:rsidTr="008E65D2">
        <w:tc>
          <w:tcPr>
            <w:cnfStyle w:val="001000000000" w:firstRow="0" w:lastRow="0" w:firstColumn="1" w:lastColumn="0" w:oddVBand="0" w:evenVBand="0" w:oddHBand="0" w:evenHBand="0" w:firstRowFirstColumn="0" w:firstRowLastColumn="0" w:lastRowFirstColumn="0" w:lastRowLastColumn="0"/>
            <w:tcW w:w="4508" w:type="dxa"/>
          </w:tcPr>
          <w:p w14:paraId="4829EAEE" w14:textId="77777777" w:rsidR="00655A37" w:rsidRDefault="00655A37" w:rsidP="008E65D2">
            <w:pPr>
              <w:rPr>
                <w:b w:val="0"/>
              </w:rPr>
            </w:pPr>
            <w:r>
              <w:t>6</w:t>
            </w:r>
            <w:r w:rsidRPr="00AC783D">
              <w:t xml:space="preserve"> February 2020</w:t>
            </w:r>
          </w:p>
          <w:p w14:paraId="0B2684A8" w14:textId="77777777" w:rsidR="00655A37" w:rsidRPr="00AC783D" w:rsidRDefault="00655A37" w:rsidP="008E65D2">
            <w:r>
              <w:t>5 May 2025</w:t>
            </w:r>
          </w:p>
        </w:tc>
        <w:tc>
          <w:tcPr>
            <w:tcW w:w="4508" w:type="dxa"/>
          </w:tcPr>
          <w:p w14:paraId="5FBBCC7D" w14:textId="77777777" w:rsidR="00655A37" w:rsidRDefault="00655A37" w:rsidP="008E65D2">
            <w:pPr>
              <w:cnfStyle w:val="000000000000" w:firstRow="0" w:lastRow="0" w:firstColumn="0" w:lastColumn="0" w:oddVBand="0" w:evenVBand="0" w:oddHBand="0" w:evenHBand="0" w:firstRowFirstColumn="0" w:firstRowLastColumn="0" w:lastRowFirstColumn="0" w:lastRowLastColumn="0"/>
            </w:pPr>
            <w:r w:rsidRPr="00AC783D">
              <w:t>Original version</w:t>
            </w:r>
          </w:p>
          <w:p w14:paraId="42A0BEBD" w14:textId="77777777" w:rsidR="00655A37" w:rsidRPr="00AC783D" w:rsidRDefault="00655A37" w:rsidP="008E65D2">
            <w:pPr>
              <w:cnfStyle w:val="000000000000" w:firstRow="0" w:lastRow="0" w:firstColumn="0" w:lastColumn="0" w:oddVBand="0" w:evenVBand="0" w:oddHBand="0" w:evenHBand="0" w:firstRowFirstColumn="0" w:firstRowLastColumn="0" w:lastRowFirstColumn="0" w:lastRowLastColumn="0"/>
            </w:pPr>
            <w:r>
              <w:t>Updated department template</w:t>
            </w:r>
          </w:p>
        </w:tc>
      </w:tr>
    </w:tbl>
    <w:p w14:paraId="511E6C71" w14:textId="77777777" w:rsidR="00655A37" w:rsidRDefault="00655A37" w:rsidP="00655A37">
      <w:pPr>
        <w:pStyle w:val="ListNumber4"/>
        <w:numPr>
          <w:ilvl w:val="0"/>
          <w:numId w:val="0"/>
        </w:numPr>
      </w:pPr>
    </w:p>
    <w:p w14:paraId="2FE887B2" w14:textId="0CC463DB" w:rsidR="0017134D" w:rsidRDefault="0017134D" w:rsidP="00655A37">
      <w:pPr>
        <w:pStyle w:val="Heading2"/>
      </w:pPr>
    </w:p>
    <w:sectPr w:rsidR="0017134D">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55AAB" w14:textId="77777777" w:rsidR="003E5CEA" w:rsidRDefault="003E5CEA" w:rsidP="000A6228">
      <w:pPr>
        <w:spacing w:after="0" w:line="240" w:lineRule="auto"/>
      </w:pPr>
      <w:r>
        <w:separator/>
      </w:r>
    </w:p>
  </w:endnote>
  <w:endnote w:type="continuationSeparator" w:id="0">
    <w:p w14:paraId="705B5853" w14:textId="77777777" w:rsidR="003E5CEA" w:rsidRDefault="003E5CEA" w:rsidP="000A6228">
      <w:pPr>
        <w:spacing w:after="0" w:line="240" w:lineRule="auto"/>
      </w:pPr>
      <w:r>
        <w:continuationSeparator/>
      </w:r>
    </w:p>
  </w:endnote>
  <w:endnote w:type="continuationNotice" w:id="1">
    <w:p w14:paraId="0A51D541" w14:textId="77777777" w:rsidR="003E5CEA" w:rsidRDefault="003E5C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2186A" w14:textId="77777777" w:rsidR="00655A37" w:rsidRDefault="00000000" w:rsidP="008E65D2">
    <w:pPr>
      <w:pStyle w:val="Footer"/>
      <w:tabs>
        <w:tab w:val="clear" w:pos="9026"/>
        <w:tab w:val="right" w:pos="8647"/>
      </w:tabs>
      <w:ind w:firstLine="720"/>
    </w:pPr>
    <w:sdt>
      <w:sdtPr>
        <w:id w:val="687568527"/>
        <w:docPartObj>
          <w:docPartGallery w:val="Page Numbers (Bottom of Page)"/>
          <w:docPartUnique/>
        </w:docPartObj>
      </w:sdtPr>
      <w:sdtEndPr>
        <w:rPr>
          <w:noProof/>
        </w:rPr>
      </w:sdtEndPr>
      <w:sdtContent>
        <w:r w:rsidR="00655A37">
          <w:fldChar w:fldCharType="begin"/>
        </w:r>
        <w:r w:rsidR="00655A37">
          <w:instrText xml:space="preserve"> PAGE   \* MERGEFORMAT </w:instrText>
        </w:r>
        <w:r w:rsidR="00655A37">
          <w:fldChar w:fldCharType="separate"/>
        </w:r>
        <w:r w:rsidR="00655A37">
          <w:rPr>
            <w:noProof/>
          </w:rPr>
          <w:t>15</w:t>
        </w:r>
        <w:r w:rsidR="00655A37">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F11CB" w14:textId="5689032C" w:rsidR="00221D8F" w:rsidRDefault="008E65D2">
    <w:pPr>
      <w:pStyle w:val="Footer"/>
    </w:pPr>
    <w:r>
      <w:t>Choice and Affordability Fund Guidelines 2020-2029</w:t>
    </w:r>
    <w:r w:rsidR="00221D8F">
      <w:t xml:space="preserve"> | </w:t>
    </w:r>
    <w:r w:rsidR="00221D8F" w:rsidRPr="00AF1F18">
      <w:fldChar w:fldCharType="begin"/>
    </w:r>
    <w:r w:rsidR="00221D8F" w:rsidRPr="00AF1F18">
      <w:instrText xml:space="preserve"> PAGE   \* MERGEFORMAT </w:instrText>
    </w:r>
    <w:r w:rsidR="00221D8F" w:rsidRPr="00AF1F18">
      <w:fldChar w:fldCharType="separate"/>
    </w:r>
    <w:r w:rsidR="00221D8F" w:rsidRPr="00AF1F18">
      <w:t>1</w:t>
    </w:r>
    <w:r w:rsidR="00221D8F" w:rsidRPr="00AF1F18">
      <w:fldChar w:fldCharType="end"/>
    </w:r>
    <w:r w:rsidR="00221D8F">
      <w:rPr>
        <w:noProof/>
      </w:rPr>
      <w:drawing>
        <wp:anchor distT="0" distB="0" distL="114300" distR="114300" simplePos="0" relativeHeight="251658240" behindDoc="1" locked="1" layoutInCell="1" allowOverlap="1" wp14:anchorId="24757F5B" wp14:editId="4AA38227">
          <wp:simplePos x="0" y="0"/>
          <wp:positionH relativeFrom="page">
            <wp:align>right</wp:align>
          </wp:positionH>
          <wp:positionV relativeFrom="page">
            <wp:align>bottom</wp:align>
          </wp:positionV>
          <wp:extent cx="1220400" cy="6516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20400" cy="651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FFD37" w14:textId="77777777" w:rsidR="003E5CEA" w:rsidRDefault="003E5CEA" w:rsidP="000A6228">
      <w:pPr>
        <w:spacing w:after="0" w:line="240" w:lineRule="auto"/>
      </w:pPr>
      <w:r>
        <w:separator/>
      </w:r>
    </w:p>
  </w:footnote>
  <w:footnote w:type="continuationSeparator" w:id="0">
    <w:p w14:paraId="348CD6F3" w14:textId="77777777" w:rsidR="003E5CEA" w:rsidRDefault="003E5CEA" w:rsidP="000A6228">
      <w:pPr>
        <w:spacing w:after="0" w:line="240" w:lineRule="auto"/>
      </w:pPr>
      <w:r>
        <w:continuationSeparator/>
      </w:r>
    </w:p>
  </w:footnote>
  <w:footnote w:type="continuationNotice" w:id="1">
    <w:p w14:paraId="33C35D82" w14:textId="77777777" w:rsidR="003E5CEA" w:rsidRDefault="003E5C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3165A" w14:textId="77777777" w:rsidR="00655A37" w:rsidRDefault="00655A37" w:rsidP="008E65D2">
    <w:pPr>
      <w:pStyle w:val="Header"/>
      <w:jc w:val="right"/>
    </w:pPr>
    <w:r>
      <w:t>Choice and Affordability Fund Guidelines 2020</w:t>
    </w:r>
    <w:r>
      <w:noBreakHyphen/>
      <w:t>2029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0"/>
    <w:multiLevelType w:val="singleLevel"/>
    <w:tmpl w:val="B4BC3062"/>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5"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6"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7"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9"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0E132237"/>
    <w:multiLevelType w:val="hybridMultilevel"/>
    <w:tmpl w:val="AAD08FC6"/>
    <w:lvl w:ilvl="0" w:tplc="4BB6FDF2">
      <w:start w:val="1"/>
      <w:numFmt w:val="bullet"/>
      <w:lvlText w:val="•"/>
      <w:lvlJc w:val="left"/>
      <w:pPr>
        <w:tabs>
          <w:tab w:val="num" w:pos="3128"/>
        </w:tabs>
        <w:ind w:left="3128" w:hanging="360"/>
      </w:pPr>
      <w:rPr>
        <w:rFonts w:ascii="Arial" w:hAnsi="Arial" w:cs="Times New Roman" w:hint="default"/>
      </w:rPr>
    </w:lvl>
    <w:lvl w:ilvl="1" w:tplc="CDCA6666">
      <w:start w:val="1599"/>
      <w:numFmt w:val="bullet"/>
      <w:lvlText w:val="o"/>
      <w:lvlJc w:val="left"/>
      <w:pPr>
        <w:tabs>
          <w:tab w:val="num" w:pos="3848"/>
        </w:tabs>
        <w:ind w:left="3848" w:hanging="360"/>
      </w:pPr>
      <w:rPr>
        <w:rFonts w:ascii="Courier New" w:hAnsi="Courier New" w:cs="Times New Roman" w:hint="default"/>
      </w:rPr>
    </w:lvl>
    <w:lvl w:ilvl="2" w:tplc="B358E15E">
      <w:start w:val="1"/>
      <w:numFmt w:val="bullet"/>
      <w:lvlText w:val="•"/>
      <w:lvlJc w:val="left"/>
      <w:pPr>
        <w:tabs>
          <w:tab w:val="num" w:pos="4568"/>
        </w:tabs>
        <w:ind w:left="4568" w:hanging="360"/>
      </w:pPr>
      <w:rPr>
        <w:rFonts w:ascii="Arial" w:hAnsi="Arial" w:cs="Times New Roman" w:hint="default"/>
      </w:rPr>
    </w:lvl>
    <w:lvl w:ilvl="3" w:tplc="78FCEC66">
      <w:start w:val="1"/>
      <w:numFmt w:val="bullet"/>
      <w:lvlText w:val="•"/>
      <w:lvlJc w:val="left"/>
      <w:pPr>
        <w:tabs>
          <w:tab w:val="num" w:pos="5288"/>
        </w:tabs>
        <w:ind w:left="5288" w:hanging="360"/>
      </w:pPr>
      <w:rPr>
        <w:rFonts w:ascii="Arial" w:hAnsi="Arial" w:cs="Times New Roman" w:hint="default"/>
      </w:rPr>
    </w:lvl>
    <w:lvl w:ilvl="4" w:tplc="9BEAF7E2">
      <w:start w:val="1"/>
      <w:numFmt w:val="bullet"/>
      <w:lvlText w:val="•"/>
      <w:lvlJc w:val="left"/>
      <w:pPr>
        <w:tabs>
          <w:tab w:val="num" w:pos="6008"/>
        </w:tabs>
        <w:ind w:left="6008" w:hanging="360"/>
      </w:pPr>
      <w:rPr>
        <w:rFonts w:ascii="Arial" w:hAnsi="Arial" w:cs="Times New Roman" w:hint="default"/>
      </w:rPr>
    </w:lvl>
    <w:lvl w:ilvl="5" w:tplc="48F2CBA6">
      <w:start w:val="1"/>
      <w:numFmt w:val="bullet"/>
      <w:lvlText w:val="•"/>
      <w:lvlJc w:val="left"/>
      <w:pPr>
        <w:tabs>
          <w:tab w:val="num" w:pos="6728"/>
        </w:tabs>
        <w:ind w:left="6728" w:hanging="360"/>
      </w:pPr>
      <w:rPr>
        <w:rFonts w:ascii="Arial" w:hAnsi="Arial" w:cs="Times New Roman" w:hint="default"/>
      </w:rPr>
    </w:lvl>
    <w:lvl w:ilvl="6" w:tplc="5170B802">
      <w:start w:val="1"/>
      <w:numFmt w:val="bullet"/>
      <w:lvlText w:val="•"/>
      <w:lvlJc w:val="left"/>
      <w:pPr>
        <w:tabs>
          <w:tab w:val="num" w:pos="7448"/>
        </w:tabs>
        <w:ind w:left="7448" w:hanging="360"/>
      </w:pPr>
      <w:rPr>
        <w:rFonts w:ascii="Arial" w:hAnsi="Arial" w:cs="Times New Roman" w:hint="default"/>
      </w:rPr>
    </w:lvl>
    <w:lvl w:ilvl="7" w:tplc="D7383C06">
      <w:start w:val="1"/>
      <w:numFmt w:val="bullet"/>
      <w:lvlText w:val="•"/>
      <w:lvlJc w:val="left"/>
      <w:pPr>
        <w:tabs>
          <w:tab w:val="num" w:pos="8168"/>
        </w:tabs>
        <w:ind w:left="8168" w:hanging="360"/>
      </w:pPr>
      <w:rPr>
        <w:rFonts w:ascii="Arial" w:hAnsi="Arial" w:cs="Times New Roman" w:hint="default"/>
      </w:rPr>
    </w:lvl>
    <w:lvl w:ilvl="8" w:tplc="1B24B4DE">
      <w:start w:val="1"/>
      <w:numFmt w:val="bullet"/>
      <w:lvlText w:val="•"/>
      <w:lvlJc w:val="left"/>
      <w:pPr>
        <w:tabs>
          <w:tab w:val="num" w:pos="8888"/>
        </w:tabs>
        <w:ind w:left="8888" w:hanging="360"/>
      </w:pPr>
      <w:rPr>
        <w:rFonts w:ascii="Arial" w:hAnsi="Arial" w:cs="Times New Roman" w:hint="default"/>
      </w:rPr>
    </w:lvl>
  </w:abstractNum>
  <w:abstractNum w:abstractNumId="12" w15:restartNumberingAfterBreak="0">
    <w:nsid w:val="149254DC"/>
    <w:multiLevelType w:val="hybridMultilevel"/>
    <w:tmpl w:val="A9548F38"/>
    <w:lvl w:ilvl="0" w:tplc="DD3A7430">
      <w:start w:val="1"/>
      <w:numFmt w:val="lowerLetter"/>
      <w:lvlText w:val="%1)"/>
      <w:lvlJc w:val="left"/>
      <w:pPr>
        <w:ind w:left="1440" w:hanging="360"/>
      </w:pPr>
      <w:rPr>
        <w:rFonts w:hint="default"/>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4"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5"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195753B8"/>
    <w:multiLevelType w:val="hybridMultilevel"/>
    <w:tmpl w:val="9C9EF270"/>
    <w:lvl w:ilvl="0" w:tplc="DD3A7430">
      <w:start w:val="1"/>
      <w:numFmt w:val="lowerLetter"/>
      <w:lvlText w:val="%1)"/>
      <w:lvlJc w:val="left"/>
      <w:pPr>
        <w:ind w:left="108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8"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3FB6DA8"/>
    <w:multiLevelType w:val="hybridMultilevel"/>
    <w:tmpl w:val="9C9EF270"/>
    <w:lvl w:ilvl="0" w:tplc="DD3A7430">
      <w:start w:val="1"/>
      <w:numFmt w:val="lowerLetter"/>
      <w:lvlText w:val="%1)"/>
      <w:lvlJc w:val="left"/>
      <w:pPr>
        <w:ind w:left="108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532C78"/>
    <w:multiLevelType w:val="hybridMultilevel"/>
    <w:tmpl w:val="919ED2AE"/>
    <w:lvl w:ilvl="0" w:tplc="FA6A61D6">
      <w:start w:val="1"/>
      <w:numFmt w:val="decimal"/>
      <w:lvlText w:val="%1."/>
      <w:lvlJc w:val="left"/>
      <w:pPr>
        <w:ind w:left="360" w:hanging="360"/>
      </w:pPr>
      <w:rPr>
        <w:rFonts w:asciiTheme="minorHAnsi" w:hAnsiTheme="minorHAnsi" w:cstheme="minorHAnsi" w:hint="default"/>
        <w:sz w:val="22"/>
        <w:szCs w:val="22"/>
      </w:rPr>
    </w:lvl>
    <w:lvl w:ilvl="1" w:tplc="DD3A7430">
      <w:start w:val="1"/>
      <w:numFmt w:val="lowerLetter"/>
      <w:lvlText w:val="%2)"/>
      <w:lvlJc w:val="left"/>
      <w:pPr>
        <w:ind w:left="1080" w:hanging="360"/>
      </w:pPr>
      <w:rPr>
        <w:rFonts w:hint="default"/>
        <w:b w:val="0"/>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4809398E"/>
    <w:multiLevelType w:val="hybridMultilevel"/>
    <w:tmpl w:val="9C9EF270"/>
    <w:lvl w:ilvl="0" w:tplc="DD3A7430">
      <w:start w:val="1"/>
      <w:numFmt w:val="lowerLetter"/>
      <w:lvlText w:val="%1)"/>
      <w:lvlJc w:val="left"/>
      <w:pPr>
        <w:ind w:left="108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E24799A"/>
    <w:multiLevelType w:val="hybridMultilevel"/>
    <w:tmpl w:val="CBCE215A"/>
    <w:lvl w:ilvl="0" w:tplc="0C09001B">
      <w:start w:val="1"/>
      <w:numFmt w:val="lowerRoman"/>
      <w:lvlText w:val="%1."/>
      <w:lvlJc w:val="right"/>
      <w:pPr>
        <w:ind w:left="1800" w:hanging="18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7395E22"/>
    <w:multiLevelType w:val="hybridMultilevel"/>
    <w:tmpl w:val="6FAEEA40"/>
    <w:lvl w:ilvl="0" w:tplc="DD3A7430">
      <w:start w:val="1"/>
      <w:numFmt w:val="lowerLetter"/>
      <w:lvlText w:val="%1)"/>
      <w:lvlJc w:val="left"/>
      <w:pPr>
        <w:ind w:left="108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48A480E"/>
    <w:multiLevelType w:val="hybridMultilevel"/>
    <w:tmpl w:val="73980F48"/>
    <w:lvl w:ilvl="0" w:tplc="DD3A7430">
      <w:start w:val="1"/>
      <w:numFmt w:val="lowerLetter"/>
      <w:lvlText w:val="%1)"/>
      <w:lvlJc w:val="left"/>
      <w:pPr>
        <w:ind w:left="108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8AC5346"/>
    <w:multiLevelType w:val="hybridMultilevel"/>
    <w:tmpl w:val="27C29EA2"/>
    <w:lvl w:ilvl="0" w:tplc="DD3A7430">
      <w:start w:val="1"/>
      <w:numFmt w:val="lowerLetter"/>
      <w:lvlText w:val="%1)"/>
      <w:lvlJc w:val="left"/>
      <w:pPr>
        <w:ind w:left="108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18A7C6D"/>
    <w:multiLevelType w:val="hybridMultilevel"/>
    <w:tmpl w:val="27C29EA2"/>
    <w:lvl w:ilvl="0" w:tplc="DD3A7430">
      <w:start w:val="1"/>
      <w:numFmt w:val="lowerLetter"/>
      <w:lvlText w:val="%1)"/>
      <w:lvlJc w:val="left"/>
      <w:pPr>
        <w:ind w:left="108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1" w15:restartNumberingAfterBreak="0">
    <w:nsid w:val="7BF35E25"/>
    <w:multiLevelType w:val="hybridMultilevel"/>
    <w:tmpl w:val="D5743C00"/>
    <w:lvl w:ilvl="0" w:tplc="FA6A61D6">
      <w:start w:val="1"/>
      <w:numFmt w:val="decimal"/>
      <w:lvlText w:val="%1."/>
      <w:lvlJc w:val="left"/>
      <w:pPr>
        <w:ind w:left="360" w:hanging="360"/>
      </w:pPr>
      <w:rPr>
        <w:rFonts w:asciiTheme="minorHAnsi" w:hAnsiTheme="minorHAnsi" w:cstheme="minorHAnsi" w:hint="default"/>
        <w:sz w:val="22"/>
        <w:szCs w:val="22"/>
      </w:rPr>
    </w:lvl>
    <w:lvl w:ilvl="1" w:tplc="DD3A7430">
      <w:start w:val="1"/>
      <w:numFmt w:val="lowerLetter"/>
      <w:lvlText w:val="%2)"/>
      <w:lvlJc w:val="left"/>
      <w:pPr>
        <w:ind w:left="1080" w:hanging="360"/>
      </w:pPr>
      <w:rPr>
        <w:rFonts w:hint="default"/>
        <w:b w:val="0"/>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760524279">
    <w:abstractNumId w:val="15"/>
  </w:num>
  <w:num w:numId="2" w16cid:durableId="436947581">
    <w:abstractNumId w:val="6"/>
  </w:num>
  <w:num w:numId="3" w16cid:durableId="75826877">
    <w:abstractNumId w:val="5"/>
  </w:num>
  <w:num w:numId="4" w16cid:durableId="306322255">
    <w:abstractNumId w:val="4"/>
  </w:num>
  <w:num w:numId="5" w16cid:durableId="75978829">
    <w:abstractNumId w:val="18"/>
  </w:num>
  <w:num w:numId="6" w16cid:durableId="932514008">
    <w:abstractNumId w:val="2"/>
  </w:num>
  <w:num w:numId="7" w16cid:durableId="1936595011">
    <w:abstractNumId w:val="1"/>
  </w:num>
  <w:num w:numId="8" w16cid:durableId="499849793">
    <w:abstractNumId w:val="0"/>
  </w:num>
  <w:num w:numId="9" w16cid:durableId="1493595375">
    <w:abstractNumId w:val="17"/>
  </w:num>
  <w:num w:numId="10" w16cid:durableId="1807892893">
    <w:abstractNumId w:val="8"/>
  </w:num>
  <w:num w:numId="11" w16cid:durableId="1829053031">
    <w:abstractNumId w:val="28"/>
  </w:num>
  <w:num w:numId="12" w16cid:durableId="1117526806">
    <w:abstractNumId w:val="14"/>
  </w:num>
  <w:num w:numId="13" w16cid:durableId="212946438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86242624">
    <w:abstractNumId w:val="10"/>
  </w:num>
  <w:num w:numId="15" w16cid:durableId="158424565">
    <w:abstractNumId w:val="7"/>
  </w:num>
  <w:num w:numId="16" w16cid:durableId="807010820">
    <w:abstractNumId w:val="30"/>
  </w:num>
  <w:num w:numId="17" w16cid:durableId="801265162">
    <w:abstractNumId w:val="20"/>
  </w:num>
  <w:num w:numId="18" w16cid:durableId="1928150622">
    <w:abstractNumId w:val="9"/>
  </w:num>
  <w:num w:numId="19" w16cid:durableId="476995438">
    <w:abstractNumId w:val="25"/>
  </w:num>
  <w:num w:numId="20" w16cid:durableId="1461460396">
    <w:abstractNumId w:val="3"/>
  </w:num>
  <w:num w:numId="21" w16cid:durableId="12415954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47322559">
    <w:abstractNumId w:val="31"/>
  </w:num>
  <w:num w:numId="23" w16cid:durableId="1745495688">
    <w:abstractNumId w:val="11"/>
  </w:num>
  <w:num w:numId="24" w16cid:durableId="1593508234">
    <w:abstractNumId w:val="21"/>
  </w:num>
  <w:num w:numId="25" w16cid:durableId="1214001926">
    <w:abstractNumId w:val="24"/>
  </w:num>
  <w:num w:numId="26" w16cid:durableId="1368480591">
    <w:abstractNumId w:val="16"/>
  </w:num>
  <w:num w:numId="27" w16cid:durableId="1346521540">
    <w:abstractNumId w:val="19"/>
  </w:num>
  <w:num w:numId="28" w16cid:durableId="1959295113">
    <w:abstractNumId w:val="12"/>
  </w:num>
  <w:num w:numId="29" w16cid:durableId="2005625649">
    <w:abstractNumId w:val="23"/>
  </w:num>
  <w:num w:numId="30" w16cid:durableId="1477839189">
    <w:abstractNumId w:val="22"/>
  </w:num>
  <w:num w:numId="31" w16cid:durableId="1468861112">
    <w:abstractNumId w:val="29"/>
  </w:num>
  <w:num w:numId="32" w16cid:durableId="1943878576">
    <w:abstractNumId w:val="27"/>
  </w:num>
  <w:num w:numId="33" w16cid:durableId="172795449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0DE8"/>
    <w:rsid w:val="00012366"/>
    <w:rsid w:val="00021FBE"/>
    <w:rsid w:val="00031696"/>
    <w:rsid w:val="000521D7"/>
    <w:rsid w:val="000A0B58"/>
    <w:rsid w:val="000A6228"/>
    <w:rsid w:val="000B5D40"/>
    <w:rsid w:val="000B7EC6"/>
    <w:rsid w:val="00107D87"/>
    <w:rsid w:val="00107DD5"/>
    <w:rsid w:val="00114973"/>
    <w:rsid w:val="0012343A"/>
    <w:rsid w:val="00133B8D"/>
    <w:rsid w:val="0013611E"/>
    <w:rsid w:val="001515BF"/>
    <w:rsid w:val="0017134D"/>
    <w:rsid w:val="001C1523"/>
    <w:rsid w:val="00221D8F"/>
    <w:rsid w:val="002272DB"/>
    <w:rsid w:val="00276047"/>
    <w:rsid w:val="002A4458"/>
    <w:rsid w:val="002D589A"/>
    <w:rsid w:val="003E5CEA"/>
    <w:rsid w:val="0040155D"/>
    <w:rsid w:val="004042BF"/>
    <w:rsid w:val="0041713E"/>
    <w:rsid w:val="00421D3F"/>
    <w:rsid w:val="00423785"/>
    <w:rsid w:val="00452D26"/>
    <w:rsid w:val="004A06CD"/>
    <w:rsid w:val="004A4B6F"/>
    <w:rsid w:val="004A4CF9"/>
    <w:rsid w:val="004D2965"/>
    <w:rsid w:val="004E7B78"/>
    <w:rsid w:val="005A75C9"/>
    <w:rsid w:val="005B187D"/>
    <w:rsid w:val="005C64CF"/>
    <w:rsid w:val="006232DC"/>
    <w:rsid w:val="0063094F"/>
    <w:rsid w:val="00636C9E"/>
    <w:rsid w:val="00655A37"/>
    <w:rsid w:val="006A5FBC"/>
    <w:rsid w:val="006D67F3"/>
    <w:rsid w:val="006E65E0"/>
    <w:rsid w:val="006F1FFF"/>
    <w:rsid w:val="006F4999"/>
    <w:rsid w:val="006F6D10"/>
    <w:rsid w:val="00712B94"/>
    <w:rsid w:val="00754C60"/>
    <w:rsid w:val="007B2CA1"/>
    <w:rsid w:val="007D0ABC"/>
    <w:rsid w:val="007D3D38"/>
    <w:rsid w:val="008042F5"/>
    <w:rsid w:val="00824DB6"/>
    <w:rsid w:val="00874748"/>
    <w:rsid w:val="00886959"/>
    <w:rsid w:val="008A36E1"/>
    <w:rsid w:val="008A37A7"/>
    <w:rsid w:val="008B0736"/>
    <w:rsid w:val="008D1993"/>
    <w:rsid w:val="008E65D2"/>
    <w:rsid w:val="008F0B65"/>
    <w:rsid w:val="0092066C"/>
    <w:rsid w:val="00950B06"/>
    <w:rsid w:val="00970069"/>
    <w:rsid w:val="009721EB"/>
    <w:rsid w:val="009B706E"/>
    <w:rsid w:val="009C423A"/>
    <w:rsid w:val="009E79ED"/>
    <w:rsid w:val="00A07596"/>
    <w:rsid w:val="00A17A08"/>
    <w:rsid w:val="00A443A9"/>
    <w:rsid w:val="00A60673"/>
    <w:rsid w:val="00A83ED0"/>
    <w:rsid w:val="00AC1872"/>
    <w:rsid w:val="00AD631F"/>
    <w:rsid w:val="00AE21FF"/>
    <w:rsid w:val="00AF1F18"/>
    <w:rsid w:val="00B0726E"/>
    <w:rsid w:val="00B209BF"/>
    <w:rsid w:val="00B219D1"/>
    <w:rsid w:val="00B4472B"/>
    <w:rsid w:val="00B56403"/>
    <w:rsid w:val="00B81805"/>
    <w:rsid w:val="00B81FA4"/>
    <w:rsid w:val="00B8794C"/>
    <w:rsid w:val="00B95EF4"/>
    <w:rsid w:val="00BB6509"/>
    <w:rsid w:val="00BC248C"/>
    <w:rsid w:val="00C01EC0"/>
    <w:rsid w:val="00C244EE"/>
    <w:rsid w:val="00C72224"/>
    <w:rsid w:val="00C75706"/>
    <w:rsid w:val="00C81985"/>
    <w:rsid w:val="00CA4815"/>
    <w:rsid w:val="00CC41D4"/>
    <w:rsid w:val="00CF6562"/>
    <w:rsid w:val="00D11ECD"/>
    <w:rsid w:val="00D5688A"/>
    <w:rsid w:val="00DC5980"/>
    <w:rsid w:val="00DD2B46"/>
    <w:rsid w:val="00E444AA"/>
    <w:rsid w:val="00E529E5"/>
    <w:rsid w:val="00EB4C2F"/>
    <w:rsid w:val="00EC2800"/>
    <w:rsid w:val="00ED0DDF"/>
    <w:rsid w:val="00F1000D"/>
    <w:rsid w:val="00F311A4"/>
    <w:rsid w:val="00F82C2C"/>
    <w:rsid w:val="00F85913"/>
    <w:rsid w:val="00F916F7"/>
    <w:rsid w:val="00FD4D6E"/>
    <w:rsid w:val="00FF5BC8"/>
    <w:rsid w:val="00FF5E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4AA99"/>
  <w15:chartTrackingRefBased/>
  <w15:docId w15:val="{65FC63F7-F04E-4468-B73A-E64FFA3B0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452D26"/>
    <w:pPr>
      <w:keepNext/>
      <w:keepLines/>
      <w:spacing w:before="1320" w:after="0" w:line="940" w:lineRule="exact"/>
      <w:outlineLvl w:val="0"/>
    </w:pPr>
    <w:rPr>
      <w:rFonts w:ascii="Calibri" w:eastAsiaTheme="majorEastAsia" w:hAnsi="Calibri" w:cstheme="majorBidi"/>
      <w:b/>
      <w:color w:val="FFFFFF" w:themeColor="background1"/>
      <w:sz w:val="84"/>
      <w:szCs w:val="32"/>
    </w:rPr>
  </w:style>
  <w:style w:type="paragraph" w:styleId="Heading2">
    <w:name w:val="heading 2"/>
    <w:basedOn w:val="Normal"/>
    <w:next w:val="Normal"/>
    <w:link w:val="Heading2Char"/>
    <w:uiPriority w:val="9"/>
    <w:unhideWhenUsed/>
    <w:qFormat/>
    <w:rsid w:val="002272DB"/>
    <w:pPr>
      <w:keepNext/>
      <w:keepLines/>
      <w:spacing w:before="720"/>
      <w:outlineLvl w:val="1"/>
    </w:pPr>
    <w:rPr>
      <w:rFonts w:asciiTheme="majorHAnsi" w:eastAsiaTheme="majorEastAsia" w:hAnsiTheme="majorHAnsi" w:cstheme="majorBidi"/>
      <w:b/>
      <w:color w:val="55437E" w:themeColor="accent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2272DB"/>
    <w:pPr>
      <w:keepNext/>
      <w:keepLines/>
      <w:spacing w:before="360" w:after="0"/>
      <w:outlineLvl w:val="3"/>
    </w:pPr>
    <w:rPr>
      <w:rFonts w:asciiTheme="majorHAnsi" w:eastAsiaTheme="majorEastAsia" w:hAnsiTheme="majorHAnsi" w:cstheme="majorBidi"/>
      <w:b/>
      <w:iCs/>
      <w:color w:val="004C6C" w:themeColor="background2"/>
      <w:sz w:val="28"/>
    </w:rPr>
  </w:style>
  <w:style w:type="paragraph" w:styleId="Heading5">
    <w:name w:val="heading 5"/>
    <w:basedOn w:val="Normal"/>
    <w:next w:val="Normal"/>
    <w:link w:val="Heading5Char"/>
    <w:uiPriority w:val="9"/>
    <w:unhideWhenUsed/>
    <w:qFormat/>
    <w:rsid w:val="00F311A4"/>
    <w:pPr>
      <w:keepNext/>
      <w:keepLines/>
      <w:spacing w:before="40" w:after="0"/>
      <w:outlineLvl w:val="4"/>
    </w:pPr>
    <w:rPr>
      <w:rFonts w:asciiTheme="majorHAnsi" w:eastAsiaTheme="majorEastAsia" w:hAnsiTheme="majorHAnsi" w:cstheme="majorBidi"/>
      <w:b/>
      <w:color w:val="00254A" w:themeColor="text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52D26"/>
    <w:rPr>
      <w:rFonts w:ascii="Calibri" w:eastAsiaTheme="majorEastAsia" w:hAnsi="Calibri" w:cstheme="majorBidi"/>
      <w:b/>
      <w:color w:val="FFFFFF" w:themeColor="background1"/>
      <w:sz w:val="84"/>
      <w:szCs w:val="32"/>
    </w:rPr>
  </w:style>
  <w:style w:type="character" w:customStyle="1" w:styleId="Heading2Char">
    <w:name w:val="Heading 2 Char"/>
    <w:basedOn w:val="DefaultParagraphFont"/>
    <w:link w:val="Heading2"/>
    <w:uiPriority w:val="9"/>
    <w:rsid w:val="002272DB"/>
    <w:rPr>
      <w:rFonts w:asciiTheme="majorHAnsi" w:eastAsiaTheme="majorEastAsia" w:hAnsiTheme="majorHAnsi" w:cstheme="majorBidi"/>
      <w:b/>
      <w:color w:val="55437E" w:themeColor="accent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2272DB"/>
    <w:rPr>
      <w:rFonts w:asciiTheme="majorHAnsi" w:eastAsiaTheme="majorEastAsia" w:hAnsiTheme="majorHAnsi" w:cstheme="majorBidi"/>
      <w:b/>
      <w:iCs/>
      <w:color w:val="004C6C" w:themeColor="background2"/>
      <w:sz w:val="28"/>
    </w:rPr>
  </w:style>
  <w:style w:type="character" w:customStyle="1" w:styleId="Heading5Char">
    <w:name w:val="Heading 5 Char"/>
    <w:basedOn w:val="DefaultParagraphFont"/>
    <w:link w:val="Heading5"/>
    <w:uiPriority w:val="9"/>
    <w:rsid w:val="00F311A4"/>
    <w:rPr>
      <w:rFonts w:asciiTheme="majorHAnsi" w:eastAsiaTheme="majorEastAsia" w:hAnsiTheme="majorHAnsi" w:cstheme="majorBidi"/>
      <w:b/>
      <w:color w:val="00254A" w:themeColor="text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221D8F"/>
    <w:pPr>
      <w:numPr>
        <w:ilvl w:val="1"/>
      </w:numPr>
      <w:spacing w:before="160" w:after="140"/>
    </w:pPr>
    <w:rPr>
      <w:rFonts w:eastAsiaTheme="minorEastAsia"/>
      <w:color w:val="47BFAF" w:themeColor="accent4"/>
      <w:spacing w:val="15"/>
      <w:sz w:val="40"/>
    </w:rPr>
  </w:style>
  <w:style w:type="character" w:customStyle="1" w:styleId="SubtitleChar">
    <w:name w:val="Subtitle Char"/>
    <w:basedOn w:val="DefaultParagraphFont"/>
    <w:link w:val="Subtitle"/>
    <w:uiPriority w:val="11"/>
    <w:rsid w:val="00221D8F"/>
    <w:rPr>
      <w:rFonts w:eastAsiaTheme="minorEastAsia"/>
      <w:color w:val="47BFAF" w:themeColor="accent4"/>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AF1F18"/>
    <w:pPr>
      <w:tabs>
        <w:tab w:val="right" w:leader="dot" w:pos="9016"/>
      </w:tabs>
      <w:spacing w:after="100"/>
    </w:pPr>
  </w:style>
  <w:style w:type="paragraph" w:styleId="TOC2">
    <w:name w:val="toc 2"/>
    <w:basedOn w:val="Normal"/>
    <w:next w:val="Normal"/>
    <w:autoRedefine/>
    <w:uiPriority w:val="3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customStyle="1" w:styleId="numberedpara">
    <w:name w:val="numbered para"/>
    <w:basedOn w:val="Normal"/>
    <w:rsid w:val="00E444AA"/>
    <w:pPr>
      <w:numPr>
        <w:numId w:val="21"/>
      </w:numPr>
      <w:spacing w:before="120" w:after="0" w:line="240" w:lineRule="auto"/>
    </w:pPr>
    <w:rPr>
      <w:rFonts w:ascii="Calibri" w:hAnsi="Calibri" w:cs="Calibri"/>
      <w:lang w:eastAsia="en-AU"/>
    </w:rPr>
  </w:style>
  <w:style w:type="paragraph" w:styleId="ListParagraph">
    <w:name w:val="List Paragraph"/>
    <w:aliases w:val="List Bullet Cab,CAB - List Bullet,Bullet Point,Bullet point,Bullet points,Bulleted Para,Content descriptions,Dot Point,FooterText,L,List Paragraph Number,List Paragraph1,List Paragraph11,List Paragraph2,NAST Quote,NFP GP Bulleted List,列出段"/>
    <w:basedOn w:val="Normal"/>
    <w:link w:val="ListParagraphChar"/>
    <w:uiPriority w:val="34"/>
    <w:qFormat/>
    <w:rsid w:val="00655A37"/>
    <w:pPr>
      <w:spacing w:after="200" w:line="360" w:lineRule="auto"/>
      <w:ind w:left="720"/>
      <w:contextualSpacing/>
    </w:pPr>
  </w:style>
  <w:style w:type="table" w:customStyle="1" w:styleId="DEEWRTable">
    <w:name w:val="DEEWR Table"/>
    <w:basedOn w:val="TableNormal"/>
    <w:uiPriority w:val="99"/>
    <w:rsid w:val="00655A37"/>
    <w:pPr>
      <w:spacing w:after="0" w:line="240" w:lineRule="auto"/>
    </w:pPr>
    <w:rPr>
      <w:rFonts w:eastAsiaTheme="minorEastAsia"/>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1"/>
        <w:sz w:val="20"/>
      </w:rPr>
      <w:tblPr/>
      <w:tcPr>
        <w:shd w:val="clear" w:color="auto" w:fill="522761"/>
      </w:tcPr>
    </w:tblStylePr>
    <w:tblStylePr w:type="firstCol">
      <w:pPr>
        <w:jc w:val="left"/>
      </w:pPr>
      <w:rPr>
        <w:b/>
      </w:rPr>
    </w:tblStylePr>
  </w:style>
  <w:style w:type="character" w:customStyle="1" w:styleId="ListParagraphChar">
    <w:name w:val="List Paragraph Char"/>
    <w:aliases w:val="List Bullet Cab Char,CAB - List Bullet Char,Bullet Point Char,Bullet point Char,Bullet points Char,Bulleted Para Char,Content descriptions Char,Dot Point Char,FooterText Char,L Char,List Paragraph Number Char,List Paragraph1 Char"/>
    <w:basedOn w:val="DefaultParagraphFont"/>
    <w:link w:val="ListParagraph"/>
    <w:uiPriority w:val="34"/>
    <w:qFormat/>
    <w:locked/>
    <w:rsid w:val="00655A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hyperlink" Target="mailto:CAF@education.gov.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education.gov.au/ngrs" TargetMode="External"/><Relationship Id="rId2" Type="http://schemas.openxmlformats.org/officeDocument/2006/relationships/customXml" Target="../customXml/item2.xml"/><Relationship Id="rId16" Type="http://schemas.openxmlformats.org/officeDocument/2006/relationships/hyperlink" Target="https://creativecommons.org/licenses/by/4.0/legalco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creativecommons.org/licenses/by/4.0/"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5.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6D9A923AB949B48FD45161E4265184"/>
        <w:category>
          <w:name w:val="General"/>
          <w:gallery w:val="placeholder"/>
        </w:category>
        <w:types>
          <w:type w:val="bbPlcHdr"/>
        </w:types>
        <w:behaviors>
          <w:behavior w:val="content"/>
        </w:behaviors>
        <w:guid w:val="{2308DD34-E889-4D23-B675-EF04BAE904DA}"/>
      </w:docPartPr>
      <w:docPartBody>
        <w:p w:rsidR="002B3ACA" w:rsidRDefault="00785B1E">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031696"/>
    <w:rsid w:val="00126D35"/>
    <w:rsid w:val="002B3ACA"/>
    <w:rsid w:val="004042BF"/>
    <w:rsid w:val="006F4999"/>
    <w:rsid w:val="00703242"/>
    <w:rsid w:val="00785B1E"/>
    <w:rsid w:val="008C31A5"/>
    <w:rsid w:val="009522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5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74E76-6ED3-4D49-AFF5-517692675C9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0402BF-F79F-44FC-92DC-AEF0284179F4}">
  <ds:schemaRefs>
    <ds:schemaRef ds:uri="http://schemas.microsoft.com/sharepoint/v3/contenttype/forms"/>
  </ds:schemaRefs>
</ds:datastoreItem>
</file>

<file path=customXml/itemProps3.xml><?xml version="1.0" encoding="utf-8"?>
<ds:datastoreItem xmlns:ds="http://schemas.openxmlformats.org/officeDocument/2006/customXml" ds:itemID="{480D522F-7B31-458F-932B-5C44DACAD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16</Pages>
  <Words>4393</Words>
  <Characters>25043</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Choice and Affordability Fund Guidelines</vt:lpstr>
    </vt:vector>
  </TitlesOfParts>
  <Company/>
  <LinksUpToDate>false</LinksUpToDate>
  <CharactersWithSpaces>29378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Choice and Affordability Fund Guidelines</dc:title>
  <dc:subject/>
  <dc:creator>CAMPAGNA,Candice</dc:creator>
  <cp:keywords/>
  <dc:description/>
  <cp:lastModifiedBy>MANNIE,Ryan</cp:lastModifiedBy>
  <cp:revision>16</cp:revision>
  <cp:lastPrinted>2025-05-14T07:35:00Z</cp:lastPrinted>
  <dcterms:created xsi:type="dcterms:W3CDTF">2025-05-08T15:37:00Z</dcterms:created>
  <dcterms:modified xsi:type="dcterms:W3CDTF">2025-05-14T07:35:00Z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ies>
</file>