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5DF510" w14:textId="6A627B4B" w:rsidR="001414F3" w:rsidRDefault="00B36D36" w:rsidP="00130923">
      <w:pPr>
        <w:pStyle w:val="BodyText"/>
      </w:pPr>
      <w:bookmarkStart w:id="0" w:name="_GoBack"/>
      <w:bookmarkEnd w:id="0"/>
      <w:r>
        <w:rPr>
          <w:noProof/>
        </w:rPr>
        <w:drawing>
          <wp:inline distT="0" distB="0" distL="0" distR="0" wp14:anchorId="00047DCB" wp14:editId="475A9542">
            <wp:extent cx="2252472" cy="560832"/>
            <wp:effectExtent l="0" t="0" r="0" b="0"/>
            <wp:docPr id="14" name="Picture 14"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138F478C" w14:textId="3333E230" w:rsidR="001414F3" w:rsidRPr="00F47193" w:rsidRDefault="001414F3" w:rsidP="00F80CFC">
      <w:pPr>
        <w:pStyle w:val="Subtitle"/>
        <w:ind w:left="1276" w:right="-22"/>
        <w:rPr>
          <w:sz w:val="120"/>
          <w:szCs w:val="120"/>
        </w:rPr>
      </w:pPr>
    </w:p>
    <w:p w14:paraId="7AB88C70" w14:textId="5FA08295" w:rsidR="00BA282D" w:rsidRDefault="00810970" w:rsidP="00BA4D57">
      <w:pPr>
        <w:pStyle w:val="Title"/>
        <w:ind w:left="1276" w:right="-23"/>
      </w:pPr>
      <w:r>
        <w:t>Indigenous Students in Higher Degrees by Research</w:t>
      </w:r>
    </w:p>
    <w:p w14:paraId="14F0A8F0" w14:textId="4FE5AAB6" w:rsidR="00BA282D" w:rsidRDefault="00D61CC6" w:rsidP="00F80CFC">
      <w:pPr>
        <w:pStyle w:val="Subtitle"/>
        <w:ind w:left="1276" w:right="-22"/>
      </w:pPr>
      <w:r>
        <w:t xml:space="preserve">Statistical Report, </w:t>
      </w:r>
      <w:r w:rsidR="00B36D36">
        <w:t xml:space="preserve">August </w:t>
      </w:r>
      <w:r w:rsidR="002754DB">
        <w:t>2019</w:t>
      </w:r>
    </w:p>
    <w:p w14:paraId="72AF21FF" w14:textId="68791624" w:rsidR="007E1060" w:rsidRDefault="007E1060" w:rsidP="007E1060">
      <w:pPr>
        <w:rPr>
          <w:rStyle w:val="Emphasis"/>
          <w:color w:val="FF0000"/>
        </w:rPr>
      </w:pPr>
      <w:r>
        <w:rPr>
          <w:noProof/>
          <w:lang w:eastAsia="en-AU"/>
        </w:rPr>
        <w:drawing>
          <wp:anchor distT="0" distB="0" distL="114300" distR="114300" simplePos="0" relativeHeight="251658240" behindDoc="1" locked="0" layoutInCell="1" allowOverlap="1" wp14:anchorId="53449B79" wp14:editId="4AF98E1E">
            <wp:simplePos x="0" y="0"/>
            <wp:positionH relativeFrom="page">
              <wp:posOffset>-26983</wp:posOffset>
            </wp:positionH>
            <wp:positionV relativeFrom="page">
              <wp:posOffset>5299246</wp:posOffset>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p>
    <w:p w14:paraId="7B226900" w14:textId="77777777" w:rsidR="007E1060" w:rsidRDefault="007E1060" w:rsidP="007E1060">
      <w:pPr>
        <w:rPr>
          <w:rStyle w:val="Emphasis"/>
          <w:color w:val="FF0000"/>
        </w:rPr>
      </w:pPr>
    </w:p>
    <w:p w14:paraId="4893966E" w14:textId="77777777" w:rsidR="007E1060" w:rsidRDefault="007E1060" w:rsidP="007E1060">
      <w:pPr>
        <w:rPr>
          <w:rStyle w:val="Emphasis"/>
          <w:color w:val="FF0000"/>
        </w:rPr>
      </w:pPr>
    </w:p>
    <w:p w14:paraId="2DCD9197" w14:textId="77777777" w:rsidR="007E1060" w:rsidRDefault="007E1060" w:rsidP="007E1060">
      <w:pPr>
        <w:rPr>
          <w:rStyle w:val="Emphasis"/>
          <w:color w:val="FF0000"/>
        </w:rPr>
      </w:pPr>
    </w:p>
    <w:p w14:paraId="2352F815" w14:textId="77777777" w:rsidR="007E1060" w:rsidRDefault="007E1060" w:rsidP="007E1060">
      <w:pPr>
        <w:rPr>
          <w:rStyle w:val="Emphasis"/>
          <w:color w:val="FF0000"/>
        </w:rPr>
      </w:pPr>
    </w:p>
    <w:p w14:paraId="509E5AF6" w14:textId="77777777" w:rsidR="007E1060" w:rsidRDefault="007E1060" w:rsidP="007E1060">
      <w:pPr>
        <w:rPr>
          <w:rStyle w:val="Emphasis"/>
          <w:color w:val="FF0000"/>
        </w:rPr>
      </w:pPr>
    </w:p>
    <w:p w14:paraId="38A4A176" w14:textId="77777777" w:rsidR="007E1060" w:rsidRDefault="007E1060" w:rsidP="007E1060">
      <w:pPr>
        <w:rPr>
          <w:rStyle w:val="Emphasis"/>
          <w:color w:val="FF0000"/>
        </w:rPr>
      </w:pPr>
    </w:p>
    <w:p w14:paraId="1E5B5BC7" w14:textId="77777777" w:rsidR="007E1060" w:rsidRDefault="007E1060" w:rsidP="007E1060">
      <w:pPr>
        <w:rPr>
          <w:rStyle w:val="Emphasis"/>
          <w:color w:val="FF0000"/>
        </w:rPr>
      </w:pPr>
    </w:p>
    <w:p w14:paraId="76835864" w14:textId="77777777" w:rsidR="007E1060" w:rsidRDefault="007E1060" w:rsidP="007E1060">
      <w:pPr>
        <w:rPr>
          <w:rStyle w:val="Emphasis"/>
          <w:color w:val="FF0000"/>
        </w:rPr>
      </w:pPr>
    </w:p>
    <w:p w14:paraId="46A3EFFC" w14:textId="77777777" w:rsidR="007E1060" w:rsidRDefault="007E1060" w:rsidP="007E1060">
      <w:pPr>
        <w:rPr>
          <w:rStyle w:val="Emphasis"/>
          <w:color w:val="FF0000"/>
        </w:rPr>
      </w:pPr>
    </w:p>
    <w:p w14:paraId="4DC88537" w14:textId="77777777" w:rsidR="007E1060" w:rsidRDefault="007E1060" w:rsidP="007E1060">
      <w:pPr>
        <w:rPr>
          <w:rStyle w:val="Emphasis"/>
          <w:color w:val="FF0000"/>
        </w:rPr>
      </w:pPr>
    </w:p>
    <w:p w14:paraId="6C6AE03E" w14:textId="77777777" w:rsidR="007E1060" w:rsidRDefault="007E1060" w:rsidP="007E1060">
      <w:pPr>
        <w:rPr>
          <w:rStyle w:val="Emphasis"/>
          <w:color w:val="FF0000"/>
        </w:rPr>
      </w:pPr>
    </w:p>
    <w:p w14:paraId="7362056E" w14:textId="57AA711C" w:rsidR="007E1060" w:rsidRDefault="007E1060" w:rsidP="007E1060">
      <w:pPr>
        <w:rPr>
          <w:rStyle w:val="Emphasis"/>
          <w:color w:val="FF0000"/>
        </w:rPr>
      </w:pPr>
    </w:p>
    <w:p w14:paraId="0D7DEC03" w14:textId="77777777" w:rsidR="007E1060" w:rsidRDefault="007E1060" w:rsidP="007E1060">
      <w:pPr>
        <w:rPr>
          <w:rStyle w:val="Emphasis"/>
          <w:color w:val="FF0000"/>
        </w:rPr>
      </w:pPr>
    </w:p>
    <w:p w14:paraId="6860B7C8" w14:textId="77777777" w:rsidR="007E1060" w:rsidRDefault="007E1060" w:rsidP="007E1060">
      <w:pPr>
        <w:rPr>
          <w:rStyle w:val="Emphasis"/>
          <w:color w:val="FF0000"/>
        </w:rPr>
      </w:pPr>
    </w:p>
    <w:p w14:paraId="45825EB3" w14:textId="682F8A1E" w:rsidR="007E1060" w:rsidRPr="007E1060" w:rsidRDefault="007E1060" w:rsidP="007E1060">
      <w:pPr>
        <w:ind w:left="720" w:firstLine="720"/>
        <w:rPr>
          <w:sz w:val="620"/>
          <w:szCs w:val="620"/>
        </w:rPr>
      </w:pPr>
      <w:r w:rsidRPr="007E1060">
        <w:rPr>
          <w:rStyle w:val="Emphasis"/>
          <w:color w:val="FFFFFF" w:themeColor="background1"/>
        </w:rPr>
        <w:t>Opportunity through learning</w:t>
      </w:r>
      <w:r w:rsidRPr="007E1060">
        <w:rPr>
          <w:color w:val="FF0000"/>
        </w:rPr>
        <w:br w:type="page"/>
      </w:r>
    </w:p>
    <w:p w14:paraId="2D7B8DDB" w14:textId="52A5F3A5" w:rsidR="00130923" w:rsidRDefault="00130923" w:rsidP="00EF5845">
      <w:pPr>
        <w:spacing w:after="0"/>
        <w:ind w:left="1276"/>
      </w:pPr>
    </w:p>
    <w:p w14:paraId="77FDE8E4" w14:textId="77777777" w:rsidR="00130923" w:rsidRDefault="00130923" w:rsidP="00130923">
      <w:pPr>
        <w:pStyle w:val="BodyText"/>
        <w:sectPr w:rsidR="00130923" w:rsidSect="00AD09E4">
          <w:headerReference w:type="even" r:id="rId13"/>
          <w:headerReference w:type="default" r:id="rId14"/>
          <w:footerReference w:type="even" r:id="rId15"/>
          <w:footerReference w:type="default" r:id="rId16"/>
          <w:headerReference w:type="first" r:id="rId17"/>
          <w:footerReference w:type="first" r:id="rId18"/>
          <w:pgSz w:w="11906" w:h="16838"/>
          <w:pgMar w:top="1418" w:right="1558" w:bottom="567" w:left="1440" w:header="708" w:footer="283" w:gutter="0"/>
          <w:cols w:space="708"/>
          <w:docGrid w:linePitch="360"/>
        </w:sectPr>
      </w:pPr>
    </w:p>
    <w:p w14:paraId="0592A039" w14:textId="77777777" w:rsidR="00810970" w:rsidRDefault="00810970" w:rsidP="007D58FB"/>
    <w:p w14:paraId="3154F2BD" w14:textId="77777777" w:rsidR="00810970" w:rsidRDefault="00810970" w:rsidP="007D58FB"/>
    <w:p w14:paraId="39BFCFBB" w14:textId="77777777" w:rsidR="00810970" w:rsidRDefault="00810970" w:rsidP="007D58FB"/>
    <w:p w14:paraId="0234CDB8" w14:textId="77777777" w:rsidR="00810970" w:rsidRDefault="00810970" w:rsidP="007D58FB"/>
    <w:p w14:paraId="4E918E1B" w14:textId="77777777" w:rsidR="00810970" w:rsidRDefault="00810970" w:rsidP="007D58FB"/>
    <w:p w14:paraId="7B1B0A3B" w14:textId="77777777" w:rsidR="00810970" w:rsidRDefault="00810970" w:rsidP="007D58FB"/>
    <w:p w14:paraId="352FBF81" w14:textId="77777777" w:rsidR="00810970" w:rsidRDefault="00810970" w:rsidP="007D58FB"/>
    <w:p w14:paraId="731A8BD7" w14:textId="77777777" w:rsidR="00810970" w:rsidRDefault="00810970" w:rsidP="007D58FB"/>
    <w:p w14:paraId="01701ECA" w14:textId="77777777" w:rsidR="00810970" w:rsidRDefault="00810970" w:rsidP="007D58FB"/>
    <w:p w14:paraId="5D70E044" w14:textId="77777777" w:rsidR="00810970" w:rsidRDefault="00810970" w:rsidP="007D58FB"/>
    <w:p w14:paraId="7B8D0D4C" w14:textId="77777777" w:rsidR="00810970" w:rsidRDefault="00810970" w:rsidP="007D58FB"/>
    <w:p w14:paraId="1ED4C13C" w14:textId="77777777" w:rsidR="00810970" w:rsidRDefault="00810970" w:rsidP="007D58FB"/>
    <w:p w14:paraId="4D880B2B" w14:textId="77777777" w:rsidR="00810970" w:rsidRDefault="00810970" w:rsidP="007D58FB"/>
    <w:p w14:paraId="0DEF6F0F" w14:textId="77777777" w:rsidR="00810970" w:rsidRDefault="00810970" w:rsidP="007D58FB"/>
    <w:p w14:paraId="3105098B" w14:textId="77777777" w:rsidR="00810970" w:rsidRDefault="00810970" w:rsidP="007D58FB"/>
    <w:p w14:paraId="60198F0D" w14:textId="77777777" w:rsidR="00810970" w:rsidRDefault="00810970" w:rsidP="007D58FB"/>
    <w:p w14:paraId="3932B4D8" w14:textId="77777777" w:rsidR="00810970" w:rsidRDefault="00810970" w:rsidP="007D58FB"/>
    <w:p w14:paraId="10BA2174" w14:textId="77777777" w:rsidR="00810970" w:rsidRDefault="00810970" w:rsidP="007D58FB"/>
    <w:p w14:paraId="62DC66F7" w14:textId="6F2F9D80" w:rsidR="00130923" w:rsidRPr="008E4DA0" w:rsidRDefault="00130923" w:rsidP="007D58FB">
      <w:r w:rsidRPr="008E4DA0">
        <w:t>ISBN</w:t>
      </w:r>
    </w:p>
    <w:p w14:paraId="3C67008D" w14:textId="1B03C300" w:rsidR="00130923" w:rsidRPr="007D58FB" w:rsidRDefault="00221624" w:rsidP="007D58FB">
      <w:pPr>
        <w:rPr>
          <w:szCs w:val="20"/>
        </w:rPr>
      </w:pPr>
      <w:r>
        <w:rPr>
          <w:rFonts w:ascii="Arial" w:hAnsi="Arial" w:cs="Arial"/>
          <w:sz w:val="20"/>
          <w:szCs w:val="20"/>
          <w:lang w:eastAsia="en-AU"/>
        </w:rPr>
        <w:t>978-1-76051-904-9</w:t>
      </w:r>
      <w:r w:rsidR="00130923" w:rsidRPr="008E4DA0">
        <w:rPr>
          <w:szCs w:val="20"/>
        </w:rPr>
        <w:t xml:space="preserve"> [PDF]</w:t>
      </w:r>
      <w:r w:rsidR="00130923" w:rsidRPr="008E4DA0">
        <w:rPr>
          <w:szCs w:val="20"/>
        </w:rPr>
        <w:br/>
      </w:r>
      <w:r>
        <w:rPr>
          <w:rFonts w:ascii="Arial" w:hAnsi="Arial" w:cs="Arial"/>
          <w:sz w:val="20"/>
          <w:szCs w:val="20"/>
          <w:lang w:eastAsia="en-AU"/>
        </w:rPr>
        <w:t>978-1-76051-905-6</w:t>
      </w:r>
      <w:r w:rsidRPr="008E4DA0">
        <w:rPr>
          <w:szCs w:val="20"/>
        </w:rPr>
        <w:t xml:space="preserve"> </w:t>
      </w:r>
      <w:r w:rsidR="00130923" w:rsidRPr="008E4DA0">
        <w:rPr>
          <w:szCs w:val="20"/>
        </w:rPr>
        <w:t>[DOCX]</w:t>
      </w:r>
    </w:p>
    <w:p w14:paraId="568CED80" w14:textId="14AE5708" w:rsidR="00130923" w:rsidRDefault="003B7471" w:rsidP="00130923">
      <w:pPr>
        <w:pStyle w:val="numberedpara"/>
        <w:numPr>
          <w:ilvl w:val="0"/>
          <w:numId w:val="0"/>
        </w:numPr>
        <w:tabs>
          <w:tab w:val="left" w:pos="720"/>
        </w:tabs>
        <w:rPr>
          <w:sz w:val="20"/>
          <w:szCs w:val="20"/>
        </w:rPr>
      </w:pPr>
      <w:r>
        <w:rPr>
          <w:noProof/>
          <w:sz w:val="20"/>
          <w:szCs w:val="20"/>
        </w:rPr>
        <w:drawing>
          <wp:inline distT="0" distB="0" distL="0" distR="0" wp14:anchorId="7F4D80A1" wp14:editId="5B4CAB11">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7801DE4" w14:textId="190F0CD2"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21" w:history="1">
        <w:r w:rsidR="00C84E0C" w:rsidRPr="004164A2">
          <w:rPr>
            <w:rStyle w:val="Hyperlink"/>
          </w:rPr>
          <w:t>Creative Commons Attribution 4.0 International</w:t>
        </w:r>
      </w:hyperlink>
      <w:r w:rsidR="007D58FB">
        <w:t xml:space="preserve"> </w:t>
      </w:r>
      <w:r w:rsidRPr="000462F1">
        <w:t>(</w:t>
      </w:r>
      <w:r w:rsidRPr="00EC78E7">
        <w:t>http://creativecommons.org/licenses/by/3.0/au/</w:t>
      </w:r>
      <w:r w:rsidRPr="000462F1">
        <w:t xml:space="preserve">) licence. </w:t>
      </w:r>
    </w:p>
    <w:p w14:paraId="09079E3B" w14:textId="716BA416"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2"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3CB870F9" w14:textId="528C700B" w:rsidR="00130923" w:rsidRPr="00FD4A07" w:rsidRDefault="00130923" w:rsidP="00FD4A07">
      <w:pPr>
        <w:rPr>
          <w:i/>
        </w:rPr>
        <w:sectPr w:rsidR="00130923" w:rsidRPr="00FD4A07" w:rsidSect="007D58FB">
          <w:type w:val="continuous"/>
          <w:pgSz w:w="11906" w:h="16838"/>
          <w:pgMar w:top="10348" w:right="1440" w:bottom="1440" w:left="1440" w:header="708" w:footer="708" w:gutter="0"/>
          <w:cols w:space="708"/>
          <w:docGrid w:linePitch="360"/>
        </w:sectPr>
      </w:pPr>
      <w:r w:rsidRPr="000462F1">
        <w:t xml:space="preserve">The document must be attributed as </w:t>
      </w:r>
      <w:r w:rsidR="004F7008">
        <w:rPr>
          <w:i/>
        </w:rPr>
        <w:t>Indigenous Students in Higher Degrees by Research</w:t>
      </w:r>
      <w:r w:rsidR="00D61CC6">
        <w:rPr>
          <w:i/>
        </w:rPr>
        <w:t xml:space="preserve">. Statistical </w:t>
      </w:r>
      <w:r w:rsidR="00E338B7">
        <w:rPr>
          <w:i/>
        </w:rPr>
        <w:t>Report, August</w:t>
      </w:r>
      <w:r w:rsidR="00E7412E">
        <w:rPr>
          <w:i/>
        </w:rPr>
        <w:t xml:space="preserve"> </w:t>
      </w:r>
      <w:r w:rsidR="002754DB">
        <w:rPr>
          <w:i/>
        </w:rPr>
        <w:t>2019</w:t>
      </w:r>
      <w:r w:rsidR="00D61CC6">
        <w:rPr>
          <w:i/>
        </w:rPr>
        <w:t>.</w:t>
      </w: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0AD2D4C1" w14:textId="77777777" w:rsidR="00EF4A38" w:rsidRDefault="00EF4A38">
          <w:pPr>
            <w:pStyle w:val="TOCHeading"/>
          </w:pPr>
          <w:r>
            <w:t>Contents</w:t>
          </w:r>
        </w:p>
        <w:p w14:paraId="35220570" w14:textId="16E06FC6" w:rsidR="003B7471"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18070216" w:history="1">
            <w:r w:rsidR="003B7471" w:rsidRPr="00BC47D2">
              <w:rPr>
                <w:rStyle w:val="Hyperlink"/>
                <w:noProof/>
              </w:rPr>
              <w:t>List of Figures</w:t>
            </w:r>
            <w:r w:rsidR="003B7471">
              <w:rPr>
                <w:noProof/>
                <w:webHidden/>
              </w:rPr>
              <w:tab/>
            </w:r>
            <w:r w:rsidR="003B7471">
              <w:rPr>
                <w:noProof/>
                <w:webHidden/>
              </w:rPr>
              <w:fldChar w:fldCharType="begin"/>
            </w:r>
            <w:r w:rsidR="003B7471">
              <w:rPr>
                <w:noProof/>
                <w:webHidden/>
              </w:rPr>
              <w:instrText xml:space="preserve"> PAGEREF _Toc18070216 \h </w:instrText>
            </w:r>
            <w:r w:rsidR="003B7471">
              <w:rPr>
                <w:noProof/>
                <w:webHidden/>
              </w:rPr>
            </w:r>
            <w:r w:rsidR="003B7471">
              <w:rPr>
                <w:noProof/>
                <w:webHidden/>
              </w:rPr>
              <w:fldChar w:fldCharType="separate"/>
            </w:r>
            <w:r w:rsidR="002967AB">
              <w:rPr>
                <w:noProof/>
                <w:webHidden/>
              </w:rPr>
              <w:t>4</w:t>
            </w:r>
            <w:r w:rsidR="003B7471">
              <w:rPr>
                <w:noProof/>
                <w:webHidden/>
              </w:rPr>
              <w:fldChar w:fldCharType="end"/>
            </w:r>
          </w:hyperlink>
        </w:p>
        <w:p w14:paraId="75375C5F" w14:textId="14D8A13C" w:rsidR="003B7471" w:rsidRDefault="002C5804">
          <w:pPr>
            <w:pStyle w:val="TOC1"/>
            <w:tabs>
              <w:tab w:val="right" w:leader="dot" w:pos="9016"/>
            </w:tabs>
            <w:rPr>
              <w:noProof/>
              <w:lang w:eastAsia="en-AU"/>
            </w:rPr>
          </w:pPr>
          <w:hyperlink w:anchor="_Toc18070217" w:history="1">
            <w:r w:rsidR="003B7471" w:rsidRPr="00BC47D2">
              <w:rPr>
                <w:rStyle w:val="Hyperlink"/>
                <w:noProof/>
              </w:rPr>
              <w:t>List of Tables</w:t>
            </w:r>
            <w:r w:rsidR="003B7471">
              <w:rPr>
                <w:noProof/>
                <w:webHidden/>
              </w:rPr>
              <w:tab/>
            </w:r>
            <w:r w:rsidR="003B7471">
              <w:rPr>
                <w:noProof/>
                <w:webHidden/>
              </w:rPr>
              <w:fldChar w:fldCharType="begin"/>
            </w:r>
            <w:r w:rsidR="003B7471">
              <w:rPr>
                <w:noProof/>
                <w:webHidden/>
              </w:rPr>
              <w:instrText xml:space="preserve"> PAGEREF _Toc18070217 \h </w:instrText>
            </w:r>
            <w:r w:rsidR="003B7471">
              <w:rPr>
                <w:noProof/>
                <w:webHidden/>
              </w:rPr>
            </w:r>
            <w:r w:rsidR="003B7471">
              <w:rPr>
                <w:noProof/>
                <w:webHidden/>
              </w:rPr>
              <w:fldChar w:fldCharType="separate"/>
            </w:r>
            <w:r w:rsidR="002967AB">
              <w:rPr>
                <w:noProof/>
                <w:webHidden/>
              </w:rPr>
              <w:t>4</w:t>
            </w:r>
            <w:r w:rsidR="003B7471">
              <w:rPr>
                <w:noProof/>
                <w:webHidden/>
              </w:rPr>
              <w:fldChar w:fldCharType="end"/>
            </w:r>
          </w:hyperlink>
        </w:p>
        <w:p w14:paraId="67DF9BAD" w14:textId="15F2C7F3" w:rsidR="003B7471" w:rsidRDefault="002C5804">
          <w:pPr>
            <w:pStyle w:val="TOC1"/>
            <w:tabs>
              <w:tab w:val="right" w:leader="dot" w:pos="9016"/>
            </w:tabs>
            <w:rPr>
              <w:noProof/>
              <w:lang w:eastAsia="en-AU"/>
            </w:rPr>
          </w:pPr>
          <w:hyperlink w:anchor="_Toc18070218" w:history="1">
            <w:r w:rsidR="003B7471" w:rsidRPr="00BC47D2">
              <w:rPr>
                <w:rStyle w:val="Hyperlink"/>
                <w:noProof/>
              </w:rPr>
              <w:t>Preface</w:t>
            </w:r>
            <w:r w:rsidR="003B7471">
              <w:rPr>
                <w:noProof/>
                <w:webHidden/>
              </w:rPr>
              <w:tab/>
            </w:r>
            <w:r w:rsidR="003B7471">
              <w:rPr>
                <w:noProof/>
                <w:webHidden/>
              </w:rPr>
              <w:fldChar w:fldCharType="begin"/>
            </w:r>
            <w:r w:rsidR="003B7471">
              <w:rPr>
                <w:noProof/>
                <w:webHidden/>
              </w:rPr>
              <w:instrText xml:space="preserve"> PAGEREF _Toc18070218 \h </w:instrText>
            </w:r>
            <w:r w:rsidR="003B7471">
              <w:rPr>
                <w:noProof/>
                <w:webHidden/>
              </w:rPr>
            </w:r>
            <w:r w:rsidR="003B7471">
              <w:rPr>
                <w:noProof/>
                <w:webHidden/>
              </w:rPr>
              <w:fldChar w:fldCharType="separate"/>
            </w:r>
            <w:r w:rsidR="002967AB">
              <w:rPr>
                <w:noProof/>
                <w:webHidden/>
              </w:rPr>
              <w:t>5</w:t>
            </w:r>
            <w:r w:rsidR="003B7471">
              <w:rPr>
                <w:noProof/>
                <w:webHidden/>
              </w:rPr>
              <w:fldChar w:fldCharType="end"/>
            </w:r>
          </w:hyperlink>
        </w:p>
        <w:p w14:paraId="08641CBC" w14:textId="39DDEE82" w:rsidR="003B7471" w:rsidRDefault="002C5804">
          <w:pPr>
            <w:pStyle w:val="TOC1"/>
            <w:tabs>
              <w:tab w:val="right" w:leader="dot" w:pos="9016"/>
            </w:tabs>
            <w:rPr>
              <w:noProof/>
              <w:lang w:eastAsia="en-AU"/>
            </w:rPr>
          </w:pPr>
          <w:hyperlink w:anchor="_Toc18070219" w:history="1">
            <w:r w:rsidR="003B7471" w:rsidRPr="00BC47D2">
              <w:rPr>
                <w:rStyle w:val="Hyperlink"/>
                <w:noProof/>
              </w:rPr>
              <w:t>Analysis of enrolments, commencements and completions</w:t>
            </w:r>
            <w:r w:rsidR="003B7471">
              <w:rPr>
                <w:noProof/>
                <w:webHidden/>
              </w:rPr>
              <w:tab/>
            </w:r>
            <w:r w:rsidR="003B7471">
              <w:rPr>
                <w:noProof/>
                <w:webHidden/>
              </w:rPr>
              <w:fldChar w:fldCharType="begin"/>
            </w:r>
            <w:r w:rsidR="003B7471">
              <w:rPr>
                <w:noProof/>
                <w:webHidden/>
              </w:rPr>
              <w:instrText xml:space="preserve"> PAGEREF _Toc18070219 \h </w:instrText>
            </w:r>
            <w:r w:rsidR="003B7471">
              <w:rPr>
                <w:noProof/>
                <w:webHidden/>
              </w:rPr>
            </w:r>
            <w:r w:rsidR="003B7471">
              <w:rPr>
                <w:noProof/>
                <w:webHidden/>
              </w:rPr>
              <w:fldChar w:fldCharType="separate"/>
            </w:r>
            <w:r w:rsidR="002967AB">
              <w:rPr>
                <w:noProof/>
                <w:webHidden/>
              </w:rPr>
              <w:t>6</w:t>
            </w:r>
            <w:r w:rsidR="003B7471">
              <w:rPr>
                <w:noProof/>
                <w:webHidden/>
              </w:rPr>
              <w:fldChar w:fldCharType="end"/>
            </w:r>
          </w:hyperlink>
        </w:p>
        <w:p w14:paraId="03AF0675" w14:textId="1A6273DF" w:rsidR="003B7471" w:rsidRDefault="002C5804">
          <w:pPr>
            <w:pStyle w:val="TOC1"/>
            <w:tabs>
              <w:tab w:val="right" w:leader="dot" w:pos="9016"/>
            </w:tabs>
            <w:rPr>
              <w:noProof/>
              <w:lang w:eastAsia="en-AU"/>
            </w:rPr>
          </w:pPr>
          <w:hyperlink w:anchor="_Toc18070220" w:history="1">
            <w:r w:rsidR="003B7471" w:rsidRPr="00BC47D2">
              <w:rPr>
                <w:rStyle w:val="Hyperlink"/>
                <w:noProof/>
              </w:rPr>
              <w:t>Indigenous Access to Scholarships</w:t>
            </w:r>
            <w:r w:rsidR="003B7471">
              <w:rPr>
                <w:noProof/>
                <w:webHidden/>
              </w:rPr>
              <w:tab/>
            </w:r>
            <w:r w:rsidR="003B7471">
              <w:rPr>
                <w:noProof/>
                <w:webHidden/>
              </w:rPr>
              <w:fldChar w:fldCharType="begin"/>
            </w:r>
            <w:r w:rsidR="003B7471">
              <w:rPr>
                <w:noProof/>
                <w:webHidden/>
              </w:rPr>
              <w:instrText xml:space="preserve"> PAGEREF _Toc18070220 \h </w:instrText>
            </w:r>
            <w:r w:rsidR="003B7471">
              <w:rPr>
                <w:noProof/>
                <w:webHidden/>
              </w:rPr>
            </w:r>
            <w:r w:rsidR="003B7471">
              <w:rPr>
                <w:noProof/>
                <w:webHidden/>
              </w:rPr>
              <w:fldChar w:fldCharType="separate"/>
            </w:r>
            <w:r w:rsidR="002967AB">
              <w:rPr>
                <w:noProof/>
                <w:webHidden/>
              </w:rPr>
              <w:t>18</w:t>
            </w:r>
            <w:r w:rsidR="003B7471">
              <w:rPr>
                <w:noProof/>
                <w:webHidden/>
              </w:rPr>
              <w:fldChar w:fldCharType="end"/>
            </w:r>
          </w:hyperlink>
        </w:p>
        <w:p w14:paraId="6C9765C8" w14:textId="0728B6D8" w:rsidR="003B7471" w:rsidRDefault="002C5804">
          <w:pPr>
            <w:pStyle w:val="TOC2"/>
            <w:tabs>
              <w:tab w:val="right" w:leader="dot" w:pos="9016"/>
            </w:tabs>
            <w:rPr>
              <w:noProof/>
              <w:lang w:eastAsia="en-AU"/>
            </w:rPr>
          </w:pPr>
          <w:hyperlink w:anchor="_Toc18070221" w:history="1">
            <w:r w:rsidR="003B7471" w:rsidRPr="00BC47D2">
              <w:rPr>
                <w:rStyle w:val="Hyperlink"/>
                <w:noProof/>
              </w:rPr>
              <w:t>Overview</w:t>
            </w:r>
            <w:r w:rsidR="003B7471">
              <w:rPr>
                <w:noProof/>
                <w:webHidden/>
              </w:rPr>
              <w:tab/>
            </w:r>
            <w:r w:rsidR="003B7471">
              <w:rPr>
                <w:noProof/>
                <w:webHidden/>
              </w:rPr>
              <w:fldChar w:fldCharType="begin"/>
            </w:r>
            <w:r w:rsidR="003B7471">
              <w:rPr>
                <w:noProof/>
                <w:webHidden/>
              </w:rPr>
              <w:instrText xml:space="preserve"> PAGEREF _Toc18070221 \h </w:instrText>
            </w:r>
            <w:r w:rsidR="003B7471">
              <w:rPr>
                <w:noProof/>
                <w:webHidden/>
              </w:rPr>
            </w:r>
            <w:r w:rsidR="003B7471">
              <w:rPr>
                <w:noProof/>
                <w:webHidden/>
              </w:rPr>
              <w:fldChar w:fldCharType="separate"/>
            </w:r>
            <w:r w:rsidR="002967AB">
              <w:rPr>
                <w:noProof/>
                <w:webHidden/>
              </w:rPr>
              <w:t>18</w:t>
            </w:r>
            <w:r w:rsidR="003B7471">
              <w:rPr>
                <w:noProof/>
                <w:webHidden/>
              </w:rPr>
              <w:fldChar w:fldCharType="end"/>
            </w:r>
          </w:hyperlink>
        </w:p>
        <w:p w14:paraId="07289B1A" w14:textId="2242EA66" w:rsidR="003B7471" w:rsidRDefault="002C5804">
          <w:pPr>
            <w:pStyle w:val="TOC2"/>
            <w:tabs>
              <w:tab w:val="right" w:leader="dot" w:pos="9016"/>
            </w:tabs>
            <w:rPr>
              <w:noProof/>
              <w:lang w:eastAsia="en-AU"/>
            </w:rPr>
          </w:pPr>
          <w:hyperlink w:anchor="_Toc18070222" w:history="1">
            <w:r w:rsidR="003B7471" w:rsidRPr="00BC47D2">
              <w:rPr>
                <w:rStyle w:val="Hyperlink"/>
                <w:noProof/>
              </w:rPr>
              <w:t>Survey of university-administered stipends</w:t>
            </w:r>
            <w:r w:rsidR="003B7471">
              <w:rPr>
                <w:noProof/>
                <w:webHidden/>
              </w:rPr>
              <w:tab/>
            </w:r>
            <w:r w:rsidR="003B7471">
              <w:rPr>
                <w:noProof/>
                <w:webHidden/>
              </w:rPr>
              <w:fldChar w:fldCharType="begin"/>
            </w:r>
            <w:r w:rsidR="003B7471">
              <w:rPr>
                <w:noProof/>
                <w:webHidden/>
              </w:rPr>
              <w:instrText xml:space="preserve"> PAGEREF _Toc18070222 \h </w:instrText>
            </w:r>
            <w:r w:rsidR="003B7471">
              <w:rPr>
                <w:noProof/>
                <w:webHidden/>
              </w:rPr>
            </w:r>
            <w:r w:rsidR="003B7471">
              <w:rPr>
                <w:noProof/>
                <w:webHidden/>
              </w:rPr>
              <w:fldChar w:fldCharType="separate"/>
            </w:r>
            <w:r w:rsidR="002967AB">
              <w:rPr>
                <w:noProof/>
                <w:webHidden/>
              </w:rPr>
              <w:t>20</w:t>
            </w:r>
            <w:r w:rsidR="003B7471">
              <w:rPr>
                <w:noProof/>
                <w:webHidden/>
              </w:rPr>
              <w:fldChar w:fldCharType="end"/>
            </w:r>
          </w:hyperlink>
        </w:p>
        <w:p w14:paraId="3BD2E839" w14:textId="01D3D87E" w:rsidR="003B7471" w:rsidRDefault="002C5804">
          <w:pPr>
            <w:pStyle w:val="TOC1"/>
            <w:tabs>
              <w:tab w:val="right" w:leader="dot" w:pos="9016"/>
            </w:tabs>
            <w:rPr>
              <w:noProof/>
              <w:lang w:eastAsia="en-AU"/>
            </w:rPr>
          </w:pPr>
          <w:hyperlink w:anchor="_Toc18070223" w:history="1">
            <w:r w:rsidR="003B7471" w:rsidRPr="00BC47D2">
              <w:rPr>
                <w:rStyle w:val="Hyperlink"/>
                <w:noProof/>
              </w:rPr>
              <w:t>Cohort Analysis</w:t>
            </w:r>
            <w:r w:rsidR="003B7471">
              <w:rPr>
                <w:noProof/>
                <w:webHidden/>
              </w:rPr>
              <w:tab/>
            </w:r>
            <w:r w:rsidR="003B7471">
              <w:rPr>
                <w:noProof/>
                <w:webHidden/>
              </w:rPr>
              <w:fldChar w:fldCharType="begin"/>
            </w:r>
            <w:r w:rsidR="003B7471">
              <w:rPr>
                <w:noProof/>
                <w:webHidden/>
              </w:rPr>
              <w:instrText xml:space="preserve"> PAGEREF _Toc18070223 \h </w:instrText>
            </w:r>
            <w:r w:rsidR="003B7471">
              <w:rPr>
                <w:noProof/>
                <w:webHidden/>
              </w:rPr>
            </w:r>
            <w:r w:rsidR="003B7471">
              <w:rPr>
                <w:noProof/>
                <w:webHidden/>
              </w:rPr>
              <w:fldChar w:fldCharType="separate"/>
            </w:r>
            <w:r w:rsidR="002967AB">
              <w:rPr>
                <w:noProof/>
                <w:webHidden/>
              </w:rPr>
              <w:t>22</w:t>
            </w:r>
            <w:r w:rsidR="003B7471">
              <w:rPr>
                <w:noProof/>
                <w:webHidden/>
              </w:rPr>
              <w:fldChar w:fldCharType="end"/>
            </w:r>
          </w:hyperlink>
        </w:p>
        <w:p w14:paraId="252399E4" w14:textId="23072719" w:rsidR="003B7471" w:rsidRDefault="002C5804">
          <w:pPr>
            <w:pStyle w:val="TOC1"/>
            <w:tabs>
              <w:tab w:val="right" w:leader="dot" w:pos="9016"/>
            </w:tabs>
            <w:rPr>
              <w:noProof/>
              <w:lang w:eastAsia="en-AU"/>
            </w:rPr>
          </w:pPr>
          <w:hyperlink w:anchor="_Toc18070224" w:history="1">
            <w:r w:rsidR="003B7471" w:rsidRPr="00BC47D2">
              <w:rPr>
                <w:rStyle w:val="Hyperlink"/>
                <w:noProof/>
              </w:rPr>
              <w:t>Bibliography</w:t>
            </w:r>
            <w:r w:rsidR="003B7471">
              <w:rPr>
                <w:noProof/>
                <w:webHidden/>
              </w:rPr>
              <w:tab/>
            </w:r>
            <w:r w:rsidR="003B7471">
              <w:rPr>
                <w:noProof/>
                <w:webHidden/>
              </w:rPr>
              <w:fldChar w:fldCharType="begin"/>
            </w:r>
            <w:r w:rsidR="003B7471">
              <w:rPr>
                <w:noProof/>
                <w:webHidden/>
              </w:rPr>
              <w:instrText xml:space="preserve"> PAGEREF _Toc18070224 \h </w:instrText>
            </w:r>
            <w:r w:rsidR="003B7471">
              <w:rPr>
                <w:noProof/>
                <w:webHidden/>
              </w:rPr>
            </w:r>
            <w:r w:rsidR="003B7471">
              <w:rPr>
                <w:noProof/>
                <w:webHidden/>
              </w:rPr>
              <w:fldChar w:fldCharType="separate"/>
            </w:r>
            <w:r w:rsidR="002967AB">
              <w:rPr>
                <w:noProof/>
                <w:webHidden/>
              </w:rPr>
              <w:t>25</w:t>
            </w:r>
            <w:r w:rsidR="003B7471">
              <w:rPr>
                <w:noProof/>
                <w:webHidden/>
              </w:rPr>
              <w:fldChar w:fldCharType="end"/>
            </w:r>
          </w:hyperlink>
        </w:p>
        <w:p w14:paraId="155A7C8C" w14:textId="07403B7B" w:rsidR="00EF4A38" w:rsidRDefault="00EF4A38">
          <w:r>
            <w:rPr>
              <w:b/>
              <w:bCs/>
              <w:noProof/>
            </w:rPr>
            <w:fldChar w:fldCharType="end"/>
          </w:r>
        </w:p>
      </w:sdtContent>
    </w:sdt>
    <w:p w14:paraId="4B68CDAB" w14:textId="77777777"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14:paraId="0EA6E58D" w14:textId="77777777" w:rsidR="00130923" w:rsidRDefault="00130923">
      <w:pPr>
        <w:rPr>
          <w:rFonts w:ascii="Calibri" w:eastAsiaTheme="majorEastAsia" w:hAnsi="Calibri" w:cstheme="majorBidi"/>
          <w:b/>
          <w:spacing w:val="5"/>
          <w:sz w:val="56"/>
          <w:szCs w:val="52"/>
        </w:rPr>
      </w:pPr>
      <w:r>
        <w:br w:type="page"/>
      </w:r>
    </w:p>
    <w:p w14:paraId="12763997" w14:textId="77777777" w:rsidR="006021B7" w:rsidRDefault="006021B7" w:rsidP="006021B7">
      <w:pPr>
        <w:pStyle w:val="Heading1"/>
      </w:pPr>
      <w:bookmarkStart w:id="1" w:name="_List_of_Figures"/>
      <w:bookmarkStart w:id="2" w:name="_Ref17813504"/>
      <w:bookmarkStart w:id="3" w:name="_Toc18070216"/>
      <w:bookmarkEnd w:id="1"/>
      <w:r>
        <w:t>List of Figures</w:t>
      </w:r>
      <w:bookmarkEnd w:id="2"/>
      <w:bookmarkEnd w:id="3"/>
    </w:p>
    <w:p w14:paraId="0AF71472" w14:textId="4648394D" w:rsidR="003B7471" w:rsidRDefault="006021B7">
      <w:pPr>
        <w:pStyle w:val="TableofFigures"/>
        <w:tabs>
          <w:tab w:val="right" w:leader="dot" w:pos="9016"/>
        </w:tabs>
        <w:rPr>
          <w:noProof/>
          <w:lang w:eastAsia="en-AU"/>
        </w:rPr>
      </w:pPr>
      <w:r w:rsidRPr="005D59B1">
        <w:rPr>
          <w:sz w:val="18"/>
          <w:szCs w:val="20"/>
        </w:rPr>
        <w:fldChar w:fldCharType="begin"/>
      </w:r>
      <w:r w:rsidRPr="005D59B1">
        <w:rPr>
          <w:sz w:val="18"/>
          <w:szCs w:val="20"/>
        </w:rPr>
        <w:instrText xml:space="preserve"> TOC \h \z \c "Figure" </w:instrText>
      </w:r>
      <w:r w:rsidRPr="005D59B1">
        <w:rPr>
          <w:sz w:val="18"/>
          <w:szCs w:val="20"/>
        </w:rPr>
        <w:fldChar w:fldCharType="separate"/>
      </w:r>
      <w:hyperlink w:anchor="_Toc18070225" w:history="1">
        <w:r w:rsidR="003B7471" w:rsidRPr="00924F0A">
          <w:rPr>
            <w:rStyle w:val="Hyperlink"/>
            <w:noProof/>
          </w:rPr>
          <w:t>Figure 1: Indigenous enrolments/proportion of all HDR domestic enrolments, 2006–17</w:t>
        </w:r>
        <w:r w:rsidR="003B7471">
          <w:rPr>
            <w:noProof/>
            <w:webHidden/>
          </w:rPr>
          <w:tab/>
        </w:r>
        <w:r w:rsidR="003B7471">
          <w:rPr>
            <w:noProof/>
            <w:webHidden/>
          </w:rPr>
          <w:fldChar w:fldCharType="begin"/>
        </w:r>
        <w:r w:rsidR="003B7471">
          <w:rPr>
            <w:noProof/>
            <w:webHidden/>
          </w:rPr>
          <w:instrText xml:space="preserve"> PAGEREF _Toc18070225 \h </w:instrText>
        </w:r>
        <w:r w:rsidR="003B7471">
          <w:rPr>
            <w:noProof/>
            <w:webHidden/>
          </w:rPr>
        </w:r>
        <w:r w:rsidR="003B7471">
          <w:rPr>
            <w:noProof/>
            <w:webHidden/>
          </w:rPr>
          <w:fldChar w:fldCharType="separate"/>
        </w:r>
        <w:r w:rsidR="002967AB">
          <w:rPr>
            <w:noProof/>
            <w:webHidden/>
          </w:rPr>
          <w:t>6</w:t>
        </w:r>
        <w:r w:rsidR="003B7471">
          <w:rPr>
            <w:noProof/>
            <w:webHidden/>
          </w:rPr>
          <w:fldChar w:fldCharType="end"/>
        </w:r>
      </w:hyperlink>
    </w:p>
    <w:p w14:paraId="43D81C53" w14:textId="1B74FEDD" w:rsidR="003B7471" w:rsidRDefault="002C5804">
      <w:pPr>
        <w:pStyle w:val="TableofFigures"/>
        <w:tabs>
          <w:tab w:val="right" w:leader="dot" w:pos="9016"/>
        </w:tabs>
        <w:rPr>
          <w:noProof/>
          <w:lang w:eastAsia="en-AU"/>
        </w:rPr>
      </w:pPr>
      <w:hyperlink w:anchor="_Toc18070226" w:history="1">
        <w:r w:rsidR="003B7471" w:rsidRPr="00924F0A">
          <w:rPr>
            <w:rStyle w:val="Hyperlink"/>
            <w:noProof/>
          </w:rPr>
          <w:t>Figure 2: Indigenous HDR enrolments by type of attendance, 2006–17</w:t>
        </w:r>
        <w:r w:rsidR="003B7471">
          <w:rPr>
            <w:noProof/>
            <w:webHidden/>
          </w:rPr>
          <w:tab/>
        </w:r>
        <w:r w:rsidR="003B7471">
          <w:rPr>
            <w:noProof/>
            <w:webHidden/>
          </w:rPr>
          <w:fldChar w:fldCharType="begin"/>
        </w:r>
        <w:r w:rsidR="003B7471">
          <w:rPr>
            <w:noProof/>
            <w:webHidden/>
          </w:rPr>
          <w:instrText xml:space="preserve"> PAGEREF _Toc18070226 \h </w:instrText>
        </w:r>
        <w:r w:rsidR="003B7471">
          <w:rPr>
            <w:noProof/>
            <w:webHidden/>
          </w:rPr>
        </w:r>
        <w:r w:rsidR="003B7471">
          <w:rPr>
            <w:noProof/>
            <w:webHidden/>
          </w:rPr>
          <w:fldChar w:fldCharType="separate"/>
        </w:r>
        <w:r w:rsidR="002967AB">
          <w:rPr>
            <w:noProof/>
            <w:webHidden/>
          </w:rPr>
          <w:t>7</w:t>
        </w:r>
        <w:r w:rsidR="003B7471">
          <w:rPr>
            <w:noProof/>
            <w:webHidden/>
          </w:rPr>
          <w:fldChar w:fldCharType="end"/>
        </w:r>
      </w:hyperlink>
    </w:p>
    <w:p w14:paraId="54C37DDC" w14:textId="3A896ABE" w:rsidR="003B7471" w:rsidRDefault="002C5804">
      <w:pPr>
        <w:pStyle w:val="TableofFigures"/>
        <w:tabs>
          <w:tab w:val="right" w:leader="dot" w:pos="9016"/>
        </w:tabs>
        <w:rPr>
          <w:noProof/>
          <w:lang w:eastAsia="en-AU"/>
        </w:rPr>
      </w:pPr>
      <w:hyperlink w:anchor="_Toc18070227" w:history="1">
        <w:r w:rsidR="003B7471" w:rsidRPr="00924F0A">
          <w:rPr>
            <w:rStyle w:val="Hyperlink"/>
            <w:noProof/>
          </w:rPr>
          <w:t>Figure 3: Indigenous HDR commencements/proportion of all HDR domestic commencements, 2006–17</w:t>
        </w:r>
        <w:r w:rsidR="003B7471">
          <w:rPr>
            <w:noProof/>
            <w:webHidden/>
          </w:rPr>
          <w:tab/>
        </w:r>
        <w:r w:rsidR="003B7471">
          <w:rPr>
            <w:noProof/>
            <w:webHidden/>
          </w:rPr>
          <w:fldChar w:fldCharType="begin"/>
        </w:r>
        <w:r w:rsidR="003B7471">
          <w:rPr>
            <w:noProof/>
            <w:webHidden/>
          </w:rPr>
          <w:instrText xml:space="preserve"> PAGEREF _Toc18070227 \h </w:instrText>
        </w:r>
        <w:r w:rsidR="003B7471">
          <w:rPr>
            <w:noProof/>
            <w:webHidden/>
          </w:rPr>
        </w:r>
        <w:r w:rsidR="003B7471">
          <w:rPr>
            <w:noProof/>
            <w:webHidden/>
          </w:rPr>
          <w:fldChar w:fldCharType="separate"/>
        </w:r>
        <w:r w:rsidR="002967AB">
          <w:rPr>
            <w:noProof/>
            <w:webHidden/>
          </w:rPr>
          <w:t>8</w:t>
        </w:r>
        <w:r w:rsidR="003B7471">
          <w:rPr>
            <w:noProof/>
            <w:webHidden/>
          </w:rPr>
          <w:fldChar w:fldCharType="end"/>
        </w:r>
      </w:hyperlink>
    </w:p>
    <w:p w14:paraId="6AC0355D" w14:textId="1918C441" w:rsidR="003B7471" w:rsidRDefault="002C5804">
      <w:pPr>
        <w:pStyle w:val="TableofFigures"/>
        <w:tabs>
          <w:tab w:val="right" w:leader="dot" w:pos="9016"/>
        </w:tabs>
        <w:rPr>
          <w:noProof/>
          <w:lang w:eastAsia="en-AU"/>
        </w:rPr>
      </w:pPr>
      <w:hyperlink w:anchor="_Toc18070228" w:history="1">
        <w:r w:rsidR="003B7471" w:rsidRPr="00924F0A">
          <w:rPr>
            <w:rStyle w:val="Hyperlink"/>
            <w:noProof/>
          </w:rPr>
          <w:t>Figure 4: Indigenous HDR completions/proportion of all HDR domestic completions, 2006–17</w:t>
        </w:r>
        <w:r w:rsidR="003B7471">
          <w:rPr>
            <w:noProof/>
            <w:webHidden/>
          </w:rPr>
          <w:tab/>
        </w:r>
        <w:r w:rsidR="003B7471">
          <w:rPr>
            <w:noProof/>
            <w:webHidden/>
          </w:rPr>
          <w:fldChar w:fldCharType="begin"/>
        </w:r>
        <w:r w:rsidR="003B7471">
          <w:rPr>
            <w:noProof/>
            <w:webHidden/>
          </w:rPr>
          <w:instrText xml:space="preserve"> PAGEREF _Toc18070228 \h </w:instrText>
        </w:r>
        <w:r w:rsidR="003B7471">
          <w:rPr>
            <w:noProof/>
            <w:webHidden/>
          </w:rPr>
        </w:r>
        <w:r w:rsidR="003B7471">
          <w:rPr>
            <w:noProof/>
            <w:webHidden/>
          </w:rPr>
          <w:fldChar w:fldCharType="separate"/>
        </w:r>
        <w:r w:rsidR="002967AB">
          <w:rPr>
            <w:noProof/>
            <w:webHidden/>
          </w:rPr>
          <w:t>9</w:t>
        </w:r>
        <w:r w:rsidR="003B7471">
          <w:rPr>
            <w:noProof/>
            <w:webHidden/>
          </w:rPr>
          <w:fldChar w:fldCharType="end"/>
        </w:r>
      </w:hyperlink>
    </w:p>
    <w:p w14:paraId="6ACC25D2" w14:textId="0325925F" w:rsidR="003B7471" w:rsidRDefault="002C5804">
      <w:pPr>
        <w:pStyle w:val="TableofFigures"/>
        <w:tabs>
          <w:tab w:val="right" w:leader="dot" w:pos="9016"/>
        </w:tabs>
        <w:rPr>
          <w:noProof/>
          <w:lang w:eastAsia="en-AU"/>
        </w:rPr>
      </w:pPr>
      <w:hyperlink w:anchor="_Toc18070229" w:history="1">
        <w:r w:rsidR="003B7471" w:rsidRPr="00924F0A">
          <w:rPr>
            <w:rStyle w:val="Hyperlink"/>
            <w:noProof/>
          </w:rPr>
          <w:t>Figure 5: Indigenous HDR candidates as a proportion of all domestic HDR commencements and completions, 2006–17</w:t>
        </w:r>
        <w:r w:rsidR="003B7471">
          <w:rPr>
            <w:noProof/>
            <w:webHidden/>
          </w:rPr>
          <w:tab/>
        </w:r>
        <w:r w:rsidR="003B7471">
          <w:rPr>
            <w:noProof/>
            <w:webHidden/>
          </w:rPr>
          <w:fldChar w:fldCharType="begin"/>
        </w:r>
        <w:r w:rsidR="003B7471">
          <w:rPr>
            <w:noProof/>
            <w:webHidden/>
          </w:rPr>
          <w:instrText xml:space="preserve"> PAGEREF _Toc18070229 \h </w:instrText>
        </w:r>
        <w:r w:rsidR="003B7471">
          <w:rPr>
            <w:noProof/>
            <w:webHidden/>
          </w:rPr>
        </w:r>
        <w:r w:rsidR="003B7471">
          <w:rPr>
            <w:noProof/>
            <w:webHidden/>
          </w:rPr>
          <w:fldChar w:fldCharType="separate"/>
        </w:r>
        <w:r w:rsidR="002967AB">
          <w:rPr>
            <w:noProof/>
            <w:webHidden/>
          </w:rPr>
          <w:t>10</w:t>
        </w:r>
        <w:r w:rsidR="003B7471">
          <w:rPr>
            <w:noProof/>
            <w:webHidden/>
          </w:rPr>
          <w:fldChar w:fldCharType="end"/>
        </w:r>
      </w:hyperlink>
    </w:p>
    <w:p w14:paraId="34D3DEDA" w14:textId="64D2C23A" w:rsidR="003B7471" w:rsidRDefault="002C5804">
      <w:pPr>
        <w:pStyle w:val="TableofFigures"/>
        <w:tabs>
          <w:tab w:val="right" w:leader="dot" w:pos="9016"/>
        </w:tabs>
        <w:rPr>
          <w:noProof/>
          <w:lang w:eastAsia="en-AU"/>
        </w:rPr>
      </w:pPr>
      <w:hyperlink w:anchor="_Toc18070230" w:history="1">
        <w:r w:rsidR="003B7471" w:rsidRPr="00924F0A">
          <w:rPr>
            <w:rStyle w:val="Hyperlink"/>
            <w:noProof/>
          </w:rPr>
          <w:t>Figure 6: Indigenous HDR enrolments by gender, 2006–17</w:t>
        </w:r>
        <w:r w:rsidR="003B7471">
          <w:rPr>
            <w:noProof/>
            <w:webHidden/>
          </w:rPr>
          <w:tab/>
        </w:r>
        <w:r w:rsidR="00F943CB">
          <w:rPr>
            <w:noProof/>
            <w:webHidden/>
          </w:rPr>
          <w:t>11</w:t>
        </w:r>
      </w:hyperlink>
    </w:p>
    <w:p w14:paraId="3F192AE3" w14:textId="17E46365" w:rsidR="003B7471" w:rsidRDefault="002C5804">
      <w:pPr>
        <w:pStyle w:val="TableofFigures"/>
        <w:tabs>
          <w:tab w:val="right" w:leader="dot" w:pos="9016"/>
        </w:tabs>
        <w:rPr>
          <w:noProof/>
          <w:lang w:eastAsia="en-AU"/>
        </w:rPr>
      </w:pPr>
      <w:hyperlink w:anchor="_Toc18070231" w:history="1">
        <w:r w:rsidR="003B7471" w:rsidRPr="00924F0A">
          <w:rPr>
            <w:rStyle w:val="Hyperlink"/>
            <w:noProof/>
          </w:rPr>
          <w:t>Figure 7: Proportion of HDR domestic student enrolments by age bracket and Indigenous status, 2017</w:t>
        </w:r>
        <w:r w:rsidR="003B7471">
          <w:rPr>
            <w:noProof/>
            <w:webHidden/>
          </w:rPr>
          <w:tab/>
        </w:r>
        <w:r w:rsidR="003B7471">
          <w:rPr>
            <w:noProof/>
            <w:webHidden/>
          </w:rPr>
          <w:fldChar w:fldCharType="begin"/>
        </w:r>
        <w:r w:rsidR="003B7471">
          <w:rPr>
            <w:noProof/>
            <w:webHidden/>
          </w:rPr>
          <w:instrText xml:space="preserve"> PAGEREF _Toc18070231 \h </w:instrText>
        </w:r>
        <w:r w:rsidR="003B7471">
          <w:rPr>
            <w:noProof/>
            <w:webHidden/>
          </w:rPr>
        </w:r>
        <w:r w:rsidR="003B7471">
          <w:rPr>
            <w:noProof/>
            <w:webHidden/>
          </w:rPr>
          <w:fldChar w:fldCharType="separate"/>
        </w:r>
        <w:r w:rsidR="002967AB">
          <w:rPr>
            <w:noProof/>
            <w:webHidden/>
          </w:rPr>
          <w:t>12</w:t>
        </w:r>
        <w:r w:rsidR="003B7471">
          <w:rPr>
            <w:noProof/>
            <w:webHidden/>
          </w:rPr>
          <w:fldChar w:fldCharType="end"/>
        </w:r>
      </w:hyperlink>
    </w:p>
    <w:p w14:paraId="438F0A33" w14:textId="55FD3285" w:rsidR="003B7471" w:rsidRDefault="002C5804">
      <w:pPr>
        <w:pStyle w:val="TableofFigures"/>
        <w:tabs>
          <w:tab w:val="right" w:leader="dot" w:pos="9016"/>
        </w:tabs>
        <w:rPr>
          <w:noProof/>
          <w:lang w:eastAsia="en-AU"/>
        </w:rPr>
      </w:pPr>
      <w:hyperlink w:anchor="_Toc18070232" w:history="1">
        <w:r w:rsidR="003B7471" w:rsidRPr="00924F0A">
          <w:rPr>
            <w:rStyle w:val="Hyperlink"/>
            <w:noProof/>
          </w:rPr>
          <w:t>Figure 8: Indigenous HDR enrolments by age bracket, 2006–17</w:t>
        </w:r>
        <w:r w:rsidR="003B7471">
          <w:rPr>
            <w:noProof/>
            <w:webHidden/>
          </w:rPr>
          <w:tab/>
        </w:r>
        <w:r w:rsidR="003B7471">
          <w:rPr>
            <w:noProof/>
            <w:webHidden/>
          </w:rPr>
          <w:fldChar w:fldCharType="begin"/>
        </w:r>
        <w:r w:rsidR="003B7471">
          <w:rPr>
            <w:noProof/>
            <w:webHidden/>
          </w:rPr>
          <w:instrText xml:space="preserve"> PAGEREF _Toc18070232 \h </w:instrText>
        </w:r>
        <w:r w:rsidR="003B7471">
          <w:rPr>
            <w:noProof/>
            <w:webHidden/>
          </w:rPr>
        </w:r>
        <w:r w:rsidR="003B7471">
          <w:rPr>
            <w:noProof/>
            <w:webHidden/>
          </w:rPr>
          <w:fldChar w:fldCharType="separate"/>
        </w:r>
        <w:r w:rsidR="002967AB">
          <w:rPr>
            <w:noProof/>
            <w:webHidden/>
          </w:rPr>
          <w:t>13</w:t>
        </w:r>
        <w:r w:rsidR="003B7471">
          <w:rPr>
            <w:noProof/>
            <w:webHidden/>
          </w:rPr>
          <w:fldChar w:fldCharType="end"/>
        </w:r>
      </w:hyperlink>
    </w:p>
    <w:p w14:paraId="61872828" w14:textId="150E06F0" w:rsidR="003B7471" w:rsidRDefault="002C5804">
      <w:pPr>
        <w:pStyle w:val="TableofFigures"/>
        <w:tabs>
          <w:tab w:val="right" w:leader="dot" w:pos="9016"/>
        </w:tabs>
        <w:rPr>
          <w:noProof/>
          <w:lang w:eastAsia="en-AU"/>
        </w:rPr>
      </w:pPr>
      <w:hyperlink w:anchor="_Toc18070233" w:history="1">
        <w:r w:rsidR="003B7471" w:rsidRPr="00924F0A">
          <w:rPr>
            <w:rStyle w:val="Hyperlink"/>
            <w:noProof/>
          </w:rPr>
          <w:t>Figure 9: Proportion of domestic enrolments by SES and Indigenous Status, 2017</w:t>
        </w:r>
        <w:r w:rsidR="003B7471">
          <w:rPr>
            <w:noProof/>
            <w:webHidden/>
          </w:rPr>
          <w:tab/>
        </w:r>
        <w:r w:rsidR="003B7471">
          <w:rPr>
            <w:noProof/>
            <w:webHidden/>
          </w:rPr>
          <w:fldChar w:fldCharType="begin"/>
        </w:r>
        <w:r w:rsidR="003B7471">
          <w:rPr>
            <w:noProof/>
            <w:webHidden/>
          </w:rPr>
          <w:instrText xml:space="preserve"> PAGEREF _Toc18070233 \h </w:instrText>
        </w:r>
        <w:r w:rsidR="003B7471">
          <w:rPr>
            <w:noProof/>
            <w:webHidden/>
          </w:rPr>
        </w:r>
        <w:r w:rsidR="003B7471">
          <w:rPr>
            <w:noProof/>
            <w:webHidden/>
          </w:rPr>
          <w:fldChar w:fldCharType="separate"/>
        </w:r>
        <w:r w:rsidR="002967AB">
          <w:rPr>
            <w:noProof/>
            <w:webHidden/>
          </w:rPr>
          <w:t>14</w:t>
        </w:r>
        <w:r w:rsidR="003B7471">
          <w:rPr>
            <w:noProof/>
            <w:webHidden/>
          </w:rPr>
          <w:fldChar w:fldCharType="end"/>
        </w:r>
      </w:hyperlink>
    </w:p>
    <w:p w14:paraId="191C7A60" w14:textId="1169C478" w:rsidR="003B7471" w:rsidRDefault="002C5804">
      <w:pPr>
        <w:pStyle w:val="TableofFigures"/>
        <w:tabs>
          <w:tab w:val="right" w:leader="dot" w:pos="9016"/>
        </w:tabs>
        <w:rPr>
          <w:noProof/>
          <w:lang w:eastAsia="en-AU"/>
        </w:rPr>
      </w:pPr>
      <w:hyperlink w:anchor="_Toc18070234" w:history="1">
        <w:r w:rsidR="003B7471" w:rsidRPr="00924F0A">
          <w:rPr>
            <w:rStyle w:val="Hyperlink"/>
            <w:noProof/>
          </w:rPr>
          <w:t>Figure 10: Proportion of HDR domestic enrolments by university alliance and Indigenous status, 2017</w:t>
        </w:r>
        <w:r w:rsidR="003B7471">
          <w:rPr>
            <w:noProof/>
            <w:webHidden/>
          </w:rPr>
          <w:tab/>
        </w:r>
        <w:r w:rsidR="003B7471">
          <w:rPr>
            <w:noProof/>
            <w:webHidden/>
          </w:rPr>
          <w:fldChar w:fldCharType="begin"/>
        </w:r>
        <w:r w:rsidR="003B7471">
          <w:rPr>
            <w:noProof/>
            <w:webHidden/>
          </w:rPr>
          <w:instrText xml:space="preserve"> PAGEREF _Toc18070234 \h </w:instrText>
        </w:r>
        <w:r w:rsidR="003B7471">
          <w:rPr>
            <w:noProof/>
            <w:webHidden/>
          </w:rPr>
        </w:r>
        <w:r w:rsidR="003B7471">
          <w:rPr>
            <w:noProof/>
            <w:webHidden/>
          </w:rPr>
          <w:fldChar w:fldCharType="separate"/>
        </w:r>
        <w:r w:rsidR="002967AB">
          <w:rPr>
            <w:noProof/>
            <w:webHidden/>
          </w:rPr>
          <w:t>15</w:t>
        </w:r>
        <w:r w:rsidR="003B7471">
          <w:rPr>
            <w:noProof/>
            <w:webHidden/>
          </w:rPr>
          <w:fldChar w:fldCharType="end"/>
        </w:r>
      </w:hyperlink>
    </w:p>
    <w:p w14:paraId="748F614E" w14:textId="000DC54D" w:rsidR="003B7471" w:rsidRDefault="002C5804">
      <w:pPr>
        <w:pStyle w:val="TableofFigures"/>
        <w:tabs>
          <w:tab w:val="right" w:leader="dot" w:pos="9016"/>
        </w:tabs>
        <w:rPr>
          <w:noProof/>
          <w:lang w:eastAsia="en-AU"/>
        </w:rPr>
      </w:pPr>
      <w:hyperlink w:anchor="_Toc18070235" w:history="1">
        <w:r w:rsidR="003B7471" w:rsidRPr="00924F0A">
          <w:rPr>
            <w:rStyle w:val="Hyperlink"/>
            <w:noProof/>
          </w:rPr>
          <w:t>Figure 11: Number of Indigenous HDR enrolments by home state of institution, 2013–17</w:t>
        </w:r>
        <w:r w:rsidR="003B7471">
          <w:rPr>
            <w:noProof/>
            <w:webHidden/>
          </w:rPr>
          <w:tab/>
        </w:r>
        <w:r w:rsidR="003B7471">
          <w:rPr>
            <w:noProof/>
            <w:webHidden/>
          </w:rPr>
          <w:fldChar w:fldCharType="begin"/>
        </w:r>
        <w:r w:rsidR="003B7471">
          <w:rPr>
            <w:noProof/>
            <w:webHidden/>
          </w:rPr>
          <w:instrText xml:space="preserve"> PAGEREF _Toc18070235 \h </w:instrText>
        </w:r>
        <w:r w:rsidR="003B7471">
          <w:rPr>
            <w:noProof/>
            <w:webHidden/>
          </w:rPr>
        </w:r>
        <w:r w:rsidR="003B7471">
          <w:rPr>
            <w:noProof/>
            <w:webHidden/>
          </w:rPr>
          <w:fldChar w:fldCharType="separate"/>
        </w:r>
        <w:r w:rsidR="002967AB">
          <w:rPr>
            <w:noProof/>
            <w:webHidden/>
          </w:rPr>
          <w:t>16</w:t>
        </w:r>
        <w:r w:rsidR="003B7471">
          <w:rPr>
            <w:noProof/>
            <w:webHidden/>
          </w:rPr>
          <w:fldChar w:fldCharType="end"/>
        </w:r>
      </w:hyperlink>
    </w:p>
    <w:p w14:paraId="3B94E286" w14:textId="3E574B23" w:rsidR="003B7471" w:rsidRDefault="002C5804">
      <w:pPr>
        <w:pStyle w:val="TableofFigures"/>
        <w:tabs>
          <w:tab w:val="right" w:leader="dot" w:pos="9016"/>
        </w:tabs>
        <w:rPr>
          <w:noProof/>
          <w:lang w:eastAsia="en-AU"/>
        </w:rPr>
      </w:pPr>
      <w:hyperlink w:anchor="_Toc18070236" w:history="1">
        <w:r w:rsidR="003B7471" w:rsidRPr="00924F0A">
          <w:rPr>
            <w:rStyle w:val="Hyperlink"/>
            <w:noProof/>
          </w:rPr>
          <w:t>Figure 12: Distribution of 2017 Indigenous HDR enrolments and Australian universities by State</w:t>
        </w:r>
        <w:r w:rsidR="003B7471">
          <w:rPr>
            <w:noProof/>
            <w:webHidden/>
          </w:rPr>
          <w:tab/>
        </w:r>
        <w:r w:rsidR="003B7471">
          <w:rPr>
            <w:noProof/>
            <w:webHidden/>
          </w:rPr>
          <w:fldChar w:fldCharType="begin"/>
        </w:r>
        <w:r w:rsidR="003B7471">
          <w:rPr>
            <w:noProof/>
            <w:webHidden/>
          </w:rPr>
          <w:instrText xml:space="preserve"> PAGEREF _Toc18070236 \h </w:instrText>
        </w:r>
        <w:r w:rsidR="003B7471">
          <w:rPr>
            <w:noProof/>
            <w:webHidden/>
          </w:rPr>
        </w:r>
        <w:r w:rsidR="003B7471">
          <w:rPr>
            <w:noProof/>
            <w:webHidden/>
          </w:rPr>
          <w:fldChar w:fldCharType="separate"/>
        </w:r>
        <w:r w:rsidR="002967AB">
          <w:rPr>
            <w:noProof/>
            <w:webHidden/>
          </w:rPr>
          <w:t>16</w:t>
        </w:r>
        <w:r w:rsidR="003B7471">
          <w:rPr>
            <w:noProof/>
            <w:webHidden/>
          </w:rPr>
          <w:fldChar w:fldCharType="end"/>
        </w:r>
      </w:hyperlink>
    </w:p>
    <w:p w14:paraId="59C30BD0" w14:textId="7B082A6D" w:rsidR="003B7471" w:rsidRDefault="002C5804">
      <w:pPr>
        <w:pStyle w:val="TableofFigures"/>
        <w:tabs>
          <w:tab w:val="right" w:leader="dot" w:pos="9016"/>
        </w:tabs>
        <w:rPr>
          <w:noProof/>
          <w:lang w:eastAsia="en-AU"/>
        </w:rPr>
      </w:pPr>
      <w:hyperlink w:anchor="_Toc18070237" w:history="1">
        <w:r w:rsidR="003B7471" w:rsidRPr="00924F0A">
          <w:rPr>
            <w:rStyle w:val="Hyperlink"/>
            <w:noProof/>
          </w:rPr>
          <w:t>Figure 13: Indigenous HDR enrolments by fields of education, 2006–17</w:t>
        </w:r>
        <w:r w:rsidR="003B7471">
          <w:rPr>
            <w:noProof/>
            <w:webHidden/>
          </w:rPr>
          <w:tab/>
        </w:r>
        <w:r w:rsidR="003B7471">
          <w:rPr>
            <w:noProof/>
            <w:webHidden/>
          </w:rPr>
          <w:fldChar w:fldCharType="begin"/>
        </w:r>
        <w:r w:rsidR="003B7471">
          <w:rPr>
            <w:noProof/>
            <w:webHidden/>
          </w:rPr>
          <w:instrText xml:space="preserve"> PAGEREF _Toc18070237 \h </w:instrText>
        </w:r>
        <w:r w:rsidR="003B7471">
          <w:rPr>
            <w:noProof/>
            <w:webHidden/>
          </w:rPr>
        </w:r>
        <w:r w:rsidR="003B7471">
          <w:rPr>
            <w:noProof/>
            <w:webHidden/>
          </w:rPr>
          <w:fldChar w:fldCharType="separate"/>
        </w:r>
        <w:r w:rsidR="002967AB">
          <w:rPr>
            <w:noProof/>
            <w:webHidden/>
          </w:rPr>
          <w:t>17</w:t>
        </w:r>
        <w:r w:rsidR="003B7471">
          <w:rPr>
            <w:noProof/>
            <w:webHidden/>
          </w:rPr>
          <w:fldChar w:fldCharType="end"/>
        </w:r>
      </w:hyperlink>
    </w:p>
    <w:p w14:paraId="2AA9224D" w14:textId="44D9B0DC" w:rsidR="003B7471" w:rsidRDefault="002C5804">
      <w:pPr>
        <w:pStyle w:val="TableofFigures"/>
        <w:tabs>
          <w:tab w:val="right" w:leader="dot" w:pos="9016"/>
        </w:tabs>
        <w:rPr>
          <w:noProof/>
          <w:lang w:eastAsia="en-AU"/>
        </w:rPr>
      </w:pPr>
      <w:hyperlink w:anchor="_Toc18070238" w:history="1">
        <w:r w:rsidR="003B7471" w:rsidRPr="00924F0A">
          <w:rPr>
            <w:rStyle w:val="Hyperlink"/>
            <w:noProof/>
          </w:rPr>
          <w:t>Figure 14: Proportion of domestic students awarded an APA/RTP stipend by Indigenous status, 2006–17</w:t>
        </w:r>
        <w:r w:rsidR="003B7471">
          <w:rPr>
            <w:noProof/>
            <w:webHidden/>
          </w:rPr>
          <w:tab/>
        </w:r>
        <w:r w:rsidR="003B7471">
          <w:rPr>
            <w:noProof/>
            <w:webHidden/>
          </w:rPr>
          <w:fldChar w:fldCharType="begin"/>
        </w:r>
        <w:r w:rsidR="003B7471">
          <w:rPr>
            <w:noProof/>
            <w:webHidden/>
          </w:rPr>
          <w:instrText xml:space="preserve"> PAGEREF _Toc18070238 \h </w:instrText>
        </w:r>
        <w:r w:rsidR="003B7471">
          <w:rPr>
            <w:noProof/>
            <w:webHidden/>
          </w:rPr>
        </w:r>
        <w:r w:rsidR="003B7471">
          <w:rPr>
            <w:noProof/>
            <w:webHidden/>
          </w:rPr>
          <w:fldChar w:fldCharType="separate"/>
        </w:r>
        <w:r w:rsidR="002967AB">
          <w:rPr>
            <w:noProof/>
            <w:webHidden/>
          </w:rPr>
          <w:t>19</w:t>
        </w:r>
        <w:r w:rsidR="003B7471">
          <w:rPr>
            <w:noProof/>
            <w:webHidden/>
          </w:rPr>
          <w:fldChar w:fldCharType="end"/>
        </w:r>
      </w:hyperlink>
    </w:p>
    <w:p w14:paraId="3595A17D" w14:textId="5CC1A93F" w:rsidR="003B7471" w:rsidRDefault="002C5804">
      <w:pPr>
        <w:pStyle w:val="TableofFigures"/>
        <w:tabs>
          <w:tab w:val="right" w:leader="dot" w:pos="9016"/>
        </w:tabs>
        <w:rPr>
          <w:noProof/>
          <w:lang w:eastAsia="en-AU"/>
        </w:rPr>
      </w:pPr>
      <w:hyperlink w:anchor="_Toc18070239" w:history="1">
        <w:r w:rsidR="003B7471" w:rsidRPr="00924F0A">
          <w:rPr>
            <w:rStyle w:val="Hyperlink"/>
            <w:noProof/>
          </w:rPr>
          <w:t>Figure 15: Indigenous doctoral student stipend rates (per annum), based on 2017–18 survey data</w:t>
        </w:r>
        <w:r w:rsidR="003B7471">
          <w:rPr>
            <w:noProof/>
            <w:webHidden/>
          </w:rPr>
          <w:tab/>
        </w:r>
        <w:r w:rsidR="003B7471">
          <w:rPr>
            <w:noProof/>
            <w:webHidden/>
          </w:rPr>
          <w:fldChar w:fldCharType="begin"/>
        </w:r>
        <w:r w:rsidR="003B7471">
          <w:rPr>
            <w:noProof/>
            <w:webHidden/>
          </w:rPr>
          <w:instrText xml:space="preserve"> PAGEREF _Toc18070239 \h </w:instrText>
        </w:r>
        <w:r w:rsidR="003B7471">
          <w:rPr>
            <w:noProof/>
            <w:webHidden/>
          </w:rPr>
        </w:r>
        <w:r w:rsidR="003B7471">
          <w:rPr>
            <w:noProof/>
            <w:webHidden/>
          </w:rPr>
          <w:fldChar w:fldCharType="separate"/>
        </w:r>
        <w:r w:rsidR="002967AB">
          <w:rPr>
            <w:noProof/>
            <w:webHidden/>
          </w:rPr>
          <w:t>21</w:t>
        </w:r>
        <w:r w:rsidR="003B7471">
          <w:rPr>
            <w:noProof/>
            <w:webHidden/>
          </w:rPr>
          <w:fldChar w:fldCharType="end"/>
        </w:r>
      </w:hyperlink>
    </w:p>
    <w:p w14:paraId="1F745237" w14:textId="03B67D71" w:rsidR="006021B7" w:rsidRDefault="006021B7" w:rsidP="006021B7">
      <w:pPr>
        <w:pStyle w:val="Heading1"/>
        <w:rPr>
          <w:sz w:val="18"/>
          <w:szCs w:val="20"/>
        </w:rPr>
      </w:pPr>
      <w:r w:rsidRPr="005D59B1">
        <w:rPr>
          <w:sz w:val="18"/>
          <w:szCs w:val="20"/>
        </w:rPr>
        <w:fldChar w:fldCharType="end"/>
      </w:r>
    </w:p>
    <w:p w14:paraId="2CE3521E" w14:textId="478FEEA9" w:rsidR="00C33922" w:rsidRPr="00FF2B6F" w:rsidRDefault="00C33922" w:rsidP="00C33922">
      <w:pPr>
        <w:pStyle w:val="Heading1"/>
      </w:pPr>
      <w:bookmarkStart w:id="4" w:name="_Toc18070217"/>
      <w:r>
        <w:t>List of Tables</w:t>
      </w:r>
      <w:bookmarkEnd w:id="4"/>
    </w:p>
    <w:p w14:paraId="3914C84F" w14:textId="29ED17C1" w:rsidR="003B7471" w:rsidRDefault="00C33922">
      <w:pPr>
        <w:pStyle w:val="TableofFigures"/>
        <w:tabs>
          <w:tab w:val="right" w:leader="dot" w:pos="9016"/>
        </w:tabs>
        <w:rPr>
          <w:noProof/>
          <w:lang w:eastAsia="en-AU"/>
        </w:rPr>
      </w:pPr>
      <w:r>
        <w:rPr>
          <w:sz w:val="20"/>
          <w:szCs w:val="20"/>
        </w:rPr>
        <w:fldChar w:fldCharType="begin"/>
      </w:r>
      <w:r>
        <w:rPr>
          <w:sz w:val="20"/>
          <w:szCs w:val="20"/>
        </w:rPr>
        <w:instrText xml:space="preserve"> TOC \h \z \c "Table" </w:instrText>
      </w:r>
      <w:r>
        <w:rPr>
          <w:sz w:val="20"/>
          <w:szCs w:val="20"/>
        </w:rPr>
        <w:fldChar w:fldCharType="separate"/>
      </w:r>
      <w:hyperlink w:anchor="_Toc18070240" w:history="1">
        <w:r w:rsidR="003B7471" w:rsidRPr="00CF3EC6">
          <w:rPr>
            <w:rStyle w:val="Hyperlink"/>
            <w:noProof/>
          </w:rPr>
          <w:t>Table 1: Cohort analysis for Indigenous students commencing a HDR course in 2007 to 2014 over a four year period, 2007–2010, 2008–2011, 2009–2012, 2010–2013, 2011–2014, 2012–2015, 2013–2016 and 2014–2017 (per cent)</w:t>
        </w:r>
        <w:r w:rsidR="003B7471">
          <w:rPr>
            <w:noProof/>
            <w:webHidden/>
          </w:rPr>
          <w:tab/>
        </w:r>
        <w:r w:rsidR="003B7471">
          <w:rPr>
            <w:noProof/>
            <w:webHidden/>
          </w:rPr>
          <w:fldChar w:fldCharType="begin"/>
        </w:r>
        <w:r w:rsidR="003B7471">
          <w:rPr>
            <w:noProof/>
            <w:webHidden/>
          </w:rPr>
          <w:instrText xml:space="preserve"> PAGEREF _Toc18070240 \h </w:instrText>
        </w:r>
        <w:r w:rsidR="003B7471">
          <w:rPr>
            <w:noProof/>
            <w:webHidden/>
          </w:rPr>
        </w:r>
        <w:r w:rsidR="003B7471">
          <w:rPr>
            <w:noProof/>
            <w:webHidden/>
          </w:rPr>
          <w:fldChar w:fldCharType="separate"/>
        </w:r>
        <w:r w:rsidR="002967AB">
          <w:rPr>
            <w:noProof/>
            <w:webHidden/>
          </w:rPr>
          <w:t>22</w:t>
        </w:r>
        <w:r w:rsidR="003B7471">
          <w:rPr>
            <w:noProof/>
            <w:webHidden/>
          </w:rPr>
          <w:fldChar w:fldCharType="end"/>
        </w:r>
      </w:hyperlink>
    </w:p>
    <w:p w14:paraId="6D554F05" w14:textId="4AF1BFFC" w:rsidR="003B7471" w:rsidRDefault="002C5804">
      <w:pPr>
        <w:pStyle w:val="TableofFigures"/>
        <w:tabs>
          <w:tab w:val="right" w:leader="dot" w:pos="9016"/>
        </w:tabs>
        <w:rPr>
          <w:noProof/>
          <w:lang w:eastAsia="en-AU"/>
        </w:rPr>
      </w:pPr>
      <w:hyperlink w:anchor="_Toc18070241" w:history="1">
        <w:r w:rsidR="003B7471" w:rsidRPr="00CF3EC6">
          <w:rPr>
            <w:rStyle w:val="Hyperlink"/>
            <w:noProof/>
          </w:rPr>
          <w:t>Table 2: Cohort analysis for Indigenous students commencing a HDR course in 2007 to 2012 over a six year period, 2007–2012, 2008–2013, 2009–2014, 2010–2015, 2011–2016 and 2012–2017 (per cent)</w:t>
        </w:r>
        <w:r w:rsidR="003B7471">
          <w:rPr>
            <w:noProof/>
            <w:webHidden/>
          </w:rPr>
          <w:tab/>
        </w:r>
        <w:r w:rsidR="003B7471">
          <w:rPr>
            <w:noProof/>
            <w:webHidden/>
          </w:rPr>
          <w:fldChar w:fldCharType="begin"/>
        </w:r>
        <w:r w:rsidR="003B7471">
          <w:rPr>
            <w:noProof/>
            <w:webHidden/>
          </w:rPr>
          <w:instrText xml:space="preserve"> PAGEREF _Toc18070241 \h </w:instrText>
        </w:r>
        <w:r w:rsidR="003B7471">
          <w:rPr>
            <w:noProof/>
            <w:webHidden/>
          </w:rPr>
        </w:r>
        <w:r w:rsidR="003B7471">
          <w:rPr>
            <w:noProof/>
            <w:webHidden/>
          </w:rPr>
          <w:fldChar w:fldCharType="separate"/>
        </w:r>
        <w:r w:rsidR="002967AB">
          <w:rPr>
            <w:noProof/>
            <w:webHidden/>
          </w:rPr>
          <w:t>23</w:t>
        </w:r>
        <w:r w:rsidR="003B7471">
          <w:rPr>
            <w:noProof/>
            <w:webHidden/>
          </w:rPr>
          <w:fldChar w:fldCharType="end"/>
        </w:r>
      </w:hyperlink>
    </w:p>
    <w:p w14:paraId="7CC5683A" w14:textId="52EF2404" w:rsidR="003B7471" w:rsidRDefault="002C5804">
      <w:pPr>
        <w:pStyle w:val="TableofFigures"/>
        <w:tabs>
          <w:tab w:val="right" w:leader="dot" w:pos="9016"/>
        </w:tabs>
        <w:rPr>
          <w:noProof/>
          <w:lang w:eastAsia="en-AU"/>
        </w:rPr>
      </w:pPr>
      <w:hyperlink w:anchor="_Toc18070242" w:history="1">
        <w:r w:rsidR="003B7471" w:rsidRPr="00CF3EC6">
          <w:rPr>
            <w:rStyle w:val="Hyperlink"/>
            <w:noProof/>
          </w:rPr>
          <w:t>Table 3: Cohort analysis for Indigenous students commencing a HDR course in 2007 to 2009 over a nine year period, 2007–2015, 2008–2016 and 2009–2017 (per cent)</w:t>
        </w:r>
        <w:r w:rsidR="003B7471">
          <w:rPr>
            <w:noProof/>
            <w:webHidden/>
          </w:rPr>
          <w:tab/>
        </w:r>
        <w:r w:rsidR="003B7471">
          <w:rPr>
            <w:noProof/>
            <w:webHidden/>
          </w:rPr>
          <w:fldChar w:fldCharType="begin"/>
        </w:r>
        <w:r w:rsidR="003B7471">
          <w:rPr>
            <w:noProof/>
            <w:webHidden/>
          </w:rPr>
          <w:instrText xml:space="preserve"> PAGEREF _Toc18070242 \h </w:instrText>
        </w:r>
        <w:r w:rsidR="003B7471">
          <w:rPr>
            <w:noProof/>
            <w:webHidden/>
          </w:rPr>
        </w:r>
        <w:r w:rsidR="003B7471">
          <w:rPr>
            <w:noProof/>
            <w:webHidden/>
          </w:rPr>
          <w:fldChar w:fldCharType="separate"/>
        </w:r>
        <w:r w:rsidR="002967AB">
          <w:rPr>
            <w:noProof/>
            <w:webHidden/>
          </w:rPr>
          <w:t>23</w:t>
        </w:r>
        <w:r w:rsidR="003B7471">
          <w:rPr>
            <w:noProof/>
            <w:webHidden/>
          </w:rPr>
          <w:fldChar w:fldCharType="end"/>
        </w:r>
      </w:hyperlink>
    </w:p>
    <w:p w14:paraId="3C3C6B30" w14:textId="75475B35" w:rsidR="003B7471" w:rsidRDefault="002C5804">
      <w:pPr>
        <w:pStyle w:val="TableofFigures"/>
        <w:tabs>
          <w:tab w:val="right" w:leader="dot" w:pos="9016"/>
        </w:tabs>
        <w:rPr>
          <w:noProof/>
          <w:lang w:eastAsia="en-AU"/>
        </w:rPr>
      </w:pPr>
      <w:hyperlink w:anchor="_Toc18070243" w:history="1">
        <w:r w:rsidR="003B7471" w:rsidRPr="00CF3EC6">
          <w:rPr>
            <w:rStyle w:val="Hyperlink"/>
            <w:noProof/>
          </w:rPr>
          <w:t>Table 4: Nine-year completion rates for commencing Indigenous HDR students by selected characteristics, 2007-2015, 2008-2016, 2009-2017 (per cent )</w:t>
        </w:r>
        <w:r w:rsidR="003B7471">
          <w:rPr>
            <w:noProof/>
            <w:webHidden/>
          </w:rPr>
          <w:tab/>
        </w:r>
        <w:r w:rsidR="003B7471">
          <w:rPr>
            <w:noProof/>
            <w:webHidden/>
          </w:rPr>
          <w:fldChar w:fldCharType="begin"/>
        </w:r>
        <w:r w:rsidR="003B7471">
          <w:rPr>
            <w:noProof/>
            <w:webHidden/>
          </w:rPr>
          <w:instrText xml:space="preserve"> PAGEREF _Toc18070243 \h </w:instrText>
        </w:r>
        <w:r w:rsidR="003B7471">
          <w:rPr>
            <w:noProof/>
            <w:webHidden/>
          </w:rPr>
        </w:r>
        <w:r w:rsidR="003B7471">
          <w:rPr>
            <w:noProof/>
            <w:webHidden/>
          </w:rPr>
          <w:fldChar w:fldCharType="separate"/>
        </w:r>
        <w:r w:rsidR="002967AB">
          <w:rPr>
            <w:noProof/>
            <w:webHidden/>
          </w:rPr>
          <w:t>24</w:t>
        </w:r>
        <w:r w:rsidR="003B7471">
          <w:rPr>
            <w:noProof/>
            <w:webHidden/>
          </w:rPr>
          <w:fldChar w:fldCharType="end"/>
        </w:r>
      </w:hyperlink>
    </w:p>
    <w:p w14:paraId="3F979643" w14:textId="760EB7E5" w:rsidR="00F1090D" w:rsidRDefault="00C33922">
      <w:pPr>
        <w:rPr>
          <w:sz w:val="20"/>
          <w:szCs w:val="20"/>
        </w:rPr>
      </w:pPr>
      <w:r>
        <w:rPr>
          <w:sz w:val="20"/>
          <w:szCs w:val="20"/>
        </w:rPr>
        <w:fldChar w:fldCharType="end"/>
      </w:r>
    </w:p>
    <w:p w14:paraId="4F27801F" w14:textId="6FE1AC30" w:rsidR="006021B7" w:rsidRDefault="006021B7">
      <w:pPr>
        <w:rPr>
          <w:rFonts w:ascii="Calibri" w:eastAsiaTheme="majorEastAsia" w:hAnsi="Calibri" w:cstheme="majorBidi"/>
          <w:b/>
          <w:bCs/>
          <w:color w:val="522761"/>
          <w:sz w:val="20"/>
          <w:szCs w:val="20"/>
        </w:rPr>
      </w:pPr>
      <w:r>
        <w:rPr>
          <w:sz w:val="20"/>
          <w:szCs w:val="20"/>
        </w:rPr>
        <w:br w:type="page"/>
      </w:r>
    </w:p>
    <w:p w14:paraId="33C11030" w14:textId="4C82C0B3" w:rsidR="00C10C19" w:rsidRDefault="00DD6ADE" w:rsidP="006021B7">
      <w:pPr>
        <w:pStyle w:val="Heading1"/>
      </w:pPr>
      <w:bookmarkStart w:id="5" w:name="_Toc18070218"/>
      <w:r>
        <w:t>Preface</w:t>
      </w:r>
      <w:bookmarkEnd w:id="5"/>
    </w:p>
    <w:p w14:paraId="26B06F4E" w14:textId="3D131B05" w:rsidR="00805CE0" w:rsidRDefault="00D6261C" w:rsidP="00E966C3">
      <w:r w:rsidRPr="00D6261C">
        <w:t xml:space="preserve">The 2016 </w:t>
      </w:r>
      <w:r w:rsidRPr="00DF005E">
        <w:rPr>
          <w:i/>
        </w:rPr>
        <w:t>Review of Australia’s Research Training System</w:t>
      </w:r>
      <w:r w:rsidRPr="00D6261C">
        <w:t xml:space="preserve"> (the Review), conducted by the Australian Council of Learned Academies (ACOLA)</w:t>
      </w:r>
      <w:r w:rsidR="002F4D80">
        <w:t>,</w:t>
      </w:r>
      <w:r w:rsidRPr="00D6261C">
        <w:t xml:space="preserve"> included a discussion of the representation of equity groups in higher degree by research (HDR) training. </w:t>
      </w:r>
      <w:r w:rsidR="00B858A3">
        <w:t>The</w:t>
      </w:r>
      <w:r w:rsidR="00AD2F15">
        <w:t xml:space="preserve"> </w:t>
      </w:r>
      <w:r w:rsidR="00805CE0">
        <w:t>discussion</w:t>
      </w:r>
      <w:r w:rsidR="00B858A3">
        <w:t xml:space="preserve"> had a particular focus on</w:t>
      </w:r>
      <w:r w:rsidRPr="00D6261C">
        <w:t xml:space="preserve"> the low representation of Aboriginal and Torres Strait I</w:t>
      </w:r>
      <w:r>
        <w:t xml:space="preserve">slander peoples in HDR training. In response to the Review, </w:t>
      </w:r>
      <w:r w:rsidR="00E60795">
        <w:t>the Research Training Implementation Plan (RTIP) was</w:t>
      </w:r>
      <w:r w:rsidR="00E60795" w:rsidRPr="00E60795">
        <w:t xml:space="preserve"> </w:t>
      </w:r>
      <w:r w:rsidR="00E60795">
        <w:t>developed by a w</w:t>
      </w:r>
      <w:r w:rsidR="00E60795" w:rsidRPr="00E60795">
        <w:t>orking group comprised of representatives from the higher education, government and industry sectors, including Indigenous and HDR student representatives</w:t>
      </w:r>
      <w:r w:rsidR="00E60795">
        <w:t>.</w:t>
      </w:r>
      <w:r>
        <w:t xml:space="preserve"> RTIP was </w:t>
      </w:r>
      <w:r w:rsidR="00EA587A">
        <w:t>released by the Australian Government in December 2017</w:t>
      </w:r>
      <w:r>
        <w:t xml:space="preserve"> and</w:t>
      </w:r>
      <w:r w:rsidR="00EA587A">
        <w:t xml:space="preserve"> includes a number of action items related to the participation of equity groups in </w:t>
      </w:r>
      <w:r>
        <w:t>HDR</w:t>
      </w:r>
      <w:r w:rsidR="00E71F86">
        <w:t xml:space="preserve"> training</w:t>
      </w:r>
      <w:r w:rsidR="00EA587A">
        <w:t xml:space="preserve">. </w:t>
      </w:r>
      <w:r w:rsidR="00805CE0">
        <w:t xml:space="preserve">Action 3.1: </w:t>
      </w:r>
      <w:r w:rsidR="00805CE0" w:rsidRPr="00DF005E">
        <w:rPr>
          <w:i/>
        </w:rPr>
        <w:t>Better data collection, monitoring and analysis</w:t>
      </w:r>
      <w:r w:rsidR="00805CE0">
        <w:t xml:space="preserve"> included a requirement for the Department of Education to: </w:t>
      </w:r>
    </w:p>
    <w:p w14:paraId="3FDD7BAA" w14:textId="7FF531E7" w:rsidR="00805CE0" w:rsidRDefault="005D0AF2" w:rsidP="00DF005E">
      <w:pPr>
        <w:ind w:left="720"/>
      </w:pPr>
      <w:r>
        <w:t>‘</w:t>
      </w:r>
      <w:r w:rsidR="00805CE0">
        <w:t>Explore improvements to data reporting to support a better understanding of Indigenous student participation in the HDR system, including pathways taken to HDR, access to scholarships and completion rates.</w:t>
      </w:r>
      <w:r>
        <w:t>’</w:t>
      </w:r>
    </w:p>
    <w:p w14:paraId="1096E399" w14:textId="76797588" w:rsidR="00CD3AB6" w:rsidRDefault="000B5768" w:rsidP="00805CE0">
      <w:r>
        <w:t xml:space="preserve">A </w:t>
      </w:r>
      <w:r w:rsidR="006C5859">
        <w:t>separate</w:t>
      </w:r>
      <w:r>
        <w:t xml:space="preserve"> </w:t>
      </w:r>
      <w:r w:rsidR="005D0AF2">
        <w:t xml:space="preserve">RTIP </w:t>
      </w:r>
      <w:r w:rsidR="00E966C3">
        <w:t xml:space="preserve">action item </w:t>
      </w:r>
      <w:r w:rsidR="00AA6FB3">
        <w:t xml:space="preserve">includes a commitment to report on levels of </w:t>
      </w:r>
      <w:r w:rsidR="006C5859">
        <w:t xml:space="preserve">scholarship and </w:t>
      </w:r>
      <w:r w:rsidR="00AA6FB3">
        <w:t xml:space="preserve">stipend support for Indigenous </w:t>
      </w:r>
      <w:r w:rsidR="002208C8">
        <w:t xml:space="preserve">Australian </w:t>
      </w:r>
      <w:r w:rsidR="00AA6FB3">
        <w:t>students, based on data provided by the university sector (</w:t>
      </w:r>
      <w:r w:rsidR="006D77CB">
        <w:t>Action</w:t>
      </w:r>
      <w:r w:rsidR="00624366">
        <w:t> </w:t>
      </w:r>
      <w:r w:rsidR="00AA6FB3">
        <w:t>3.4).</w:t>
      </w:r>
    </w:p>
    <w:p w14:paraId="0E1EC2BB" w14:textId="0540318D" w:rsidR="00030389" w:rsidRDefault="00DD6ADE" w:rsidP="00DD6ADE">
      <w:r>
        <w:t>This report</w:t>
      </w:r>
      <w:r w:rsidR="006C7EE8">
        <w:t xml:space="preserve"> responds to those </w:t>
      </w:r>
      <w:r w:rsidR="004A4676">
        <w:t>commitments</w:t>
      </w:r>
      <w:r w:rsidR="006456FA">
        <w:t xml:space="preserve"> and should be read in conjunction with RTIP progress reports</w:t>
      </w:r>
      <w:r w:rsidR="00FB1732">
        <w:t>. It</w:t>
      </w:r>
      <w:r w:rsidR="00AA6FB3">
        <w:t xml:space="preserve"> covers enrolments</w:t>
      </w:r>
      <w:r w:rsidR="006D77CB">
        <w:t>, commencements</w:t>
      </w:r>
      <w:r w:rsidR="00AA6FB3">
        <w:t xml:space="preserve"> and completions for</w:t>
      </w:r>
      <w:r w:rsidR="00623AD9">
        <w:t xml:space="preserve"> </w:t>
      </w:r>
      <w:r w:rsidR="00810970">
        <w:t xml:space="preserve">Indigenous </w:t>
      </w:r>
      <w:r w:rsidR="006456FA">
        <w:t>HDR</w:t>
      </w:r>
      <w:r w:rsidR="0083312D">
        <w:t xml:space="preserve"> (</w:t>
      </w:r>
      <w:r w:rsidR="00367184">
        <w:t xml:space="preserve">predominately </w:t>
      </w:r>
      <w:r w:rsidR="00623AD9">
        <w:t>master</w:t>
      </w:r>
      <w:r w:rsidR="002A5012">
        <w:t>’</w:t>
      </w:r>
      <w:r w:rsidR="00623AD9">
        <w:t>s by research and doctorate by research)</w:t>
      </w:r>
      <w:r w:rsidR="00EA587A">
        <w:t xml:space="preserve"> over the period 2006 to 2017</w:t>
      </w:r>
      <w:r w:rsidR="00367184">
        <w:t xml:space="preserve"> as collected through the Higher Education Student Data Collection (HESDC)</w:t>
      </w:r>
      <w:r w:rsidR="00FB1732">
        <w:t xml:space="preserve">, and </w:t>
      </w:r>
      <w:r w:rsidR="000B5768">
        <w:t xml:space="preserve">presents </w:t>
      </w:r>
      <w:r w:rsidR="0083312D">
        <w:t xml:space="preserve">the results of a survey </w:t>
      </w:r>
      <w:r w:rsidR="00C8237A">
        <w:t xml:space="preserve">on Indigenous access to scholarships </w:t>
      </w:r>
      <w:r w:rsidR="00E71F86">
        <w:t>conduct</w:t>
      </w:r>
      <w:r w:rsidR="00670AD1">
        <w:t xml:space="preserve">ed by the </w:t>
      </w:r>
      <w:r w:rsidR="00B867FB">
        <w:t>Department of Education and Training</w:t>
      </w:r>
      <w:r w:rsidR="00670AD1">
        <w:t xml:space="preserve"> in 2018. </w:t>
      </w:r>
      <w:r w:rsidR="00030389" w:rsidRPr="00A221EE">
        <w:t xml:space="preserve">The </w:t>
      </w:r>
      <w:r w:rsidR="00467548" w:rsidRPr="00A221EE">
        <w:t>data</w:t>
      </w:r>
      <w:r w:rsidR="00030389" w:rsidRPr="00A221EE">
        <w:t xml:space="preserve"> include</w:t>
      </w:r>
      <w:r w:rsidR="00467548" w:rsidRPr="00A221EE">
        <w:t>s</w:t>
      </w:r>
      <w:r w:rsidR="00030389" w:rsidRPr="00A221EE">
        <w:t xml:space="preserve"> all institutions that enrol </w:t>
      </w:r>
      <w:r w:rsidR="000B5768">
        <w:t>HDR</w:t>
      </w:r>
      <w:r w:rsidR="00030389" w:rsidRPr="00A221EE">
        <w:t xml:space="preserve"> students, both universities and </w:t>
      </w:r>
      <w:r w:rsidR="000B5768">
        <w:t>one</w:t>
      </w:r>
      <w:r w:rsidR="00030389" w:rsidRPr="00A221EE">
        <w:t xml:space="preserve"> other higher education provider.</w:t>
      </w:r>
      <w:r w:rsidR="006D77CB">
        <w:t xml:space="preserve"> Given the size of the cohort, </w:t>
      </w:r>
      <w:r w:rsidR="00364100">
        <w:t xml:space="preserve">the </w:t>
      </w:r>
      <w:r w:rsidR="006D77CB">
        <w:t>data refers to individual students, not equivalent full-time student load (</w:t>
      </w:r>
      <w:r w:rsidR="00364100">
        <w:t xml:space="preserve">EFTSL). All data is based on custom requests to the </w:t>
      </w:r>
      <w:r w:rsidR="00B867FB">
        <w:t xml:space="preserve">department’s </w:t>
      </w:r>
      <w:r w:rsidR="00420701">
        <w:t>internal databases.</w:t>
      </w:r>
    </w:p>
    <w:p w14:paraId="29641E99" w14:textId="7BA68B17" w:rsidR="00D85AE7" w:rsidRDefault="00D85AE7" w:rsidP="00DD6ADE">
      <w:r>
        <w:t xml:space="preserve">The data reveals that despite a recent increase in the number of Indigenous HDR enrolments, </w:t>
      </w:r>
      <w:r w:rsidR="00D35C0A">
        <w:t xml:space="preserve">there remain significant issues in the representation and retention of Indigenous </w:t>
      </w:r>
      <w:r w:rsidR="005D0AF2">
        <w:t xml:space="preserve">Australians </w:t>
      </w:r>
      <w:r w:rsidR="00D35C0A">
        <w:t xml:space="preserve">in research training. Indigenous students </w:t>
      </w:r>
      <w:r w:rsidR="004C4EDA">
        <w:t xml:space="preserve">are more likely </w:t>
      </w:r>
      <w:r w:rsidR="00467269">
        <w:t xml:space="preserve">than non-Indigenous domestic students </w:t>
      </w:r>
      <w:r w:rsidR="00401ADC">
        <w:t>to be from a low socio</w:t>
      </w:r>
      <w:r w:rsidR="004C4EDA">
        <w:t xml:space="preserve">economic </w:t>
      </w:r>
      <w:r w:rsidR="00CE483D">
        <w:t xml:space="preserve">and regional/remote </w:t>
      </w:r>
      <w:r w:rsidR="00467269">
        <w:t xml:space="preserve">background, </w:t>
      </w:r>
      <w:r w:rsidR="000D5951">
        <w:t xml:space="preserve">and </w:t>
      </w:r>
      <w:r w:rsidR="004C4EDA">
        <w:t>have l</w:t>
      </w:r>
      <w:r w:rsidR="00467269">
        <w:t>ess</w:t>
      </w:r>
      <w:r w:rsidR="004C4EDA">
        <w:t xml:space="preserve"> access to </w:t>
      </w:r>
      <w:r w:rsidR="009D1B67">
        <w:br/>
      </w:r>
      <w:r w:rsidR="00AE0080">
        <w:t>Commonwealth-supported financial assistance prov</w:t>
      </w:r>
      <w:r w:rsidR="00674B9C">
        <w:t xml:space="preserve">ided through their institution. </w:t>
      </w:r>
      <w:r w:rsidR="000D5951">
        <w:t xml:space="preserve">Completion rates </w:t>
      </w:r>
      <w:r w:rsidR="00D01FAE">
        <w:t xml:space="preserve">for Indigenous HDR students are consistently lower than for non-Indigenous students. </w:t>
      </w:r>
      <w:r w:rsidR="000B5768">
        <w:t>With Indigenous HDR students being markedly older than non-Indigenous HDR students, e</w:t>
      </w:r>
      <w:r w:rsidR="00467269">
        <w:t>ffort</w:t>
      </w:r>
      <w:r w:rsidR="002F4D80">
        <w:t xml:space="preserve"> is</w:t>
      </w:r>
      <w:r w:rsidR="00D01FAE">
        <w:t xml:space="preserve"> r</w:t>
      </w:r>
      <w:r w:rsidR="00F736C1">
        <w:t>equired</w:t>
      </w:r>
      <w:r w:rsidR="00467269">
        <w:t xml:space="preserve"> to increase the number of younger </w:t>
      </w:r>
      <w:r w:rsidR="00D01FAE">
        <w:t xml:space="preserve">Indigenous HDR </w:t>
      </w:r>
      <w:r w:rsidR="00467269">
        <w:t>students</w:t>
      </w:r>
      <w:r w:rsidR="000B5768">
        <w:t>.</w:t>
      </w:r>
    </w:p>
    <w:p w14:paraId="020AC27F" w14:textId="40D46E64" w:rsidR="0080050C" w:rsidRDefault="00623AD9" w:rsidP="00DD6ADE">
      <w:r>
        <w:t xml:space="preserve">The </w:t>
      </w:r>
      <w:r w:rsidR="00364100">
        <w:t xml:space="preserve">department </w:t>
      </w:r>
      <w:r w:rsidR="00A41C07">
        <w:t>would like to thank all those who assisted in the preparation of this report</w:t>
      </w:r>
      <w:r w:rsidR="00EA587A">
        <w:t xml:space="preserve">, particularly </w:t>
      </w:r>
      <w:r w:rsidR="00FB1732">
        <w:t xml:space="preserve">the </w:t>
      </w:r>
      <w:r w:rsidR="00EA587A">
        <w:t xml:space="preserve">university staff who provided data on </w:t>
      </w:r>
      <w:r w:rsidR="006C7EE8">
        <w:t>access to scholarships for I</w:t>
      </w:r>
      <w:r w:rsidR="00D31337">
        <w:t>ndigenous students</w:t>
      </w:r>
      <w:r w:rsidR="006C7EE8">
        <w:t>.</w:t>
      </w:r>
    </w:p>
    <w:p w14:paraId="309BD203" w14:textId="77777777" w:rsidR="0080050C" w:rsidRDefault="0080050C">
      <w:r>
        <w:br w:type="page"/>
      </w:r>
    </w:p>
    <w:p w14:paraId="46C04573" w14:textId="77777777" w:rsidR="00600B07" w:rsidRDefault="00600B07" w:rsidP="00600B07">
      <w:pPr>
        <w:pStyle w:val="Heading1"/>
      </w:pPr>
      <w:bookmarkStart w:id="6" w:name="_Toc18070219"/>
      <w:r>
        <w:t>Analysis of enrolments, commencements and completions</w:t>
      </w:r>
      <w:bookmarkEnd w:id="6"/>
    </w:p>
    <w:p w14:paraId="5935251E" w14:textId="77777777" w:rsidR="00600B07" w:rsidRDefault="00600B07" w:rsidP="00600B07">
      <w:r>
        <w:t>This section explores Aboriginal and Torres Strait Islander enrolments, commencements and completions between 2006 and 2017, with discussion on student characteristics including age, level of financial support, gender and field of education.</w:t>
      </w:r>
    </w:p>
    <w:p w14:paraId="66DDCFA8" w14:textId="69ADE51C" w:rsidR="00600B07" w:rsidRDefault="00600B07" w:rsidP="00600B07">
      <w:r>
        <w:t>The number of Indigenous HDR student enrolments and their proportion of the domestic HDR student enrolments rose steadily between 2006 and 2017 (</w:t>
      </w:r>
      <w:r w:rsidR="002F4D80">
        <w:fldChar w:fldCharType="begin"/>
      </w:r>
      <w:r w:rsidR="002F4D80">
        <w:instrText xml:space="preserve"> REF _Ref17883108 \h </w:instrText>
      </w:r>
      <w:r w:rsidR="002F4D80">
        <w:fldChar w:fldCharType="separate"/>
      </w:r>
      <w:r w:rsidR="002967AB">
        <w:t xml:space="preserve">Figure </w:t>
      </w:r>
      <w:r w:rsidR="002967AB">
        <w:rPr>
          <w:noProof/>
        </w:rPr>
        <w:t>1</w:t>
      </w:r>
      <w:r w:rsidR="002F4D80">
        <w:fldChar w:fldCharType="end"/>
      </w:r>
      <w:r>
        <w:t>), reaching 592 Indigenous HDR student enrolments by the end of this period, just over one per cent of domestic student enrolments. The growth in Indigenous HDR enrolments was largely driven by full-time enrolments. Until 2013, enrolments were distributed roughly evenly between full-time and part-time, but from 2014 the most growth has been in full-time students (</w:t>
      </w:r>
      <w:r w:rsidR="002F4D80">
        <w:fldChar w:fldCharType="begin"/>
      </w:r>
      <w:r w:rsidR="002F4D80">
        <w:instrText xml:space="preserve"> REF _Ref17883135 \h </w:instrText>
      </w:r>
      <w:r w:rsidR="002F4D80">
        <w:fldChar w:fldCharType="separate"/>
      </w:r>
      <w:r w:rsidR="002967AB">
        <w:t xml:space="preserve">Figure </w:t>
      </w:r>
      <w:r w:rsidR="002967AB">
        <w:rPr>
          <w:noProof/>
        </w:rPr>
        <w:t>2</w:t>
      </w:r>
      <w:r w:rsidR="002F4D80">
        <w:fldChar w:fldCharType="end"/>
      </w:r>
      <w:r>
        <w:t xml:space="preserve">). Between 2006 and 2017, the popularity of doctoral degrees appears to have increased at the expense of master’s degrees; doctoral degrees made up 69 per cent of Indigenous research enrolments in 2006, increasing to 76 per cent by 2017, with master’s declining </w:t>
      </w:r>
      <w:r w:rsidRPr="008707A9">
        <w:t xml:space="preserve">from </w:t>
      </w:r>
      <w:r w:rsidRPr="00DF005E">
        <w:t>31 to 24 per cent of enrolments.</w:t>
      </w:r>
    </w:p>
    <w:p w14:paraId="66743F1D" w14:textId="66571643" w:rsidR="00600B07" w:rsidRDefault="00600B07" w:rsidP="00600B07">
      <w:pPr>
        <w:pStyle w:val="Caption"/>
      </w:pPr>
      <w:bookmarkStart w:id="7" w:name="_Hlk534332137"/>
      <w:bookmarkStart w:id="8" w:name="_Ref17883108"/>
      <w:bookmarkStart w:id="9" w:name="_Ref17811344"/>
      <w:bookmarkStart w:id="10" w:name="_Toc18070225"/>
      <w:bookmarkEnd w:id="7"/>
      <w:r>
        <w:t xml:space="preserve">Figure </w:t>
      </w:r>
      <w:r>
        <w:rPr>
          <w:noProof/>
        </w:rPr>
        <w:fldChar w:fldCharType="begin"/>
      </w:r>
      <w:r>
        <w:rPr>
          <w:noProof/>
        </w:rPr>
        <w:instrText xml:space="preserve"> SEQ Figure \* ARABIC </w:instrText>
      </w:r>
      <w:r>
        <w:rPr>
          <w:noProof/>
        </w:rPr>
        <w:fldChar w:fldCharType="separate"/>
      </w:r>
      <w:r w:rsidR="002967AB">
        <w:rPr>
          <w:noProof/>
        </w:rPr>
        <w:t>1</w:t>
      </w:r>
      <w:r>
        <w:rPr>
          <w:noProof/>
        </w:rPr>
        <w:fldChar w:fldCharType="end"/>
      </w:r>
      <w:bookmarkEnd w:id="8"/>
      <w:r>
        <w:t>: Indigenous enrolments/proportion of all HDR domestic enrolments, 2006</w:t>
      </w:r>
      <w:r w:rsidRPr="00D16E15">
        <w:t>–</w:t>
      </w:r>
      <w:r>
        <w:t>17</w:t>
      </w:r>
      <w:bookmarkEnd w:id="9"/>
      <w:bookmarkEnd w:id="10"/>
    </w:p>
    <w:p w14:paraId="4571944F" w14:textId="523B4998" w:rsidR="00600B07" w:rsidRPr="00756121" w:rsidRDefault="00934F28" w:rsidP="00600B07">
      <w:r>
        <w:rPr>
          <w:noProof/>
          <w:lang w:eastAsia="en-AU"/>
        </w:rPr>
        <w:drawing>
          <wp:inline distT="0" distB="0" distL="0" distR="0" wp14:anchorId="52C18A5E" wp14:editId="3BEAD50C">
            <wp:extent cx="5486400" cy="3594019"/>
            <wp:effectExtent l="0" t="0" r="0" b="6985"/>
            <wp:docPr id="1" name="Picture 1" descr="From 2006 to 2017, Indigenous HDR student enrolments and their proportion of all domestic HDR student enrolments rose steadily. Indigenous enrolments started at 360 in 2006 and reached 590 in 2017 (just over one per cent of all domestic student enrolments).&#10;Note: figures are rounded to the nearest ten." title="Figure 1: Indigenous enrolments/proportion of all HDR domestic enrolment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3594019"/>
                    </a:xfrm>
                    <a:prstGeom prst="rect">
                      <a:avLst/>
                    </a:prstGeom>
                    <a:noFill/>
                  </pic:spPr>
                </pic:pic>
              </a:graphicData>
            </a:graphic>
          </wp:inline>
        </w:drawing>
      </w:r>
    </w:p>
    <w:p w14:paraId="29AC3C50" w14:textId="2B8D8C58" w:rsidR="006C675D" w:rsidRPr="00756121" w:rsidRDefault="00600B07" w:rsidP="006C675D">
      <w:pPr>
        <w:pStyle w:val="Caption"/>
      </w:pPr>
      <w:r>
        <w:br w:type="page"/>
      </w:r>
      <w:bookmarkStart w:id="11" w:name="_Ref17883135"/>
      <w:bookmarkStart w:id="12" w:name="_Ref17811411"/>
      <w:bookmarkStart w:id="13" w:name="_Toc18070226"/>
      <w:r w:rsidR="006C675D">
        <w:t xml:space="preserve">Figure </w:t>
      </w:r>
      <w:r w:rsidR="006C675D">
        <w:rPr>
          <w:noProof/>
        </w:rPr>
        <w:fldChar w:fldCharType="begin"/>
      </w:r>
      <w:r w:rsidR="006C675D">
        <w:rPr>
          <w:noProof/>
        </w:rPr>
        <w:instrText xml:space="preserve"> SEQ Figure \* ARABIC </w:instrText>
      </w:r>
      <w:r w:rsidR="006C675D">
        <w:rPr>
          <w:noProof/>
        </w:rPr>
        <w:fldChar w:fldCharType="separate"/>
      </w:r>
      <w:r w:rsidR="002967AB">
        <w:rPr>
          <w:noProof/>
        </w:rPr>
        <w:t>2</w:t>
      </w:r>
      <w:r w:rsidR="006C675D">
        <w:rPr>
          <w:noProof/>
        </w:rPr>
        <w:fldChar w:fldCharType="end"/>
      </w:r>
      <w:bookmarkEnd w:id="11"/>
      <w:r w:rsidR="006C675D">
        <w:t>: Indigenous HDR enrolments by type of attendance, 2006</w:t>
      </w:r>
      <w:r w:rsidR="006C675D" w:rsidRPr="00D16E15">
        <w:t>–</w:t>
      </w:r>
      <w:r w:rsidR="006C675D">
        <w:t>17</w:t>
      </w:r>
      <w:bookmarkEnd w:id="12"/>
      <w:bookmarkEnd w:id="13"/>
    </w:p>
    <w:p w14:paraId="4F92A3A6" w14:textId="367843FA" w:rsidR="006C675D" w:rsidRDefault="00934F28" w:rsidP="006C675D">
      <w:r>
        <w:rPr>
          <w:noProof/>
          <w:lang w:eastAsia="en-AU"/>
        </w:rPr>
        <w:drawing>
          <wp:inline distT="0" distB="0" distL="0" distR="0" wp14:anchorId="3ED4B107" wp14:editId="5E1DDD10">
            <wp:extent cx="5486400" cy="3604888"/>
            <wp:effectExtent l="0" t="0" r="0" b="0"/>
            <wp:docPr id="6" name="Picture 6" descr="From 2006 to 2013, Indigenous HDR enrolments were distributed roughly evenly between full-time and part-time. Between 2014 to 2017, the most growth was in full-time students (starting at 280 in 2014 and reaching 370 in 2017). From 2006 to 2017, the number of part-time students gradually increased from 170 in 2006 to 220 in 2017.&#10;Note: figures are rounded to the nearest ten." title="Figure 2: Indigenous HDR enrolments by type of attendance,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604888"/>
                    </a:xfrm>
                    <a:prstGeom prst="rect">
                      <a:avLst/>
                    </a:prstGeom>
                    <a:noFill/>
                  </pic:spPr>
                </pic:pic>
              </a:graphicData>
            </a:graphic>
          </wp:inline>
        </w:drawing>
      </w:r>
      <w:r w:rsidR="006C675D" w:rsidRPr="002364E4">
        <w:t xml:space="preserve"> </w:t>
      </w:r>
    </w:p>
    <w:p w14:paraId="479D084C" w14:textId="193B07D2" w:rsidR="0080050C" w:rsidRDefault="006C675D" w:rsidP="008125F6">
      <w:pPr>
        <w:pStyle w:val="Caption"/>
        <w:rPr>
          <w:b w:val="0"/>
        </w:rPr>
      </w:pPr>
      <w:r w:rsidRPr="008125F6">
        <w:rPr>
          <w:b w:val="0"/>
        </w:rPr>
        <w:t xml:space="preserve">Indigenous HDR commencements </w:t>
      </w:r>
      <w:r w:rsidR="002F4D80" w:rsidRPr="008125F6">
        <w:rPr>
          <w:b w:val="0"/>
        </w:rPr>
        <w:t>showed an overall increase between 2006 and 2017</w:t>
      </w:r>
      <w:r w:rsidRPr="008125F6">
        <w:rPr>
          <w:b w:val="0"/>
        </w:rPr>
        <w:t xml:space="preserve"> from a low of </w:t>
      </w:r>
      <w:r w:rsidRPr="006F6FED">
        <w:rPr>
          <w:b w:val="0"/>
        </w:rPr>
        <w:t>82 in 2013 to a high of 163 in 2017 (</w:t>
      </w:r>
      <w:r w:rsidR="006F6FED" w:rsidRPr="006F6FED">
        <w:rPr>
          <w:b w:val="0"/>
        </w:rPr>
        <w:fldChar w:fldCharType="begin"/>
      </w:r>
      <w:r w:rsidR="006F6FED" w:rsidRPr="006F6FED">
        <w:rPr>
          <w:b w:val="0"/>
        </w:rPr>
        <w:instrText xml:space="preserve"> REF _Ref18068139 \h  \* MERGEFORMAT </w:instrText>
      </w:r>
      <w:r w:rsidR="006F6FED" w:rsidRPr="006F6FED">
        <w:rPr>
          <w:b w:val="0"/>
        </w:rPr>
      </w:r>
      <w:r w:rsidR="006F6FED" w:rsidRPr="006F6FED">
        <w:rPr>
          <w:b w:val="0"/>
        </w:rPr>
        <w:fldChar w:fldCharType="separate"/>
      </w:r>
      <w:r w:rsidR="002967AB" w:rsidRPr="002967AB">
        <w:rPr>
          <w:b w:val="0"/>
        </w:rPr>
        <w:t xml:space="preserve">Figure </w:t>
      </w:r>
      <w:r w:rsidR="002967AB" w:rsidRPr="002967AB">
        <w:rPr>
          <w:b w:val="0"/>
          <w:noProof/>
        </w:rPr>
        <w:t>3</w:t>
      </w:r>
      <w:r w:rsidR="006F6FED" w:rsidRPr="006F6FED">
        <w:rPr>
          <w:b w:val="0"/>
        </w:rPr>
        <w:fldChar w:fldCharType="end"/>
      </w:r>
      <w:r w:rsidRPr="006F6FED">
        <w:rPr>
          <w:b w:val="0"/>
        </w:rPr>
        <w:t>). Among students commencing a doctorate, about half</w:t>
      </w:r>
      <w:r w:rsidRPr="008125F6">
        <w:rPr>
          <w:b w:val="0"/>
        </w:rPr>
        <w:t xml:space="preserve"> had completed a prior postgraduate course, while about a third had only completed a bachelor course. A small number of students had lower or incomplete qualifications prior to commencement.</w:t>
      </w:r>
    </w:p>
    <w:p w14:paraId="04EE71DA" w14:textId="62FB3EED" w:rsidR="0080050C" w:rsidRDefault="0080050C">
      <w:pPr>
        <w:rPr>
          <w:b/>
        </w:rPr>
      </w:pPr>
      <w:r>
        <w:rPr>
          <w:b/>
        </w:rPr>
        <w:br w:type="page"/>
      </w:r>
    </w:p>
    <w:p w14:paraId="580AF56D" w14:textId="091294C9" w:rsidR="00AD2F15" w:rsidRPr="00B121A4" w:rsidRDefault="00AD2F15" w:rsidP="00D03F29">
      <w:pPr>
        <w:pStyle w:val="Caption"/>
      </w:pPr>
      <w:bookmarkStart w:id="14" w:name="_Ref17883220"/>
      <w:bookmarkStart w:id="15" w:name="_Ref18068139"/>
      <w:bookmarkStart w:id="16" w:name="_Ref17811508"/>
      <w:bookmarkStart w:id="17" w:name="_Toc18070227"/>
      <w:r>
        <w:t xml:space="preserve">Figure </w:t>
      </w:r>
      <w:r>
        <w:rPr>
          <w:noProof/>
        </w:rPr>
        <w:fldChar w:fldCharType="begin"/>
      </w:r>
      <w:r>
        <w:rPr>
          <w:noProof/>
        </w:rPr>
        <w:instrText xml:space="preserve"> SEQ Figure \* ARABIC </w:instrText>
      </w:r>
      <w:r>
        <w:rPr>
          <w:noProof/>
        </w:rPr>
        <w:fldChar w:fldCharType="separate"/>
      </w:r>
      <w:r w:rsidR="002967AB">
        <w:rPr>
          <w:noProof/>
        </w:rPr>
        <w:t>3</w:t>
      </w:r>
      <w:r>
        <w:rPr>
          <w:noProof/>
        </w:rPr>
        <w:fldChar w:fldCharType="end"/>
      </w:r>
      <w:bookmarkEnd w:id="14"/>
      <w:bookmarkEnd w:id="15"/>
      <w:r>
        <w:t>: Indigenous HDR commencements/proportion of all HDR domestic commencements, 2006</w:t>
      </w:r>
      <w:r w:rsidRPr="00D16E15">
        <w:t>–</w:t>
      </w:r>
      <w:r>
        <w:t>17</w:t>
      </w:r>
      <w:bookmarkEnd w:id="16"/>
      <w:bookmarkEnd w:id="17"/>
    </w:p>
    <w:p w14:paraId="3C5C2BD6" w14:textId="4EFA7B0C" w:rsidR="0068534C" w:rsidRDefault="00934F28">
      <w:r>
        <w:rPr>
          <w:noProof/>
          <w:lang w:eastAsia="en-AU"/>
        </w:rPr>
        <w:drawing>
          <wp:inline distT="0" distB="0" distL="0" distR="0" wp14:anchorId="7A4F5EB6" wp14:editId="78C064FD">
            <wp:extent cx="5486400" cy="3601338"/>
            <wp:effectExtent l="0" t="0" r="0" b="0"/>
            <wp:docPr id="24" name="Picture 24" descr="Between 2006 and 2017, Indigenous HDR commencements showed an overall increase from a low of 82 in 2013 to 163 in 2017. The Indigenous proportion of all HDR domestic commencements increased from one per cent in 2006 to two per cent in 2017." title="Figure 3: Indigenous HDR commencements/proportion of all HDR domestic commencement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3601338"/>
                    </a:xfrm>
                    <a:prstGeom prst="rect">
                      <a:avLst/>
                    </a:prstGeom>
                    <a:noFill/>
                  </pic:spPr>
                </pic:pic>
              </a:graphicData>
            </a:graphic>
          </wp:inline>
        </w:drawing>
      </w:r>
    </w:p>
    <w:p w14:paraId="0550EBD1" w14:textId="160D1F7E" w:rsidR="00173880" w:rsidRPr="009D2506" w:rsidRDefault="007706AF" w:rsidP="006533FE">
      <w:pPr>
        <w:rPr>
          <w:rFonts w:ascii="Calibri" w:eastAsiaTheme="majorEastAsia" w:hAnsi="Calibri" w:cstheme="majorBidi"/>
          <w:b/>
          <w:bCs/>
          <w:iCs/>
        </w:rPr>
      </w:pPr>
      <w:r>
        <w:t xml:space="preserve">Completion </w:t>
      </w:r>
      <w:r w:rsidR="00663764">
        <w:t>numbers</w:t>
      </w:r>
      <w:r>
        <w:t xml:space="preserve"> for Indigenous HDR students showed no clear </w:t>
      </w:r>
      <w:r w:rsidR="00663764">
        <w:t>pattern</w:t>
      </w:r>
      <w:r>
        <w:t xml:space="preserve"> </w:t>
      </w:r>
      <w:r w:rsidR="005D0AF2">
        <w:t>between</w:t>
      </w:r>
      <w:r>
        <w:t xml:space="preserve"> 2006</w:t>
      </w:r>
      <w:r w:rsidR="005D0AF2">
        <w:t xml:space="preserve"> and 20</w:t>
      </w:r>
      <w:r>
        <w:t xml:space="preserve">14, but markedly increased </w:t>
      </w:r>
      <w:r w:rsidR="000D2033">
        <w:t>after 2014 (</w:t>
      </w:r>
      <w:r w:rsidR="008125F6">
        <w:fldChar w:fldCharType="begin"/>
      </w:r>
      <w:r w:rsidR="008125F6">
        <w:instrText xml:space="preserve"> REF _Ref17968286 \h </w:instrText>
      </w:r>
      <w:r w:rsidR="008125F6">
        <w:fldChar w:fldCharType="separate"/>
      </w:r>
      <w:r w:rsidR="002967AB">
        <w:t xml:space="preserve">Figure </w:t>
      </w:r>
      <w:r w:rsidR="002967AB">
        <w:rPr>
          <w:noProof/>
        </w:rPr>
        <w:t>4</w:t>
      </w:r>
      <w:r w:rsidR="008125F6">
        <w:fldChar w:fldCharType="end"/>
      </w:r>
      <w:r w:rsidR="000D2033">
        <w:t>)</w:t>
      </w:r>
      <w:r>
        <w:t xml:space="preserve">. </w:t>
      </w:r>
      <w:r w:rsidR="008823F3">
        <w:t xml:space="preserve">While the cause of the </w:t>
      </w:r>
      <w:r w:rsidR="0092204C">
        <w:t xml:space="preserve">post </w:t>
      </w:r>
      <w:r w:rsidR="008823F3">
        <w:t xml:space="preserve">2014 increase is unclear, </w:t>
      </w:r>
      <w:r w:rsidR="006533FE">
        <w:t>research suggests that</w:t>
      </w:r>
      <w:r w:rsidR="00037F98">
        <w:t xml:space="preserve"> the following factors</w:t>
      </w:r>
      <w:r w:rsidR="005D0AF2">
        <w:t xml:space="preserve"> </w:t>
      </w:r>
      <w:r w:rsidR="006533FE">
        <w:t>can influence the completion rates of Indigenous HDR students</w:t>
      </w:r>
      <w:r w:rsidR="00173880">
        <w:t>:</w:t>
      </w:r>
    </w:p>
    <w:p w14:paraId="7EBF4125" w14:textId="599C1D49" w:rsidR="00173880" w:rsidRDefault="00173880" w:rsidP="00173880">
      <w:pPr>
        <w:pStyle w:val="ListParagraph"/>
        <w:numPr>
          <w:ilvl w:val="0"/>
          <w:numId w:val="25"/>
        </w:numPr>
      </w:pPr>
      <w:r>
        <w:t xml:space="preserve">the </w:t>
      </w:r>
      <w:r w:rsidR="006533FE">
        <w:t>quality of the s</w:t>
      </w:r>
      <w:r w:rsidR="008232C1">
        <w:t>tudent-supervisor relationship</w:t>
      </w:r>
    </w:p>
    <w:p w14:paraId="72CC72DA" w14:textId="5A725B9B" w:rsidR="00173880" w:rsidRDefault="00756121" w:rsidP="00173880">
      <w:pPr>
        <w:pStyle w:val="ListParagraph"/>
        <w:numPr>
          <w:ilvl w:val="0"/>
          <w:numId w:val="25"/>
        </w:numPr>
      </w:pPr>
      <w:r>
        <w:t>the involvement of</w:t>
      </w:r>
      <w:r w:rsidR="006533FE">
        <w:t xml:space="preserve"> members of the Indigenous commu</w:t>
      </w:r>
      <w:r w:rsidR="008232C1">
        <w:t>nity in the supervisory process</w:t>
      </w:r>
    </w:p>
    <w:p w14:paraId="22996F11" w14:textId="0B3EAF4B" w:rsidR="00173880" w:rsidRDefault="006533FE" w:rsidP="00173880">
      <w:pPr>
        <w:pStyle w:val="ListParagraph"/>
        <w:numPr>
          <w:ilvl w:val="0"/>
          <w:numId w:val="25"/>
        </w:numPr>
      </w:pPr>
      <w:r>
        <w:t>the availability and provision of academic and non-a</w:t>
      </w:r>
      <w:r w:rsidR="008232C1">
        <w:t>cademic support by universities</w:t>
      </w:r>
    </w:p>
    <w:p w14:paraId="30E5F75C" w14:textId="77777777" w:rsidR="00173880" w:rsidRDefault="00756121" w:rsidP="00173880">
      <w:pPr>
        <w:pStyle w:val="ListParagraph"/>
        <w:numPr>
          <w:ilvl w:val="0"/>
          <w:numId w:val="25"/>
        </w:numPr>
      </w:pPr>
      <w:r>
        <w:t xml:space="preserve">access to </w:t>
      </w:r>
      <w:r w:rsidR="006533FE">
        <w:t xml:space="preserve">appropriate financial assistance, and </w:t>
      </w:r>
    </w:p>
    <w:p w14:paraId="62DFADCD" w14:textId="7F74F2DF" w:rsidR="0080050C" w:rsidRDefault="00A2141C" w:rsidP="002C12FD">
      <w:pPr>
        <w:pStyle w:val="ListParagraph"/>
        <w:numPr>
          <w:ilvl w:val="0"/>
          <w:numId w:val="25"/>
        </w:numPr>
      </w:pPr>
      <w:r>
        <w:t>the ability to overcome feelings</w:t>
      </w:r>
      <w:r w:rsidR="006533FE">
        <w:t xml:space="preserve"> of social and cultural isolation within the university environment.</w:t>
      </w:r>
      <w:r w:rsidR="006533FE">
        <w:rPr>
          <w:rStyle w:val="FootnoteReference"/>
        </w:rPr>
        <w:footnoteReference w:id="1"/>
      </w:r>
    </w:p>
    <w:p w14:paraId="62AF7052" w14:textId="7C607EA4" w:rsidR="0080050C" w:rsidRDefault="0080050C">
      <w:r>
        <w:br w:type="page"/>
      </w:r>
    </w:p>
    <w:p w14:paraId="47891B91" w14:textId="690CFBBE" w:rsidR="00AD2F15" w:rsidRDefault="00AD2F15" w:rsidP="00D03F29">
      <w:pPr>
        <w:pStyle w:val="Caption"/>
      </w:pPr>
      <w:bookmarkStart w:id="18" w:name="_Ref17882940"/>
      <w:bookmarkStart w:id="19" w:name="_Ref17968286"/>
      <w:bookmarkStart w:id="20" w:name="_Ref17812867"/>
      <w:bookmarkStart w:id="21" w:name="_Toc18070228"/>
      <w:r>
        <w:t xml:space="preserve">Figure </w:t>
      </w:r>
      <w:r>
        <w:rPr>
          <w:b w:val="0"/>
          <w:bCs w:val="0"/>
          <w:iCs w:val="0"/>
          <w:noProof/>
        </w:rPr>
        <w:fldChar w:fldCharType="begin"/>
      </w:r>
      <w:r>
        <w:rPr>
          <w:noProof/>
        </w:rPr>
        <w:instrText xml:space="preserve"> SEQ Figure \* ARABIC </w:instrText>
      </w:r>
      <w:r>
        <w:rPr>
          <w:b w:val="0"/>
          <w:bCs w:val="0"/>
          <w:iCs w:val="0"/>
          <w:noProof/>
        </w:rPr>
        <w:fldChar w:fldCharType="separate"/>
      </w:r>
      <w:r w:rsidR="002967AB">
        <w:rPr>
          <w:noProof/>
        </w:rPr>
        <w:t>4</w:t>
      </w:r>
      <w:r>
        <w:rPr>
          <w:b w:val="0"/>
          <w:bCs w:val="0"/>
          <w:iCs w:val="0"/>
          <w:noProof/>
        </w:rPr>
        <w:fldChar w:fldCharType="end"/>
      </w:r>
      <w:bookmarkEnd w:id="18"/>
      <w:bookmarkEnd w:id="19"/>
      <w:r>
        <w:t>: Indigenous HDR completions/proportion of all HDR domestic completions, 2006</w:t>
      </w:r>
      <w:r w:rsidRPr="00D16E15">
        <w:t>–</w:t>
      </w:r>
      <w:r>
        <w:t>17</w:t>
      </w:r>
      <w:bookmarkEnd w:id="20"/>
      <w:bookmarkEnd w:id="21"/>
    </w:p>
    <w:p w14:paraId="4C70FA07" w14:textId="11226828" w:rsidR="003D062A" w:rsidRDefault="00934F28" w:rsidP="003D062A">
      <w:r>
        <w:rPr>
          <w:noProof/>
          <w:lang w:eastAsia="en-AU"/>
        </w:rPr>
        <w:drawing>
          <wp:inline distT="0" distB="0" distL="0" distR="0" wp14:anchorId="70028D43" wp14:editId="4FC96DF3">
            <wp:extent cx="5486400" cy="3601141"/>
            <wp:effectExtent l="0" t="0" r="0" b="0"/>
            <wp:docPr id="23" name="Picture 23" descr="From 2006 to 2014, Indigenous HDR completions showed no clear pattern, starting at a base of 33 in 2006, rising to a peak of 43 in 2010, then falling to 34 in 2014. However, Indigenous completions significantly increased from 2014 to 2017, rising to a peak of 62 in 2016. As a proportion of all domestic HDR completions, Indigenous completions rose from a base of &#10;0.6 per cent in 2006 to a peak of &#10;0.9 per cent in 2016." title="Figure 4: Indigenous HDR completions/proportion of all HDR domestic completion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86400" cy="3601141"/>
                    </a:xfrm>
                    <a:prstGeom prst="rect">
                      <a:avLst/>
                    </a:prstGeom>
                    <a:noFill/>
                  </pic:spPr>
                </pic:pic>
              </a:graphicData>
            </a:graphic>
          </wp:inline>
        </w:drawing>
      </w:r>
    </w:p>
    <w:p w14:paraId="0FFBA8D8" w14:textId="0D38EAA8" w:rsidR="002C12FD" w:rsidRDefault="00FC5741" w:rsidP="003D062A">
      <w:r>
        <w:t xml:space="preserve">The </w:t>
      </w:r>
      <w:r w:rsidR="00A93263">
        <w:t>A</w:t>
      </w:r>
      <w:r>
        <w:t xml:space="preserve">COLA </w:t>
      </w:r>
      <w:r>
        <w:rPr>
          <w:i/>
        </w:rPr>
        <w:t>Review of Research Training</w:t>
      </w:r>
      <w:r>
        <w:t xml:space="preserve"> noted that, in data to 2014, there was an ongoing and widening gap between Indigenous HDR commencements and completions.</w:t>
      </w:r>
      <w:r>
        <w:rPr>
          <w:rStyle w:val="FootnoteReference"/>
        </w:rPr>
        <w:footnoteReference w:id="2"/>
      </w:r>
      <w:r>
        <w:t xml:space="preserve"> Data to 2017 shows that the gap still exists, and </w:t>
      </w:r>
      <w:r w:rsidR="009F4829">
        <w:t xml:space="preserve">the impact of </w:t>
      </w:r>
      <w:r>
        <w:t>recent commencement rate</w:t>
      </w:r>
      <w:r w:rsidR="009F4829">
        <w:t xml:space="preserve"> growth</w:t>
      </w:r>
      <w:r>
        <w:t xml:space="preserve"> </w:t>
      </w:r>
      <w:r w:rsidR="009F4829">
        <w:t>on</w:t>
      </w:r>
      <w:r>
        <w:t xml:space="preserve"> completion rates</w:t>
      </w:r>
      <w:r w:rsidR="009F4829">
        <w:t xml:space="preserve"> is as yet unclear</w:t>
      </w:r>
      <w:r>
        <w:t xml:space="preserve"> (</w:t>
      </w:r>
      <w:r w:rsidR="0092204C">
        <w:fldChar w:fldCharType="begin"/>
      </w:r>
      <w:r w:rsidR="0092204C">
        <w:instrText xml:space="preserve"> REF _Ref17883381 \h </w:instrText>
      </w:r>
      <w:r w:rsidR="0092204C">
        <w:fldChar w:fldCharType="separate"/>
      </w:r>
      <w:r w:rsidR="002967AB">
        <w:t xml:space="preserve">Figure </w:t>
      </w:r>
      <w:r w:rsidR="002967AB">
        <w:rPr>
          <w:noProof/>
        </w:rPr>
        <w:t>5</w:t>
      </w:r>
      <w:r w:rsidR="0092204C">
        <w:fldChar w:fldCharType="end"/>
      </w:r>
      <w:r>
        <w:t>).</w:t>
      </w:r>
      <w:r w:rsidR="008E5045">
        <w:t xml:space="preserve"> </w:t>
      </w:r>
      <w:r w:rsidR="00037F98">
        <w:t xml:space="preserve">Due to the time lag between </w:t>
      </w:r>
      <w:r w:rsidR="00D93F43">
        <w:t xml:space="preserve">student </w:t>
      </w:r>
      <w:r w:rsidR="00037F98">
        <w:t>commencement and completion</w:t>
      </w:r>
      <w:r w:rsidR="00D93F43">
        <w:t xml:space="preserve">, it is unlikely to see increased Indigenous commencement rates reflected in completion rates for a number of years. </w:t>
      </w:r>
      <w:r w:rsidR="009D1B67">
        <w:t>For more data on completion rates</w:t>
      </w:r>
      <w:r w:rsidR="00D93F43">
        <w:t xml:space="preserve"> and time completion patterns</w:t>
      </w:r>
      <w:r w:rsidR="009D1B67">
        <w:t>, see the Cohort Analysis section</w:t>
      </w:r>
      <w:r w:rsidR="008F7602">
        <w:t xml:space="preserve"> </w:t>
      </w:r>
      <w:r w:rsidR="0092204C">
        <w:t xml:space="preserve">at the end of </w:t>
      </w:r>
      <w:r w:rsidR="008F7602">
        <w:t>this report</w:t>
      </w:r>
      <w:r w:rsidR="009D1B67">
        <w:t>.</w:t>
      </w:r>
    </w:p>
    <w:p w14:paraId="2C8DF97F" w14:textId="1442B1E7" w:rsidR="00AD2F15" w:rsidRDefault="002C12FD" w:rsidP="003D062A">
      <w:r>
        <w:br w:type="page"/>
      </w:r>
    </w:p>
    <w:p w14:paraId="414E5015" w14:textId="756950BD" w:rsidR="006C675D" w:rsidRPr="00FC5741" w:rsidRDefault="00AD2F15" w:rsidP="00D03F29">
      <w:pPr>
        <w:pStyle w:val="Caption"/>
        <w:keepNext/>
      </w:pPr>
      <w:bookmarkStart w:id="22" w:name="_Ref17883381"/>
      <w:bookmarkStart w:id="23" w:name="_Ref17812915"/>
      <w:bookmarkStart w:id="24" w:name="_Toc18070229"/>
      <w:r>
        <w:t xml:space="preserve">Figure </w:t>
      </w:r>
      <w:bookmarkStart w:id="25" w:name="_Hlt17811914"/>
      <w:r>
        <w:rPr>
          <w:b w:val="0"/>
          <w:bCs w:val="0"/>
          <w:iCs w:val="0"/>
          <w:noProof/>
        </w:rPr>
        <w:fldChar w:fldCharType="begin"/>
      </w:r>
      <w:r>
        <w:rPr>
          <w:noProof/>
        </w:rPr>
        <w:instrText xml:space="preserve"> SEQ Figure \* ARABIC </w:instrText>
      </w:r>
      <w:r>
        <w:rPr>
          <w:b w:val="0"/>
          <w:bCs w:val="0"/>
          <w:iCs w:val="0"/>
          <w:noProof/>
        </w:rPr>
        <w:fldChar w:fldCharType="separate"/>
      </w:r>
      <w:r w:rsidR="002967AB">
        <w:rPr>
          <w:noProof/>
        </w:rPr>
        <w:t>5</w:t>
      </w:r>
      <w:r>
        <w:rPr>
          <w:b w:val="0"/>
          <w:bCs w:val="0"/>
          <w:iCs w:val="0"/>
          <w:noProof/>
        </w:rPr>
        <w:fldChar w:fldCharType="end"/>
      </w:r>
      <w:bookmarkEnd w:id="22"/>
      <w:bookmarkEnd w:id="25"/>
      <w:r>
        <w:t>: Indigenous HDR candidates as a proportion of all domestic HDR commencements and completions, 2006</w:t>
      </w:r>
      <w:r w:rsidRPr="00D16E15">
        <w:t>–</w:t>
      </w:r>
      <w:r>
        <w:t>17</w:t>
      </w:r>
      <w:bookmarkEnd w:id="23"/>
      <w:bookmarkEnd w:id="24"/>
    </w:p>
    <w:p w14:paraId="62184525" w14:textId="081C94F8" w:rsidR="00AD2F15" w:rsidRPr="008125F6" w:rsidRDefault="00934F28" w:rsidP="003D062A">
      <w:r w:rsidRPr="008125F6">
        <w:rPr>
          <w:noProof/>
          <w:lang w:eastAsia="en-AU"/>
        </w:rPr>
        <w:drawing>
          <wp:inline distT="0" distB="0" distL="0" distR="0" wp14:anchorId="4B8B95E1" wp14:editId="078FD12D">
            <wp:extent cx="5486400" cy="3602428"/>
            <wp:effectExtent l="0" t="0" r="0" b="0"/>
            <wp:docPr id="2" name="Picture 2" descr="From 2006 to 2017, there was a significant gap between Indigenous HDR commencements and completions. As a proportion of all HDR commencements and completions,Indigenous commencements started at one per cent in 2006 and reached 1.8 per cent in 2017. Indigenous completions increased from 0.6 per cent in 2006 to a peak of 0.9 per cent of all domestic completions in 2016." title="Figure 5: Indigenous HDR candidates as a proportion of all domestic HDR commencements and completion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86400" cy="3602428"/>
                    </a:xfrm>
                    <a:prstGeom prst="rect">
                      <a:avLst/>
                    </a:prstGeom>
                    <a:noFill/>
                  </pic:spPr>
                </pic:pic>
              </a:graphicData>
            </a:graphic>
          </wp:inline>
        </w:drawing>
      </w:r>
    </w:p>
    <w:p w14:paraId="19C51517" w14:textId="3713FD27" w:rsidR="002C12FD" w:rsidRDefault="0092204C" w:rsidP="008125F6">
      <w:pPr>
        <w:pStyle w:val="Caption"/>
        <w:rPr>
          <w:b w:val="0"/>
        </w:rPr>
      </w:pPr>
      <w:r w:rsidRPr="008125F6">
        <w:rPr>
          <w:b w:val="0"/>
        </w:rPr>
        <w:t xml:space="preserve">As in </w:t>
      </w:r>
      <w:r w:rsidR="00934F28" w:rsidRPr="008125F6">
        <w:rPr>
          <w:b w:val="0"/>
        </w:rPr>
        <w:t xml:space="preserve">the </w:t>
      </w:r>
      <w:r w:rsidR="00FC2AA4" w:rsidRPr="008125F6">
        <w:rPr>
          <w:b w:val="0"/>
        </w:rPr>
        <w:t xml:space="preserve">overall domestic HDR population, women make up the majority of Indigenous HDR enrolments, however this gender disparity is more pronounced in Indigenous HDR enrolments. From 2006 to 2017, Indigenous women comprised between 58 per cent and 66 per cent </w:t>
      </w:r>
      <w:r w:rsidRPr="008125F6">
        <w:rPr>
          <w:b w:val="0"/>
        </w:rPr>
        <w:t>of total Indigenous enrolments (</w:t>
      </w:r>
      <w:r w:rsidR="00962C6A" w:rsidRPr="006F6FED">
        <w:rPr>
          <w:b w:val="0"/>
        </w:rPr>
        <w:fldChar w:fldCharType="begin"/>
      </w:r>
      <w:r w:rsidR="00962C6A" w:rsidRPr="006F6FED">
        <w:rPr>
          <w:b w:val="0"/>
        </w:rPr>
        <w:instrText xml:space="preserve"> REF _Ref17968482 \h </w:instrText>
      </w:r>
      <w:r w:rsidR="006F6FED" w:rsidRPr="006F6FED">
        <w:rPr>
          <w:b w:val="0"/>
        </w:rPr>
        <w:instrText xml:space="preserve"> \* MERGEFORMAT </w:instrText>
      </w:r>
      <w:r w:rsidR="00962C6A" w:rsidRPr="006F6FED">
        <w:rPr>
          <w:b w:val="0"/>
        </w:rPr>
      </w:r>
      <w:r w:rsidR="00962C6A" w:rsidRPr="006F6FED">
        <w:rPr>
          <w:b w:val="0"/>
        </w:rPr>
        <w:fldChar w:fldCharType="separate"/>
      </w:r>
      <w:r w:rsidR="002967AB" w:rsidRPr="002967AB">
        <w:rPr>
          <w:b w:val="0"/>
        </w:rPr>
        <w:t xml:space="preserve">Figure </w:t>
      </w:r>
      <w:r w:rsidR="002967AB" w:rsidRPr="002967AB">
        <w:rPr>
          <w:b w:val="0"/>
          <w:noProof/>
        </w:rPr>
        <w:t>6</w:t>
      </w:r>
      <w:r w:rsidR="00962C6A" w:rsidRPr="006F6FED">
        <w:rPr>
          <w:b w:val="0"/>
        </w:rPr>
        <w:fldChar w:fldCharType="end"/>
      </w:r>
      <w:r w:rsidR="00FC2AA4" w:rsidRPr="008125F6">
        <w:rPr>
          <w:b w:val="0"/>
        </w:rPr>
        <w:t>), whereas women made up 53 to 54 per cent of total domestic enrolments.</w:t>
      </w:r>
    </w:p>
    <w:p w14:paraId="46925749" w14:textId="6339FA9F" w:rsidR="00AD2F15" w:rsidRDefault="002C12FD" w:rsidP="00D03F29">
      <w:pPr>
        <w:pStyle w:val="Caption"/>
      </w:pPr>
      <w:r>
        <w:rPr>
          <w:b w:val="0"/>
        </w:rPr>
        <w:br w:type="page"/>
      </w:r>
      <w:bookmarkStart w:id="26" w:name="_Ref17883483"/>
      <w:bookmarkStart w:id="27" w:name="_Ref17968482"/>
      <w:bookmarkStart w:id="28" w:name="_Ref17814118"/>
      <w:bookmarkStart w:id="29" w:name="_Toc18070230"/>
      <w:r w:rsidR="00AD2F15">
        <w:t xml:space="preserve">Figure </w:t>
      </w:r>
      <w:bookmarkStart w:id="30" w:name="_Hlt17811960"/>
      <w:r w:rsidR="00AD2F15">
        <w:rPr>
          <w:b w:val="0"/>
          <w:bCs w:val="0"/>
          <w:iCs w:val="0"/>
          <w:noProof/>
        </w:rPr>
        <w:fldChar w:fldCharType="begin"/>
      </w:r>
      <w:r w:rsidR="00AD2F15">
        <w:rPr>
          <w:noProof/>
        </w:rPr>
        <w:instrText xml:space="preserve"> SEQ Figure \* ARABIC </w:instrText>
      </w:r>
      <w:r w:rsidR="00AD2F15">
        <w:rPr>
          <w:b w:val="0"/>
          <w:bCs w:val="0"/>
          <w:iCs w:val="0"/>
          <w:noProof/>
        </w:rPr>
        <w:fldChar w:fldCharType="separate"/>
      </w:r>
      <w:r w:rsidR="002967AB">
        <w:rPr>
          <w:noProof/>
        </w:rPr>
        <w:t>6</w:t>
      </w:r>
      <w:r w:rsidR="00AD2F15">
        <w:rPr>
          <w:b w:val="0"/>
          <w:bCs w:val="0"/>
          <w:iCs w:val="0"/>
          <w:noProof/>
        </w:rPr>
        <w:fldChar w:fldCharType="end"/>
      </w:r>
      <w:bookmarkEnd w:id="26"/>
      <w:bookmarkEnd w:id="27"/>
      <w:bookmarkEnd w:id="30"/>
      <w:r w:rsidR="00AD2F15">
        <w:t>: Indigenous HDR enrolments by gender, 2006</w:t>
      </w:r>
      <w:r w:rsidR="00AD2F15" w:rsidRPr="00D16E15">
        <w:t>–</w:t>
      </w:r>
      <w:r w:rsidR="00AD2F15">
        <w:t>17</w:t>
      </w:r>
      <w:bookmarkEnd w:id="28"/>
      <w:bookmarkEnd w:id="29"/>
    </w:p>
    <w:p w14:paraId="79C76869" w14:textId="789E3858" w:rsidR="006C675D" w:rsidRDefault="00934F28" w:rsidP="003D062A">
      <w:r>
        <w:rPr>
          <w:noProof/>
          <w:lang w:eastAsia="en-AU"/>
        </w:rPr>
        <w:drawing>
          <wp:inline distT="0" distB="0" distL="0" distR="0" wp14:anchorId="68E46DA5" wp14:editId="000D4005">
            <wp:extent cx="5486400" cy="3594019"/>
            <wp:effectExtent l="0" t="0" r="0" b="6985"/>
            <wp:docPr id="26" name="Picture 26" descr="From 2006 to 2017, women were the majority of Indigenous HDR enrolments, comprising between 58 per cent and 66 per cent of total Indigenous enrolments across this period. HDR enrolments for Indigenous males steadily increased from 139 in 2006 to 228 in 2017." title="Figure 6: Indigenous HDR enrolments by gender,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594019"/>
                    </a:xfrm>
                    <a:prstGeom prst="rect">
                      <a:avLst/>
                    </a:prstGeom>
                    <a:noFill/>
                  </pic:spPr>
                </pic:pic>
              </a:graphicData>
            </a:graphic>
          </wp:inline>
        </w:drawing>
      </w:r>
    </w:p>
    <w:p w14:paraId="6C83077C" w14:textId="5F371138" w:rsidR="002C12FD" w:rsidRDefault="00FC2AA4" w:rsidP="0068534C">
      <w:r>
        <w:t>Enrolling Indigenous HDR students were markedly older than non-Indigenous domestic HDR students. In 2017, 40 per cent of Indigenous HDR students were under 40 years of age, compared to 64 per cent of non-Indigenous students. Students under 30</w:t>
      </w:r>
      <w:r w:rsidR="00934F28">
        <w:t xml:space="preserve"> years of age</w:t>
      </w:r>
      <w:r>
        <w:t xml:space="preserve"> comprised only 17 per cent of Indigenous HDR enrolments, compared with 34 per cen</w:t>
      </w:r>
      <w:r w:rsidR="0092204C">
        <w:t>t of non-Indigenous enrolments (</w:t>
      </w:r>
      <w:r w:rsidR="0092204C">
        <w:fldChar w:fldCharType="begin"/>
      </w:r>
      <w:r w:rsidR="0092204C">
        <w:instrText xml:space="preserve"> REF _Ref17883549 \h </w:instrText>
      </w:r>
      <w:r w:rsidR="0092204C">
        <w:fldChar w:fldCharType="separate"/>
      </w:r>
      <w:r w:rsidR="002967AB">
        <w:t xml:space="preserve">Figure </w:t>
      </w:r>
      <w:r w:rsidR="002967AB">
        <w:rPr>
          <w:noProof/>
        </w:rPr>
        <w:t>7</w:t>
      </w:r>
      <w:r w:rsidR="0092204C">
        <w:fldChar w:fldCharType="end"/>
      </w:r>
      <w:r>
        <w:t xml:space="preserve">). </w:t>
      </w:r>
      <w:r w:rsidRPr="00566F0F">
        <w:t>This</w:t>
      </w:r>
      <w:r w:rsidRPr="00197F2A">
        <w:t xml:space="preserve"> age distribution is </w:t>
      </w:r>
      <w:r>
        <w:t xml:space="preserve">particularly </w:t>
      </w:r>
      <w:r w:rsidRPr="00566F0F">
        <w:t xml:space="preserve">notable </w:t>
      </w:r>
      <w:r w:rsidRPr="00197F2A">
        <w:t>given</w:t>
      </w:r>
      <w:r w:rsidRPr="00566F0F">
        <w:t xml:space="preserve"> </w:t>
      </w:r>
      <w:r w:rsidRPr="00197F2A">
        <w:t>the</w:t>
      </w:r>
      <w:r w:rsidRPr="00566F0F">
        <w:t xml:space="preserve"> </w:t>
      </w:r>
      <w:r>
        <w:t>Indigenous population</w:t>
      </w:r>
      <w:r w:rsidRPr="00197F2A">
        <w:t xml:space="preserve"> is substantially younger than </w:t>
      </w:r>
      <w:r>
        <w:t xml:space="preserve">the </w:t>
      </w:r>
      <w:r w:rsidRPr="00197F2A">
        <w:t xml:space="preserve">non-Indigenous population, with </w:t>
      </w:r>
      <w:r w:rsidRPr="00566F0F">
        <w:t>a median age of</w:t>
      </w:r>
      <w:r w:rsidRPr="00566F0F">
        <w:rPr>
          <w:color w:val="FF0000"/>
        </w:rPr>
        <w:t xml:space="preserve"> </w:t>
      </w:r>
      <w:r w:rsidRPr="00566F0F">
        <w:t>23 years</w:t>
      </w:r>
      <w:r w:rsidRPr="00197F2A">
        <w:t xml:space="preserve"> in 2016</w:t>
      </w:r>
      <w:r w:rsidRPr="00566F0F">
        <w:t>, compared to 37.8 years for the non-Indigenous population</w:t>
      </w:r>
      <w:r w:rsidRPr="00197F2A">
        <w:t>.</w:t>
      </w:r>
      <w:r w:rsidRPr="00197F2A">
        <w:rPr>
          <w:rStyle w:val="FootnoteReference"/>
        </w:rPr>
        <w:footnoteReference w:id="3"/>
      </w:r>
    </w:p>
    <w:p w14:paraId="61F9A9EF" w14:textId="50DBB7B5" w:rsidR="00145958" w:rsidRDefault="002C12FD" w:rsidP="00934F28">
      <w:pPr>
        <w:pStyle w:val="Caption"/>
      </w:pPr>
      <w:r>
        <w:br w:type="page"/>
      </w:r>
      <w:bookmarkStart w:id="31" w:name="_Ref17883549"/>
      <w:bookmarkStart w:id="32" w:name="_Ref17814169"/>
      <w:bookmarkStart w:id="33" w:name="_Toc18070231"/>
      <w:r w:rsidR="00AD2F15">
        <w:t xml:space="preserve">Figure </w:t>
      </w:r>
      <w:r w:rsidR="00AD2F15">
        <w:rPr>
          <w:b w:val="0"/>
          <w:bCs w:val="0"/>
          <w:iCs w:val="0"/>
          <w:noProof/>
        </w:rPr>
        <w:fldChar w:fldCharType="begin"/>
      </w:r>
      <w:r w:rsidR="00AD2F15">
        <w:rPr>
          <w:noProof/>
        </w:rPr>
        <w:instrText xml:space="preserve"> SEQ Figure \* ARABIC </w:instrText>
      </w:r>
      <w:r w:rsidR="00AD2F15">
        <w:rPr>
          <w:b w:val="0"/>
          <w:bCs w:val="0"/>
          <w:iCs w:val="0"/>
          <w:noProof/>
        </w:rPr>
        <w:fldChar w:fldCharType="separate"/>
      </w:r>
      <w:r w:rsidR="002967AB">
        <w:rPr>
          <w:noProof/>
        </w:rPr>
        <w:t>7</w:t>
      </w:r>
      <w:r w:rsidR="00AD2F15">
        <w:rPr>
          <w:b w:val="0"/>
          <w:bCs w:val="0"/>
          <w:iCs w:val="0"/>
          <w:noProof/>
        </w:rPr>
        <w:fldChar w:fldCharType="end"/>
      </w:r>
      <w:bookmarkEnd w:id="31"/>
      <w:r w:rsidR="00AD2F15">
        <w:t>: Proportion of HDR domestic student enrolments by age bracket and Indigenous status, 2017</w:t>
      </w:r>
      <w:bookmarkEnd w:id="32"/>
      <w:bookmarkEnd w:id="33"/>
    </w:p>
    <w:p w14:paraId="28B120C7" w14:textId="14DF9F94" w:rsidR="006C675D" w:rsidRDefault="00934F28" w:rsidP="00934F28">
      <w:pPr>
        <w:pStyle w:val="Caption"/>
      </w:pPr>
      <w:r>
        <w:rPr>
          <w:noProof/>
          <w:lang w:eastAsia="en-AU"/>
        </w:rPr>
        <w:drawing>
          <wp:inline distT="0" distB="0" distL="0" distR="0" wp14:anchorId="466DB83E" wp14:editId="0CF1EBD3">
            <wp:extent cx="5486400" cy="3601141"/>
            <wp:effectExtent l="0" t="0" r="0" b="0"/>
            <wp:docPr id="8" name="Picture 8" descr="In 2017, the majority of Indigenous HDR domestic enrolments were students aged 45 years or older &#10;(48 per cent), compared with only &#10;26 per cent of non-Indigenous students the same age. Only 17 per cent of Indigenous HDR students were aged 29 years or younger, compared with 34 per cent of non-Indigenous enrolments." title="Figure 7: Proportion of HDR domestic student enrolments by age bracket and Indigenous statu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601141"/>
                    </a:xfrm>
                    <a:prstGeom prst="rect">
                      <a:avLst/>
                    </a:prstGeom>
                    <a:noFill/>
                  </pic:spPr>
                </pic:pic>
              </a:graphicData>
            </a:graphic>
          </wp:inline>
        </w:drawing>
      </w:r>
    </w:p>
    <w:p w14:paraId="3FE61C0E" w14:textId="4794DF50" w:rsidR="002C12FD" w:rsidRDefault="006C675D" w:rsidP="00934F28">
      <w:r>
        <w:t>Between 2006 and 2007, 40 to 49 was the most common age group for Indigenous HDR student enrolments, followed by 30 to 39 and 50 to 59. Over this time, the proportion of Indigenous HDR enrolments by students below 30 and over 60 both increased (</w:t>
      </w:r>
      <w:r w:rsidR="0092204C">
        <w:fldChar w:fldCharType="begin"/>
      </w:r>
      <w:r w:rsidR="0092204C">
        <w:instrText xml:space="preserve"> REF _Ref17883592 \h </w:instrText>
      </w:r>
      <w:r w:rsidR="0092204C">
        <w:fldChar w:fldCharType="separate"/>
      </w:r>
      <w:r w:rsidR="002967AB">
        <w:t xml:space="preserve">Figure </w:t>
      </w:r>
      <w:r w:rsidR="002967AB">
        <w:rPr>
          <w:noProof/>
        </w:rPr>
        <w:t>8</w:t>
      </w:r>
      <w:r w:rsidR="0092204C">
        <w:fldChar w:fldCharType="end"/>
      </w:r>
      <w:r>
        <w:t>).</w:t>
      </w:r>
    </w:p>
    <w:p w14:paraId="344BE72C" w14:textId="77777777" w:rsidR="002C12FD" w:rsidRDefault="002C12FD">
      <w:r>
        <w:br w:type="page"/>
      </w:r>
    </w:p>
    <w:p w14:paraId="5E656095" w14:textId="680BAB90" w:rsidR="006C675D" w:rsidRDefault="006C675D" w:rsidP="006C675D">
      <w:pPr>
        <w:pStyle w:val="Caption"/>
      </w:pPr>
      <w:bookmarkStart w:id="34" w:name="_Ref17883592"/>
      <w:bookmarkStart w:id="35" w:name="_Ref17814267"/>
      <w:bookmarkStart w:id="36" w:name="_Toc18070232"/>
      <w:r>
        <w:t xml:space="preserve">Figure </w:t>
      </w:r>
      <w:r w:rsidR="002C5804">
        <w:fldChar w:fldCharType="begin"/>
      </w:r>
      <w:r w:rsidR="002C5804">
        <w:instrText xml:space="preserve"> SEQ Figure \* ARABIC </w:instrText>
      </w:r>
      <w:r w:rsidR="002C5804">
        <w:fldChar w:fldCharType="separate"/>
      </w:r>
      <w:r w:rsidR="002967AB">
        <w:rPr>
          <w:noProof/>
        </w:rPr>
        <w:t>8</w:t>
      </w:r>
      <w:r w:rsidR="002C5804">
        <w:rPr>
          <w:noProof/>
        </w:rPr>
        <w:fldChar w:fldCharType="end"/>
      </w:r>
      <w:bookmarkEnd w:id="34"/>
      <w:r>
        <w:t>: Indigenous HDR enrolments by age bracket, 2006</w:t>
      </w:r>
      <w:r w:rsidRPr="00D16E15">
        <w:t>–</w:t>
      </w:r>
      <w:r>
        <w:t>17</w:t>
      </w:r>
      <w:bookmarkEnd w:id="35"/>
      <w:bookmarkEnd w:id="36"/>
    </w:p>
    <w:p w14:paraId="7FC94969" w14:textId="1C7BE1F7" w:rsidR="00934F28" w:rsidRDefault="00934F28" w:rsidP="006C675D">
      <w:pPr>
        <w:rPr>
          <w:b/>
          <w:noProof/>
          <w:lang w:eastAsia="en-AU"/>
        </w:rPr>
      </w:pPr>
      <w:r w:rsidRPr="009D41F8">
        <w:rPr>
          <w:b/>
          <w:noProof/>
          <w:lang w:eastAsia="en-AU"/>
        </w:rPr>
        <w:drawing>
          <wp:inline distT="0" distB="0" distL="0" distR="0" wp14:anchorId="285D7C4F" wp14:editId="6EDB5935">
            <wp:extent cx="5486400" cy="3602428"/>
            <wp:effectExtent l="0" t="0" r="0" b="0"/>
            <wp:docPr id="29" name="Picture 29" descr="From 2006 and 2017, the age group with the highest representation of Indigenous students was 40 to 49 years, which grew from 30 per cent of all enrolments in 2006 to a peak of &#10;34 per cent in 2008. The age group with the lowest percentage of Indigenous HDR enrolments was 60 years or older, which grew from six per cent in 2006 to a peak of nine per cent in 2013. Students younger than 30 years was the age group with the second lowest representation for Indigenous students, peaking at 17 per cent in 2016." title="Figure 8: Indigenous HDR enrolments by age bracket,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3602428"/>
                    </a:xfrm>
                    <a:prstGeom prst="rect">
                      <a:avLst/>
                    </a:prstGeom>
                    <a:noFill/>
                  </pic:spPr>
                </pic:pic>
              </a:graphicData>
            </a:graphic>
          </wp:inline>
        </w:drawing>
      </w:r>
    </w:p>
    <w:p w14:paraId="52CB7DE2" w14:textId="7B90CA59" w:rsidR="002C12FD" w:rsidRDefault="006C675D" w:rsidP="00145958">
      <w:pPr>
        <w:pStyle w:val="Caption"/>
      </w:pPr>
      <w:r w:rsidRPr="003B7471">
        <w:rPr>
          <w:b w:val="0"/>
        </w:rPr>
        <w:t>Between 2006 and 2017, Indigenous HDR students were much more likely to have a regional or remote status than non-Indigenous domestic students (31 per cent compared to 13 per cent in 2017). Indigenous HDR student</w:t>
      </w:r>
      <w:r w:rsidR="00FC2AA4" w:rsidRPr="003B7471">
        <w:rPr>
          <w:b w:val="0"/>
        </w:rPr>
        <w:t>s were also more</w:t>
      </w:r>
      <w:r w:rsidR="00145958" w:rsidRPr="003B7471">
        <w:rPr>
          <w:b w:val="0"/>
        </w:rPr>
        <w:t xml:space="preserve"> than twice as</w:t>
      </w:r>
      <w:r w:rsidR="00FC2AA4" w:rsidRPr="003B7471">
        <w:rPr>
          <w:b w:val="0"/>
        </w:rPr>
        <w:t xml:space="preserve"> likely to have</w:t>
      </w:r>
      <w:r w:rsidR="009543C3" w:rsidRPr="003B7471">
        <w:rPr>
          <w:b w:val="0"/>
        </w:rPr>
        <w:t xml:space="preserve"> a</w:t>
      </w:r>
      <w:r w:rsidRPr="003B7471">
        <w:rPr>
          <w:b w:val="0"/>
        </w:rPr>
        <w:t xml:space="preserve"> low socioeconomic status</w:t>
      </w:r>
      <w:r w:rsidR="00401ADC" w:rsidRPr="003B7471">
        <w:rPr>
          <w:b w:val="0"/>
        </w:rPr>
        <w:t xml:space="preserve"> (SES)</w:t>
      </w:r>
      <w:r w:rsidRPr="003B7471">
        <w:rPr>
          <w:b w:val="0"/>
        </w:rPr>
        <w:t xml:space="preserve"> (19</w:t>
      </w:r>
      <w:r w:rsidR="00624366" w:rsidRPr="003B7471">
        <w:rPr>
          <w:b w:val="0"/>
        </w:rPr>
        <w:t> </w:t>
      </w:r>
      <w:r w:rsidRPr="003B7471">
        <w:rPr>
          <w:b w:val="0"/>
        </w:rPr>
        <w:t>per</w:t>
      </w:r>
      <w:r w:rsidR="00624366" w:rsidRPr="003B7471">
        <w:rPr>
          <w:b w:val="0"/>
        </w:rPr>
        <w:t> </w:t>
      </w:r>
      <w:r w:rsidRPr="003B7471">
        <w:rPr>
          <w:b w:val="0"/>
        </w:rPr>
        <w:t>cent compared to 8 per cent of non-Indigenous domestic students in 2017)</w:t>
      </w:r>
      <w:r w:rsidR="006F6FED" w:rsidRPr="003B7471">
        <w:rPr>
          <w:b w:val="0"/>
        </w:rPr>
        <w:t xml:space="preserve"> (</w:t>
      </w:r>
      <w:r w:rsidR="003B7471" w:rsidRPr="003B7471">
        <w:rPr>
          <w:b w:val="0"/>
        </w:rPr>
        <w:fldChar w:fldCharType="begin"/>
      </w:r>
      <w:r w:rsidR="003B7471" w:rsidRPr="003B7471">
        <w:rPr>
          <w:b w:val="0"/>
        </w:rPr>
        <w:instrText xml:space="preserve"> REF _Ref18070284 \h  \* MERGEFORMAT </w:instrText>
      </w:r>
      <w:r w:rsidR="003B7471" w:rsidRPr="003B7471">
        <w:rPr>
          <w:b w:val="0"/>
        </w:rPr>
      </w:r>
      <w:r w:rsidR="003B7471" w:rsidRPr="003B7471">
        <w:rPr>
          <w:b w:val="0"/>
        </w:rPr>
        <w:fldChar w:fldCharType="separate"/>
      </w:r>
      <w:r w:rsidR="002967AB" w:rsidRPr="002967AB">
        <w:rPr>
          <w:b w:val="0"/>
        </w:rPr>
        <w:t xml:space="preserve">Figure </w:t>
      </w:r>
      <w:r w:rsidR="002967AB" w:rsidRPr="002967AB">
        <w:rPr>
          <w:b w:val="0"/>
          <w:noProof/>
        </w:rPr>
        <w:t>9</w:t>
      </w:r>
      <w:r w:rsidR="003B7471" w:rsidRPr="003B7471">
        <w:rPr>
          <w:b w:val="0"/>
        </w:rPr>
        <w:fldChar w:fldCharType="end"/>
      </w:r>
      <w:r w:rsidR="006F6FED" w:rsidRPr="00B510C2">
        <w:rPr>
          <w:b w:val="0"/>
        </w:rPr>
        <w:t>)</w:t>
      </w:r>
      <w:r w:rsidR="006F6FED">
        <w:t>.</w:t>
      </w:r>
    </w:p>
    <w:p w14:paraId="42873EA7" w14:textId="77777777" w:rsidR="002C12FD" w:rsidRDefault="002C12FD">
      <w:pPr>
        <w:rPr>
          <w:rFonts w:ascii="Calibri" w:eastAsiaTheme="majorEastAsia" w:hAnsi="Calibri" w:cstheme="majorBidi"/>
          <w:b/>
          <w:bCs/>
          <w:iCs/>
        </w:rPr>
      </w:pPr>
      <w:r>
        <w:br w:type="page"/>
      </w:r>
    </w:p>
    <w:p w14:paraId="6DA29FE8" w14:textId="01E37EEF" w:rsidR="00145958" w:rsidRDefault="00145958" w:rsidP="00145958">
      <w:pPr>
        <w:pStyle w:val="Caption"/>
      </w:pPr>
      <w:bookmarkStart w:id="37" w:name="_Ref18068234"/>
      <w:bookmarkStart w:id="38" w:name="_Ref18070284"/>
      <w:bookmarkStart w:id="39" w:name="_Toc18070233"/>
      <w:r>
        <w:t xml:space="preserve">Figure </w:t>
      </w:r>
      <w:r w:rsidR="002C5804">
        <w:fldChar w:fldCharType="begin"/>
      </w:r>
      <w:r w:rsidR="002C5804">
        <w:instrText xml:space="preserve"> SEQ Figure \* ARABIC </w:instrText>
      </w:r>
      <w:r w:rsidR="002C5804">
        <w:fldChar w:fldCharType="separate"/>
      </w:r>
      <w:r w:rsidR="002967AB">
        <w:rPr>
          <w:noProof/>
        </w:rPr>
        <w:t>9</w:t>
      </w:r>
      <w:r w:rsidR="002C5804">
        <w:rPr>
          <w:noProof/>
        </w:rPr>
        <w:fldChar w:fldCharType="end"/>
      </w:r>
      <w:bookmarkEnd w:id="37"/>
      <w:bookmarkEnd w:id="38"/>
      <w:r>
        <w:t>: Proportion of domestic enrolments by SES and Indigenous Status, 2017</w:t>
      </w:r>
      <w:bookmarkEnd w:id="39"/>
    </w:p>
    <w:p w14:paraId="0559803F" w14:textId="7FF19085" w:rsidR="00624366" w:rsidRDefault="00B957C7" w:rsidP="006C675D">
      <w:r>
        <w:rPr>
          <w:noProof/>
          <w:lang w:eastAsia="en-AU"/>
        </w:rPr>
        <w:drawing>
          <wp:inline distT="0" distB="0" distL="0" distR="0" wp14:anchorId="167EE413" wp14:editId="162E1E1B">
            <wp:extent cx="5486400" cy="3657600"/>
            <wp:effectExtent l="0" t="0" r="0" b="0"/>
            <wp:docPr id="10" name="Picture 10" descr="In 2017, more than twice as many Indigenous domestic HDR students had&#10;low Socio-Economic Status (SES) than non-Indigenous domestic HDR students (19 per cent of Indigenous students compared with eight per cent of non-Indigenous domestic students). The strongest representation for Indigenous students was for students of medium SES (50 per cent). The strongest representation for non-Indigenous students was for students of high SES (47 per cent)." title="Figure 9: Proportion of domestic enrolments by SES and Indigenous Statu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pic:spPr>
                </pic:pic>
              </a:graphicData>
            </a:graphic>
          </wp:inline>
        </w:drawing>
      </w:r>
    </w:p>
    <w:p w14:paraId="63A915D9" w14:textId="0ED5FC9B" w:rsidR="002C12FD" w:rsidRDefault="006C675D" w:rsidP="006C675D">
      <w:pPr>
        <w:pStyle w:val="Caption"/>
      </w:pPr>
      <w:r w:rsidRPr="003B7471">
        <w:rPr>
          <w:b w:val="0"/>
        </w:rPr>
        <w:t>There were differences between Indigenous and non-Indigenous students in the universities they attended. In 2017, 30 per cent of all Indigenous student enrolments were at a Group of Eight (GO8) institution, compared to 46 per cent of all non-Indigenous HDR student enrolments. Indigenous students most commonly attended unaligned universities (32 per cent), followed by Go8, Innovative Research Universities (IRU), Australian Technology Network universities (ATN) and Regional Universities Network (RUN) institutions (</w:t>
      </w:r>
      <w:r w:rsidR="003B7471" w:rsidRPr="003B7471">
        <w:rPr>
          <w:b w:val="0"/>
        </w:rPr>
        <w:fldChar w:fldCharType="begin"/>
      </w:r>
      <w:r w:rsidR="003B7471" w:rsidRPr="003B7471">
        <w:rPr>
          <w:b w:val="0"/>
        </w:rPr>
        <w:instrText xml:space="preserve"> REF _Ref18070330 \h </w:instrText>
      </w:r>
      <w:r w:rsidR="003B7471">
        <w:rPr>
          <w:b w:val="0"/>
        </w:rPr>
        <w:instrText xml:space="preserve"> \* MERGEFORMAT </w:instrText>
      </w:r>
      <w:r w:rsidR="003B7471" w:rsidRPr="003B7471">
        <w:rPr>
          <w:b w:val="0"/>
        </w:rPr>
      </w:r>
      <w:r w:rsidR="003B7471" w:rsidRPr="003B7471">
        <w:rPr>
          <w:b w:val="0"/>
        </w:rPr>
        <w:fldChar w:fldCharType="separate"/>
      </w:r>
      <w:r w:rsidR="002967AB" w:rsidRPr="002967AB">
        <w:rPr>
          <w:b w:val="0"/>
        </w:rPr>
        <w:t xml:space="preserve">Figure </w:t>
      </w:r>
      <w:r w:rsidR="002967AB" w:rsidRPr="002967AB">
        <w:rPr>
          <w:b w:val="0"/>
          <w:noProof/>
        </w:rPr>
        <w:t>10</w:t>
      </w:r>
      <w:r w:rsidR="003B7471" w:rsidRPr="003B7471">
        <w:rPr>
          <w:b w:val="0"/>
        </w:rPr>
        <w:fldChar w:fldCharType="end"/>
      </w:r>
      <w:r w:rsidRPr="003B7471">
        <w:rPr>
          <w:b w:val="0"/>
        </w:rPr>
        <w:t>).</w:t>
      </w:r>
    </w:p>
    <w:p w14:paraId="47741DE2" w14:textId="77777777" w:rsidR="002C12FD" w:rsidRDefault="002C12FD">
      <w:pPr>
        <w:rPr>
          <w:rFonts w:ascii="Calibri" w:eastAsiaTheme="majorEastAsia" w:hAnsi="Calibri" w:cstheme="majorBidi"/>
          <w:b/>
          <w:bCs/>
          <w:iCs/>
        </w:rPr>
      </w:pPr>
      <w:r>
        <w:br w:type="page"/>
      </w:r>
    </w:p>
    <w:p w14:paraId="65ADB312" w14:textId="4206E390" w:rsidR="006C675D" w:rsidRDefault="006C675D" w:rsidP="006C675D">
      <w:pPr>
        <w:pStyle w:val="Caption"/>
      </w:pPr>
      <w:bookmarkStart w:id="40" w:name="_Ref17883670"/>
      <w:bookmarkStart w:id="41" w:name="_Ref18070330"/>
      <w:bookmarkStart w:id="42" w:name="_Ref17814310"/>
      <w:bookmarkStart w:id="43" w:name="_Toc18070234"/>
      <w:r>
        <w:t xml:space="preserve">Figure </w:t>
      </w:r>
      <w:r>
        <w:rPr>
          <w:noProof/>
        </w:rPr>
        <w:fldChar w:fldCharType="begin"/>
      </w:r>
      <w:r>
        <w:rPr>
          <w:noProof/>
        </w:rPr>
        <w:instrText xml:space="preserve"> SEQ Figure \* ARABIC </w:instrText>
      </w:r>
      <w:r>
        <w:rPr>
          <w:noProof/>
        </w:rPr>
        <w:fldChar w:fldCharType="separate"/>
      </w:r>
      <w:r w:rsidR="002967AB">
        <w:rPr>
          <w:noProof/>
        </w:rPr>
        <w:t>10</w:t>
      </w:r>
      <w:r>
        <w:rPr>
          <w:noProof/>
        </w:rPr>
        <w:fldChar w:fldCharType="end"/>
      </w:r>
      <w:bookmarkEnd w:id="40"/>
      <w:bookmarkEnd w:id="41"/>
      <w:r>
        <w:t>: Proportion of HDR domestic enrolments by university alliance and Indigenous status, 2017</w:t>
      </w:r>
      <w:bookmarkEnd w:id="42"/>
      <w:bookmarkEnd w:id="43"/>
    </w:p>
    <w:p w14:paraId="0A0BAB14" w14:textId="114AEDD5" w:rsidR="00AD2F15" w:rsidRDefault="00934F28">
      <w:r>
        <w:rPr>
          <w:noProof/>
          <w:lang w:eastAsia="en-AU"/>
        </w:rPr>
        <w:drawing>
          <wp:inline distT="0" distB="0" distL="0" distR="0" wp14:anchorId="0292B1CA" wp14:editId="0C5BF2E0">
            <wp:extent cx="5486400" cy="3608631"/>
            <wp:effectExtent l="0" t="0" r="0" b="0"/>
            <wp:docPr id="30" name="Picture 30" descr="In 2017, there were significant differences between Indigenous and non-Indigenous HDR students in the universities they attended: only &#10;30 per cent of all Indigenous student enrolments were at Group of Eight (Go8) institutions compared to &#10;46 per cent of all non-Indigenous HDR student enrolments. Indigenous students most commonly attended unaligned universities (32 per cent), followed by Go8 (30 per cent), Innovative Research Universities &#10;(19 per cent), Australian Technology Network universities  (11 per cent) and Regional Universities Network institutions (eight per cent)." title="Figure 10: Proportion of HDR domestic enrolments by university alliance and Indigenous statu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3608631"/>
                    </a:xfrm>
                    <a:prstGeom prst="rect">
                      <a:avLst/>
                    </a:prstGeom>
                    <a:noFill/>
                  </pic:spPr>
                </pic:pic>
              </a:graphicData>
            </a:graphic>
          </wp:inline>
        </w:drawing>
      </w:r>
    </w:p>
    <w:p w14:paraId="5E60E743" w14:textId="3C830176" w:rsidR="00AD2F15" w:rsidRDefault="00AD2F15">
      <w:r>
        <w:t>In recent years, the institutions with the highest numbers of Indigenous HDR student enrolments were located principally in New South Wales</w:t>
      </w:r>
      <w:r w:rsidR="00934F28">
        <w:t xml:space="preserve"> (NSW)</w:t>
      </w:r>
      <w:r>
        <w:t>, followed by Queensland and Victoria (</w:t>
      </w:r>
      <w:r w:rsidR="00145958">
        <w:fldChar w:fldCharType="begin"/>
      </w:r>
      <w:r w:rsidR="00145958">
        <w:instrText xml:space="preserve"> REF _Ref17883684 \h </w:instrText>
      </w:r>
      <w:r w:rsidR="00145958">
        <w:fldChar w:fldCharType="separate"/>
      </w:r>
      <w:r w:rsidR="002967AB">
        <w:t xml:space="preserve">Figure </w:t>
      </w:r>
      <w:r w:rsidR="002967AB">
        <w:rPr>
          <w:noProof/>
        </w:rPr>
        <w:t>11</w:t>
      </w:r>
      <w:r w:rsidR="00145958">
        <w:fldChar w:fldCharType="end"/>
      </w:r>
      <w:r>
        <w:t xml:space="preserve">). Non-Indigenous student enrolments were principally located in NSW, followed by Victoria, then Queensland. </w:t>
      </w:r>
      <w:r w:rsidRPr="00696ABE">
        <w:t>Notably, a much higher propo</w:t>
      </w:r>
      <w:r>
        <w:t>rtion of Indigenous student enrolments were</w:t>
      </w:r>
      <w:r w:rsidRPr="00696ABE">
        <w:t xml:space="preserve"> in </w:t>
      </w:r>
      <w:r>
        <w:t xml:space="preserve">the </w:t>
      </w:r>
      <w:r w:rsidRPr="00696ABE">
        <w:t>N</w:t>
      </w:r>
      <w:r>
        <w:t xml:space="preserve">orthern </w:t>
      </w:r>
      <w:r w:rsidRPr="00696ABE">
        <w:t>T</w:t>
      </w:r>
      <w:r>
        <w:t xml:space="preserve">erritory, </w:t>
      </w:r>
      <w:r w:rsidRPr="00696ABE">
        <w:t>compared to non-Indigenous students.</w:t>
      </w:r>
      <w:r>
        <w:t xml:space="preserve"> As this data was defined by the flagship campus of the institution, it cannot be assumed that all students at the institution were necessarily based in that state. </w:t>
      </w:r>
    </w:p>
    <w:p w14:paraId="58F2EFAE" w14:textId="66D85D07" w:rsidR="002C12FD" w:rsidRDefault="00AD2F15" w:rsidP="009543C3">
      <w:r w:rsidRPr="00DF005E">
        <w:rPr>
          <w:rFonts w:ascii="Calibri" w:eastAsiaTheme="majorEastAsia" w:hAnsi="Calibri" w:cstheme="majorBidi"/>
          <w:bCs/>
          <w:iCs/>
        </w:rPr>
        <w:t xml:space="preserve">The overall distribution pattern of 2017 Indigenous HDR enrolments </w:t>
      </w:r>
      <w:r>
        <w:rPr>
          <w:rFonts w:ascii="Calibri" w:eastAsiaTheme="majorEastAsia" w:hAnsi="Calibri" w:cstheme="majorBidi"/>
          <w:bCs/>
          <w:iCs/>
        </w:rPr>
        <w:t>aligns reasonably well with</w:t>
      </w:r>
      <w:r w:rsidRPr="00DF005E">
        <w:rPr>
          <w:rFonts w:ascii="Calibri" w:eastAsiaTheme="majorEastAsia" w:hAnsi="Calibri" w:cstheme="majorBidi"/>
          <w:bCs/>
          <w:iCs/>
        </w:rPr>
        <w:t xml:space="preserve"> the distribution of unive</w:t>
      </w:r>
      <w:r w:rsidR="003F1323">
        <w:rPr>
          <w:rFonts w:ascii="Calibri" w:eastAsiaTheme="majorEastAsia" w:hAnsi="Calibri" w:cstheme="majorBidi"/>
          <w:bCs/>
          <w:iCs/>
        </w:rPr>
        <w:t>rsities by home state (</w:t>
      </w:r>
      <w:r w:rsidR="0092204C">
        <w:rPr>
          <w:rFonts w:ascii="Calibri" w:eastAsiaTheme="majorEastAsia" w:hAnsi="Calibri" w:cstheme="majorBidi"/>
          <w:bCs/>
          <w:iCs/>
        </w:rPr>
        <w:fldChar w:fldCharType="begin"/>
      </w:r>
      <w:r w:rsidR="0092204C">
        <w:rPr>
          <w:rFonts w:ascii="Calibri" w:eastAsiaTheme="majorEastAsia" w:hAnsi="Calibri" w:cstheme="majorBidi"/>
          <w:bCs/>
          <w:iCs/>
        </w:rPr>
        <w:instrText xml:space="preserve"> REF _Ref17883714 \h </w:instrText>
      </w:r>
      <w:r w:rsidR="0092204C">
        <w:rPr>
          <w:rFonts w:ascii="Calibri" w:eastAsiaTheme="majorEastAsia" w:hAnsi="Calibri" w:cstheme="majorBidi"/>
          <w:bCs/>
          <w:iCs/>
        </w:rPr>
      </w:r>
      <w:r w:rsidR="0092204C">
        <w:rPr>
          <w:rFonts w:ascii="Calibri" w:eastAsiaTheme="majorEastAsia" w:hAnsi="Calibri" w:cstheme="majorBidi"/>
          <w:bCs/>
          <w:iCs/>
        </w:rPr>
        <w:fldChar w:fldCharType="separate"/>
      </w:r>
      <w:r w:rsidR="002967AB">
        <w:t xml:space="preserve">Figure </w:t>
      </w:r>
      <w:r w:rsidR="002967AB">
        <w:rPr>
          <w:noProof/>
        </w:rPr>
        <w:t>12</w:t>
      </w:r>
      <w:r w:rsidR="0092204C">
        <w:rPr>
          <w:rFonts w:ascii="Calibri" w:eastAsiaTheme="majorEastAsia" w:hAnsi="Calibri" w:cstheme="majorBidi"/>
          <w:bCs/>
          <w:iCs/>
        </w:rPr>
        <w:fldChar w:fldCharType="end"/>
      </w:r>
      <w:r w:rsidRPr="00DF005E">
        <w:rPr>
          <w:rFonts w:ascii="Calibri" w:eastAsiaTheme="majorEastAsia" w:hAnsi="Calibri" w:cstheme="majorBidi"/>
          <w:bCs/>
          <w:iCs/>
        </w:rPr>
        <w:t>). However, N</w:t>
      </w:r>
      <w:r w:rsidR="00934F28">
        <w:rPr>
          <w:rFonts w:ascii="Calibri" w:eastAsiaTheme="majorEastAsia" w:hAnsi="Calibri" w:cstheme="majorBidi"/>
          <w:bCs/>
          <w:iCs/>
        </w:rPr>
        <w:t xml:space="preserve">SW </w:t>
      </w:r>
      <w:r w:rsidR="00A846B9">
        <w:rPr>
          <w:rFonts w:ascii="Calibri" w:eastAsiaTheme="majorEastAsia" w:hAnsi="Calibri" w:cstheme="majorBidi"/>
          <w:bCs/>
          <w:iCs/>
        </w:rPr>
        <w:t xml:space="preserve">has a </w:t>
      </w:r>
      <w:r w:rsidR="00365E18">
        <w:rPr>
          <w:rFonts w:ascii="Calibri" w:eastAsiaTheme="majorEastAsia" w:hAnsi="Calibri" w:cstheme="majorBidi"/>
          <w:bCs/>
          <w:iCs/>
        </w:rPr>
        <w:t xml:space="preserve">significantly </w:t>
      </w:r>
      <w:r w:rsidR="00527C07">
        <w:rPr>
          <w:rFonts w:ascii="Calibri" w:eastAsiaTheme="majorEastAsia" w:hAnsi="Calibri" w:cstheme="majorBidi"/>
          <w:bCs/>
          <w:iCs/>
        </w:rPr>
        <w:t>higher</w:t>
      </w:r>
      <w:r w:rsidR="00A846B9">
        <w:rPr>
          <w:rFonts w:ascii="Calibri" w:eastAsiaTheme="majorEastAsia" w:hAnsi="Calibri" w:cstheme="majorBidi"/>
          <w:bCs/>
          <w:iCs/>
        </w:rPr>
        <w:t xml:space="preserve"> proportion of national Indigenous enrolments compared with the number of NSW universities,</w:t>
      </w:r>
      <w:r w:rsidR="00365E18">
        <w:rPr>
          <w:rFonts w:ascii="Calibri" w:eastAsiaTheme="majorEastAsia" w:hAnsi="Calibri" w:cstheme="majorBidi"/>
          <w:bCs/>
          <w:iCs/>
        </w:rPr>
        <w:t xml:space="preserve"> with Queensland, the </w:t>
      </w:r>
      <w:r w:rsidRPr="00DF005E">
        <w:rPr>
          <w:rFonts w:ascii="Calibri" w:eastAsiaTheme="majorEastAsia" w:hAnsi="Calibri" w:cstheme="majorBidi"/>
          <w:bCs/>
          <w:iCs/>
        </w:rPr>
        <w:t xml:space="preserve">Australian Capital Territory </w:t>
      </w:r>
      <w:r w:rsidR="00365E18">
        <w:rPr>
          <w:rFonts w:ascii="Calibri" w:eastAsiaTheme="majorEastAsia" w:hAnsi="Calibri" w:cstheme="majorBidi"/>
          <w:bCs/>
          <w:iCs/>
        </w:rPr>
        <w:t xml:space="preserve">and Tasmania </w:t>
      </w:r>
      <w:r w:rsidR="00A846B9">
        <w:rPr>
          <w:rFonts w:ascii="Calibri" w:eastAsiaTheme="majorEastAsia" w:hAnsi="Calibri" w:cstheme="majorBidi"/>
          <w:bCs/>
          <w:iCs/>
        </w:rPr>
        <w:t xml:space="preserve">also having a </w:t>
      </w:r>
      <w:r w:rsidR="00365E18">
        <w:rPr>
          <w:rFonts w:ascii="Calibri" w:eastAsiaTheme="majorEastAsia" w:hAnsi="Calibri" w:cstheme="majorBidi"/>
          <w:bCs/>
          <w:iCs/>
        </w:rPr>
        <w:t xml:space="preserve">slightly </w:t>
      </w:r>
      <w:r w:rsidR="00527C07">
        <w:rPr>
          <w:rFonts w:ascii="Calibri" w:eastAsiaTheme="majorEastAsia" w:hAnsi="Calibri" w:cstheme="majorBidi"/>
          <w:bCs/>
          <w:iCs/>
        </w:rPr>
        <w:t>higher</w:t>
      </w:r>
      <w:r w:rsidR="00A846B9">
        <w:rPr>
          <w:rFonts w:ascii="Calibri" w:eastAsiaTheme="majorEastAsia" w:hAnsi="Calibri" w:cstheme="majorBidi"/>
          <w:bCs/>
          <w:iCs/>
        </w:rPr>
        <w:t xml:space="preserve"> proportion of national Indigenous enrolments compared with national university distribution</w:t>
      </w:r>
      <w:r w:rsidRPr="00DF005E">
        <w:rPr>
          <w:rFonts w:ascii="Calibri" w:eastAsiaTheme="majorEastAsia" w:hAnsi="Calibri" w:cstheme="majorBidi"/>
          <w:bCs/>
          <w:iCs/>
        </w:rPr>
        <w:t>.</w:t>
      </w:r>
    </w:p>
    <w:p w14:paraId="0A945BBF" w14:textId="77777777" w:rsidR="002C12FD" w:rsidRDefault="002C12FD">
      <w:r>
        <w:br w:type="page"/>
      </w:r>
    </w:p>
    <w:p w14:paraId="65955431" w14:textId="56C77677" w:rsidR="00AD2F15" w:rsidRDefault="00AD2F15" w:rsidP="00AD2F15">
      <w:pPr>
        <w:pStyle w:val="Caption"/>
      </w:pPr>
      <w:bookmarkStart w:id="44" w:name="_Ref17883684"/>
      <w:bookmarkStart w:id="45" w:name="_Ref17814407"/>
      <w:bookmarkStart w:id="46" w:name="_Toc18070235"/>
      <w:r>
        <w:t xml:space="preserve">Figure </w:t>
      </w:r>
      <w:r>
        <w:rPr>
          <w:noProof/>
        </w:rPr>
        <w:fldChar w:fldCharType="begin"/>
      </w:r>
      <w:r>
        <w:rPr>
          <w:noProof/>
        </w:rPr>
        <w:instrText xml:space="preserve"> SEQ Figure \* ARABIC </w:instrText>
      </w:r>
      <w:r>
        <w:rPr>
          <w:noProof/>
        </w:rPr>
        <w:fldChar w:fldCharType="separate"/>
      </w:r>
      <w:r w:rsidR="002967AB">
        <w:rPr>
          <w:noProof/>
        </w:rPr>
        <w:t>11</w:t>
      </w:r>
      <w:r>
        <w:rPr>
          <w:noProof/>
        </w:rPr>
        <w:fldChar w:fldCharType="end"/>
      </w:r>
      <w:bookmarkEnd w:id="44"/>
      <w:r>
        <w:t xml:space="preserve">: </w:t>
      </w:r>
      <w:r w:rsidRPr="008959EB">
        <w:t>Number of</w:t>
      </w:r>
      <w:r w:rsidRPr="0090515D">
        <w:t xml:space="preserve"> Indigenous</w:t>
      </w:r>
      <w:r>
        <w:t xml:space="preserve"> HDR enrolments by home state of institution, 2013</w:t>
      </w:r>
      <w:r w:rsidRPr="00D16E15">
        <w:t>–</w:t>
      </w:r>
      <w:r>
        <w:t>17</w:t>
      </w:r>
      <w:bookmarkEnd w:id="45"/>
      <w:bookmarkEnd w:id="46"/>
    </w:p>
    <w:p w14:paraId="1F67EAF6" w14:textId="63C7C04B" w:rsidR="00FC2AA4" w:rsidRDefault="00B957C7">
      <w:r>
        <w:rPr>
          <w:noProof/>
          <w:lang w:eastAsia="en-AU"/>
        </w:rPr>
        <w:drawing>
          <wp:inline distT="0" distB="0" distL="0" distR="0" wp14:anchorId="626F393E" wp14:editId="7D93C8B2">
            <wp:extent cx="5486400" cy="3200400"/>
            <wp:effectExtent l="0" t="0" r="0" b="0"/>
            <wp:docPr id="12" name="Picture 12" descr="From 2013 to 2017, the institutions with the highest number of Indigenous HDR student enrolments were located in New South Wales, with enrolments steadily rising from 150 in 2006 to 200 in 2017. The state with the second highest number of Indigenous enrolments was Queensland, increasing from 70 in 2006 to a peak of 120 in 2016. Victoria was the state with the third highest Indigenous enrolments, rising from 80 in 2006 to 110 in 2017. In 2017, the two states with the lowest number of Indigenous HDR enrolments were Tasmania (20 enrolments) and National (ACU) (just ten enrolments).&#10;Note: figures are rounded to the nearest ten." title="Figure 11: Number of Indigenous HDR enrolments by home state of institution, 20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pic:spPr>
                </pic:pic>
              </a:graphicData>
            </a:graphic>
          </wp:inline>
        </w:drawing>
      </w:r>
    </w:p>
    <w:p w14:paraId="16756B98" w14:textId="3D4B35E4" w:rsidR="006C675D" w:rsidRPr="001C0DCD" w:rsidRDefault="00E108A6" w:rsidP="00D03F29">
      <w:pPr>
        <w:pStyle w:val="Caption"/>
      </w:pPr>
      <w:bookmarkStart w:id="47" w:name="_Ref17883714"/>
      <w:bookmarkStart w:id="48" w:name="_Ref17813712"/>
      <w:bookmarkStart w:id="49" w:name="_Toc18070236"/>
      <w:r>
        <w:t xml:space="preserve">Figure </w:t>
      </w:r>
      <w:r w:rsidR="002C5804">
        <w:fldChar w:fldCharType="begin"/>
      </w:r>
      <w:r w:rsidR="002C5804">
        <w:instrText xml:space="preserve"> SEQ Figure \* ARABIC </w:instrText>
      </w:r>
      <w:r w:rsidR="002C5804">
        <w:fldChar w:fldCharType="separate"/>
      </w:r>
      <w:r w:rsidR="002967AB">
        <w:rPr>
          <w:noProof/>
        </w:rPr>
        <w:t>12</w:t>
      </w:r>
      <w:r w:rsidR="002C5804">
        <w:rPr>
          <w:noProof/>
        </w:rPr>
        <w:fldChar w:fldCharType="end"/>
      </w:r>
      <w:bookmarkEnd w:id="47"/>
      <w:r w:rsidR="006C675D">
        <w:t xml:space="preserve">: </w:t>
      </w:r>
      <w:r w:rsidR="006C675D" w:rsidRPr="001C0DCD">
        <w:t>Distribution of 2017 Indigenous HDR enrolments and Australian universities by State</w:t>
      </w:r>
      <w:bookmarkEnd w:id="48"/>
      <w:bookmarkEnd w:id="49"/>
      <w:r w:rsidR="006C675D" w:rsidRPr="001C0DCD">
        <w:t xml:space="preserve">  </w:t>
      </w:r>
    </w:p>
    <w:p w14:paraId="6650658D" w14:textId="4BF3CD17" w:rsidR="002C12FD" w:rsidRDefault="00B957C7" w:rsidP="006C675D">
      <w:r>
        <w:rPr>
          <w:noProof/>
          <w:lang w:eastAsia="en-AU"/>
        </w:rPr>
        <w:drawing>
          <wp:inline distT="0" distB="0" distL="0" distR="0" wp14:anchorId="77E3D5DC" wp14:editId="77F827B9">
            <wp:extent cx="5486400" cy="3200400"/>
            <wp:effectExtent l="0" t="0" r="0" b="0"/>
            <wp:docPr id="13" name="Picture 13" descr="The overall distribution pattern of 2017 Indigenous HDR enrolments aligns reasonably well with the distribution of universities by home state. However, New South Wales (NSW) had a significantly higher proportion of Indigenous HDR enrolments compared with the proportion of universities located in NSW (33 per cent of Indigenous enrolments compared with 23 per cent of universities). Queensland (20 per cent of enrolments compared with 18 per cent of universities), Australian Capital Territory (seven per cent of enrolments compared with five per cent of universities) and Tasmania &#10;(three per cent of enrolments compared with two per cent of universities) have slightly higher proportions of Indigenous enrolments compared with national university distribution." title="Figure 12: Distribution of 2017 Indigenous HDR enrolments and Australian universities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pic:spPr>
                </pic:pic>
              </a:graphicData>
            </a:graphic>
          </wp:inline>
        </w:drawing>
      </w:r>
    </w:p>
    <w:p w14:paraId="630FC498" w14:textId="77777777" w:rsidR="002C12FD" w:rsidRDefault="002C12FD">
      <w:r>
        <w:br w:type="page"/>
      </w:r>
    </w:p>
    <w:p w14:paraId="3554D0ED" w14:textId="0B8E4E71" w:rsidR="006C675D" w:rsidRPr="009D2506" w:rsidRDefault="006C675D" w:rsidP="006C675D">
      <w:pPr>
        <w:rPr>
          <w:rFonts w:ascii="Calibri" w:eastAsiaTheme="majorEastAsia" w:hAnsi="Calibri" w:cstheme="majorBidi"/>
          <w:b/>
          <w:bCs/>
          <w:iCs/>
        </w:rPr>
      </w:pPr>
      <w:r>
        <w:t>Indigenous HDR students had a distinctive pattern in their choice of fields of education, with a strong and increasing emphasis on HASS (humanities, arts and social sciences), particularly the broad field of society and culture (</w:t>
      </w:r>
      <w:r w:rsidR="009543C3">
        <w:fldChar w:fldCharType="begin"/>
      </w:r>
      <w:r w:rsidR="009543C3">
        <w:instrText xml:space="preserve"> REF _Ref18069855 \h </w:instrText>
      </w:r>
      <w:r w:rsidR="009543C3">
        <w:fldChar w:fldCharType="separate"/>
      </w:r>
      <w:r w:rsidR="002967AB">
        <w:t xml:space="preserve">Figure </w:t>
      </w:r>
      <w:r w:rsidR="002967AB">
        <w:rPr>
          <w:noProof/>
        </w:rPr>
        <w:t>13</w:t>
      </w:r>
      <w:r w:rsidR="009543C3">
        <w:fldChar w:fldCharType="end"/>
      </w:r>
      <w:r>
        <w:t>).</w:t>
      </w:r>
    </w:p>
    <w:p w14:paraId="3313BCE8" w14:textId="752D770F" w:rsidR="006C675D" w:rsidRPr="008C6C08" w:rsidRDefault="003F1323" w:rsidP="00D03F29">
      <w:pPr>
        <w:pStyle w:val="Caption"/>
      </w:pPr>
      <w:bookmarkStart w:id="50" w:name="_Ref18069855"/>
      <w:bookmarkStart w:id="51" w:name="_Ref17814961"/>
      <w:bookmarkStart w:id="52" w:name="_Toc18070237"/>
      <w:bookmarkStart w:id="53" w:name="_Hlt17812947"/>
      <w:r>
        <w:t xml:space="preserve">Figure </w:t>
      </w:r>
      <w:r w:rsidR="002C5804">
        <w:fldChar w:fldCharType="begin"/>
      </w:r>
      <w:r w:rsidR="002C5804">
        <w:instrText xml:space="preserve"> SEQ Figure \* ARABIC </w:instrText>
      </w:r>
      <w:r w:rsidR="002C5804">
        <w:fldChar w:fldCharType="separate"/>
      </w:r>
      <w:r w:rsidR="002967AB">
        <w:rPr>
          <w:noProof/>
        </w:rPr>
        <w:t>13</w:t>
      </w:r>
      <w:r w:rsidR="002C5804">
        <w:rPr>
          <w:noProof/>
        </w:rPr>
        <w:fldChar w:fldCharType="end"/>
      </w:r>
      <w:bookmarkEnd w:id="50"/>
      <w:r w:rsidR="006C675D">
        <w:t>: Indigenous HDR enrolments by fields of education, 2006</w:t>
      </w:r>
      <w:r w:rsidR="006C675D" w:rsidRPr="00D16E15">
        <w:t>–</w:t>
      </w:r>
      <w:r w:rsidR="006C675D">
        <w:t>17</w:t>
      </w:r>
      <w:bookmarkEnd w:id="51"/>
      <w:bookmarkEnd w:id="52"/>
    </w:p>
    <w:bookmarkEnd w:id="53"/>
    <w:p w14:paraId="1742EF11" w14:textId="46D1791E" w:rsidR="006C675D" w:rsidRDefault="00934F28" w:rsidP="006C675D">
      <w:pPr>
        <w:keepNext/>
      </w:pPr>
      <w:r>
        <w:rPr>
          <w:noProof/>
          <w:lang w:eastAsia="en-AU"/>
        </w:rPr>
        <w:drawing>
          <wp:inline distT="0" distB="0" distL="0" distR="0" wp14:anchorId="6D2050BB" wp14:editId="2F8B2E4B">
            <wp:extent cx="5486400" cy="3606168"/>
            <wp:effectExtent l="0" t="0" r="0" b="0"/>
            <wp:docPr id="22" name="Picture 22" descr="From 2006 and 2017, the most popular field of study for Indigenous students was humanities and social sciences (HASS). HASS enrolments for Indigenous students increased from a base of 270 in 2006 to 400 in 2017. This was significantly higher than enrolments for the other fields in this graph (STEM, health, architecture and building). From 2006 to 2017, Indigenous enrolments in health increased from 50 to 100, science technology engineering and mathematics (STEM) enrolments increased from 40 to 70 and   architecture and building enrolments rose from just three up to seven students.&#10;Note: figures are rounded to the nearest ten." title="Figure 13: Indigenous HDR enrolments by fields of education,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3606168"/>
                    </a:xfrm>
                    <a:prstGeom prst="rect">
                      <a:avLst/>
                    </a:prstGeom>
                    <a:noFill/>
                  </pic:spPr>
                </pic:pic>
              </a:graphicData>
            </a:graphic>
          </wp:inline>
        </w:drawing>
      </w:r>
    </w:p>
    <w:p w14:paraId="643989FB" w14:textId="1777E0C9" w:rsidR="00D03F29" w:rsidRDefault="006C675D" w:rsidP="00D03F29">
      <w:pPr>
        <w:rPr>
          <w:i/>
          <w:iCs/>
        </w:rPr>
      </w:pPr>
      <w:r>
        <w:t>The</w:t>
      </w:r>
      <w:r w:rsidR="0092204C">
        <w:t xml:space="preserve"> most popular</w:t>
      </w:r>
      <w:r>
        <w:t xml:space="preserve"> subject area </w:t>
      </w:r>
      <w:r w:rsidR="0092204C">
        <w:t>for</w:t>
      </w:r>
      <w:r>
        <w:t xml:space="preserve"> Indigenous HDR students was society and culture, which includes studies in human society, human welfare studies, behavioural science, law, economics, and language and literature, making up 46 per cent of all Indigenous HDR enrolments in 2017. Within society and culture, the most popular narrow field was studies in human society, which includes anthropology, sociology, history, archaeology, human geography and Indigenous studies. Health was the second most popular subject area for Indigenous enrolments (18 per cent of all Indigenous enrolments). Poor representation in STEM is an issue in the Indigenous HDR landscape: in 2017, only 12 per cent of Indigenous enrolments were in STEM fields </w:t>
      </w:r>
      <w:r w:rsidR="00D03F29" w:rsidRPr="00D03F29">
        <w:t>compared to 35</w:t>
      </w:r>
      <w:r w:rsidRPr="00D03F29">
        <w:t xml:space="preserve"> per cent of non-Indigenous HDR enrolments.</w:t>
      </w:r>
      <w:r w:rsidR="00D03F29">
        <w:t xml:space="preserve"> </w:t>
      </w:r>
    </w:p>
    <w:p w14:paraId="56F78593" w14:textId="51A9CE92" w:rsidR="00713160" w:rsidRDefault="00713160">
      <w:r>
        <w:br w:type="page"/>
      </w:r>
    </w:p>
    <w:p w14:paraId="68AF9A3D" w14:textId="4867DBF0" w:rsidR="00227E3D" w:rsidRDefault="00DE175C" w:rsidP="00713160">
      <w:pPr>
        <w:pStyle w:val="Heading1"/>
      </w:pPr>
      <w:bookmarkStart w:id="54" w:name="_Toc18070220"/>
      <w:r>
        <w:t xml:space="preserve">Indigenous </w:t>
      </w:r>
      <w:r w:rsidR="00227E3D">
        <w:t>Access to Scholarships</w:t>
      </w:r>
      <w:bookmarkEnd w:id="54"/>
    </w:p>
    <w:p w14:paraId="536D5A42" w14:textId="544DBD32" w:rsidR="003348AF" w:rsidRPr="003348AF" w:rsidRDefault="003348AF" w:rsidP="008553CB">
      <w:pPr>
        <w:pStyle w:val="Heading2"/>
      </w:pPr>
      <w:bookmarkStart w:id="55" w:name="_Toc18070221"/>
      <w:r>
        <w:t>Overview</w:t>
      </w:r>
      <w:bookmarkEnd w:id="55"/>
    </w:p>
    <w:p w14:paraId="5B51DE52" w14:textId="505183B0" w:rsidR="009A769F" w:rsidRDefault="009A769F" w:rsidP="009A769F">
      <w:r w:rsidRPr="005E4F70">
        <w:t xml:space="preserve">The need for financial support for </w:t>
      </w:r>
      <w:r>
        <w:t>Indigenous students at</w:t>
      </w:r>
      <w:r w:rsidR="003348AF">
        <w:t xml:space="preserve"> both an undergraduate and post</w:t>
      </w:r>
      <w:r>
        <w:t>graduate level</w:t>
      </w:r>
      <w:r w:rsidR="003348AF">
        <w:t xml:space="preserve"> is recognised</w:t>
      </w:r>
      <w:r>
        <w:t xml:space="preserve"> within the </w:t>
      </w:r>
      <w:r w:rsidR="003348AF">
        <w:t xml:space="preserve">university </w:t>
      </w:r>
      <w:r>
        <w:t>sector</w:t>
      </w:r>
      <w:r w:rsidR="008074CA">
        <w:t>, with</w:t>
      </w:r>
      <w:r w:rsidR="003348AF">
        <w:t xml:space="preserve"> most </w:t>
      </w:r>
      <w:r>
        <w:t>Australian universities offer</w:t>
      </w:r>
      <w:r w:rsidR="008074CA">
        <w:t>ing</w:t>
      </w:r>
      <w:r>
        <w:t xml:space="preserve"> scholarships and bursaries specifically for Indigenous students.</w:t>
      </w:r>
      <w:r w:rsidR="00B441A3">
        <w:rPr>
          <w:rStyle w:val="FootnoteReference"/>
        </w:rPr>
        <w:footnoteReference w:id="4"/>
      </w:r>
      <w:r>
        <w:t xml:space="preserve"> </w:t>
      </w:r>
      <w:r w:rsidR="003348AF">
        <w:t>Sources for these funds at the HDR level include government support (such as the Australian Government’s Research Training Program</w:t>
      </w:r>
      <w:r w:rsidR="00FD2E6E">
        <w:t xml:space="preserve"> (RTP)</w:t>
      </w:r>
      <w:r w:rsidR="003348AF">
        <w:t>), internal university a</w:t>
      </w:r>
      <w:r w:rsidR="00AE5275">
        <w:t>llocations</w:t>
      </w:r>
      <w:r w:rsidR="003348AF">
        <w:t xml:space="preserve"> and c</w:t>
      </w:r>
      <w:r>
        <w:t>ha</w:t>
      </w:r>
      <w:r w:rsidR="003348AF">
        <w:t>ritable foundations and trusts.</w:t>
      </w:r>
    </w:p>
    <w:p w14:paraId="78912A06" w14:textId="251153B9" w:rsidR="009A769F" w:rsidRDefault="009A769F" w:rsidP="009A769F">
      <w:r>
        <w:t>The scholarships and bursaries range significantly in value and duration</w:t>
      </w:r>
      <w:r w:rsidR="003348AF">
        <w:t>, from minor bursaries for textbooks to major travelling scholarships with three years of support, such as the Charlie Perkins Scholarships</w:t>
      </w:r>
      <w:r>
        <w:t>. There are a</w:t>
      </w:r>
      <w:r w:rsidR="003348AF">
        <w:t>lso</w:t>
      </w:r>
      <w:r w:rsidR="003B7DB9">
        <w:t xml:space="preserve"> a</w:t>
      </w:r>
      <w:r>
        <w:t xml:space="preserve"> number of scholarships that are subject area or discipline specific</w:t>
      </w:r>
      <w:r w:rsidR="003348AF">
        <w:t xml:space="preserve">, including support for </w:t>
      </w:r>
      <w:r w:rsidR="00BB5E50">
        <w:t xml:space="preserve">students undertaking </w:t>
      </w:r>
      <w:r w:rsidR="00636B1A">
        <w:t xml:space="preserve">studies in </w:t>
      </w:r>
      <w:r>
        <w:t>health sciences, Indigenou</w:t>
      </w:r>
      <w:r w:rsidR="003348AF">
        <w:t>s wellbeing, education and law.</w:t>
      </w:r>
    </w:p>
    <w:p w14:paraId="74061533" w14:textId="42780346" w:rsidR="009A769F" w:rsidRDefault="009A769F" w:rsidP="009A769F">
      <w:r>
        <w:t xml:space="preserve">The higher value scholarships are mostly available for full-time HDR students. However, there are a small number of scholarships where </w:t>
      </w:r>
      <w:r w:rsidRPr="00BF6794">
        <w:t xml:space="preserve">candidates can apply to receive scholarships on a part-time basis if there are compelling social reasons (e.g. the need to provide full-time care </w:t>
      </w:r>
      <w:r>
        <w:t>to others)</w:t>
      </w:r>
      <w:r w:rsidRPr="00BF6794">
        <w:t xml:space="preserve">. </w:t>
      </w:r>
      <w:r w:rsidR="008B5D70">
        <w:t xml:space="preserve">The majority of Indigenous HDR candidates are mature age, and such students often have caring responsibilities </w:t>
      </w:r>
      <w:r w:rsidR="008074CA">
        <w:t>or</w:t>
      </w:r>
      <w:r w:rsidR="008B5D70">
        <w:t xml:space="preserve"> study part-time.</w:t>
      </w:r>
    </w:p>
    <w:p w14:paraId="28682A75" w14:textId="1620664C" w:rsidR="009A769F" w:rsidRDefault="008074CA" w:rsidP="009A769F">
      <w:r>
        <w:t>S</w:t>
      </w:r>
      <w:r w:rsidR="007D49B0">
        <w:t xml:space="preserve">ome scholarships </w:t>
      </w:r>
      <w:r w:rsidR="009A769F">
        <w:t xml:space="preserve">recognise the intersecting disadvantage experienced by </w:t>
      </w:r>
      <w:r w:rsidR="007D49B0">
        <w:t>I</w:t>
      </w:r>
      <w:r w:rsidR="009A769F">
        <w:t>ndigenous students attending university. For example, there are scholarships that aim to support Indigenous women, Indigenous students experiencing financial hardship and Indigenous students who are from rural areas. There are scholarships that</w:t>
      </w:r>
      <w:r>
        <w:t xml:space="preserve"> </w:t>
      </w:r>
      <w:r w:rsidR="009A769F">
        <w:t xml:space="preserve">seek to address </w:t>
      </w:r>
      <w:r>
        <w:t>specific</w:t>
      </w:r>
      <w:r w:rsidR="009A769F">
        <w:t xml:space="preserve"> barriers, such as the need to move out of home and relocate from another part of the country</w:t>
      </w:r>
      <w:r>
        <w:t xml:space="preserve"> by covering</w:t>
      </w:r>
      <w:r w:rsidR="005F047D">
        <w:t xml:space="preserve"> expenses</w:t>
      </w:r>
      <w:r w:rsidR="009A769F">
        <w:t xml:space="preserve"> such as accommodation and relocation costs. A number of university residential colleges offer fee remissions and scholarships ranging from $5,000 to $30,000 in value for Indigenous students who reside in college while attend</w:t>
      </w:r>
      <w:r>
        <w:t>ing</w:t>
      </w:r>
      <w:r w:rsidR="009A769F">
        <w:t xml:space="preserve"> university.</w:t>
      </w:r>
    </w:p>
    <w:p w14:paraId="3F3197C1" w14:textId="231D54A0" w:rsidR="009A769F" w:rsidRDefault="003348AF" w:rsidP="009A769F">
      <w:r>
        <w:t xml:space="preserve">Some scholarships </w:t>
      </w:r>
      <w:r w:rsidR="009A769F">
        <w:t>cover the cost of specific activities.</w:t>
      </w:r>
      <w:r w:rsidR="007D49B0">
        <w:t xml:space="preserve"> For example, t</w:t>
      </w:r>
      <w:r w:rsidR="00FD2E6E">
        <w:t>he Nugget </w:t>
      </w:r>
      <w:r w:rsidR="009A769F">
        <w:t>Coombs</w:t>
      </w:r>
      <w:r w:rsidR="00FD2E6E">
        <w:t> </w:t>
      </w:r>
      <w:r w:rsidR="009A769F">
        <w:t>Indigenous</w:t>
      </w:r>
      <w:r w:rsidR="00FD2E6E">
        <w:t> </w:t>
      </w:r>
      <w:r w:rsidR="009A769F">
        <w:t>Austra</w:t>
      </w:r>
      <w:r w:rsidR="007D49B0">
        <w:t xml:space="preserve">lian Scholarships offered by the Australian National University </w:t>
      </w:r>
      <w:r w:rsidR="009A769F">
        <w:t>assist</w:t>
      </w:r>
      <w:r w:rsidR="00BB5E50">
        <w:t>s</w:t>
      </w:r>
      <w:r w:rsidR="009A769F">
        <w:t xml:space="preserve"> with the costs of fieldwork for Indigenous undergraduate and graduate students. The Aurora</w:t>
      </w:r>
      <w:r w:rsidR="00FD2E6E">
        <w:t> </w:t>
      </w:r>
      <w:r w:rsidR="009A769F">
        <w:t xml:space="preserve">Indigenous Scholars International Study Tour </w:t>
      </w:r>
      <w:r w:rsidR="009A769F" w:rsidRPr="00AD2657">
        <w:t xml:space="preserve">provides high achieving </w:t>
      </w:r>
      <w:r w:rsidR="009A769F">
        <w:t xml:space="preserve">Indigenous </w:t>
      </w:r>
      <w:r w:rsidR="009A769F" w:rsidRPr="00AD2657">
        <w:t xml:space="preserve">students with the opportunity </w:t>
      </w:r>
      <w:r w:rsidR="009A769F">
        <w:t xml:space="preserve">to meet </w:t>
      </w:r>
      <w:r w:rsidR="009A769F" w:rsidRPr="00AD2657">
        <w:t>with key academics</w:t>
      </w:r>
      <w:r w:rsidR="007D49B0">
        <w:t>,</w:t>
      </w:r>
      <w:r w:rsidR="009A769F" w:rsidRPr="00AD2657">
        <w:t xml:space="preserve"> a</w:t>
      </w:r>
      <w:r w:rsidR="009A769F">
        <w:t xml:space="preserve">dministrators </w:t>
      </w:r>
      <w:r w:rsidR="007D49B0">
        <w:t xml:space="preserve">and current students </w:t>
      </w:r>
      <w:r w:rsidR="009A769F">
        <w:t>at overseas universities</w:t>
      </w:r>
      <w:r w:rsidR="007D49B0">
        <w:t>.</w:t>
      </w:r>
    </w:p>
    <w:p w14:paraId="6C97AB5D" w14:textId="3B45F1BF" w:rsidR="00D10B82" w:rsidRDefault="007D49B0" w:rsidP="009A769F">
      <w:r>
        <w:t>Finally, t</w:t>
      </w:r>
      <w:r w:rsidR="009A769F">
        <w:t>here are a large number of small bursaries for Indigenous students to cover the cost of purchasing a computer (or other technology) and books needed for university study.</w:t>
      </w:r>
    </w:p>
    <w:p w14:paraId="0557F3F2" w14:textId="77777777" w:rsidR="00D10B82" w:rsidRDefault="00D10B82">
      <w:r>
        <w:br w:type="page"/>
      </w:r>
    </w:p>
    <w:p w14:paraId="4480A8DC" w14:textId="269B8E18" w:rsidR="00C4577E" w:rsidRDefault="00C4577E" w:rsidP="00C4577E">
      <w:r>
        <w:t xml:space="preserve">Like other domestic students, Indigenous HDR students are eligible for Commonwealth scholarships provided through the </w:t>
      </w:r>
      <w:r w:rsidR="00FD2E6E">
        <w:t xml:space="preserve">RTP </w:t>
      </w:r>
      <w:r>
        <w:t xml:space="preserve">or the Research Training Scheme (RTS), which are administered through their institution. The most commonly awarded form of support, a fees offset, covers tuition fees for the course. Over the period of 2006 to 2017, Indigenous students were slightly less likely to be awarded a fees offset than non-Indigenous students. </w:t>
      </w:r>
      <w:r w:rsidR="0092204C">
        <w:t>For example, i</w:t>
      </w:r>
      <w:r>
        <w:t>n 2017, 86 per cent of Indigenous students were awarded a fees offset, compared to 90</w:t>
      </w:r>
      <w:r w:rsidR="0092204C">
        <w:t> </w:t>
      </w:r>
      <w:r>
        <w:t>per cent of non-Indigenous domestic students.</w:t>
      </w:r>
    </w:p>
    <w:p w14:paraId="16DAE66D" w14:textId="34561355" w:rsidR="00C4577E" w:rsidRDefault="00C4577E" w:rsidP="00C4577E">
      <w:r>
        <w:t xml:space="preserve">Students are also eligible for a stipend to cover living costs, through the RTP or the previous Australian Postgraduate Award (APA). </w:t>
      </w:r>
      <w:r w:rsidR="003F1323">
        <w:t>Between</w:t>
      </w:r>
      <w:r>
        <w:t xml:space="preserve"> 2006 and</w:t>
      </w:r>
      <w:r w:rsidR="00401ADC">
        <w:t xml:space="preserve"> 2017, Indigenous students were </w:t>
      </w:r>
      <w:r>
        <w:t>substantially less likely to receive a stipend than non-Indigenous students; in 2017, 27 per cent of non-Indigenous domestic students received a stipend, while only 15 per cent of Indigenous students received one (</w:t>
      </w:r>
      <w:r w:rsidR="003F1323">
        <w:fldChar w:fldCharType="begin"/>
      </w:r>
      <w:r w:rsidR="003F1323">
        <w:instrText xml:space="preserve"> REF _Ref4080180 \h </w:instrText>
      </w:r>
      <w:r w:rsidR="003F1323">
        <w:fldChar w:fldCharType="separate"/>
      </w:r>
      <w:r w:rsidR="002967AB">
        <w:t xml:space="preserve">Figure </w:t>
      </w:r>
      <w:r w:rsidR="002967AB">
        <w:rPr>
          <w:noProof/>
        </w:rPr>
        <w:t>14</w:t>
      </w:r>
      <w:r w:rsidR="003F1323">
        <w:fldChar w:fldCharType="end"/>
      </w:r>
      <w:r>
        <w:t>).</w:t>
      </w:r>
      <w:r w:rsidRPr="00D514CB">
        <w:t xml:space="preserve"> </w:t>
      </w:r>
      <w:r>
        <w:t>The introduction of the RTP in 2017 coincided with a</w:t>
      </w:r>
      <w:r w:rsidR="0092204C">
        <w:t>n increase</w:t>
      </w:r>
      <w:r>
        <w:t xml:space="preserve"> in the proportion of Indigenous students offered a stipend; data for subsequent years will indicate if the events were related.</w:t>
      </w:r>
    </w:p>
    <w:p w14:paraId="66C6A9A7" w14:textId="12CAD2BE" w:rsidR="00C4577E" w:rsidRDefault="00C4577E" w:rsidP="00C4577E">
      <w:r>
        <w:t>It is important to note that this data does not include information on scholarship support provided to these students through non-Commonwealth sources (e.g. scholarships offered by universities, professional bodies or charities), which the department does not currently collect. For a preliminary survey of such support, see the section on the Indigenous scholarships survey</w:t>
      </w:r>
      <w:r w:rsidR="008074CA">
        <w:t xml:space="preserve"> below.</w:t>
      </w:r>
    </w:p>
    <w:p w14:paraId="6E676580" w14:textId="17BEB872" w:rsidR="00C4577E" w:rsidRDefault="009D31BE" w:rsidP="00D03F29">
      <w:pPr>
        <w:pStyle w:val="Caption"/>
      </w:pPr>
      <w:bookmarkStart w:id="56" w:name="_Ref4080180"/>
      <w:bookmarkStart w:id="57" w:name="_Ref17814611"/>
      <w:bookmarkStart w:id="58" w:name="_Toc18070238"/>
      <w:r>
        <w:t xml:space="preserve">Figure </w:t>
      </w:r>
      <w:r w:rsidR="002C5804">
        <w:fldChar w:fldCharType="begin"/>
      </w:r>
      <w:r w:rsidR="002C5804">
        <w:instrText xml:space="preserve"> SEQ Figure \* ARABIC </w:instrText>
      </w:r>
      <w:r w:rsidR="002C5804">
        <w:fldChar w:fldCharType="separate"/>
      </w:r>
      <w:r w:rsidR="002967AB">
        <w:rPr>
          <w:noProof/>
        </w:rPr>
        <w:t>14</w:t>
      </w:r>
      <w:r w:rsidR="002C5804">
        <w:rPr>
          <w:noProof/>
        </w:rPr>
        <w:fldChar w:fldCharType="end"/>
      </w:r>
      <w:bookmarkEnd w:id="56"/>
      <w:r w:rsidR="00C4577E">
        <w:t>: Proportion of domestic students awarded an APA/RTP stipend by Indigenous status, 2006</w:t>
      </w:r>
      <w:r w:rsidR="00C4577E" w:rsidRPr="00D16E15">
        <w:t>–</w:t>
      </w:r>
      <w:r w:rsidR="00C4577E">
        <w:t>17</w:t>
      </w:r>
      <w:bookmarkEnd w:id="57"/>
      <w:bookmarkEnd w:id="58"/>
    </w:p>
    <w:p w14:paraId="77E4267C" w14:textId="0201F27C" w:rsidR="00C4577E" w:rsidRDefault="003B7471" w:rsidP="002079A2">
      <w:pPr>
        <w:rPr>
          <w:i/>
        </w:rPr>
      </w:pPr>
      <w:r>
        <w:rPr>
          <w:noProof/>
          <w:lang w:eastAsia="en-AU"/>
        </w:rPr>
        <w:drawing>
          <wp:inline distT="0" distB="0" distL="0" distR="0" wp14:anchorId="72C6898E" wp14:editId="0692F2A2">
            <wp:extent cx="5486400" cy="3608636"/>
            <wp:effectExtent l="0" t="0" r="0" b="0"/>
            <wp:docPr id="11" name="Picture 11" descr="From 2006 to 2017, the proportion of Indigenous students who were awarded an APA/RTP stipend was significantly lower than for &#10;non-Indigenous students. For &#10;non-Indigenous students, the percentage awarded a stipend rose from 14 per cent in 2006 to 27 per cent in 2017. The proportion of Indigenous students awarded a stipend &#10;was 15 per cent in 2017, which had increased from six per cent in 2006." title="Figure 14: Proportion of domestic students awarded an APA/RTP stipend by Indigenous statu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86400" cy="3608636"/>
                    </a:xfrm>
                    <a:prstGeom prst="rect">
                      <a:avLst/>
                    </a:prstGeom>
                    <a:noFill/>
                  </pic:spPr>
                </pic:pic>
              </a:graphicData>
            </a:graphic>
          </wp:inline>
        </w:drawing>
      </w:r>
    </w:p>
    <w:p w14:paraId="38FA7689" w14:textId="77777777" w:rsidR="008074CA" w:rsidRDefault="008074CA">
      <w:pPr>
        <w:rPr>
          <w:i/>
        </w:rPr>
      </w:pPr>
      <w:r>
        <w:rPr>
          <w:i/>
        </w:rPr>
        <w:br w:type="page"/>
      </w:r>
    </w:p>
    <w:p w14:paraId="2E06AE29" w14:textId="158F63F5" w:rsidR="00E231AE" w:rsidRPr="00DF005E" w:rsidRDefault="00E231AE" w:rsidP="008553CB">
      <w:pPr>
        <w:pStyle w:val="Heading2"/>
      </w:pPr>
      <w:bookmarkStart w:id="59" w:name="_Toc18070222"/>
      <w:r w:rsidRPr="00DF005E">
        <w:t>Survey of university-administered stipends</w:t>
      </w:r>
      <w:bookmarkEnd w:id="59"/>
    </w:p>
    <w:p w14:paraId="5989CE66" w14:textId="66F3A7EA" w:rsidR="00181C37" w:rsidRDefault="00980C0C" w:rsidP="002079A2">
      <w:r>
        <w:t>Compared to non-Indigenous domestic students, Indigenous HDR students ha</w:t>
      </w:r>
      <w:r w:rsidR="008A4DA7">
        <w:t>ve been less likely to receive C</w:t>
      </w:r>
      <w:r>
        <w:t>ommonwealth financial support such as an RTP stipend.</w:t>
      </w:r>
      <w:r w:rsidR="008A4DA7">
        <w:t xml:space="preserve"> However, the department does not regularly collect data on non-Commonwealth support provided to students through their university or </w:t>
      </w:r>
      <w:r w:rsidR="00E5028B">
        <w:t>charitable foundations and trusts.</w:t>
      </w:r>
      <w:r w:rsidR="0032087B">
        <w:t xml:space="preserve"> Indigenous students</w:t>
      </w:r>
      <w:r w:rsidR="0070098E">
        <w:t xml:space="preserve"> may access t</w:t>
      </w:r>
      <w:r w:rsidR="00181C37">
        <w:t xml:space="preserve">hese other forms of support </w:t>
      </w:r>
      <w:r w:rsidR="0070098E">
        <w:t>to</w:t>
      </w:r>
      <w:r w:rsidR="00181C37">
        <w:t xml:space="preserve"> supplement Commonwealth support</w:t>
      </w:r>
      <w:r w:rsidR="0070098E">
        <w:t>, or they might only receive non-Commonwealth support. It should be noted that students who receive income from another source to support their living expenses are sometimes deemed ineligible for an RTP stipend.</w:t>
      </w:r>
      <w:r w:rsidR="0070098E">
        <w:rPr>
          <w:rStyle w:val="FootnoteReference"/>
        </w:rPr>
        <w:footnoteReference w:id="5"/>
      </w:r>
    </w:p>
    <w:p w14:paraId="6C1469DB" w14:textId="6C8D0F35" w:rsidR="002079A2" w:rsidRDefault="008B2993" w:rsidP="002079A2">
      <w:r>
        <w:t>In order to obtain m</w:t>
      </w:r>
      <w:r w:rsidR="00E06A3F">
        <w:t>ore information about university support for living costs</w:t>
      </w:r>
      <w:r>
        <w:t xml:space="preserve">, </w:t>
      </w:r>
      <w:r w:rsidR="000006B4">
        <w:t xml:space="preserve">in the second half of 2018 </w:t>
      </w:r>
      <w:r>
        <w:t>t</w:t>
      </w:r>
      <w:r w:rsidR="002079A2">
        <w:t xml:space="preserve">he </w:t>
      </w:r>
      <w:r w:rsidR="0047452C">
        <w:t xml:space="preserve">department </w:t>
      </w:r>
      <w:r w:rsidR="002079A2">
        <w:t xml:space="preserve">invited the 42 higher education providers (HEPs) eligible for research block grants to submit data </w:t>
      </w:r>
      <w:r w:rsidR="00CE288C">
        <w:t>about</w:t>
      </w:r>
      <w:r w:rsidR="002079A2">
        <w:t xml:space="preserve"> their Indigenous HDR enrolments</w:t>
      </w:r>
      <w:r w:rsidR="009A5BC7">
        <w:t xml:space="preserve">. HEPs were asked to provide </w:t>
      </w:r>
      <w:r w:rsidR="00B809CD">
        <w:t xml:space="preserve">data </w:t>
      </w:r>
      <w:r w:rsidR="001E5047">
        <w:t>on the type and quantum</w:t>
      </w:r>
      <w:r w:rsidR="002079A2">
        <w:t xml:space="preserve"> of financial support</w:t>
      </w:r>
      <w:r w:rsidR="00BB5E50">
        <w:t xml:space="preserve"> the HEP</w:t>
      </w:r>
      <w:r w:rsidR="002079A2">
        <w:t xml:space="preserve"> provided to these students</w:t>
      </w:r>
      <w:r w:rsidR="009A5BC7">
        <w:t>, including Commonwealth support</w:t>
      </w:r>
      <w:r w:rsidR="00BB5E50">
        <w:t xml:space="preserve"> and other support administered by the HEP</w:t>
      </w:r>
      <w:r w:rsidR="00B809CD">
        <w:t xml:space="preserve">, by the type of study and level of </w:t>
      </w:r>
      <w:r w:rsidR="00BB5E50">
        <w:t>HDR</w:t>
      </w:r>
      <w:r w:rsidR="00B809CD">
        <w:t>. Of the 42 providers invited</w:t>
      </w:r>
      <w:r w:rsidR="007F7CFD">
        <w:t>, 40 provided completed survey forms</w:t>
      </w:r>
      <w:r w:rsidR="002079A2">
        <w:t xml:space="preserve">. </w:t>
      </w:r>
      <w:r w:rsidR="004020E1">
        <w:t>Information about scholarships or other forms of support not administered through the university (for example, support provided directly to the student through an external organisation) was not captured.</w:t>
      </w:r>
    </w:p>
    <w:p w14:paraId="6250F38F" w14:textId="19E74B62" w:rsidR="000006B4" w:rsidRDefault="000006B4" w:rsidP="002079A2">
      <w:r w:rsidRPr="000006B4">
        <w:t>S</w:t>
      </w:r>
      <w:r>
        <w:t xml:space="preserve">ome inherent limitations </w:t>
      </w:r>
      <w:r w:rsidRPr="000006B4">
        <w:t xml:space="preserve">in the student management systems operated by HEPs </w:t>
      </w:r>
      <w:r w:rsidR="000F5AC3">
        <w:t>affected</w:t>
      </w:r>
      <w:r w:rsidRPr="000006B4">
        <w:t xml:space="preserve"> the quality of the survey results. For example, the scope of the </w:t>
      </w:r>
      <w:r w:rsidR="00BB5E50">
        <w:t>survey</w:t>
      </w:r>
      <w:r w:rsidRPr="000006B4">
        <w:t xml:space="preserve"> focussed exclusively on </w:t>
      </w:r>
      <w:r>
        <w:t xml:space="preserve">stipend </w:t>
      </w:r>
      <w:r w:rsidR="00FB7030">
        <w:t xml:space="preserve">and allowance </w:t>
      </w:r>
      <w:r>
        <w:t>support</w:t>
      </w:r>
      <w:r w:rsidR="00BB5E50">
        <w:t xml:space="preserve">. </w:t>
      </w:r>
      <w:r w:rsidR="00CB3050">
        <w:t>However, m</w:t>
      </w:r>
      <w:r>
        <w:t>any HEP systems</w:t>
      </w:r>
      <w:r w:rsidRPr="000006B4">
        <w:t xml:space="preserve"> do not distinguish between stipend sc</w:t>
      </w:r>
      <w:r>
        <w:t>holarships and other forms of support</w:t>
      </w:r>
      <w:r w:rsidRPr="000006B4">
        <w:t xml:space="preserve"> such as fee</w:t>
      </w:r>
      <w:r w:rsidR="00131837">
        <w:t xml:space="preserve"> offset</w:t>
      </w:r>
      <w:r w:rsidR="00FC0A65">
        <w:t>s</w:t>
      </w:r>
      <w:r w:rsidRPr="000006B4">
        <w:t>.</w:t>
      </w:r>
      <w:r>
        <w:t xml:space="preserve"> </w:t>
      </w:r>
      <w:r w:rsidR="005D0805">
        <w:t>Consequently</w:t>
      </w:r>
      <w:r>
        <w:t>, there was some uncertainty in interpretation of the data – for example, whether a stipend figure</w:t>
      </w:r>
      <w:r w:rsidR="005D0805">
        <w:t xml:space="preserve"> included or excluded </w:t>
      </w:r>
      <w:r w:rsidR="00131837">
        <w:t>the fees offset figure</w:t>
      </w:r>
      <w:r w:rsidR="005D0805">
        <w:t xml:space="preserve">, </w:t>
      </w:r>
      <w:r w:rsidR="002A769E">
        <w:t xml:space="preserve">whether a figure referred to </w:t>
      </w:r>
      <w:r w:rsidR="00CB3050">
        <w:t>financial or calendar years</w:t>
      </w:r>
      <w:r w:rsidR="002A769E">
        <w:t xml:space="preserve">, and </w:t>
      </w:r>
      <w:r w:rsidR="005D0805">
        <w:t>whether</w:t>
      </w:r>
      <w:r>
        <w:t xml:space="preserve"> </w:t>
      </w:r>
      <w:r w:rsidR="005D0805">
        <w:t xml:space="preserve">data </w:t>
      </w:r>
      <w:r>
        <w:t>for a part-time student referred to the actual amount received or its full-time annual equivalent. For these reasons, the conclusions of this survey are preliminary</w:t>
      </w:r>
      <w:r w:rsidR="00FB17A0">
        <w:t>,</w:t>
      </w:r>
      <w:r w:rsidR="00C33127">
        <w:t xml:space="preserve"> and further surveys would</w:t>
      </w:r>
      <w:r>
        <w:t xml:space="preserve"> be required to refine the survey methodology</w:t>
      </w:r>
      <w:r w:rsidR="006D79E5">
        <w:t xml:space="preserve"> and take advantage of upgraded</w:t>
      </w:r>
      <w:r>
        <w:t xml:space="preserve"> HEP student management systems.</w:t>
      </w:r>
    </w:p>
    <w:p w14:paraId="17808532" w14:textId="2CEADAA2" w:rsidR="009F0953" w:rsidRDefault="009634D0" w:rsidP="009F0953">
      <w:r>
        <w:t>Data w</w:t>
      </w:r>
      <w:r w:rsidR="008B2993">
        <w:t xml:space="preserve">as collected </w:t>
      </w:r>
      <w:r w:rsidR="002079A2">
        <w:t>for the 2017</w:t>
      </w:r>
      <w:r w:rsidR="008074CA">
        <w:t>/</w:t>
      </w:r>
      <w:r w:rsidR="002079A2">
        <w:t>18</w:t>
      </w:r>
      <w:r w:rsidR="008074CA">
        <w:t xml:space="preserve"> financial year</w:t>
      </w:r>
      <w:r w:rsidR="00C8004E">
        <w:t xml:space="preserve">, providing a “snapshot” of stipend support over that </w:t>
      </w:r>
      <w:r w:rsidR="008074CA">
        <w:t>period</w:t>
      </w:r>
      <w:r w:rsidR="00C8004E">
        <w:t>, including both annual payments of ongoing scholarships and one-off payments for ancillary costs</w:t>
      </w:r>
      <w:r w:rsidR="002079A2">
        <w:t xml:space="preserve">. </w:t>
      </w:r>
      <w:r w:rsidR="00C8004E">
        <w:t>During th</w:t>
      </w:r>
      <w:r w:rsidR="008F7602">
        <w:t>is</w:t>
      </w:r>
      <w:r w:rsidR="005B6E97">
        <w:t xml:space="preserve"> period, t</w:t>
      </w:r>
      <w:r>
        <w:t>he survey reveals that at least 29</w:t>
      </w:r>
      <w:r w:rsidR="007F7CFD">
        <w:t xml:space="preserve">6 </w:t>
      </w:r>
      <w:r w:rsidR="00F60B70">
        <w:t xml:space="preserve">Indigenous HDR </w:t>
      </w:r>
      <w:r>
        <w:t>students</w:t>
      </w:r>
      <w:r w:rsidR="00F60B70">
        <w:t xml:space="preserve"> re</w:t>
      </w:r>
      <w:r w:rsidR="00C8004E">
        <w:t>ceived a</w:t>
      </w:r>
      <w:r w:rsidR="00425F1E">
        <w:t>n ongoing</w:t>
      </w:r>
      <w:r w:rsidR="00C8004E">
        <w:t xml:space="preserve"> </w:t>
      </w:r>
      <w:r w:rsidR="00425F1E">
        <w:t xml:space="preserve">scholarship or </w:t>
      </w:r>
      <w:r w:rsidR="00C8004E">
        <w:t>stipend of some sort</w:t>
      </w:r>
      <w:r w:rsidR="00F60B70">
        <w:t>.</w:t>
      </w:r>
      <w:r w:rsidR="005B6E97">
        <w:t xml:space="preserve"> This represents about half of all Indigenous HDR</w:t>
      </w:r>
      <w:r w:rsidR="00C22FB1">
        <w:t xml:space="preserve"> students enrolled at that time</w:t>
      </w:r>
      <w:r w:rsidR="009B5011">
        <w:t>; in comparison, only 87 Indigenous students (</w:t>
      </w:r>
      <w:r w:rsidR="00CE1363">
        <w:t>or</w:t>
      </w:r>
      <w:r w:rsidR="008074CA">
        <w:t xml:space="preserve"> </w:t>
      </w:r>
      <w:r w:rsidR="009B5011">
        <w:t xml:space="preserve">15 per cent) received an RTP stipend in </w:t>
      </w:r>
      <w:r w:rsidR="009B5011" w:rsidRPr="00FC0A65">
        <w:t>2017</w:t>
      </w:r>
      <w:r w:rsidR="00231E69" w:rsidRPr="00FC0A65">
        <w:t xml:space="preserve"> (</w:t>
      </w:r>
      <w:r w:rsidR="00FC0A65">
        <w:t xml:space="preserve">see </w:t>
      </w:r>
      <w:r w:rsidR="00FC0A65">
        <w:fldChar w:fldCharType="begin"/>
      </w:r>
      <w:r w:rsidR="00FC0A65">
        <w:instrText xml:space="preserve"> REF _Ref4080180 \h </w:instrText>
      </w:r>
      <w:r w:rsidR="00FC0A65">
        <w:fldChar w:fldCharType="separate"/>
      </w:r>
      <w:r w:rsidR="002967AB">
        <w:t xml:space="preserve">Figure </w:t>
      </w:r>
      <w:r w:rsidR="002967AB">
        <w:rPr>
          <w:noProof/>
        </w:rPr>
        <w:t>14</w:t>
      </w:r>
      <w:r w:rsidR="00FC0A65">
        <w:fldChar w:fldCharType="end"/>
      </w:r>
      <w:r w:rsidR="00FC0A65">
        <w:t>)</w:t>
      </w:r>
      <w:r w:rsidR="009B5011" w:rsidRPr="00FC0A65">
        <w:t>.</w:t>
      </w:r>
    </w:p>
    <w:p w14:paraId="35E63711" w14:textId="641DEF2E" w:rsidR="008D1BB7" w:rsidRDefault="00FC0A65" w:rsidP="009F0953">
      <w:r>
        <w:fldChar w:fldCharType="begin"/>
      </w:r>
      <w:r>
        <w:instrText xml:space="preserve"> REF _Ref17884133 \h </w:instrText>
      </w:r>
      <w:r>
        <w:fldChar w:fldCharType="separate"/>
      </w:r>
      <w:r w:rsidR="002967AB">
        <w:t xml:space="preserve">Figure </w:t>
      </w:r>
      <w:r w:rsidR="002967AB">
        <w:rPr>
          <w:noProof/>
        </w:rPr>
        <w:t>15</w:t>
      </w:r>
      <w:r>
        <w:fldChar w:fldCharType="end"/>
      </w:r>
      <w:r>
        <w:t xml:space="preserve"> </w:t>
      </w:r>
      <w:r w:rsidR="003B20E3">
        <w:t xml:space="preserve">shows the distribution of </w:t>
      </w:r>
      <w:r w:rsidR="00173880">
        <w:t xml:space="preserve">total </w:t>
      </w:r>
      <w:r w:rsidR="003B20E3">
        <w:t xml:space="preserve">stipend support </w:t>
      </w:r>
      <w:r w:rsidR="00CE1363">
        <w:t>for doctoral students based on the results of the survey</w:t>
      </w:r>
      <w:r w:rsidR="00391277">
        <w:t xml:space="preserve">. </w:t>
      </w:r>
      <w:r w:rsidR="008D1BB7">
        <w:t xml:space="preserve">Most students, both full-time and part-time, received a stipend close to the minimum base </w:t>
      </w:r>
      <w:r w:rsidR="00EB359E">
        <w:t xml:space="preserve">full-time </w:t>
      </w:r>
      <w:r w:rsidR="00CE5899">
        <w:t>RTP stipend</w:t>
      </w:r>
      <w:r w:rsidR="008D1BB7">
        <w:t xml:space="preserve"> </w:t>
      </w:r>
      <w:r w:rsidR="008D1BB7" w:rsidRPr="00F63D95">
        <w:t>($27,082</w:t>
      </w:r>
      <w:r w:rsidR="008D1BB7">
        <w:t xml:space="preserve"> in 2018).</w:t>
      </w:r>
    </w:p>
    <w:p w14:paraId="06A3CC48" w14:textId="28609CD4" w:rsidR="0080050C" w:rsidRDefault="009F0953">
      <w:r>
        <w:t>There was a wide range in the level of stipend support provided ($1,781 to $56,266) to doctoral students, and the median doctoral</w:t>
      </w:r>
      <w:r w:rsidR="008D1BB7">
        <w:t xml:space="preserve"> </w:t>
      </w:r>
      <w:r>
        <w:t xml:space="preserve">full-time stipend </w:t>
      </w:r>
      <w:r w:rsidRPr="00F63D95">
        <w:t>($27,082</w:t>
      </w:r>
      <w:r>
        <w:t>) was greater than the median stipend</w:t>
      </w:r>
      <w:r w:rsidR="0080050C">
        <w:br w:type="page"/>
      </w:r>
    </w:p>
    <w:p w14:paraId="098EC5D6" w14:textId="1FC0239D" w:rsidR="009F0953" w:rsidRDefault="009F0953" w:rsidP="009F0953">
      <w:r>
        <w:t xml:space="preserve">for students studying part-time ($24,739). </w:t>
      </w:r>
      <w:r w:rsidR="00D77145">
        <w:t xml:space="preserve">Of the 233 doctoral students receiving a stipend, </w:t>
      </w:r>
      <w:r w:rsidR="00286513">
        <w:br/>
      </w:r>
      <w:r w:rsidR="00D77145">
        <w:t xml:space="preserve">77 per cent were enrolled full-time. </w:t>
      </w:r>
    </w:p>
    <w:p w14:paraId="49EDF0C3" w14:textId="2A592D68" w:rsidR="00C33127" w:rsidRDefault="00682A76" w:rsidP="00C33127">
      <w:r>
        <w:t xml:space="preserve">Doctoral students received higher median stipend rates than master’s students; this was the case for both full-time and part-time students. </w:t>
      </w:r>
      <w:r w:rsidR="00C33127">
        <w:t xml:space="preserve">The majority of </w:t>
      </w:r>
      <w:r w:rsidR="002A5012">
        <w:t>master’s</w:t>
      </w:r>
      <w:r w:rsidR="00C33127">
        <w:t xml:space="preserve"> students </w:t>
      </w:r>
      <w:r>
        <w:t>who received</w:t>
      </w:r>
      <w:r w:rsidR="00C33127">
        <w:t xml:space="preserve"> a stipend were enrolled full-time (46 students or 78 per cent of the total). The median value of stipends provided to full-time </w:t>
      </w:r>
      <w:r w:rsidR="002A5012">
        <w:t>master’s</w:t>
      </w:r>
      <w:r w:rsidR="00C33127">
        <w:t xml:space="preserve"> students was $26,982, with part-time students receiving a lower median amount of $19,052. </w:t>
      </w:r>
      <w:r w:rsidR="00A241FF">
        <w:t>Again, s</w:t>
      </w:r>
      <w:r w:rsidR="00C33127">
        <w:t>ome of the lower stipend rates may have been due to students only being enrolled for part</w:t>
      </w:r>
      <w:r w:rsidR="00A20766">
        <w:t xml:space="preserve"> of the twelve-</w:t>
      </w:r>
      <w:r w:rsidR="002A769E">
        <w:t>month survey period.</w:t>
      </w:r>
    </w:p>
    <w:p w14:paraId="6B17251E" w14:textId="039FF622" w:rsidR="00E108A6" w:rsidRDefault="00D26E00" w:rsidP="00D03F29">
      <w:r>
        <w:t>U</w:t>
      </w:r>
      <w:r w:rsidR="00A90491">
        <w:t>niversities provided a</w:t>
      </w:r>
      <w:r w:rsidR="00CE1363">
        <w:t xml:space="preserve">dditional support </w:t>
      </w:r>
      <w:r w:rsidR="00A90491">
        <w:t>to students through top-ups or allowances. In some cases, this payment equated to an ongoing stipend top-up, where an extra amount was paid to the student along with their base stipend payments. In other cases, this payment is more likely to have been a one-off payment</w:t>
      </w:r>
      <w:r w:rsidR="00682A76">
        <w:t>, for example</w:t>
      </w:r>
      <w:r w:rsidR="00A90491">
        <w:t xml:space="preserve"> to reimburse a student’s travel costs or thesis printing costs</w:t>
      </w:r>
      <w:r w:rsidR="00682A76">
        <w:t>.</w:t>
      </w:r>
      <w:r w:rsidR="00A90491">
        <w:t xml:space="preserve"> </w:t>
      </w:r>
      <w:r w:rsidR="00924922">
        <w:t>Such payments were</w:t>
      </w:r>
      <w:r w:rsidR="00CE1363">
        <w:t xml:space="preserve"> provided to 64 (</w:t>
      </w:r>
      <w:r w:rsidR="00924922">
        <w:t xml:space="preserve">or </w:t>
      </w:r>
      <w:r w:rsidR="00CE1363">
        <w:t xml:space="preserve">36 per cent) of the 179 full-time </w:t>
      </w:r>
      <w:r w:rsidR="00924922">
        <w:t xml:space="preserve">doctoral </w:t>
      </w:r>
      <w:r w:rsidR="00CE1363">
        <w:t>students</w:t>
      </w:r>
      <w:r w:rsidR="00924922">
        <w:t xml:space="preserve"> receiving a stipend, with a</w:t>
      </w:r>
      <w:r w:rsidR="00CE1363">
        <w:t xml:space="preserve"> median value of $5,000. Eighteen (</w:t>
      </w:r>
      <w:r w:rsidR="00924922">
        <w:t xml:space="preserve">or </w:t>
      </w:r>
      <w:r w:rsidR="00CE1363">
        <w:t>13</w:t>
      </w:r>
      <w:r w:rsidR="00924922">
        <w:t xml:space="preserve"> </w:t>
      </w:r>
      <w:r w:rsidR="00CE1363">
        <w:t>per cent) of the part-time PhD students receiving a stipend also received a top-up, which had a median value of $4,809. These top-up amounts have not been inclu</w:t>
      </w:r>
      <w:r w:rsidR="00FC0A65">
        <w:t xml:space="preserve">ded in </w:t>
      </w:r>
      <w:r w:rsidR="00FC0A65">
        <w:fldChar w:fldCharType="begin"/>
      </w:r>
      <w:r w:rsidR="00FC0A65">
        <w:instrText xml:space="preserve"> REF _Ref17884133 \h </w:instrText>
      </w:r>
      <w:r w:rsidR="00FC0A65">
        <w:fldChar w:fldCharType="separate"/>
      </w:r>
      <w:r w:rsidR="002967AB">
        <w:t xml:space="preserve">Figure </w:t>
      </w:r>
      <w:r w:rsidR="002967AB">
        <w:rPr>
          <w:noProof/>
        </w:rPr>
        <w:t>15</w:t>
      </w:r>
      <w:r w:rsidR="00FC0A65">
        <w:fldChar w:fldCharType="end"/>
      </w:r>
      <w:r w:rsidR="00A92F70">
        <w:t>.</w:t>
      </w:r>
    </w:p>
    <w:p w14:paraId="0A300A0D" w14:textId="2C793BC5" w:rsidR="001A67BA" w:rsidRDefault="009D31BE">
      <w:pPr>
        <w:pStyle w:val="Caption"/>
      </w:pPr>
      <w:bookmarkStart w:id="60" w:name="_Ref17884133"/>
      <w:bookmarkStart w:id="61" w:name="_Ref17813945"/>
      <w:bookmarkStart w:id="62" w:name="_Toc18070239"/>
      <w:r>
        <w:t xml:space="preserve">Figure </w:t>
      </w:r>
      <w:r w:rsidR="002C5804">
        <w:fldChar w:fldCharType="begin"/>
      </w:r>
      <w:r w:rsidR="002C5804">
        <w:instrText xml:space="preserve"> SEQ Figure \* ARABIC </w:instrText>
      </w:r>
      <w:r w:rsidR="002C5804">
        <w:fldChar w:fldCharType="separate"/>
      </w:r>
      <w:r w:rsidR="002967AB">
        <w:rPr>
          <w:noProof/>
        </w:rPr>
        <w:t>15</w:t>
      </w:r>
      <w:r w:rsidR="002C5804">
        <w:rPr>
          <w:noProof/>
        </w:rPr>
        <w:fldChar w:fldCharType="end"/>
      </w:r>
      <w:bookmarkEnd w:id="60"/>
      <w:r w:rsidR="001A67BA">
        <w:t>: Indigenous doctoral student stipend rates (per annum), based on 2017</w:t>
      </w:r>
      <w:r w:rsidR="001A67BA" w:rsidRPr="00D16E15">
        <w:t>–</w:t>
      </w:r>
      <w:r w:rsidR="001A67BA">
        <w:t>18 survey data</w:t>
      </w:r>
      <w:bookmarkEnd w:id="61"/>
      <w:bookmarkEnd w:id="62"/>
    </w:p>
    <w:p w14:paraId="63DE129C" w14:textId="4046ECD9" w:rsidR="00937F1B" w:rsidRDefault="00FD2E6E" w:rsidP="00937F1B">
      <w:pPr>
        <w:keepNext/>
      </w:pPr>
      <w:r>
        <w:rPr>
          <w:noProof/>
          <w:lang w:eastAsia="en-AU"/>
        </w:rPr>
        <w:drawing>
          <wp:inline distT="0" distB="0" distL="0" distR="0" wp14:anchorId="35781A5C" wp14:editId="7CEF548F">
            <wp:extent cx="5486400" cy="3602428"/>
            <wp:effectExtent l="0" t="0" r="0" b="0"/>
            <wp:docPr id="20" name="Picture 20" descr="This chart shows the distribution of total stipend support for Indigenous doctoral students based on the results of a survey conducted during the 2017-2018 financial year. Most Indigenous doctoral students, both&#10;full-time and part-time, received a stipend of $25,000-30,000 per annum. Only one student received stipend support of $55,000-60,000 and five students (three full-time and&#10;two part-time) received stipend support of only $5,000 or below." title="Figure 15: Indigenous doctoral student stipend rates (per annum), based on 2017-18 surve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86400" cy="3602428"/>
                    </a:xfrm>
                    <a:prstGeom prst="rect">
                      <a:avLst/>
                    </a:prstGeom>
                    <a:noFill/>
                  </pic:spPr>
                </pic:pic>
              </a:graphicData>
            </a:graphic>
          </wp:inline>
        </w:drawing>
      </w:r>
    </w:p>
    <w:p w14:paraId="42BDE18F" w14:textId="635B7F5D" w:rsidR="00810970" w:rsidRDefault="00810970">
      <w:r>
        <w:br w:type="page"/>
      </w:r>
    </w:p>
    <w:p w14:paraId="69FAE5EC" w14:textId="27F3BDB5" w:rsidR="00E00D95" w:rsidRDefault="00E00D95" w:rsidP="00E00D95">
      <w:pPr>
        <w:pStyle w:val="Heading1"/>
      </w:pPr>
      <w:bookmarkStart w:id="63" w:name="_Toc18070223"/>
      <w:r>
        <w:t>Cohort Analysis</w:t>
      </w:r>
      <w:bookmarkEnd w:id="63"/>
    </w:p>
    <w:p w14:paraId="5EB369C1" w14:textId="756474C4" w:rsidR="00443585" w:rsidRDefault="00443585" w:rsidP="004342A5">
      <w:pPr>
        <w:spacing w:after="0"/>
      </w:pPr>
      <w:r>
        <w:t xml:space="preserve">This analysis </w:t>
      </w:r>
      <w:r w:rsidRPr="00443585">
        <w:t>present</w:t>
      </w:r>
      <w:r w:rsidR="00600B07">
        <w:t>s</w:t>
      </w:r>
      <w:r w:rsidRPr="00443585">
        <w:t xml:space="preserve"> the results of tracking commencing </w:t>
      </w:r>
      <w:r w:rsidR="007D1800">
        <w:t>Indigenous HDR student</w:t>
      </w:r>
      <w:r w:rsidRPr="00443585">
        <w:t xml:space="preserve"> outcomes over time. That is, after nominated periods, how many commencing students </w:t>
      </w:r>
      <w:r w:rsidR="00600B07" w:rsidRPr="00443585">
        <w:t>ha</w:t>
      </w:r>
      <w:r w:rsidR="00600B07">
        <w:t>d</w:t>
      </w:r>
      <w:r w:rsidR="00600B07" w:rsidRPr="00443585">
        <w:t xml:space="preserve"> </w:t>
      </w:r>
      <w:r w:rsidRPr="00443585">
        <w:t xml:space="preserve">completed their studies, how many </w:t>
      </w:r>
      <w:r w:rsidR="00600B07">
        <w:t>were</w:t>
      </w:r>
      <w:r w:rsidR="00600B07" w:rsidRPr="00443585">
        <w:t xml:space="preserve"> </w:t>
      </w:r>
      <w:r w:rsidRPr="00443585">
        <w:t>still studying, a</w:t>
      </w:r>
      <w:r>
        <w:t xml:space="preserve">nd how many </w:t>
      </w:r>
      <w:r w:rsidR="00600B07">
        <w:t xml:space="preserve">had </w:t>
      </w:r>
      <w:r>
        <w:t>not completed their</w:t>
      </w:r>
      <w:r w:rsidRPr="00443585">
        <w:t xml:space="preserve"> course. </w:t>
      </w:r>
      <w:r>
        <w:t>The methodology for the analysis follows the department’s previous cohort analyses.</w:t>
      </w:r>
      <w:r>
        <w:rPr>
          <w:rStyle w:val="FootnoteReference"/>
        </w:rPr>
        <w:footnoteReference w:id="6"/>
      </w:r>
    </w:p>
    <w:p w14:paraId="34FAD145" w14:textId="67A0AE13" w:rsidR="00443585" w:rsidRDefault="00443585" w:rsidP="004342A5">
      <w:pPr>
        <w:spacing w:after="0"/>
      </w:pPr>
    </w:p>
    <w:p w14:paraId="1A430F08" w14:textId="5297F0CB" w:rsidR="00443585" w:rsidRDefault="00443585" w:rsidP="004342A5">
      <w:pPr>
        <w:spacing w:after="0"/>
      </w:pPr>
      <w:r>
        <w:t>Tables 1</w:t>
      </w:r>
      <w:r w:rsidR="00FD2E6E">
        <w:rPr>
          <w:b/>
        </w:rPr>
        <w:t xml:space="preserve"> </w:t>
      </w:r>
      <w:r w:rsidR="00FD2E6E">
        <w:t xml:space="preserve">to </w:t>
      </w:r>
      <w:r>
        <w:t>3 show outcomes after four</w:t>
      </w:r>
      <w:r w:rsidR="003659EF">
        <w:t xml:space="preserve"> (</w:t>
      </w:r>
      <w:r w:rsidR="003659EF">
        <w:fldChar w:fldCharType="begin"/>
      </w:r>
      <w:r w:rsidR="003659EF">
        <w:instrText xml:space="preserve"> REF _Ref17884537 \h </w:instrText>
      </w:r>
      <w:r w:rsidR="003659EF">
        <w:fldChar w:fldCharType="separate"/>
      </w:r>
      <w:r w:rsidR="002967AB">
        <w:t xml:space="preserve">Table </w:t>
      </w:r>
      <w:r w:rsidR="002967AB">
        <w:rPr>
          <w:noProof/>
        </w:rPr>
        <w:t>1</w:t>
      </w:r>
      <w:r w:rsidR="003659EF">
        <w:fldChar w:fldCharType="end"/>
      </w:r>
      <w:r w:rsidR="003659EF">
        <w:t>)</w:t>
      </w:r>
      <w:r>
        <w:t>, six</w:t>
      </w:r>
      <w:r w:rsidR="003659EF">
        <w:t xml:space="preserve"> (</w:t>
      </w:r>
      <w:r w:rsidR="003659EF">
        <w:fldChar w:fldCharType="begin"/>
      </w:r>
      <w:r w:rsidR="003659EF">
        <w:instrText xml:space="preserve"> REF _Ref17884557 \h </w:instrText>
      </w:r>
      <w:r w:rsidR="003659EF">
        <w:fldChar w:fldCharType="separate"/>
      </w:r>
      <w:r w:rsidR="002967AB">
        <w:t xml:space="preserve">Table </w:t>
      </w:r>
      <w:r w:rsidR="002967AB">
        <w:rPr>
          <w:noProof/>
        </w:rPr>
        <w:t>2</w:t>
      </w:r>
      <w:r w:rsidR="003659EF">
        <w:fldChar w:fldCharType="end"/>
      </w:r>
      <w:r w:rsidR="003659EF">
        <w:t>)</w:t>
      </w:r>
      <w:r>
        <w:t xml:space="preserve"> and nine</w:t>
      </w:r>
      <w:r w:rsidR="003659EF">
        <w:t xml:space="preserve"> (</w:t>
      </w:r>
      <w:r w:rsidR="003659EF">
        <w:fldChar w:fldCharType="begin"/>
      </w:r>
      <w:r w:rsidR="003659EF">
        <w:instrText xml:space="preserve"> REF _Ref17884612 \h </w:instrText>
      </w:r>
      <w:r w:rsidR="003659EF">
        <w:fldChar w:fldCharType="separate"/>
      </w:r>
      <w:r w:rsidR="002967AB">
        <w:t xml:space="preserve">Table </w:t>
      </w:r>
      <w:r w:rsidR="002967AB">
        <w:rPr>
          <w:noProof/>
        </w:rPr>
        <w:t>3</w:t>
      </w:r>
      <w:r w:rsidR="003659EF">
        <w:fldChar w:fldCharType="end"/>
      </w:r>
      <w:r w:rsidR="003659EF">
        <w:t>)</w:t>
      </w:r>
      <w:r>
        <w:t xml:space="preserve"> years following commencement of study, beginning with students who commenced in 2007. </w:t>
      </w:r>
      <w:r w:rsidR="00735995">
        <w:t xml:space="preserve">Caution is required </w:t>
      </w:r>
      <w:r w:rsidR="00600B07">
        <w:t xml:space="preserve">when interpreting these figures </w:t>
      </w:r>
      <w:r w:rsidR="00735995">
        <w:t xml:space="preserve">given the small number of enrolments on which these </w:t>
      </w:r>
      <w:r w:rsidR="00EA4CB1">
        <w:t>statistics are based</w:t>
      </w:r>
      <w:r w:rsidR="00015A08">
        <w:t>. However</w:t>
      </w:r>
      <w:r w:rsidR="00600B07">
        <w:t>,</w:t>
      </w:r>
      <w:r w:rsidR="00015A08">
        <w:t xml:space="preserve"> it is clear that Indigenous HDR students </w:t>
      </w:r>
      <w:r w:rsidR="001B62B4">
        <w:t xml:space="preserve">have tended to engage in their courses </w:t>
      </w:r>
      <w:r w:rsidR="00015A08">
        <w:t>over longer timeframes, and</w:t>
      </w:r>
      <w:r w:rsidR="00682A76">
        <w:t xml:space="preserve"> have </w:t>
      </w:r>
      <w:r w:rsidR="00015A08">
        <w:t>exhibited higher dropout rates and lower completion rates than the general domestic HDR population.</w:t>
      </w:r>
    </w:p>
    <w:p w14:paraId="6542B5A7" w14:textId="20D1DAB2" w:rsidR="00FC0A65" w:rsidRPr="00FC0A65" w:rsidRDefault="00FC0A65" w:rsidP="00FC0A65">
      <w:pPr>
        <w:pStyle w:val="Caption"/>
      </w:pPr>
      <w:bookmarkStart w:id="64" w:name="_Ref17884537"/>
      <w:bookmarkStart w:id="65" w:name="_Toc18070240"/>
      <w:r>
        <w:t xml:space="preserve">Table </w:t>
      </w:r>
      <w:r w:rsidR="002C5804">
        <w:fldChar w:fldCharType="begin"/>
      </w:r>
      <w:r w:rsidR="002C5804">
        <w:instrText xml:space="preserve"> SEQ Table \* ARABIC </w:instrText>
      </w:r>
      <w:r w:rsidR="002C5804">
        <w:fldChar w:fldCharType="separate"/>
      </w:r>
      <w:r w:rsidR="002967AB">
        <w:rPr>
          <w:noProof/>
        </w:rPr>
        <w:t>1</w:t>
      </w:r>
      <w:r w:rsidR="002C5804">
        <w:rPr>
          <w:noProof/>
        </w:rPr>
        <w:fldChar w:fldCharType="end"/>
      </w:r>
      <w:bookmarkEnd w:id="64"/>
      <w:r>
        <w:t xml:space="preserve">: </w:t>
      </w:r>
      <w:r w:rsidRPr="006E2E55">
        <w:t>Cohort analysis for Indigenous students commencing a HDR course in 2007 to 2014 over a four year period, 2007–2010, 2008–2011, 2009–2012, 2010–2013, 2011–2014</w:t>
      </w:r>
      <w:r w:rsidR="000A7563">
        <w:t>, 2012–2015, 2013–2016 and 2014</w:t>
      </w:r>
      <w:r w:rsidR="000A7563">
        <w:softHyphen/>
      </w:r>
      <w:r w:rsidR="000A7563">
        <w:softHyphen/>
      </w:r>
      <w:r w:rsidR="000A7563">
        <w:softHyphen/>
      </w:r>
      <w:r w:rsidR="000A7563" w:rsidRPr="006E2E55">
        <w:t>–</w:t>
      </w:r>
      <w:r w:rsidRPr="006E2E55">
        <w:t>2017 (per cent)</w:t>
      </w:r>
      <w:bookmarkEnd w:id="65"/>
    </w:p>
    <w:p w14:paraId="4A8B1A2F" w14:textId="3E64D84C" w:rsidR="00891E73" w:rsidRDefault="00891E73" w:rsidP="00AE5275">
      <w:pPr>
        <w:spacing w:after="0" w:line="240" w:lineRule="auto"/>
        <w:rPr>
          <w:b/>
        </w:rPr>
      </w:pPr>
    </w:p>
    <w:tbl>
      <w:tblPr>
        <w:tblW w:w="9062" w:type="dxa"/>
        <w:jc w:val="center"/>
        <w:tblLayout w:type="fixed"/>
        <w:tblLook w:val="04A0" w:firstRow="1" w:lastRow="0" w:firstColumn="1" w:lastColumn="0" w:noHBand="0" w:noVBand="1"/>
      </w:tblPr>
      <w:tblGrid>
        <w:gridCol w:w="983"/>
        <w:gridCol w:w="1009"/>
        <w:gridCol w:w="1010"/>
        <w:gridCol w:w="1010"/>
        <w:gridCol w:w="1010"/>
        <w:gridCol w:w="1010"/>
        <w:gridCol w:w="1010"/>
        <w:gridCol w:w="1010"/>
        <w:gridCol w:w="1010"/>
      </w:tblGrid>
      <w:tr w:rsidR="00891E73" w:rsidRPr="00891E73" w14:paraId="17133B0D" w14:textId="77777777" w:rsidTr="00DF005E">
        <w:trPr>
          <w:trHeight w:val="1343"/>
          <w:jc w:val="center"/>
        </w:trPr>
        <w:tc>
          <w:tcPr>
            <w:tcW w:w="983" w:type="dxa"/>
            <w:tcBorders>
              <w:top w:val="single" w:sz="8" w:space="0" w:color="auto"/>
              <w:left w:val="single" w:sz="8" w:space="0" w:color="auto"/>
              <w:bottom w:val="nil"/>
              <w:right w:val="single" w:sz="8" w:space="0" w:color="auto"/>
            </w:tcBorders>
            <w:shd w:val="clear" w:color="000000" w:fill="53265C"/>
            <w:vAlign w:val="center"/>
            <w:hideMark/>
          </w:tcPr>
          <w:p w14:paraId="355C1E71"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Cohort group</w:t>
            </w:r>
          </w:p>
        </w:tc>
        <w:tc>
          <w:tcPr>
            <w:tcW w:w="2019" w:type="dxa"/>
            <w:gridSpan w:val="2"/>
            <w:tcBorders>
              <w:top w:val="single" w:sz="8" w:space="0" w:color="auto"/>
              <w:left w:val="single" w:sz="8" w:space="0" w:color="auto"/>
              <w:bottom w:val="nil"/>
              <w:right w:val="single" w:sz="8" w:space="0" w:color="auto"/>
            </w:tcBorders>
            <w:shd w:val="clear" w:color="000000" w:fill="53265C"/>
            <w:vAlign w:val="center"/>
            <w:hideMark/>
          </w:tcPr>
          <w:p w14:paraId="2A089351"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Completed (in any year)</w:t>
            </w:r>
          </w:p>
        </w:tc>
        <w:tc>
          <w:tcPr>
            <w:tcW w:w="2020" w:type="dxa"/>
            <w:gridSpan w:val="2"/>
            <w:tcBorders>
              <w:top w:val="single" w:sz="8" w:space="0" w:color="auto"/>
              <w:left w:val="single" w:sz="8" w:space="0" w:color="auto"/>
              <w:bottom w:val="nil"/>
              <w:right w:val="single" w:sz="8" w:space="0" w:color="auto"/>
            </w:tcBorders>
            <w:shd w:val="clear" w:color="000000" w:fill="53265C"/>
            <w:vAlign w:val="center"/>
            <w:hideMark/>
          </w:tcPr>
          <w:p w14:paraId="26086218"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Still enrolled at the end of the 4 year cohort period</w:t>
            </w:r>
          </w:p>
        </w:tc>
        <w:tc>
          <w:tcPr>
            <w:tcW w:w="2020" w:type="dxa"/>
            <w:gridSpan w:val="2"/>
            <w:tcBorders>
              <w:top w:val="single" w:sz="8" w:space="0" w:color="auto"/>
              <w:left w:val="single" w:sz="8" w:space="0" w:color="auto"/>
              <w:bottom w:val="nil"/>
              <w:right w:val="single" w:sz="8" w:space="0" w:color="auto"/>
            </w:tcBorders>
            <w:shd w:val="clear" w:color="000000" w:fill="53265C"/>
            <w:vAlign w:val="center"/>
            <w:hideMark/>
          </w:tcPr>
          <w:p w14:paraId="2AA7FA21"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Re-enrolled, but dropped out</w:t>
            </w:r>
          </w:p>
        </w:tc>
        <w:tc>
          <w:tcPr>
            <w:tcW w:w="2020" w:type="dxa"/>
            <w:gridSpan w:val="2"/>
            <w:tcBorders>
              <w:top w:val="single" w:sz="8" w:space="0" w:color="auto"/>
              <w:left w:val="single" w:sz="8" w:space="0" w:color="auto"/>
              <w:bottom w:val="single" w:sz="8" w:space="0" w:color="auto"/>
              <w:right w:val="single" w:sz="8" w:space="0" w:color="000000"/>
            </w:tcBorders>
            <w:shd w:val="clear" w:color="000000" w:fill="53265C"/>
            <w:vAlign w:val="center"/>
            <w:hideMark/>
          </w:tcPr>
          <w:p w14:paraId="09337B70"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Never came back after the first year</w:t>
            </w:r>
          </w:p>
        </w:tc>
      </w:tr>
      <w:tr w:rsidR="00B36D36" w:rsidRPr="00891E73" w14:paraId="22EE925E" w14:textId="77777777" w:rsidTr="00594A57">
        <w:trPr>
          <w:trHeight w:val="850"/>
          <w:jc w:val="center"/>
        </w:trPr>
        <w:tc>
          <w:tcPr>
            <w:tcW w:w="98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CD2083" w14:textId="77777777" w:rsidR="00891E73" w:rsidRPr="00891E73" w:rsidRDefault="00891E73" w:rsidP="00891E73">
            <w:pPr>
              <w:spacing w:after="0" w:line="240" w:lineRule="auto"/>
              <w:jc w:val="center"/>
              <w:rPr>
                <w:rFonts w:ascii="Calibri" w:eastAsia="Times New Roman" w:hAnsi="Calibri" w:cs="Times New Roman"/>
                <w:b/>
                <w:bCs/>
                <w:color w:val="FFFFFF"/>
                <w:sz w:val="20"/>
                <w:szCs w:val="20"/>
                <w:lang w:eastAsia="en-AU"/>
              </w:rPr>
            </w:pPr>
            <w:r w:rsidRPr="00891E73">
              <w:rPr>
                <w:rFonts w:ascii="Calibri" w:eastAsia="Times New Roman" w:hAnsi="Calibri" w:cs="Times New Roman"/>
                <w:b/>
                <w:bCs/>
                <w:color w:val="FFFFFF"/>
                <w:sz w:val="20"/>
                <w:szCs w:val="20"/>
                <w:lang w:eastAsia="en-AU"/>
              </w:rPr>
              <w:t> </w:t>
            </w:r>
          </w:p>
        </w:tc>
        <w:tc>
          <w:tcPr>
            <w:tcW w:w="1009" w:type="dxa"/>
            <w:tcBorders>
              <w:top w:val="single" w:sz="8" w:space="0" w:color="auto"/>
              <w:left w:val="nil"/>
              <w:bottom w:val="single" w:sz="8" w:space="0" w:color="auto"/>
              <w:right w:val="nil"/>
            </w:tcBorders>
            <w:shd w:val="clear" w:color="000000" w:fill="FFD5FF"/>
            <w:vAlign w:val="center"/>
            <w:hideMark/>
          </w:tcPr>
          <w:p w14:paraId="736523AB"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0A164E69"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FFFF"/>
            <w:vAlign w:val="center"/>
            <w:hideMark/>
          </w:tcPr>
          <w:p w14:paraId="14CACC38"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3092B0E"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D5FF"/>
            <w:vAlign w:val="center"/>
            <w:hideMark/>
          </w:tcPr>
          <w:p w14:paraId="51C58017"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20CFE18D"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nil"/>
              <w:left w:val="nil"/>
              <w:bottom w:val="single" w:sz="8" w:space="0" w:color="auto"/>
              <w:right w:val="nil"/>
            </w:tcBorders>
            <w:shd w:val="clear" w:color="000000" w:fill="FFFFFF"/>
            <w:vAlign w:val="center"/>
            <w:hideMark/>
          </w:tcPr>
          <w:p w14:paraId="620CA6FA"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nil"/>
              <w:left w:val="single" w:sz="8" w:space="0" w:color="auto"/>
              <w:bottom w:val="single" w:sz="8" w:space="0" w:color="auto"/>
              <w:right w:val="single" w:sz="8" w:space="0" w:color="auto"/>
            </w:tcBorders>
            <w:shd w:val="clear" w:color="000000" w:fill="FFFFFF"/>
            <w:vAlign w:val="center"/>
            <w:hideMark/>
          </w:tcPr>
          <w:p w14:paraId="1A6EACF9" w14:textId="77777777" w:rsidR="00891E73" w:rsidRPr="00DF005E" w:rsidRDefault="00891E73" w:rsidP="00891E73">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r>
      <w:tr w:rsidR="00594A57" w:rsidRPr="00891E73" w14:paraId="044EA8B0"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3571E5AF"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2007</w:t>
            </w:r>
          </w:p>
        </w:tc>
        <w:tc>
          <w:tcPr>
            <w:tcW w:w="1009" w:type="dxa"/>
            <w:tcBorders>
              <w:top w:val="nil"/>
              <w:left w:val="nil"/>
              <w:bottom w:val="single" w:sz="8" w:space="0" w:color="auto"/>
              <w:right w:val="single" w:sz="8" w:space="0" w:color="auto"/>
            </w:tcBorders>
            <w:shd w:val="clear" w:color="000000" w:fill="FFD5FF"/>
            <w:vAlign w:val="center"/>
            <w:hideMark/>
          </w:tcPr>
          <w:p w14:paraId="6D8533A0"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14.3</w:t>
            </w:r>
          </w:p>
        </w:tc>
        <w:tc>
          <w:tcPr>
            <w:tcW w:w="1010" w:type="dxa"/>
            <w:tcBorders>
              <w:top w:val="nil"/>
              <w:left w:val="nil"/>
              <w:bottom w:val="single" w:sz="8" w:space="0" w:color="auto"/>
              <w:right w:val="single" w:sz="8" w:space="0" w:color="auto"/>
            </w:tcBorders>
            <w:shd w:val="clear" w:color="000000" w:fill="FFD5FF"/>
            <w:vAlign w:val="center"/>
            <w:hideMark/>
          </w:tcPr>
          <w:p w14:paraId="2A1A8526"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18.4</w:t>
            </w:r>
          </w:p>
        </w:tc>
        <w:tc>
          <w:tcPr>
            <w:tcW w:w="1010" w:type="dxa"/>
            <w:tcBorders>
              <w:top w:val="nil"/>
              <w:left w:val="nil"/>
              <w:bottom w:val="single" w:sz="8" w:space="0" w:color="auto"/>
              <w:right w:val="single" w:sz="8" w:space="0" w:color="auto"/>
            </w:tcBorders>
            <w:shd w:val="clear" w:color="000000" w:fill="FFFFFF"/>
            <w:vAlign w:val="center"/>
            <w:hideMark/>
          </w:tcPr>
          <w:p w14:paraId="5672DEB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52.4</w:t>
            </w:r>
          </w:p>
        </w:tc>
        <w:tc>
          <w:tcPr>
            <w:tcW w:w="1010" w:type="dxa"/>
            <w:tcBorders>
              <w:top w:val="nil"/>
              <w:left w:val="nil"/>
              <w:bottom w:val="single" w:sz="8" w:space="0" w:color="auto"/>
              <w:right w:val="single" w:sz="8" w:space="0" w:color="auto"/>
            </w:tcBorders>
            <w:shd w:val="clear" w:color="000000" w:fill="FFFFFF"/>
            <w:vAlign w:val="center"/>
            <w:hideMark/>
          </w:tcPr>
          <w:p w14:paraId="0FD7F3FF"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59.4</w:t>
            </w:r>
          </w:p>
        </w:tc>
        <w:tc>
          <w:tcPr>
            <w:tcW w:w="1010" w:type="dxa"/>
            <w:tcBorders>
              <w:top w:val="nil"/>
              <w:left w:val="nil"/>
              <w:bottom w:val="single" w:sz="8" w:space="0" w:color="auto"/>
              <w:right w:val="single" w:sz="8" w:space="0" w:color="auto"/>
            </w:tcBorders>
            <w:shd w:val="clear" w:color="000000" w:fill="FFD5FF"/>
            <w:vAlign w:val="center"/>
            <w:hideMark/>
          </w:tcPr>
          <w:p w14:paraId="6AB8305C"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22.6</w:t>
            </w:r>
          </w:p>
        </w:tc>
        <w:tc>
          <w:tcPr>
            <w:tcW w:w="1010" w:type="dxa"/>
            <w:tcBorders>
              <w:top w:val="nil"/>
              <w:left w:val="nil"/>
              <w:bottom w:val="single" w:sz="8" w:space="0" w:color="auto"/>
              <w:right w:val="single" w:sz="8" w:space="0" w:color="auto"/>
            </w:tcBorders>
            <w:shd w:val="clear" w:color="000000" w:fill="FFD5FF"/>
            <w:vAlign w:val="center"/>
            <w:hideMark/>
          </w:tcPr>
          <w:p w14:paraId="37243880"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13.9</w:t>
            </w:r>
          </w:p>
        </w:tc>
        <w:tc>
          <w:tcPr>
            <w:tcW w:w="1010" w:type="dxa"/>
            <w:tcBorders>
              <w:top w:val="nil"/>
              <w:left w:val="nil"/>
              <w:bottom w:val="single" w:sz="8" w:space="0" w:color="auto"/>
              <w:right w:val="single" w:sz="8" w:space="0" w:color="auto"/>
            </w:tcBorders>
            <w:shd w:val="clear" w:color="000000" w:fill="FFFFFF"/>
            <w:vAlign w:val="center"/>
            <w:hideMark/>
          </w:tcPr>
          <w:p w14:paraId="039862B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10.7*</w:t>
            </w:r>
          </w:p>
        </w:tc>
        <w:tc>
          <w:tcPr>
            <w:tcW w:w="1010" w:type="dxa"/>
            <w:tcBorders>
              <w:top w:val="nil"/>
              <w:left w:val="nil"/>
              <w:bottom w:val="single" w:sz="8" w:space="0" w:color="auto"/>
              <w:right w:val="single" w:sz="8" w:space="0" w:color="auto"/>
            </w:tcBorders>
            <w:shd w:val="clear" w:color="000000" w:fill="FFFFFF"/>
            <w:vAlign w:val="center"/>
            <w:hideMark/>
          </w:tcPr>
          <w:p w14:paraId="0810B72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8.2</w:t>
            </w:r>
          </w:p>
        </w:tc>
      </w:tr>
      <w:tr w:rsidR="00594A57" w:rsidRPr="00891E73" w14:paraId="03CDA5D1"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58AA1BC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2008</w:t>
            </w:r>
          </w:p>
        </w:tc>
        <w:tc>
          <w:tcPr>
            <w:tcW w:w="1009" w:type="dxa"/>
            <w:tcBorders>
              <w:top w:val="nil"/>
              <w:left w:val="nil"/>
              <w:bottom w:val="single" w:sz="8" w:space="0" w:color="auto"/>
              <w:right w:val="single" w:sz="8" w:space="0" w:color="auto"/>
            </w:tcBorders>
            <w:shd w:val="clear" w:color="000000" w:fill="FFD5FF"/>
            <w:vAlign w:val="center"/>
            <w:hideMark/>
          </w:tcPr>
          <w:p w14:paraId="10F8E28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9.7</w:t>
            </w:r>
          </w:p>
        </w:tc>
        <w:tc>
          <w:tcPr>
            <w:tcW w:w="1010" w:type="dxa"/>
            <w:tcBorders>
              <w:top w:val="nil"/>
              <w:left w:val="nil"/>
              <w:bottom w:val="single" w:sz="8" w:space="0" w:color="auto"/>
              <w:right w:val="single" w:sz="8" w:space="0" w:color="auto"/>
            </w:tcBorders>
            <w:shd w:val="clear" w:color="000000" w:fill="FFD5FF"/>
            <w:vAlign w:val="center"/>
            <w:hideMark/>
          </w:tcPr>
          <w:p w14:paraId="3717668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18.4</w:t>
            </w:r>
          </w:p>
        </w:tc>
        <w:tc>
          <w:tcPr>
            <w:tcW w:w="1010" w:type="dxa"/>
            <w:tcBorders>
              <w:top w:val="nil"/>
              <w:left w:val="nil"/>
              <w:bottom w:val="single" w:sz="8" w:space="0" w:color="auto"/>
              <w:right w:val="single" w:sz="8" w:space="0" w:color="auto"/>
            </w:tcBorders>
            <w:shd w:val="clear" w:color="000000" w:fill="FFFFFF"/>
            <w:vAlign w:val="center"/>
            <w:hideMark/>
          </w:tcPr>
          <w:p w14:paraId="17C625B0"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58.3</w:t>
            </w:r>
          </w:p>
        </w:tc>
        <w:tc>
          <w:tcPr>
            <w:tcW w:w="1010" w:type="dxa"/>
            <w:tcBorders>
              <w:top w:val="nil"/>
              <w:left w:val="nil"/>
              <w:bottom w:val="single" w:sz="8" w:space="0" w:color="auto"/>
              <w:right w:val="single" w:sz="8" w:space="0" w:color="auto"/>
            </w:tcBorders>
            <w:shd w:val="clear" w:color="000000" w:fill="FFFFFF"/>
            <w:vAlign w:val="center"/>
            <w:hideMark/>
          </w:tcPr>
          <w:p w14:paraId="27A08B1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60.8</w:t>
            </w:r>
          </w:p>
        </w:tc>
        <w:tc>
          <w:tcPr>
            <w:tcW w:w="1010" w:type="dxa"/>
            <w:tcBorders>
              <w:top w:val="nil"/>
              <w:left w:val="nil"/>
              <w:bottom w:val="single" w:sz="8" w:space="0" w:color="auto"/>
              <w:right w:val="single" w:sz="8" w:space="0" w:color="auto"/>
            </w:tcBorders>
            <w:shd w:val="clear" w:color="000000" w:fill="FFD5FF"/>
            <w:vAlign w:val="center"/>
            <w:hideMark/>
          </w:tcPr>
          <w:p w14:paraId="55047CAB"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21.4</w:t>
            </w:r>
          </w:p>
        </w:tc>
        <w:tc>
          <w:tcPr>
            <w:tcW w:w="1010" w:type="dxa"/>
            <w:tcBorders>
              <w:top w:val="nil"/>
              <w:left w:val="nil"/>
              <w:bottom w:val="single" w:sz="8" w:space="0" w:color="auto"/>
              <w:right w:val="single" w:sz="8" w:space="0" w:color="auto"/>
            </w:tcBorders>
            <w:shd w:val="clear" w:color="000000" w:fill="FFD5FF"/>
            <w:vAlign w:val="center"/>
            <w:hideMark/>
          </w:tcPr>
          <w:p w14:paraId="282F965F"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13.2</w:t>
            </w:r>
          </w:p>
        </w:tc>
        <w:tc>
          <w:tcPr>
            <w:tcW w:w="1010" w:type="dxa"/>
            <w:tcBorders>
              <w:top w:val="nil"/>
              <w:left w:val="nil"/>
              <w:bottom w:val="single" w:sz="8" w:space="0" w:color="auto"/>
              <w:right w:val="single" w:sz="8" w:space="0" w:color="auto"/>
            </w:tcBorders>
            <w:shd w:val="clear" w:color="000000" w:fill="FFFFFF"/>
            <w:vAlign w:val="center"/>
            <w:hideMark/>
          </w:tcPr>
          <w:p w14:paraId="44A883B7"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10.7</w:t>
            </w:r>
          </w:p>
        </w:tc>
        <w:tc>
          <w:tcPr>
            <w:tcW w:w="1010" w:type="dxa"/>
            <w:tcBorders>
              <w:top w:val="nil"/>
              <w:left w:val="nil"/>
              <w:bottom w:val="single" w:sz="8" w:space="0" w:color="auto"/>
              <w:right w:val="single" w:sz="8" w:space="0" w:color="auto"/>
            </w:tcBorders>
            <w:shd w:val="clear" w:color="000000" w:fill="FFFFFF"/>
            <w:vAlign w:val="center"/>
            <w:hideMark/>
          </w:tcPr>
          <w:p w14:paraId="0FD1EF1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7.7</w:t>
            </w:r>
          </w:p>
        </w:tc>
      </w:tr>
      <w:tr w:rsidR="00594A57" w:rsidRPr="00891E73" w14:paraId="65C53CB2"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035EE45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2009</w:t>
            </w:r>
          </w:p>
        </w:tc>
        <w:tc>
          <w:tcPr>
            <w:tcW w:w="1009" w:type="dxa"/>
            <w:tcBorders>
              <w:top w:val="nil"/>
              <w:left w:val="nil"/>
              <w:bottom w:val="single" w:sz="8" w:space="0" w:color="auto"/>
              <w:right w:val="single" w:sz="8" w:space="0" w:color="auto"/>
            </w:tcBorders>
            <w:shd w:val="clear" w:color="000000" w:fill="FFD5FF"/>
            <w:noWrap/>
            <w:vAlign w:val="center"/>
            <w:hideMark/>
          </w:tcPr>
          <w:p w14:paraId="6A6ADE41"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w:t>
            </w:r>
          </w:p>
        </w:tc>
        <w:tc>
          <w:tcPr>
            <w:tcW w:w="1010" w:type="dxa"/>
            <w:tcBorders>
              <w:top w:val="nil"/>
              <w:left w:val="nil"/>
              <w:bottom w:val="single" w:sz="8" w:space="0" w:color="auto"/>
              <w:right w:val="single" w:sz="8" w:space="0" w:color="auto"/>
            </w:tcBorders>
            <w:shd w:val="clear" w:color="000000" w:fill="FFD5FF"/>
            <w:noWrap/>
            <w:vAlign w:val="center"/>
            <w:hideMark/>
          </w:tcPr>
          <w:p w14:paraId="20DD5F1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17.3</w:t>
            </w:r>
          </w:p>
        </w:tc>
        <w:tc>
          <w:tcPr>
            <w:tcW w:w="1010" w:type="dxa"/>
            <w:tcBorders>
              <w:top w:val="nil"/>
              <w:left w:val="nil"/>
              <w:bottom w:val="single" w:sz="8" w:space="0" w:color="auto"/>
              <w:right w:val="single" w:sz="8" w:space="0" w:color="auto"/>
            </w:tcBorders>
            <w:shd w:val="clear" w:color="000000" w:fill="FFFFFF"/>
            <w:noWrap/>
            <w:vAlign w:val="center"/>
            <w:hideMark/>
          </w:tcPr>
          <w:p w14:paraId="679602B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52</w:t>
            </w:r>
          </w:p>
        </w:tc>
        <w:tc>
          <w:tcPr>
            <w:tcW w:w="1010" w:type="dxa"/>
            <w:tcBorders>
              <w:top w:val="nil"/>
              <w:left w:val="nil"/>
              <w:bottom w:val="single" w:sz="8" w:space="0" w:color="auto"/>
              <w:right w:val="single" w:sz="8" w:space="0" w:color="auto"/>
            </w:tcBorders>
            <w:shd w:val="clear" w:color="000000" w:fill="FFFFFF"/>
            <w:noWrap/>
            <w:vAlign w:val="center"/>
            <w:hideMark/>
          </w:tcPr>
          <w:p w14:paraId="00F429DD"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61.1</w:t>
            </w:r>
          </w:p>
        </w:tc>
        <w:tc>
          <w:tcPr>
            <w:tcW w:w="1010" w:type="dxa"/>
            <w:tcBorders>
              <w:top w:val="nil"/>
              <w:left w:val="nil"/>
              <w:bottom w:val="single" w:sz="8" w:space="0" w:color="auto"/>
              <w:right w:val="single" w:sz="8" w:space="0" w:color="auto"/>
            </w:tcBorders>
            <w:shd w:val="clear" w:color="000000" w:fill="FFD5FF"/>
            <w:noWrap/>
            <w:vAlign w:val="center"/>
            <w:hideMark/>
          </w:tcPr>
          <w:p w14:paraId="31F6B9E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24</w:t>
            </w:r>
          </w:p>
        </w:tc>
        <w:tc>
          <w:tcPr>
            <w:tcW w:w="1010" w:type="dxa"/>
            <w:tcBorders>
              <w:top w:val="nil"/>
              <w:left w:val="nil"/>
              <w:bottom w:val="single" w:sz="8" w:space="0" w:color="auto"/>
              <w:right w:val="single" w:sz="8" w:space="0" w:color="auto"/>
            </w:tcBorders>
            <w:shd w:val="clear" w:color="000000" w:fill="FFD5FF"/>
            <w:noWrap/>
            <w:vAlign w:val="center"/>
            <w:hideMark/>
          </w:tcPr>
          <w:p w14:paraId="6146E314"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14.4</w:t>
            </w:r>
          </w:p>
        </w:tc>
        <w:tc>
          <w:tcPr>
            <w:tcW w:w="1010" w:type="dxa"/>
            <w:tcBorders>
              <w:top w:val="nil"/>
              <w:left w:val="nil"/>
              <w:bottom w:val="single" w:sz="8" w:space="0" w:color="auto"/>
              <w:right w:val="single" w:sz="8" w:space="0" w:color="auto"/>
            </w:tcBorders>
            <w:shd w:val="clear" w:color="000000" w:fill="FFFFFF"/>
            <w:noWrap/>
            <w:vAlign w:val="center"/>
            <w:hideMark/>
          </w:tcPr>
          <w:p w14:paraId="77826DE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11</w:t>
            </w:r>
          </w:p>
        </w:tc>
        <w:tc>
          <w:tcPr>
            <w:tcW w:w="1010" w:type="dxa"/>
            <w:tcBorders>
              <w:top w:val="nil"/>
              <w:left w:val="nil"/>
              <w:bottom w:val="single" w:sz="8" w:space="0" w:color="auto"/>
              <w:right w:val="single" w:sz="8" w:space="0" w:color="auto"/>
            </w:tcBorders>
            <w:shd w:val="clear" w:color="000000" w:fill="FFFFFF"/>
            <w:noWrap/>
            <w:vAlign w:val="center"/>
            <w:hideMark/>
          </w:tcPr>
          <w:p w14:paraId="61BE8A1C"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7.1</w:t>
            </w:r>
          </w:p>
        </w:tc>
      </w:tr>
      <w:tr w:rsidR="00594A57" w:rsidRPr="00891E73" w14:paraId="07AE6B2E"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5AB6616A"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2010</w:t>
            </w:r>
          </w:p>
        </w:tc>
        <w:tc>
          <w:tcPr>
            <w:tcW w:w="1009" w:type="dxa"/>
            <w:tcBorders>
              <w:top w:val="nil"/>
              <w:left w:val="nil"/>
              <w:bottom w:val="single" w:sz="8" w:space="0" w:color="auto"/>
              <w:right w:val="single" w:sz="8" w:space="0" w:color="auto"/>
            </w:tcBorders>
            <w:shd w:val="clear" w:color="000000" w:fill="FFD5FF"/>
            <w:noWrap/>
            <w:vAlign w:val="center"/>
            <w:hideMark/>
          </w:tcPr>
          <w:p w14:paraId="21C3F6CD"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7.4*</w:t>
            </w:r>
          </w:p>
        </w:tc>
        <w:tc>
          <w:tcPr>
            <w:tcW w:w="1010" w:type="dxa"/>
            <w:tcBorders>
              <w:top w:val="nil"/>
              <w:left w:val="nil"/>
              <w:bottom w:val="single" w:sz="8" w:space="0" w:color="auto"/>
              <w:right w:val="single" w:sz="8" w:space="0" w:color="auto"/>
            </w:tcBorders>
            <w:shd w:val="clear" w:color="000000" w:fill="FFD5FF"/>
            <w:noWrap/>
            <w:vAlign w:val="center"/>
            <w:hideMark/>
          </w:tcPr>
          <w:p w14:paraId="75DFE166"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18.8</w:t>
            </w:r>
          </w:p>
        </w:tc>
        <w:tc>
          <w:tcPr>
            <w:tcW w:w="1010" w:type="dxa"/>
            <w:tcBorders>
              <w:top w:val="nil"/>
              <w:left w:val="nil"/>
              <w:bottom w:val="single" w:sz="8" w:space="0" w:color="auto"/>
              <w:right w:val="single" w:sz="8" w:space="0" w:color="auto"/>
            </w:tcBorders>
            <w:shd w:val="clear" w:color="000000" w:fill="FFFFFF"/>
            <w:noWrap/>
            <w:vAlign w:val="center"/>
            <w:hideMark/>
          </w:tcPr>
          <w:p w14:paraId="28D6F87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54.7</w:t>
            </w:r>
          </w:p>
        </w:tc>
        <w:tc>
          <w:tcPr>
            <w:tcW w:w="1010" w:type="dxa"/>
            <w:tcBorders>
              <w:top w:val="nil"/>
              <w:left w:val="nil"/>
              <w:bottom w:val="single" w:sz="8" w:space="0" w:color="auto"/>
              <w:right w:val="single" w:sz="8" w:space="0" w:color="auto"/>
            </w:tcBorders>
            <w:shd w:val="clear" w:color="000000" w:fill="FFFFFF"/>
            <w:noWrap/>
            <w:vAlign w:val="center"/>
            <w:hideMark/>
          </w:tcPr>
          <w:p w14:paraId="5A06FB8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59.1</w:t>
            </w:r>
          </w:p>
        </w:tc>
        <w:tc>
          <w:tcPr>
            <w:tcW w:w="1010" w:type="dxa"/>
            <w:tcBorders>
              <w:top w:val="nil"/>
              <w:left w:val="nil"/>
              <w:bottom w:val="single" w:sz="8" w:space="0" w:color="auto"/>
              <w:right w:val="single" w:sz="8" w:space="0" w:color="auto"/>
            </w:tcBorders>
            <w:shd w:val="clear" w:color="000000" w:fill="FFD5FF"/>
            <w:noWrap/>
            <w:vAlign w:val="center"/>
            <w:hideMark/>
          </w:tcPr>
          <w:p w14:paraId="58EBF4A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29.5</w:t>
            </w:r>
          </w:p>
        </w:tc>
        <w:tc>
          <w:tcPr>
            <w:tcW w:w="1010" w:type="dxa"/>
            <w:tcBorders>
              <w:top w:val="nil"/>
              <w:left w:val="nil"/>
              <w:bottom w:val="single" w:sz="8" w:space="0" w:color="auto"/>
              <w:right w:val="single" w:sz="8" w:space="0" w:color="auto"/>
            </w:tcBorders>
            <w:shd w:val="clear" w:color="000000" w:fill="FFD5FF"/>
            <w:noWrap/>
            <w:vAlign w:val="center"/>
            <w:hideMark/>
          </w:tcPr>
          <w:p w14:paraId="6F16AF78"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14.4</w:t>
            </w:r>
          </w:p>
        </w:tc>
        <w:tc>
          <w:tcPr>
            <w:tcW w:w="1010" w:type="dxa"/>
            <w:tcBorders>
              <w:top w:val="nil"/>
              <w:left w:val="nil"/>
              <w:bottom w:val="single" w:sz="8" w:space="0" w:color="auto"/>
              <w:right w:val="single" w:sz="8" w:space="0" w:color="auto"/>
            </w:tcBorders>
            <w:shd w:val="clear" w:color="000000" w:fill="FFFFFF"/>
            <w:noWrap/>
            <w:vAlign w:val="center"/>
            <w:hideMark/>
          </w:tcPr>
          <w:p w14:paraId="54567CE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8.4*</w:t>
            </w:r>
          </w:p>
        </w:tc>
        <w:tc>
          <w:tcPr>
            <w:tcW w:w="1010" w:type="dxa"/>
            <w:tcBorders>
              <w:top w:val="nil"/>
              <w:left w:val="nil"/>
              <w:bottom w:val="single" w:sz="8" w:space="0" w:color="auto"/>
              <w:right w:val="single" w:sz="8" w:space="0" w:color="auto"/>
            </w:tcBorders>
            <w:shd w:val="clear" w:color="000000" w:fill="FFFFFF"/>
            <w:noWrap/>
            <w:vAlign w:val="center"/>
            <w:hideMark/>
          </w:tcPr>
          <w:p w14:paraId="1501F8B1"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7.7</w:t>
            </w:r>
          </w:p>
        </w:tc>
      </w:tr>
      <w:tr w:rsidR="00594A57" w:rsidRPr="00891E73" w14:paraId="314AA7E6"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49528520"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2011</w:t>
            </w:r>
          </w:p>
        </w:tc>
        <w:tc>
          <w:tcPr>
            <w:tcW w:w="1009" w:type="dxa"/>
            <w:tcBorders>
              <w:top w:val="nil"/>
              <w:left w:val="nil"/>
              <w:bottom w:val="single" w:sz="8" w:space="0" w:color="auto"/>
              <w:right w:val="single" w:sz="8" w:space="0" w:color="auto"/>
            </w:tcBorders>
            <w:shd w:val="clear" w:color="000000" w:fill="FFD5FF"/>
            <w:noWrap/>
            <w:vAlign w:val="center"/>
            <w:hideMark/>
          </w:tcPr>
          <w:p w14:paraId="7DC9E60D"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5.7*</w:t>
            </w:r>
          </w:p>
        </w:tc>
        <w:tc>
          <w:tcPr>
            <w:tcW w:w="1010" w:type="dxa"/>
            <w:tcBorders>
              <w:top w:val="nil"/>
              <w:left w:val="nil"/>
              <w:bottom w:val="single" w:sz="8" w:space="0" w:color="auto"/>
              <w:right w:val="single" w:sz="8" w:space="0" w:color="auto"/>
            </w:tcBorders>
            <w:shd w:val="clear" w:color="000000" w:fill="FFD5FF"/>
            <w:noWrap/>
            <w:vAlign w:val="center"/>
            <w:hideMark/>
          </w:tcPr>
          <w:p w14:paraId="458B813A"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17.7</w:t>
            </w:r>
          </w:p>
        </w:tc>
        <w:tc>
          <w:tcPr>
            <w:tcW w:w="1010" w:type="dxa"/>
            <w:tcBorders>
              <w:top w:val="nil"/>
              <w:left w:val="nil"/>
              <w:bottom w:val="single" w:sz="8" w:space="0" w:color="auto"/>
              <w:right w:val="single" w:sz="8" w:space="0" w:color="auto"/>
            </w:tcBorders>
            <w:shd w:val="clear" w:color="000000" w:fill="FFFFFF"/>
            <w:noWrap/>
            <w:vAlign w:val="center"/>
            <w:hideMark/>
          </w:tcPr>
          <w:p w14:paraId="13E9555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58.6</w:t>
            </w:r>
          </w:p>
        </w:tc>
        <w:tc>
          <w:tcPr>
            <w:tcW w:w="1010" w:type="dxa"/>
            <w:tcBorders>
              <w:top w:val="nil"/>
              <w:left w:val="nil"/>
              <w:bottom w:val="single" w:sz="8" w:space="0" w:color="auto"/>
              <w:right w:val="single" w:sz="8" w:space="0" w:color="auto"/>
            </w:tcBorders>
            <w:shd w:val="clear" w:color="000000" w:fill="FFFFFF"/>
            <w:noWrap/>
            <w:vAlign w:val="center"/>
            <w:hideMark/>
          </w:tcPr>
          <w:p w14:paraId="797B476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61.7</w:t>
            </w:r>
          </w:p>
        </w:tc>
        <w:tc>
          <w:tcPr>
            <w:tcW w:w="1010" w:type="dxa"/>
            <w:tcBorders>
              <w:top w:val="nil"/>
              <w:left w:val="nil"/>
              <w:bottom w:val="single" w:sz="8" w:space="0" w:color="auto"/>
              <w:right w:val="single" w:sz="8" w:space="0" w:color="auto"/>
            </w:tcBorders>
            <w:shd w:val="clear" w:color="000000" w:fill="FFD5FF"/>
            <w:noWrap/>
            <w:vAlign w:val="center"/>
            <w:hideMark/>
          </w:tcPr>
          <w:p w14:paraId="096E92EF"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24.1</w:t>
            </w:r>
          </w:p>
        </w:tc>
        <w:tc>
          <w:tcPr>
            <w:tcW w:w="1010" w:type="dxa"/>
            <w:tcBorders>
              <w:top w:val="nil"/>
              <w:left w:val="nil"/>
              <w:bottom w:val="single" w:sz="8" w:space="0" w:color="auto"/>
              <w:right w:val="single" w:sz="8" w:space="0" w:color="auto"/>
            </w:tcBorders>
            <w:shd w:val="clear" w:color="000000" w:fill="FFD5FF"/>
            <w:noWrap/>
            <w:vAlign w:val="center"/>
            <w:hideMark/>
          </w:tcPr>
          <w:p w14:paraId="720798F0"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13.6</w:t>
            </w:r>
          </w:p>
        </w:tc>
        <w:tc>
          <w:tcPr>
            <w:tcW w:w="1010" w:type="dxa"/>
            <w:tcBorders>
              <w:top w:val="nil"/>
              <w:left w:val="nil"/>
              <w:bottom w:val="single" w:sz="8" w:space="0" w:color="auto"/>
              <w:right w:val="single" w:sz="8" w:space="0" w:color="auto"/>
            </w:tcBorders>
            <w:shd w:val="clear" w:color="000000" w:fill="FFFFFF"/>
            <w:noWrap/>
            <w:vAlign w:val="center"/>
            <w:hideMark/>
          </w:tcPr>
          <w:p w14:paraId="28831F48"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11.5</w:t>
            </w:r>
          </w:p>
        </w:tc>
        <w:tc>
          <w:tcPr>
            <w:tcW w:w="1010" w:type="dxa"/>
            <w:tcBorders>
              <w:top w:val="nil"/>
              <w:left w:val="nil"/>
              <w:bottom w:val="single" w:sz="8" w:space="0" w:color="auto"/>
              <w:right w:val="single" w:sz="8" w:space="0" w:color="auto"/>
            </w:tcBorders>
            <w:shd w:val="clear" w:color="000000" w:fill="FFFFFF"/>
            <w:noWrap/>
            <w:vAlign w:val="center"/>
            <w:hideMark/>
          </w:tcPr>
          <w:p w14:paraId="4953DCC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6.9</w:t>
            </w:r>
          </w:p>
        </w:tc>
      </w:tr>
      <w:tr w:rsidR="00594A57" w:rsidRPr="00891E73" w14:paraId="68CB4656"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1817ECF6"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2012</w:t>
            </w:r>
          </w:p>
        </w:tc>
        <w:tc>
          <w:tcPr>
            <w:tcW w:w="1009" w:type="dxa"/>
            <w:tcBorders>
              <w:top w:val="nil"/>
              <w:left w:val="nil"/>
              <w:bottom w:val="single" w:sz="8" w:space="0" w:color="auto"/>
              <w:right w:val="single" w:sz="8" w:space="0" w:color="auto"/>
            </w:tcBorders>
            <w:shd w:val="clear" w:color="000000" w:fill="FFD5FF"/>
            <w:noWrap/>
            <w:vAlign w:val="center"/>
            <w:hideMark/>
          </w:tcPr>
          <w:p w14:paraId="68EA5B01"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7.2*</w:t>
            </w:r>
          </w:p>
        </w:tc>
        <w:tc>
          <w:tcPr>
            <w:tcW w:w="1010" w:type="dxa"/>
            <w:tcBorders>
              <w:top w:val="nil"/>
              <w:left w:val="nil"/>
              <w:bottom w:val="single" w:sz="8" w:space="0" w:color="auto"/>
              <w:right w:val="single" w:sz="8" w:space="0" w:color="auto"/>
            </w:tcBorders>
            <w:shd w:val="clear" w:color="000000" w:fill="FFD5FF"/>
            <w:noWrap/>
            <w:vAlign w:val="center"/>
            <w:hideMark/>
          </w:tcPr>
          <w:p w14:paraId="01B213B4"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17.9</w:t>
            </w:r>
          </w:p>
        </w:tc>
        <w:tc>
          <w:tcPr>
            <w:tcW w:w="1010" w:type="dxa"/>
            <w:tcBorders>
              <w:top w:val="nil"/>
              <w:left w:val="nil"/>
              <w:bottom w:val="single" w:sz="8" w:space="0" w:color="auto"/>
              <w:right w:val="single" w:sz="8" w:space="0" w:color="auto"/>
            </w:tcBorders>
            <w:shd w:val="clear" w:color="000000" w:fill="FFFFFF"/>
            <w:noWrap/>
            <w:vAlign w:val="center"/>
            <w:hideMark/>
          </w:tcPr>
          <w:p w14:paraId="27AA87C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63.1</w:t>
            </w:r>
          </w:p>
        </w:tc>
        <w:tc>
          <w:tcPr>
            <w:tcW w:w="1010" w:type="dxa"/>
            <w:tcBorders>
              <w:top w:val="nil"/>
              <w:left w:val="nil"/>
              <w:bottom w:val="single" w:sz="8" w:space="0" w:color="auto"/>
              <w:right w:val="single" w:sz="8" w:space="0" w:color="auto"/>
            </w:tcBorders>
            <w:shd w:val="clear" w:color="000000" w:fill="FFFFFF"/>
            <w:noWrap/>
            <w:vAlign w:val="center"/>
            <w:hideMark/>
          </w:tcPr>
          <w:p w14:paraId="5428B22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62.2</w:t>
            </w:r>
          </w:p>
        </w:tc>
        <w:tc>
          <w:tcPr>
            <w:tcW w:w="1010" w:type="dxa"/>
            <w:tcBorders>
              <w:top w:val="nil"/>
              <w:left w:val="nil"/>
              <w:bottom w:val="single" w:sz="8" w:space="0" w:color="auto"/>
              <w:right w:val="single" w:sz="8" w:space="0" w:color="auto"/>
            </w:tcBorders>
            <w:shd w:val="clear" w:color="000000" w:fill="FFD5FF"/>
            <w:noWrap/>
            <w:vAlign w:val="center"/>
            <w:hideMark/>
          </w:tcPr>
          <w:p w14:paraId="38470AC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25.2</w:t>
            </w:r>
          </w:p>
        </w:tc>
        <w:tc>
          <w:tcPr>
            <w:tcW w:w="1010" w:type="dxa"/>
            <w:tcBorders>
              <w:top w:val="nil"/>
              <w:left w:val="nil"/>
              <w:bottom w:val="single" w:sz="8" w:space="0" w:color="auto"/>
              <w:right w:val="single" w:sz="8" w:space="0" w:color="auto"/>
            </w:tcBorders>
            <w:shd w:val="clear" w:color="000000" w:fill="FFD5FF"/>
            <w:noWrap/>
            <w:vAlign w:val="center"/>
            <w:hideMark/>
          </w:tcPr>
          <w:p w14:paraId="18759697"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13.9</w:t>
            </w:r>
          </w:p>
        </w:tc>
        <w:tc>
          <w:tcPr>
            <w:tcW w:w="1010" w:type="dxa"/>
            <w:tcBorders>
              <w:top w:val="nil"/>
              <w:left w:val="nil"/>
              <w:bottom w:val="single" w:sz="8" w:space="0" w:color="auto"/>
              <w:right w:val="single" w:sz="8" w:space="0" w:color="auto"/>
            </w:tcBorders>
            <w:shd w:val="clear" w:color="000000" w:fill="FFFFFF"/>
            <w:noWrap/>
            <w:vAlign w:val="center"/>
            <w:hideMark/>
          </w:tcPr>
          <w:p w14:paraId="721EE2F6"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4.5*</w:t>
            </w:r>
          </w:p>
        </w:tc>
        <w:tc>
          <w:tcPr>
            <w:tcW w:w="1010" w:type="dxa"/>
            <w:tcBorders>
              <w:top w:val="nil"/>
              <w:left w:val="nil"/>
              <w:bottom w:val="single" w:sz="8" w:space="0" w:color="auto"/>
              <w:right w:val="single" w:sz="8" w:space="0" w:color="auto"/>
            </w:tcBorders>
            <w:shd w:val="clear" w:color="000000" w:fill="FFFFFF"/>
            <w:noWrap/>
            <w:vAlign w:val="center"/>
            <w:hideMark/>
          </w:tcPr>
          <w:p w14:paraId="25F5FBD8"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w:t>
            </w:r>
          </w:p>
        </w:tc>
      </w:tr>
      <w:tr w:rsidR="00594A57" w:rsidRPr="00891E73" w14:paraId="232DEF72"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59564C46"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2013</w:t>
            </w:r>
          </w:p>
        </w:tc>
        <w:tc>
          <w:tcPr>
            <w:tcW w:w="1009" w:type="dxa"/>
            <w:tcBorders>
              <w:top w:val="nil"/>
              <w:left w:val="nil"/>
              <w:bottom w:val="single" w:sz="8" w:space="0" w:color="auto"/>
              <w:right w:val="single" w:sz="8" w:space="0" w:color="auto"/>
            </w:tcBorders>
            <w:shd w:val="clear" w:color="000000" w:fill="FFD5FF"/>
            <w:noWrap/>
            <w:vAlign w:val="center"/>
            <w:hideMark/>
          </w:tcPr>
          <w:p w14:paraId="5EB8FD02"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18.5</w:t>
            </w:r>
          </w:p>
        </w:tc>
        <w:tc>
          <w:tcPr>
            <w:tcW w:w="1010" w:type="dxa"/>
            <w:tcBorders>
              <w:top w:val="nil"/>
              <w:left w:val="nil"/>
              <w:bottom w:val="single" w:sz="8" w:space="0" w:color="auto"/>
              <w:right w:val="single" w:sz="8" w:space="0" w:color="auto"/>
            </w:tcBorders>
            <w:shd w:val="clear" w:color="000000" w:fill="FFD5FF"/>
            <w:noWrap/>
            <w:vAlign w:val="center"/>
            <w:hideMark/>
          </w:tcPr>
          <w:p w14:paraId="79CF1EEC"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17.5</w:t>
            </w:r>
          </w:p>
        </w:tc>
        <w:tc>
          <w:tcPr>
            <w:tcW w:w="1010" w:type="dxa"/>
            <w:tcBorders>
              <w:top w:val="nil"/>
              <w:left w:val="nil"/>
              <w:bottom w:val="single" w:sz="8" w:space="0" w:color="auto"/>
              <w:right w:val="single" w:sz="8" w:space="0" w:color="auto"/>
            </w:tcBorders>
            <w:shd w:val="clear" w:color="000000" w:fill="FFFFFF"/>
            <w:noWrap/>
            <w:vAlign w:val="center"/>
            <w:hideMark/>
          </w:tcPr>
          <w:p w14:paraId="19E244D7"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59.3</w:t>
            </w:r>
          </w:p>
        </w:tc>
        <w:tc>
          <w:tcPr>
            <w:tcW w:w="1010" w:type="dxa"/>
            <w:tcBorders>
              <w:top w:val="nil"/>
              <w:left w:val="nil"/>
              <w:bottom w:val="single" w:sz="8" w:space="0" w:color="auto"/>
              <w:right w:val="single" w:sz="8" w:space="0" w:color="auto"/>
            </w:tcBorders>
            <w:shd w:val="clear" w:color="000000" w:fill="FFFFFF"/>
            <w:noWrap/>
            <w:vAlign w:val="center"/>
            <w:hideMark/>
          </w:tcPr>
          <w:p w14:paraId="18779E6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63</w:t>
            </w:r>
          </w:p>
        </w:tc>
        <w:tc>
          <w:tcPr>
            <w:tcW w:w="1010" w:type="dxa"/>
            <w:tcBorders>
              <w:top w:val="nil"/>
              <w:left w:val="nil"/>
              <w:bottom w:val="single" w:sz="8" w:space="0" w:color="auto"/>
              <w:right w:val="single" w:sz="8" w:space="0" w:color="auto"/>
            </w:tcBorders>
            <w:shd w:val="clear" w:color="000000" w:fill="FFD5FF"/>
            <w:noWrap/>
            <w:vAlign w:val="center"/>
            <w:hideMark/>
          </w:tcPr>
          <w:p w14:paraId="4003EADF"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11.1*</w:t>
            </w:r>
          </w:p>
        </w:tc>
        <w:tc>
          <w:tcPr>
            <w:tcW w:w="1010" w:type="dxa"/>
            <w:tcBorders>
              <w:top w:val="nil"/>
              <w:left w:val="nil"/>
              <w:bottom w:val="single" w:sz="8" w:space="0" w:color="auto"/>
              <w:right w:val="single" w:sz="8" w:space="0" w:color="auto"/>
            </w:tcBorders>
            <w:shd w:val="clear" w:color="000000" w:fill="FFD5FF"/>
            <w:noWrap/>
            <w:vAlign w:val="center"/>
            <w:hideMark/>
          </w:tcPr>
          <w:p w14:paraId="71563B9C"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13.5</w:t>
            </w:r>
          </w:p>
        </w:tc>
        <w:tc>
          <w:tcPr>
            <w:tcW w:w="1010" w:type="dxa"/>
            <w:tcBorders>
              <w:top w:val="nil"/>
              <w:left w:val="nil"/>
              <w:bottom w:val="single" w:sz="8" w:space="0" w:color="auto"/>
              <w:right w:val="single" w:sz="8" w:space="0" w:color="auto"/>
            </w:tcBorders>
            <w:shd w:val="clear" w:color="000000" w:fill="FFFFFF"/>
            <w:noWrap/>
            <w:vAlign w:val="center"/>
            <w:hideMark/>
          </w:tcPr>
          <w:p w14:paraId="1439BE4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11.1*</w:t>
            </w:r>
          </w:p>
        </w:tc>
        <w:tc>
          <w:tcPr>
            <w:tcW w:w="1010" w:type="dxa"/>
            <w:tcBorders>
              <w:top w:val="nil"/>
              <w:left w:val="nil"/>
              <w:bottom w:val="single" w:sz="8" w:space="0" w:color="auto"/>
              <w:right w:val="single" w:sz="8" w:space="0" w:color="auto"/>
            </w:tcBorders>
            <w:shd w:val="clear" w:color="000000" w:fill="FFFFFF"/>
            <w:noWrap/>
            <w:vAlign w:val="center"/>
            <w:hideMark/>
          </w:tcPr>
          <w:p w14:paraId="06451471"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w:t>
            </w:r>
          </w:p>
        </w:tc>
      </w:tr>
      <w:tr w:rsidR="00594A57" w:rsidRPr="00891E73" w14:paraId="6495C6D4" w14:textId="77777777" w:rsidTr="00594A57">
        <w:trPr>
          <w:trHeight w:val="31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3447AB5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2014</w:t>
            </w:r>
          </w:p>
        </w:tc>
        <w:tc>
          <w:tcPr>
            <w:tcW w:w="1009" w:type="dxa"/>
            <w:tcBorders>
              <w:top w:val="nil"/>
              <w:left w:val="nil"/>
              <w:bottom w:val="single" w:sz="8" w:space="0" w:color="auto"/>
              <w:right w:val="single" w:sz="8" w:space="0" w:color="auto"/>
            </w:tcBorders>
            <w:shd w:val="clear" w:color="000000" w:fill="FFD5FF"/>
            <w:noWrap/>
            <w:vAlign w:val="center"/>
            <w:hideMark/>
          </w:tcPr>
          <w:p w14:paraId="3C8470DC"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12.9</w:t>
            </w:r>
          </w:p>
        </w:tc>
        <w:tc>
          <w:tcPr>
            <w:tcW w:w="1010" w:type="dxa"/>
            <w:tcBorders>
              <w:top w:val="nil"/>
              <w:left w:val="nil"/>
              <w:bottom w:val="single" w:sz="8" w:space="0" w:color="auto"/>
              <w:right w:val="single" w:sz="8" w:space="0" w:color="auto"/>
            </w:tcBorders>
            <w:shd w:val="clear" w:color="000000" w:fill="FFD5FF"/>
            <w:noWrap/>
            <w:vAlign w:val="center"/>
            <w:hideMark/>
          </w:tcPr>
          <w:p w14:paraId="3FEA7C5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20.3</w:t>
            </w:r>
          </w:p>
        </w:tc>
        <w:tc>
          <w:tcPr>
            <w:tcW w:w="1010" w:type="dxa"/>
            <w:tcBorders>
              <w:top w:val="nil"/>
              <w:left w:val="nil"/>
              <w:bottom w:val="single" w:sz="8" w:space="0" w:color="auto"/>
              <w:right w:val="single" w:sz="8" w:space="0" w:color="auto"/>
            </w:tcBorders>
            <w:shd w:val="clear" w:color="000000" w:fill="FFFFFF"/>
            <w:noWrap/>
            <w:vAlign w:val="center"/>
            <w:hideMark/>
          </w:tcPr>
          <w:p w14:paraId="21B1F0D3"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57.6</w:t>
            </w:r>
          </w:p>
        </w:tc>
        <w:tc>
          <w:tcPr>
            <w:tcW w:w="1010" w:type="dxa"/>
            <w:tcBorders>
              <w:top w:val="nil"/>
              <w:left w:val="nil"/>
              <w:bottom w:val="single" w:sz="8" w:space="0" w:color="auto"/>
              <w:right w:val="single" w:sz="8" w:space="0" w:color="auto"/>
            </w:tcBorders>
            <w:shd w:val="clear" w:color="000000" w:fill="FFFFFF"/>
            <w:noWrap/>
            <w:vAlign w:val="center"/>
            <w:hideMark/>
          </w:tcPr>
          <w:p w14:paraId="42709DDA"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59.5</w:t>
            </w:r>
          </w:p>
        </w:tc>
        <w:tc>
          <w:tcPr>
            <w:tcW w:w="1010" w:type="dxa"/>
            <w:tcBorders>
              <w:top w:val="nil"/>
              <w:left w:val="nil"/>
              <w:bottom w:val="single" w:sz="8" w:space="0" w:color="auto"/>
              <w:right w:val="single" w:sz="8" w:space="0" w:color="auto"/>
            </w:tcBorders>
            <w:shd w:val="clear" w:color="000000" w:fill="FFD5FF"/>
            <w:noWrap/>
            <w:vAlign w:val="center"/>
            <w:hideMark/>
          </w:tcPr>
          <w:p w14:paraId="75648DCE"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22</w:t>
            </w:r>
          </w:p>
        </w:tc>
        <w:tc>
          <w:tcPr>
            <w:tcW w:w="1010" w:type="dxa"/>
            <w:tcBorders>
              <w:top w:val="nil"/>
              <w:left w:val="nil"/>
              <w:bottom w:val="single" w:sz="8" w:space="0" w:color="auto"/>
              <w:right w:val="single" w:sz="8" w:space="0" w:color="auto"/>
            </w:tcBorders>
            <w:shd w:val="clear" w:color="000000" w:fill="FFD5FF"/>
            <w:noWrap/>
            <w:vAlign w:val="center"/>
            <w:hideMark/>
          </w:tcPr>
          <w:p w14:paraId="2DA12155"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13.6</w:t>
            </w:r>
          </w:p>
        </w:tc>
        <w:tc>
          <w:tcPr>
            <w:tcW w:w="1010" w:type="dxa"/>
            <w:tcBorders>
              <w:top w:val="nil"/>
              <w:left w:val="nil"/>
              <w:bottom w:val="single" w:sz="8" w:space="0" w:color="auto"/>
              <w:right w:val="single" w:sz="8" w:space="0" w:color="auto"/>
            </w:tcBorders>
            <w:shd w:val="clear" w:color="000000" w:fill="FFFFFF"/>
            <w:noWrap/>
            <w:vAlign w:val="center"/>
            <w:hideMark/>
          </w:tcPr>
          <w:p w14:paraId="19887959"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7.6</w:t>
            </w:r>
          </w:p>
        </w:tc>
        <w:tc>
          <w:tcPr>
            <w:tcW w:w="1010" w:type="dxa"/>
            <w:tcBorders>
              <w:top w:val="nil"/>
              <w:left w:val="nil"/>
              <w:bottom w:val="single" w:sz="8" w:space="0" w:color="auto"/>
              <w:right w:val="single" w:sz="8" w:space="0" w:color="auto"/>
            </w:tcBorders>
            <w:shd w:val="clear" w:color="000000" w:fill="FFFFFF"/>
            <w:noWrap/>
            <w:vAlign w:val="center"/>
            <w:hideMark/>
          </w:tcPr>
          <w:p w14:paraId="23A3F90A" w14:textId="77777777" w:rsidR="00891E73" w:rsidRPr="00891E73" w:rsidRDefault="00891E73" w:rsidP="00891E73">
            <w:pPr>
              <w:spacing w:after="0" w:line="240" w:lineRule="auto"/>
              <w:jc w:val="center"/>
              <w:rPr>
                <w:rFonts w:ascii="Calibri" w:eastAsia="Times New Roman" w:hAnsi="Calibri" w:cs="Times New Roman"/>
                <w:color w:val="000000"/>
                <w:sz w:val="20"/>
                <w:szCs w:val="20"/>
                <w:lang w:eastAsia="en-AU"/>
              </w:rPr>
            </w:pPr>
            <w:r w:rsidRPr="00891E73">
              <w:rPr>
                <w:rFonts w:ascii="Calibri" w:eastAsia="Times New Roman" w:hAnsi="Calibri" w:cs="Times New Roman"/>
                <w:color w:val="000000"/>
                <w:sz w:val="20"/>
                <w:szCs w:val="20"/>
                <w:lang w:eastAsia="en-AU"/>
              </w:rPr>
              <w:t>6.6</w:t>
            </w:r>
          </w:p>
        </w:tc>
      </w:tr>
    </w:tbl>
    <w:p w14:paraId="3081EB8E" w14:textId="77777777" w:rsidR="0055151C" w:rsidRDefault="0055151C" w:rsidP="0055151C">
      <w:pPr>
        <w:rPr>
          <w:rFonts w:eastAsia="Times New Roman" w:cstheme="minorHAnsi"/>
          <w:sz w:val="20"/>
          <w:szCs w:val="20"/>
          <w:lang w:eastAsia="en-AU"/>
        </w:rPr>
      </w:pPr>
      <w:r w:rsidRPr="00FB0B47">
        <w:rPr>
          <w:rFonts w:eastAsia="Times New Roman" w:cstheme="minorHAnsi"/>
          <w:sz w:val="20"/>
          <w:szCs w:val="20"/>
          <w:lang w:eastAsia="en-AU"/>
        </w:rPr>
        <w:t xml:space="preserve">*Calculation is based on </w:t>
      </w:r>
      <w:r>
        <w:rPr>
          <w:rFonts w:eastAsia="Times New Roman" w:cstheme="minorHAnsi"/>
          <w:sz w:val="20"/>
          <w:szCs w:val="20"/>
          <w:lang w:eastAsia="en-AU"/>
        </w:rPr>
        <w:t>fewer</w:t>
      </w:r>
      <w:r w:rsidRPr="00FB0B47">
        <w:rPr>
          <w:rFonts w:eastAsia="Times New Roman" w:cstheme="minorHAnsi"/>
          <w:sz w:val="20"/>
          <w:szCs w:val="20"/>
          <w:lang w:eastAsia="en-AU"/>
        </w:rPr>
        <w:t xml:space="preserve"> than 10 students</w:t>
      </w:r>
    </w:p>
    <w:p w14:paraId="07090A1A" w14:textId="77777777" w:rsidR="007D1800" w:rsidRDefault="007D1800" w:rsidP="004342A5">
      <w:pPr>
        <w:spacing w:after="0"/>
        <w:rPr>
          <w:b/>
        </w:rPr>
      </w:pPr>
      <w:r>
        <w:rPr>
          <w:b/>
        </w:rPr>
        <w:br w:type="page"/>
      </w:r>
    </w:p>
    <w:p w14:paraId="6C938FCF" w14:textId="26D678C5" w:rsidR="00FC0A65" w:rsidRDefault="00FC0A65" w:rsidP="00FC0A65">
      <w:pPr>
        <w:pStyle w:val="Caption"/>
        <w:rPr>
          <w:b w:val="0"/>
        </w:rPr>
      </w:pPr>
      <w:bookmarkStart w:id="66" w:name="_Ref17884557"/>
      <w:bookmarkStart w:id="67" w:name="_Toc18070241"/>
      <w:r>
        <w:t xml:space="preserve">Table </w:t>
      </w:r>
      <w:r w:rsidR="002C5804">
        <w:fldChar w:fldCharType="begin"/>
      </w:r>
      <w:r w:rsidR="002C5804">
        <w:instrText xml:space="preserve"> SEQ Table \* ARABIC </w:instrText>
      </w:r>
      <w:r w:rsidR="002C5804">
        <w:fldChar w:fldCharType="separate"/>
      </w:r>
      <w:r w:rsidR="002967AB">
        <w:rPr>
          <w:noProof/>
        </w:rPr>
        <w:t>2</w:t>
      </w:r>
      <w:r w:rsidR="002C5804">
        <w:rPr>
          <w:noProof/>
        </w:rPr>
        <w:fldChar w:fldCharType="end"/>
      </w:r>
      <w:bookmarkEnd w:id="66"/>
      <w:r>
        <w:t xml:space="preserve">: </w:t>
      </w:r>
      <w:r w:rsidRPr="00571C45">
        <w:t>Cohort analysis for Indigenous students commencing a HDR course in 2007 to 2012 over a six year period, 2007–2012, 2008–2013, 2009–2014, 2010–2015, 2011–2016 and 2012–2017 (per</w:t>
      </w:r>
      <w:r>
        <w:t> </w:t>
      </w:r>
      <w:r w:rsidRPr="00571C45">
        <w:t>cent)</w:t>
      </w:r>
      <w:bookmarkEnd w:id="67"/>
    </w:p>
    <w:p w14:paraId="033670B2" w14:textId="262F058C" w:rsidR="0055151C" w:rsidRDefault="0055151C" w:rsidP="00AE5275">
      <w:pPr>
        <w:spacing w:after="0" w:line="240" w:lineRule="auto"/>
        <w:rPr>
          <w:b/>
        </w:rPr>
      </w:pPr>
    </w:p>
    <w:tbl>
      <w:tblPr>
        <w:tblW w:w="9062" w:type="dxa"/>
        <w:jc w:val="center"/>
        <w:tblLayout w:type="fixed"/>
        <w:tblLook w:val="04A0" w:firstRow="1" w:lastRow="0" w:firstColumn="1" w:lastColumn="0" w:noHBand="0" w:noVBand="1"/>
      </w:tblPr>
      <w:tblGrid>
        <w:gridCol w:w="983"/>
        <w:gridCol w:w="1009"/>
        <w:gridCol w:w="1010"/>
        <w:gridCol w:w="1010"/>
        <w:gridCol w:w="1010"/>
        <w:gridCol w:w="1010"/>
        <w:gridCol w:w="1010"/>
        <w:gridCol w:w="1010"/>
        <w:gridCol w:w="1010"/>
      </w:tblGrid>
      <w:tr w:rsidR="00594A57" w:rsidRPr="00C7629F" w14:paraId="06672141" w14:textId="77777777" w:rsidTr="00DF005E">
        <w:trPr>
          <w:trHeight w:val="910"/>
          <w:jc w:val="center"/>
        </w:trPr>
        <w:tc>
          <w:tcPr>
            <w:tcW w:w="983" w:type="dxa"/>
            <w:tcBorders>
              <w:top w:val="single" w:sz="8" w:space="0" w:color="auto"/>
              <w:left w:val="single" w:sz="8" w:space="0" w:color="auto"/>
              <w:bottom w:val="single" w:sz="8" w:space="0" w:color="auto"/>
              <w:right w:val="single" w:sz="8" w:space="0" w:color="auto"/>
            </w:tcBorders>
            <w:shd w:val="clear" w:color="000000" w:fill="53265C"/>
            <w:vAlign w:val="center"/>
            <w:hideMark/>
          </w:tcPr>
          <w:p w14:paraId="63373574"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Cohort group</w:t>
            </w:r>
          </w:p>
        </w:tc>
        <w:tc>
          <w:tcPr>
            <w:tcW w:w="2019"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580A98ED"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Completed (in any year)</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2999AA9E"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Still enrolled at the end of the 6 year cohort period</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0733462B"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Re-enrolled, but dropped out</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5517A022"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Never came back after the first year</w:t>
            </w:r>
          </w:p>
        </w:tc>
      </w:tr>
      <w:tr w:rsidR="00B36D36" w:rsidRPr="00C7629F" w14:paraId="7537FD89" w14:textId="77777777" w:rsidTr="00594A57">
        <w:trPr>
          <w:trHeight w:val="730"/>
          <w:jc w:val="center"/>
        </w:trPr>
        <w:tc>
          <w:tcPr>
            <w:tcW w:w="98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D73797B" w14:textId="77777777" w:rsidR="00C7629F" w:rsidRPr="00C7629F" w:rsidRDefault="00C7629F" w:rsidP="00C7629F">
            <w:pPr>
              <w:spacing w:after="0" w:line="240" w:lineRule="auto"/>
              <w:jc w:val="center"/>
              <w:rPr>
                <w:rFonts w:ascii="Calibri" w:eastAsia="Times New Roman" w:hAnsi="Calibri" w:cs="Times New Roman"/>
                <w:b/>
                <w:bCs/>
                <w:color w:val="FFFFFF"/>
                <w:sz w:val="20"/>
                <w:szCs w:val="20"/>
                <w:lang w:eastAsia="en-AU"/>
              </w:rPr>
            </w:pPr>
            <w:r w:rsidRPr="00C7629F">
              <w:rPr>
                <w:rFonts w:ascii="Calibri" w:eastAsia="Times New Roman" w:hAnsi="Calibri" w:cs="Times New Roman"/>
                <w:b/>
                <w:bCs/>
                <w:color w:val="FFFFFF"/>
                <w:sz w:val="20"/>
                <w:szCs w:val="20"/>
                <w:lang w:eastAsia="en-AU"/>
              </w:rPr>
              <w:t> </w:t>
            </w:r>
          </w:p>
        </w:tc>
        <w:tc>
          <w:tcPr>
            <w:tcW w:w="1009" w:type="dxa"/>
            <w:tcBorders>
              <w:top w:val="single" w:sz="8" w:space="0" w:color="auto"/>
              <w:left w:val="nil"/>
              <w:bottom w:val="single" w:sz="8" w:space="0" w:color="auto"/>
              <w:right w:val="nil"/>
            </w:tcBorders>
            <w:shd w:val="clear" w:color="000000" w:fill="FFD5FF"/>
            <w:vAlign w:val="center"/>
            <w:hideMark/>
          </w:tcPr>
          <w:p w14:paraId="1208265F"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5DB4D750"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FFFF"/>
            <w:vAlign w:val="center"/>
            <w:hideMark/>
          </w:tcPr>
          <w:p w14:paraId="7DB4F8DE"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2BC5091"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D5FF"/>
            <w:vAlign w:val="center"/>
            <w:hideMark/>
          </w:tcPr>
          <w:p w14:paraId="2D6B7E27"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0FD36FD8"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FFFF"/>
            <w:vAlign w:val="center"/>
            <w:hideMark/>
          </w:tcPr>
          <w:p w14:paraId="3D76647F"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1FA2A5E" w14:textId="77777777" w:rsidR="00C7629F" w:rsidRPr="00DF005E" w:rsidRDefault="00C7629F" w:rsidP="00C7629F">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r>
      <w:tr w:rsidR="00D855E6" w:rsidRPr="00C7629F" w14:paraId="5BD75115"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0006631E"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2007</w:t>
            </w:r>
          </w:p>
        </w:tc>
        <w:tc>
          <w:tcPr>
            <w:tcW w:w="1009" w:type="dxa"/>
            <w:tcBorders>
              <w:top w:val="nil"/>
              <w:left w:val="nil"/>
              <w:bottom w:val="single" w:sz="8" w:space="0" w:color="auto"/>
              <w:right w:val="single" w:sz="8" w:space="0" w:color="auto"/>
            </w:tcBorders>
            <w:shd w:val="clear" w:color="000000" w:fill="FFD5FF"/>
            <w:noWrap/>
            <w:vAlign w:val="center"/>
            <w:hideMark/>
          </w:tcPr>
          <w:p w14:paraId="10152123"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27.4</w:t>
            </w:r>
          </w:p>
        </w:tc>
        <w:tc>
          <w:tcPr>
            <w:tcW w:w="1010" w:type="dxa"/>
            <w:tcBorders>
              <w:top w:val="nil"/>
              <w:left w:val="nil"/>
              <w:bottom w:val="single" w:sz="8" w:space="0" w:color="auto"/>
              <w:right w:val="single" w:sz="8" w:space="0" w:color="auto"/>
            </w:tcBorders>
            <w:shd w:val="clear" w:color="000000" w:fill="FFD5FF"/>
            <w:noWrap/>
            <w:vAlign w:val="center"/>
            <w:hideMark/>
          </w:tcPr>
          <w:p w14:paraId="15A4E7C7"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44.5</w:t>
            </w:r>
          </w:p>
        </w:tc>
        <w:tc>
          <w:tcPr>
            <w:tcW w:w="1010" w:type="dxa"/>
            <w:tcBorders>
              <w:top w:val="nil"/>
              <w:left w:val="nil"/>
              <w:bottom w:val="single" w:sz="8" w:space="0" w:color="auto"/>
              <w:right w:val="single" w:sz="8" w:space="0" w:color="auto"/>
            </w:tcBorders>
            <w:shd w:val="clear" w:color="000000" w:fill="FFFFFF"/>
            <w:noWrap/>
            <w:vAlign w:val="center"/>
            <w:hideMark/>
          </w:tcPr>
          <w:p w14:paraId="725C76EE"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32.1</w:t>
            </w:r>
          </w:p>
        </w:tc>
        <w:tc>
          <w:tcPr>
            <w:tcW w:w="1010" w:type="dxa"/>
            <w:tcBorders>
              <w:top w:val="nil"/>
              <w:left w:val="nil"/>
              <w:bottom w:val="single" w:sz="8" w:space="0" w:color="auto"/>
              <w:right w:val="single" w:sz="8" w:space="0" w:color="auto"/>
            </w:tcBorders>
            <w:shd w:val="clear" w:color="000000" w:fill="FFFFFF"/>
            <w:noWrap/>
            <w:vAlign w:val="center"/>
            <w:hideMark/>
          </w:tcPr>
          <w:p w14:paraId="604B7499"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25.5</w:t>
            </w:r>
          </w:p>
        </w:tc>
        <w:tc>
          <w:tcPr>
            <w:tcW w:w="1010" w:type="dxa"/>
            <w:tcBorders>
              <w:top w:val="nil"/>
              <w:left w:val="nil"/>
              <w:bottom w:val="single" w:sz="8" w:space="0" w:color="auto"/>
              <w:right w:val="single" w:sz="8" w:space="0" w:color="auto"/>
            </w:tcBorders>
            <w:shd w:val="clear" w:color="000000" w:fill="FFD5FF"/>
            <w:noWrap/>
            <w:vAlign w:val="center"/>
            <w:hideMark/>
          </w:tcPr>
          <w:p w14:paraId="49C50E30"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29.8</w:t>
            </w:r>
          </w:p>
        </w:tc>
        <w:tc>
          <w:tcPr>
            <w:tcW w:w="1010" w:type="dxa"/>
            <w:tcBorders>
              <w:top w:val="nil"/>
              <w:left w:val="nil"/>
              <w:bottom w:val="single" w:sz="8" w:space="0" w:color="auto"/>
              <w:right w:val="single" w:sz="8" w:space="0" w:color="auto"/>
            </w:tcBorders>
            <w:shd w:val="clear" w:color="000000" w:fill="FFD5FF"/>
            <w:noWrap/>
            <w:vAlign w:val="center"/>
            <w:hideMark/>
          </w:tcPr>
          <w:p w14:paraId="27BE23E7"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21.9</w:t>
            </w:r>
          </w:p>
        </w:tc>
        <w:tc>
          <w:tcPr>
            <w:tcW w:w="1010" w:type="dxa"/>
            <w:tcBorders>
              <w:top w:val="nil"/>
              <w:left w:val="nil"/>
              <w:bottom w:val="single" w:sz="8" w:space="0" w:color="auto"/>
              <w:right w:val="single" w:sz="8" w:space="0" w:color="auto"/>
            </w:tcBorders>
            <w:shd w:val="clear" w:color="000000" w:fill="FFFFFF"/>
            <w:noWrap/>
            <w:vAlign w:val="center"/>
            <w:hideMark/>
          </w:tcPr>
          <w:p w14:paraId="44740DF0"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10.7*</w:t>
            </w:r>
          </w:p>
        </w:tc>
        <w:tc>
          <w:tcPr>
            <w:tcW w:w="1010" w:type="dxa"/>
            <w:tcBorders>
              <w:top w:val="nil"/>
              <w:left w:val="nil"/>
              <w:bottom w:val="single" w:sz="8" w:space="0" w:color="auto"/>
              <w:right w:val="single" w:sz="8" w:space="0" w:color="auto"/>
            </w:tcBorders>
            <w:shd w:val="clear" w:color="000000" w:fill="FFFFFF"/>
            <w:noWrap/>
            <w:vAlign w:val="center"/>
            <w:hideMark/>
          </w:tcPr>
          <w:p w14:paraId="334792CB"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8.1</w:t>
            </w:r>
          </w:p>
        </w:tc>
      </w:tr>
      <w:tr w:rsidR="00D855E6" w:rsidRPr="00C7629F" w14:paraId="3EA0F268" w14:textId="77777777" w:rsidTr="00DF005E">
        <w:trPr>
          <w:trHeight w:val="289"/>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6E4E7C93"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2008</w:t>
            </w:r>
          </w:p>
        </w:tc>
        <w:tc>
          <w:tcPr>
            <w:tcW w:w="1009" w:type="dxa"/>
            <w:tcBorders>
              <w:top w:val="nil"/>
              <w:left w:val="nil"/>
              <w:bottom w:val="single" w:sz="8" w:space="0" w:color="auto"/>
              <w:right w:val="single" w:sz="8" w:space="0" w:color="auto"/>
            </w:tcBorders>
            <w:shd w:val="clear" w:color="000000" w:fill="FFD5FF"/>
            <w:noWrap/>
            <w:vAlign w:val="center"/>
            <w:hideMark/>
          </w:tcPr>
          <w:p w14:paraId="540E0D76"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29.1</w:t>
            </w:r>
          </w:p>
        </w:tc>
        <w:tc>
          <w:tcPr>
            <w:tcW w:w="1010" w:type="dxa"/>
            <w:tcBorders>
              <w:top w:val="nil"/>
              <w:left w:val="nil"/>
              <w:bottom w:val="single" w:sz="8" w:space="0" w:color="auto"/>
              <w:right w:val="single" w:sz="8" w:space="0" w:color="auto"/>
            </w:tcBorders>
            <w:shd w:val="clear" w:color="000000" w:fill="FFD5FF"/>
            <w:noWrap/>
            <w:vAlign w:val="center"/>
            <w:hideMark/>
          </w:tcPr>
          <w:p w14:paraId="3A273DA9"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46.9</w:t>
            </w:r>
          </w:p>
        </w:tc>
        <w:tc>
          <w:tcPr>
            <w:tcW w:w="1010" w:type="dxa"/>
            <w:tcBorders>
              <w:top w:val="nil"/>
              <w:left w:val="nil"/>
              <w:bottom w:val="single" w:sz="8" w:space="0" w:color="auto"/>
              <w:right w:val="single" w:sz="8" w:space="0" w:color="auto"/>
            </w:tcBorders>
            <w:shd w:val="clear" w:color="000000" w:fill="FFFFFF"/>
            <w:noWrap/>
            <w:vAlign w:val="center"/>
            <w:hideMark/>
          </w:tcPr>
          <w:p w14:paraId="0E75556A"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28.2</w:t>
            </w:r>
          </w:p>
        </w:tc>
        <w:tc>
          <w:tcPr>
            <w:tcW w:w="1010" w:type="dxa"/>
            <w:tcBorders>
              <w:top w:val="nil"/>
              <w:left w:val="nil"/>
              <w:bottom w:val="single" w:sz="8" w:space="0" w:color="auto"/>
              <w:right w:val="single" w:sz="8" w:space="0" w:color="auto"/>
            </w:tcBorders>
            <w:shd w:val="clear" w:color="000000" w:fill="FFFFFF"/>
            <w:noWrap/>
            <w:vAlign w:val="center"/>
            <w:hideMark/>
          </w:tcPr>
          <w:p w14:paraId="465A6EE4"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23.7</w:t>
            </w:r>
          </w:p>
        </w:tc>
        <w:tc>
          <w:tcPr>
            <w:tcW w:w="1010" w:type="dxa"/>
            <w:tcBorders>
              <w:top w:val="nil"/>
              <w:left w:val="nil"/>
              <w:bottom w:val="single" w:sz="8" w:space="0" w:color="auto"/>
              <w:right w:val="single" w:sz="8" w:space="0" w:color="auto"/>
            </w:tcBorders>
            <w:shd w:val="clear" w:color="000000" w:fill="FFD5FF"/>
            <w:noWrap/>
            <w:vAlign w:val="center"/>
            <w:hideMark/>
          </w:tcPr>
          <w:p w14:paraId="165D0130"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32</w:t>
            </w:r>
          </w:p>
        </w:tc>
        <w:tc>
          <w:tcPr>
            <w:tcW w:w="1010" w:type="dxa"/>
            <w:tcBorders>
              <w:top w:val="nil"/>
              <w:left w:val="nil"/>
              <w:bottom w:val="single" w:sz="8" w:space="0" w:color="auto"/>
              <w:right w:val="single" w:sz="8" w:space="0" w:color="auto"/>
            </w:tcBorders>
            <w:shd w:val="clear" w:color="000000" w:fill="FFD5FF"/>
            <w:noWrap/>
            <w:vAlign w:val="center"/>
            <w:hideMark/>
          </w:tcPr>
          <w:p w14:paraId="0903588C"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21.9</w:t>
            </w:r>
          </w:p>
        </w:tc>
        <w:tc>
          <w:tcPr>
            <w:tcW w:w="1010" w:type="dxa"/>
            <w:tcBorders>
              <w:top w:val="nil"/>
              <w:left w:val="nil"/>
              <w:bottom w:val="single" w:sz="8" w:space="0" w:color="auto"/>
              <w:right w:val="single" w:sz="8" w:space="0" w:color="auto"/>
            </w:tcBorders>
            <w:shd w:val="clear" w:color="000000" w:fill="FFFFFF"/>
            <w:noWrap/>
            <w:vAlign w:val="center"/>
            <w:hideMark/>
          </w:tcPr>
          <w:p w14:paraId="6068989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10.7</w:t>
            </w:r>
          </w:p>
        </w:tc>
        <w:tc>
          <w:tcPr>
            <w:tcW w:w="1010" w:type="dxa"/>
            <w:tcBorders>
              <w:top w:val="nil"/>
              <w:left w:val="nil"/>
              <w:bottom w:val="single" w:sz="8" w:space="0" w:color="auto"/>
              <w:right w:val="single" w:sz="8" w:space="0" w:color="auto"/>
            </w:tcBorders>
            <w:shd w:val="clear" w:color="000000" w:fill="FFFFFF"/>
            <w:noWrap/>
            <w:vAlign w:val="center"/>
            <w:hideMark/>
          </w:tcPr>
          <w:p w14:paraId="27B3FA95"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7.5</w:t>
            </w:r>
          </w:p>
        </w:tc>
      </w:tr>
      <w:tr w:rsidR="00D855E6" w:rsidRPr="00C7629F" w14:paraId="6B96C184"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3F80562D"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2009</w:t>
            </w:r>
          </w:p>
        </w:tc>
        <w:tc>
          <w:tcPr>
            <w:tcW w:w="1009" w:type="dxa"/>
            <w:tcBorders>
              <w:top w:val="nil"/>
              <w:left w:val="nil"/>
              <w:bottom w:val="single" w:sz="8" w:space="0" w:color="auto"/>
              <w:right w:val="single" w:sz="8" w:space="0" w:color="auto"/>
            </w:tcBorders>
            <w:shd w:val="clear" w:color="000000" w:fill="FFD5FF"/>
            <w:noWrap/>
            <w:vAlign w:val="center"/>
            <w:hideMark/>
          </w:tcPr>
          <w:p w14:paraId="3976C062"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22</w:t>
            </w:r>
          </w:p>
        </w:tc>
        <w:tc>
          <w:tcPr>
            <w:tcW w:w="1010" w:type="dxa"/>
            <w:tcBorders>
              <w:top w:val="nil"/>
              <w:left w:val="nil"/>
              <w:bottom w:val="single" w:sz="8" w:space="0" w:color="auto"/>
              <w:right w:val="single" w:sz="8" w:space="0" w:color="auto"/>
            </w:tcBorders>
            <w:shd w:val="clear" w:color="000000" w:fill="FFD5FF"/>
            <w:noWrap/>
            <w:vAlign w:val="center"/>
            <w:hideMark/>
          </w:tcPr>
          <w:p w14:paraId="1BBF46B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46.5</w:t>
            </w:r>
          </w:p>
        </w:tc>
        <w:tc>
          <w:tcPr>
            <w:tcW w:w="1010" w:type="dxa"/>
            <w:tcBorders>
              <w:top w:val="nil"/>
              <w:left w:val="nil"/>
              <w:bottom w:val="single" w:sz="8" w:space="0" w:color="auto"/>
              <w:right w:val="single" w:sz="8" w:space="0" w:color="auto"/>
            </w:tcBorders>
            <w:shd w:val="clear" w:color="000000" w:fill="FFFFFF"/>
            <w:noWrap/>
            <w:vAlign w:val="center"/>
            <w:hideMark/>
          </w:tcPr>
          <w:p w14:paraId="1409CA62"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29</w:t>
            </w:r>
          </w:p>
        </w:tc>
        <w:tc>
          <w:tcPr>
            <w:tcW w:w="1010" w:type="dxa"/>
            <w:tcBorders>
              <w:top w:val="nil"/>
              <w:left w:val="nil"/>
              <w:bottom w:val="single" w:sz="8" w:space="0" w:color="auto"/>
              <w:right w:val="single" w:sz="8" w:space="0" w:color="auto"/>
            </w:tcBorders>
            <w:shd w:val="clear" w:color="000000" w:fill="FFFFFF"/>
            <w:noWrap/>
            <w:vAlign w:val="center"/>
            <w:hideMark/>
          </w:tcPr>
          <w:p w14:paraId="56A5BF88"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23.5</w:t>
            </w:r>
          </w:p>
        </w:tc>
        <w:tc>
          <w:tcPr>
            <w:tcW w:w="1010" w:type="dxa"/>
            <w:tcBorders>
              <w:top w:val="nil"/>
              <w:left w:val="nil"/>
              <w:bottom w:val="single" w:sz="8" w:space="0" w:color="auto"/>
              <w:right w:val="single" w:sz="8" w:space="0" w:color="auto"/>
            </w:tcBorders>
            <w:shd w:val="clear" w:color="000000" w:fill="FFD5FF"/>
            <w:noWrap/>
            <w:vAlign w:val="center"/>
            <w:hideMark/>
          </w:tcPr>
          <w:p w14:paraId="2FB1AB82"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39</w:t>
            </w:r>
          </w:p>
        </w:tc>
        <w:tc>
          <w:tcPr>
            <w:tcW w:w="1010" w:type="dxa"/>
            <w:tcBorders>
              <w:top w:val="nil"/>
              <w:left w:val="nil"/>
              <w:bottom w:val="single" w:sz="8" w:space="0" w:color="auto"/>
              <w:right w:val="single" w:sz="8" w:space="0" w:color="auto"/>
            </w:tcBorders>
            <w:shd w:val="clear" w:color="000000" w:fill="FFD5FF"/>
            <w:noWrap/>
            <w:vAlign w:val="center"/>
            <w:hideMark/>
          </w:tcPr>
          <w:p w14:paraId="4E0D71AB"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23.1</w:t>
            </w:r>
          </w:p>
        </w:tc>
        <w:tc>
          <w:tcPr>
            <w:tcW w:w="1010" w:type="dxa"/>
            <w:tcBorders>
              <w:top w:val="nil"/>
              <w:left w:val="nil"/>
              <w:bottom w:val="single" w:sz="8" w:space="0" w:color="auto"/>
              <w:right w:val="single" w:sz="8" w:space="0" w:color="auto"/>
            </w:tcBorders>
            <w:shd w:val="clear" w:color="000000" w:fill="FFFFFF"/>
            <w:noWrap/>
            <w:vAlign w:val="center"/>
            <w:hideMark/>
          </w:tcPr>
          <w:p w14:paraId="74CE85FC"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10</w:t>
            </w:r>
          </w:p>
        </w:tc>
        <w:tc>
          <w:tcPr>
            <w:tcW w:w="1010" w:type="dxa"/>
            <w:tcBorders>
              <w:top w:val="nil"/>
              <w:left w:val="nil"/>
              <w:bottom w:val="single" w:sz="8" w:space="0" w:color="auto"/>
              <w:right w:val="single" w:sz="8" w:space="0" w:color="auto"/>
            </w:tcBorders>
            <w:shd w:val="clear" w:color="000000" w:fill="FFFFFF"/>
            <w:noWrap/>
            <w:vAlign w:val="center"/>
            <w:hideMark/>
          </w:tcPr>
          <w:p w14:paraId="31F6FEB9"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6.9</w:t>
            </w:r>
          </w:p>
        </w:tc>
      </w:tr>
      <w:tr w:rsidR="00D855E6" w:rsidRPr="00C7629F" w14:paraId="0BAD88D5"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118ADBA5"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2010</w:t>
            </w:r>
          </w:p>
        </w:tc>
        <w:tc>
          <w:tcPr>
            <w:tcW w:w="1009" w:type="dxa"/>
            <w:tcBorders>
              <w:top w:val="nil"/>
              <w:left w:val="nil"/>
              <w:bottom w:val="single" w:sz="8" w:space="0" w:color="auto"/>
              <w:right w:val="single" w:sz="8" w:space="0" w:color="auto"/>
            </w:tcBorders>
            <w:shd w:val="clear" w:color="000000" w:fill="FFD5FF"/>
            <w:noWrap/>
            <w:vAlign w:val="center"/>
            <w:hideMark/>
          </w:tcPr>
          <w:p w14:paraId="1718F1A1"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w:t>
            </w:r>
          </w:p>
        </w:tc>
        <w:tc>
          <w:tcPr>
            <w:tcW w:w="1010" w:type="dxa"/>
            <w:tcBorders>
              <w:top w:val="nil"/>
              <w:left w:val="nil"/>
              <w:bottom w:val="single" w:sz="8" w:space="0" w:color="auto"/>
              <w:right w:val="single" w:sz="8" w:space="0" w:color="auto"/>
            </w:tcBorders>
            <w:shd w:val="clear" w:color="000000" w:fill="FFD5FF"/>
            <w:noWrap/>
            <w:vAlign w:val="center"/>
            <w:hideMark/>
          </w:tcPr>
          <w:p w14:paraId="32FA792B"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46.7</w:t>
            </w:r>
          </w:p>
        </w:tc>
        <w:tc>
          <w:tcPr>
            <w:tcW w:w="1010" w:type="dxa"/>
            <w:tcBorders>
              <w:top w:val="nil"/>
              <w:left w:val="nil"/>
              <w:bottom w:val="single" w:sz="8" w:space="0" w:color="auto"/>
              <w:right w:val="single" w:sz="8" w:space="0" w:color="auto"/>
            </w:tcBorders>
            <w:shd w:val="clear" w:color="000000" w:fill="FFFFFF"/>
            <w:noWrap/>
            <w:vAlign w:val="center"/>
            <w:hideMark/>
          </w:tcPr>
          <w:p w14:paraId="4E072BA1"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30.5</w:t>
            </w:r>
          </w:p>
        </w:tc>
        <w:tc>
          <w:tcPr>
            <w:tcW w:w="1010" w:type="dxa"/>
            <w:tcBorders>
              <w:top w:val="nil"/>
              <w:left w:val="nil"/>
              <w:bottom w:val="single" w:sz="8" w:space="0" w:color="auto"/>
              <w:right w:val="single" w:sz="8" w:space="0" w:color="auto"/>
            </w:tcBorders>
            <w:shd w:val="clear" w:color="000000" w:fill="FFFFFF"/>
            <w:noWrap/>
            <w:vAlign w:val="center"/>
            <w:hideMark/>
          </w:tcPr>
          <w:p w14:paraId="0421A47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23.2</w:t>
            </w:r>
          </w:p>
        </w:tc>
        <w:tc>
          <w:tcPr>
            <w:tcW w:w="1010" w:type="dxa"/>
            <w:tcBorders>
              <w:top w:val="nil"/>
              <w:left w:val="nil"/>
              <w:bottom w:val="single" w:sz="8" w:space="0" w:color="auto"/>
              <w:right w:val="single" w:sz="8" w:space="0" w:color="auto"/>
            </w:tcBorders>
            <w:shd w:val="clear" w:color="000000" w:fill="FFD5FF"/>
            <w:noWrap/>
            <w:vAlign w:val="center"/>
            <w:hideMark/>
          </w:tcPr>
          <w:p w14:paraId="19B049EC"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41.1</w:t>
            </w:r>
          </w:p>
        </w:tc>
        <w:tc>
          <w:tcPr>
            <w:tcW w:w="1010" w:type="dxa"/>
            <w:tcBorders>
              <w:top w:val="nil"/>
              <w:left w:val="nil"/>
              <w:bottom w:val="single" w:sz="8" w:space="0" w:color="auto"/>
              <w:right w:val="single" w:sz="8" w:space="0" w:color="auto"/>
            </w:tcBorders>
            <w:shd w:val="clear" w:color="000000" w:fill="FFD5FF"/>
            <w:noWrap/>
            <w:vAlign w:val="center"/>
            <w:hideMark/>
          </w:tcPr>
          <w:p w14:paraId="1B10958A"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22.6</w:t>
            </w:r>
          </w:p>
        </w:tc>
        <w:tc>
          <w:tcPr>
            <w:tcW w:w="1010" w:type="dxa"/>
            <w:tcBorders>
              <w:top w:val="nil"/>
              <w:left w:val="nil"/>
              <w:bottom w:val="single" w:sz="8" w:space="0" w:color="auto"/>
              <w:right w:val="single" w:sz="8" w:space="0" w:color="auto"/>
            </w:tcBorders>
            <w:shd w:val="clear" w:color="000000" w:fill="FFFFFF"/>
            <w:noWrap/>
            <w:vAlign w:val="center"/>
            <w:hideMark/>
          </w:tcPr>
          <w:p w14:paraId="66458873"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8.4*</w:t>
            </w:r>
          </w:p>
        </w:tc>
        <w:tc>
          <w:tcPr>
            <w:tcW w:w="1010" w:type="dxa"/>
            <w:tcBorders>
              <w:top w:val="nil"/>
              <w:left w:val="nil"/>
              <w:bottom w:val="single" w:sz="8" w:space="0" w:color="auto"/>
              <w:right w:val="single" w:sz="8" w:space="0" w:color="auto"/>
            </w:tcBorders>
            <w:shd w:val="clear" w:color="000000" w:fill="FFFFFF"/>
            <w:noWrap/>
            <w:vAlign w:val="center"/>
            <w:hideMark/>
          </w:tcPr>
          <w:p w14:paraId="1490A242"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7.5</w:t>
            </w:r>
          </w:p>
        </w:tc>
      </w:tr>
      <w:tr w:rsidR="00D855E6" w:rsidRPr="00C7629F" w14:paraId="58EC6954"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1B671877"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2011</w:t>
            </w:r>
          </w:p>
        </w:tc>
        <w:tc>
          <w:tcPr>
            <w:tcW w:w="1009" w:type="dxa"/>
            <w:tcBorders>
              <w:top w:val="nil"/>
              <w:left w:val="nil"/>
              <w:bottom w:val="single" w:sz="8" w:space="0" w:color="auto"/>
              <w:right w:val="single" w:sz="8" w:space="0" w:color="auto"/>
            </w:tcBorders>
            <w:shd w:val="clear" w:color="000000" w:fill="FFD5FF"/>
            <w:noWrap/>
            <w:vAlign w:val="center"/>
            <w:hideMark/>
          </w:tcPr>
          <w:p w14:paraId="5D2252D6"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19.5</w:t>
            </w:r>
          </w:p>
        </w:tc>
        <w:tc>
          <w:tcPr>
            <w:tcW w:w="1010" w:type="dxa"/>
            <w:tcBorders>
              <w:top w:val="nil"/>
              <w:left w:val="nil"/>
              <w:bottom w:val="single" w:sz="8" w:space="0" w:color="auto"/>
              <w:right w:val="single" w:sz="8" w:space="0" w:color="auto"/>
            </w:tcBorders>
            <w:shd w:val="clear" w:color="000000" w:fill="FFD5FF"/>
            <w:noWrap/>
            <w:vAlign w:val="center"/>
            <w:hideMark/>
          </w:tcPr>
          <w:p w14:paraId="08D0D222"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47.4</w:t>
            </w:r>
          </w:p>
        </w:tc>
        <w:tc>
          <w:tcPr>
            <w:tcW w:w="1010" w:type="dxa"/>
            <w:tcBorders>
              <w:top w:val="nil"/>
              <w:left w:val="nil"/>
              <w:bottom w:val="single" w:sz="8" w:space="0" w:color="auto"/>
              <w:right w:val="single" w:sz="8" w:space="0" w:color="auto"/>
            </w:tcBorders>
            <w:shd w:val="clear" w:color="000000" w:fill="FFFFFF"/>
            <w:noWrap/>
            <w:vAlign w:val="center"/>
            <w:hideMark/>
          </w:tcPr>
          <w:p w14:paraId="4E1A1587"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35.6</w:t>
            </w:r>
          </w:p>
        </w:tc>
        <w:tc>
          <w:tcPr>
            <w:tcW w:w="1010" w:type="dxa"/>
            <w:tcBorders>
              <w:top w:val="nil"/>
              <w:left w:val="nil"/>
              <w:bottom w:val="single" w:sz="8" w:space="0" w:color="auto"/>
              <w:right w:val="single" w:sz="8" w:space="0" w:color="auto"/>
            </w:tcBorders>
            <w:shd w:val="clear" w:color="000000" w:fill="FFFFFF"/>
            <w:noWrap/>
            <w:vAlign w:val="center"/>
            <w:hideMark/>
          </w:tcPr>
          <w:p w14:paraId="59B8B834"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23.8</w:t>
            </w:r>
          </w:p>
        </w:tc>
        <w:tc>
          <w:tcPr>
            <w:tcW w:w="1010" w:type="dxa"/>
            <w:tcBorders>
              <w:top w:val="nil"/>
              <w:left w:val="nil"/>
              <w:bottom w:val="single" w:sz="8" w:space="0" w:color="auto"/>
              <w:right w:val="single" w:sz="8" w:space="0" w:color="auto"/>
            </w:tcBorders>
            <w:shd w:val="clear" w:color="000000" w:fill="FFD5FF"/>
            <w:noWrap/>
            <w:vAlign w:val="center"/>
            <w:hideMark/>
          </w:tcPr>
          <w:p w14:paraId="1E7F8CC4"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34.5</w:t>
            </w:r>
          </w:p>
        </w:tc>
        <w:tc>
          <w:tcPr>
            <w:tcW w:w="1010" w:type="dxa"/>
            <w:tcBorders>
              <w:top w:val="nil"/>
              <w:left w:val="nil"/>
              <w:bottom w:val="single" w:sz="8" w:space="0" w:color="auto"/>
              <w:right w:val="single" w:sz="8" w:space="0" w:color="auto"/>
            </w:tcBorders>
            <w:shd w:val="clear" w:color="000000" w:fill="FFD5FF"/>
            <w:noWrap/>
            <w:vAlign w:val="center"/>
            <w:hideMark/>
          </w:tcPr>
          <w:p w14:paraId="1E4807E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22</w:t>
            </w:r>
          </w:p>
        </w:tc>
        <w:tc>
          <w:tcPr>
            <w:tcW w:w="1010" w:type="dxa"/>
            <w:tcBorders>
              <w:top w:val="nil"/>
              <w:left w:val="nil"/>
              <w:bottom w:val="single" w:sz="8" w:space="0" w:color="auto"/>
              <w:right w:val="single" w:sz="8" w:space="0" w:color="auto"/>
            </w:tcBorders>
            <w:shd w:val="clear" w:color="000000" w:fill="FFFFFF"/>
            <w:noWrap/>
            <w:vAlign w:val="center"/>
            <w:hideMark/>
          </w:tcPr>
          <w:p w14:paraId="4C650F4D"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10.3*</w:t>
            </w:r>
          </w:p>
        </w:tc>
        <w:tc>
          <w:tcPr>
            <w:tcW w:w="1010" w:type="dxa"/>
            <w:tcBorders>
              <w:top w:val="nil"/>
              <w:left w:val="nil"/>
              <w:bottom w:val="single" w:sz="8" w:space="0" w:color="auto"/>
              <w:right w:val="single" w:sz="8" w:space="0" w:color="auto"/>
            </w:tcBorders>
            <w:shd w:val="clear" w:color="000000" w:fill="FFFFFF"/>
            <w:noWrap/>
            <w:vAlign w:val="center"/>
            <w:hideMark/>
          </w:tcPr>
          <w:p w14:paraId="5C08CEA5"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6.8</w:t>
            </w:r>
          </w:p>
        </w:tc>
      </w:tr>
      <w:tr w:rsidR="00D855E6" w:rsidRPr="00C7629F" w14:paraId="240B079F"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0091B01C"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2012</w:t>
            </w:r>
          </w:p>
        </w:tc>
        <w:tc>
          <w:tcPr>
            <w:tcW w:w="1009" w:type="dxa"/>
            <w:tcBorders>
              <w:top w:val="nil"/>
              <w:left w:val="nil"/>
              <w:bottom w:val="single" w:sz="8" w:space="0" w:color="auto"/>
              <w:right w:val="single" w:sz="8" w:space="0" w:color="auto"/>
            </w:tcBorders>
            <w:shd w:val="clear" w:color="000000" w:fill="FFD5FF"/>
            <w:noWrap/>
            <w:vAlign w:val="center"/>
            <w:hideMark/>
          </w:tcPr>
          <w:p w14:paraId="701DC78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30.6</w:t>
            </w:r>
          </w:p>
        </w:tc>
        <w:tc>
          <w:tcPr>
            <w:tcW w:w="1010" w:type="dxa"/>
            <w:tcBorders>
              <w:top w:val="nil"/>
              <w:left w:val="nil"/>
              <w:bottom w:val="single" w:sz="8" w:space="0" w:color="auto"/>
              <w:right w:val="single" w:sz="8" w:space="0" w:color="auto"/>
            </w:tcBorders>
            <w:shd w:val="clear" w:color="000000" w:fill="FFD5FF"/>
            <w:noWrap/>
            <w:vAlign w:val="center"/>
            <w:hideMark/>
          </w:tcPr>
          <w:p w14:paraId="417DAB4B"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48.3</w:t>
            </w:r>
          </w:p>
        </w:tc>
        <w:tc>
          <w:tcPr>
            <w:tcW w:w="1010" w:type="dxa"/>
            <w:tcBorders>
              <w:top w:val="nil"/>
              <w:left w:val="nil"/>
              <w:bottom w:val="single" w:sz="8" w:space="0" w:color="auto"/>
              <w:right w:val="single" w:sz="8" w:space="0" w:color="auto"/>
            </w:tcBorders>
            <w:shd w:val="clear" w:color="000000" w:fill="FFFFFF"/>
            <w:noWrap/>
            <w:vAlign w:val="center"/>
            <w:hideMark/>
          </w:tcPr>
          <w:p w14:paraId="0D21224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33.3</w:t>
            </w:r>
          </w:p>
        </w:tc>
        <w:tc>
          <w:tcPr>
            <w:tcW w:w="1010" w:type="dxa"/>
            <w:tcBorders>
              <w:top w:val="nil"/>
              <w:left w:val="nil"/>
              <w:bottom w:val="single" w:sz="8" w:space="0" w:color="auto"/>
              <w:right w:val="single" w:sz="8" w:space="0" w:color="auto"/>
            </w:tcBorders>
            <w:shd w:val="clear" w:color="000000" w:fill="FFFFFF"/>
            <w:noWrap/>
            <w:vAlign w:val="center"/>
            <w:hideMark/>
          </w:tcPr>
          <w:p w14:paraId="4B2DDDCE"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24.3</w:t>
            </w:r>
          </w:p>
        </w:tc>
        <w:tc>
          <w:tcPr>
            <w:tcW w:w="1010" w:type="dxa"/>
            <w:tcBorders>
              <w:top w:val="nil"/>
              <w:left w:val="nil"/>
              <w:bottom w:val="single" w:sz="8" w:space="0" w:color="auto"/>
              <w:right w:val="single" w:sz="8" w:space="0" w:color="auto"/>
            </w:tcBorders>
            <w:shd w:val="clear" w:color="000000" w:fill="FFD5FF"/>
            <w:noWrap/>
            <w:vAlign w:val="center"/>
            <w:hideMark/>
          </w:tcPr>
          <w:p w14:paraId="39A30F03"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32.4</w:t>
            </w:r>
          </w:p>
        </w:tc>
        <w:tc>
          <w:tcPr>
            <w:tcW w:w="1010" w:type="dxa"/>
            <w:tcBorders>
              <w:top w:val="nil"/>
              <w:left w:val="nil"/>
              <w:bottom w:val="single" w:sz="8" w:space="0" w:color="auto"/>
              <w:right w:val="single" w:sz="8" w:space="0" w:color="auto"/>
            </w:tcBorders>
            <w:shd w:val="clear" w:color="000000" w:fill="FFD5FF"/>
            <w:noWrap/>
            <w:vAlign w:val="center"/>
            <w:hideMark/>
          </w:tcPr>
          <w:p w14:paraId="3F83C480"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21.6</w:t>
            </w:r>
          </w:p>
        </w:tc>
        <w:tc>
          <w:tcPr>
            <w:tcW w:w="1010" w:type="dxa"/>
            <w:tcBorders>
              <w:top w:val="nil"/>
              <w:left w:val="nil"/>
              <w:bottom w:val="single" w:sz="8" w:space="0" w:color="auto"/>
              <w:right w:val="single" w:sz="8" w:space="0" w:color="auto"/>
            </w:tcBorders>
            <w:shd w:val="clear" w:color="000000" w:fill="FFFFFF"/>
            <w:noWrap/>
            <w:vAlign w:val="center"/>
            <w:hideMark/>
          </w:tcPr>
          <w:p w14:paraId="3D16373F"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3.6*</w:t>
            </w:r>
          </w:p>
        </w:tc>
        <w:tc>
          <w:tcPr>
            <w:tcW w:w="1010" w:type="dxa"/>
            <w:tcBorders>
              <w:top w:val="nil"/>
              <w:left w:val="nil"/>
              <w:bottom w:val="single" w:sz="8" w:space="0" w:color="auto"/>
              <w:right w:val="single" w:sz="8" w:space="0" w:color="auto"/>
            </w:tcBorders>
            <w:shd w:val="clear" w:color="000000" w:fill="FFFFFF"/>
            <w:noWrap/>
            <w:vAlign w:val="center"/>
            <w:hideMark/>
          </w:tcPr>
          <w:p w14:paraId="18523013" w14:textId="77777777" w:rsidR="00C7629F" w:rsidRPr="00C7629F" w:rsidRDefault="00C7629F" w:rsidP="00C7629F">
            <w:pPr>
              <w:spacing w:after="0" w:line="240" w:lineRule="auto"/>
              <w:jc w:val="center"/>
              <w:rPr>
                <w:rFonts w:ascii="Calibri" w:eastAsia="Times New Roman" w:hAnsi="Calibri" w:cs="Times New Roman"/>
                <w:color w:val="000000"/>
                <w:sz w:val="20"/>
                <w:szCs w:val="20"/>
                <w:lang w:eastAsia="en-AU"/>
              </w:rPr>
            </w:pPr>
            <w:r w:rsidRPr="00C7629F">
              <w:rPr>
                <w:rFonts w:ascii="Calibri" w:eastAsia="Times New Roman" w:hAnsi="Calibri" w:cs="Times New Roman"/>
                <w:color w:val="000000"/>
                <w:sz w:val="20"/>
                <w:szCs w:val="20"/>
                <w:lang w:eastAsia="en-AU"/>
              </w:rPr>
              <w:t>5.9</w:t>
            </w:r>
          </w:p>
        </w:tc>
      </w:tr>
    </w:tbl>
    <w:p w14:paraId="46C92F74" w14:textId="77777777" w:rsidR="0055151C" w:rsidRDefault="0055151C" w:rsidP="0055151C">
      <w:pPr>
        <w:rPr>
          <w:rFonts w:eastAsia="Times New Roman" w:cstheme="minorHAnsi"/>
          <w:sz w:val="20"/>
          <w:szCs w:val="20"/>
          <w:lang w:eastAsia="en-AU"/>
        </w:rPr>
      </w:pPr>
      <w:r w:rsidRPr="00FB0B47">
        <w:rPr>
          <w:rFonts w:eastAsia="Times New Roman" w:cstheme="minorHAnsi"/>
          <w:sz w:val="20"/>
          <w:szCs w:val="20"/>
          <w:lang w:eastAsia="en-AU"/>
        </w:rPr>
        <w:t xml:space="preserve">*Calculation is based on </w:t>
      </w:r>
      <w:r>
        <w:rPr>
          <w:rFonts w:eastAsia="Times New Roman" w:cstheme="minorHAnsi"/>
          <w:sz w:val="20"/>
          <w:szCs w:val="20"/>
          <w:lang w:eastAsia="en-AU"/>
        </w:rPr>
        <w:t>fewer</w:t>
      </w:r>
      <w:r w:rsidRPr="00FB0B47">
        <w:rPr>
          <w:rFonts w:eastAsia="Times New Roman" w:cstheme="minorHAnsi"/>
          <w:sz w:val="20"/>
          <w:szCs w:val="20"/>
          <w:lang w:eastAsia="en-AU"/>
        </w:rPr>
        <w:t xml:space="preserve"> than 10 students</w:t>
      </w:r>
    </w:p>
    <w:p w14:paraId="036A729A" w14:textId="6BB8098C" w:rsidR="003659EF" w:rsidRDefault="003659EF" w:rsidP="003659EF">
      <w:pPr>
        <w:pStyle w:val="Caption"/>
        <w:rPr>
          <w:b w:val="0"/>
        </w:rPr>
      </w:pPr>
      <w:bookmarkStart w:id="68" w:name="_Ref17884612"/>
      <w:bookmarkStart w:id="69" w:name="_Toc18070242"/>
      <w:r>
        <w:t xml:space="preserve">Table </w:t>
      </w:r>
      <w:r w:rsidR="002C5804">
        <w:fldChar w:fldCharType="begin"/>
      </w:r>
      <w:r w:rsidR="002C5804">
        <w:instrText xml:space="preserve"> SEQ Table \* ARABIC </w:instrText>
      </w:r>
      <w:r w:rsidR="002C5804">
        <w:fldChar w:fldCharType="separate"/>
      </w:r>
      <w:r w:rsidR="002967AB">
        <w:rPr>
          <w:noProof/>
        </w:rPr>
        <w:t>3</w:t>
      </w:r>
      <w:r w:rsidR="002C5804">
        <w:rPr>
          <w:noProof/>
        </w:rPr>
        <w:fldChar w:fldCharType="end"/>
      </w:r>
      <w:bookmarkEnd w:id="68"/>
      <w:r>
        <w:t xml:space="preserve">: </w:t>
      </w:r>
      <w:r w:rsidRPr="00100B29">
        <w:t>Cohort analysis for Indigenous students commencing a HDR course in 2007 to 2009 over a nine year period, 2007–2015, 2008–2016 and 2009–2017 (per cent)</w:t>
      </w:r>
      <w:bookmarkEnd w:id="69"/>
    </w:p>
    <w:p w14:paraId="2F2E5D5E" w14:textId="2E334667" w:rsidR="0055151C" w:rsidRDefault="0055151C" w:rsidP="00AE5275">
      <w:pPr>
        <w:spacing w:after="0" w:line="240" w:lineRule="auto"/>
        <w:rPr>
          <w:b/>
        </w:rPr>
      </w:pPr>
    </w:p>
    <w:tbl>
      <w:tblPr>
        <w:tblW w:w="9062" w:type="dxa"/>
        <w:jc w:val="center"/>
        <w:tblLayout w:type="fixed"/>
        <w:tblLook w:val="04A0" w:firstRow="1" w:lastRow="0" w:firstColumn="1" w:lastColumn="0" w:noHBand="0" w:noVBand="1"/>
      </w:tblPr>
      <w:tblGrid>
        <w:gridCol w:w="983"/>
        <w:gridCol w:w="1009"/>
        <w:gridCol w:w="1010"/>
        <w:gridCol w:w="1010"/>
        <w:gridCol w:w="1010"/>
        <w:gridCol w:w="1010"/>
        <w:gridCol w:w="1010"/>
        <w:gridCol w:w="1010"/>
        <w:gridCol w:w="1010"/>
      </w:tblGrid>
      <w:tr w:rsidR="00594A57" w:rsidRPr="00D855E6" w14:paraId="7EA22B21" w14:textId="77777777" w:rsidTr="00DF005E">
        <w:trPr>
          <w:trHeight w:val="730"/>
          <w:jc w:val="center"/>
        </w:trPr>
        <w:tc>
          <w:tcPr>
            <w:tcW w:w="983" w:type="dxa"/>
            <w:tcBorders>
              <w:top w:val="single" w:sz="8" w:space="0" w:color="auto"/>
              <w:left w:val="single" w:sz="8" w:space="0" w:color="auto"/>
              <w:bottom w:val="single" w:sz="8" w:space="0" w:color="auto"/>
              <w:right w:val="single" w:sz="8" w:space="0" w:color="auto"/>
            </w:tcBorders>
            <w:shd w:val="clear" w:color="000000" w:fill="53265C"/>
            <w:vAlign w:val="center"/>
            <w:hideMark/>
          </w:tcPr>
          <w:p w14:paraId="53C4D261"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Cohort group</w:t>
            </w:r>
          </w:p>
        </w:tc>
        <w:tc>
          <w:tcPr>
            <w:tcW w:w="2019"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40C7C19C"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Completed (in any year)</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4A5B4680"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Still enrolled at the end of the 9 year cohort period</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2AAC8B9F"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Re-enrolled, but dropped out</w:t>
            </w:r>
          </w:p>
        </w:tc>
        <w:tc>
          <w:tcPr>
            <w:tcW w:w="2020" w:type="dxa"/>
            <w:gridSpan w:val="2"/>
            <w:tcBorders>
              <w:top w:val="single" w:sz="8" w:space="0" w:color="auto"/>
              <w:left w:val="single" w:sz="8" w:space="0" w:color="auto"/>
              <w:bottom w:val="single" w:sz="8" w:space="0" w:color="auto"/>
              <w:right w:val="single" w:sz="8" w:space="0" w:color="auto"/>
            </w:tcBorders>
            <w:shd w:val="clear" w:color="000000" w:fill="53265C"/>
            <w:vAlign w:val="center"/>
            <w:hideMark/>
          </w:tcPr>
          <w:p w14:paraId="3875148D"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Never came back after first year</w:t>
            </w:r>
          </w:p>
        </w:tc>
      </w:tr>
      <w:tr w:rsidR="00B36D36" w:rsidRPr="00D855E6" w14:paraId="66C396DB" w14:textId="77777777" w:rsidTr="00594A57">
        <w:trPr>
          <w:trHeight w:val="730"/>
          <w:jc w:val="center"/>
        </w:trPr>
        <w:tc>
          <w:tcPr>
            <w:tcW w:w="98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E5D7CE3" w14:textId="77777777" w:rsidR="00D855E6" w:rsidRPr="00D855E6" w:rsidRDefault="00D855E6" w:rsidP="00D855E6">
            <w:pPr>
              <w:spacing w:after="0" w:line="240" w:lineRule="auto"/>
              <w:jc w:val="center"/>
              <w:rPr>
                <w:rFonts w:ascii="Calibri" w:eastAsia="Times New Roman" w:hAnsi="Calibri" w:cs="Times New Roman"/>
                <w:b/>
                <w:bCs/>
                <w:color w:val="FFFFFF"/>
                <w:sz w:val="20"/>
                <w:szCs w:val="20"/>
                <w:lang w:eastAsia="en-AU"/>
              </w:rPr>
            </w:pPr>
            <w:r w:rsidRPr="00D855E6">
              <w:rPr>
                <w:rFonts w:ascii="Calibri" w:eastAsia="Times New Roman" w:hAnsi="Calibri" w:cs="Times New Roman"/>
                <w:b/>
                <w:bCs/>
                <w:color w:val="FFFFFF"/>
                <w:sz w:val="20"/>
                <w:szCs w:val="20"/>
                <w:lang w:eastAsia="en-AU"/>
              </w:rPr>
              <w:t> </w:t>
            </w:r>
          </w:p>
        </w:tc>
        <w:tc>
          <w:tcPr>
            <w:tcW w:w="1009" w:type="dxa"/>
            <w:tcBorders>
              <w:top w:val="single" w:sz="8" w:space="0" w:color="auto"/>
              <w:left w:val="nil"/>
              <w:bottom w:val="single" w:sz="8" w:space="0" w:color="auto"/>
              <w:right w:val="nil"/>
            </w:tcBorders>
            <w:shd w:val="clear" w:color="000000" w:fill="FFD5FF"/>
            <w:vAlign w:val="center"/>
            <w:hideMark/>
          </w:tcPr>
          <w:p w14:paraId="538CD985"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5D81A0FA"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FFFF"/>
            <w:vAlign w:val="center"/>
            <w:hideMark/>
          </w:tcPr>
          <w:p w14:paraId="5109729B"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27E91B3"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D5FF"/>
            <w:vAlign w:val="center"/>
            <w:hideMark/>
          </w:tcPr>
          <w:p w14:paraId="7CA887B8"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D5FF"/>
            <w:vAlign w:val="center"/>
            <w:hideMark/>
          </w:tcPr>
          <w:p w14:paraId="686B9C3F"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c>
          <w:tcPr>
            <w:tcW w:w="1010" w:type="dxa"/>
            <w:tcBorders>
              <w:top w:val="single" w:sz="8" w:space="0" w:color="auto"/>
              <w:left w:val="nil"/>
              <w:bottom w:val="single" w:sz="8" w:space="0" w:color="auto"/>
              <w:right w:val="nil"/>
            </w:tcBorders>
            <w:shd w:val="clear" w:color="000000" w:fill="FFFFFF"/>
            <w:vAlign w:val="center"/>
            <w:hideMark/>
          </w:tcPr>
          <w:p w14:paraId="03560737"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Indigenous HDR</w:t>
            </w:r>
          </w:p>
        </w:tc>
        <w:tc>
          <w:tcPr>
            <w:tcW w:w="101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65F72CB" w14:textId="77777777" w:rsidR="00D855E6" w:rsidRPr="00DF005E" w:rsidRDefault="00D855E6" w:rsidP="00D855E6">
            <w:pPr>
              <w:spacing w:after="0" w:line="240" w:lineRule="auto"/>
              <w:jc w:val="center"/>
              <w:rPr>
                <w:rFonts w:ascii="Calibri" w:eastAsia="Times New Roman" w:hAnsi="Calibri" w:cs="Times New Roman"/>
                <w:sz w:val="16"/>
                <w:szCs w:val="16"/>
                <w:lang w:eastAsia="en-AU"/>
              </w:rPr>
            </w:pPr>
            <w:r w:rsidRPr="00DF005E">
              <w:rPr>
                <w:rFonts w:ascii="Calibri" w:eastAsia="Times New Roman" w:hAnsi="Calibri" w:cs="Times New Roman"/>
                <w:sz w:val="16"/>
                <w:szCs w:val="16"/>
                <w:lang w:eastAsia="en-AU"/>
              </w:rPr>
              <w:t>All Domestic HDR</w:t>
            </w:r>
          </w:p>
        </w:tc>
      </w:tr>
      <w:tr w:rsidR="00D855E6" w:rsidRPr="00D855E6" w14:paraId="0080A243"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787F49D7"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2007</w:t>
            </w:r>
          </w:p>
        </w:tc>
        <w:tc>
          <w:tcPr>
            <w:tcW w:w="1009" w:type="dxa"/>
            <w:tcBorders>
              <w:top w:val="nil"/>
              <w:left w:val="nil"/>
              <w:bottom w:val="single" w:sz="8" w:space="0" w:color="auto"/>
              <w:right w:val="single" w:sz="8" w:space="0" w:color="auto"/>
            </w:tcBorders>
            <w:shd w:val="clear" w:color="000000" w:fill="FFD5FF"/>
            <w:noWrap/>
            <w:vAlign w:val="center"/>
            <w:hideMark/>
          </w:tcPr>
          <w:p w14:paraId="4640A7BA"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38.1</w:t>
            </w:r>
          </w:p>
        </w:tc>
        <w:tc>
          <w:tcPr>
            <w:tcW w:w="1010" w:type="dxa"/>
            <w:tcBorders>
              <w:top w:val="nil"/>
              <w:left w:val="nil"/>
              <w:bottom w:val="single" w:sz="8" w:space="0" w:color="auto"/>
              <w:right w:val="single" w:sz="8" w:space="0" w:color="auto"/>
            </w:tcBorders>
            <w:shd w:val="clear" w:color="000000" w:fill="FFD5FF"/>
            <w:noWrap/>
            <w:vAlign w:val="center"/>
            <w:hideMark/>
          </w:tcPr>
          <w:p w14:paraId="396F76B1"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59.7</w:t>
            </w:r>
          </w:p>
        </w:tc>
        <w:tc>
          <w:tcPr>
            <w:tcW w:w="1010" w:type="dxa"/>
            <w:tcBorders>
              <w:top w:val="nil"/>
              <w:left w:val="nil"/>
              <w:bottom w:val="single" w:sz="8" w:space="0" w:color="auto"/>
              <w:right w:val="single" w:sz="8" w:space="0" w:color="auto"/>
            </w:tcBorders>
            <w:shd w:val="clear" w:color="000000" w:fill="FFFFFF"/>
            <w:noWrap/>
            <w:vAlign w:val="center"/>
            <w:hideMark/>
          </w:tcPr>
          <w:p w14:paraId="04294244"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15.5</w:t>
            </w:r>
          </w:p>
        </w:tc>
        <w:tc>
          <w:tcPr>
            <w:tcW w:w="1010" w:type="dxa"/>
            <w:tcBorders>
              <w:top w:val="nil"/>
              <w:left w:val="nil"/>
              <w:bottom w:val="single" w:sz="8" w:space="0" w:color="auto"/>
              <w:right w:val="single" w:sz="8" w:space="0" w:color="auto"/>
            </w:tcBorders>
            <w:shd w:val="clear" w:color="000000" w:fill="FFFFFF"/>
            <w:noWrap/>
            <w:vAlign w:val="center"/>
            <w:hideMark/>
          </w:tcPr>
          <w:p w14:paraId="3DDFD5A3"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6.5</w:t>
            </w:r>
          </w:p>
        </w:tc>
        <w:tc>
          <w:tcPr>
            <w:tcW w:w="1010" w:type="dxa"/>
            <w:tcBorders>
              <w:top w:val="nil"/>
              <w:left w:val="nil"/>
              <w:bottom w:val="single" w:sz="8" w:space="0" w:color="auto"/>
              <w:right w:val="single" w:sz="8" w:space="0" w:color="auto"/>
            </w:tcBorders>
            <w:shd w:val="clear" w:color="000000" w:fill="FFD5FF"/>
            <w:noWrap/>
            <w:vAlign w:val="center"/>
            <w:hideMark/>
          </w:tcPr>
          <w:p w14:paraId="4F13AB20"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36.9</w:t>
            </w:r>
          </w:p>
        </w:tc>
        <w:tc>
          <w:tcPr>
            <w:tcW w:w="1010" w:type="dxa"/>
            <w:tcBorders>
              <w:top w:val="nil"/>
              <w:left w:val="nil"/>
              <w:bottom w:val="single" w:sz="8" w:space="0" w:color="auto"/>
              <w:right w:val="single" w:sz="8" w:space="0" w:color="auto"/>
            </w:tcBorders>
            <w:shd w:val="clear" w:color="000000" w:fill="FFD5FF"/>
            <w:noWrap/>
            <w:vAlign w:val="center"/>
            <w:hideMark/>
          </w:tcPr>
          <w:p w14:paraId="4098CD75"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25.7</w:t>
            </w:r>
          </w:p>
        </w:tc>
        <w:tc>
          <w:tcPr>
            <w:tcW w:w="1010" w:type="dxa"/>
            <w:tcBorders>
              <w:top w:val="nil"/>
              <w:left w:val="nil"/>
              <w:bottom w:val="single" w:sz="8" w:space="0" w:color="auto"/>
              <w:right w:val="single" w:sz="8" w:space="0" w:color="auto"/>
            </w:tcBorders>
            <w:shd w:val="clear" w:color="000000" w:fill="FFFFFF"/>
            <w:noWrap/>
            <w:vAlign w:val="center"/>
            <w:hideMark/>
          </w:tcPr>
          <w:p w14:paraId="410ECB62"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9.5*</w:t>
            </w:r>
          </w:p>
        </w:tc>
        <w:tc>
          <w:tcPr>
            <w:tcW w:w="1010" w:type="dxa"/>
            <w:tcBorders>
              <w:top w:val="nil"/>
              <w:left w:val="nil"/>
              <w:bottom w:val="single" w:sz="8" w:space="0" w:color="auto"/>
              <w:right w:val="single" w:sz="8" w:space="0" w:color="auto"/>
            </w:tcBorders>
            <w:shd w:val="clear" w:color="000000" w:fill="FFFFFF"/>
            <w:noWrap/>
            <w:vAlign w:val="center"/>
            <w:hideMark/>
          </w:tcPr>
          <w:p w14:paraId="6F9D4C2F"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8</w:t>
            </w:r>
          </w:p>
        </w:tc>
      </w:tr>
      <w:tr w:rsidR="00D855E6" w:rsidRPr="00D855E6" w14:paraId="4EDBF3D2"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61DD8921"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2008</w:t>
            </w:r>
          </w:p>
        </w:tc>
        <w:tc>
          <w:tcPr>
            <w:tcW w:w="1009" w:type="dxa"/>
            <w:tcBorders>
              <w:top w:val="nil"/>
              <w:left w:val="nil"/>
              <w:bottom w:val="single" w:sz="8" w:space="0" w:color="auto"/>
              <w:right w:val="single" w:sz="8" w:space="0" w:color="auto"/>
            </w:tcBorders>
            <w:shd w:val="clear" w:color="000000" w:fill="FFD5FF"/>
            <w:noWrap/>
            <w:vAlign w:val="center"/>
            <w:hideMark/>
          </w:tcPr>
          <w:p w14:paraId="0AE297F3"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38.8</w:t>
            </w:r>
          </w:p>
        </w:tc>
        <w:tc>
          <w:tcPr>
            <w:tcW w:w="1010" w:type="dxa"/>
            <w:tcBorders>
              <w:top w:val="nil"/>
              <w:left w:val="nil"/>
              <w:bottom w:val="single" w:sz="8" w:space="0" w:color="auto"/>
              <w:right w:val="single" w:sz="8" w:space="0" w:color="auto"/>
            </w:tcBorders>
            <w:shd w:val="clear" w:color="000000" w:fill="FFD5FF"/>
            <w:noWrap/>
            <w:vAlign w:val="center"/>
            <w:hideMark/>
          </w:tcPr>
          <w:p w14:paraId="31EC05DE"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61.6</w:t>
            </w:r>
          </w:p>
        </w:tc>
        <w:tc>
          <w:tcPr>
            <w:tcW w:w="1010" w:type="dxa"/>
            <w:tcBorders>
              <w:top w:val="nil"/>
              <w:left w:val="nil"/>
              <w:bottom w:val="single" w:sz="8" w:space="0" w:color="auto"/>
              <w:right w:val="single" w:sz="8" w:space="0" w:color="auto"/>
            </w:tcBorders>
            <w:shd w:val="clear" w:color="000000" w:fill="FFFFFF"/>
            <w:noWrap/>
            <w:vAlign w:val="center"/>
            <w:hideMark/>
          </w:tcPr>
          <w:p w14:paraId="46A9DF27"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6.8*</w:t>
            </w:r>
          </w:p>
        </w:tc>
        <w:tc>
          <w:tcPr>
            <w:tcW w:w="1010" w:type="dxa"/>
            <w:tcBorders>
              <w:top w:val="nil"/>
              <w:left w:val="nil"/>
              <w:bottom w:val="single" w:sz="8" w:space="0" w:color="auto"/>
              <w:right w:val="single" w:sz="8" w:space="0" w:color="auto"/>
            </w:tcBorders>
            <w:shd w:val="clear" w:color="000000" w:fill="FFFFFF"/>
            <w:noWrap/>
            <w:vAlign w:val="center"/>
            <w:hideMark/>
          </w:tcPr>
          <w:p w14:paraId="7DE2BC46"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6.4</w:t>
            </w:r>
          </w:p>
        </w:tc>
        <w:tc>
          <w:tcPr>
            <w:tcW w:w="1010" w:type="dxa"/>
            <w:tcBorders>
              <w:top w:val="nil"/>
              <w:left w:val="nil"/>
              <w:bottom w:val="single" w:sz="8" w:space="0" w:color="auto"/>
              <w:right w:val="single" w:sz="8" w:space="0" w:color="auto"/>
            </w:tcBorders>
            <w:shd w:val="clear" w:color="000000" w:fill="FFD5FF"/>
            <w:noWrap/>
            <w:vAlign w:val="center"/>
            <w:hideMark/>
          </w:tcPr>
          <w:p w14:paraId="7E5DB2DA"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43.7</w:t>
            </w:r>
          </w:p>
        </w:tc>
        <w:tc>
          <w:tcPr>
            <w:tcW w:w="1010" w:type="dxa"/>
            <w:tcBorders>
              <w:top w:val="nil"/>
              <w:left w:val="nil"/>
              <w:bottom w:val="single" w:sz="8" w:space="0" w:color="auto"/>
              <w:right w:val="single" w:sz="8" w:space="0" w:color="auto"/>
            </w:tcBorders>
            <w:shd w:val="clear" w:color="000000" w:fill="FFD5FF"/>
            <w:noWrap/>
            <w:vAlign w:val="center"/>
            <w:hideMark/>
          </w:tcPr>
          <w:p w14:paraId="6BA344E9"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24.8</w:t>
            </w:r>
          </w:p>
        </w:tc>
        <w:tc>
          <w:tcPr>
            <w:tcW w:w="1010" w:type="dxa"/>
            <w:tcBorders>
              <w:top w:val="nil"/>
              <w:left w:val="nil"/>
              <w:bottom w:val="single" w:sz="8" w:space="0" w:color="auto"/>
              <w:right w:val="single" w:sz="8" w:space="0" w:color="auto"/>
            </w:tcBorders>
            <w:shd w:val="clear" w:color="000000" w:fill="FFFFFF"/>
            <w:noWrap/>
            <w:vAlign w:val="center"/>
            <w:hideMark/>
          </w:tcPr>
          <w:p w14:paraId="71979840"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10.7</w:t>
            </w:r>
          </w:p>
        </w:tc>
        <w:tc>
          <w:tcPr>
            <w:tcW w:w="1010" w:type="dxa"/>
            <w:tcBorders>
              <w:top w:val="nil"/>
              <w:left w:val="nil"/>
              <w:bottom w:val="single" w:sz="8" w:space="0" w:color="auto"/>
              <w:right w:val="single" w:sz="8" w:space="0" w:color="auto"/>
            </w:tcBorders>
            <w:shd w:val="clear" w:color="000000" w:fill="FFFFFF"/>
            <w:noWrap/>
            <w:vAlign w:val="center"/>
            <w:hideMark/>
          </w:tcPr>
          <w:p w14:paraId="5FB8C7F5"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7.3</w:t>
            </w:r>
          </w:p>
        </w:tc>
      </w:tr>
      <w:tr w:rsidR="00D855E6" w:rsidRPr="00D855E6" w14:paraId="56EDD766" w14:textId="77777777" w:rsidTr="00DF005E">
        <w:trPr>
          <w:trHeight w:val="300"/>
          <w:jc w:val="center"/>
        </w:trPr>
        <w:tc>
          <w:tcPr>
            <w:tcW w:w="983" w:type="dxa"/>
            <w:tcBorders>
              <w:top w:val="nil"/>
              <w:left w:val="single" w:sz="8" w:space="0" w:color="auto"/>
              <w:bottom w:val="single" w:sz="8" w:space="0" w:color="auto"/>
              <w:right w:val="single" w:sz="8" w:space="0" w:color="auto"/>
            </w:tcBorders>
            <w:shd w:val="clear" w:color="000000" w:fill="FFFFFF"/>
            <w:noWrap/>
            <w:vAlign w:val="center"/>
            <w:hideMark/>
          </w:tcPr>
          <w:p w14:paraId="672595C1"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2009</w:t>
            </w:r>
          </w:p>
        </w:tc>
        <w:tc>
          <w:tcPr>
            <w:tcW w:w="1009" w:type="dxa"/>
            <w:tcBorders>
              <w:top w:val="nil"/>
              <w:left w:val="nil"/>
              <w:bottom w:val="single" w:sz="8" w:space="0" w:color="auto"/>
              <w:right w:val="single" w:sz="8" w:space="0" w:color="auto"/>
            </w:tcBorders>
            <w:shd w:val="clear" w:color="000000" w:fill="FFD5FF"/>
            <w:noWrap/>
            <w:vAlign w:val="center"/>
            <w:hideMark/>
          </w:tcPr>
          <w:p w14:paraId="27EEFE7B"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40</w:t>
            </w:r>
          </w:p>
        </w:tc>
        <w:tc>
          <w:tcPr>
            <w:tcW w:w="1010" w:type="dxa"/>
            <w:tcBorders>
              <w:top w:val="nil"/>
              <w:left w:val="nil"/>
              <w:bottom w:val="single" w:sz="8" w:space="0" w:color="auto"/>
              <w:right w:val="single" w:sz="8" w:space="0" w:color="auto"/>
            </w:tcBorders>
            <w:shd w:val="clear" w:color="000000" w:fill="FFD5FF"/>
            <w:noWrap/>
            <w:vAlign w:val="center"/>
            <w:hideMark/>
          </w:tcPr>
          <w:p w14:paraId="16A587B5"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61.6</w:t>
            </w:r>
          </w:p>
        </w:tc>
        <w:tc>
          <w:tcPr>
            <w:tcW w:w="1010" w:type="dxa"/>
            <w:tcBorders>
              <w:top w:val="nil"/>
              <w:left w:val="nil"/>
              <w:bottom w:val="single" w:sz="8" w:space="0" w:color="auto"/>
              <w:right w:val="single" w:sz="8" w:space="0" w:color="auto"/>
            </w:tcBorders>
            <w:shd w:val="clear" w:color="000000" w:fill="FFFFFF"/>
            <w:noWrap/>
            <w:vAlign w:val="center"/>
            <w:hideMark/>
          </w:tcPr>
          <w:p w14:paraId="6753E81E"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12</w:t>
            </w:r>
          </w:p>
        </w:tc>
        <w:tc>
          <w:tcPr>
            <w:tcW w:w="1010" w:type="dxa"/>
            <w:tcBorders>
              <w:top w:val="nil"/>
              <w:left w:val="nil"/>
              <w:bottom w:val="single" w:sz="8" w:space="0" w:color="auto"/>
              <w:right w:val="single" w:sz="8" w:space="0" w:color="auto"/>
            </w:tcBorders>
            <w:shd w:val="clear" w:color="000000" w:fill="FFFFFF"/>
            <w:noWrap/>
            <w:vAlign w:val="center"/>
            <w:hideMark/>
          </w:tcPr>
          <w:p w14:paraId="18FCBE0A"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5.6</w:t>
            </w:r>
          </w:p>
        </w:tc>
        <w:tc>
          <w:tcPr>
            <w:tcW w:w="1010" w:type="dxa"/>
            <w:tcBorders>
              <w:top w:val="nil"/>
              <w:left w:val="nil"/>
              <w:bottom w:val="single" w:sz="8" w:space="0" w:color="auto"/>
              <w:right w:val="single" w:sz="8" w:space="0" w:color="auto"/>
            </w:tcBorders>
            <w:shd w:val="clear" w:color="000000" w:fill="FFD5FF"/>
            <w:noWrap/>
            <w:vAlign w:val="center"/>
            <w:hideMark/>
          </w:tcPr>
          <w:p w14:paraId="331331C4"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38</w:t>
            </w:r>
          </w:p>
        </w:tc>
        <w:tc>
          <w:tcPr>
            <w:tcW w:w="1010" w:type="dxa"/>
            <w:tcBorders>
              <w:top w:val="nil"/>
              <w:left w:val="nil"/>
              <w:bottom w:val="single" w:sz="8" w:space="0" w:color="auto"/>
              <w:right w:val="single" w:sz="8" w:space="0" w:color="auto"/>
            </w:tcBorders>
            <w:shd w:val="clear" w:color="000000" w:fill="FFD5FF"/>
            <w:noWrap/>
            <w:vAlign w:val="center"/>
            <w:hideMark/>
          </w:tcPr>
          <w:p w14:paraId="02690586"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26</w:t>
            </w:r>
          </w:p>
        </w:tc>
        <w:tc>
          <w:tcPr>
            <w:tcW w:w="1010" w:type="dxa"/>
            <w:tcBorders>
              <w:top w:val="nil"/>
              <w:left w:val="nil"/>
              <w:bottom w:val="single" w:sz="8" w:space="0" w:color="auto"/>
              <w:right w:val="single" w:sz="8" w:space="0" w:color="auto"/>
            </w:tcBorders>
            <w:shd w:val="clear" w:color="000000" w:fill="FFFFFF"/>
            <w:noWrap/>
            <w:vAlign w:val="center"/>
            <w:hideMark/>
          </w:tcPr>
          <w:p w14:paraId="12058694"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10</w:t>
            </w:r>
          </w:p>
        </w:tc>
        <w:tc>
          <w:tcPr>
            <w:tcW w:w="1010" w:type="dxa"/>
            <w:tcBorders>
              <w:top w:val="nil"/>
              <w:left w:val="nil"/>
              <w:bottom w:val="single" w:sz="8" w:space="0" w:color="auto"/>
              <w:right w:val="single" w:sz="8" w:space="0" w:color="auto"/>
            </w:tcBorders>
            <w:shd w:val="clear" w:color="000000" w:fill="FFFFFF"/>
            <w:noWrap/>
            <w:vAlign w:val="center"/>
            <w:hideMark/>
          </w:tcPr>
          <w:p w14:paraId="79088546" w14:textId="77777777" w:rsidR="00D855E6" w:rsidRPr="00D855E6" w:rsidRDefault="00D855E6" w:rsidP="00D855E6">
            <w:pPr>
              <w:spacing w:after="0" w:line="240" w:lineRule="auto"/>
              <w:jc w:val="center"/>
              <w:rPr>
                <w:rFonts w:ascii="Calibri" w:eastAsia="Times New Roman" w:hAnsi="Calibri" w:cs="Times New Roman"/>
                <w:color w:val="000000"/>
                <w:sz w:val="20"/>
                <w:szCs w:val="20"/>
                <w:lang w:eastAsia="en-AU"/>
              </w:rPr>
            </w:pPr>
            <w:r w:rsidRPr="00D855E6">
              <w:rPr>
                <w:rFonts w:ascii="Calibri" w:eastAsia="Times New Roman" w:hAnsi="Calibri" w:cs="Times New Roman"/>
                <w:color w:val="000000"/>
                <w:sz w:val="20"/>
                <w:szCs w:val="20"/>
                <w:lang w:eastAsia="en-AU"/>
              </w:rPr>
              <w:t>6.8</w:t>
            </w:r>
          </w:p>
        </w:tc>
      </w:tr>
    </w:tbl>
    <w:p w14:paraId="067BCFC3" w14:textId="77777777" w:rsidR="0055151C" w:rsidRDefault="0055151C" w:rsidP="0055151C">
      <w:pPr>
        <w:spacing w:after="0"/>
        <w:rPr>
          <w:rFonts w:eastAsia="Times New Roman" w:cstheme="minorHAnsi"/>
          <w:sz w:val="20"/>
          <w:szCs w:val="20"/>
          <w:lang w:eastAsia="en-AU"/>
        </w:rPr>
      </w:pPr>
      <w:r w:rsidRPr="00FB0B47">
        <w:rPr>
          <w:rFonts w:eastAsia="Times New Roman" w:cstheme="minorHAnsi"/>
          <w:sz w:val="20"/>
          <w:szCs w:val="20"/>
          <w:lang w:eastAsia="en-AU"/>
        </w:rPr>
        <w:t xml:space="preserve">*Calculation is based on </w:t>
      </w:r>
      <w:r>
        <w:rPr>
          <w:rFonts w:eastAsia="Times New Roman" w:cstheme="minorHAnsi"/>
          <w:sz w:val="20"/>
          <w:szCs w:val="20"/>
          <w:lang w:eastAsia="en-AU"/>
        </w:rPr>
        <w:t>fewer</w:t>
      </w:r>
      <w:r w:rsidRPr="00FB0B47">
        <w:rPr>
          <w:rFonts w:eastAsia="Times New Roman" w:cstheme="minorHAnsi"/>
          <w:sz w:val="20"/>
          <w:szCs w:val="20"/>
          <w:lang w:eastAsia="en-AU"/>
        </w:rPr>
        <w:t xml:space="preserve"> t</w:t>
      </w:r>
      <w:r>
        <w:rPr>
          <w:rFonts w:eastAsia="Times New Roman" w:cstheme="minorHAnsi"/>
          <w:sz w:val="20"/>
          <w:szCs w:val="20"/>
          <w:lang w:eastAsia="en-AU"/>
        </w:rPr>
        <w:t>han 10 students</w:t>
      </w:r>
    </w:p>
    <w:p w14:paraId="56DE2755" w14:textId="77777777" w:rsidR="0055151C" w:rsidRDefault="0055151C" w:rsidP="0055151C">
      <w:pPr>
        <w:spacing w:after="0"/>
        <w:rPr>
          <w:rFonts w:eastAsia="Times New Roman" w:cstheme="minorHAnsi"/>
          <w:sz w:val="20"/>
          <w:szCs w:val="20"/>
          <w:lang w:eastAsia="en-AU"/>
        </w:rPr>
      </w:pPr>
    </w:p>
    <w:p w14:paraId="5ACFCA84" w14:textId="4291FDCA" w:rsidR="00DE729C" w:rsidRDefault="003659EF" w:rsidP="0055151C">
      <w:pPr>
        <w:spacing w:after="0"/>
        <w:rPr>
          <w:rFonts w:eastAsia="Times New Roman" w:cstheme="minorHAnsi"/>
          <w:lang w:eastAsia="en-AU"/>
        </w:rPr>
      </w:pPr>
      <w:r>
        <w:rPr>
          <w:rFonts w:eastAsia="Times New Roman" w:cstheme="minorHAnsi"/>
          <w:lang w:eastAsia="en-AU"/>
        </w:rPr>
        <w:fldChar w:fldCharType="begin"/>
      </w:r>
      <w:r>
        <w:rPr>
          <w:rFonts w:eastAsia="Times New Roman" w:cstheme="minorHAnsi"/>
          <w:lang w:eastAsia="en-AU"/>
        </w:rPr>
        <w:instrText xml:space="preserve"> REF _Ref17884724 \h </w:instrText>
      </w:r>
      <w:r>
        <w:rPr>
          <w:rFonts w:eastAsia="Times New Roman" w:cstheme="minorHAnsi"/>
          <w:lang w:eastAsia="en-AU"/>
        </w:rPr>
      </w:r>
      <w:r>
        <w:rPr>
          <w:rFonts w:eastAsia="Times New Roman" w:cstheme="minorHAnsi"/>
          <w:lang w:eastAsia="en-AU"/>
        </w:rPr>
        <w:fldChar w:fldCharType="separate"/>
      </w:r>
      <w:r w:rsidR="002967AB">
        <w:t xml:space="preserve">Table </w:t>
      </w:r>
      <w:r w:rsidR="002967AB">
        <w:rPr>
          <w:noProof/>
        </w:rPr>
        <w:t>4</w:t>
      </w:r>
      <w:r>
        <w:rPr>
          <w:rFonts w:eastAsia="Times New Roman" w:cstheme="minorHAnsi"/>
          <w:lang w:eastAsia="en-AU"/>
        </w:rPr>
        <w:fldChar w:fldCharType="end"/>
      </w:r>
      <w:r w:rsidR="00800EA0">
        <w:rPr>
          <w:rFonts w:eastAsia="Times New Roman" w:cstheme="minorHAnsi"/>
          <w:lang w:eastAsia="en-AU"/>
        </w:rPr>
        <w:t xml:space="preserve"> shows</w:t>
      </w:r>
      <w:r w:rsidR="0055151C" w:rsidRPr="00386782">
        <w:rPr>
          <w:rFonts w:eastAsia="Times New Roman" w:cstheme="minorHAnsi"/>
          <w:lang w:eastAsia="en-AU"/>
        </w:rPr>
        <w:t xml:space="preserve"> </w:t>
      </w:r>
      <w:r w:rsidR="00800EA0">
        <w:rPr>
          <w:rFonts w:eastAsia="Times New Roman" w:cstheme="minorHAnsi"/>
          <w:lang w:eastAsia="en-AU"/>
        </w:rPr>
        <w:t>nine-year completion rates by</w:t>
      </w:r>
      <w:r w:rsidR="0055151C" w:rsidRPr="00386782">
        <w:rPr>
          <w:rFonts w:eastAsia="Times New Roman" w:cstheme="minorHAnsi"/>
          <w:lang w:eastAsia="en-AU"/>
        </w:rPr>
        <w:t xml:space="preserve"> </w:t>
      </w:r>
      <w:r w:rsidR="00800EA0">
        <w:rPr>
          <w:rFonts w:eastAsia="Times New Roman" w:cstheme="minorHAnsi"/>
          <w:lang w:eastAsia="en-AU"/>
        </w:rPr>
        <w:t xml:space="preserve">a number of </w:t>
      </w:r>
      <w:r w:rsidR="0055151C" w:rsidRPr="00386782">
        <w:rPr>
          <w:rFonts w:eastAsia="Times New Roman" w:cstheme="minorHAnsi"/>
          <w:lang w:eastAsia="en-AU"/>
        </w:rPr>
        <w:t>student characteristics</w:t>
      </w:r>
      <w:r w:rsidR="00800EA0">
        <w:rPr>
          <w:rFonts w:eastAsia="Times New Roman" w:cstheme="minorHAnsi"/>
          <w:lang w:eastAsia="en-AU"/>
        </w:rPr>
        <w:t>.</w:t>
      </w:r>
      <w:r w:rsidR="0055151C" w:rsidRPr="00386782">
        <w:rPr>
          <w:rFonts w:eastAsia="Times New Roman" w:cstheme="minorHAnsi"/>
          <w:lang w:eastAsia="en-AU"/>
        </w:rPr>
        <w:t xml:space="preserve"> </w:t>
      </w:r>
      <w:r w:rsidR="00800EA0">
        <w:rPr>
          <w:rFonts w:eastAsia="Times New Roman" w:cstheme="minorHAnsi"/>
          <w:lang w:eastAsia="en-AU"/>
        </w:rPr>
        <w:t>Again, caution is warranted given the relatively small number of students represented.</w:t>
      </w:r>
      <w:r w:rsidR="000D7D80">
        <w:rPr>
          <w:rFonts w:eastAsia="Times New Roman" w:cstheme="minorHAnsi"/>
          <w:lang w:eastAsia="en-AU"/>
        </w:rPr>
        <w:t xml:space="preserve"> </w:t>
      </w:r>
      <w:r w:rsidR="001637DD">
        <w:rPr>
          <w:rFonts w:eastAsia="Times New Roman" w:cstheme="minorHAnsi"/>
          <w:lang w:eastAsia="en-AU"/>
        </w:rPr>
        <w:t>S</w:t>
      </w:r>
      <w:r w:rsidR="000D7D80">
        <w:rPr>
          <w:rFonts w:eastAsia="Times New Roman" w:cstheme="minorHAnsi"/>
          <w:lang w:eastAsia="en-AU"/>
        </w:rPr>
        <w:t xml:space="preserve">tudents studying </w:t>
      </w:r>
      <w:r w:rsidR="000D7D80">
        <w:rPr>
          <w:rFonts w:eastAsia="Times New Roman" w:cstheme="minorHAnsi"/>
          <w:lang w:eastAsia="en-AU"/>
        </w:rPr>
        <w:br/>
        <w:t xml:space="preserve">full-time and those who were male, </w:t>
      </w:r>
      <w:r w:rsidR="00DE729C">
        <w:rPr>
          <w:rFonts w:eastAsia="Times New Roman" w:cstheme="minorHAnsi"/>
          <w:lang w:eastAsia="en-AU"/>
        </w:rPr>
        <w:t xml:space="preserve">who </w:t>
      </w:r>
      <w:r w:rsidR="00FB3160">
        <w:rPr>
          <w:rFonts w:eastAsia="Times New Roman" w:cstheme="minorHAnsi"/>
          <w:lang w:eastAsia="en-AU"/>
        </w:rPr>
        <w:t xml:space="preserve">commenced when </w:t>
      </w:r>
      <w:r w:rsidR="000D7D80">
        <w:rPr>
          <w:rFonts w:eastAsia="Times New Roman" w:cstheme="minorHAnsi"/>
          <w:lang w:eastAsia="en-AU"/>
        </w:rPr>
        <w:t xml:space="preserve">aged under 45, </w:t>
      </w:r>
      <w:r w:rsidR="00600B07">
        <w:rPr>
          <w:rFonts w:eastAsia="Times New Roman" w:cstheme="minorHAnsi"/>
          <w:lang w:eastAsia="en-AU"/>
        </w:rPr>
        <w:t xml:space="preserve">from a </w:t>
      </w:r>
      <w:r w:rsidR="000A7563">
        <w:rPr>
          <w:rFonts w:eastAsia="Times New Roman" w:cstheme="minorHAnsi"/>
          <w:lang w:eastAsia="en-AU"/>
        </w:rPr>
        <w:t xml:space="preserve">high </w:t>
      </w:r>
      <w:r w:rsidR="0055151C" w:rsidRPr="00386782">
        <w:rPr>
          <w:rFonts w:eastAsia="Times New Roman" w:cstheme="minorHAnsi"/>
          <w:lang w:eastAsia="en-AU"/>
        </w:rPr>
        <w:t xml:space="preserve">SES, and </w:t>
      </w:r>
      <w:r w:rsidR="00DE729C">
        <w:rPr>
          <w:rFonts w:eastAsia="Times New Roman" w:cstheme="minorHAnsi"/>
          <w:lang w:eastAsia="en-AU"/>
        </w:rPr>
        <w:t>from</w:t>
      </w:r>
      <w:r w:rsidR="00FF791B">
        <w:rPr>
          <w:rFonts w:eastAsia="Times New Roman" w:cstheme="minorHAnsi"/>
          <w:lang w:eastAsia="en-AU"/>
        </w:rPr>
        <w:t xml:space="preserve"> </w:t>
      </w:r>
      <w:r w:rsidR="0055151C" w:rsidRPr="00386782">
        <w:rPr>
          <w:rFonts w:eastAsia="Times New Roman" w:cstheme="minorHAnsi"/>
          <w:lang w:eastAsia="en-AU"/>
        </w:rPr>
        <w:t>metropolitan</w:t>
      </w:r>
      <w:r w:rsidR="00FF791B">
        <w:rPr>
          <w:rFonts w:eastAsia="Times New Roman" w:cstheme="minorHAnsi"/>
          <w:lang w:eastAsia="en-AU"/>
        </w:rPr>
        <w:t xml:space="preserve"> area</w:t>
      </w:r>
      <w:r w:rsidR="00DE729C">
        <w:rPr>
          <w:rFonts w:eastAsia="Times New Roman" w:cstheme="minorHAnsi"/>
          <w:lang w:eastAsia="en-AU"/>
        </w:rPr>
        <w:t>s</w:t>
      </w:r>
      <w:r w:rsidR="00FF791B">
        <w:rPr>
          <w:rFonts w:eastAsia="Times New Roman" w:cstheme="minorHAnsi"/>
          <w:lang w:eastAsia="en-AU"/>
        </w:rPr>
        <w:t xml:space="preserve"> exhibited greater success rates than those with</w:t>
      </w:r>
      <w:r w:rsidR="001637DD">
        <w:rPr>
          <w:rFonts w:eastAsia="Times New Roman" w:cstheme="minorHAnsi"/>
          <w:lang w:eastAsia="en-AU"/>
        </w:rPr>
        <w:t>out these</w:t>
      </w:r>
      <w:r w:rsidR="00FF791B">
        <w:rPr>
          <w:rFonts w:eastAsia="Times New Roman" w:cstheme="minorHAnsi"/>
          <w:lang w:eastAsia="en-AU"/>
        </w:rPr>
        <w:t xml:space="preserve"> characteristics.</w:t>
      </w:r>
      <w:r w:rsidR="00957818" w:rsidRPr="00957818">
        <w:t xml:space="preserve"> </w:t>
      </w:r>
      <w:r w:rsidR="00957818" w:rsidRPr="00957818">
        <w:rPr>
          <w:rFonts w:eastAsia="Times New Roman" w:cstheme="minorHAnsi"/>
          <w:lang w:eastAsia="en-AU"/>
        </w:rPr>
        <w:t xml:space="preserve">This is consistent with the characteristics of high completions in the total domestic HDR population, and affirms what we know of the challenges faced by students who are female, mature-aged, from low SES backgrounds, and from regional or rural areas.  </w:t>
      </w:r>
    </w:p>
    <w:p w14:paraId="3C253A3F" w14:textId="77777777" w:rsidR="00DE729C" w:rsidRDefault="00DE729C" w:rsidP="0055151C">
      <w:pPr>
        <w:spacing w:after="0"/>
        <w:rPr>
          <w:rFonts w:eastAsia="Times New Roman" w:cstheme="minorHAnsi"/>
          <w:lang w:eastAsia="en-AU"/>
        </w:rPr>
      </w:pPr>
    </w:p>
    <w:p w14:paraId="2397CA43" w14:textId="614A4356" w:rsidR="0055151C" w:rsidRPr="00386782" w:rsidRDefault="00FD4CDF" w:rsidP="0055151C">
      <w:pPr>
        <w:spacing w:after="0"/>
        <w:rPr>
          <w:rFonts w:eastAsia="Times New Roman" w:cstheme="minorHAnsi"/>
          <w:lang w:eastAsia="en-AU"/>
        </w:rPr>
      </w:pPr>
      <w:r>
        <w:rPr>
          <w:rFonts w:eastAsia="Times New Roman" w:cstheme="minorHAnsi"/>
          <w:lang w:eastAsia="en-AU"/>
        </w:rPr>
        <w:t>It was not possible to publish completion rates according to stipend status, as the number of Indigenous HDR students who received an Australian Postgraduate Award</w:t>
      </w:r>
      <w:r w:rsidR="00FF791B">
        <w:rPr>
          <w:rFonts w:eastAsia="Times New Roman" w:cstheme="minorHAnsi"/>
          <w:lang w:eastAsia="en-AU"/>
        </w:rPr>
        <w:t xml:space="preserve"> </w:t>
      </w:r>
      <w:r>
        <w:rPr>
          <w:rFonts w:eastAsia="Times New Roman" w:cstheme="minorHAnsi"/>
          <w:lang w:eastAsia="en-AU"/>
        </w:rPr>
        <w:t>in the 2007</w:t>
      </w:r>
      <w:r w:rsidRPr="00FD4CDF">
        <w:t>–09</w:t>
      </w:r>
      <w:r>
        <w:t xml:space="preserve"> cohorts was too few to produce reliable statistics. Students who received a fe</w:t>
      </w:r>
      <w:r w:rsidR="00957818">
        <w:t>es offset</w:t>
      </w:r>
      <w:r>
        <w:t xml:space="preserve"> through the</w:t>
      </w:r>
      <w:r w:rsidR="00FD2E6E">
        <w:t xml:space="preserve"> RTS</w:t>
      </w:r>
      <w:r>
        <w:t>, but no stipend, had a completion rate of around 40 per cent</w:t>
      </w:r>
      <w:r w:rsidR="002545AA">
        <w:t xml:space="preserve"> in each cohort.</w:t>
      </w:r>
    </w:p>
    <w:p w14:paraId="7B6501A5" w14:textId="17963171" w:rsidR="0080050C" w:rsidRDefault="0080050C">
      <w:pPr>
        <w:rPr>
          <w:b/>
        </w:rPr>
      </w:pPr>
      <w:r>
        <w:rPr>
          <w:b/>
        </w:rPr>
        <w:br w:type="page"/>
      </w:r>
    </w:p>
    <w:p w14:paraId="5EDC0984" w14:textId="39582BDB" w:rsidR="003659EF" w:rsidRDefault="003659EF" w:rsidP="003659EF">
      <w:pPr>
        <w:pStyle w:val="Caption"/>
        <w:rPr>
          <w:b w:val="0"/>
        </w:rPr>
      </w:pPr>
      <w:bookmarkStart w:id="70" w:name="_Ref17884724"/>
      <w:bookmarkStart w:id="71" w:name="_Toc18070243"/>
      <w:r>
        <w:t xml:space="preserve">Table </w:t>
      </w:r>
      <w:r w:rsidR="002C5804">
        <w:fldChar w:fldCharType="begin"/>
      </w:r>
      <w:r w:rsidR="002C5804">
        <w:instrText xml:space="preserve"> SEQ Table \* ARABIC </w:instrText>
      </w:r>
      <w:r w:rsidR="002C5804">
        <w:fldChar w:fldCharType="separate"/>
      </w:r>
      <w:r w:rsidR="002967AB">
        <w:rPr>
          <w:noProof/>
        </w:rPr>
        <w:t>4</w:t>
      </w:r>
      <w:r w:rsidR="002C5804">
        <w:rPr>
          <w:noProof/>
        </w:rPr>
        <w:fldChar w:fldCharType="end"/>
      </w:r>
      <w:bookmarkEnd w:id="70"/>
      <w:r>
        <w:t xml:space="preserve">: </w:t>
      </w:r>
      <w:r w:rsidRPr="00EE7E83">
        <w:t>Nine-year completion rates for commencing Indigenous HDR students by selected characteristics, 2007-2015, 20</w:t>
      </w:r>
      <w:r>
        <w:t>08-2016, 2009-2017 (per cent )</w:t>
      </w:r>
      <w:r w:rsidRPr="003659EF">
        <w:rPr>
          <w:rStyle w:val="FootnoteReference"/>
          <w:b w:val="0"/>
        </w:rPr>
        <w:t xml:space="preserve"> </w:t>
      </w:r>
      <w:r>
        <w:rPr>
          <w:rStyle w:val="FootnoteReference"/>
          <w:b w:val="0"/>
        </w:rPr>
        <w:footnoteReference w:id="7"/>
      </w:r>
      <w:bookmarkEnd w:id="71"/>
    </w:p>
    <w:p w14:paraId="0DA3A5E2" w14:textId="3929F637" w:rsidR="0055151C" w:rsidRPr="00203A3D" w:rsidRDefault="0055151C" w:rsidP="00AE5275">
      <w:pPr>
        <w:spacing w:after="0" w:line="240" w:lineRule="auto"/>
        <w:rPr>
          <w:b/>
        </w:rPr>
      </w:pPr>
    </w:p>
    <w:tbl>
      <w:tblPr>
        <w:tblW w:w="9015" w:type="dxa"/>
        <w:tblLook w:val="04A0" w:firstRow="1" w:lastRow="0" w:firstColumn="1" w:lastColumn="0" w:noHBand="0" w:noVBand="1"/>
      </w:tblPr>
      <w:tblGrid>
        <w:gridCol w:w="3036"/>
        <w:gridCol w:w="1993"/>
        <w:gridCol w:w="1993"/>
        <w:gridCol w:w="1993"/>
      </w:tblGrid>
      <w:tr w:rsidR="0055151C" w:rsidRPr="00443585" w14:paraId="5B25DABB"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000000" w:fill="53265C"/>
            <w:vAlign w:val="bottom"/>
            <w:hideMark/>
          </w:tcPr>
          <w:p w14:paraId="5A1F7B4F" w14:textId="77777777" w:rsidR="0055151C" w:rsidRPr="00443585" w:rsidRDefault="0055151C" w:rsidP="00443585">
            <w:pPr>
              <w:spacing w:before="120" w:after="120"/>
              <w:jc w:val="center"/>
              <w:rPr>
                <w:rFonts w:ascii="Calibri" w:hAnsi="Calibri" w:cs="Calibri"/>
                <w:b/>
                <w:bCs/>
                <w:color w:val="000000"/>
                <w:sz w:val="20"/>
                <w:szCs w:val="20"/>
              </w:rPr>
            </w:pPr>
            <w:r w:rsidRPr="00443585">
              <w:rPr>
                <w:rFonts w:ascii="Calibri" w:hAnsi="Calibri" w:cs="Calibri"/>
                <w:b/>
                <w:bCs/>
                <w:color w:val="000000"/>
                <w:sz w:val="20"/>
                <w:szCs w:val="20"/>
              </w:rPr>
              <w:t xml:space="preserve"> </w:t>
            </w:r>
          </w:p>
        </w:tc>
        <w:tc>
          <w:tcPr>
            <w:tcW w:w="1993" w:type="dxa"/>
            <w:tcBorders>
              <w:top w:val="single" w:sz="4" w:space="0" w:color="auto"/>
              <w:left w:val="single" w:sz="4" w:space="0" w:color="auto"/>
              <w:bottom w:val="single" w:sz="4" w:space="0" w:color="auto"/>
              <w:right w:val="single" w:sz="4" w:space="0" w:color="auto"/>
            </w:tcBorders>
            <w:shd w:val="clear" w:color="000000" w:fill="53265C"/>
            <w:vAlign w:val="center"/>
          </w:tcPr>
          <w:p w14:paraId="04CA65FC" w14:textId="77777777" w:rsidR="0055151C" w:rsidRPr="00443585" w:rsidRDefault="0055151C" w:rsidP="00443585">
            <w:pPr>
              <w:spacing w:before="120" w:after="120"/>
              <w:jc w:val="center"/>
              <w:rPr>
                <w:rFonts w:ascii="Calibri" w:hAnsi="Calibri" w:cs="Calibri"/>
                <w:b/>
                <w:bCs/>
                <w:color w:val="FFFFFF"/>
                <w:sz w:val="20"/>
                <w:szCs w:val="20"/>
              </w:rPr>
            </w:pPr>
            <w:r w:rsidRPr="00443585">
              <w:rPr>
                <w:rFonts w:ascii="Calibri" w:hAnsi="Calibri" w:cs="Calibri"/>
                <w:b/>
                <w:bCs/>
                <w:color w:val="FFFFFF"/>
                <w:sz w:val="20"/>
                <w:szCs w:val="20"/>
              </w:rPr>
              <w:t>2007</w:t>
            </w:r>
          </w:p>
        </w:tc>
        <w:tc>
          <w:tcPr>
            <w:tcW w:w="1993" w:type="dxa"/>
            <w:tcBorders>
              <w:top w:val="single" w:sz="4" w:space="0" w:color="auto"/>
              <w:left w:val="single" w:sz="4" w:space="0" w:color="auto"/>
              <w:bottom w:val="single" w:sz="4" w:space="0" w:color="auto"/>
              <w:right w:val="single" w:sz="4" w:space="0" w:color="auto"/>
            </w:tcBorders>
            <w:shd w:val="clear" w:color="000000" w:fill="53265C"/>
            <w:vAlign w:val="center"/>
          </w:tcPr>
          <w:p w14:paraId="63B737AE" w14:textId="77777777" w:rsidR="0055151C" w:rsidRPr="00443585" w:rsidRDefault="0055151C" w:rsidP="00443585">
            <w:pPr>
              <w:spacing w:before="120" w:after="120"/>
              <w:jc w:val="center"/>
              <w:rPr>
                <w:rFonts w:ascii="Calibri" w:hAnsi="Calibri" w:cs="Calibri"/>
                <w:b/>
                <w:bCs/>
                <w:color w:val="FFFFFF"/>
                <w:sz w:val="20"/>
                <w:szCs w:val="20"/>
              </w:rPr>
            </w:pPr>
            <w:r w:rsidRPr="00443585">
              <w:rPr>
                <w:rFonts w:ascii="Calibri" w:hAnsi="Calibri" w:cs="Calibri"/>
                <w:b/>
                <w:bCs/>
                <w:color w:val="FFFFFF"/>
                <w:sz w:val="20"/>
                <w:szCs w:val="20"/>
              </w:rPr>
              <w:t>2008</w:t>
            </w:r>
          </w:p>
        </w:tc>
        <w:tc>
          <w:tcPr>
            <w:tcW w:w="1993" w:type="dxa"/>
            <w:tcBorders>
              <w:top w:val="single" w:sz="4" w:space="0" w:color="auto"/>
              <w:left w:val="single" w:sz="4" w:space="0" w:color="auto"/>
              <w:bottom w:val="single" w:sz="4" w:space="0" w:color="auto"/>
              <w:right w:val="single" w:sz="4" w:space="0" w:color="auto"/>
            </w:tcBorders>
            <w:shd w:val="clear" w:color="000000" w:fill="53265C"/>
            <w:vAlign w:val="center"/>
          </w:tcPr>
          <w:p w14:paraId="06E004D4" w14:textId="77777777" w:rsidR="0055151C" w:rsidRPr="00443585" w:rsidRDefault="0055151C" w:rsidP="00443585">
            <w:pPr>
              <w:spacing w:before="120" w:after="120"/>
              <w:jc w:val="center"/>
              <w:rPr>
                <w:rFonts w:ascii="Calibri" w:hAnsi="Calibri" w:cs="Calibri"/>
                <w:b/>
                <w:bCs/>
                <w:color w:val="FFFFFF"/>
                <w:sz w:val="20"/>
                <w:szCs w:val="20"/>
              </w:rPr>
            </w:pPr>
            <w:r w:rsidRPr="00443585">
              <w:rPr>
                <w:rFonts w:ascii="Calibri" w:hAnsi="Calibri" w:cs="Calibri"/>
                <w:b/>
                <w:bCs/>
                <w:color w:val="FFFFFF"/>
                <w:sz w:val="20"/>
                <w:szCs w:val="20"/>
              </w:rPr>
              <w:t>2009</w:t>
            </w:r>
          </w:p>
        </w:tc>
      </w:tr>
      <w:tr w:rsidR="0055151C" w:rsidRPr="00386782" w14:paraId="4E1C7CD3"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56452E18"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cs="Calibri"/>
                <w:b/>
                <w:bCs/>
                <w:color w:val="000000"/>
                <w:sz w:val="20"/>
                <w:szCs w:val="20"/>
              </w:rPr>
              <w:t>Total (Domestic) Indigenous HDR students</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70639B8"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38.1</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04E10A02"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38.8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849B11D"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40.0</w:t>
            </w:r>
          </w:p>
        </w:tc>
      </w:tr>
      <w:tr w:rsidR="0055151C" w:rsidRPr="00386782" w14:paraId="77845EF7"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35ED9BF2"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cs="Calibri"/>
                <w:b/>
                <w:bCs/>
                <w:color w:val="000000"/>
                <w:sz w:val="20"/>
                <w:szCs w:val="20"/>
              </w:rPr>
              <w:t>Type of course</w:t>
            </w:r>
          </w:p>
        </w:tc>
      </w:tr>
      <w:tr w:rsidR="0055151C" w:rsidRPr="00386782" w14:paraId="2C18E961"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2C3C1195"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Doctorate by Research</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77B51AE"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40.0</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0F93DCD"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44.3</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4C4C727"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45.2</w:t>
            </w:r>
          </w:p>
        </w:tc>
      </w:tr>
      <w:tr w:rsidR="0055151C" w:rsidRPr="00386782" w14:paraId="6AFF2E71"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52BDE948" w14:textId="66E0B10B"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Master</w:t>
            </w:r>
            <w:r w:rsidR="002A5012">
              <w:rPr>
                <w:rFonts w:eastAsia="Times New Roman" w:cs="Calibri"/>
                <w:color w:val="000000"/>
                <w:sz w:val="20"/>
                <w:szCs w:val="20"/>
                <w:lang w:eastAsia="en-AU"/>
              </w:rPr>
              <w:t>’</w:t>
            </w:r>
            <w:r w:rsidRPr="00386782">
              <w:rPr>
                <w:rFonts w:eastAsia="Times New Roman" w:cs="Calibri"/>
                <w:color w:val="000000"/>
                <w:sz w:val="20"/>
                <w:szCs w:val="20"/>
                <w:lang w:eastAsia="en-AU"/>
              </w:rPr>
              <w:t>s by Research</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AAB4E17"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35.3</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8DFA783"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27.3*</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72A40A8"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31.6</w:t>
            </w:r>
          </w:p>
        </w:tc>
      </w:tr>
      <w:tr w:rsidR="0055151C" w:rsidRPr="00386782" w14:paraId="1D4BFC9C"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5AA594D8"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b/>
                <w:color w:val="000000"/>
                <w:sz w:val="20"/>
                <w:szCs w:val="20"/>
                <w:lang w:eastAsia="en-AU"/>
              </w:rPr>
              <w:t>Course load</w:t>
            </w:r>
          </w:p>
        </w:tc>
      </w:tr>
      <w:tr w:rsidR="0055151C" w:rsidRPr="00386782" w14:paraId="784999D7"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0726B3DC" w14:textId="32B3E589"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Full-time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2CEA176"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40.8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C1521F3"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44.6</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1C471AB"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44.1</w:t>
            </w:r>
          </w:p>
        </w:tc>
      </w:tr>
      <w:tr w:rsidR="0055151C" w:rsidRPr="00386782" w14:paraId="35010B94"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3A9FBC73" w14:textId="64314899"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Part-time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D0D5E9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34.3</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4F3C13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28.9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6494C4E"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31.3</w:t>
            </w:r>
          </w:p>
        </w:tc>
      </w:tr>
      <w:tr w:rsidR="0055151C" w:rsidRPr="00386782" w14:paraId="3DD8E805"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0425EBEF"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b/>
                <w:color w:val="000000"/>
                <w:sz w:val="20"/>
                <w:szCs w:val="20"/>
                <w:lang w:eastAsia="en-AU"/>
              </w:rPr>
              <w:t>Gender</w:t>
            </w:r>
          </w:p>
        </w:tc>
      </w:tr>
      <w:tr w:rsidR="0055151C" w:rsidRPr="00386782" w14:paraId="42936665"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4549EA7F" w14:textId="2573A6D9"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Female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FB5EC71"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31.9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13C90E1"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34.8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B8EDBC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32.7</w:t>
            </w:r>
          </w:p>
        </w:tc>
      </w:tr>
      <w:tr w:rsidR="0055151C" w:rsidRPr="00386782" w14:paraId="40B583CE"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2BCC147F" w14:textId="23D52539"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Male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F3B23E1"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45.9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ADC3D1D"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45.9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E215B39"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47.9</w:t>
            </w:r>
          </w:p>
        </w:tc>
      </w:tr>
      <w:tr w:rsidR="0055151C" w:rsidRPr="00386782" w14:paraId="05BE6413"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0E8E5779"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b/>
                <w:color w:val="000000"/>
                <w:sz w:val="20"/>
                <w:szCs w:val="20"/>
                <w:lang w:eastAsia="en-AU"/>
              </w:rPr>
              <w:t>Age</w:t>
            </w:r>
          </w:p>
        </w:tc>
      </w:tr>
      <w:tr w:rsidR="0055151C" w:rsidRPr="00386782" w14:paraId="79C75025"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7411D955"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44 years and under</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6BCB8710"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50.0</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A09744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46.8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7BFF282"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48.6</w:t>
            </w:r>
          </w:p>
        </w:tc>
      </w:tr>
      <w:tr w:rsidR="0055151C" w:rsidRPr="00386782" w14:paraId="0BA274B6"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6E5AA35C" w14:textId="5333E872" w:rsidR="0055151C" w:rsidRPr="00386782" w:rsidRDefault="0055151C" w:rsidP="004342A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 xml:space="preserve">45 years </w:t>
            </w:r>
            <w:r w:rsidR="004342A5">
              <w:rPr>
                <w:rFonts w:eastAsia="Times New Roman" w:cs="Calibri"/>
                <w:color w:val="000000"/>
                <w:sz w:val="20"/>
                <w:szCs w:val="20"/>
                <w:lang w:eastAsia="en-AU"/>
              </w:rPr>
              <w:t>and</w:t>
            </w:r>
            <w:r w:rsidRPr="00386782">
              <w:rPr>
                <w:rFonts w:eastAsia="Times New Roman" w:cs="Calibri"/>
                <w:color w:val="000000"/>
                <w:sz w:val="20"/>
                <w:szCs w:val="20"/>
                <w:lang w:eastAsia="en-AU"/>
              </w:rPr>
              <w:t xml:space="preserve"> over</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639ED72"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20.6*</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756ECFB"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26.8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CCE265B"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20.0*</w:t>
            </w:r>
          </w:p>
        </w:tc>
      </w:tr>
      <w:tr w:rsidR="0055151C" w:rsidRPr="00386782" w14:paraId="06A4D853"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72642323"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b/>
                <w:color w:val="000000"/>
                <w:sz w:val="20"/>
                <w:szCs w:val="20"/>
                <w:lang w:eastAsia="en-AU"/>
              </w:rPr>
              <w:t>Highest qualification</w:t>
            </w:r>
          </w:p>
        </w:tc>
      </w:tr>
      <w:tr w:rsidR="0055151C" w:rsidRPr="00386782" w14:paraId="2029CB74"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7D0B9D20"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Completed Bachelor course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197BE93"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50.0</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576E13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46.8</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6CAC118A"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35.6</w:t>
            </w:r>
          </w:p>
        </w:tc>
      </w:tr>
      <w:tr w:rsidR="0055151C" w:rsidRPr="00386782" w14:paraId="3A244E7A"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7E6EDF67"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Completed Postgraduate course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E7D7072"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42.9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D4FB356"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41.7</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659FAFB3"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40.9</w:t>
            </w:r>
          </w:p>
        </w:tc>
      </w:tr>
      <w:tr w:rsidR="0055151C" w:rsidRPr="00386782" w14:paraId="3BB640DC"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1DE3801B" w14:textId="2998C200" w:rsidR="0055151C" w:rsidRPr="00386782" w:rsidRDefault="00401ADC" w:rsidP="00443585">
            <w:pPr>
              <w:spacing w:after="0" w:line="240" w:lineRule="auto"/>
              <w:rPr>
                <w:rFonts w:eastAsia="Times New Roman" w:cs="Calibri"/>
                <w:color w:val="000000"/>
                <w:sz w:val="20"/>
                <w:szCs w:val="20"/>
                <w:lang w:eastAsia="en-AU"/>
              </w:rPr>
            </w:pPr>
            <w:r>
              <w:rPr>
                <w:rFonts w:eastAsia="Times New Roman" w:cs="Calibri"/>
                <w:b/>
                <w:color w:val="000000"/>
                <w:sz w:val="20"/>
                <w:szCs w:val="20"/>
                <w:lang w:eastAsia="en-AU"/>
              </w:rPr>
              <w:t>Socio</w:t>
            </w:r>
            <w:r w:rsidR="0055151C" w:rsidRPr="00386782">
              <w:rPr>
                <w:rFonts w:eastAsia="Times New Roman" w:cs="Calibri"/>
                <w:b/>
                <w:color w:val="000000"/>
                <w:sz w:val="20"/>
                <w:szCs w:val="20"/>
                <w:lang w:eastAsia="en-AU"/>
              </w:rPr>
              <w:t>economic Status</w:t>
            </w:r>
          </w:p>
        </w:tc>
      </w:tr>
      <w:tr w:rsidR="0055151C" w:rsidRPr="00386782" w14:paraId="7892847D"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59E30279" w14:textId="3688FE08"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High SES</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4E2D1E4"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55.6</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C9B1449"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45.2</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466031F"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55.2</w:t>
            </w:r>
          </w:p>
        </w:tc>
      </w:tr>
      <w:tr w:rsidR="004342A5" w:rsidRPr="00386782" w14:paraId="505631D2"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726A7EC0" w14:textId="77777777" w:rsidR="004342A5" w:rsidRPr="00386782" w:rsidRDefault="004342A5" w:rsidP="0044358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Medium SES</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A8D70E6" w14:textId="77777777" w:rsidR="004342A5" w:rsidRPr="00386782" w:rsidRDefault="004342A5"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29.7</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F313027" w14:textId="77777777" w:rsidR="004342A5" w:rsidRPr="00386782" w:rsidRDefault="004342A5"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37.9</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D1100BD" w14:textId="77777777" w:rsidR="004342A5" w:rsidRPr="00386782" w:rsidRDefault="004342A5"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33.3</w:t>
            </w:r>
          </w:p>
        </w:tc>
      </w:tr>
      <w:tr w:rsidR="0055151C" w:rsidRPr="00386782" w14:paraId="506AA801"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27F1B383" w14:textId="6C7254EC"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Low SES</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7E80650E"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30.0*</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EB1BA55"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16.7*</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23460641"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31.8*</w:t>
            </w:r>
          </w:p>
        </w:tc>
      </w:tr>
      <w:tr w:rsidR="0055151C" w:rsidRPr="00386782" w14:paraId="551D88EC" w14:textId="77777777" w:rsidTr="004342A5">
        <w:trPr>
          <w:trHeight w:val="300"/>
        </w:trPr>
        <w:tc>
          <w:tcPr>
            <w:tcW w:w="9015" w:type="dxa"/>
            <w:gridSpan w:val="4"/>
            <w:tcBorders>
              <w:top w:val="single" w:sz="4" w:space="0" w:color="auto"/>
              <w:left w:val="single" w:sz="4" w:space="0" w:color="auto"/>
              <w:bottom w:val="single" w:sz="4" w:space="0" w:color="auto"/>
              <w:right w:val="single" w:sz="4" w:space="0" w:color="auto"/>
            </w:tcBorders>
            <w:shd w:val="clear" w:color="auto" w:fill="E4DAEE"/>
          </w:tcPr>
          <w:p w14:paraId="591D539D" w14:textId="77777777" w:rsidR="0055151C" w:rsidRPr="00386782" w:rsidRDefault="0055151C" w:rsidP="00443585">
            <w:pPr>
              <w:spacing w:after="0" w:line="240" w:lineRule="auto"/>
              <w:rPr>
                <w:rFonts w:eastAsia="Times New Roman" w:cs="Calibri"/>
                <w:color w:val="000000"/>
                <w:sz w:val="20"/>
                <w:szCs w:val="20"/>
                <w:lang w:eastAsia="en-AU"/>
              </w:rPr>
            </w:pPr>
            <w:r w:rsidRPr="00386782">
              <w:rPr>
                <w:rFonts w:eastAsia="Times New Roman" w:cs="Calibri"/>
                <w:b/>
                <w:color w:val="000000"/>
                <w:sz w:val="20"/>
                <w:szCs w:val="20"/>
                <w:lang w:eastAsia="en-AU"/>
              </w:rPr>
              <w:t>Regionality</w:t>
            </w:r>
          </w:p>
        </w:tc>
      </w:tr>
      <w:tr w:rsidR="0055151C" w:rsidRPr="00386782" w14:paraId="0952E813"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691AAC3C" w14:textId="6EAB5EE4" w:rsidR="0055151C" w:rsidRPr="00386782" w:rsidRDefault="0055151C" w:rsidP="004342A5">
            <w:pPr>
              <w:spacing w:after="0" w:line="240" w:lineRule="auto"/>
              <w:rPr>
                <w:rFonts w:eastAsia="Times New Roman" w:cs="Calibri"/>
                <w:color w:val="000000"/>
                <w:sz w:val="20"/>
                <w:szCs w:val="20"/>
                <w:lang w:eastAsia="en-AU"/>
              </w:rPr>
            </w:pPr>
            <w:r w:rsidRPr="00386782">
              <w:rPr>
                <w:rFonts w:eastAsia="Times New Roman" w:cs="Calibri"/>
                <w:color w:val="000000"/>
                <w:sz w:val="20"/>
                <w:szCs w:val="20"/>
                <w:lang w:eastAsia="en-AU"/>
              </w:rPr>
              <w:t>Metro</w:t>
            </w:r>
            <w:r w:rsidR="004342A5">
              <w:rPr>
                <w:rFonts w:eastAsia="Times New Roman" w:cs="Calibri"/>
                <w:color w:val="000000"/>
                <w:sz w:val="20"/>
                <w:szCs w:val="20"/>
                <w:lang w:eastAsia="en-AU"/>
              </w:rPr>
              <w:t>politan</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F4E6638"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49.1</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3DB445D0"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47.1</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47E723BD"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42.2</w:t>
            </w:r>
          </w:p>
        </w:tc>
      </w:tr>
      <w:tr w:rsidR="0055151C" w:rsidRPr="00386782" w14:paraId="3F8883CC" w14:textId="77777777" w:rsidTr="004342A5">
        <w:trPr>
          <w:trHeight w:val="300"/>
        </w:trPr>
        <w:tc>
          <w:tcPr>
            <w:tcW w:w="3036" w:type="dxa"/>
            <w:tcBorders>
              <w:top w:val="single" w:sz="4" w:space="0" w:color="auto"/>
              <w:left w:val="single" w:sz="4" w:space="0" w:color="auto"/>
              <w:bottom w:val="single" w:sz="4" w:space="0" w:color="auto"/>
              <w:right w:val="single" w:sz="4" w:space="0" w:color="auto"/>
            </w:tcBorders>
            <w:shd w:val="clear" w:color="auto" w:fill="auto"/>
          </w:tcPr>
          <w:p w14:paraId="4C9DCF48" w14:textId="452656EB" w:rsidR="0055151C" w:rsidRPr="00386782" w:rsidRDefault="004342A5" w:rsidP="004342A5">
            <w:pPr>
              <w:spacing w:after="0" w:line="240" w:lineRule="auto"/>
              <w:rPr>
                <w:rFonts w:eastAsia="Times New Roman" w:cs="Calibri"/>
                <w:color w:val="000000"/>
                <w:sz w:val="20"/>
                <w:szCs w:val="20"/>
                <w:lang w:eastAsia="en-AU"/>
              </w:rPr>
            </w:pPr>
            <w:r>
              <w:rPr>
                <w:rFonts w:eastAsia="Times New Roman" w:cs="Calibri"/>
                <w:color w:val="000000"/>
                <w:sz w:val="20"/>
                <w:szCs w:val="20"/>
                <w:lang w:eastAsia="en-AU"/>
              </w:rPr>
              <w:t>Regional and remote</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D25E7B4"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16.7*</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1236C979"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23.3*</w:t>
            </w:r>
          </w:p>
        </w:tc>
        <w:tc>
          <w:tcPr>
            <w:tcW w:w="1993" w:type="dxa"/>
            <w:tcBorders>
              <w:top w:val="single" w:sz="4" w:space="0" w:color="auto"/>
              <w:left w:val="single" w:sz="4" w:space="0" w:color="auto"/>
              <w:bottom w:val="single" w:sz="4" w:space="0" w:color="auto"/>
              <w:right w:val="single" w:sz="4" w:space="0" w:color="auto"/>
            </w:tcBorders>
            <w:shd w:val="clear" w:color="auto" w:fill="auto"/>
            <w:vAlign w:val="center"/>
          </w:tcPr>
          <w:p w14:paraId="5ADBDBB5" w14:textId="77777777" w:rsidR="0055151C" w:rsidRPr="00386782" w:rsidRDefault="0055151C" w:rsidP="00443585">
            <w:pPr>
              <w:spacing w:after="0" w:line="240" w:lineRule="auto"/>
              <w:jc w:val="center"/>
              <w:rPr>
                <w:rFonts w:eastAsia="Times New Roman" w:cs="Calibri"/>
                <w:color w:val="000000"/>
                <w:sz w:val="20"/>
                <w:szCs w:val="20"/>
                <w:lang w:eastAsia="en-AU"/>
              </w:rPr>
            </w:pPr>
            <w:r w:rsidRPr="00386782">
              <w:rPr>
                <w:rFonts w:eastAsia="Times New Roman" w:cs="Calibri"/>
                <w:color w:val="000000"/>
                <w:sz w:val="20"/>
                <w:szCs w:val="20"/>
                <w:lang w:eastAsia="en-AU"/>
              </w:rPr>
              <w:t>36.7</w:t>
            </w:r>
          </w:p>
        </w:tc>
      </w:tr>
    </w:tbl>
    <w:p w14:paraId="7335092A" w14:textId="77777777" w:rsidR="0055151C" w:rsidRDefault="0055151C" w:rsidP="0055151C">
      <w:pPr>
        <w:rPr>
          <w:rFonts w:eastAsia="Times New Roman" w:cstheme="minorHAnsi"/>
          <w:sz w:val="20"/>
          <w:szCs w:val="20"/>
          <w:lang w:eastAsia="en-AU"/>
        </w:rPr>
      </w:pPr>
      <w:r w:rsidRPr="00FB0B47">
        <w:rPr>
          <w:rFonts w:eastAsia="Times New Roman" w:cstheme="minorHAnsi"/>
          <w:sz w:val="20"/>
          <w:szCs w:val="20"/>
          <w:lang w:eastAsia="en-AU"/>
        </w:rPr>
        <w:t xml:space="preserve">*Calculation is based on </w:t>
      </w:r>
      <w:r>
        <w:rPr>
          <w:rFonts w:eastAsia="Times New Roman" w:cstheme="minorHAnsi"/>
          <w:sz w:val="20"/>
          <w:szCs w:val="20"/>
          <w:lang w:eastAsia="en-AU"/>
        </w:rPr>
        <w:t>fewer</w:t>
      </w:r>
      <w:r w:rsidRPr="00FB0B47">
        <w:rPr>
          <w:rFonts w:eastAsia="Times New Roman" w:cstheme="minorHAnsi"/>
          <w:sz w:val="20"/>
          <w:szCs w:val="20"/>
          <w:lang w:eastAsia="en-AU"/>
        </w:rPr>
        <w:t xml:space="preserve"> than 10 students</w:t>
      </w:r>
    </w:p>
    <w:p w14:paraId="65A98C19" w14:textId="77777777" w:rsidR="0055151C" w:rsidRDefault="0055151C">
      <w:pPr>
        <w:rPr>
          <w:rFonts w:ascii="Calibri" w:eastAsiaTheme="majorEastAsia" w:hAnsi="Calibri" w:cstheme="majorBidi"/>
          <w:b/>
          <w:bCs/>
          <w:color w:val="522761"/>
          <w:sz w:val="36"/>
          <w:szCs w:val="28"/>
        </w:rPr>
      </w:pPr>
      <w:r>
        <w:br w:type="page"/>
      </w:r>
    </w:p>
    <w:p w14:paraId="33BD079A" w14:textId="347773FD" w:rsidR="00AF63A4" w:rsidRDefault="00AF63A4" w:rsidP="00AF63A4">
      <w:pPr>
        <w:pStyle w:val="Heading1"/>
      </w:pPr>
      <w:bookmarkStart w:id="72" w:name="_Toc18070224"/>
      <w:r>
        <w:t>Bibliography</w:t>
      </w:r>
      <w:bookmarkEnd w:id="72"/>
    </w:p>
    <w:p w14:paraId="0D7B199A" w14:textId="1559B0E8" w:rsidR="00601495" w:rsidRDefault="00601495" w:rsidP="00601495">
      <w:pPr>
        <w:rPr>
          <w:rFonts w:ascii="Calibri" w:hAnsi="Calibri" w:cs="Calibri"/>
        </w:rPr>
      </w:pPr>
      <w:r>
        <w:rPr>
          <w:rFonts w:ascii="Calibri" w:hAnsi="Calibri" w:cs="Calibri"/>
        </w:rPr>
        <w:t xml:space="preserve">Anderson, I., Reich, H. (2016) </w:t>
      </w:r>
      <w:hyperlink r:id="rId38" w:history="1">
        <w:r w:rsidRPr="005E6E4A">
          <w:rPr>
            <w:rStyle w:val="Hyperlink"/>
            <w:rFonts w:ascii="Calibri" w:hAnsi="Calibri" w:cs="Calibri"/>
          </w:rPr>
          <w:t>Indigenous higher education - creating pathways to PhD study for Indigenous Australians. Global Access to Postsecondary Education</w:t>
        </w:r>
      </w:hyperlink>
      <w:r>
        <w:rPr>
          <w:rFonts w:ascii="Calibri" w:hAnsi="Calibri" w:cs="Calibri"/>
        </w:rPr>
        <w:t xml:space="preserve">. </w:t>
      </w:r>
    </w:p>
    <w:p w14:paraId="4691DBD2" w14:textId="2267E759" w:rsidR="00601495" w:rsidRDefault="00601495" w:rsidP="00601495">
      <w:pPr>
        <w:rPr>
          <w:rFonts w:ascii="Calibri" w:hAnsi="Calibri" w:cs="Calibri"/>
        </w:rPr>
      </w:pPr>
      <w:r>
        <w:rPr>
          <w:rFonts w:ascii="Calibri" w:hAnsi="Calibri" w:cs="Calibri"/>
        </w:rPr>
        <w:t>Anderson, I. (2016) Indigenous Australians and higher education: The contemporary policy agenda. In: Harvey A., Burnheim C., Brett M. (eds) </w:t>
      </w:r>
      <w:r>
        <w:rPr>
          <w:rFonts w:ascii="Calibri" w:hAnsi="Calibri" w:cs="Calibri"/>
          <w:i/>
          <w:iCs/>
        </w:rPr>
        <w:t>Student Equity in Australian Higher Education</w:t>
      </w:r>
      <w:r>
        <w:rPr>
          <w:rFonts w:ascii="Calibri" w:hAnsi="Calibri" w:cs="Calibri"/>
        </w:rPr>
        <w:t>. Springer, Singapore.</w:t>
      </w:r>
      <w:r w:rsidR="002474BF">
        <w:rPr>
          <w:rFonts w:ascii="Calibri" w:hAnsi="Calibri" w:cs="Calibri"/>
        </w:rPr>
        <w:t xml:space="preserve"> 221-40.</w:t>
      </w:r>
    </w:p>
    <w:p w14:paraId="00C7B993" w14:textId="536D0F21" w:rsidR="00566F0F" w:rsidRDefault="00566F0F" w:rsidP="00566F0F">
      <w:pPr>
        <w:rPr>
          <w:rFonts w:ascii="Calibri" w:hAnsi="Calibri" w:cs="Calibri"/>
        </w:rPr>
      </w:pPr>
      <w:r>
        <w:t xml:space="preserve">Australian Bureau of Statistics (2018) </w:t>
      </w:r>
      <w:r>
        <w:rPr>
          <w:lang w:val="en"/>
        </w:rPr>
        <w:t xml:space="preserve">3238.0.55.001 - </w:t>
      </w:r>
      <w:hyperlink r:id="rId39" w:history="1">
        <w:r w:rsidRPr="005E6E4A">
          <w:rPr>
            <w:rStyle w:val="Hyperlink"/>
            <w:lang w:val="en"/>
          </w:rPr>
          <w:t>Estimates of Aboriginal and Torres Strait Islander Australians</w:t>
        </w:r>
      </w:hyperlink>
      <w:r>
        <w:rPr>
          <w:lang w:val="en"/>
        </w:rPr>
        <w:t>, June 2016</w:t>
      </w:r>
      <w:r w:rsidR="005E6E4A">
        <w:t>.</w:t>
      </w:r>
    </w:p>
    <w:p w14:paraId="64AAEDF0" w14:textId="1C1EE10C" w:rsidR="00601495" w:rsidRDefault="00601495" w:rsidP="00601495">
      <w:pPr>
        <w:rPr>
          <w:rFonts w:ascii="Calibri" w:hAnsi="Calibri" w:cs="Calibri"/>
        </w:rPr>
      </w:pPr>
      <w:r>
        <w:rPr>
          <w:rFonts w:ascii="Calibri" w:hAnsi="Calibri" w:cs="Calibri"/>
        </w:rPr>
        <w:t>Barney, K. (2018) ‘We need more mob doing research’: developing university strategies to facilitate successful pathways for Indigenous students into Higher Degrees by Research. </w:t>
      </w:r>
      <w:r>
        <w:rPr>
          <w:rFonts w:ascii="Calibri" w:hAnsi="Calibri" w:cs="Calibri"/>
          <w:i/>
          <w:iCs/>
        </w:rPr>
        <w:t>Higher Education Research &amp; Development</w:t>
      </w:r>
      <w:r>
        <w:rPr>
          <w:rFonts w:ascii="Calibri" w:hAnsi="Calibri" w:cs="Calibri"/>
        </w:rPr>
        <w:t> </w:t>
      </w:r>
      <w:r>
        <w:rPr>
          <w:rFonts w:ascii="Calibri" w:hAnsi="Calibri" w:cs="Calibri"/>
          <w:iCs/>
        </w:rPr>
        <w:t>37</w:t>
      </w:r>
      <w:r>
        <w:rPr>
          <w:rFonts w:ascii="Calibri" w:hAnsi="Calibri" w:cs="Calibri"/>
          <w:i/>
          <w:iCs/>
        </w:rPr>
        <w:t xml:space="preserve"> </w:t>
      </w:r>
      <w:r>
        <w:rPr>
          <w:rFonts w:ascii="Calibri" w:hAnsi="Calibri" w:cs="Calibri"/>
        </w:rPr>
        <w:t>(5): 908-922.</w:t>
      </w:r>
    </w:p>
    <w:p w14:paraId="0C770A8D" w14:textId="72F864B8" w:rsidR="00601495" w:rsidRDefault="00601495" w:rsidP="00601495">
      <w:pPr>
        <w:rPr>
          <w:rFonts w:ascii="Calibri" w:hAnsi="Calibri" w:cs="Calibri"/>
        </w:rPr>
      </w:pPr>
      <w:r>
        <w:rPr>
          <w:rFonts w:ascii="Calibri" w:hAnsi="Calibri" w:cs="Calibri"/>
        </w:rPr>
        <w:t xml:space="preserve">Chirgwin, S. K. (2015) Burdens too difficult to carry? A case study of three academically able Indigenous Australian </w:t>
      </w:r>
      <w:r w:rsidR="002A5012">
        <w:rPr>
          <w:rFonts w:ascii="Calibri" w:hAnsi="Calibri" w:cs="Calibri"/>
        </w:rPr>
        <w:t>Master’s</w:t>
      </w:r>
      <w:r>
        <w:rPr>
          <w:rFonts w:ascii="Calibri" w:hAnsi="Calibri" w:cs="Calibri"/>
        </w:rPr>
        <w:t xml:space="preserve"> students who had to withdraw. </w:t>
      </w:r>
      <w:r>
        <w:rPr>
          <w:rFonts w:ascii="Calibri" w:hAnsi="Calibri" w:cs="Calibri"/>
          <w:i/>
          <w:iCs/>
        </w:rPr>
        <w:t>International Journal of Qualitative Studies in Education</w:t>
      </w:r>
      <w:r>
        <w:rPr>
          <w:rFonts w:ascii="Calibri" w:hAnsi="Calibri" w:cs="Calibri"/>
        </w:rPr>
        <w:t> </w:t>
      </w:r>
      <w:r>
        <w:rPr>
          <w:rFonts w:ascii="Calibri" w:hAnsi="Calibri" w:cs="Calibri"/>
          <w:iCs/>
        </w:rPr>
        <w:t>28</w:t>
      </w:r>
      <w:r>
        <w:rPr>
          <w:rFonts w:ascii="Calibri" w:hAnsi="Calibri" w:cs="Calibri"/>
        </w:rPr>
        <w:t xml:space="preserve"> (5): 594-609. </w:t>
      </w:r>
    </w:p>
    <w:p w14:paraId="4DDC6816" w14:textId="55E5EC91" w:rsidR="00601495" w:rsidRDefault="00601495" w:rsidP="00601495">
      <w:pPr>
        <w:rPr>
          <w:rFonts w:ascii="Calibri" w:hAnsi="Calibri" w:cs="Calibri"/>
        </w:rPr>
      </w:pPr>
      <w:r>
        <w:rPr>
          <w:rFonts w:ascii="Calibri" w:hAnsi="Calibri" w:cs="Calibri"/>
        </w:rPr>
        <w:t xml:space="preserve">Hutchings, K., Bainbridge, R., Bodle, K., &amp; Miller, A. (2019) Determinants of Attraction, Retention and Completion for Aboriginal and Torres Strait Islander Higher Degree Research Students: A Systematic Review to Inform Future Research Directions. </w:t>
      </w:r>
      <w:r>
        <w:rPr>
          <w:rFonts w:ascii="Calibri" w:hAnsi="Calibri" w:cs="Calibri"/>
          <w:i/>
        </w:rPr>
        <w:t>Research in Higher Education</w:t>
      </w:r>
      <w:r>
        <w:rPr>
          <w:rFonts w:ascii="Calibri" w:hAnsi="Calibri" w:cs="Calibri"/>
        </w:rPr>
        <w:t xml:space="preserve"> 60 (2): 245</w:t>
      </w:r>
      <w:r>
        <w:rPr>
          <w:rFonts w:ascii="Calibri" w:hAnsi="Calibri" w:cs="Calibri"/>
        </w:rPr>
        <w:noBreakHyphen/>
        <w:t>272.</w:t>
      </w:r>
    </w:p>
    <w:p w14:paraId="1B91FBEC" w14:textId="4F8E7802" w:rsidR="00601495" w:rsidRDefault="00601495" w:rsidP="00601495">
      <w:pPr>
        <w:rPr>
          <w:rFonts w:ascii="Calibri" w:hAnsi="Calibri" w:cs="Calibri"/>
        </w:rPr>
      </w:pPr>
      <w:r>
        <w:rPr>
          <w:rFonts w:ascii="Calibri" w:hAnsi="Calibri" w:cs="Calibri"/>
        </w:rPr>
        <w:t xml:space="preserve">Liddle, C. (2016) First peoples: Aboriginal and Torres Strait Islander participation in higher education. In: Harvey A., Burnheim C., Brett M. (eds) </w:t>
      </w:r>
      <w:r>
        <w:rPr>
          <w:rFonts w:ascii="Calibri" w:hAnsi="Calibri" w:cs="Calibri"/>
          <w:i/>
        </w:rPr>
        <w:t>Student Equity in Australian Higher Education</w:t>
      </w:r>
      <w:r>
        <w:rPr>
          <w:rFonts w:ascii="Calibri" w:hAnsi="Calibri" w:cs="Calibri"/>
        </w:rPr>
        <w:t>. Springer, Singapore.</w:t>
      </w:r>
      <w:r w:rsidR="002474BF">
        <w:rPr>
          <w:rFonts w:ascii="Calibri" w:hAnsi="Calibri" w:cs="Calibri"/>
        </w:rPr>
        <w:t xml:space="preserve"> 53-68.</w:t>
      </w:r>
    </w:p>
    <w:p w14:paraId="64D330D1" w14:textId="48D977DC" w:rsidR="00A84963" w:rsidRDefault="00A84963" w:rsidP="00A84963">
      <w:pPr>
        <w:rPr>
          <w:rFonts w:ascii="Calibri" w:hAnsi="Calibri" w:cs="Calibri"/>
        </w:rPr>
      </w:pPr>
      <w:r>
        <w:rPr>
          <w:rFonts w:ascii="Calibri" w:hAnsi="Calibri" w:cs="Calibri"/>
        </w:rPr>
        <w:t xml:space="preserve">McGagh J., Marsh H., Western M., Thomas P., Hastings A., Mihailova M., Wenham M. (2016) </w:t>
      </w:r>
      <w:r>
        <w:rPr>
          <w:rFonts w:ascii="Calibri" w:hAnsi="Calibri" w:cs="Calibri"/>
          <w:i/>
        </w:rPr>
        <w:t>Review of Australia’s Research Training System</w:t>
      </w:r>
      <w:r>
        <w:rPr>
          <w:rFonts w:ascii="Calibri" w:hAnsi="Calibri" w:cs="Calibri"/>
        </w:rPr>
        <w:t xml:space="preserve">. Report for the </w:t>
      </w:r>
      <w:hyperlink r:id="rId40" w:history="1">
        <w:r w:rsidRPr="007409D2">
          <w:rPr>
            <w:rStyle w:val="Hyperlink"/>
            <w:rFonts w:ascii="Calibri" w:hAnsi="Calibri" w:cs="Calibri"/>
          </w:rPr>
          <w:t>Australia</w:t>
        </w:r>
        <w:r w:rsidR="007409D2" w:rsidRPr="007409D2">
          <w:rPr>
            <w:rStyle w:val="Hyperlink"/>
            <w:rFonts w:ascii="Calibri" w:hAnsi="Calibri" w:cs="Calibri"/>
          </w:rPr>
          <w:t>n Council of Learned Academies</w:t>
        </w:r>
      </w:hyperlink>
      <w:r w:rsidR="007409D2">
        <w:rPr>
          <w:rFonts w:ascii="Calibri" w:hAnsi="Calibri" w:cs="Calibri"/>
        </w:rPr>
        <w:t>.</w:t>
      </w:r>
    </w:p>
    <w:p w14:paraId="4A7A3DBD" w14:textId="6102803D" w:rsidR="00601495" w:rsidRDefault="00601495" w:rsidP="00601495">
      <w:pPr>
        <w:rPr>
          <w:rFonts w:ascii="Calibri" w:hAnsi="Calibri" w:cs="Calibri"/>
        </w:rPr>
      </w:pPr>
      <w:r>
        <w:rPr>
          <w:rFonts w:ascii="Calibri" w:hAnsi="Calibri" w:cs="Calibri"/>
        </w:rPr>
        <w:t>Moodie, N., Ewen, S., McLeod, J., &amp; Platania-Phung, C. (2018) Indigenous graduate research students in Australia: a critical review of the research. </w:t>
      </w:r>
      <w:r>
        <w:rPr>
          <w:rFonts w:ascii="Calibri" w:hAnsi="Calibri" w:cs="Calibri"/>
          <w:i/>
          <w:iCs/>
        </w:rPr>
        <w:t>Higher Education Research &amp; Development</w:t>
      </w:r>
      <w:r>
        <w:rPr>
          <w:rFonts w:ascii="Calibri" w:hAnsi="Calibri" w:cs="Calibri"/>
        </w:rPr>
        <w:t> </w:t>
      </w:r>
      <w:r>
        <w:rPr>
          <w:rFonts w:ascii="Calibri" w:hAnsi="Calibri" w:cs="Calibri"/>
          <w:iCs/>
        </w:rPr>
        <w:t>37</w:t>
      </w:r>
      <w:r>
        <w:rPr>
          <w:rFonts w:ascii="Calibri" w:hAnsi="Calibri" w:cs="Calibri"/>
          <w:i/>
          <w:iCs/>
        </w:rPr>
        <w:t xml:space="preserve"> </w:t>
      </w:r>
      <w:r>
        <w:rPr>
          <w:rFonts w:ascii="Calibri" w:hAnsi="Calibri" w:cs="Calibri"/>
        </w:rPr>
        <w:t xml:space="preserve">(4): 805-820. </w:t>
      </w:r>
    </w:p>
    <w:p w14:paraId="4E9F4D8E" w14:textId="37FE95AD" w:rsidR="00601495" w:rsidRDefault="00601495" w:rsidP="00601495">
      <w:pPr>
        <w:rPr>
          <w:rFonts w:ascii="Calibri" w:hAnsi="Calibri" w:cs="Calibri"/>
        </w:rPr>
      </w:pPr>
      <w:r>
        <w:rPr>
          <w:rFonts w:ascii="Calibri" w:hAnsi="Calibri" w:cs="Calibri"/>
        </w:rPr>
        <w:t xml:space="preserve">Trudgett, M. (2013) Stop, collaborate and listen: A guide to seeding success for Indigenous higher degree research students. In: Craven, R. G., Mooney, J. (ed.) </w:t>
      </w:r>
      <w:r>
        <w:rPr>
          <w:rFonts w:ascii="Calibri" w:hAnsi="Calibri" w:cs="Calibri"/>
          <w:i/>
        </w:rPr>
        <w:t>Seeding Success in Indigenous Australian Higher Education</w:t>
      </w:r>
      <w:r>
        <w:rPr>
          <w:rFonts w:ascii="Calibri" w:hAnsi="Calibri" w:cs="Calibri"/>
        </w:rPr>
        <w:t>. Emerald Group Publishing Limited.</w:t>
      </w:r>
    </w:p>
    <w:p w14:paraId="506F2EE1" w14:textId="3CC0EECE" w:rsidR="00601495" w:rsidRDefault="00601495" w:rsidP="00601495">
      <w:pPr>
        <w:rPr>
          <w:rFonts w:ascii="Calibri" w:hAnsi="Calibri" w:cs="Calibri"/>
        </w:rPr>
      </w:pPr>
      <w:r>
        <w:rPr>
          <w:rFonts w:ascii="Calibri" w:hAnsi="Calibri" w:cs="Calibri"/>
        </w:rPr>
        <w:t xml:space="preserve">Trudgett, M. (2014) Supervision provided to Indigenous Australian doctoral students: A black and white issue. </w:t>
      </w:r>
      <w:r>
        <w:rPr>
          <w:rFonts w:ascii="Calibri" w:hAnsi="Calibri" w:cs="Calibri"/>
          <w:i/>
        </w:rPr>
        <w:t>Higher Education Research &amp; Development</w:t>
      </w:r>
      <w:r>
        <w:rPr>
          <w:rFonts w:ascii="Calibri" w:hAnsi="Calibri" w:cs="Calibri"/>
        </w:rPr>
        <w:t xml:space="preserve"> 33 (5): 1035-1048.</w:t>
      </w:r>
    </w:p>
    <w:p w14:paraId="7CF6DF76" w14:textId="2DF570CD" w:rsidR="000F6B2B" w:rsidRPr="00197F2A" w:rsidRDefault="00601495" w:rsidP="000F6B2B">
      <w:pPr>
        <w:rPr>
          <w:rFonts w:ascii="Calibri" w:hAnsi="Calibri" w:cs="Calibri"/>
        </w:rPr>
      </w:pPr>
      <w:r>
        <w:rPr>
          <w:rFonts w:ascii="Calibri" w:hAnsi="Calibri" w:cs="Calibri"/>
        </w:rPr>
        <w:t xml:space="preserve">Trudgett, M., Page, S., &amp; Harrison, N. (2016) Brilliant minds: A snapshot of successful Indigenous Australian doctoral students. </w:t>
      </w:r>
      <w:r>
        <w:rPr>
          <w:rFonts w:ascii="Calibri" w:hAnsi="Calibri" w:cs="Calibri"/>
          <w:i/>
        </w:rPr>
        <w:t>The Australian Journal of Indigenous Education</w:t>
      </w:r>
      <w:r>
        <w:rPr>
          <w:rFonts w:ascii="Calibri" w:hAnsi="Calibri" w:cs="Calibri"/>
        </w:rPr>
        <w:t xml:space="preserve"> 45 (1): 70-79.</w:t>
      </w:r>
    </w:p>
    <w:sectPr w:rsidR="000F6B2B" w:rsidRPr="00197F2A" w:rsidSect="00D03F29">
      <w:headerReference w:type="default" r:id="rId41"/>
      <w:footerReference w:type="default" r:id="rId42"/>
      <w:type w:val="continuous"/>
      <w:pgSz w:w="11906" w:h="16838"/>
      <w:pgMar w:top="1985" w:right="1440" w:bottom="993" w:left="1440" w:header="708" w:footer="1011"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D1E17B" w16cid:durableId="203D45A1"/>
  <w16cid:commentId w16cid:paraId="2A2BEFAD" w16cid:durableId="203D45A2"/>
  <w16cid:commentId w16cid:paraId="07339F98" w16cid:durableId="203D45A3"/>
  <w16cid:commentId w16cid:paraId="6B82E7D7" w16cid:durableId="203D45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E83B5" w14:textId="77777777" w:rsidR="006A53F9" w:rsidRDefault="006A53F9" w:rsidP="00130923">
      <w:pPr>
        <w:spacing w:after="0" w:line="240" w:lineRule="auto"/>
      </w:pPr>
      <w:r>
        <w:separator/>
      </w:r>
    </w:p>
  </w:endnote>
  <w:endnote w:type="continuationSeparator" w:id="0">
    <w:p w14:paraId="1AF590BA" w14:textId="77777777" w:rsidR="006A53F9" w:rsidRDefault="006A53F9"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2FA64" w14:textId="77777777" w:rsidR="006A53F9" w:rsidRDefault="006A5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CC99" w14:textId="77777777" w:rsidR="006A53F9" w:rsidRDefault="006A53F9" w:rsidP="003242B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7FCC1" w14:textId="77777777" w:rsidR="006A53F9" w:rsidRDefault="006A53F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0182D" w14:textId="2D6E937F" w:rsidR="006A53F9" w:rsidRDefault="002C5804" w:rsidP="00A73406">
    <w:pPr>
      <w:pStyle w:val="Footer"/>
      <w:tabs>
        <w:tab w:val="clear" w:pos="9026"/>
        <w:tab w:val="right" w:pos="8647"/>
      </w:tabs>
      <w:ind w:firstLine="720"/>
      <w:jc w:val="right"/>
    </w:pPr>
    <w:sdt>
      <w:sdtPr>
        <w:id w:val="1784380049"/>
        <w:docPartObj>
          <w:docPartGallery w:val="Page Numbers (Bottom of Page)"/>
          <w:docPartUnique/>
        </w:docPartObj>
      </w:sdtPr>
      <w:sdtEndPr>
        <w:rPr>
          <w:noProof/>
        </w:rPr>
      </w:sdtEndPr>
      <w:sdtContent>
        <w:r w:rsidR="006A53F9">
          <w:fldChar w:fldCharType="begin"/>
        </w:r>
        <w:r w:rsidR="006A53F9">
          <w:instrText xml:space="preserve"> PAGE   \* MERGEFORMAT </w:instrText>
        </w:r>
        <w:r w:rsidR="006A53F9">
          <w:fldChar w:fldCharType="separate"/>
        </w:r>
        <w:r w:rsidR="006B106E">
          <w:rPr>
            <w:noProof/>
          </w:rPr>
          <w:t>24</w:t>
        </w:r>
        <w:r w:rsidR="006A53F9">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E17B60" w14:textId="77777777" w:rsidR="006A53F9" w:rsidRDefault="006A53F9" w:rsidP="00130923">
      <w:pPr>
        <w:spacing w:after="0" w:line="240" w:lineRule="auto"/>
      </w:pPr>
      <w:r>
        <w:separator/>
      </w:r>
    </w:p>
  </w:footnote>
  <w:footnote w:type="continuationSeparator" w:id="0">
    <w:p w14:paraId="4EC47B02" w14:textId="77777777" w:rsidR="006A53F9" w:rsidRDefault="006A53F9" w:rsidP="00130923">
      <w:pPr>
        <w:spacing w:after="0" w:line="240" w:lineRule="auto"/>
      </w:pPr>
      <w:r>
        <w:continuationSeparator/>
      </w:r>
    </w:p>
  </w:footnote>
  <w:footnote w:id="1">
    <w:p w14:paraId="11154861" w14:textId="05ACDF96" w:rsidR="006A53F9" w:rsidRDefault="006A53F9" w:rsidP="006533FE">
      <w:pPr>
        <w:pStyle w:val="FootnoteText"/>
      </w:pPr>
      <w:r>
        <w:rPr>
          <w:rStyle w:val="FootnoteReference"/>
        </w:rPr>
        <w:footnoteRef/>
      </w:r>
      <w:r>
        <w:t xml:space="preserve"> See Trudgett (2013, 2014, 2016); Chirgwin (2015); Moodie et al. (2018); Hutchings et al. (2019).</w:t>
      </w:r>
    </w:p>
  </w:footnote>
  <w:footnote w:id="2">
    <w:p w14:paraId="58035D08" w14:textId="1F61E98B" w:rsidR="006A53F9" w:rsidRDefault="006A53F9">
      <w:pPr>
        <w:pStyle w:val="FootnoteText"/>
      </w:pPr>
      <w:r>
        <w:rPr>
          <w:rStyle w:val="FootnoteReference"/>
        </w:rPr>
        <w:footnoteRef/>
      </w:r>
      <w:r>
        <w:t xml:space="preserve"> McGagh et al. (2016), 94.</w:t>
      </w:r>
    </w:p>
  </w:footnote>
  <w:footnote w:id="3">
    <w:p w14:paraId="7C76DBC5" w14:textId="67E7B6E5" w:rsidR="006A53F9" w:rsidRDefault="006A53F9" w:rsidP="00FC2AA4">
      <w:pPr>
        <w:rPr>
          <w:lang w:val="en"/>
        </w:rPr>
      </w:pPr>
      <w:r>
        <w:rPr>
          <w:rStyle w:val="FootnoteReference"/>
        </w:rPr>
        <w:footnoteRef/>
      </w:r>
      <w:r>
        <w:t xml:space="preserve"> See  ABS: </w:t>
      </w:r>
      <w:r>
        <w:rPr>
          <w:lang w:val="en"/>
        </w:rPr>
        <w:t xml:space="preserve">3238.0.55.001 - </w:t>
      </w:r>
      <w:hyperlink r:id="rId1" w:history="1">
        <w:r w:rsidRPr="006710A1">
          <w:rPr>
            <w:rStyle w:val="Hyperlink"/>
            <w:lang w:val="en"/>
          </w:rPr>
          <w:t>Estimates of Aboriginal and Torres Strait Islander Australians, June 2016 </w:t>
        </w:r>
      </w:hyperlink>
      <w:r>
        <w:rPr>
          <w:lang w:val="en"/>
        </w:rPr>
        <w:t xml:space="preserve"> </w:t>
      </w:r>
    </w:p>
    <w:p w14:paraId="76DA1225" w14:textId="77777777" w:rsidR="006A53F9" w:rsidRDefault="006A53F9" w:rsidP="00FC2AA4">
      <w:pPr>
        <w:pStyle w:val="FootnoteText"/>
      </w:pPr>
    </w:p>
  </w:footnote>
  <w:footnote w:id="4">
    <w:p w14:paraId="5BA1550A" w14:textId="6FE98898" w:rsidR="006A53F9" w:rsidRDefault="006A53F9">
      <w:pPr>
        <w:pStyle w:val="FootnoteText"/>
      </w:pPr>
      <w:r>
        <w:rPr>
          <w:rStyle w:val="FootnoteReference"/>
        </w:rPr>
        <w:footnoteRef/>
      </w:r>
      <w:r>
        <w:t xml:space="preserve"> For a list of scholarships available to Indigenous Australians for VET and university study, see </w:t>
      </w:r>
      <w:hyperlink r:id="rId2" w:history="1">
        <w:r w:rsidRPr="00B97466">
          <w:rPr>
            <w:rStyle w:val="Hyperlink"/>
          </w:rPr>
          <w:t>the Aurora Education Foundation’s Indigenous Scholarships Portal</w:t>
        </w:r>
      </w:hyperlink>
      <w:r>
        <w:t xml:space="preserve">. </w:t>
      </w:r>
    </w:p>
  </w:footnote>
  <w:footnote w:id="5">
    <w:p w14:paraId="2C7DAEE0" w14:textId="77777777" w:rsidR="006A53F9" w:rsidRDefault="006A53F9" w:rsidP="0070098E">
      <w:pPr>
        <w:pStyle w:val="FootnoteText"/>
      </w:pPr>
      <w:r>
        <w:rPr>
          <w:rStyle w:val="FootnoteReference"/>
        </w:rPr>
        <w:footnoteRef/>
      </w:r>
      <w:r>
        <w:t xml:space="preserve"> Section 1.5(2) of the </w:t>
      </w:r>
      <w:r>
        <w:rPr>
          <w:i/>
        </w:rPr>
        <w:t>Commonwealth Scholarship Guidelines (Research) 2017</w:t>
      </w:r>
    </w:p>
  </w:footnote>
  <w:footnote w:id="6">
    <w:p w14:paraId="39427342" w14:textId="38569FDD" w:rsidR="006A53F9" w:rsidRDefault="006A53F9">
      <w:pPr>
        <w:pStyle w:val="FootnoteText"/>
      </w:pPr>
      <w:r>
        <w:rPr>
          <w:rStyle w:val="FootnoteReference"/>
        </w:rPr>
        <w:footnoteRef/>
      </w:r>
      <w:r>
        <w:t xml:space="preserve"> See </w:t>
      </w:r>
      <w:hyperlink r:id="rId3" w:history="1">
        <w:r>
          <w:rPr>
            <w:rStyle w:val="Hyperlink"/>
          </w:rPr>
          <w:t>Completion rates - cohort analyses</w:t>
        </w:r>
      </w:hyperlink>
    </w:p>
  </w:footnote>
  <w:footnote w:id="7">
    <w:p w14:paraId="480FFC9A" w14:textId="77777777" w:rsidR="006A53F9" w:rsidRDefault="006A53F9" w:rsidP="003659EF">
      <w:pPr>
        <w:pStyle w:val="FootnoteText"/>
      </w:pPr>
      <w:r>
        <w:rPr>
          <w:rStyle w:val="FootnoteReference"/>
        </w:rPr>
        <w:footnoteRef/>
      </w:r>
      <w:r>
        <w:t xml:space="preserve"> Omits students with a highest reported qualification equal to or lower than a completed bachelor course, and those with unknown regionality.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1EF78" w14:textId="77777777" w:rsidR="006A53F9" w:rsidRDefault="006A5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2B91DF" w14:textId="77777777" w:rsidR="006A53F9" w:rsidRDefault="006A53F9"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29E1E" w14:textId="77777777" w:rsidR="006A53F9" w:rsidRDefault="006A53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39C3A" w14:textId="3E3CDD15" w:rsidR="006A53F9" w:rsidRDefault="006A53F9" w:rsidP="00560CA0">
    <w:pPr>
      <w:pStyle w:val="Header"/>
      <w:jc w:val="right"/>
    </w:pPr>
    <w:r>
      <w:t>Indigenous Students in HDR – August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15A1B65"/>
    <w:multiLevelType w:val="multilevel"/>
    <w:tmpl w:val="327E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ABE5BE8"/>
    <w:multiLevelType w:val="hybridMultilevel"/>
    <w:tmpl w:val="256AD0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BA436EB"/>
    <w:multiLevelType w:val="hybridMultilevel"/>
    <w:tmpl w:val="22603CFE"/>
    <w:lvl w:ilvl="0" w:tplc="352E91CE">
      <w:start w:val="4"/>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7862332"/>
    <w:multiLevelType w:val="hybridMultilevel"/>
    <w:tmpl w:val="412CB8E8"/>
    <w:lvl w:ilvl="0" w:tplc="40B00F38">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1347913"/>
    <w:multiLevelType w:val="hybridMultilevel"/>
    <w:tmpl w:val="58725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821AD1"/>
    <w:multiLevelType w:val="hybridMultilevel"/>
    <w:tmpl w:val="D7080154"/>
    <w:lvl w:ilvl="0" w:tplc="A7EEFB92">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9D8077F"/>
    <w:multiLevelType w:val="hybridMultilevel"/>
    <w:tmpl w:val="6846A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2F80016B"/>
    <w:multiLevelType w:val="hybridMultilevel"/>
    <w:tmpl w:val="C86EC012"/>
    <w:lvl w:ilvl="0" w:tplc="F41A4D4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572E59A4"/>
    <w:multiLevelType w:val="hybridMultilevel"/>
    <w:tmpl w:val="6F962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6DAC1B9B"/>
    <w:multiLevelType w:val="hybridMultilevel"/>
    <w:tmpl w:val="A0B85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5"/>
  </w:num>
  <w:num w:numId="15">
    <w:abstractNumId w:val="13"/>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2"/>
  </w:num>
  <w:num w:numId="21">
    <w:abstractNumId w:val="24"/>
  </w:num>
  <w:num w:numId="22">
    <w:abstractNumId w:val="22"/>
  </w:num>
  <w:num w:numId="23">
    <w:abstractNumId w:val="19"/>
  </w:num>
  <w:num w:numId="24">
    <w:abstractNumId w:val="9"/>
  </w:num>
  <w:num w:numId="25">
    <w:abstractNumId w:val="15"/>
  </w:num>
  <w:num w:numId="26">
    <w:abstractNumId w:val="17"/>
  </w:num>
  <w:num w:numId="27">
    <w:abstractNumId w:val="1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33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3A6F82"/>
    <w:rsid w:val="000006B4"/>
    <w:rsid w:val="00000BB3"/>
    <w:rsid w:val="00002721"/>
    <w:rsid w:val="00004364"/>
    <w:rsid w:val="00007E0C"/>
    <w:rsid w:val="000122FC"/>
    <w:rsid w:val="00014A3C"/>
    <w:rsid w:val="00015A08"/>
    <w:rsid w:val="00015CB3"/>
    <w:rsid w:val="00017839"/>
    <w:rsid w:val="00017E26"/>
    <w:rsid w:val="00020094"/>
    <w:rsid w:val="00023E4C"/>
    <w:rsid w:val="00024072"/>
    <w:rsid w:val="00024E24"/>
    <w:rsid w:val="00030389"/>
    <w:rsid w:val="0003197E"/>
    <w:rsid w:val="000340B6"/>
    <w:rsid w:val="00034EAA"/>
    <w:rsid w:val="00036541"/>
    <w:rsid w:val="00037F98"/>
    <w:rsid w:val="000409BE"/>
    <w:rsid w:val="0004177F"/>
    <w:rsid w:val="00041AEB"/>
    <w:rsid w:val="000533F2"/>
    <w:rsid w:val="000547C8"/>
    <w:rsid w:val="0005697A"/>
    <w:rsid w:val="00062756"/>
    <w:rsid w:val="00066329"/>
    <w:rsid w:val="000700A9"/>
    <w:rsid w:val="00070C0F"/>
    <w:rsid w:val="00070D11"/>
    <w:rsid w:val="00071A4D"/>
    <w:rsid w:val="00080F30"/>
    <w:rsid w:val="00085EC0"/>
    <w:rsid w:val="000861A6"/>
    <w:rsid w:val="0008730F"/>
    <w:rsid w:val="00090B0A"/>
    <w:rsid w:val="000937A2"/>
    <w:rsid w:val="00095AC0"/>
    <w:rsid w:val="00096142"/>
    <w:rsid w:val="000A0B8C"/>
    <w:rsid w:val="000A50E3"/>
    <w:rsid w:val="000A7563"/>
    <w:rsid w:val="000B1EB9"/>
    <w:rsid w:val="000B5768"/>
    <w:rsid w:val="000B76BF"/>
    <w:rsid w:val="000C30B4"/>
    <w:rsid w:val="000C6550"/>
    <w:rsid w:val="000C72B0"/>
    <w:rsid w:val="000D2033"/>
    <w:rsid w:val="000D3000"/>
    <w:rsid w:val="000D4D84"/>
    <w:rsid w:val="000D5329"/>
    <w:rsid w:val="000D5951"/>
    <w:rsid w:val="000D7D80"/>
    <w:rsid w:val="000D7FD3"/>
    <w:rsid w:val="000E0F92"/>
    <w:rsid w:val="000E7110"/>
    <w:rsid w:val="000E7948"/>
    <w:rsid w:val="000E7E7B"/>
    <w:rsid w:val="000F33D2"/>
    <w:rsid w:val="000F3BA2"/>
    <w:rsid w:val="000F57D9"/>
    <w:rsid w:val="000F5AC3"/>
    <w:rsid w:val="000F66E2"/>
    <w:rsid w:val="000F6B2B"/>
    <w:rsid w:val="00102B2C"/>
    <w:rsid w:val="00104139"/>
    <w:rsid w:val="00116C09"/>
    <w:rsid w:val="001175BF"/>
    <w:rsid w:val="001251EF"/>
    <w:rsid w:val="00125664"/>
    <w:rsid w:val="00130923"/>
    <w:rsid w:val="00130BC6"/>
    <w:rsid w:val="00131837"/>
    <w:rsid w:val="00132BBD"/>
    <w:rsid w:val="0013768C"/>
    <w:rsid w:val="001414F3"/>
    <w:rsid w:val="00143FCD"/>
    <w:rsid w:val="00145958"/>
    <w:rsid w:val="001479B5"/>
    <w:rsid w:val="001525A4"/>
    <w:rsid w:val="00157B8D"/>
    <w:rsid w:val="0016000C"/>
    <w:rsid w:val="001617AB"/>
    <w:rsid w:val="001617EA"/>
    <w:rsid w:val="001637DD"/>
    <w:rsid w:val="001659F6"/>
    <w:rsid w:val="00165DB0"/>
    <w:rsid w:val="001672EC"/>
    <w:rsid w:val="00167433"/>
    <w:rsid w:val="00173500"/>
    <w:rsid w:val="00173880"/>
    <w:rsid w:val="00173A8E"/>
    <w:rsid w:val="001766D4"/>
    <w:rsid w:val="00181C37"/>
    <w:rsid w:val="00196697"/>
    <w:rsid w:val="00197F2A"/>
    <w:rsid w:val="001A3A9C"/>
    <w:rsid w:val="001A56B4"/>
    <w:rsid w:val="001A67BA"/>
    <w:rsid w:val="001B0BAE"/>
    <w:rsid w:val="001B42DB"/>
    <w:rsid w:val="001B42F2"/>
    <w:rsid w:val="001B62B4"/>
    <w:rsid w:val="001B6467"/>
    <w:rsid w:val="001C0DCD"/>
    <w:rsid w:val="001C1585"/>
    <w:rsid w:val="001C4364"/>
    <w:rsid w:val="001D399D"/>
    <w:rsid w:val="001E000D"/>
    <w:rsid w:val="001E05F1"/>
    <w:rsid w:val="001E0BDC"/>
    <w:rsid w:val="001E426C"/>
    <w:rsid w:val="001E4A0A"/>
    <w:rsid w:val="001E4B9F"/>
    <w:rsid w:val="001E5047"/>
    <w:rsid w:val="001F5EAD"/>
    <w:rsid w:val="001F5FEB"/>
    <w:rsid w:val="001F73E9"/>
    <w:rsid w:val="00200147"/>
    <w:rsid w:val="00205F53"/>
    <w:rsid w:val="00206180"/>
    <w:rsid w:val="002079A2"/>
    <w:rsid w:val="00210C7A"/>
    <w:rsid w:val="00212B6C"/>
    <w:rsid w:val="002165A2"/>
    <w:rsid w:val="002208C8"/>
    <w:rsid w:val="00221624"/>
    <w:rsid w:val="00222018"/>
    <w:rsid w:val="00223EB1"/>
    <w:rsid w:val="002248A5"/>
    <w:rsid w:val="00227E3D"/>
    <w:rsid w:val="002306FC"/>
    <w:rsid w:val="00231E69"/>
    <w:rsid w:val="0023257B"/>
    <w:rsid w:val="002364E4"/>
    <w:rsid w:val="00236917"/>
    <w:rsid w:val="00237122"/>
    <w:rsid w:val="0023749A"/>
    <w:rsid w:val="00243D6B"/>
    <w:rsid w:val="002474BF"/>
    <w:rsid w:val="00247C97"/>
    <w:rsid w:val="00253DE9"/>
    <w:rsid w:val="002545AA"/>
    <w:rsid w:val="002754DB"/>
    <w:rsid w:val="002766A7"/>
    <w:rsid w:val="00281591"/>
    <w:rsid w:val="00286513"/>
    <w:rsid w:val="00290B4C"/>
    <w:rsid w:val="00296644"/>
    <w:rsid w:val="002967AB"/>
    <w:rsid w:val="00297EAD"/>
    <w:rsid w:val="002A34C2"/>
    <w:rsid w:val="002A5012"/>
    <w:rsid w:val="002A769E"/>
    <w:rsid w:val="002B06E6"/>
    <w:rsid w:val="002B1784"/>
    <w:rsid w:val="002B543F"/>
    <w:rsid w:val="002C0B47"/>
    <w:rsid w:val="002C12FD"/>
    <w:rsid w:val="002C3AA1"/>
    <w:rsid w:val="002C4DBF"/>
    <w:rsid w:val="002C5804"/>
    <w:rsid w:val="002C6E97"/>
    <w:rsid w:val="002D271F"/>
    <w:rsid w:val="002D2F6D"/>
    <w:rsid w:val="002D4551"/>
    <w:rsid w:val="002D6386"/>
    <w:rsid w:val="002E3617"/>
    <w:rsid w:val="002E670C"/>
    <w:rsid w:val="002F1999"/>
    <w:rsid w:val="002F1BAF"/>
    <w:rsid w:val="002F4D80"/>
    <w:rsid w:val="002F5C28"/>
    <w:rsid w:val="00302091"/>
    <w:rsid w:val="003057DD"/>
    <w:rsid w:val="00305B35"/>
    <w:rsid w:val="00307D55"/>
    <w:rsid w:val="003155A7"/>
    <w:rsid w:val="003166C5"/>
    <w:rsid w:val="0032087B"/>
    <w:rsid w:val="003229F1"/>
    <w:rsid w:val="003242B9"/>
    <w:rsid w:val="003270BA"/>
    <w:rsid w:val="00331C41"/>
    <w:rsid w:val="00332897"/>
    <w:rsid w:val="00334220"/>
    <w:rsid w:val="003348AF"/>
    <w:rsid w:val="00335ADC"/>
    <w:rsid w:val="00340887"/>
    <w:rsid w:val="00341889"/>
    <w:rsid w:val="00342336"/>
    <w:rsid w:val="00364075"/>
    <w:rsid w:val="00364100"/>
    <w:rsid w:val="0036507B"/>
    <w:rsid w:val="003659EF"/>
    <w:rsid w:val="00365E18"/>
    <w:rsid w:val="00367184"/>
    <w:rsid w:val="00370F43"/>
    <w:rsid w:val="003742E6"/>
    <w:rsid w:val="00374578"/>
    <w:rsid w:val="00382C0B"/>
    <w:rsid w:val="00386782"/>
    <w:rsid w:val="00390732"/>
    <w:rsid w:val="00391277"/>
    <w:rsid w:val="003979FC"/>
    <w:rsid w:val="003A2FBF"/>
    <w:rsid w:val="003A6F5C"/>
    <w:rsid w:val="003A6F82"/>
    <w:rsid w:val="003B20E3"/>
    <w:rsid w:val="003B7471"/>
    <w:rsid w:val="003B7DB9"/>
    <w:rsid w:val="003C2CAC"/>
    <w:rsid w:val="003C3B1C"/>
    <w:rsid w:val="003D062A"/>
    <w:rsid w:val="003D5D71"/>
    <w:rsid w:val="003D67FC"/>
    <w:rsid w:val="003D6A40"/>
    <w:rsid w:val="003D7190"/>
    <w:rsid w:val="003E017D"/>
    <w:rsid w:val="003E185F"/>
    <w:rsid w:val="003E1B5F"/>
    <w:rsid w:val="003E20C0"/>
    <w:rsid w:val="003E2419"/>
    <w:rsid w:val="003E273C"/>
    <w:rsid w:val="003E5FAF"/>
    <w:rsid w:val="003F1323"/>
    <w:rsid w:val="003F1A59"/>
    <w:rsid w:val="003F1C7A"/>
    <w:rsid w:val="00401ADC"/>
    <w:rsid w:val="004020E1"/>
    <w:rsid w:val="00402BE5"/>
    <w:rsid w:val="00404183"/>
    <w:rsid w:val="00406E5A"/>
    <w:rsid w:val="00420701"/>
    <w:rsid w:val="00421557"/>
    <w:rsid w:val="00421666"/>
    <w:rsid w:val="00424DD6"/>
    <w:rsid w:val="00425F1E"/>
    <w:rsid w:val="0043149E"/>
    <w:rsid w:val="004342A5"/>
    <w:rsid w:val="004410CB"/>
    <w:rsid w:val="00443585"/>
    <w:rsid w:val="004459E7"/>
    <w:rsid w:val="004503C6"/>
    <w:rsid w:val="00451A66"/>
    <w:rsid w:val="0045239B"/>
    <w:rsid w:val="00454B29"/>
    <w:rsid w:val="00455B34"/>
    <w:rsid w:val="00456C81"/>
    <w:rsid w:val="00456EAC"/>
    <w:rsid w:val="0046120D"/>
    <w:rsid w:val="00463245"/>
    <w:rsid w:val="00466201"/>
    <w:rsid w:val="00467269"/>
    <w:rsid w:val="00467548"/>
    <w:rsid w:val="0047173D"/>
    <w:rsid w:val="00471D47"/>
    <w:rsid w:val="0047452C"/>
    <w:rsid w:val="00474BE2"/>
    <w:rsid w:val="00474E84"/>
    <w:rsid w:val="00476222"/>
    <w:rsid w:val="004810AC"/>
    <w:rsid w:val="00481F02"/>
    <w:rsid w:val="0048335E"/>
    <w:rsid w:val="00484C8D"/>
    <w:rsid w:val="0048601E"/>
    <w:rsid w:val="0048762C"/>
    <w:rsid w:val="004929FC"/>
    <w:rsid w:val="00493DFC"/>
    <w:rsid w:val="004A4676"/>
    <w:rsid w:val="004B1358"/>
    <w:rsid w:val="004B256F"/>
    <w:rsid w:val="004C126D"/>
    <w:rsid w:val="004C16CC"/>
    <w:rsid w:val="004C40FA"/>
    <w:rsid w:val="004C4EDA"/>
    <w:rsid w:val="004D1E6B"/>
    <w:rsid w:val="004D78F4"/>
    <w:rsid w:val="004E14DB"/>
    <w:rsid w:val="004E7D9F"/>
    <w:rsid w:val="004F319B"/>
    <w:rsid w:val="004F4F0B"/>
    <w:rsid w:val="004F534D"/>
    <w:rsid w:val="004F609D"/>
    <w:rsid w:val="004F7008"/>
    <w:rsid w:val="005007ED"/>
    <w:rsid w:val="005010E9"/>
    <w:rsid w:val="00502092"/>
    <w:rsid w:val="0050627E"/>
    <w:rsid w:val="00506782"/>
    <w:rsid w:val="005102B7"/>
    <w:rsid w:val="005113B6"/>
    <w:rsid w:val="00511F3F"/>
    <w:rsid w:val="00513858"/>
    <w:rsid w:val="005222A7"/>
    <w:rsid w:val="00527C07"/>
    <w:rsid w:val="00531691"/>
    <w:rsid w:val="00531817"/>
    <w:rsid w:val="00537E0A"/>
    <w:rsid w:val="0055151C"/>
    <w:rsid w:val="0055392E"/>
    <w:rsid w:val="00553BF5"/>
    <w:rsid w:val="00557559"/>
    <w:rsid w:val="005606C0"/>
    <w:rsid w:val="00560CA0"/>
    <w:rsid w:val="005624F3"/>
    <w:rsid w:val="00566F0F"/>
    <w:rsid w:val="00567F56"/>
    <w:rsid w:val="0057700B"/>
    <w:rsid w:val="00577EC4"/>
    <w:rsid w:val="005811EF"/>
    <w:rsid w:val="00581F8C"/>
    <w:rsid w:val="00584996"/>
    <w:rsid w:val="00584C59"/>
    <w:rsid w:val="00586771"/>
    <w:rsid w:val="00587522"/>
    <w:rsid w:val="00594A57"/>
    <w:rsid w:val="00596423"/>
    <w:rsid w:val="005A52AA"/>
    <w:rsid w:val="005A5E0E"/>
    <w:rsid w:val="005A6DAA"/>
    <w:rsid w:val="005B0878"/>
    <w:rsid w:val="005B1584"/>
    <w:rsid w:val="005B21FC"/>
    <w:rsid w:val="005B45A1"/>
    <w:rsid w:val="005B6E97"/>
    <w:rsid w:val="005C15C0"/>
    <w:rsid w:val="005C2207"/>
    <w:rsid w:val="005C2294"/>
    <w:rsid w:val="005C4125"/>
    <w:rsid w:val="005D00D7"/>
    <w:rsid w:val="005D0805"/>
    <w:rsid w:val="005D0AF2"/>
    <w:rsid w:val="005D0EF0"/>
    <w:rsid w:val="005D37C7"/>
    <w:rsid w:val="005D38B4"/>
    <w:rsid w:val="005D5667"/>
    <w:rsid w:val="005D59B1"/>
    <w:rsid w:val="005E3B71"/>
    <w:rsid w:val="005E4547"/>
    <w:rsid w:val="005E6E4A"/>
    <w:rsid w:val="005F047D"/>
    <w:rsid w:val="005F6150"/>
    <w:rsid w:val="00600B07"/>
    <w:rsid w:val="00601495"/>
    <w:rsid w:val="00601C82"/>
    <w:rsid w:val="006021B7"/>
    <w:rsid w:val="00603DBC"/>
    <w:rsid w:val="00603E62"/>
    <w:rsid w:val="00606D07"/>
    <w:rsid w:val="006079BA"/>
    <w:rsid w:val="00607D56"/>
    <w:rsid w:val="00610654"/>
    <w:rsid w:val="006166FD"/>
    <w:rsid w:val="00623AD9"/>
    <w:rsid w:val="00623DA9"/>
    <w:rsid w:val="00624366"/>
    <w:rsid w:val="00626A76"/>
    <w:rsid w:val="00630E5A"/>
    <w:rsid w:val="006318B9"/>
    <w:rsid w:val="00632F16"/>
    <w:rsid w:val="00635AC9"/>
    <w:rsid w:val="00636B1A"/>
    <w:rsid w:val="00636F0E"/>
    <w:rsid w:val="00637A95"/>
    <w:rsid w:val="00637CDF"/>
    <w:rsid w:val="00643254"/>
    <w:rsid w:val="006456FA"/>
    <w:rsid w:val="0064732C"/>
    <w:rsid w:val="0065314C"/>
    <w:rsid w:val="006533FE"/>
    <w:rsid w:val="006536D9"/>
    <w:rsid w:val="00654E2C"/>
    <w:rsid w:val="00662614"/>
    <w:rsid w:val="00663764"/>
    <w:rsid w:val="00664096"/>
    <w:rsid w:val="0067026C"/>
    <w:rsid w:val="00670823"/>
    <w:rsid w:val="00670AD1"/>
    <w:rsid w:val="006710A1"/>
    <w:rsid w:val="00671F8D"/>
    <w:rsid w:val="00674B9C"/>
    <w:rsid w:val="00677653"/>
    <w:rsid w:val="00677BE1"/>
    <w:rsid w:val="00682A76"/>
    <w:rsid w:val="0068534C"/>
    <w:rsid w:val="006875FF"/>
    <w:rsid w:val="006960B1"/>
    <w:rsid w:val="00696ABE"/>
    <w:rsid w:val="006A2C7C"/>
    <w:rsid w:val="006A53F9"/>
    <w:rsid w:val="006B0680"/>
    <w:rsid w:val="006B106E"/>
    <w:rsid w:val="006B40B8"/>
    <w:rsid w:val="006C0F47"/>
    <w:rsid w:val="006C4B47"/>
    <w:rsid w:val="006C5859"/>
    <w:rsid w:val="006C675D"/>
    <w:rsid w:val="006C7EE8"/>
    <w:rsid w:val="006D1D46"/>
    <w:rsid w:val="006D2CB1"/>
    <w:rsid w:val="006D3033"/>
    <w:rsid w:val="006D77CB"/>
    <w:rsid w:val="006D79E5"/>
    <w:rsid w:val="006E12E3"/>
    <w:rsid w:val="006E2D49"/>
    <w:rsid w:val="006E359E"/>
    <w:rsid w:val="006E6B74"/>
    <w:rsid w:val="006F4EF2"/>
    <w:rsid w:val="006F586C"/>
    <w:rsid w:val="006F6FED"/>
    <w:rsid w:val="0070098E"/>
    <w:rsid w:val="00700E46"/>
    <w:rsid w:val="00702867"/>
    <w:rsid w:val="007073CE"/>
    <w:rsid w:val="007109DC"/>
    <w:rsid w:val="0071140B"/>
    <w:rsid w:val="00713160"/>
    <w:rsid w:val="00717784"/>
    <w:rsid w:val="007228CB"/>
    <w:rsid w:val="0072315F"/>
    <w:rsid w:val="0072714A"/>
    <w:rsid w:val="0073197F"/>
    <w:rsid w:val="00733ADA"/>
    <w:rsid w:val="00735995"/>
    <w:rsid w:val="0074074E"/>
    <w:rsid w:val="007409D2"/>
    <w:rsid w:val="007468FC"/>
    <w:rsid w:val="00746E20"/>
    <w:rsid w:val="0074762D"/>
    <w:rsid w:val="00750DAF"/>
    <w:rsid w:val="00755340"/>
    <w:rsid w:val="00756121"/>
    <w:rsid w:val="007630C9"/>
    <w:rsid w:val="0076408E"/>
    <w:rsid w:val="00764178"/>
    <w:rsid w:val="00766090"/>
    <w:rsid w:val="007706AF"/>
    <w:rsid w:val="007768C0"/>
    <w:rsid w:val="00780E06"/>
    <w:rsid w:val="00782AA7"/>
    <w:rsid w:val="00784C1D"/>
    <w:rsid w:val="00792CA3"/>
    <w:rsid w:val="007940E4"/>
    <w:rsid w:val="007A0FC0"/>
    <w:rsid w:val="007B0AAF"/>
    <w:rsid w:val="007B0B64"/>
    <w:rsid w:val="007B0F30"/>
    <w:rsid w:val="007B1405"/>
    <w:rsid w:val="007B18D2"/>
    <w:rsid w:val="007B2FDD"/>
    <w:rsid w:val="007B73A1"/>
    <w:rsid w:val="007C0DD2"/>
    <w:rsid w:val="007C49AB"/>
    <w:rsid w:val="007C4EA8"/>
    <w:rsid w:val="007C5E3F"/>
    <w:rsid w:val="007D174C"/>
    <w:rsid w:val="007D175B"/>
    <w:rsid w:val="007D1800"/>
    <w:rsid w:val="007D49B0"/>
    <w:rsid w:val="007D58FB"/>
    <w:rsid w:val="007D6963"/>
    <w:rsid w:val="007E0C61"/>
    <w:rsid w:val="007E1060"/>
    <w:rsid w:val="007E468E"/>
    <w:rsid w:val="007F64CA"/>
    <w:rsid w:val="007F70F5"/>
    <w:rsid w:val="007F7AAF"/>
    <w:rsid w:val="007F7CFD"/>
    <w:rsid w:val="0080050C"/>
    <w:rsid w:val="00800EA0"/>
    <w:rsid w:val="00805CE0"/>
    <w:rsid w:val="008074CA"/>
    <w:rsid w:val="00810970"/>
    <w:rsid w:val="008113C0"/>
    <w:rsid w:val="008125F6"/>
    <w:rsid w:val="00812AA6"/>
    <w:rsid w:val="008151D7"/>
    <w:rsid w:val="0081661A"/>
    <w:rsid w:val="00816922"/>
    <w:rsid w:val="008172A7"/>
    <w:rsid w:val="008232C1"/>
    <w:rsid w:val="0083312D"/>
    <w:rsid w:val="0083468A"/>
    <w:rsid w:val="008358E1"/>
    <w:rsid w:val="00835922"/>
    <w:rsid w:val="00842D43"/>
    <w:rsid w:val="0084429E"/>
    <w:rsid w:val="00850605"/>
    <w:rsid w:val="008511B1"/>
    <w:rsid w:val="00851FEB"/>
    <w:rsid w:val="008543EA"/>
    <w:rsid w:val="008553CB"/>
    <w:rsid w:val="0085630E"/>
    <w:rsid w:val="00856D1C"/>
    <w:rsid w:val="00860827"/>
    <w:rsid w:val="008630EE"/>
    <w:rsid w:val="008635DB"/>
    <w:rsid w:val="008707A9"/>
    <w:rsid w:val="008722D3"/>
    <w:rsid w:val="008740B4"/>
    <w:rsid w:val="00874225"/>
    <w:rsid w:val="00875508"/>
    <w:rsid w:val="00876AC0"/>
    <w:rsid w:val="008823F3"/>
    <w:rsid w:val="00886569"/>
    <w:rsid w:val="00890B5C"/>
    <w:rsid w:val="0089105C"/>
    <w:rsid w:val="00891B0F"/>
    <w:rsid w:val="00891E73"/>
    <w:rsid w:val="00892B0A"/>
    <w:rsid w:val="008932C8"/>
    <w:rsid w:val="008959EB"/>
    <w:rsid w:val="00896641"/>
    <w:rsid w:val="00897B1A"/>
    <w:rsid w:val="008A2A61"/>
    <w:rsid w:val="008A2E20"/>
    <w:rsid w:val="008A4DA7"/>
    <w:rsid w:val="008A5C2B"/>
    <w:rsid w:val="008B2993"/>
    <w:rsid w:val="008B3083"/>
    <w:rsid w:val="008B3688"/>
    <w:rsid w:val="008B5B1C"/>
    <w:rsid w:val="008B5D70"/>
    <w:rsid w:val="008C0B7F"/>
    <w:rsid w:val="008C0D37"/>
    <w:rsid w:val="008C2B40"/>
    <w:rsid w:val="008C6C08"/>
    <w:rsid w:val="008D192D"/>
    <w:rsid w:val="008D1BB7"/>
    <w:rsid w:val="008E17AC"/>
    <w:rsid w:val="008E42FB"/>
    <w:rsid w:val="008E5045"/>
    <w:rsid w:val="008E7808"/>
    <w:rsid w:val="008F0810"/>
    <w:rsid w:val="008F15EF"/>
    <w:rsid w:val="008F5BBF"/>
    <w:rsid w:val="008F700D"/>
    <w:rsid w:val="008F7602"/>
    <w:rsid w:val="009017AE"/>
    <w:rsid w:val="00902962"/>
    <w:rsid w:val="00903408"/>
    <w:rsid w:val="0090515D"/>
    <w:rsid w:val="00905D8E"/>
    <w:rsid w:val="009116EA"/>
    <w:rsid w:val="009121B1"/>
    <w:rsid w:val="00912962"/>
    <w:rsid w:val="00917161"/>
    <w:rsid w:val="00921D13"/>
    <w:rsid w:val="0092204C"/>
    <w:rsid w:val="00924922"/>
    <w:rsid w:val="00933671"/>
    <w:rsid w:val="00934F28"/>
    <w:rsid w:val="00935AC2"/>
    <w:rsid w:val="00937F1B"/>
    <w:rsid w:val="00943313"/>
    <w:rsid w:val="00943A10"/>
    <w:rsid w:val="009454B6"/>
    <w:rsid w:val="009469DC"/>
    <w:rsid w:val="00947AFB"/>
    <w:rsid w:val="00952EAB"/>
    <w:rsid w:val="00953991"/>
    <w:rsid w:val="009543C3"/>
    <w:rsid w:val="009577A7"/>
    <w:rsid w:val="00957818"/>
    <w:rsid w:val="00962C6A"/>
    <w:rsid w:val="009634D0"/>
    <w:rsid w:val="00970724"/>
    <w:rsid w:val="00972BF7"/>
    <w:rsid w:val="00972DD5"/>
    <w:rsid w:val="00974C37"/>
    <w:rsid w:val="00980C0C"/>
    <w:rsid w:val="00984879"/>
    <w:rsid w:val="00985632"/>
    <w:rsid w:val="00986159"/>
    <w:rsid w:val="009867FE"/>
    <w:rsid w:val="00991B63"/>
    <w:rsid w:val="00993299"/>
    <w:rsid w:val="00995AE6"/>
    <w:rsid w:val="009A0479"/>
    <w:rsid w:val="009A3984"/>
    <w:rsid w:val="009A5BC7"/>
    <w:rsid w:val="009A5ED4"/>
    <w:rsid w:val="009A769F"/>
    <w:rsid w:val="009A7F81"/>
    <w:rsid w:val="009B2428"/>
    <w:rsid w:val="009B2680"/>
    <w:rsid w:val="009B5011"/>
    <w:rsid w:val="009B5CB7"/>
    <w:rsid w:val="009C1715"/>
    <w:rsid w:val="009C3DFE"/>
    <w:rsid w:val="009C563F"/>
    <w:rsid w:val="009D0928"/>
    <w:rsid w:val="009D161C"/>
    <w:rsid w:val="009D1B67"/>
    <w:rsid w:val="009D2506"/>
    <w:rsid w:val="009D2663"/>
    <w:rsid w:val="009D2FEC"/>
    <w:rsid w:val="009D31BE"/>
    <w:rsid w:val="009D386D"/>
    <w:rsid w:val="009D41F8"/>
    <w:rsid w:val="009D50C8"/>
    <w:rsid w:val="009E04A2"/>
    <w:rsid w:val="009E151B"/>
    <w:rsid w:val="009E6A79"/>
    <w:rsid w:val="009F0953"/>
    <w:rsid w:val="009F0DA2"/>
    <w:rsid w:val="009F4829"/>
    <w:rsid w:val="009F6849"/>
    <w:rsid w:val="00A0283F"/>
    <w:rsid w:val="00A11339"/>
    <w:rsid w:val="00A16683"/>
    <w:rsid w:val="00A1703E"/>
    <w:rsid w:val="00A17475"/>
    <w:rsid w:val="00A20766"/>
    <w:rsid w:val="00A2141C"/>
    <w:rsid w:val="00A221EE"/>
    <w:rsid w:val="00A241FF"/>
    <w:rsid w:val="00A24FA7"/>
    <w:rsid w:val="00A31242"/>
    <w:rsid w:val="00A319C4"/>
    <w:rsid w:val="00A31F7A"/>
    <w:rsid w:val="00A36AB1"/>
    <w:rsid w:val="00A413D0"/>
    <w:rsid w:val="00A41C07"/>
    <w:rsid w:val="00A41D40"/>
    <w:rsid w:val="00A475CB"/>
    <w:rsid w:val="00A519A1"/>
    <w:rsid w:val="00A52530"/>
    <w:rsid w:val="00A551BF"/>
    <w:rsid w:val="00A5798E"/>
    <w:rsid w:val="00A602AC"/>
    <w:rsid w:val="00A70524"/>
    <w:rsid w:val="00A73406"/>
    <w:rsid w:val="00A75DAF"/>
    <w:rsid w:val="00A77FA8"/>
    <w:rsid w:val="00A833B0"/>
    <w:rsid w:val="00A83B0A"/>
    <w:rsid w:val="00A846B9"/>
    <w:rsid w:val="00A84963"/>
    <w:rsid w:val="00A849C0"/>
    <w:rsid w:val="00A8700C"/>
    <w:rsid w:val="00A90491"/>
    <w:rsid w:val="00A92F70"/>
    <w:rsid w:val="00A93263"/>
    <w:rsid w:val="00A93CA8"/>
    <w:rsid w:val="00AA062F"/>
    <w:rsid w:val="00AA221C"/>
    <w:rsid w:val="00AA247D"/>
    <w:rsid w:val="00AA316A"/>
    <w:rsid w:val="00AA5031"/>
    <w:rsid w:val="00AA6FB3"/>
    <w:rsid w:val="00AA7061"/>
    <w:rsid w:val="00AB1A21"/>
    <w:rsid w:val="00AB1F17"/>
    <w:rsid w:val="00AB46E6"/>
    <w:rsid w:val="00AB5FAF"/>
    <w:rsid w:val="00AC01CD"/>
    <w:rsid w:val="00AC10D5"/>
    <w:rsid w:val="00AC235F"/>
    <w:rsid w:val="00AC3E24"/>
    <w:rsid w:val="00AC65DA"/>
    <w:rsid w:val="00AD09E4"/>
    <w:rsid w:val="00AD2F15"/>
    <w:rsid w:val="00AD6D44"/>
    <w:rsid w:val="00AD761F"/>
    <w:rsid w:val="00AE0080"/>
    <w:rsid w:val="00AE40C8"/>
    <w:rsid w:val="00AE5275"/>
    <w:rsid w:val="00AE5698"/>
    <w:rsid w:val="00AF1737"/>
    <w:rsid w:val="00AF63A4"/>
    <w:rsid w:val="00B060DD"/>
    <w:rsid w:val="00B06CA9"/>
    <w:rsid w:val="00B121A4"/>
    <w:rsid w:val="00B16EF4"/>
    <w:rsid w:val="00B2061B"/>
    <w:rsid w:val="00B21523"/>
    <w:rsid w:val="00B26A63"/>
    <w:rsid w:val="00B2722A"/>
    <w:rsid w:val="00B31473"/>
    <w:rsid w:val="00B31D2B"/>
    <w:rsid w:val="00B32765"/>
    <w:rsid w:val="00B32DC9"/>
    <w:rsid w:val="00B36D36"/>
    <w:rsid w:val="00B41DA6"/>
    <w:rsid w:val="00B441A3"/>
    <w:rsid w:val="00B47B30"/>
    <w:rsid w:val="00B510C2"/>
    <w:rsid w:val="00B5365B"/>
    <w:rsid w:val="00B54BC4"/>
    <w:rsid w:val="00B56322"/>
    <w:rsid w:val="00B56D61"/>
    <w:rsid w:val="00B618BA"/>
    <w:rsid w:val="00B638AC"/>
    <w:rsid w:val="00B63DF7"/>
    <w:rsid w:val="00B70872"/>
    <w:rsid w:val="00B74818"/>
    <w:rsid w:val="00B775BB"/>
    <w:rsid w:val="00B77AAA"/>
    <w:rsid w:val="00B809CD"/>
    <w:rsid w:val="00B81617"/>
    <w:rsid w:val="00B838D7"/>
    <w:rsid w:val="00B83CED"/>
    <w:rsid w:val="00B858A3"/>
    <w:rsid w:val="00B85C08"/>
    <w:rsid w:val="00B8606C"/>
    <w:rsid w:val="00B867FB"/>
    <w:rsid w:val="00B923B6"/>
    <w:rsid w:val="00B957C7"/>
    <w:rsid w:val="00B965FE"/>
    <w:rsid w:val="00B97280"/>
    <w:rsid w:val="00B97466"/>
    <w:rsid w:val="00BA0157"/>
    <w:rsid w:val="00BA0312"/>
    <w:rsid w:val="00BA282D"/>
    <w:rsid w:val="00BA30B8"/>
    <w:rsid w:val="00BA4D57"/>
    <w:rsid w:val="00BB2163"/>
    <w:rsid w:val="00BB54C0"/>
    <w:rsid w:val="00BB5E50"/>
    <w:rsid w:val="00BB6260"/>
    <w:rsid w:val="00BB67F2"/>
    <w:rsid w:val="00BC1B64"/>
    <w:rsid w:val="00BC1C76"/>
    <w:rsid w:val="00BD0163"/>
    <w:rsid w:val="00BD1993"/>
    <w:rsid w:val="00BD6549"/>
    <w:rsid w:val="00BF3871"/>
    <w:rsid w:val="00BF39EA"/>
    <w:rsid w:val="00BF5E1B"/>
    <w:rsid w:val="00C01F00"/>
    <w:rsid w:val="00C05E74"/>
    <w:rsid w:val="00C0720C"/>
    <w:rsid w:val="00C10C19"/>
    <w:rsid w:val="00C12D40"/>
    <w:rsid w:val="00C135CD"/>
    <w:rsid w:val="00C143B8"/>
    <w:rsid w:val="00C1455D"/>
    <w:rsid w:val="00C17D02"/>
    <w:rsid w:val="00C20EEE"/>
    <w:rsid w:val="00C22FB1"/>
    <w:rsid w:val="00C3190D"/>
    <w:rsid w:val="00C31BED"/>
    <w:rsid w:val="00C33127"/>
    <w:rsid w:val="00C33922"/>
    <w:rsid w:val="00C351F4"/>
    <w:rsid w:val="00C35904"/>
    <w:rsid w:val="00C45522"/>
    <w:rsid w:val="00C4577E"/>
    <w:rsid w:val="00C476BE"/>
    <w:rsid w:val="00C50356"/>
    <w:rsid w:val="00C50788"/>
    <w:rsid w:val="00C50935"/>
    <w:rsid w:val="00C5649C"/>
    <w:rsid w:val="00C56CBB"/>
    <w:rsid w:val="00C5758C"/>
    <w:rsid w:val="00C62442"/>
    <w:rsid w:val="00C65144"/>
    <w:rsid w:val="00C65654"/>
    <w:rsid w:val="00C71F72"/>
    <w:rsid w:val="00C723E4"/>
    <w:rsid w:val="00C72735"/>
    <w:rsid w:val="00C74E8B"/>
    <w:rsid w:val="00C75377"/>
    <w:rsid w:val="00C753F0"/>
    <w:rsid w:val="00C75486"/>
    <w:rsid w:val="00C7629F"/>
    <w:rsid w:val="00C8004E"/>
    <w:rsid w:val="00C8202C"/>
    <w:rsid w:val="00C82243"/>
    <w:rsid w:val="00C8237A"/>
    <w:rsid w:val="00C84E0C"/>
    <w:rsid w:val="00C92A5B"/>
    <w:rsid w:val="00CA38BA"/>
    <w:rsid w:val="00CA46EC"/>
    <w:rsid w:val="00CA5669"/>
    <w:rsid w:val="00CB3050"/>
    <w:rsid w:val="00CB504F"/>
    <w:rsid w:val="00CC160E"/>
    <w:rsid w:val="00CD3AB6"/>
    <w:rsid w:val="00CE1363"/>
    <w:rsid w:val="00CE288C"/>
    <w:rsid w:val="00CE483D"/>
    <w:rsid w:val="00CE5633"/>
    <w:rsid w:val="00CE5899"/>
    <w:rsid w:val="00CE7970"/>
    <w:rsid w:val="00CE7B52"/>
    <w:rsid w:val="00CE7E2C"/>
    <w:rsid w:val="00CF0871"/>
    <w:rsid w:val="00CF1854"/>
    <w:rsid w:val="00CF2104"/>
    <w:rsid w:val="00CF3B86"/>
    <w:rsid w:val="00D01FAE"/>
    <w:rsid w:val="00D03F29"/>
    <w:rsid w:val="00D05B29"/>
    <w:rsid w:val="00D073CB"/>
    <w:rsid w:val="00D10B82"/>
    <w:rsid w:val="00D12716"/>
    <w:rsid w:val="00D1394D"/>
    <w:rsid w:val="00D15C12"/>
    <w:rsid w:val="00D16E15"/>
    <w:rsid w:val="00D17BFC"/>
    <w:rsid w:val="00D23D49"/>
    <w:rsid w:val="00D26E00"/>
    <w:rsid w:val="00D27A16"/>
    <w:rsid w:val="00D31337"/>
    <w:rsid w:val="00D34119"/>
    <w:rsid w:val="00D35C0A"/>
    <w:rsid w:val="00D47740"/>
    <w:rsid w:val="00D514CB"/>
    <w:rsid w:val="00D56584"/>
    <w:rsid w:val="00D61CC6"/>
    <w:rsid w:val="00D6261C"/>
    <w:rsid w:val="00D633D6"/>
    <w:rsid w:val="00D63F86"/>
    <w:rsid w:val="00D6504F"/>
    <w:rsid w:val="00D667C6"/>
    <w:rsid w:val="00D66EAD"/>
    <w:rsid w:val="00D73F93"/>
    <w:rsid w:val="00D77145"/>
    <w:rsid w:val="00D812B9"/>
    <w:rsid w:val="00D855E6"/>
    <w:rsid w:val="00D85AE7"/>
    <w:rsid w:val="00D862CB"/>
    <w:rsid w:val="00D903FD"/>
    <w:rsid w:val="00D93F43"/>
    <w:rsid w:val="00D94BC5"/>
    <w:rsid w:val="00D96C08"/>
    <w:rsid w:val="00DA3BC6"/>
    <w:rsid w:val="00DB0168"/>
    <w:rsid w:val="00DB0ADB"/>
    <w:rsid w:val="00DB1437"/>
    <w:rsid w:val="00DB2A65"/>
    <w:rsid w:val="00DB66B0"/>
    <w:rsid w:val="00DC0671"/>
    <w:rsid w:val="00DC0A2E"/>
    <w:rsid w:val="00DC3052"/>
    <w:rsid w:val="00DD06A6"/>
    <w:rsid w:val="00DD246F"/>
    <w:rsid w:val="00DD6918"/>
    <w:rsid w:val="00DD6ADE"/>
    <w:rsid w:val="00DE175C"/>
    <w:rsid w:val="00DE64A0"/>
    <w:rsid w:val="00DE6969"/>
    <w:rsid w:val="00DE729C"/>
    <w:rsid w:val="00DF005E"/>
    <w:rsid w:val="00DF46C4"/>
    <w:rsid w:val="00DF4CA3"/>
    <w:rsid w:val="00DF74AA"/>
    <w:rsid w:val="00E00B3C"/>
    <w:rsid w:val="00E00D95"/>
    <w:rsid w:val="00E01AE4"/>
    <w:rsid w:val="00E037EE"/>
    <w:rsid w:val="00E06A3F"/>
    <w:rsid w:val="00E100C4"/>
    <w:rsid w:val="00E108A6"/>
    <w:rsid w:val="00E13A52"/>
    <w:rsid w:val="00E231AE"/>
    <w:rsid w:val="00E3074E"/>
    <w:rsid w:val="00E31D46"/>
    <w:rsid w:val="00E32FEA"/>
    <w:rsid w:val="00E338B7"/>
    <w:rsid w:val="00E34333"/>
    <w:rsid w:val="00E376D2"/>
    <w:rsid w:val="00E4668D"/>
    <w:rsid w:val="00E5028B"/>
    <w:rsid w:val="00E50AFD"/>
    <w:rsid w:val="00E50F5C"/>
    <w:rsid w:val="00E52B43"/>
    <w:rsid w:val="00E52BAE"/>
    <w:rsid w:val="00E55DED"/>
    <w:rsid w:val="00E56581"/>
    <w:rsid w:val="00E572E0"/>
    <w:rsid w:val="00E60795"/>
    <w:rsid w:val="00E62DAF"/>
    <w:rsid w:val="00E62E56"/>
    <w:rsid w:val="00E71F86"/>
    <w:rsid w:val="00E7412E"/>
    <w:rsid w:val="00E76CD9"/>
    <w:rsid w:val="00E77A9B"/>
    <w:rsid w:val="00E93733"/>
    <w:rsid w:val="00E93E73"/>
    <w:rsid w:val="00E94623"/>
    <w:rsid w:val="00E966C3"/>
    <w:rsid w:val="00E9769E"/>
    <w:rsid w:val="00E976A0"/>
    <w:rsid w:val="00E978FC"/>
    <w:rsid w:val="00EA06D0"/>
    <w:rsid w:val="00EA47D2"/>
    <w:rsid w:val="00EA4CB1"/>
    <w:rsid w:val="00EA587A"/>
    <w:rsid w:val="00EB3533"/>
    <w:rsid w:val="00EB359E"/>
    <w:rsid w:val="00EC0C55"/>
    <w:rsid w:val="00EC33F9"/>
    <w:rsid w:val="00EC78E7"/>
    <w:rsid w:val="00ED4256"/>
    <w:rsid w:val="00ED43D2"/>
    <w:rsid w:val="00EE205C"/>
    <w:rsid w:val="00EE3B8C"/>
    <w:rsid w:val="00EF1D4E"/>
    <w:rsid w:val="00EF2D47"/>
    <w:rsid w:val="00EF46C3"/>
    <w:rsid w:val="00EF4A38"/>
    <w:rsid w:val="00EF5845"/>
    <w:rsid w:val="00F02373"/>
    <w:rsid w:val="00F05610"/>
    <w:rsid w:val="00F1090D"/>
    <w:rsid w:val="00F11849"/>
    <w:rsid w:val="00F11B8F"/>
    <w:rsid w:val="00F12B37"/>
    <w:rsid w:val="00F1369D"/>
    <w:rsid w:val="00F20289"/>
    <w:rsid w:val="00F22C39"/>
    <w:rsid w:val="00F236F8"/>
    <w:rsid w:val="00F258A6"/>
    <w:rsid w:val="00F32FDF"/>
    <w:rsid w:val="00F436EC"/>
    <w:rsid w:val="00F47193"/>
    <w:rsid w:val="00F47F48"/>
    <w:rsid w:val="00F527E2"/>
    <w:rsid w:val="00F60B70"/>
    <w:rsid w:val="00F61FE0"/>
    <w:rsid w:val="00F63D95"/>
    <w:rsid w:val="00F70603"/>
    <w:rsid w:val="00F710DD"/>
    <w:rsid w:val="00F736C1"/>
    <w:rsid w:val="00F74011"/>
    <w:rsid w:val="00F74753"/>
    <w:rsid w:val="00F80CFC"/>
    <w:rsid w:val="00F83558"/>
    <w:rsid w:val="00F846CD"/>
    <w:rsid w:val="00F90759"/>
    <w:rsid w:val="00F9360F"/>
    <w:rsid w:val="00F940F0"/>
    <w:rsid w:val="00F943CB"/>
    <w:rsid w:val="00FA0B4C"/>
    <w:rsid w:val="00FA3EEC"/>
    <w:rsid w:val="00FA55C2"/>
    <w:rsid w:val="00FA5A77"/>
    <w:rsid w:val="00FB10CB"/>
    <w:rsid w:val="00FB1732"/>
    <w:rsid w:val="00FB17A0"/>
    <w:rsid w:val="00FB22D9"/>
    <w:rsid w:val="00FB3160"/>
    <w:rsid w:val="00FB7030"/>
    <w:rsid w:val="00FC0A65"/>
    <w:rsid w:val="00FC2AA4"/>
    <w:rsid w:val="00FC5741"/>
    <w:rsid w:val="00FC5B64"/>
    <w:rsid w:val="00FC7533"/>
    <w:rsid w:val="00FD2E6E"/>
    <w:rsid w:val="00FD3978"/>
    <w:rsid w:val="00FD3C14"/>
    <w:rsid w:val="00FD43BE"/>
    <w:rsid w:val="00FD4A07"/>
    <w:rsid w:val="00FD4CDF"/>
    <w:rsid w:val="00FD794C"/>
    <w:rsid w:val="00FE2787"/>
    <w:rsid w:val="00FE5CDC"/>
    <w:rsid w:val="00FF09F5"/>
    <w:rsid w:val="00FF0B6F"/>
    <w:rsid w:val="00FF11D9"/>
    <w:rsid w:val="00FF2593"/>
    <w:rsid w:val="00FF2B6F"/>
    <w:rsid w:val="00FF74DB"/>
    <w:rsid w:val="00FF79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7988A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aliases w:val="List of Tables"/>
    <w:basedOn w:val="Normal"/>
    <w:next w:val="Normal"/>
    <w:uiPriority w:val="99"/>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paragraph" w:styleId="FootnoteText">
    <w:name w:val="footnote text"/>
    <w:basedOn w:val="Normal"/>
    <w:link w:val="FootnoteTextChar"/>
    <w:uiPriority w:val="99"/>
    <w:semiHidden/>
    <w:unhideWhenUsed/>
    <w:rsid w:val="002E670C"/>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2E670C"/>
    <w:rPr>
      <w:rFonts w:eastAsiaTheme="minorHAnsi"/>
      <w:sz w:val="20"/>
      <w:szCs w:val="20"/>
    </w:rPr>
  </w:style>
  <w:style w:type="character" w:styleId="FootnoteReference">
    <w:name w:val="footnote reference"/>
    <w:basedOn w:val="DefaultParagraphFont"/>
    <w:uiPriority w:val="99"/>
    <w:semiHidden/>
    <w:unhideWhenUsed/>
    <w:rsid w:val="002E670C"/>
    <w:rPr>
      <w:vertAlign w:val="superscript"/>
    </w:rPr>
  </w:style>
  <w:style w:type="character" w:styleId="CommentReference">
    <w:name w:val="annotation reference"/>
    <w:basedOn w:val="DefaultParagraphFont"/>
    <w:uiPriority w:val="99"/>
    <w:semiHidden/>
    <w:unhideWhenUsed/>
    <w:rsid w:val="00917161"/>
    <w:rPr>
      <w:sz w:val="16"/>
      <w:szCs w:val="16"/>
    </w:rPr>
  </w:style>
  <w:style w:type="paragraph" w:styleId="CommentText">
    <w:name w:val="annotation text"/>
    <w:basedOn w:val="Normal"/>
    <w:link w:val="CommentTextChar"/>
    <w:uiPriority w:val="99"/>
    <w:semiHidden/>
    <w:unhideWhenUsed/>
    <w:rsid w:val="00917161"/>
    <w:pPr>
      <w:spacing w:line="240" w:lineRule="auto"/>
    </w:pPr>
    <w:rPr>
      <w:sz w:val="20"/>
      <w:szCs w:val="20"/>
    </w:rPr>
  </w:style>
  <w:style w:type="character" w:customStyle="1" w:styleId="CommentTextChar">
    <w:name w:val="Comment Text Char"/>
    <w:basedOn w:val="DefaultParagraphFont"/>
    <w:link w:val="CommentText"/>
    <w:uiPriority w:val="99"/>
    <w:semiHidden/>
    <w:rsid w:val="00917161"/>
    <w:rPr>
      <w:sz w:val="20"/>
      <w:szCs w:val="20"/>
    </w:rPr>
  </w:style>
  <w:style w:type="paragraph" w:styleId="CommentSubject">
    <w:name w:val="annotation subject"/>
    <w:basedOn w:val="CommentText"/>
    <w:next w:val="CommentText"/>
    <w:link w:val="CommentSubjectChar"/>
    <w:uiPriority w:val="99"/>
    <w:semiHidden/>
    <w:unhideWhenUsed/>
    <w:rsid w:val="00917161"/>
    <w:rPr>
      <w:b/>
      <w:bCs/>
    </w:rPr>
  </w:style>
  <w:style w:type="character" w:customStyle="1" w:styleId="CommentSubjectChar">
    <w:name w:val="Comment Subject Char"/>
    <w:basedOn w:val="CommentTextChar"/>
    <w:link w:val="CommentSubject"/>
    <w:uiPriority w:val="99"/>
    <w:semiHidden/>
    <w:rsid w:val="00917161"/>
    <w:rPr>
      <w:b/>
      <w:bCs/>
      <w:sz w:val="20"/>
      <w:szCs w:val="20"/>
    </w:rPr>
  </w:style>
  <w:style w:type="paragraph" w:styleId="Revision">
    <w:name w:val="Revision"/>
    <w:hidden/>
    <w:uiPriority w:val="99"/>
    <w:semiHidden/>
    <w:rsid w:val="00851FEB"/>
    <w:pPr>
      <w:spacing w:after="0" w:line="240" w:lineRule="auto"/>
    </w:pPr>
  </w:style>
  <w:style w:type="character" w:customStyle="1" w:styleId="status">
    <w:name w:val="status"/>
    <w:basedOn w:val="DefaultParagraphFont"/>
    <w:rsid w:val="00F61FE0"/>
  </w:style>
  <w:style w:type="character" w:customStyle="1" w:styleId="red">
    <w:name w:val="red"/>
    <w:basedOn w:val="DefaultParagraphFont"/>
    <w:rsid w:val="00F61FE0"/>
  </w:style>
  <w:style w:type="paragraph" w:styleId="NormalWeb">
    <w:name w:val="Normal (Web)"/>
    <w:basedOn w:val="Normal"/>
    <w:uiPriority w:val="99"/>
    <w:semiHidden/>
    <w:unhideWhenUsed/>
    <w:rsid w:val="001C0DC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9162">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93607301">
      <w:bodyDiv w:val="1"/>
      <w:marLeft w:val="0"/>
      <w:marRight w:val="0"/>
      <w:marTop w:val="0"/>
      <w:marBottom w:val="0"/>
      <w:divBdr>
        <w:top w:val="none" w:sz="0" w:space="0" w:color="auto"/>
        <w:left w:val="none" w:sz="0" w:space="0" w:color="auto"/>
        <w:bottom w:val="none" w:sz="0" w:space="0" w:color="auto"/>
        <w:right w:val="none" w:sz="0" w:space="0" w:color="auto"/>
      </w:divBdr>
      <w:divsChild>
        <w:div w:id="1382443883">
          <w:marLeft w:val="0"/>
          <w:marRight w:val="0"/>
          <w:marTop w:val="0"/>
          <w:marBottom w:val="0"/>
          <w:divBdr>
            <w:top w:val="none" w:sz="0" w:space="0" w:color="auto"/>
            <w:left w:val="none" w:sz="0" w:space="0" w:color="auto"/>
            <w:bottom w:val="none" w:sz="0" w:space="0" w:color="auto"/>
            <w:right w:val="none" w:sz="0" w:space="0" w:color="auto"/>
          </w:divBdr>
          <w:divsChild>
            <w:div w:id="1923290542">
              <w:marLeft w:val="0"/>
              <w:marRight w:val="0"/>
              <w:marTop w:val="0"/>
              <w:marBottom w:val="0"/>
              <w:divBdr>
                <w:top w:val="none" w:sz="0" w:space="0" w:color="auto"/>
                <w:left w:val="none" w:sz="0" w:space="0" w:color="auto"/>
                <w:bottom w:val="none" w:sz="0" w:space="0" w:color="auto"/>
                <w:right w:val="none" w:sz="0" w:space="0" w:color="auto"/>
              </w:divBdr>
              <w:divsChild>
                <w:div w:id="851190566">
                  <w:marLeft w:val="0"/>
                  <w:marRight w:val="0"/>
                  <w:marTop w:val="0"/>
                  <w:marBottom w:val="0"/>
                  <w:divBdr>
                    <w:top w:val="none" w:sz="0" w:space="0" w:color="auto"/>
                    <w:left w:val="none" w:sz="0" w:space="0" w:color="auto"/>
                    <w:bottom w:val="none" w:sz="0" w:space="0" w:color="auto"/>
                    <w:right w:val="none" w:sz="0" w:space="0" w:color="auto"/>
                  </w:divBdr>
                  <w:divsChild>
                    <w:div w:id="406807100">
                      <w:marLeft w:val="0"/>
                      <w:marRight w:val="0"/>
                      <w:marTop w:val="0"/>
                      <w:marBottom w:val="0"/>
                      <w:divBdr>
                        <w:top w:val="none" w:sz="0" w:space="0" w:color="auto"/>
                        <w:left w:val="none" w:sz="0" w:space="0" w:color="auto"/>
                        <w:bottom w:val="none" w:sz="0" w:space="0" w:color="auto"/>
                        <w:right w:val="none" w:sz="0" w:space="0" w:color="auto"/>
                      </w:divBdr>
                      <w:divsChild>
                        <w:div w:id="1677030012">
                          <w:marLeft w:val="0"/>
                          <w:marRight w:val="0"/>
                          <w:marTop w:val="0"/>
                          <w:marBottom w:val="0"/>
                          <w:divBdr>
                            <w:top w:val="none" w:sz="0" w:space="0" w:color="auto"/>
                            <w:left w:val="none" w:sz="0" w:space="0" w:color="auto"/>
                            <w:bottom w:val="none" w:sz="0" w:space="0" w:color="auto"/>
                            <w:right w:val="none" w:sz="0" w:space="0" w:color="auto"/>
                          </w:divBdr>
                          <w:divsChild>
                            <w:div w:id="1150293917">
                              <w:marLeft w:val="12300"/>
                              <w:marRight w:val="0"/>
                              <w:marTop w:val="0"/>
                              <w:marBottom w:val="0"/>
                              <w:divBdr>
                                <w:top w:val="none" w:sz="0" w:space="0" w:color="auto"/>
                                <w:left w:val="none" w:sz="0" w:space="0" w:color="auto"/>
                                <w:bottom w:val="none" w:sz="0" w:space="0" w:color="auto"/>
                                <w:right w:val="none" w:sz="0" w:space="0" w:color="auto"/>
                              </w:divBdr>
                              <w:divsChild>
                                <w:div w:id="62338637">
                                  <w:marLeft w:val="0"/>
                                  <w:marRight w:val="0"/>
                                  <w:marTop w:val="0"/>
                                  <w:marBottom w:val="0"/>
                                  <w:divBdr>
                                    <w:top w:val="none" w:sz="0" w:space="0" w:color="auto"/>
                                    <w:left w:val="none" w:sz="0" w:space="0" w:color="auto"/>
                                    <w:bottom w:val="none" w:sz="0" w:space="0" w:color="auto"/>
                                    <w:right w:val="none" w:sz="0" w:space="0" w:color="auto"/>
                                  </w:divBdr>
                                  <w:divsChild>
                                    <w:div w:id="1059279778">
                                      <w:marLeft w:val="0"/>
                                      <w:marRight w:val="0"/>
                                      <w:marTop w:val="0"/>
                                      <w:marBottom w:val="390"/>
                                      <w:divBdr>
                                        <w:top w:val="none" w:sz="0" w:space="0" w:color="auto"/>
                                        <w:left w:val="none" w:sz="0" w:space="0" w:color="auto"/>
                                        <w:bottom w:val="none" w:sz="0" w:space="0" w:color="auto"/>
                                        <w:right w:val="none" w:sz="0" w:space="0" w:color="auto"/>
                                      </w:divBdr>
                                      <w:divsChild>
                                        <w:div w:id="682514286">
                                          <w:marLeft w:val="0"/>
                                          <w:marRight w:val="0"/>
                                          <w:marTop w:val="0"/>
                                          <w:marBottom w:val="0"/>
                                          <w:divBdr>
                                            <w:top w:val="none" w:sz="0" w:space="0" w:color="auto"/>
                                            <w:left w:val="none" w:sz="0" w:space="0" w:color="auto"/>
                                            <w:bottom w:val="none" w:sz="0" w:space="0" w:color="auto"/>
                                            <w:right w:val="none" w:sz="0" w:space="0" w:color="auto"/>
                                          </w:divBdr>
                                          <w:divsChild>
                                            <w:div w:id="1018696653">
                                              <w:marLeft w:val="0"/>
                                              <w:marRight w:val="0"/>
                                              <w:marTop w:val="0"/>
                                              <w:marBottom w:val="0"/>
                                              <w:divBdr>
                                                <w:top w:val="none" w:sz="0" w:space="0" w:color="auto"/>
                                                <w:left w:val="none" w:sz="0" w:space="0" w:color="auto"/>
                                                <w:bottom w:val="none" w:sz="0" w:space="0" w:color="auto"/>
                                                <w:right w:val="none" w:sz="0" w:space="0" w:color="auto"/>
                                              </w:divBdr>
                                              <w:divsChild>
                                                <w:div w:id="442769739">
                                                  <w:marLeft w:val="0"/>
                                                  <w:marRight w:val="0"/>
                                                  <w:marTop w:val="0"/>
                                                  <w:marBottom w:val="0"/>
                                                  <w:divBdr>
                                                    <w:top w:val="none" w:sz="0" w:space="0" w:color="auto"/>
                                                    <w:left w:val="none" w:sz="0" w:space="0" w:color="auto"/>
                                                    <w:bottom w:val="none" w:sz="0" w:space="0" w:color="auto"/>
                                                    <w:right w:val="none" w:sz="0" w:space="0" w:color="auto"/>
                                                  </w:divBdr>
                                                  <w:divsChild>
                                                    <w:div w:id="837382619">
                                                      <w:marLeft w:val="0"/>
                                                      <w:marRight w:val="0"/>
                                                      <w:marTop w:val="0"/>
                                                      <w:marBottom w:val="0"/>
                                                      <w:divBdr>
                                                        <w:top w:val="none" w:sz="0" w:space="0" w:color="auto"/>
                                                        <w:left w:val="none" w:sz="0" w:space="0" w:color="auto"/>
                                                        <w:bottom w:val="none" w:sz="0" w:space="0" w:color="auto"/>
                                                        <w:right w:val="none" w:sz="0" w:space="0" w:color="auto"/>
                                                      </w:divBdr>
                                                      <w:divsChild>
                                                        <w:div w:id="776678731">
                                                          <w:marLeft w:val="0"/>
                                                          <w:marRight w:val="0"/>
                                                          <w:marTop w:val="0"/>
                                                          <w:marBottom w:val="0"/>
                                                          <w:divBdr>
                                                            <w:top w:val="none" w:sz="0" w:space="0" w:color="auto"/>
                                                            <w:left w:val="none" w:sz="0" w:space="0" w:color="auto"/>
                                                            <w:bottom w:val="none" w:sz="0" w:space="0" w:color="auto"/>
                                                            <w:right w:val="none" w:sz="0" w:space="0" w:color="auto"/>
                                                          </w:divBdr>
                                                          <w:divsChild>
                                                            <w:div w:id="1526362595">
                                                              <w:marLeft w:val="0"/>
                                                              <w:marRight w:val="0"/>
                                                              <w:marTop w:val="0"/>
                                                              <w:marBottom w:val="0"/>
                                                              <w:divBdr>
                                                                <w:top w:val="none" w:sz="0" w:space="0" w:color="auto"/>
                                                                <w:left w:val="none" w:sz="0" w:space="0" w:color="auto"/>
                                                                <w:bottom w:val="none" w:sz="0" w:space="0" w:color="auto"/>
                                                                <w:right w:val="none" w:sz="0" w:space="0" w:color="auto"/>
                                                              </w:divBdr>
                                                              <w:divsChild>
                                                                <w:div w:id="217136248">
                                                                  <w:marLeft w:val="0"/>
                                                                  <w:marRight w:val="0"/>
                                                                  <w:marTop w:val="0"/>
                                                                  <w:marBottom w:val="0"/>
                                                                  <w:divBdr>
                                                                    <w:top w:val="none" w:sz="0" w:space="0" w:color="auto"/>
                                                                    <w:left w:val="none" w:sz="0" w:space="0" w:color="auto"/>
                                                                    <w:bottom w:val="none" w:sz="0" w:space="0" w:color="auto"/>
                                                                    <w:right w:val="none" w:sz="0" w:space="0" w:color="auto"/>
                                                                  </w:divBdr>
                                                                  <w:divsChild>
                                                                    <w:div w:id="452676026">
                                                                      <w:marLeft w:val="0"/>
                                                                      <w:marRight w:val="0"/>
                                                                      <w:marTop w:val="0"/>
                                                                      <w:marBottom w:val="0"/>
                                                                      <w:divBdr>
                                                                        <w:top w:val="none" w:sz="0" w:space="0" w:color="auto"/>
                                                                        <w:left w:val="none" w:sz="0" w:space="0" w:color="auto"/>
                                                                        <w:bottom w:val="none" w:sz="0" w:space="0" w:color="auto"/>
                                                                        <w:right w:val="none" w:sz="0" w:space="0" w:color="auto"/>
                                                                      </w:divBdr>
                                                                      <w:divsChild>
                                                                        <w:div w:id="1398239247">
                                                                          <w:marLeft w:val="0"/>
                                                                          <w:marRight w:val="0"/>
                                                                          <w:marTop w:val="0"/>
                                                                          <w:marBottom w:val="0"/>
                                                                          <w:divBdr>
                                                                            <w:top w:val="none" w:sz="0" w:space="0" w:color="auto"/>
                                                                            <w:left w:val="none" w:sz="0" w:space="0" w:color="auto"/>
                                                                            <w:bottom w:val="none" w:sz="0" w:space="0" w:color="auto"/>
                                                                            <w:right w:val="none" w:sz="0" w:space="0" w:color="auto"/>
                                                                          </w:divBdr>
                                                                          <w:divsChild>
                                                                            <w:div w:id="2129690568">
                                                                              <w:marLeft w:val="0"/>
                                                                              <w:marRight w:val="0"/>
                                                                              <w:marTop w:val="0"/>
                                                                              <w:marBottom w:val="0"/>
                                                                              <w:divBdr>
                                                                                <w:top w:val="none" w:sz="0" w:space="0" w:color="auto"/>
                                                                                <w:left w:val="none" w:sz="0" w:space="0" w:color="auto"/>
                                                                                <w:bottom w:val="none" w:sz="0" w:space="0" w:color="auto"/>
                                                                                <w:right w:val="none" w:sz="0" w:space="0" w:color="auto"/>
                                                                              </w:divBdr>
                                                                              <w:divsChild>
                                                                                <w:div w:id="634068390">
                                                                                  <w:marLeft w:val="0"/>
                                                                                  <w:marRight w:val="0"/>
                                                                                  <w:marTop w:val="0"/>
                                                                                  <w:marBottom w:val="0"/>
                                                                                  <w:divBdr>
                                                                                    <w:top w:val="none" w:sz="0" w:space="0" w:color="auto"/>
                                                                                    <w:left w:val="none" w:sz="0" w:space="0" w:color="auto"/>
                                                                                    <w:bottom w:val="none" w:sz="0" w:space="0" w:color="auto"/>
                                                                                    <w:right w:val="none" w:sz="0" w:space="0" w:color="auto"/>
                                                                                  </w:divBdr>
                                                                                </w:div>
                                                                                <w:div w:id="1555312927">
                                                                                  <w:marLeft w:val="0"/>
                                                                                  <w:marRight w:val="0"/>
                                                                                  <w:marTop w:val="0"/>
                                                                                  <w:marBottom w:val="0"/>
                                                                                  <w:divBdr>
                                                                                    <w:top w:val="none" w:sz="0" w:space="0" w:color="auto"/>
                                                                                    <w:left w:val="none" w:sz="0" w:space="0" w:color="auto"/>
                                                                                    <w:bottom w:val="none" w:sz="0" w:space="0" w:color="auto"/>
                                                                                    <w:right w:val="none" w:sz="0" w:space="0" w:color="auto"/>
                                                                                  </w:divBdr>
                                                                                  <w:divsChild>
                                                                                    <w:div w:id="1924025733">
                                                                                      <w:marLeft w:val="0"/>
                                                                                      <w:marRight w:val="0"/>
                                                                                      <w:marTop w:val="0"/>
                                                                                      <w:marBottom w:val="0"/>
                                                                                      <w:divBdr>
                                                                                        <w:top w:val="none" w:sz="0" w:space="0" w:color="auto"/>
                                                                                        <w:left w:val="none" w:sz="0" w:space="0" w:color="auto"/>
                                                                                        <w:bottom w:val="none" w:sz="0" w:space="0" w:color="auto"/>
                                                                                        <w:right w:val="none" w:sz="0" w:space="0" w:color="auto"/>
                                                                                      </w:divBdr>
                                                                                    </w:div>
                                                                                    <w:div w:id="262107648">
                                                                                      <w:marLeft w:val="0"/>
                                                                                      <w:marRight w:val="0"/>
                                                                                      <w:marTop w:val="0"/>
                                                                                      <w:marBottom w:val="0"/>
                                                                                      <w:divBdr>
                                                                                        <w:top w:val="none" w:sz="0" w:space="0" w:color="auto"/>
                                                                                        <w:left w:val="none" w:sz="0" w:space="0" w:color="auto"/>
                                                                                        <w:bottom w:val="none" w:sz="0" w:space="0" w:color="auto"/>
                                                                                        <w:right w:val="none" w:sz="0" w:space="0" w:color="auto"/>
                                                                                      </w:divBdr>
                                                                                    </w:div>
                                                                                    <w:div w:id="1376732823">
                                                                                      <w:marLeft w:val="0"/>
                                                                                      <w:marRight w:val="0"/>
                                                                                      <w:marTop w:val="0"/>
                                                                                      <w:marBottom w:val="0"/>
                                                                                      <w:divBdr>
                                                                                        <w:top w:val="none" w:sz="0" w:space="0" w:color="auto"/>
                                                                                        <w:left w:val="none" w:sz="0" w:space="0" w:color="auto"/>
                                                                                        <w:bottom w:val="none" w:sz="0" w:space="0" w:color="auto"/>
                                                                                        <w:right w:val="none" w:sz="0" w:space="0" w:color="auto"/>
                                                                                      </w:divBdr>
                                                                                    </w:div>
                                                                                    <w:div w:id="1274479647">
                                                                                      <w:marLeft w:val="0"/>
                                                                                      <w:marRight w:val="0"/>
                                                                                      <w:marTop w:val="0"/>
                                                                                      <w:marBottom w:val="0"/>
                                                                                      <w:divBdr>
                                                                                        <w:top w:val="none" w:sz="0" w:space="0" w:color="auto"/>
                                                                                        <w:left w:val="none" w:sz="0" w:space="0" w:color="auto"/>
                                                                                        <w:bottom w:val="none" w:sz="0" w:space="0" w:color="auto"/>
                                                                                        <w:right w:val="none" w:sz="0" w:space="0" w:color="auto"/>
                                                                                      </w:divBdr>
                                                                                    </w:div>
                                                                                    <w:div w:id="402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611178">
      <w:bodyDiv w:val="1"/>
      <w:marLeft w:val="0"/>
      <w:marRight w:val="0"/>
      <w:marTop w:val="0"/>
      <w:marBottom w:val="0"/>
      <w:divBdr>
        <w:top w:val="none" w:sz="0" w:space="0" w:color="auto"/>
        <w:left w:val="none" w:sz="0" w:space="0" w:color="auto"/>
        <w:bottom w:val="none" w:sz="0" w:space="0" w:color="auto"/>
        <w:right w:val="none" w:sz="0" w:space="0" w:color="auto"/>
      </w:divBdr>
    </w:div>
    <w:div w:id="655498830">
      <w:bodyDiv w:val="1"/>
      <w:marLeft w:val="0"/>
      <w:marRight w:val="0"/>
      <w:marTop w:val="0"/>
      <w:marBottom w:val="0"/>
      <w:divBdr>
        <w:top w:val="none" w:sz="0" w:space="0" w:color="auto"/>
        <w:left w:val="none" w:sz="0" w:space="0" w:color="auto"/>
        <w:bottom w:val="none" w:sz="0" w:space="0" w:color="auto"/>
        <w:right w:val="none" w:sz="0" w:space="0" w:color="auto"/>
      </w:divBdr>
    </w:div>
    <w:div w:id="661128077">
      <w:bodyDiv w:val="1"/>
      <w:marLeft w:val="0"/>
      <w:marRight w:val="0"/>
      <w:marTop w:val="0"/>
      <w:marBottom w:val="0"/>
      <w:divBdr>
        <w:top w:val="none" w:sz="0" w:space="0" w:color="auto"/>
        <w:left w:val="none" w:sz="0" w:space="0" w:color="auto"/>
        <w:bottom w:val="none" w:sz="0" w:space="0" w:color="auto"/>
        <w:right w:val="none" w:sz="0" w:space="0" w:color="auto"/>
      </w:divBdr>
    </w:div>
    <w:div w:id="869878636">
      <w:bodyDiv w:val="1"/>
      <w:marLeft w:val="0"/>
      <w:marRight w:val="0"/>
      <w:marTop w:val="0"/>
      <w:marBottom w:val="0"/>
      <w:divBdr>
        <w:top w:val="none" w:sz="0" w:space="0" w:color="auto"/>
        <w:left w:val="none" w:sz="0" w:space="0" w:color="auto"/>
        <w:bottom w:val="none" w:sz="0" w:space="0" w:color="auto"/>
        <w:right w:val="none" w:sz="0" w:space="0" w:color="auto"/>
      </w:divBdr>
    </w:div>
    <w:div w:id="938180480">
      <w:bodyDiv w:val="1"/>
      <w:marLeft w:val="0"/>
      <w:marRight w:val="0"/>
      <w:marTop w:val="0"/>
      <w:marBottom w:val="0"/>
      <w:divBdr>
        <w:top w:val="none" w:sz="0" w:space="0" w:color="auto"/>
        <w:left w:val="none" w:sz="0" w:space="0" w:color="auto"/>
        <w:bottom w:val="none" w:sz="0" w:space="0" w:color="auto"/>
        <w:right w:val="none" w:sz="0" w:space="0" w:color="auto"/>
      </w:divBdr>
    </w:div>
    <w:div w:id="1010645870">
      <w:bodyDiv w:val="1"/>
      <w:marLeft w:val="0"/>
      <w:marRight w:val="0"/>
      <w:marTop w:val="0"/>
      <w:marBottom w:val="0"/>
      <w:divBdr>
        <w:top w:val="none" w:sz="0" w:space="0" w:color="auto"/>
        <w:left w:val="none" w:sz="0" w:space="0" w:color="auto"/>
        <w:bottom w:val="none" w:sz="0" w:space="0" w:color="auto"/>
        <w:right w:val="none" w:sz="0" w:space="0" w:color="auto"/>
      </w:divBdr>
    </w:div>
    <w:div w:id="1028064250">
      <w:bodyDiv w:val="1"/>
      <w:marLeft w:val="0"/>
      <w:marRight w:val="0"/>
      <w:marTop w:val="0"/>
      <w:marBottom w:val="0"/>
      <w:divBdr>
        <w:top w:val="none" w:sz="0" w:space="0" w:color="auto"/>
        <w:left w:val="none" w:sz="0" w:space="0" w:color="auto"/>
        <w:bottom w:val="none" w:sz="0" w:space="0" w:color="auto"/>
        <w:right w:val="none" w:sz="0" w:space="0" w:color="auto"/>
      </w:divBdr>
    </w:div>
    <w:div w:id="1048802630">
      <w:bodyDiv w:val="1"/>
      <w:marLeft w:val="0"/>
      <w:marRight w:val="0"/>
      <w:marTop w:val="0"/>
      <w:marBottom w:val="0"/>
      <w:divBdr>
        <w:top w:val="none" w:sz="0" w:space="0" w:color="auto"/>
        <w:left w:val="none" w:sz="0" w:space="0" w:color="auto"/>
        <w:bottom w:val="none" w:sz="0" w:space="0" w:color="auto"/>
        <w:right w:val="none" w:sz="0" w:space="0" w:color="auto"/>
      </w:divBdr>
      <w:divsChild>
        <w:div w:id="425998078">
          <w:marLeft w:val="0"/>
          <w:marRight w:val="0"/>
          <w:marTop w:val="0"/>
          <w:marBottom w:val="0"/>
          <w:divBdr>
            <w:top w:val="none" w:sz="0" w:space="0" w:color="auto"/>
            <w:left w:val="none" w:sz="0" w:space="0" w:color="auto"/>
            <w:bottom w:val="none" w:sz="0" w:space="0" w:color="auto"/>
            <w:right w:val="none" w:sz="0" w:space="0" w:color="auto"/>
          </w:divBdr>
          <w:divsChild>
            <w:div w:id="946694449">
              <w:marLeft w:val="0"/>
              <w:marRight w:val="0"/>
              <w:marTop w:val="0"/>
              <w:marBottom w:val="0"/>
              <w:divBdr>
                <w:top w:val="none" w:sz="0" w:space="0" w:color="auto"/>
                <w:left w:val="none" w:sz="0" w:space="0" w:color="auto"/>
                <w:bottom w:val="none" w:sz="0" w:space="0" w:color="auto"/>
                <w:right w:val="none" w:sz="0" w:space="0" w:color="auto"/>
              </w:divBdr>
              <w:divsChild>
                <w:div w:id="177426289">
                  <w:marLeft w:val="0"/>
                  <w:marRight w:val="0"/>
                  <w:marTop w:val="0"/>
                  <w:marBottom w:val="0"/>
                  <w:divBdr>
                    <w:top w:val="none" w:sz="0" w:space="0" w:color="auto"/>
                    <w:left w:val="none" w:sz="0" w:space="0" w:color="auto"/>
                    <w:bottom w:val="none" w:sz="0" w:space="0" w:color="auto"/>
                    <w:right w:val="none" w:sz="0" w:space="0" w:color="auto"/>
                  </w:divBdr>
                  <w:divsChild>
                    <w:div w:id="1029841853">
                      <w:marLeft w:val="0"/>
                      <w:marRight w:val="0"/>
                      <w:marTop w:val="0"/>
                      <w:marBottom w:val="0"/>
                      <w:divBdr>
                        <w:top w:val="none" w:sz="0" w:space="0" w:color="auto"/>
                        <w:left w:val="none" w:sz="0" w:space="0" w:color="auto"/>
                        <w:bottom w:val="none" w:sz="0" w:space="0" w:color="auto"/>
                        <w:right w:val="none" w:sz="0" w:space="0" w:color="auto"/>
                      </w:divBdr>
                      <w:divsChild>
                        <w:div w:id="462429815">
                          <w:marLeft w:val="0"/>
                          <w:marRight w:val="0"/>
                          <w:marTop w:val="0"/>
                          <w:marBottom w:val="0"/>
                          <w:divBdr>
                            <w:top w:val="none" w:sz="0" w:space="0" w:color="auto"/>
                            <w:left w:val="none" w:sz="0" w:space="0" w:color="auto"/>
                            <w:bottom w:val="none" w:sz="0" w:space="0" w:color="auto"/>
                            <w:right w:val="none" w:sz="0" w:space="0" w:color="auto"/>
                          </w:divBdr>
                          <w:divsChild>
                            <w:div w:id="1317152625">
                              <w:marLeft w:val="12300"/>
                              <w:marRight w:val="0"/>
                              <w:marTop w:val="0"/>
                              <w:marBottom w:val="0"/>
                              <w:divBdr>
                                <w:top w:val="none" w:sz="0" w:space="0" w:color="auto"/>
                                <w:left w:val="none" w:sz="0" w:space="0" w:color="auto"/>
                                <w:bottom w:val="none" w:sz="0" w:space="0" w:color="auto"/>
                                <w:right w:val="none" w:sz="0" w:space="0" w:color="auto"/>
                              </w:divBdr>
                              <w:divsChild>
                                <w:div w:id="983194455">
                                  <w:marLeft w:val="0"/>
                                  <w:marRight w:val="0"/>
                                  <w:marTop w:val="0"/>
                                  <w:marBottom w:val="0"/>
                                  <w:divBdr>
                                    <w:top w:val="none" w:sz="0" w:space="0" w:color="auto"/>
                                    <w:left w:val="none" w:sz="0" w:space="0" w:color="auto"/>
                                    <w:bottom w:val="none" w:sz="0" w:space="0" w:color="auto"/>
                                    <w:right w:val="none" w:sz="0" w:space="0" w:color="auto"/>
                                  </w:divBdr>
                                  <w:divsChild>
                                    <w:div w:id="1169757394">
                                      <w:marLeft w:val="0"/>
                                      <w:marRight w:val="0"/>
                                      <w:marTop w:val="0"/>
                                      <w:marBottom w:val="390"/>
                                      <w:divBdr>
                                        <w:top w:val="none" w:sz="0" w:space="0" w:color="auto"/>
                                        <w:left w:val="none" w:sz="0" w:space="0" w:color="auto"/>
                                        <w:bottom w:val="none" w:sz="0" w:space="0" w:color="auto"/>
                                        <w:right w:val="none" w:sz="0" w:space="0" w:color="auto"/>
                                      </w:divBdr>
                                      <w:divsChild>
                                        <w:div w:id="823932984">
                                          <w:marLeft w:val="0"/>
                                          <w:marRight w:val="0"/>
                                          <w:marTop w:val="0"/>
                                          <w:marBottom w:val="0"/>
                                          <w:divBdr>
                                            <w:top w:val="none" w:sz="0" w:space="0" w:color="auto"/>
                                            <w:left w:val="none" w:sz="0" w:space="0" w:color="auto"/>
                                            <w:bottom w:val="none" w:sz="0" w:space="0" w:color="auto"/>
                                            <w:right w:val="none" w:sz="0" w:space="0" w:color="auto"/>
                                          </w:divBdr>
                                          <w:divsChild>
                                            <w:div w:id="1609460308">
                                              <w:marLeft w:val="0"/>
                                              <w:marRight w:val="0"/>
                                              <w:marTop w:val="0"/>
                                              <w:marBottom w:val="0"/>
                                              <w:divBdr>
                                                <w:top w:val="none" w:sz="0" w:space="0" w:color="auto"/>
                                                <w:left w:val="none" w:sz="0" w:space="0" w:color="auto"/>
                                                <w:bottom w:val="none" w:sz="0" w:space="0" w:color="auto"/>
                                                <w:right w:val="none" w:sz="0" w:space="0" w:color="auto"/>
                                              </w:divBdr>
                                              <w:divsChild>
                                                <w:div w:id="139157323">
                                                  <w:marLeft w:val="0"/>
                                                  <w:marRight w:val="0"/>
                                                  <w:marTop w:val="0"/>
                                                  <w:marBottom w:val="0"/>
                                                  <w:divBdr>
                                                    <w:top w:val="none" w:sz="0" w:space="0" w:color="auto"/>
                                                    <w:left w:val="none" w:sz="0" w:space="0" w:color="auto"/>
                                                    <w:bottom w:val="none" w:sz="0" w:space="0" w:color="auto"/>
                                                    <w:right w:val="none" w:sz="0" w:space="0" w:color="auto"/>
                                                  </w:divBdr>
                                                  <w:divsChild>
                                                    <w:div w:id="821626590">
                                                      <w:marLeft w:val="0"/>
                                                      <w:marRight w:val="0"/>
                                                      <w:marTop w:val="0"/>
                                                      <w:marBottom w:val="0"/>
                                                      <w:divBdr>
                                                        <w:top w:val="none" w:sz="0" w:space="0" w:color="auto"/>
                                                        <w:left w:val="none" w:sz="0" w:space="0" w:color="auto"/>
                                                        <w:bottom w:val="none" w:sz="0" w:space="0" w:color="auto"/>
                                                        <w:right w:val="none" w:sz="0" w:space="0" w:color="auto"/>
                                                      </w:divBdr>
                                                      <w:divsChild>
                                                        <w:div w:id="1537697110">
                                                          <w:marLeft w:val="0"/>
                                                          <w:marRight w:val="0"/>
                                                          <w:marTop w:val="0"/>
                                                          <w:marBottom w:val="0"/>
                                                          <w:divBdr>
                                                            <w:top w:val="none" w:sz="0" w:space="0" w:color="auto"/>
                                                            <w:left w:val="none" w:sz="0" w:space="0" w:color="auto"/>
                                                            <w:bottom w:val="none" w:sz="0" w:space="0" w:color="auto"/>
                                                            <w:right w:val="none" w:sz="0" w:space="0" w:color="auto"/>
                                                          </w:divBdr>
                                                          <w:divsChild>
                                                            <w:div w:id="1041124870">
                                                              <w:marLeft w:val="0"/>
                                                              <w:marRight w:val="0"/>
                                                              <w:marTop w:val="0"/>
                                                              <w:marBottom w:val="0"/>
                                                              <w:divBdr>
                                                                <w:top w:val="none" w:sz="0" w:space="0" w:color="auto"/>
                                                                <w:left w:val="none" w:sz="0" w:space="0" w:color="auto"/>
                                                                <w:bottom w:val="none" w:sz="0" w:space="0" w:color="auto"/>
                                                                <w:right w:val="none" w:sz="0" w:space="0" w:color="auto"/>
                                                              </w:divBdr>
                                                              <w:divsChild>
                                                                <w:div w:id="799570414">
                                                                  <w:marLeft w:val="0"/>
                                                                  <w:marRight w:val="0"/>
                                                                  <w:marTop w:val="0"/>
                                                                  <w:marBottom w:val="0"/>
                                                                  <w:divBdr>
                                                                    <w:top w:val="none" w:sz="0" w:space="0" w:color="auto"/>
                                                                    <w:left w:val="none" w:sz="0" w:space="0" w:color="auto"/>
                                                                    <w:bottom w:val="none" w:sz="0" w:space="0" w:color="auto"/>
                                                                    <w:right w:val="none" w:sz="0" w:space="0" w:color="auto"/>
                                                                  </w:divBdr>
                                                                  <w:divsChild>
                                                                    <w:div w:id="1776369006">
                                                                      <w:marLeft w:val="0"/>
                                                                      <w:marRight w:val="0"/>
                                                                      <w:marTop w:val="0"/>
                                                                      <w:marBottom w:val="0"/>
                                                                      <w:divBdr>
                                                                        <w:top w:val="none" w:sz="0" w:space="0" w:color="auto"/>
                                                                        <w:left w:val="none" w:sz="0" w:space="0" w:color="auto"/>
                                                                        <w:bottom w:val="none" w:sz="0" w:space="0" w:color="auto"/>
                                                                        <w:right w:val="none" w:sz="0" w:space="0" w:color="auto"/>
                                                                      </w:divBdr>
                                                                      <w:divsChild>
                                                                        <w:div w:id="335772163">
                                                                          <w:marLeft w:val="0"/>
                                                                          <w:marRight w:val="0"/>
                                                                          <w:marTop w:val="0"/>
                                                                          <w:marBottom w:val="0"/>
                                                                          <w:divBdr>
                                                                            <w:top w:val="none" w:sz="0" w:space="0" w:color="auto"/>
                                                                            <w:left w:val="none" w:sz="0" w:space="0" w:color="auto"/>
                                                                            <w:bottom w:val="none" w:sz="0" w:space="0" w:color="auto"/>
                                                                            <w:right w:val="none" w:sz="0" w:space="0" w:color="auto"/>
                                                                          </w:divBdr>
                                                                          <w:divsChild>
                                                                            <w:div w:id="1040931510">
                                                                              <w:marLeft w:val="0"/>
                                                                              <w:marRight w:val="0"/>
                                                                              <w:marTop w:val="0"/>
                                                                              <w:marBottom w:val="0"/>
                                                                              <w:divBdr>
                                                                                <w:top w:val="none" w:sz="0" w:space="0" w:color="auto"/>
                                                                                <w:left w:val="none" w:sz="0" w:space="0" w:color="auto"/>
                                                                                <w:bottom w:val="none" w:sz="0" w:space="0" w:color="auto"/>
                                                                                <w:right w:val="none" w:sz="0" w:space="0" w:color="auto"/>
                                                                              </w:divBdr>
                                                                              <w:divsChild>
                                                                                <w:div w:id="1111824903">
                                                                                  <w:marLeft w:val="0"/>
                                                                                  <w:marRight w:val="0"/>
                                                                                  <w:marTop w:val="0"/>
                                                                                  <w:marBottom w:val="0"/>
                                                                                  <w:divBdr>
                                                                                    <w:top w:val="none" w:sz="0" w:space="0" w:color="auto"/>
                                                                                    <w:left w:val="none" w:sz="0" w:space="0" w:color="auto"/>
                                                                                    <w:bottom w:val="none" w:sz="0" w:space="0" w:color="auto"/>
                                                                                    <w:right w:val="none" w:sz="0" w:space="0" w:color="auto"/>
                                                                                  </w:divBdr>
                                                                                </w:div>
                                                                                <w:div w:id="42095553">
                                                                                  <w:marLeft w:val="0"/>
                                                                                  <w:marRight w:val="0"/>
                                                                                  <w:marTop w:val="0"/>
                                                                                  <w:marBottom w:val="0"/>
                                                                                  <w:divBdr>
                                                                                    <w:top w:val="none" w:sz="0" w:space="0" w:color="auto"/>
                                                                                    <w:left w:val="none" w:sz="0" w:space="0" w:color="auto"/>
                                                                                    <w:bottom w:val="none" w:sz="0" w:space="0" w:color="auto"/>
                                                                                    <w:right w:val="none" w:sz="0" w:space="0" w:color="auto"/>
                                                                                  </w:divBdr>
                                                                                  <w:divsChild>
                                                                                    <w:div w:id="2083529427">
                                                                                      <w:marLeft w:val="0"/>
                                                                                      <w:marRight w:val="0"/>
                                                                                      <w:marTop w:val="0"/>
                                                                                      <w:marBottom w:val="0"/>
                                                                                      <w:divBdr>
                                                                                        <w:top w:val="none" w:sz="0" w:space="0" w:color="auto"/>
                                                                                        <w:left w:val="none" w:sz="0" w:space="0" w:color="auto"/>
                                                                                        <w:bottom w:val="none" w:sz="0" w:space="0" w:color="auto"/>
                                                                                        <w:right w:val="none" w:sz="0" w:space="0" w:color="auto"/>
                                                                                      </w:divBdr>
                                                                                    </w:div>
                                                                                    <w:div w:id="2034724055">
                                                                                      <w:marLeft w:val="0"/>
                                                                                      <w:marRight w:val="0"/>
                                                                                      <w:marTop w:val="0"/>
                                                                                      <w:marBottom w:val="0"/>
                                                                                      <w:divBdr>
                                                                                        <w:top w:val="none" w:sz="0" w:space="0" w:color="auto"/>
                                                                                        <w:left w:val="none" w:sz="0" w:space="0" w:color="auto"/>
                                                                                        <w:bottom w:val="none" w:sz="0" w:space="0" w:color="auto"/>
                                                                                        <w:right w:val="none" w:sz="0" w:space="0" w:color="auto"/>
                                                                                      </w:divBdr>
                                                                                    </w:div>
                                                                                    <w:div w:id="1062292346">
                                                                                      <w:marLeft w:val="0"/>
                                                                                      <w:marRight w:val="0"/>
                                                                                      <w:marTop w:val="0"/>
                                                                                      <w:marBottom w:val="0"/>
                                                                                      <w:divBdr>
                                                                                        <w:top w:val="none" w:sz="0" w:space="0" w:color="auto"/>
                                                                                        <w:left w:val="none" w:sz="0" w:space="0" w:color="auto"/>
                                                                                        <w:bottom w:val="none" w:sz="0" w:space="0" w:color="auto"/>
                                                                                        <w:right w:val="none" w:sz="0" w:space="0" w:color="auto"/>
                                                                                      </w:divBdr>
                                                                                    </w:div>
                                                                                    <w:div w:id="1679039971">
                                                                                      <w:marLeft w:val="0"/>
                                                                                      <w:marRight w:val="0"/>
                                                                                      <w:marTop w:val="0"/>
                                                                                      <w:marBottom w:val="0"/>
                                                                                      <w:divBdr>
                                                                                        <w:top w:val="none" w:sz="0" w:space="0" w:color="auto"/>
                                                                                        <w:left w:val="none" w:sz="0" w:space="0" w:color="auto"/>
                                                                                        <w:bottom w:val="none" w:sz="0" w:space="0" w:color="auto"/>
                                                                                        <w:right w:val="none" w:sz="0" w:space="0" w:color="auto"/>
                                                                                      </w:divBdr>
                                                                                    </w:div>
                                                                                    <w:div w:id="8957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6873855">
      <w:bodyDiv w:val="1"/>
      <w:marLeft w:val="0"/>
      <w:marRight w:val="0"/>
      <w:marTop w:val="0"/>
      <w:marBottom w:val="0"/>
      <w:divBdr>
        <w:top w:val="none" w:sz="0" w:space="0" w:color="auto"/>
        <w:left w:val="none" w:sz="0" w:space="0" w:color="auto"/>
        <w:bottom w:val="none" w:sz="0" w:space="0" w:color="auto"/>
        <w:right w:val="none" w:sz="0" w:space="0" w:color="auto"/>
      </w:divBdr>
    </w:div>
    <w:div w:id="1228304474">
      <w:bodyDiv w:val="1"/>
      <w:marLeft w:val="0"/>
      <w:marRight w:val="0"/>
      <w:marTop w:val="0"/>
      <w:marBottom w:val="0"/>
      <w:divBdr>
        <w:top w:val="none" w:sz="0" w:space="0" w:color="auto"/>
        <w:left w:val="none" w:sz="0" w:space="0" w:color="auto"/>
        <w:bottom w:val="none" w:sz="0" w:space="0" w:color="auto"/>
        <w:right w:val="none" w:sz="0" w:space="0" w:color="auto"/>
      </w:divBdr>
    </w:div>
    <w:div w:id="1297222128">
      <w:bodyDiv w:val="1"/>
      <w:marLeft w:val="0"/>
      <w:marRight w:val="0"/>
      <w:marTop w:val="0"/>
      <w:marBottom w:val="0"/>
      <w:divBdr>
        <w:top w:val="none" w:sz="0" w:space="0" w:color="auto"/>
        <w:left w:val="none" w:sz="0" w:space="0" w:color="auto"/>
        <w:bottom w:val="none" w:sz="0" w:space="0" w:color="auto"/>
        <w:right w:val="none" w:sz="0" w:space="0" w:color="auto"/>
      </w:divBdr>
    </w:div>
    <w:div w:id="1334990336">
      <w:bodyDiv w:val="1"/>
      <w:marLeft w:val="0"/>
      <w:marRight w:val="0"/>
      <w:marTop w:val="0"/>
      <w:marBottom w:val="0"/>
      <w:divBdr>
        <w:top w:val="none" w:sz="0" w:space="0" w:color="auto"/>
        <w:left w:val="none" w:sz="0" w:space="0" w:color="auto"/>
        <w:bottom w:val="none" w:sz="0" w:space="0" w:color="auto"/>
        <w:right w:val="none" w:sz="0" w:space="0" w:color="auto"/>
      </w:divBdr>
    </w:div>
    <w:div w:id="1398282209">
      <w:bodyDiv w:val="1"/>
      <w:marLeft w:val="0"/>
      <w:marRight w:val="0"/>
      <w:marTop w:val="0"/>
      <w:marBottom w:val="0"/>
      <w:divBdr>
        <w:top w:val="none" w:sz="0" w:space="0" w:color="auto"/>
        <w:left w:val="none" w:sz="0" w:space="0" w:color="auto"/>
        <w:bottom w:val="none" w:sz="0" w:space="0" w:color="auto"/>
        <w:right w:val="none" w:sz="0" w:space="0" w:color="auto"/>
      </w:divBdr>
      <w:divsChild>
        <w:div w:id="421265677">
          <w:marLeft w:val="0"/>
          <w:marRight w:val="0"/>
          <w:marTop w:val="0"/>
          <w:marBottom w:val="0"/>
          <w:divBdr>
            <w:top w:val="none" w:sz="0" w:space="0" w:color="auto"/>
            <w:left w:val="none" w:sz="0" w:space="0" w:color="auto"/>
            <w:bottom w:val="none" w:sz="0" w:space="0" w:color="auto"/>
            <w:right w:val="none" w:sz="0" w:space="0" w:color="auto"/>
          </w:divBdr>
          <w:divsChild>
            <w:div w:id="1617911338">
              <w:marLeft w:val="0"/>
              <w:marRight w:val="0"/>
              <w:marTop w:val="0"/>
              <w:marBottom w:val="0"/>
              <w:divBdr>
                <w:top w:val="none" w:sz="0" w:space="0" w:color="auto"/>
                <w:left w:val="none" w:sz="0" w:space="0" w:color="auto"/>
                <w:bottom w:val="none" w:sz="0" w:space="0" w:color="auto"/>
                <w:right w:val="none" w:sz="0" w:space="0" w:color="auto"/>
              </w:divBdr>
              <w:divsChild>
                <w:div w:id="2070112596">
                  <w:marLeft w:val="0"/>
                  <w:marRight w:val="0"/>
                  <w:marTop w:val="0"/>
                  <w:marBottom w:val="0"/>
                  <w:divBdr>
                    <w:top w:val="none" w:sz="0" w:space="0" w:color="auto"/>
                    <w:left w:val="none" w:sz="0" w:space="0" w:color="auto"/>
                    <w:bottom w:val="none" w:sz="0" w:space="0" w:color="auto"/>
                    <w:right w:val="none" w:sz="0" w:space="0" w:color="auto"/>
                  </w:divBdr>
                  <w:divsChild>
                    <w:div w:id="654184004">
                      <w:marLeft w:val="0"/>
                      <w:marRight w:val="0"/>
                      <w:marTop w:val="0"/>
                      <w:marBottom w:val="0"/>
                      <w:divBdr>
                        <w:top w:val="none" w:sz="0" w:space="0" w:color="auto"/>
                        <w:left w:val="none" w:sz="0" w:space="0" w:color="auto"/>
                        <w:bottom w:val="none" w:sz="0" w:space="0" w:color="auto"/>
                        <w:right w:val="none" w:sz="0" w:space="0" w:color="auto"/>
                      </w:divBdr>
                    </w:div>
                    <w:div w:id="13273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867543">
      <w:bodyDiv w:val="1"/>
      <w:marLeft w:val="0"/>
      <w:marRight w:val="0"/>
      <w:marTop w:val="0"/>
      <w:marBottom w:val="0"/>
      <w:divBdr>
        <w:top w:val="none" w:sz="0" w:space="0" w:color="auto"/>
        <w:left w:val="none" w:sz="0" w:space="0" w:color="auto"/>
        <w:bottom w:val="none" w:sz="0" w:space="0" w:color="auto"/>
        <w:right w:val="none" w:sz="0" w:space="0" w:color="auto"/>
      </w:divBdr>
    </w:div>
    <w:div w:id="1401293316">
      <w:bodyDiv w:val="1"/>
      <w:marLeft w:val="0"/>
      <w:marRight w:val="0"/>
      <w:marTop w:val="0"/>
      <w:marBottom w:val="0"/>
      <w:divBdr>
        <w:top w:val="none" w:sz="0" w:space="0" w:color="auto"/>
        <w:left w:val="none" w:sz="0" w:space="0" w:color="auto"/>
        <w:bottom w:val="none" w:sz="0" w:space="0" w:color="auto"/>
        <w:right w:val="none" w:sz="0" w:space="0" w:color="auto"/>
      </w:divBdr>
    </w:div>
    <w:div w:id="1581865173">
      <w:bodyDiv w:val="1"/>
      <w:marLeft w:val="0"/>
      <w:marRight w:val="0"/>
      <w:marTop w:val="0"/>
      <w:marBottom w:val="0"/>
      <w:divBdr>
        <w:top w:val="none" w:sz="0" w:space="0" w:color="auto"/>
        <w:left w:val="none" w:sz="0" w:space="0" w:color="auto"/>
        <w:bottom w:val="none" w:sz="0" w:space="0" w:color="auto"/>
        <w:right w:val="none" w:sz="0" w:space="0" w:color="auto"/>
      </w:divBdr>
    </w:div>
    <w:div w:id="1624920695">
      <w:bodyDiv w:val="1"/>
      <w:marLeft w:val="0"/>
      <w:marRight w:val="0"/>
      <w:marTop w:val="0"/>
      <w:marBottom w:val="0"/>
      <w:divBdr>
        <w:top w:val="none" w:sz="0" w:space="0" w:color="auto"/>
        <w:left w:val="none" w:sz="0" w:space="0" w:color="auto"/>
        <w:bottom w:val="none" w:sz="0" w:space="0" w:color="auto"/>
        <w:right w:val="none" w:sz="0" w:space="0" w:color="auto"/>
      </w:divBdr>
    </w:div>
    <w:div w:id="1640377372">
      <w:bodyDiv w:val="1"/>
      <w:marLeft w:val="0"/>
      <w:marRight w:val="0"/>
      <w:marTop w:val="0"/>
      <w:marBottom w:val="0"/>
      <w:divBdr>
        <w:top w:val="none" w:sz="0" w:space="0" w:color="auto"/>
        <w:left w:val="none" w:sz="0" w:space="0" w:color="auto"/>
        <w:bottom w:val="none" w:sz="0" w:space="0" w:color="auto"/>
        <w:right w:val="none" w:sz="0" w:space="0" w:color="auto"/>
      </w:divBdr>
    </w:div>
    <w:div w:id="1656105247">
      <w:bodyDiv w:val="1"/>
      <w:marLeft w:val="0"/>
      <w:marRight w:val="0"/>
      <w:marTop w:val="0"/>
      <w:marBottom w:val="0"/>
      <w:divBdr>
        <w:top w:val="none" w:sz="0" w:space="0" w:color="auto"/>
        <w:left w:val="none" w:sz="0" w:space="0" w:color="auto"/>
        <w:bottom w:val="none" w:sz="0" w:space="0" w:color="auto"/>
        <w:right w:val="none" w:sz="0" w:space="0" w:color="auto"/>
      </w:divBdr>
      <w:divsChild>
        <w:div w:id="688679706">
          <w:marLeft w:val="0"/>
          <w:marRight w:val="0"/>
          <w:marTop w:val="0"/>
          <w:marBottom w:val="0"/>
          <w:divBdr>
            <w:top w:val="none" w:sz="0" w:space="0" w:color="auto"/>
            <w:left w:val="none" w:sz="0" w:space="0" w:color="auto"/>
            <w:bottom w:val="none" w:sz="0" w:space="0" w:color="auto"/>
            <w:right w:val="none" w:sz="0" w:space="0" w:color="auto"/>
          </w:divBdr>
          <w:divsChild>
            <w:div w:id="1566065756">
              <w:marLeft w:val="0"/>
              <w:marRight w:val="0"/>
              <w:marTop w:val="0"/>
              <w:marBottom w:val="0"/>
              <w:divBdr>
                <w:top w:val="none" w:sz="0" w:space="0" w:color="auto"/>
                <w:left w:val="none" w:sz="0" w:space="0" w:color="auto"/>
                <w:bottom w:val="none" w:sz="0" w:space="0" w:color="auto"/>
                <w:right w:val="none" w:sz="0" w:space="0" w:color="auto"/>
              </w:divBdr>
              <w:divsChild>
                <w:div w:id="664474341">
                  <w:marLeft w:val="0"/>
                  <w:marRight w:val="0"/>
                  <w:marTop w:val="0"/>
                  <w:marBottom w:val="0"/>
                  <w:divBdr>
                    <w:top w:val="none" w:sz="0" w:space="0" w:color="auto"/>
                    <w:left w:val="none" w:sz="0" w:space="0" w:color="auto"/>
                    <w:bottom w:val="none" w:sz="0" w:space="0" w:color="auto"/>
                    <w:right w:val="none" w:sz="0" w:space="0" w:color="auto"/>
                  </w:divBdr>
                  <w:divsChild>
                    <w:div w:id="1876117600">
                      <w:marLeft w:val="0"/>
                      <w:marRight w:val="0"/>
                      <w:marTop w:val="0"/>
                      <w:marBottom w:val="0"/>
                      <w:divBdr>
                        <w:top w:val="none" w:sz="0" w:space="0" w:color="auto"/>
                        <w:left w:val="none" w:sz="0" w:space="0" w:color="auto"/>
                        <w:bottom w:val="none" w:sz="0" w:space="0" w:color="auto"/>
                        <w:right w:val="none" w:sz="0" w:space="0" w:color="auto"/>
                      </w:divBdr>
                      <w:divsChild>
                        <w:div w:id="394008974">
                          <w:marLeft w:val="0"/>
                          <w:marRight w:val="0"/>
                          <w:marTop w:val="0"/>
                          <w:marBottom w:val="0"/>
                          <w:divBdr>
                            <w:top w:val="none" w:sz="0" w:space="0" w:color="auto"/>
                            <w:left w:val="none" w:sz="0" w:space="0" w:color="auto"/>
                            <w:bottom w:val="none" w:sz="0" w:space="0" w:color="auto"/>
                            <w:right w:val="none" w:sz="0" w:space="0" w:color="auto"/>
                          </w:divBdr>
                          <w:divsChild>
                            <w:div w:id="627011405">
                              <w:marLeft w:val="0"/>
                              <w:marRight w:val="0"/>
                              <w:marTop w:val="0"/>
                              <w:marBottom w:val="0"/>
                              <w:divBdr>
                                <w:top w:val="none" w:sz="0" w:space="0" w:color="auto"/>
                                <w:left w:val="none" w:sz="0" w:space="0" w:color="auto"/>
                                <w:bottom w:val="none" w:sz="0" w:space="0" w:color="auto"/>
                                <w:right w:val="none" w:sz="0" w:space="0" w:color="auto"/>
                              </w:divBdr>
                              <w:divsChild>
                                <w:div w:id="428742905">
                                  <w:marLeft w:val="0"/>
                                  <w:marRight w:val="0"/>
                                  <w:marTop w:val="0"/>
                                  <w:marBottom w:val="0"/>
                                  <w:divBdr>
                                    <w:top w:val="none" w:sz="0" w:space="0" w:color="auto"/>
                                    <w:left w:val="none" w:sz="0" w:space="0" w:color="auto"/>
                                    <w:bottom w:val="none" w:sz="0" w:space="0" w:color="auto"/>
                                    <w:right w:val="none" w:sz="0" w:space="0" w:color="auto"/>
                                  </w:divBdr>
                                  <w:divsChild>
                                    <w:div w:id="167884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864798">
      <w:bodyDiv w:val="1"/>
      <w:marLeft w:val="0"/>
      <w:marRight w:val="0"/>
      <w:marTop w:val="0"/>
      <w:marBottom w:val="0"/>
      <w:divBdr>
        <w:top w:val="none" w:sz="0" w:space="0" w:color="auto"/>
        <w:left w:val="none" w:sz="0" w:space="0" w:color="auto"/>
        <w:bottom w:val="none" w:sz="0" w:space="0" w:color="auto"/>
        <w:right w:val="none" w:sz="0" w:space="0" w:color="auto"/>
      </w:divBdr>
    </w:div>
    <w:div w:id="1751078843">
      <w:bodyDiv w:val="1"/>
      <w:marLeft w:val="0"/>
      <w:marRight w:val="0"/>
      <w:marTop w:val="0"/>
      <w:marBottom w:val="0"/>
      <w:divBdr>
        <w:top w:val="none" w:sz="0" w:space="0" w:color="auto"/>
        <w:left w:val="none" w:sz="0" w:space="0" w:color="auto"/>
        <w:bottom w:val="none" w:sz="0" w:space="0" w:color="auto"/>
        <w:right w:val="none" w:sz="0" w:space="0" w:color="auto"/>
      </w:divBdr>
    </w:div>
    <w:div w:id="1951930546">
      <w:bodyDiv w:val="1"/>
      <w:marLeft w:val="0"/>
      <w:marRight w:val="0"/>
      <w:marTop w:val="0"/>
      <w:marBottom w:val="0"/>
      <w:divBdr>
        <w:top w:val="none" w:sz="0" w:space="0" w:color="auto"/>
        <w:left w:val="none" w:sz="0" w:space="0" w:color="auto"/>
        <w:bottom w:val="none" w:sz="0" w:space="0" w:color="auto"/>
        <w:right w:val="none" w:sz="0" w:space="0" w:color="auto"/>
      </w:divBdr>
    </w:div>
    <w:div w:id="199918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7.png"/><Relationship Id="rId39" Type="http://schemas.openxmlformats.org/officeDocument/2006/relationships/hyperlink" Target="https://www.abs.gov.au/ausstats/abs@.nsf/mf/3238.0.55.001" TargetMode="External"/><Relationship Id="rId51"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http://dnet.hosts.network/education/Resources/Documents/Creative%20Commons%20Attribution%204.0%20International" TargetMode="External"/><Relationship Id="rId34" Type="http://schemas.openxmlformats.org/officeDocument/2006/relationships/image" Target="media/image15.jpeg"/><Relationship Id="rId42"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5" Type="http://schemas.openxmlformats.org/officeDocument/2006/relationships/image" Target="media/image6.png"/><Relationship Id="rId33" Type="http://schemas.openxmlformats.org/officeDocument/2006/relationships/image" Target="media/image14.jpeg"/><Relationship Id="rId38" Type="http://schemas.openxmlformats.org/officeDocument/2006/relationships/hyperlink" Target="http://www.gaps-education.org/wp-content/uploads/2016/12/The_GAPS_Think_Piece_Issue_16.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cid:image001.png@01CC5B5E.C6C84990" TargetMode="External"/><Relationship Id="rId29" Type="http://schemas.openxmlformats.org/officeDocument/2006/relationships/image" Target="media/image10.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hyperlink" Target="http://www.acola.org.a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2.jpe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dnet.hosts.network/education/Resources/Documents/CC%20BY%204.0%20International"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ducation.gov.au/completion-rates-cohort-analyses" TargetMode="External"/><Relationship Id="rId2" Type="http://schemas.openxmlformats.org/officeDocument/2006/relationships/hyperlink" Target="http://www.indigenousscholarships.com.au" TargetMode="External"/><Relationship Id="rId1" Type="http://schemas.openxmlformats.org/officeDocument/2006/relationships/hyperlink" Target="https://www.abs.gov.au/ausstats/abs@.nsf/mf/3238.0.55.001" TargetMode="External"/></Relationships>
</file>

<file path=word/theme/theme1.xml><?xml version="1.0" encoding="utf-8"?>
<a:theme xmlns:a="http://schemas.openxmlformats.org/drawingml/2006/main" name="Office Theme">
  <a:themeElements>
    <a:clrScheme name="DET Corporate">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44AD2-A1C7-481E-A5A0-A78D0E6EC9E4}">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0C03E6B-8445-4771-B1FB-7960AE60F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16A229-5207-4600-8525-0ED2C0E16912}">
  <ds:schemaRefs>
    <ds:schemaRef ds:uri="http://schemas.microsoft.com/sharepoint/v3/contenttype/forms"/>
  </ds:schemaRefs>
</ds:datastoreItem>
</file>

<file path=customXml/itemProps4.xml><?xml version="1.0" encoding="utf-8"?>
<ds:datastoreItem xmlns:ds="http://schemas.openxmlformats.org/officeDocument/2006/customXml" ds:itemID="{603AEEA6-61DC-4345-9A3E-3EB67944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17B29EAB.dotm</Template>
  <TotalTime>0</TotalTime>
  <Pages>31</Pages>
  <Words>5131</Words>
  <Characters>29253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2020-01-20T23:44:00Z</dcterms:created>
  <dcterms:modified xsi:type="dcterms:W3CDTF">2020-01-20T23:44:00Z</dcterms:modified>
</cp:coreProperties>
</file>