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5544504" w14:textId="77777777" w:rsidR="001414F3" w:rsidRDefault="002C4023" w:rsidP="00130923">
      <w:pPr>
        <w:pStyle w:val="BodyText"/>
      </w:pPr>
      <w:bookmarkStart w:id="0" w:name="_GoBack"/>
      <w:bookmarkEnd w:id="0"/>
      <w:r>
        <w:rPr>
          <w:noProof/>
        </w:rPr>
        <w:drawing>
          <wp:inline distT="0" distB="0" distL="0" distR="0" wp14:anchorId="460D65B8" wp14:editId="0B040DA7">
            <wp:extent cx="2252472" cy="560832"/>
            <wp:effectExtent l="0" t="0" r="0" b="0"/>
            <wp:docPr id="2" name="Picture 2" descr="Australian Government Department of Educatio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Dept Education and Training_Inline.jp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2252472" cy="560832"/>
                    </a:xfrm>
                    <a:prstGeom prst="rect">
                      <a:avLst/>
                    </a:prstGeom>
                  </pic:spPr>
                </pic:pic>
              </a:graphicData>
            </a:graphic>
          </wp:inline>
        </w:drawing>
      </w:r>
    </w:p>
    <w:p w14:paraId="6CE88FD4" w14:textId="77777777" w:rsidR="001414F3" w:rsidRPr="00F47193" w:rsidRDefault="001414F3" w:rsidP="00F80CFC">
      <w:pPr>
        <w:pStyle w:val="Subtitle"/>
        <w:ind w:left="1276" w:right="-22"/>
        <w:rPr>
          <w:sz w:val="120"/>
          <w:szCs w:val="120"/>
        </w:rPr>
      </w:pPr>
    </w:p>
    <w:p w14:paraId="30E2AF01" w14:textId="6008FE8B" w:rsidR="00BA282D" w:rsidRDefault="00FF067E" w:rsidP="00BA4D57">
      <w:pPr>
        <w:pStyle w:val="Title"/>
        <w:ind w:left="1276" w:right="-23"/>
      </w:pPr>
      <w:r>
        <w:t xml:space="preserve">Student </w:t>
      </w:r>
      <w:r w:rsidR="00BA4D57">
        <w:t>E</w:t>
      </w:r>
      <w:r w:rsidR="0003404E">
        <w:t>quity in Higher Degrees by Research</w:t>
      </w:r>
    </w:p>
    <w:p w14:paraId="03607DED" w14:textId="58987F81" w:rsidR="00BA282D" w:rsidRDefault="0003404E" w:rsidP="00F80CFC">
      <w:pPr>
        <w:pStyle w:val="Subtitle"/>
        <w:ind w:left="1276" w:right="-22"/>
      </w:pPr>
      <w:r>
        <w:t xml:space="preserve">Statistical Report, </w:t>
      </w:r>
      <w:r w:rsidR="00244942">
        <w:t>August</w:t>
      </w:r>
      <w:r>
        <w:t xml:space="preserve"> 2019</w:t>
      </w:r>
    </w:p>
    <w:p w14:paraId="27CBA84B" w14:textId="77777777" w:rsidR="00F47193" w:rsidRPr="00AD09E4" w:rsidRDefault="00F47193" w:rsidP="00F47193">
      <w:pPr>
        <w:rPr>
          <w:sz w:val="620"/>
          <w:szCs w:val="620"/>
        </w:rPr>
      </w:pPr>
      <w:r>
        <w:rPr>
          <w:noProof/>
          <w:lang w:eastAsia="en-AU"/>
        </w:rPr>
        <w:drawing>
          <wp:anchor distT="0" distB="0" distL="114300" distR="114300" simplePos="0" relativeHeight="251658240" behindDoc="1" locked="0" layoutInCell="1" allowOverlap="1" wp14:anchorId="358C6FEC" wp14:editId="67AE89AC">
            <wp:simplePos x="0" y="0"/>
            <wp:positionH relativeFrom="page">
              <wp:posOffset>0</wp:posOffset>
            </wp:positionH>
            <wp:positionV relativeFrom="page">
              <wp:align>bottom</wp:align>
            </wp:positionV>
            <wp:extent cx="7653020" cy="5392420"/>
            <wp:effectExtent l="0" t="0" r="5080" b="0"/>
            <wp:wrapNone/>
            <wp:docPr id="5" name="Picture 5" descr="Decorativ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ducation report cover_01.jpg"/>
                    <pic:cNvPicPr/>
                  </pic:nvPicPr>
                  <pic:blipFill>
                    <a:blip r:embed="rId12">
                      <a:extLst>
                        <a:ext uri="{28A0092B-C50C-407E-A947-70E740481C1C}">
                          <a14:useLocalDpi xmlns:a14="http://schemas.microsoft.com/office/drawing/2010/main" val="0"/>
                        </a:ext>
                      </a:extLst>
                    </a:blip>
                    <a:stretch>
                      <a:fillRect/>
                    </a:stretch>
                  </pic:blipFill>
                  <pic:spPr>
                    <a:xfrm>
                      <a:off x="0" y="0"/>
                      <a:ext cx="7653600" cy="5392800"/>
                    </a:xfrm>
                    <a:prstGeom prst="rect">
                      <a:avLst/>
                    </a:prstGeom>
                  </pic:spPr>
                </pic:pic>
              </a:graphicData>
            </a:graphic>
            <wp14:sizeRelH relativeFrom="page">
              <wp14:pctWidth>0</wp14:pctWidth>
            </wp14:sizeRelH>
            <wp14:sizeRelV relativeFrom="page">
              <wp14:pctHeight>0</wp14:pctHeight>
            </wp14:sizeRelV>
          </wp:anchor>
        </w:drawing>
      </w:r>
    </w:p>
    <w:p w14:paraId="4B040BC1" w14:textId="77777777" w:rsidR="00130923" w:rsidRDefault="00F47193" w:rsidP="00EF5845">
      <w:pPr>
        <w:spacing w:after="0"/>
        <w:ind w:left="1276"/>
      </w:pPr>
      <w:r w:rsidRPr="00E376D2">
        <w:rPr>
          <w:rStyle w:val="Emphasis"/>
          <w:color w:val="FFFFFF" w:themeColor="background1"/>
        </w:rPr>
        <w:t>Opportunity through learning</w:t>
      </w:r>
      <w:r w:rsidR="00130923">
        <w:br w:type="page"/>
      </w:r>
    </w:p>
    <w:p w14:paraId="7543C207" w14:textId="77777777" w:rsidR="00130923" w:rsidRDefault="00130923" w:rsidP="00130923">
      <w:pPr>
        <w:pStyle w:val="BodyText"/>
        <w:sectPr w:rsidR="00130923" w:rsidSect="00AD09E4">
          <w:headerReference w:type="default" r:id="rId13"/>
          <w:footerReference w:type="default" r:id="rId14"/>
          <w:pgSz w:w="11906" w:h="16838"/>
          <w:pgMar w:top="1418" w:right="1558" w:bottom="567" w:left="1440" w:header="708" w:footer="283" w:gutter="0"/>
          <w:cols w:space="708"/>
          <w:docGrid w:linePitch="360"/>
        </w:sectPr>
      </w:pPr>
    </w:p>
    <w:p w14:paraId="59C432CA" w14:textId="0FE507BF" w:rsidR="00130923" w:rsidRPr="007536F4" w:rsidRDefault="00130923" w:rsidP="007D58FB">
      <w:r w:rsidRPr="008E4DA0">
        <w:lastRenderedPageBreak/>
        <w:t>ISBN</w:t>
      </w:r>
      <w:r w:rsidR="00DC3052">
        <w:rPr>
          <w:szCs w:val="20"/>
          <w:highlight w:val="yellow"/>
        </w:rPr>
        <w:br/>
      </w:r>
      <w:r w:rsidR="007536F4">
        <w:rPr>
          <w:rFonts w:ascii="Arial" w:hAnsi="Arial" w:cs="Arial"/>
          <w:sz w:val="20"/>
          <w:szCs w:val="20"/>
          <w:lang w:eastAsia="en-AU"/>
        </w:rPr>
        <w:t>978-1-76051-906-3</w:t>
      </w:r>
      <w:r w:rsidR="007536F4" w:rsidRPr="008E4DA0">
        <w:rPr>
          <w:szCs w:val="20"/>
        </w:rPr>
        <w:t xml:space="preserve"> </w:t>
      </w:r>
      <w:r w:rsidRPr="008E4DA0">
        <w:rPr>
          <w:szCs w:val="20"/>
        </w:rPr>
        <w:t>[PDF]</w:t>
      </w:r>
      <w:r w:rsidRPr="008E4DA0">
        <w:rPr>
          <w:szCs w:val="20"/>
        </w:rPr>
        <w:br/>
      </w:r>
      <w:r w:rsidR="007536F4">
        <w:rPr>
          <w:rFonts w:ascii="Arial" w:hAnsi="Arial" w:cs="Arial"/>
          <w:sz w:val="20"/>
          <w:szCs w:val="20"/>
          <w:lang w:eastAsia="en-AU"/>
        </w:rPr>
        <w:t>978-1-76051-907-0</w:t>
      </w:r>
      <w:r w:rsidR="007536F4" w:rsidRPr="008E4DA0">
        <w:rPr>
          <w:szCs w:val="20"/>
        </w:rPr>
        <w:t xml:space="preserve"> </w:t>
      </w:r>
      <w:r w:rsidRPr="008E4DA0">
        <w:rPr>
          <w:szCs w:val="20"/>
        </w:rPr>
        <w:t>[DOCX]</w:t>
      </w:r>
    </w:p>
    <w:p w14:paraId="56DD5C54" w14:textId="77777777" w:rsidR="00130923" w:rsidRDefault="00130923" w:rsidP="00130923">
      <w:pPr>
        <w:pStyle w:val="numberedpara"/>
        <w:numPr>
          <w:ilvl w:val="0"/>
          <w:numId w:val="0"/>
        </w:numPr>
        <w:tabs>
          <w:tab w:val="left" w:pos="720"/>
        </w:tabs>
        <w:rPr>
          <w:sz w:val="20"/>
          <w:szCs w:val="20"/>
        </w:rPr>
      </w:pPr>
      <w:r>
        <w:rPr>
          <w:noProof/>
          <w:sz w:val="20"/>
          <w:szCs w:val="20"/>
        </w:rPr>
        <w:drawing>
          <wp:inline distT="0" distB="0" distL="0" distR="0" wp14:anchorId="2DE47CA1" wp14:editId="318DEA9B">
            <wp:extent cx="847725" cy="285750"/>
            <wp:effectExtent l="0" t="0" r="9525" b="0"/>
            <wp:docPr id="4" name="Picture 1" descr="Creative Common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id:image001.png@01CC5B5E.C6C84990"/>
                    <pic:cNvPicPr>
                      <a:picLocks noChangeAspect="1" noChangeArrowheads="1"/>
                    </pic:cNvPicPr>
                  </pic:nvPicPr>
                  <pic:blipFill>
                    <a:blip r:embed="rId15" r:link="rId16" cstate="print"/>
                    <a:srcRect/>
                    <a:stretch>
                      <a:fillRect/>
                    </a:stretch>
                  </pic:blipFill>
                  <pic:spPr bwMode="auto">
                    <a:xfrm>
                      <a:off x="0" y="0"/>
                      <a:ext cx="847725" cy="285750"/>
                    </a:xfrm>
                    <a:prstGeom prst="rect">
                      <a:avLst/>
                    </a:prstGeom>
                    <a:noFill/>
                    <a:ln w="9525">
                      <a:noFill/>
                      <a:miter lim="800000"/>
                      <a:headEnd/>
                      <a:tailEnd/>
                    </a:ln>
                  </pic:spPr>
                </pic:pic>
              </a:graphicData>
            </a:graphic>
          </wp:inline>
        </w:drawing>
      </w:r>
    </w:p>
    <w:p w14:paraId="052BE068" w14:textId="77777777" w:rsidR="00130923" w:rsidRPr="000462F1" w:rsidRDefault="00130923" w:rsidP="007D58FB">
      <w:r w:rsidRPr="000462F1">
        <w:t xml:space="preserve">With the exception of the Commonwealth Coat of Arms, the Department’s logo, any material protected by a trade mark and where otherwise noted all material presented in this document is provided under a </w:t>
      </w:r>
      <w:hyperlink r:id="rId17" w:history="1">
        <w:r w:rsidR="00C84E0C" w:rsidRPr="004164A2">
          <w:rPr>
            <w:rStyle w:val="Hyperlink"/>
          </w:rPr>
          <w:t>Creative Commons Attribution 4.0 International</w:t>
        </w:r>
      </w:hyperlink>
      <w:r w:rsidR="007D58FB">
        <w:t xml:space="preserve"> </w:t>
      </w:r>
      <w:r w:rsidRPr="000462F1">
        <w:t>(</w:t>
      </w:r>
      <w:r w:rsidRPr="00EC78E7">
        <w:t>http://creativecommons.org/licenses/by/3.0/au/</w:t>
      </w:r>
      <w:r w:rsidRPr="000462F1">
        <w:t xml:space="preserve">) licence. </w:t>
      </w:r>
    </w:p>
    <w:p w14:paraId="7F4C99BE" w14:textId="77777777" w:rsidR="00130923" w:rsidRPr="000462F1" w:rsidRDefault="00130923" w:rsidP="007D58FB">
      <w:r w:rsidRPr="000462F1">
        <w:t xml:space="preserve">The details of the relevant licence conditions are available on the Creative Commons website (accessible using the links provided) as is the full legal code for the </w:t>
      </w:r>
      <w:hyperlink r:id="rId18" w:history="1">
        <w:r w:rsidR="00C84E0C" w:rsidRPr="004164A2">
          <w:rPr>
            <w:rStyle w:val="Hyperlink"/>
          </w:rPr>
          <w:t>CC BY 4.0 International</w:t>
        </w:r>
      </w:hyperlink>
      <w:r w:rsidRPr="000462F1">
        <w:t xml:space="preserve"> (</w:t>
      </w:r>
      <w:r w:rsidRPr="00EC78E7">
        <w:t>http://creativecommons.org/licenses/by/</w:t>
      </w:r>
      <w:r w:rsidR="00C84E0C">
        <w:t>4</w:t>
      </w:r>
      <w:r w:rsidRPr="00EC78E7">
        <w:t>.0</w:t>
      </w:r>
      <w:r w:rsidR="00C84E0C">
        <w:t>/</w:t>
      </w:r>
      <w:r w:rsidRPr="00EC78E7">
        <w:t>legalcode</w:t>
      </w:r>
      <w:r w:rsidRPr="000462F1">
        <w:t xml:space="preserve">). </w:t>
      </w:r>
    </w:p>
    <w:p w14:paraId="38B3156B" w14:textId="3F7DC490" w:rsidR="00130923" w:rsidRDefault="00130923" w:rsidP="007D58FB">
      <w:r w:rsidRPr="000462F1">
        <w:t>The document must be attributed as the</w:t>
      </w:r>
      <w:r w:rsidR="0003404E">
        <w:t xml:space="preserve"> </w:t>
      </w:r>
      <w:r w:rsidR="0003404E" w:rsidRPr="0003404E">
        <w:rPr>
          <w:i/>
        </w:rPr>
        <w:t xml:space="preserve">Equity in Higher Degrees by Research. Statistical Report, </w:t>
      </w:r>
      <w:r w:rsidR="00474934">
        <w:rPr>
          <w:i/>
        </w:rPr>
        <w:t>August</w:t>
      </w:r>
      <w:r w:rsidR="0003404E" w:rsidRPr="0003404E">
        <w:rPr>
          <w:i/>
        </w:rPr>
        <w:t xml:space="preserve"> 2019</w:t>
      </w:r>
      <w:r>
        <w:t>.</w:t>
      </w:r>
    </w:p>
    <w:p w14:paraId="49498C67" w14:textId="77777777" w:rsidR="00130923" w:rsidRDefault="00130923" w:rsidP="00130923">
      <w:pPr>
        <w:pStyle w:val="numberedpara"/>
        <w:numPr>
          <w:ilvl w:val="0"/>
          <w:numId w:val="0"/>
        </w:numPr>
        <w:tabs>
          <w:tab w:val="left" w:pos="720"/>
        </w:tabs>
        <w:spacing w:before="120" w:after="120"/>
        <w:rPr>
          <w:sz w:val="20"/>
          <w:szCs w:val="20"/>
        </w:rPr>
        <w:sectPr w:rsidR="00130923" w:rsidSect="0003404E">
          <w:type w:val="continuous"/>
          <w:pgSz w:w="11906" w:h="16838"/>
          <w:pgMar w:top="10065" w:right="1440" w:bottom="1440" w:left="1440" w:header="708" w:footer="708" w:gutter="0"/>
          <w:cols w:space="708"/>
          <w:docGrid w:linePitch="360"/>
        </w:sectPr>
      </w:pPr>
    </w:p>
    <w:sdt>
      <w:sdtPr>
        <w:rPr>
          <w:rFonts w:asciiTheme="minorHAnsi" w:eastAsiaTheme="minorEastAsia" w:hAnsiTheme="minorHAnsi" w:cstheme="minorBidi"/>
          <w:b w:val="0"/>
          <w:bCs w:val="0"/>
          <w:color w:val="auto"/>
          <w:sz w:val="22"/>
          <w:szCs w:val="22"/>
          <w:lang w:bidi="ar-SA"/>
        </w:rPr>
        <w:id w:val="-139263470"/>
        <w:docPartObj>
          <w:docPartGallery w:val="Table of Contents"/>
          <w:docPartUnique/>
        </w:docPartObj>
      </w:sdtPr>
      <w:sdtEndPr>
        <w:rPr>
          <w:noProof/>
        </w:rPr>
      </w:sdtEndPr>
      <w:sdtContent>
        <w:p w14:paraId="259C1FCA" w14:textId="77777777" w:rsidR="00EF4A38" w:rsidRDefault="00EF4A38">
          <w:pPr>
            <w:pStyle w:val="TOCHeading"/>
          </w:pPr>
          <w:r>
            <w:t>Contents</w:t>
          </w:r>
        </w:p>
        <w:p w14:paraId="0883C57F" w14:textId="2D06F478" w:rsidR="004948ED" w:rsidRDefault="00EF4A38">
          <w:pPr>
            <w:pStyle w:val="TOC1"/>
            <w:tabs>
              <w:tab w:val="right" w:leader="dot" w:pos="9016"/>
            </w:tabs>
            <w:rPr>
              <w:noProof/>
              <w:lang w:eastAsia="en-AU"/>
            </w:rPr>
          </w:pPr>
          <w:r>
            <w:fldChar w:fldCharType="begin"/>
          </w:r>
          <w:r>
            <w:instrText xml:space="preserve"> TOC \o "1-3" \h \z \u </w:instrText>
          </w:r>
          <w:r>
            <w:fldChar w:fldCharType="separate"/>
          </w:r>
          <w:hyperlink w:anchor="_Toc23841268" w:history="1">
            <w:r w:rsidR="004948ED" w:rsidRPr="009E3AB8">
              <w:rPr>
                <w:rStyle w:val="Hyperlink"/>
                <w:noProof/>
              </w:rPr>
              <w:t>List of Figures</w:t>
            </w:r>
            <w:r w:rsidR="004948ED">
              <w:rPr>
                <w:noProof/>
                <w:webHidden/>
              </w:rPr>
              <w:tab/>
            </w:r>
            <w:r w:rsidR="004948ED">
              <w:rPr>
                <w:noProof/>
                <w:webHidden/>
              </w:rPr>
              <w:fldChar w:fldCharType="begin"/>
            </w:r>
            <w:r w:rsidR="004948ED">
              <w:rPr>
                <w:noProof/>
                <w:webHidden/>
              </w:rPr>
              <w:instrText xml:space="preserve"> PAGEREF _Toc23841268 \h </w:instrText>
            </w:r>
            <w:r w:rsidR="004948ED">
              <w:rPr>
                <w:noProof/>
                <w:webHidden/>
              </w:rPr>
            </w:r>
            <w:r w:rsidR="004948ED">
              <w:rPr>
                <w:noProof/>
                <w:webHidden/>
              </w:rPr>
              <w:fldChar w:fldCharType="separate"/>
            </w:r>
            <w:r w:rsidR="00075142">
              <w:rPr>
                <w:noProof/>
                <w:webHidden/>
              </w:rPr>
              <w:t>4</w:t>
            </w:r>
            <w:r w:rsidR="004948ED">
              <w:rPr>
                <w:noProof/>
                <w:webHidden/>
              </w:rPr>
              <w:fldChar w:fldCharType="end"/>
            </w:r>
          </w:hyperlink>
        </w:p>
        <w:p w14:paraId="423C3D8D" w14:textId="4051996E" w:rsidR="004948ED" w:rsidRDefault="00B81D63">
          <w:pPr>
            <w:pStyle w:val="TOC1"/>
            <w:tabs>
              <w:tab w:val="right" w:leader="dot" w:pos="9016"/>
            </w:tabs>
            <w:rPr>
              <w:noProof/>
              <w:lang w:eastAsia="en-AU"/>
            </w:rPr>
          </w:pPr>
          <w:hyperlink w:anchor="_Toc23841269" w:history="1">
            <w:r w:rsidR="004948ED" w:rsidRPr="009E3AB8">
              <w:rPr>
                <w:rStyle w:val="Hyperlink"/>
                <w:noProof/>
              </w:rPr>
              <w:t>List of Tables</w:t>
            </w:r>
            <w:r w:rsidR="004948ED">
              <w:rPr>
                <w:noProof/>
                <w:webHidden/>
              </w:rPr>
              <w:tab/>
            </w:r>
            <w:r w:rsidR="004948ED">
              <w:rPr>
                <w:noProof/>
                <w:webHidden/>
              </w:rPr>
              <w:fldChar w:fldCharType="begin"/>
            </w:r>
            <w:r w:rsidR="004948ED">
              <w:rPr>
                <w:noProof/>
                <w:webHidden/>
              </w:rPr>
              <w:instrText xml:space="preserve"> PAGEREF _Toc23841269 \h </w:instrText>
            </w:r>
            <w:r w:rsidR="004948ED">
              <w:rPr>
                <w:noProof/>
                <w:webHidden/>
              </w:rPr>
            </w:r>
            <w:r w:rsidR="004948ED">
              <w:rPr>
                <w:noProof/>
                <w:webHidden/>
              </w:rPr>
              <w:fldChar w:fldCharType="separate"/>
            </w:r>
            <w:r w:rsidR="00075142">
              <w:rPr>
                <w:noProof/>
                <w:webHidden/>
              </w:rPr>
              <w:t>4</w:t>
            </w:r>
            <w:r w:rsidR="004948ED">
              <w:rPr>
                <w:noProof/>
                <w:webHidden/>
              </w:rPr>
              <w:fldChar w:fldCharType="end"/>
            </w:r>
          </w:hyperlink>
        </w:p>
        <w:p w14:paraId="1C122EB4" w14:textId="3349B9BA" w:rsidR="004948ED" w:rsidRDefault="00B81D63">
          <w:pPr>
            <w:pStyle w:val="TOC1"/>
            <w:tabs>
              <w:tab w:val="right" w:leader="dot" w:pos="9016"/>
            </w:tabs>
            <w:rPr>
              <w:noProof/>
              <w:lang w:eastAsia="en-AU"/>
            </w:rPr>
          </w:pPr>
          <w:hyperlink w:anchor="_Toc23841270" w:history="1">
            <w:r w:rsidR="004948ED" w:rsidRPr="009E3AB8">
              <w:rPr>
                <w:rStyle w:val="Hyperlink"/>
                <w:noProof/>
              </w:rPr>
              <w:t>Executive Summary</w:t>
            </w:r>
            <w:r w:rsidR="004948ED">
              <w:rPr>
                <w:noProof/>
                <w:webHidden/>
              </w:rPr>
              <w:tab/>
            </w:r>
            <w:r w:rsidR="004948ED">
              <w:rPr>
                <w:noProof/>
                <w:webHidden/>
              </w:rPr>
              <w:fldChar w:fldCharType="begin"/>
            </w:r>
            <w:r w:rsidR="004948ED">
              <w:rPr>
                <w:noProof/>
                <w:webHidden/>
              </w:rPr>
              <w:instrText xml:space="preserve"> PAGEREF _Toc23841270 \h </w:instrText>
            </w:r>
            <w:r w:rsidR="004948ED">
              <w:rPr>
                <w:noProof/>
                <w:webHidden/>
              </w:rPr>
            </w:r>
            <w:r w:rsidR="004948ED">
              <w:rPr>
                <w:noProof/>
                <w:webHidden/>
              </w:rPr>
              <w:fldChar w:fldCharType="separate"/>
            </w:r>
            <w:r w:rsidR="00075142">
              <w:rPr>
                <w:noProof/>
                <w:webHidden/>
              </w:rPr>
              <w:t>5</w:t>
            </w:r>
            <w:r w:rsidR="004948ED">
              <w:rPr>
                <w:noProof/>
                <w:webHidden/>
              </w:rPr>
              <w:fldChar w:fldCharType="end"/>
            </w:r>
          </w:hyperlink>
        </w:p>
        <w:p w14:paraId="00967920" w14:textId="399F1450" w:rsidR="004948ED" w:rsidRDefault="00B81D63">
          <w:pPr>
            <w:pStyle w:val="TOC1"/>
            <w:tabs>
              <w:tab w:val="right" w:leader="dot" w:pos="9016"/>
            </w:tabs>
            <w:rPr>
              <w:noProof/>
              <w:lang w:eastAsia="en-AU"/>
            </w:rPr>
          </w:pPr>
          <w:hyperlink w:anchor="_Toc23841271" w:history="1">
            <w:r w:rsidR="004948ED" w:rsidRPr="009E3AB8">
              <w:rPr>
                <w:rStyle w:val="Hyperlink"/>
                <w:noProof/>
              </w:rPr>
              <w:t>Preface</w:t>
            </w:r>
            <w:r w:rsidR="004948ED">
              <w:rPr>
                <w:noProof/>
                <w:webHidden/>
              </w:rPr>
              <w:tab/>
            </w:r>
            <w:r w:rsidR="004948ED">
              <w:rPr>
                <w:noProof/>
                <w:webHidden/>
              </w:rPr>
              <w:fldChar w:fldCharType="begin"/>
            </w:r>
            <w:r w:rsidR="004948ED">
              <w:rPr>
                <w:noProof/>
                <w:webHidden/>
              </w:rPr>
              <w:instrText xml:space="preserve"> PAGEREF _Toc23841271 \h </w:instrText>
            </w:r>
            <w:r w:rsidR="004948ED">
              <w:rPr>
                <w:noProof/>
                <w:webHidden/>
              </w:rPr>
            </w:r>
            <w:r w:rsidR="004948ED">
              <w:rPr>
                <w:noProof/>
                <w:webHidden/>
              </w:rPr>
              <w:fldChar w:fldCharType="separate"/>
            </w:r>
            <w:r w:rsidR="00075142">
              <w:rPr>
                <w:noProof/>
                <w:webHidden/>
              </w:rPr>
              <w:t>6</w:t>
            </w:r>
            <w:r w:rsidR="004948ED">
              <w:rPr>
                <w:noProof/>
                <w:webHidden/>
              </w:rPr>
              <w:fldChar w:fldCharType="end"/>
            </w:r>
          </w:hyperlink>
        </w:p>
        <w:p w14:paraId="27B169EA" w14:textId="40336F9D" w:rsidR="004948ED" w:rsidRDefault="00B81D63">
          <w:pPr>
            <w:pStyle w:val="TOC1"/>
            <w:tabs>
              <w:tab w:val="left" w:pos="440"/>
              <w:tab w:val="right" w:leader="dot" w:pos="9016"/>
            </w:tabs>
            <w:rPr>
              <w:noProof/>
              <w:lang w:eastAsia="en-AU"/>
            </w:rPr>
          </w:pPr>
          <w:hyperlink w:anchor="_Toc23841272" w:history="1">
            <w:r w:rsidR="004948ED" w:rsidRPr="009E3AB8">
              <w:rPr>
                <w:rStyle w:val="Hyperlink"/>
                <w:noProof/>
              </w:rPr>
              <w:t>1.</w:t>
            </w:r>
            <w:r w:rsidR="004948ED">
              <w:rPr>
                <w:noProof/>
                <w:lang w:eastAsia="en-AU"/>
              </w:rPr>
              <w:tab/>
            </w:r>
            <w:r w:rsidR="004948ED" w:rsidRPr="009E3AB8">
              <w:rPr>
                <w:rStyle w:val="Hyperlink"/>
                <w:noProof/>
              </w:rPr>
              <w:t>Overview</w:t>
            </w:r>
            <w:r w:rsidR="004948ED">
              <w:rPr>
                <w:noProof/>
                <w:webHidden/>
              </w:rPr>
              <w:tab/>
            </w:r>
            <w:r w:rsidR="004948ED">
              <w:rPr>
                <w:noProof/>
                <w:webHidden/>
              </w:rPr>
              <w:fldChar w:fldCharType="begin"/>
            </w:r>
            <w:r w:rsidR="004948ED">
              <w:rPr>
                <w:noProof/>
                <w:webHidden/>
              </w:rPr>
              <w:instrText xml:space="preserve"> PAGEREF _Toc23841272 \h </w:instrText>
            </w:r>
            <w:r w:rsidR="004948ED">
              <w:rPr>
                <w:noProof/>
                <w:webHidden/>
              </w:rPr>
            </w:r>
            <w:r w:rsidR="004948ED">
              <w:rPr>
                <w:noProof/>
                <w:webHidden/>
              </w:rPr>
              <w:fldChar w:fldCharType="separate"/>
            </w:r>
            <w:r w:rsidR="00075142">
              <w:rPr>
                <w:noProof/>
                <w:webHidden/>
              </w:rPr>
              <w:t>8</w:t>
            </w:r>
            <w:r w:rsidR="004948ED">
              <w:rPr>
                <w:noProof/>
                <w:webHidden/>
              </w:rPr>
              <w:fldChar w:fldCharType="end"/>
            </w:r>
          </w:hyperlink>
        </w:p>
        <w:p w14:paraId="5C38ECB5" w14:textId="104DC64D" w:rsidR="004948ED" w:rsidRDefault="00B81D63">
          <w:pPr>
            <w:pStyle w:val="TOC1"/>
            <w:tabs>
              <w:tab w:val="left" w:pos="440"/>
              <w:tab w:val="right" w:leader="dot" w:pos="9016"/>
            </w:tabs>
            <w:rPr>
              <w:noProof/>
              <w:lang w:eastAsia="en-AU"/>
            </w:rPr>
          </w:pPr>
          <w:hyperlink w:anchor="_Toc23841273" w:history="1">
            <w:r w:rsidR="004948ED" w:rsidRPr="009E3AB8">
              <w:rPr>
                <w:rStyle w:val="Hyperlink"/>
                <w:noProof/>
              </w:rPr>
              <w:t>2.</w:t>
            </w:r>
            <w:r w:rsidR="004948ED">
              <w:rPr>
                <w:noProof/>
                <w:lang w:eastAsia="en-AU"/>
              </w:rPr>
              <w:tab/>
            </w:r>
            <w:r w:rsidR="004948ED" w:rsidRPr="009E3AB8">
              <w:rPr>
                <w:rStyle w:val="Hyperlink"/>
                <w:noProof/>
              </w:rPr>
              <w:t>Financial Support</w:t>
            </w:r>
            <w:r w:rsidR="004948ED">
              <w:rPr>
                <w:noProof/>
                <w:webHidden/>
              </w:rPr>
              <w:tab/>
            </w:r>
            <w:r w:rsidR="004948ED">
              <w:rPr>
                <w:noProof/>
                <w:webHidden/>
              </w:rPr>
              <w:fldChar w:fldCharType="begin"/>
            </w:r>
            <w:r w:rsidR="004948ED">
              <w:rPr>
                <w:noProof/>
                <w:webHidden/>
              </w:rPr>
              <w:instrText xml:space="preserve"> PAGEREF _Toc23841273 \h </w:instrText>
            </w:r>
            <w:r w:rsidR="004948ED">
              <w:rPr>
                <w:noProof/>
                <w:webHidden/>
              </w:rPr>
            </w:r>
            <w:r w:rsidR="004948ED">
              <w:rPr>
                <w:noProof/>
                <w:webHidden/>
              </w:rPr>
              <w:fldChar w:fldCharType="separate"/>
            </w:r>
            <w:r w:rsidR="00075142">
              <w:rPr>
                <w:noProof/>
                <w:webHidden/>
              </w:rPr>
              <w:t>10</w:t>
            </w:r>
            <w:r w:rsidR="004948ED">
              <w:rPr>
                <w:noProof/>
                <w:webHidden/>
              </w:rPr>
              <w:fldChar w:fldCharType="end"/>
            </w:r>
          </w:hyperlink>
        </w:p>
        <w:p w14:paraId="0EDDB1AA" w14:textId="7D7DD4DA" w:rsidR="004948ED" w:rsidRDefault="00B81D63">
          <w:pPr>
            <w:pStyle w:val="TOC1"/>
            <w:tabs>
              <w:tab w:val="left" w:pos="440"/>
              <w:tab w:val="right" w:leader="dot" w:pos="9016"/>
            </w:tabs>
            <w:rPr>
              <w:noProof/>
              <w:lang w:eastAsia="en-AU"/>
            </w:rPr>
          </w:pPr>
          <w:hyperlink w:anchor="_Toc23841274" w:history="1">
            <w:r w:rsidR="004948ED" w:rsidRPr="009E3AB8">
              <w:rPr>
                <w:rStyle w:val="Hyperlink"/>
                <w:noProof/>
              </w:rPr>
              <w:t>3.</w:t>
            </w:r>
            <w:r w:rsidR="004948ED">
              <w:rPr>
                <w:noProof/>
                <w:lang w:eastAsia="en-AU"/>
              </w:rPr>
              <w:tab/>
            </w:r>
            <w:r w:rsidR="004948ED" w:rsidRPr="009E3AB8">
              <w:rPr>
                <w:rStyle w:val="Hyperlink"/>
                <w:noProof/>
              </w:rPr>
              <w:t>Gender</w:t>
            </w:r>
            <w:r w:rsidR="004948ED">
              <w:rPr>
                <w:noProof/>
                <w:webHidden/>
              </w:rPr>
              <w:tab/>
            </w:r>
            <w:r w:rsidR="004948ED">
              <w:rPr>
                <w:noProof/>
                <w:webHidden/>
              </w:rPr>
              <w:fldChar w:fldCharType="begin"/>
            </w:r>
            <w:r w:rsidR="004948ED">
              <w:rPr>
                <w:noProof/>
                <w:webHidden/>
              </w:rPr>
              <w:instrText xml:space="preserve"> PAGEREF _Toc23841274 \h </w:instrText>
            </w:r>
            <w:r w:rsidR="004948ED">
              <w:rPr>
                <w:noProof/>
                <w:webHidden/>
              </w:rPr>
            </w:r>
            <w:r w:rsidR="004948ED">
              <w:rPr>
                <w:noProof/>
                <w:webHidden/>
              </w:rPr>
              <w:fldChar w:fldCharType="separate"/>
            </w:r>
            <w:r w:rsidR="00075142">
              <w:rPr>
                <w:noProof/>
                <w:webHidden/>
              </w:rPr>
              <w:t>13</w:t>
            </w:r>
            <w:r w:rsidR="004948ED">
              <w:rPr>
                <w:noProof/>
                <w:webHidden/>
              </w:rPr>
              <w:fldChar w:fldCharType="end"/>
            </w:r>
          </w:hyperlink>
        </w:p>
        <w:p w14:paraId="69F570B7" w14:textId="5B398FAA" w:rsidR="004948ED" w:rsidRDefault="00B81D63">
          <w:pPr>
            <w:pStyle w:val="TOC1"/>
            <w:tabs>
              <w:tab w:val="left" w:pos="440"/>
              <w:tab w:val="right" w:leader="dot" w:pos="9016"/>
            </w:tabs>
            <w:rPr>
              <w:noProof/>
              <w:lang w:eastAsia="en-AU"/>
            </w:rPr>
          </w:pPr>
          <w:hyperlink w:anchor="_Toc23841275" w:history="1">
            <w:r w:rsidR="004948ED" w:rsidRPr="009E3AB8">
              <w:rPr>
                <w:rStyle w:val="Hyperlink"/>
                <w:noProof/>
              </w:rPr>
              <w:t>4.</w:t>
            </w:r>
            <w:r w:rsidR="004948ED">
              <w:rPr>
                <w:noProof/>
                <w:lang w:eastAsia="en-AU"/>
              </w:rPr>
              <w:tab/>
            </w:r>
            <w:r w:rsidR="004948ED" w:rsidRPr="009E3AB8">
              <w:rPr>
                <w:rStyle w:val="Hyperlink"/>
                <w:noProof/>
              </w:rPr>
              <w:t>Socioeconomic Status</w:t>
            </w:r>
            <w:r w:rsidR="004948ED">
              <w:rPr>
                <w:noProof/>
                <w:webHidden/>
              </w:rPr>
              <w:tab/>
            </w:r>
            <w:r w:rsidR="004948ED">
              <w:rPr>
                <w:noProof/>
                <w:webHidden/>
              </w:rPr>
              <w:fldChar w:fldCharType="begin"/>
            </w:r>
            <w:r w:rsidR="004948ED">
              <w:rPr>
                <w:noProof/>
                <w:webHidden/>
              </w:rPr>
              <w:instrText xml:space="preserve"> PAGEREF _Toc23841275 \h </w:instrText>
            </w:r>
            <w:r w:rsidR="004948ED">
              <w:rPr>
                <w:noProof/>
                <w:webHidden/>
              </w:rPr>
            </w:r>
            <w:r w:rsidR="004948ED">
              <w:rPr>
                <w:noProof/>
                <w:webHidden/>
              </w:rPr>
              <w:fldChar w:fldCharType="separate"/>
            </w:r>
            <w:r w:rsidR="00075142">
              <w:rPr>
                <w:noProof/>
                <w:webHidden/>
              </w:rPr>
              <w:t>20</w:t>
            </w:r>
            <w:r w:rsidR="004948ED">
              <w:rPr>
                <w:noProof/>
                <w:webHidden/>
              </w:rPr>
              <w:fldChar w:fldCharType="end"/>
            </w:r>
          </w:hyperlink>
        </w:p>
        <w:p w14:paraId="07F211E6" w14:textId="7B98A58C" w:rsidR="004948ED" w:rsidRDefault="00B81D63">
          <w:pPr>
            <w:pStyle w:val="TOC1"/>
            <w:tabs>
              <w:tab w:val="left" w:pos="440"/>
              <w:tab w:val="right" w:leader="dot" w:pos="9016"/>
            </w:tabs>
            <w:rPr>
              <w:noProof/>
              <w:lang w:eastAsia="en-AU"/>
            </w:rPr>
          </w:pPr>
          <w:hyperlink w:anchor="_Toc23841276" w:history="1">
            <w:r w:rsidR="004948ED" w:rsidRPr="009E3AB8">
              <w:rPr>
                <w:rStyle w:val="Hyperlink"/>
                <w:noProof/>
              </w:rPr>
              <w:t>5.</w:t>
            </w:r>
            <w:r w:rsidR="004948ED">
              <w:rPr>
                <w:noProof/>
                <w:lang w:eastAsia="en-AU"/>
              </w:rPr>
              <w:tab/>
            </w:r>
            <w:r w:rsidR="004948ED" w:rsidRPr="009E3AB8">
              <w:rPr>
                <w:rStyle w:val="Hyperlink"/>
                <w:noProof/>
              </w:rPr>
              <w:t>Regional and Remote Status</w:t>
            </w:r>
            <w:r w:rsidR="004948ED">
              <w:rPr>
                <w:noProof/>
                <w:webHidden/>
              </w:rPr>
              <w:tab/>
            </w:r>
            <w:r w:rsidR="004948ED">
              <w:rPr>
                <w:noProof/>
                <w:webHidden/>
              </w:rPr>
              <w:fldChar w:fldCharType="begin"/>
            </w:r>
            <w:r w:rsidR="004948ED">
              <w:rPr>
                <w:noProof/>
                <w:webHidden/>
              </w:rPr>
              <w:instrText xml:space="preserve"> PAGEREF _Toc23841276 \h </w:instrText>
            </w:r>
            <w:r w:rsidR="004948ED">
              <w:rPr>
                <w:noProof/>
                <w:webHidden/>
              </w:rPr>
            </w:r>
            <w:r w:rsidR="004948ED">
              <w:rPr>
                <w:noProof/>
                <w:webHidden/>
              </w:rPr>
              <w:fldChar w:fldCharType="separate"/>
            </w:r>
            <w:r w:rsidR="00075142">
              <w:rPr>
                <w:noProof/>
                <w:webHidden/>
              </w:rPr>
              <w:t>23</w:t>
            </w:r>
            <w:r w:rsidR="004948ED">
              <w:rPr>
                <w:noProof/>
                <w:webHidden/>
              </w:rPr>
              <w:fldChar w:fldCharType="end"/>
            </w:r>
          </w:hyperlink>
        </w:p>
        <w:p w14:paraId="6CA549DE" w14:textId="596252D6" w:rsidR="004948ED" w:rsidRDefault="00B81D63">
          <w:pPr>
            <w:pStyle w:val="TOC1"/>
            <w:tabs>
              <w:tab w:val="left" w:pos="440"/>
              <w:tab w:val="right" w:leader="dot" w:pos="9016"/>
            </w:tabs>
            <w:rPr>
              <w:noProof/>
              <w:lang w:eastAsia="en-AU"/>
            </w:rPr>
          </w:pPr>
          <w:hyperlink w:anchor="_Toc23841277" w:history="1">
            <w:r w:rsidR="004948ED" w:rsidRPr="009E3AB8">
              <w:rPr>
                <w:rStyle w:val="Hyperlink"/>
                <w:noProof/>
              </w:rPr>
              <w:t>6.</w:t>
            </w:r>
            <w:r w:rsidR="004948ED">
              <w:rPr>
                <w:noProof/>
                <w:lang w:eastAsia="en-AU"/>
              </w:rPr>
              <w:tab/>
            </w:r>
            <w:r w:rsidR="004948ED" w:rsidRPr="009E3AB8">
              <w:rPr>
                <w:rStyle w:val="Hyperlink"/>
                <w:noProof/>
              </w:rPr>
              <w:t>People with Disability</w:t>
            </w:r>
            <w:r w:rsidR="004948ED">
              <w:rPr>
                <w:noProof/>
                <w:webHidden/>
              </w:rPr>
              <w:tab/>
            </w:r>
            <w:r w:rsidR="004948ED">
              <w:rPr>
                <w:noProof/>
                <w:webHidden/>
              </w:rPr>
              <w:fldChar w:fldCharType="begin"/>
            </w:r>
            <w:r w:rsidR="004948ED">
              <w:rPr>
                <w:noProof/>
                <w:webHidden/>
              </w:rPr>
              <w:instrText xml:space="preserve"> PAGEREF _Toc23841277 \h </w:instrText>
            </w:r>
            <w:r w:rsidR="004948ED">
              <w:rPr>
                <w:noProof/>
                <w:webHidden/>
              </w:rPr>
            </w:r>
            <w:r w:rsidR="004948ED">
              <w:rPr>
                <w:noProof/>
                <w:webHidden/>
              </w:rPr>
              <w:fldChar w:fldCharType="separate"/>
            </w:r>
            <w:r w:rsidR="00075142">
              <w:rPr>
                <w:noProof/>
                <w:webHidden/>
              </w:rPr>
              <w:t>26</w:t>
            </w:r>
            <w:r w:rsidR="004948ED">
              <w:rPr>
                <w:noProof/>
                <w:webHidden/>
              </w:rPr>
              <w:fldChar w:fldCharType="end"/>
            </w:r>
          </w:hyperlink>
        </w:p>
        <w:p w14:paraId="1C0FB506" w14:textId="1AAAE8EE" w:rsidR="004948ED" w:rsidRDefault="00B81D63">
          <w:pPr>
            <w:pStyle w:val="TOC1"/>
            <w:tabs>
              <w:tab w:val="right" w:leader="dot" w:pos="9016"/>
            </w:tabs>
            <w:rPr>
              <w:noProof/>
              <w:lang w:eastAsia="en-AU"/>
            </w:rPr>
          </w:pPr>
          <w:hyperlink w:anchor="_Toc23841278" w:history="1">
            <w:r w:rsidR="004948ED" w:rsidRPr="009E3AB8">
              <w:rPr>
                <w:rStyle w:val="Hyperlink"/>
                <w:noProof/>
              </w:rPr>
              <w:t>Bibliography</w:t>
            </w:r>
            <w:r w:rsidR="004948ED">
              <w:rPr>
                <w:noProof/>
                <w:webHidden/>
              </w:rPr>
              <w:tab/>
            </w:r>
            <w:r w:rsidR="004948ED">
              <w:rPr>
                <w:noProof/>
                <w:webHidden/>
              </w:rPr>
              <w:fldChar w:fldCharType="begin"/>
            </w:r>
            <w:r w:rsidR="004948ED">
              <w:rPr>
                <w:noProof/>
                <w:webHidden/>
              </w:rPr>
              <w:instrText xml:space="preserve"> PAGEREF _Toc23841278 \h </w:instrText>
            </w:r>
            <w:r w:rsidR="004948ED">
              <w:rPr>
                <w:noProof/>
                <w:webHidden/>
              </w:rPr>
            </w:r>
            <w:r w:rsidR="004948ED">
              <w:rPr>
                <w:noProof/>
                <w:webHidden/>
              </w:rPr>
              <w:fldChar w:fldCharType="separate"/>
            </w:r>
            <w:r w:rsidR="00075142">
              <w:rPr>
                <w:noProof/>
                <w:webHidden/>
              </w:rPr>
              <w:t>28</w:t>
            </w:r>
            <w:r w:rsidR="004948ED">
              <w:rPr>
                <w:noProof/>
                <w:webHidden/>
              </w:rPr>
              <w:fldChar w:fldCharType="end"/>
            </w:r>
          </w:hyperlink>
        </w:p>
        <w:p w14:paraId="29E9ABA8" w14:textId="0BF31BF2" w:rsidR="00EF4A38" w:rsidRDefault="00EF4A38">
          <w:r>
            <w:rPr>
              <w:b/>
              <w:bCs/>
              <w:noProof/>
            </w:rPr>
            <w:fldChar w:fldCharType="end"/>
          </w:r>
        </w:p>
      </w:sdtContent>
    </w:sdt>
    <w:p w14:paraId="046B2593" w14:textId="77777777" w:rsidR="00EF4A38" w:rsidRDefault="00EF4A38" w:rsidP="00EF4A38">
      <w:pPr>
        <w:pStyle w:val="numberedpara"/>
        <w:numPr>
          <w:ilvl w:val="0"/>
          <w:numId w:val="0"/>
        </w:numPr>
        <w:tabs>
          <w:tab w:val="left" w:pos="720"/>
        </w:tabs>
        <w:spacing w:before="120" w:after="120"/>
        <w:rPr>
          <w:sz w:val="20"/>
          <w:szCs w:val="20"/>
        </w:rPr>
        <w:sectPr w:rsidR="00EF4A38" w:rsidSect="00EF4A38">
          <w:type w:val="continuous"/>
          <w:pgSz w:w="11906" w:h="16838"/>
          <w:pgMar w:top="3544" w:right="1440" w:bottom="1440" w:left="1440" w:header="708" w:footer="708" w:gutter="0"/>
          <w:cols w:space="708"/>
          <w:docGrid w:linePitch="360"/>
        </w:sectPr>
      </w:pPr>
    </w:p>
    <w:p w14:paraId="1D8D2E34" w14:textId="77777777" w:rsidR="00130923" w:rsidRDefault="00130923">
      <w:pPr>
        <w:rPr>
          <w:rFonts w:ascii="Calibri" w:eastAsiaTheme="majorEastAsia" w:hAnsi="Calibri" w:cstheme="majorBidi"/>
          <w:b/>
          <w:spacing w:val="5"/>
          <w:sz w:val="56"/>
          <w:szCs w:val="52"/>
        </w:rPr>
      </w:pPr>
      <w:r>
        <w:br w:type="page"/>
      </w:r>
    </w:p>
    <w:p w14:paraId="4C324467" w14:textId="77777777" w:rsidR="0003404E" w:rsidRDefault="0003404E" w:rsidP="00DC0254">
      <w:pPr>
        <w:pStyle w:val="Heading1"/>
      </w:pPr>
      <w:bookmarkStart w:id="1" w:name="_Toc23841268"/>
      <w:r>
        <w:t>List of Figures</w:t>
      </w:r>
      <w:bookmarkEnd w:id="1"/>
    </w:p>
    <w:p w14:paraId="29A8A9E3" w14:textId="5380FC50" w:rsidR="007E7855" w:rsidRPr="007E7855" w:rsidRDefault="0021516D">
      <w:pPr>
        <w:pStyle w:val="TableofFigures"/>
        <w:tabs>
          <w:tab w:val="right" w:leader="dot" w:pos="9016"/>
        </w:tabs>
        <w:rPr>
          <w:noProof/>
          <w:lang w:eastAsia="en-AU"/>
        </w:rPr>
      </w:pPr>
      <w:r w:rsidRPr="007E7855">
        <w:fldChar w:fldCharType="begin"/>
      </w:r>
      <w:r w:rsidRPr="007E7855">
        <w:instrText xml:space="preserve"> TOC \h \z \c "Figure" </w:instrText>
      </w:r>
      <w:r w:rsidRPr="007E7855">
        <w:fldChar w:fldCharType="separate"/>
      </w:r>
      <w:hyperlink w:anchor="_Toc17907062" w:history="1">
        <w:r w:rsidR="007E7855" w:rsidRPr="007E7855">
          <w:rPr>
            <w:rStyle w:val="Hyperlink"/>
            <w:noProof/>
          </w:rPr>
          <w:t>Figure 1</w:t>
        </w:r>
        <w:r w:rsidR="007E7855" w:rsidRPr="007E7855">
          <w:rPr>
            <w:rStyle w:val="Hyperlink"/>
            <w:rFonts w:eastAsia="Times New Roman" w:cs="Times New Roman"/>
            <w:noProof/>
          </w:rPr>
          <w:t>: HDR enrolments by citizenship and gender, 2006–17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_Toc17907062 \h </w:instrText>
        </w:r>
        <w:r w:rsidR="007E7855" w:rsidRPr="007E7855">
          <w:rPr>
            <w:noProof/>
            <w:webHidden/>
          </w:rPr>
        </w:r>
        <w:r w:rsidR="007E7855" w:rsidRPr="007E7855">
          <w:rPr>
            <w:noProof/>
            <w:webHidden/>
          </w:rPr>
          <w:fldChar w:fldCharType="separate"/>
        </w:r>
        <w:r w:rsidR="00075142">
          <w:rPr>
            <w:noProof/>
            <w:webHidden/>
          </w:rPr>
          <w:t>8</w:t>
        </w:r>
        <w:r w:rsidR="007E7855" w:rsidRPr="007E7855">
          <w:rPr>
            <w:noProof/>
            <w:webHidden/>
          </w:rPr>
          <w:fldChar w:fldCharType="end"/>
        </w:r>
      </w:hyperlink>
    </w:p>
    <w:p w14:paraId="468A3DAF" w14:textId="7527DD19" w:rsidR="007E7855" w:rsidRPr="007E7855" w:rsidRDefault="00B81D63">
      <w:pPr>
        <w:pStyle w:val="TableofFigures"/>
        <w:tabs>
          <w:tab w:val="right" w:leader="dot" w:pos="9016"/>
        </w:tabs>
        <w:rPr>
          <w:noProof/>
          <w:lang w:eastAsia="en-AU"/>
        </w:rPr>
      </w:pPr>
      <w:hyperlink w:anchor="_Toc17907063" w:history="1">
        <w:r w:rsidR="007E7855" w:rsidRPr="007E7855">
          <w:rPr>
            <w:rStyle w:val="Hyperlink"/>
            <w:noProof/>
          </w:rPr>
          <w:t>Figure 2</w:t>
        </w:r>
        <w:r w:rsidR="007E7855" w:rsidRPr="007E7855">
          <w:rPr>
            <w:rStyle w:val="Hyperlink"/>
            <w:rFonts w:eastAsia="Times New Roman" w:cs="Times New Roman"/>
            <w:noProof/>
          </w:rPr>
          <w:t>: HDR commencements and completions, 2006–17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_Toc17907063 \h </w:instrText>
        </w:r>
        <w:r w:rsidR="007E7855" w:rsidRPr="007E7855">
          <w:rPr>
            <w:noProof/>
            <w:webHidden/>
          </w:rPr>
        </w:r>
        <w:r w:rsidR="007E7855" w:rsidRPr="007E7855">
          <w:rPr>
            <w:noProof/>
            <w:webHidden/>
          </w:rPr>
          <w:fldChar w:fldCharType="separate"/>
        </w:r>
        <w:r w:rsidR="00075142">
          <w:rPr>
            <w:noProof/>
            <w:webHidden/>
          </w:rPr>
          <w:t>9</w:t>
        </w:r>
        <w:r w:rsidR="007E7855" w:rsidRPr="007E7855">
          <w:rPr>
            <w:noProof/>
            <w:webHidden/>
          </w:rPr>
          <w:fldChar w:fldCharType="end"/>
        </w:r>
      </w:hyperlink>
    </w:p>
    <w:p w14:paraId="406D42B5" w14:textId="3A3067F0" w:rsidR="007E7855" w:rsidRPr="007E7855" w:rsidRDefault="00B81D63">
      <w:pPr>
        <w:pStyle w:val="TableofFigures"/>
        <w:tabs>
          <w:tab w:val="right" w:leader="dot" w:pos="9016"/>
        </w:tabs>
        <w:rPr>
          <w:noProof/>
          <w:lang w:eastAsia="en-AU"/>
        </w:rPr>
      </w:pPr>
      <w:hyperlink w:anchor="_Toc17907064" w:history="1">
        <w:r w:rsidR="007E7855" w:rsidRPr="007E7855">
          <w:rPr>
            <w:rStyle w:val="Hyperlink"/>
            <w:noProof/>
          </w:rPr>
          <w:t>Figure 3: Domestic HDR student funding sources for tuition fees, 2006–17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_Toc17907064 \h </w:instrText>
        </w:r>
        <w:r w:rsidR="007E7855" w:rsidRPr="007E7855">
          <w:rPr>
            <w:noProof/>
            <w:webHidden/>
          </w:rPr>
        </w:r>
        <w:r w:rsidR="007E7855" w:rsidRPr="007E7855">
          <w:rPr>
            <w:noProof/>
            <w:webHidden/>
          </w:rPr>
          <w:fldChar w:fldCharType="separate"/>
        </w:r>
        <w:r w:rsidR="00075142">
          <w:rPr>
            <w:noProof/>
            <w:webHidden/>
          </w:rPr>
          <w:t>10</w:t>
        </w:r>
        <w:r w:rsidR="007E7855" w:rsidRPr="007E7855">
          <w:rPr>
            <w:noProof/>
            <w:webHidden/>
          </w:rPr>
          <w:fldChar w:fldCharType="end"/>
        </w:r>
      </w:hyperlink>
    </w:p>
    <w:p w14:paraId="3AA4F551" w14:textId="308D3093" w:rsidR="007E7855" w:rsidRPr="007E7855" w:rsidRDefault="00B81D63">
      <w:pPr>
        <w:pStyle w:val="TableofFigures"/>
        <w:tabs>
          <w:tab w:val="right" w:leader="dot" w:pos="9016"/>
        </w:tabs>
        <w:rPr>
          <w:noProof/>
          <w:lang w:eastAsia="en-AU"/>
        </w:rPr>
      </w:pPr>
      <w:hyperlink w:anchor="_Toc17907065" w:history="1">
        <w:r w:rsidR="007E7855" w:rsidRPr="007E7855">
          <w:rPr>
            <w:rStyle w:val="Hyperlink"/>
            <w:noProof/>
          </w:rPr>
          <w:t>Figure 4</w:t>
        </w:r>
        <w:r w:rsidR="007E7855" w:rsidRPr="007E7855">
          <w:rPr>
            <w:rStyle w:val="Hyperlink"/>
            <w:rFonts w:eastAsia="Times New Roman" w:cs="Times New Roman"/>
            <w:noProof/>
          </w:rPr>
          <w:t>: Proportion of domestic students awarded RTP stipends by type of attendance, 2006–17</w:t>
        </w:r>
        <w:r w:rsidR="007E7855" w:rsidRPr="007E7855">
          <w:rPr>
            <w:noProof/>
            <w:webHidden/>
          </w:rPr>
          <w:tab/>
        </w:r>
        <w:r w:rsidR="00134E70">
          <w:rPr>
            <w:noProof/>
            <w:webHidden/>
          </w:rPr>
          <w:t>12</w:t>
        </w:r>
      </w:hyperlink>
    </w:p>
    <w:p w14:paraId="6563FCEA" w14:textId="01377A92" w:rsidR="007E7855" w:rsidRPr="007E7855" w:rsidRDefault="00B81D63">
      <w:pPr>
        <w:pStyle w:val="TableofFigures"/>
        <w:tabs>
          <w:tab w:val="right" w:leader="dot" w:pos="9016"/>
        </w:tabs>
        <w:rPr>
          <w:noProof/>
          <w:lang w:eastAsia="en-AU"/>
        </w:rPr>
      </w:pPr>
      <w:hyperlink w:anchor="_Toc17907066" w:history="1">
        <w:r w:rsidR="007E7855" w:rsidRPr="007E7855">
          <w:rPr>
            <w:rStyle w:val="Hyperlink"/>
            <w:noProof/>
          </w:rPr>
          <w:t>Figure 5: Domestic HDR enrolments by gender, 2006–17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_Toc17907066 \h </w:instrText>
        </w:r>
        <w:r w:rsidR="007E7855" w:rsidRPr="007E7855">
          <w:rPr>
            <w:noProof/>
            <w:webHidden/>
          </w:rPr>
        </w:r>
        <w:r w:rsidR="007E7855" w:rsidRPr="007E7855">
          <w:rPr>
            <w:noProof/>
            <w:webHidden/>
          </w:rPr>
          <w:fldChar w:fldCharType="separate"/>
        </w:r>
        <w:r w:rsidR="00075142">
          <w:rPr>
            <w:noProof/>
            <w:webHidden/>
          </w:rPr>
          <w:t>13</w:t>
        </w:r>
        <w:r w:rsidR="007E7855" w:rsidRPr="007E7855">
          <w:rPr>
            <w:noProof/>
            <w:webHidden/>
          </w:rPr>
          <w:fldChar w:fldCharType="end"/>
        </w:r>
      </w:hyperlink>
    </w:p>
    <w:p w14:paraId="47EA8AB4" w14:textId="083DA826" w:rsidR="007E7855" w:rsidRPr="007E7855" w:rsidRDefault="00B81D63">
      <w:pPr>
        <w:pStyle w:val="TableofFigures"/>
        <w:tabs>
          <w:tab w:val="right" w:leader="dot" w:pos="9016"/>
        </w:tabs>
        <w:rPr>
          <w:noProof/>
          <w:lang w:eastAsia="en-AU"/>
        </w:rPr>
      </w:pPr>
      <w:hyperlink w:anchor="_Toc17907067" w:history="1">
        <w:r w:rsidR="007E7855" w:rsidRPr="007E7855">
          <w:rPr>
            <w:rStyle w:val="Hyperlink"/>
            <w:noProof/>
          </w:rPr>
          <w:t>Figure 6: Fields with the largest enrolments of domestic HDR students, men, 2017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_Toc17907067 \h </w:instrText>
        </w:r>
        <w:r w:rsidR="007E7855" w:rsidRPr="007E7855">
          <w:rPr>
            <w:noProof/>
            <w:webHidden/>
          </w:rPr>
        </w:r>
        <w:r w:rsidR="007E7855" w:rsidRPr="007E7855">
          <w:rPr>
            <w:noProof/>
            <w:webHidden/>
          </w:rPr>
          <w:fldChar w:fldCharType="separate"/>
        </w:r>
        <w:r w:rsidR="00075142">
          <w:rPr>
            <w:noProof/>
            <w:webHidden/>
          </w:rPr>
          <w:t>14</w:t>
        </w:r>
        <w:r w:rsidR="007E7855" w:rsidRPr="007E7855">
          <w:rPr>
            <w:noProof/>
            <w:webHidden/>
          </w:rPr>
          <w:fldChar w:fldCharType="end"/>
        </w:r>
      </w:hyperlink>
    </w:p>
    <w:p w14:paraId="0BD7F23C" w14:textId="7F946794" w:rsidR="007E7855" w:rsidRPr="007E7855" w:rsidRDefault="00B81D63">
      <w:pPr>
        <w:pStyle w:val="TableofFigures"/>
        <w:tabs>
          <w:tab w:val="right" w:leader="dot" w:pos="9016"/>
        </w:tabs>
        <w:rPr>
          <w:noProof/>
          <w:lang w:eastAsia="en-AU"/>
        </w:rPr>
      </w:pPr>
      <w:hyperlink w:anchor="_Toc17907068" w:history="1">
        <w:r w:rsidR="007E7855" w:rsidRPr="007E7855">
          <w:rPr>
            <w:rStyle w:val="Hyperlink"/>
            <w:noProof/>
          </w:rPr>
          <w:t>Figure 7</w:t>
        </w:r>
        <w:r w:rsidR="007E7855" w:rsidRPr="007E7855">
          <w:rPr>
            <w:rStyle w:val="Hyperlink"/>
            <w:rFonts w:eastAsia="Times New Roman" w:cs="Times New Roman"/>
            <w:noProof/>
          </w:rPr>
          <w:t>: Fields with the largest enrolments of domestic HDR students, women, 2017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_Toc17907068 \h </w:instrText>
        </w:r>
        <w:r w:rsidR="007E7855" w:rsidRPr="007E7855">
          <w:rPr>
            <w:noProof/>
            <w:webHidden/>
          </w:rPr>
        </w:r>
        <w:r w:rsidR="007E7855" w:rsidRPr="007E7855">
          <w:rPr>
            <w:noProof/>
            <w:webHidden/>
          </w:rPr>
          <w:fldChar w:fldCharType="separate"/>
        </w:r>
        <w:r w:rsidR="00075142">
          <w:rPr>
            <w:noProof/>
            <w:webHidden/>
          </w:rPr>
          <w:t>15</w:t>
        </w:r>
        <w:r w:rsidR="007E7855" w:rsidRPr="007E7855">
          <w:rPr>
            <w:noProof/>
            <w:webHidden/>
          </w:rPr>
          <w:fldChar w:fldCharType="end"/>
        </w:r>
      </w:hyperlink>
    </w:p>
    <w:p w14:paraId="7674AF47" w14:textId="49A6FB4B" w:rsidR="007E7855" w:rsidRPr="007E7855" w:rsidRDefault="00B81D63">
      <w:pPr>
        <w:pStyle w:val="TableofFigures"/>
        <w:tabs>
          <w:tab w:val="right" w:leader="dot" w:pos="9016"/>
        </w:tabs>
        <w:rPr>
          <w:noProof/>
          <w:lang w:eastAsia="en-AU"/>
        </w:rPr>
      </w:pPr>
      <w:hyperlink w:anchor="_Toc17907069" w:history="1">
        <w:r w:rsidR="007E7855" w:rsidRPr="007E7855">
          <w:rPr>
            <w:rStyle w:val="Hyperlink"/>
            <w:noProof/>
          </w:rPr>
          <w:t>Figure 8</w:t>
        </w:r>
        <w:r w:rsidR="007E7855" w:rsidRPr="007E7855">
          <w:rPr>
            <w:rStyle w:val="Hyperlink"/>
            <w:rFonts w:eastAsia="Times New Roman" w:cs="Times New Roman"/>
            <w:noProof/>
          </w:rPr>
          <w:t>: Domestic HDR enrolments by gender in Science, 2017</w:t>
        </w:r>
        <w:r w:rsidR="007E7855" w:rsidRPr="007E7855">
          <w:rPr>
            <w:noProof/>
            <w:webHidden/>
          </w:rPr>
          <w:tab/>
        </w:r>
        <w:r w:rsidR="00134E70">
          <w:rPr>
            <w:noProof/>
            <w:webHidden/>
          </w:rPr>
          <w:t>16</w:t>
        </w:r>
      </w:hyperlink>
    </w:p>
    <w:p w14:paraId="75751B92" w14:textId="41B6309B" w:rsidR="007E7855" w:rsidRPr="007E7855" w:rsidRDefault="00B81D63">
      <w:pPr>
        <w:pStyle w:val="TableofFigures"/>
        <w:tabs>
          <w:tab w:val="right" w:leader="dot" w:pos="9016"/>
        </w:tabs>
        <w:rPr>
          <w:noProof/>
          <w:lang w:eastAsia="en-AU"/>
        </w:rPr>
      </w:pPr>
      <w:hyperlink w:anchor="_Toc17907070" w:history="1">
        <w:r w:rsidR="007E7855" w:rsidRPr="007E7855">
          <w:rPr>
            <w:rStyle w:val="Hyperlink"/>
            <w:noProof/>
          </w:rPr>
          <w:t>Figure 9</w:t>
        </w:r>
        <w:r w:rsidR="007E7855" w:rsidRPr="007E7855">
          <w:rPr>
            <w:rStyle w:val="Hyperlink"/>
            <w:rFonts w:eastAsia="Times New Roman" w:cs="Times New Roman"/>
            <w:noProof/>
          </w:rPr>
          <w:t>: Domestic HDR enrolments by gender in Engineering and IT, 2017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_Toc17907070 \h </w:instrText>
        </w:r>
        <w:r w:rsidR="007E7855" w:rsidRPr="007E7855">
          <w:rPr>
            <w:noProof/>
            <w:webHidden/>
          </w:rPr>
        </w:r>
        <w:r w:rsidR="007E7855" w:rsidRPr="007E7855">
          <w:rPr>
            <w:noProof/>
            <w:webHidden/>
          </w:rPr>
          <w:fldChar w:fldCharType="separate"/>
        </w:r>
        <w:r w:rsidR="00075142">
          <w:rPr>
            <w:noProof/>
            <w:webHidden/>
          </w:rPr>
          <w:t>16</w:t>
        </w:r>
        <w:r w:rsidR="007E7855" w:rsidRPr="007E7855">
          <w:rPr>
            <w:noProof/>
            <w:webHidden/>
          </w:rPr>
          <w:fldChar w:fldCharType="end"/>
        </w:r>
      </w:hyperlink>
    </w:p>
    <w:p w14:paraId="28AF95B8" w14:textId="3B50FB19" w:rsidR="007E7855" w:rsidRPr="007E7855" w:rsidRDefault="00B81D63">
      <w:pPr>
        <w:pStyle w:val="TableofFigures"/>
        <w:tabs>
          <w:tab w:val="right" w:leader="dot" w:pos="9016"/>
        </w:tabs>
        <w:rPr>
          <w:noProof/>
          <w:lang w:eastAsia="en-AU"/>
        </w:rPr>
      </w:pPr>
      <w:hyperlink w:anchor="_Toc17907071" w:history="1">
        <w:r w:rsidR="007E7855" w:rsidRPr="007E7855">
          <w:rPr>
            <w:rStyle w:val="Hyperlink"/>
            <w:noProof/>
          </w:rPr>
          <w:t>Figure 10</w:t>
        </w:r>
        <w:r w:rsidR="007E7855" w:rsidRPr="007E7855">
          <w:rPr>
            <w:rStyle w:val="Hyperlink"/>
            <w:rFonts w:eastAsia="Times New Roman" w:cs="Times New Roman"/>
            <w:noProof/>
          </w:rPr>
          <w:t>: Domestic HDR enrolments by gender in Health, 2017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_Toc17907071 \h </w:instrText>
        </w:r>
        <w:r w:rsidR="007E7855" w:rsidRPr="007E7855">
          <w:rPr>
            <w:noProof/>
            <w:webHidden/>
          </w:rPr>
        </w:r>
        <w:r w:rsidR="007E7855" w:rsidRPr="007E7855">
          <w:rPr>
            <w:noProof/>
            <w:webHidden/>
          </w:rPr>
          <w:fldChar w:fldCharType="separate"/>
        </w:r>
        <w:r w:rsidR="00075142">
          <w:rPr>
            <w:noProof/>
            <w:webHidden/>
          </w:rPr>
          <w:t>17</w:t>
        </w:r>
        <w:r w:rsidR="007E7855" w:rsidRPr="007E7855">
          <w:rPr>
            <w:noProof/>
            <w:webHidden/>
          </w:rPr>
          <w:fldChar w:fldCharType="end"/>
        </w:r>
      </w:hyperlink>
    </w:p>
    <w:p w14:paraId="730F7A0C" w14:textId="07A5BAAB" w:rsidR="007E7855" w:rsidRPr="007E7855" w:rsidRDefault="00B81D63">
      <w:pPr>
        <w:pStyle w:val="TableofFigures"/>
        <w:tabs>
          <w:tab w:val="right" w:leader="dot" w:pos="9016"/>
        </w:tabs>
        <w:rPr>
          <w:noProof/>
          <w:lang w:eastAsia="en-AU"/>
        </w:rPr>
      </w:pPr>
      <w:hyperlink w:anchor="_Toc17907072" w:history="1">
        <w:r w:rsidR="007E7855" w:rsidRPr="007E7855">
          <w:rPr>
            <w:rStyle w:val="Hyperlink"/>
            <w:noProof/>
          </w:rPr>
          <w:t>Figure 11</w:t>
        </w:r>
        <w:r w:rsidR="007E7855" w:rsidRPr="007E7855">
          <w:rPr>
            <w:rStyle w:val="Hyperlink"/>
            <w:rFonts w:ascii="Calibri" w:eastAsia="Times New Roman" w:hAnsi="Calibri" w:cs="Times New Roman"/>
            <w:bCs/>
            <w:iCs/>
            <w:noProof/>
          </w:rPr>
          <w:t>: Domestic HDR enrolments by gender in Creative Arts and Education, 2017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_Toc17907072 \h </w:instrText>
        </w:r>
        <w:r w:rsidR="007E7855" w:rsidRPr="007E7855">
          <w:rPr>
            <w:noProof/>
            <w:webHidden/>
          </w:rPr>
        </w:r>
        <w:r w:rsidR="007E7855" w:rsidRPr="007E7855">
          <w:rPr>
            <w:noProof/>
            <w:webHidden/>
          </w:rPr>
          <w:fldChar w:fldCharType="separate"/>
        </w:r>
        <w:r w:rsidR="00075142">
          <w:rPr>
            <w:noProof/>
            <w:webHidden/>
          </w:rPr>
          <w:t>18</w:t>
        </w:r>
        <w:r w:rsidR="007E7855" w:rsidRPr="007E7855">
          <w:rPr>
            <w:noProof/>
            <w:webHidden/>
          </w:rPr>
          <w:fldChar w:fldCharType="end"/>
        </w:r>
      </w:hyperlink>
    </w:p>
    <w:p w14:paraId="33CA2621" w14:textId="4AFDE2CE" w:rsidR="007E7855" w:rsidRPr="007E7855" w:rsidRDefault="00B81D63">
      <w:pPr>
        <w:pStyle w:val="TableofFigures"/>
        <w:tabs>
          <w:tab w:val="right" w:leader="dot" w:pos="9016"/>
        </w:tabs>
        <w:rPr>
          <w:noProof/>
          <w:lang w:eastAsia="en-AU"/>
        </w:rPr>
      </w:pPr>
      <w:hyperlink w:anchor="_Toc17907073" w:history="1">
        <w:r w:rsidR="007E7855" w:rsidRPr="007E7855">
          <w:rPr>
            <w:rStyle w:val="Hyperlink"/>
            <w:noProof/>
          </w:rPr>
          <w:t>Figure 12</w:t>
        </w:r>
        <w:r w:rsidR="007E7855" w:rsidRPr="007E7855">
          <w:rPr>
            <w:rStyle w:val="Hyperlink"/>
            <w:rFonts w:eastAsia="Times New Roman" w:cs="Times New Roman"/>
            <w:noProof/>
          </w:rPr>
          <w:t>: Domestic HDR enrolments by gender in Society and Culture, 2017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_Toc17907073 \h </w:instrText>
        </w:r>
        <w:r w:rsidR="007E7855" w:rsidRPr="007E7855">
          <w:rPr>
            <w:noProof/>
            <w:webHidden/>
          </w:rPr>
        </w:r>
        <w:r w:rsidR="007E7855" w:rsidRPr="007E7855">
          <w:rPr>
            <w:noProof/>
            <w:webHidden/>
          </w:rPr>
          <w:fldChar w:fldCharType="separate"/>
        </w:r>
        <w:r w:rsidR="00075142">
          <w:rPr>
            <w:noProof/>
            <w:webHidden/>
          </w:rPr>
          <w:t>19</w:t>
        </w:r>
        <w:r w:rsidR="007E7855" w:rsidRPr="007E7855">
          <w:rPr>
            <w:noProof/>
            <w:webHidden/>
          </w:rPr>
          <w:fldChar w:fldCharType="end"/>
        </w:r>
      </w:hyperlink>
    </w:p>
    <w:p w14:paraId="6D259EEC" w14:textId="09E9EF60" w:rsidR="007E7855" w:rsidRPr="007E7855" w:rsidRDefault="00B81D63">
      <w:pPr>
        <w:pStyle w:val="TableofFigures"/>
        <w:tabs>
          <w:tab w:val="right" w:leader="dot" w:pos="9016"/>
        </w:tabs>
        <w:rPr>
          <w:noProof/>
          <w:lang w:eastAsia="en-AU"/>
        </w:rPr>
      </w:pPr>
      <w:hyperlink w:anchor="_Toc17907074" w:history="1">
        <w:r w:rsidR="007E7855" w:rsidRPr="007E7855">
          <w:rPr>
            <w:rStyle w:val="Hyperlink"/>
            <w:noProof/>
          </w:rPr>
          <w:t>Figure 13</w:t>
        </w:r>
        <w:r w:rsidR="007E7855" w:rsidRPr="007E7855">
          <w:rPr>
            <w:rStyle w:val="Hyperlink"/>
            <w:rFonts w:ascii="Calibri" w:eastAsia="Times New Roman" w:hAnsi="Calibri" w:cs="Times New Roman"/>
            <w:bCs/>
            <w:iCs/>
            <w:noProof/>
          </w:rPr>
          <w:t>: Proportion of domestic HDR enrolments by SES, 2011</w:t>
        </w:r>
        <w:r w:rsidR="007E7855" w:rsidRPr="007E7855">
          <w:rPr>
            <w:rStyle w:val="Hyperlink"/>
            <w:noProof/>
          </w:rPr>
          <w:t>–</w:t>
        </w:r>
        <w:r w:rsidR="007E7855" w:rsidRPr="007E7855">
          <w:rPr>
            <w:rStyle w:val="Hyperlink"/>
            <w:rFonts w:ascii="Calibri" w:eastAsia="Times New Roman" w:hAnsi="Calibri" w:cs="Times New Roman"/>
            <w:bCs/>
            <w:iCs/>
            <w:noProof/>
          </w:rPr>
          <w:t>17</w:t>
        </w:r>
        <w:r w:rsidR="007E7855" w:rsidRPr="007E7855">
          <w:rPr>
            <w:noProof/>
            <w:webHidden/>
          </w:rPr>
          <w:tab/>
        </w:r>
        <w:r w:rsidR="00134E70">
          <w:rPr>
            <w:noProof/>
            <w:webHidden/>
          </w:rPr>
          <w:t>21</w:t>
        </w:r>
      </w:hyperlink>
    </w:p>
    <w:p w14:paraId="574EA2E4" w14:textId="2A44E290" w:rsidR="007E7855" w:rsidRPr="007E7855" w:rsidRDefault="00B81D63">
      <w:pPr>
        <w:pStyle w:val="TableofFigures"/>
        <w:tabs>
          <w:tab w:val="right" w:leader="dot" w:pos="9016"/>
        </w:tabs>
        <w:rPr>
          <w:noProof/>
          <w:lang w:eastAsia="en-AU"/>
        </w:rPr>
      </w:pPr>
      <w:hyperlink w:anchor="_Toc17907075" w:history="1">
        <w:r w:rsidR="007E7855" w:rsidRPr="007E7855">
          <w:rPr>
            <w:rStyle w:val="Hyperlink"/>
            <w:noProof/>
          </w:rPr>
          <w:t>Figure 14</w:t>
        </w:r>
        <w:r w:rsidR="007E7855" w:rsidRPr="007E7855">
          <w:rPr>
            <w:rStyle w:val="Hyperlink"/>
            <w:rFonts w:ascii="Calibri" w:eastAsia="Times New Roman" w:hAnsi="Calibri" w:cs="Times New Roman"/>
            <w:bCs/>
            <w:iCs/>
            <w:noProof/>
          </w:rPr>
          <w:t>: Distribution of HDR enrolments among university alliances by SES, 2017</w:t>
        </w:r>
        <w:r w:rsidR="007E7855" w:rsidRPr="007E7855">
          <w:rPr>
            <w:noProof/>
            <w:webHidden/>
          </w:rPr>
          <w:tab/>
        </w:r>
        <w:r w:rsidR="00134E70">
          <w:rPr>
            <w:noProof/>
            <w:webHidden/>
          </w:rPr>
          <w:t>22</w:t>
        </w:r>
      </w:hyperlink>
    </w:p>
    <w:p w14:paraId="7ECBF90A" w14:textId="6580946A" w:rsidR="007E7855" w:rsidRPr="007E7855" w:rsidRDefault="00B81D63">
      <w:pPr>
        <w:pStyle w:val="TableofFigures"/>
        <w:tabs>
          <w:tab w:val="right" w:leader="dot" w:pos="9016"/>
        </w:tabs>
        <w:rPr>
          <w:noProof/>
          <w:lang w:eastAsia="en-AU"/>
        </w:rPr>
      </w:pPr>
      <w:hyperlink w:anchor="_Toc17907076" w:history="1">
        <w:r w:rsidR="007E7855" w:rsidRPr="007E7855">
          <w:rPr>
            <w:rStyle w:val="Hyperlink"/>
            <w:noProof/>
          </w:rPr>
          <w:t>Figure 15</w:t>
        </w:r>
        <w:r w:rsidR="007E7855" w:rsidRPr="007E7855">
          <w:rPr>
            <w:rStyle w:val="Hyperlink"/>
            <w:rFonts w:ascii="Calibri" w:eastAsia="Times New Roman" w:hAnsi="Calibri" w:cs="Times New Roman"/>
            <w:bCs/>
            <w:iCs/>
            <w:noProof/>
          </w:rPr>
          <w:t>: Proportion of domestic HDR enrolments by age and regionality, 2017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_Toc17907076 \h </w:instrText>
        </w:r>
        <w:r w:rsidR="007E7855" w:rsidRPr="007E7855">
          <w:rPr>
            <w:noProof/>
            <w:webHidden/>
          </w:rPr>
        </w:r>
        <w:r w:rsidR="007E7855" w:rsidRPr="007E7855">
          <w:rPr>
            <w:noProof/>
            <w:webHidden/>
          </w:rPr>
          <w:fldChar w:fldCharType="separate"/>
        </w:r>
        <w:r w:rsidR="00075142">
          <w:rPr>
            <w:noProof/>
            <w:webHidden/>
          </w:rPr>
          <w:t>24</w:t>
        </w:r>
        <w:r w:rsidR="007E7855" w:rsidRPr="007E7855">
          <w:rPr>
            <w:noProof/>
            <w:webHidden/>
          </w:rPr>
          <w:fldChar w:fldCharType="end"/>
        </w:r>
      </w:hyperlink>
    </w:p>
    <w:p w14:paraId="721DEA44" w14:textId="48ACAE53" w:rsidR="007E7855" w:rsidRPr="007E7855" w:rsidRDefault="00B81D63">
      <w:pPr>
        <w:pStyle w:val="TableofFigures"/>
        <w:tabs>
          <w:tab w:val="right" w:leader="dot" w:pos="9016"/>
        </w:tabs>
        <w:rPr>
          <w:noProof/>
          <w:lang w:eastAsia="en-AU"/>
        </w:rPr>
      </w:pPr>
      <w:hyperlink w:anchor="_Toc17907077" w:history="1">
        <w:r w:rsidR="007E7855" w:rsidRPr="007E7855">
          <w:rPr>
            <w:rStyle w:val="Hyperlink"/>
            <w:noProof/>
          </w:rPr>
          <w:t>Figure 16</w:t>
        </w:r>
        <w:r w:rsidR="007E7855" w:rsidRPr="007E7855">
          <w:rPr>
            <w:rStyle w:val="Hyperlink"/>
            <w:rFonts w:ascii="Calibri" w:eastAsia="Times New Roman" w:hAnsi="Calibri" w:cs="Times New Roman"/>
            <w:bCs/>
            <w:iCs/>
            <w:noProof/>
          </w:rPr>
          <w:t>: HDR enrolments by alliance and regionality, 2017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_Toc17907077 \h </w:instrText>
        </w:r>
        <w:r w:rsidR="007E7855" w:rsidRPr="007E7855">
          <w:rPr>
            <w:noProof/>
            <w:webHidden/>
          </w:rPr>
        </w:r>
        <w:r w:rsidR="007E7855" w:rsidRPr="007E7855">
          <w:rPr>
            <w:noProof/>
            <w:webHidden/>
          </w:rPr>
          <w:fldChar w:fldCharType="separate"/>
        </w:r>
        <w:r w:rsidR="00075142">
          <w:rPr>
            <w:noProof/>
            <w:webHidden/>
          </w:rPr>
          <w:t>24</w:t>
        </w:r>
        <w:r w:rsidR="007E7855" w:rsidRPr="007E7855">
          <w:rPr>
            <w:noProof/>
            <w:webHidden/>
          </w:rPr>
          <w:fldChar w:fldCharType="end"/>
        </w:r>
      </w:hyperlink>
    </w:p>
    <w:p w14:paraId="00B139CE" w14:textId="12B5FFC6" w:rsidR="007E7855" w:rsidRPr="007E7855" w:rsidRDefault="00B81D63">
      <w:pPr>
        <w:pStyle w:val="TableofFigures"/>
        <w:tabs>
          <w:tab w:val="right" w:leader="dot" w:pos="9016"/>
        </w:tabs>
        <w:rPr>
          <w:noProof/>
          <w:lang w:eastAsia="en-AU"/>
        </w:rPr>
      </w:pPr>
      <w:hyperlink w:anchor="_Toc17907078" w:history="1">
        <w:r w:rsidR="007E7855" w:rsidRPr="007E7855">
          <w:rPr>
            <w:rStyle w:val="Hyperlink"/>
            <w:noProof/>
          </w:rPr>
          <w:t>Figure 17</w:t>
        </w:r>
        <w:r w:rsidR="007E7855" w:rsidRPr="007E7855">
          <w:rPr>
            <w:rStyle w:val="Hyperlink"/>
            <w:rFonts w:ascii="Calibri" w:eastAsia="Times New Roman" w:hAnsi="Calibri" w:cs="Times New Roman"/>
            <w:bCs/>
            <w:iCs/>
            <w:noProof/>
          </w:rPr>
          <w:t>: Proportion of domestic HDR enrolments by broad FoE and regionality, 2017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_Toc17907078 \h </w:instrText>
        </w:r>
        <w:r w:rsidR="007E7855" w:rsidRPr="007E7855">
          <w:rPr>
            <w:noProof/>
            <w:webHidden/>
          </w:rPr>
        </w:r>
        <w:r w:rsidR="007E7855" w:rsidRPr="007E7855">
          <w:rPr>
            <w:noProof/>
            <w:webHidden/>
          </w:rPr>
          <w:fldChar w:fldCharType="separate"/>
        </w:r>
        <w:r w:rsidR="00075142">
          <w:rPr>
            <w:noProof/>
            <w:webHidden/>
          </w:rPr>
          <w:t>25</w:t>
        </w:r>
        <w:r w:rsidR="007E7855" w:rsidRPr="007E7855">
          <w:rPr>
            <w:noProof/>
            <w:webHidden/>
          </w:rPr>
          <w:fldChar w:fldCharType="end"/>
        </w:r>
      </w:hyperlink>
    </w:p>
    <w:p w14:paraId="2A033422" w14:textId="16BCB3AD" w:rsidR="007E7855" w:rsidRPr="007E7855" w:rsidRDefault="00B81D63">
      <w:pPr>
        <w:pStyle w:val="TableofFigures"/>
        <w:tabs>
          <w:tab w:val="right" w:leader="dot" w:pos="9016"/>
        </w:tabs>
        <w:rPr>
          <w:noProof/>
          <w:lang w:eastAsia="en-AU"/>
        </w:rPr>
      </w:pPr>
      <w:hyperlink w:anchor="_Toc17907079" w:history="1">
        <w:r w:rsidR="007E7855" w:rsidRPr="007E7855">
          <w:rPr>
            <w:rStyle w:val="Hyperlink"/>
            <w:noProof/>
          </w:rPr>
          <w:t>Figure 18</w:t>
        </w:r>
        <w:r w:rsidR="007E7855" w:rsidRPr="007E7855">
          <w:rPr>
            <w:rStyle w:val="Hyperlink"/>
            <w:rFonts w:ascii="Calibri" w:eastAsia="Times New Roman" w:hAnsi="Calibri" w:cs="Times New Roman"/>
            <w:bCs/>
            <w:iCs/>
            <w:noProof/>
          </w:rPr>
          <w:t>: Proportion of enrolled domestic HDR students with disability, 2006–17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_Toc17907079 \h </w:instrText>
        </w:r>
        <w:r w:rsidR="007E7855" w:rsidRPr="007E7855">
          <w:rPr>
            <w:noProof/>
            <w:webHidden/>
          </w:rPr>
        </w:r>
        <w:r w:rsidR="007E7855" w:rsidRPr="007E7855">
          <w:rPr>
            <w:noProof/>
            <w:webHidden/>
          </w:rPr>
          <w:fldChar w:fldCharType="separate"/>
        </w:r>
        <w:r w:rsidR="00075142">
          <w:rPr>
            <w:noProof/>
            <w:webHidden/>
          </w:rPr>
          <w:t>26</w:t>
        </w:r>
        <w:r w:rsidR="007E7855" w:rsidRPr="007E7855">
          <w:rPr>
            <w:noProof/>
            <w:webHidden/>
          </w:rPr>
          <w:fldChar w:fldCharType="end"/>
        </w:r>
      </w:hyperlink>
    </w:p>
    <w:p w14:paraId="57F3BAD7" w14:textId="6AF76F69" w:rsidR="007E7855" w:rsidRPr="007E7855" w:rsidRDefault="00B81D63">
      <w:pPr>
        <w:pStyle w:val="TableofFigures"/>
        <w:tabs>
          <w:tab w:val="right" w:leader="dot" w:pos="9016"/>
        </w:tabs>
        <w:rPr>
          <w:noProof/>
          <w:lang w:eastAsia="en-AU"/>
        </w:rPr>
      </w:pPr>
      <w:hyperlink w:anchor="_Toc17907080" w:history="1">
        <w:r w:rsidR="007E7855" w:rsidRPr="007E7855">
          <w:rPr>
            <w:rStyle w:val="Hyperlink"/>
            <w:noProof/>
          </w:rPr>
          <w:t>Figure 19</w:t>
        </w:r>
        <w:r w:rsidR="007E7855" w:rsidRPr="007E7855">
          <w:rPr>
            <w:rStyle w:val="Hyperlink"/>
            <w:rFonts w:ascii="Calibri" w:eastAsia="Times New Roman" w:hAnsi="Calibri" w:cs="Times New Roman"/>
            <w:bCs/>
            <w:iCs/>
            <w:noProof/>
          </w:rPr>
          <w:t>: Proportion of enrolments for domestic HDR students with disability, by field of education, 2006</w:t>
        </w:r>
        <w:r w:rsidR="007E7855" w:rsidRPr="007E7855">
          <w:rPr>
            <w:rStyle w:val="Hyperlink"/>
            <w:rFonts w:ascii="Verdana" w:hAnsi="Verdana" w:cs="Calibri"/>
            <w:noProof/>
          </w:rPr>
          <w:t>–</w:t>
        </w:r>
        <w:r w:rsidR="007E7855" w:rsidRPr="007E7855">
          <w:rPr>
            <w:rStyle w:val="Hyperlink"/>
            <w:rFonts w:ascii="Calibri" w:eastAsia="Times New Roman" w:hAnsi="Calibri" w:cs="Times New Roman"/>
            <w:bCs/>
            <w:iCs/>
            <w:noProof/>
          </w:rPr>
          <w:t>17</w:t>
        </w:r>
        <w:r w:rsidR="007E7855" w:rsidRPr="007E7855">
          <w:rPr>
            <w:noProof/>
            <w:webHidden/>
          </w:rPr>
          <w:tab/>
        </w:r>
        <w:r w:rsidR="007E7855" w:rsidRPr="007E7855">
          <w:rPr>
            <w:noProof/>
            <w:webHidden/>
          </w:rPr>
          <w:fldChar w:fldCharType="begin"/>
        </w:r>
        <w:r w:rsidR="007E7855" w:rsidRPr="007E7855">
          <w:rPr>
            <w:noProof/>
            <w:webHidden/>
          </w:rPr>
          <w:instrText xml:space="preserve"> PAGEREF _Toc17907080 \h </w:instrText>
        </w:r>
        <w:r w:rsidR="007E7855" w:rsidRPr="007E7855">
          <w:rPr>
            <w:noProof/>
            <w:webHidden/>
          </w:rPr>
        </w:r>
        <w:r w:rsidR="007E7855" w:rsidRPr="007E7855">
          <w:rPr>
            <w:noProof/>
            <w:webHidden/>
          </w:rPr>
          <w:fldChar w:fldCharType="separate"/>
        </w:r>
        <w:r w:rsidR="00075142">
          <w:rPr>
            <w:noProof/>
            <w:webHidden/>
          </w:rPr>
          <w:t>27</w:t>
        </w:r>
        <w:r w:rsidR="007E7855" w:rsidRPr="007E7855">
          <w:rPr>
            <w:noProof/>
            <w:webHidden/>
          </w:rPr>
          <w:fldChar w:fldCharType="end"/>
        </w:r>
      </w:hyperlink>
    </w:p>
    <w:p w14:paraId="620D4071" w14:textId="6D40BE6E" w:rsidR="00DC0254" w:rsidRPr="00A14E0A" w:rsidRDefault="0021516D" w:rsidP="00DC0254">
      <w:r w:rsidRPr="007E7855">
        <w:fldChar w:fldCharType="end"/>
      </w:r>
    </w:p>
    <w:p w14:paraId="316E0957" w14:textId="77777777" w:rsidR="008A0E29" w:rsidRDefault="008A0E29" w:rsidP="008A0E29">
      <w:pPr>
        <w:pStyle w:val="Heading1"/>
      </w:pPr>
      <w:bookmarkStart w:id="2" w:name="_Toc23841269"/>
      <w:r>
        <w:t>List of Tables</w:t>
      </w:r>
      <w:bookmarkEnd w:id="2"/>
    </w:p>
    <w:p w14:paraId="089A7438" w14:textId="2DB5143E" w:rsidR="00723BC6" w:rsidRDefault="008A0E29">
      <w:pPr>
        <w:pStyle w:val="TableofFigures"/>
        <w:tabs>
          <w:tab w:val="right" w:leader="dot" w:pos="9016"/>
        </w:tabs>
        <w:rPr>
          <w:noProof/>
          <w:lang w:eastAsia="en-AU"/>
        </w:rPr>
      </w:pPr>
      <w:r>
        <w:fldChar w:fldCharType="begin"/>
      </w:r>
      <w:r>
        <w:instrText xml:space="preserve"> TOC \h \z \c "Table" </w:instrText>
      </w:r>
      <w:r>
        <w:fldChar w:fldCharType="separate"/>
      </w:r>
      <w:hyperlink w:anchor="_Toc17287215" w:history="1">
        <w:r w:rsidR="00723BC6" w:rsidRPr="00A94F75">
          <w:rPr>
            <w:rStyle w:val="Hyperlink"/>
            <w:noProof/>
          </w:rPr>
          <w:t>Table 1</w:t>
        </w:r>
        <w:r w:rsidR="00723BC6" w:rsidRPr="00A94F75">
          <w:rPr>
            <w:rStyle w:val="Hyperlink"/>
            <w:rFonts w:eastAsia="Times New Roman" w:cs="Times New Roman"/>
            <w:noProof/>
          </w:rPr>
          <w:t>: Age distribution among domestic HDR students, 2017</w:t>
        </w:r>
        <w:r w:rsidR="00723BC6">
          <w:rPr>
            <w:noProof/>
            <w:webHidden/>
          </w:rPr>
          <w:tab/>
        </w:r>
        <w:r w:rsidR="00723BC6">
          <w:rPr>
            <w:noProof/>
            <w:webHidden/>
          </w:rPr>
          <w:fldChar w:fldCharType="begin"/>
        </w:r>
        <w:r w:rsidR="00723BC6">
          <w:rPr>
            <w:noProof/>
            <w:webHidden/>
          </w:rPr>
          <w:instrText xml:space="preserve"> PAGEREF _Toc17287215 \h </w:instrText>
        </w:r>
        <w:r w:rsidR="00723BC6">
          <w:rPr>
            <w:noProof/>
            <w:webHidden/>
          </w:rPr>
        </w:r>
        <w:r w:rsidR="00723BC6">
          <w:rPr>
            <w:noProof/>
            <w:webHidden/>
          </w:rPr>
          <w:fldChar w:fldCharType="separate"/>
        </w:r>
        <w:r w:rsidR="00075142">
          <w:rPr>
            <w:noProof/>
            <w:webHidden/>
          </w:rPr>
          <w:t>9</w:t>
        </w:r>
        <w:r w:rsidR="00723BC6">
          <w:rPr>
            <w:noProof/>
            <w:webHidden/>
          </w:rPr>
          <w:fldChar w:fldCharType="end"/>
        </w:r>
      </w:hyperlink>
    </w:p>
    <w:p w14:paraId="28692B30" w14:textId="386C009B" w:rsidR="00723BC6" w:rsidRDefault="00B81D63">
      <w:pPr>
        <w:pStyle w:val="TableofFigures"/>
        <w:tabs>
          <w:tab w:val="right" w:leader="dot" w:pos="9016"/>
        </w:tabs>
        <w:rPr>
          <w:noProof/>
          <w:lang w:eastAsia="en-AU"/>
        </w:rPr>
      </w:pPr>
      <w:hyperlink w:anchor="_Toc17287216" w:history="1">
        <w:r w:rsidR="00723BC6" w:rsidRPr="00A94F75">
          <w:rPr>
            <w:rStyle w:val="Hyperlink"/>
            <w:noProof/>
          </w:rPr>
          <w:t>Table 2: Selected cohorts and proportions awarded RTP stipends each year, 2006–17</w:t>
        </w:r>
        <w:r w:rsidR="00723BC6">
          <w:rPr>
            <w:noProof/>
            <w:webHidden/>
          </w:rPr>
          <w:tab/>
        </w:r>
        <w:r w:rsidR="00723BC6">
          <w:rPr>
            <w:noProof/>
            <w:webHidden/>
          </w:rPr>
          <w:fldChar w:fldCharType="begin"/>
        </w:r>
        <w:r w:rsidR="00723BC6">
          <w:rPr>
            <w:noProof/>
            <w:webHidden/>
          </w:rPr>
          <w:instrText xml:space="preserve"> PAGEREF _Toc17287216 \h </w:instrText>
        </w:r>
        <w:r w:rsidR="00723BC6">
          <w:rPr>
            <w:noProof/>
            <w:webHidden/>
          </w:rPr>
        </w:r>
        <w:r w:rsidR="00723BC6">
          <w:rPr>
            <w:noProof/>
            <w:webHidden/>
          </w:rPr>
          <w:fldChar w:fldCharType="separate"/>
        </w:r>
        <w:r w:rsidR="00075142">
          <w:rPr>
            <w:noProof/>
            <w:webHidden/>
          </w:rPr>
          <w:t>11</w:t>
        </w:r>
        <w:r w:rsidR="00723BC6">
          <w:rPr>
            <w:noProof/>
            <w:webHidden/>
          </w:rPr>
          <w:fldChar w:fldCharType="end"/>
        </w:r>
      </w:hyperlink>
    </w:p>
    <w:p w14:paraId="5BFB6945" w14:textId="5FA64463" w:rsidR="008A0E29" w:rsidRPr="008A0E29" w:rsidRDefault="008A0E29" w:rsidP="008A0E29">
      <w:r>
        <w:fldChar w:fldCharType="end"/>
      </w:r>
    </w:p>
    <w:p w14:paraId="5702590D" w14:textId="77777777" w:rsidR="00DC0254" w:rsidRDefault="00DC0254">
      <w:pPr>
        <w:rPr>
          <w:rFonts w:ascii="Calibri" w:eastAsiaTheme="majorEastAsia" w:hAnsi="Calibri" w:cstheme="majorBidi"/>
          <w:b/>
          <w:bCs/>
          <w:color w:val="522761"/>
          <w:sz w:val="36"/>
          <w:szCs w:val="28"/>
        </w:rPr>
      </w:pPr>
      <w:r>
        <w:br w:type="page"/>
      </w:r>
    </w:p>
    <w:p w14:paraId="101F3186" w14:textId="77777777" w:rsidR="00A751A4" w:rsidRDefault="0003404E" w:rsidP="00A751A4">
      <w:pPr>
        <w:pStyle w:val="Heading1"/>
      </w:pPr>
      <w:bookmarkStart w:id="3" w:name="_Toc23841270"/>
      <w:r>
        <w:t>Executive Summary</w:t>
      </w:r>
      <w:bookmarkEnd w:id="3"/>
    </w:p>
    <w:p w14:paraId="17BBA771" w14:textId="77777777" w:rsidR="0003404E" w:rsidRDefault="0003404E" w:rsidP="0003404E">
      <w:pPr>
        <w:spacing w:after="160"/>
      </w:pPr>
      <w:r>
        <w:t xml:space="preserve">In response to the 2016 </w:t>
      </w:r>
      <w:r w:rsidRPr="00AA147D">
        <w:rPr>
          <w:i/>
        </w:rPr>
        <w:t>Review of Australia’s Research Training System</w:t>
      </w:r>
      <w:r>
        <w:t>, the Australian Government made a commitment to monitor and undertake analysis of issues surrounding representation of equity groups in higher degree by research (HDR) training.</w:t>
      </w:r>
    </w:p>
    <w:p w14:paraId="151351A7" w14:textId="1F0D4CBF" w:rsidR="0003404E" w:rsidRDefault="0003404E" w:rsidP="0003404E">
      <w:pPr>
        <w:spacing w:after="160"/>
      </w:pPr>
      <w:r>
        <w:t>This report presents</w:t>
      </w:r>
      <w:r w:rsidR="00791D7C">
        <w:t xml:space="preserve"> analysis and</w:t>
      </w:r>
      <w:r>
        <w:t xml:space="preserve"> selected data on </w:t>
      </w:r>
      <w:r w:rsidRPr="002F56D1">
        <w:t>enrolments, commencements and completion</w:t>
      </w:r>
      <w:r>
        <w:t>s for HDR students over the period 2006 to 2017, organised by the</w:t>
      </w:r>
      <w:r w:rsidRPr="00BD78B3">
        <w:t xml:space="preserve"> themes of </w:t>
      </w:r>
      <w:r>
        <w:t xml:space="preserve">financial support, </w:t>
      </w:r>
      <w:r w:rsidRPr="00BD78B3">
        <w:t>gender,</w:t>
      </w:r>
      <w:r w:rsidR="000D4384" w:rsidRPr="000D4384">
        <w:t xml:space="preserve"> </w:t>
      </w:r>
      <w:r w:rsidR="003E7D13">
        <w:t>socio</w:t>
      </w:r>
      <w:r w:rsidR="000D4384" w:rsidRPr="00BD78B3">
        <w:t>economic status (SES)</w:t>
      </w:r>
      <w:r w:rsidR="000D4384">
        <w:t>,</w:t>
      </w:r>
      <w:r w:rsidRPr="00BD78B3">
        <w:t xml:space="preserve"> </w:t>
      </w:r>
      <w:r w:rsidR="000D4384" w:rsidRPr="00BD78B3">
        <w:t>regional/remote status</w:t>
      </w:r>
      <w:r w:rsidR="000D4384">
        <w:t>, and disability</w:t>
      </w:r>
      <w:r w:rsidRPr="00BD78B3">
        <w:t>.</w:t>
      </w:r>
      <w:r>
        <w:t xml:space="preserve"> Some of the key findings include:</w:t>
      </w:r>
    </w:p>
    <w:p w14:paraId="462B50C4" w14:textId="1F6A869A" w:rsidR="000D4384" w:rsidRDefault="000D4384" w:rsidP="000D4384">
      <w:pPr>
        <w:pStyle w:val="ListParagraph"/>
        <w:numPr>
          <w:ilvl w:val="0"/>
          <w:numId w:val="19"/>
        </w:numPr>
        <w:spacing w:after="160"/>
        <w:ind w:left="714" w:hanging="357"/>
      </w:pPr>
      <w:r>
        <w:t xml:space="preserve">Access to Commonwealth fee </w:t>
      </w:r>
      <w:r w:rsidR="00723BC6">
        <w:t>offset</w:t>
      </w:r>
      <w:r>
        <w:t>s and stipends for domestic students increased over the period. Some groups have a consistently</w:t>
      </w:r>
      <w:r w:rsidR="00723BC6">
        <w:t xml:space="preserve"> lower rate, including low SES </w:t>
      </w:r>
      <w:r>
        <w:t xml:space="preserve">and part-time students. </w:t>
      </w:r>
    </w:p>
    <w:p w14:paraId="225EA8A0" w14:textId="77777777" w:rsidR="000D4384" w:rsidRDefault="000D4384" w:rsidP="000D4384">
      <w:pPr>
        <w:pStyle w:val="ListParagraph"/>
        <w:numPr>
          <w:ilvl w:val="0"/>
          <w:numId w:val="19"/>
        </w:numPr>
        <w:spacing w:after="160"/>
        <w:ind w:left="714" w:hanging="357"/>
      </w:pPr>
      <w:r>
        <w:t>Women made up the majority of domestic HDR enrolments, commencements and completions. However, women were a minority in most science, technology, engineering and mathematics (STEM) fields with the exception of biological sciences and other natural and physical sciences.</w:t>
      </w:r>
    </w:p>
    <w:p w14:paraId="4D3D57D5" w14:textId="2F1ADF5E" w:rsidR="000D4384" w:rsidRDefault="000D4384" w:rsidP="000D4384">
      <w:pPr>
        <w:pStyle w:val="ListParagraph"/>
        <w:numPr>
          <w:ilvl w:val="0"/>
          <w:numId w:val="19"/>
        </w:numPr>
        <w:spacing w:after="160"/>
        <w:ind w:left="714" w:hanging="357"/>
      </w:pPr>
      <w:r>
        <w:t xml:space="preserve">Men were well-represented in STEM but under-represented in virtually all fields </w:t>
      </w:r>
      <w:r w:rsidRPr="0045302F">
        <w:t>of health, education and creative arts</w:t>
      </w:r>
      <w:r>
        <w:t>.</w:t>
      </w:r>
    </w:p>
    <w:p w14:paraId="21301E9B" w14:textId="4C04AB9D" w:rsidR="0003404E" w:rsidRDefault="0003404E" w:rsidP="0003404E">
      <w:pPr>
        <w:pStyle w:val="ListParagraph"/>
        <w:numPr>
          <w:ilvl w:val="0"/>
          <w:numId w:val="19"/>
        </w:numPr>
        <w:spacing w:after="160"/>
        <w:ind w:left="714" w:hanging="357"/>
      </w:pPr>
      <w:r>
        <w:t xml:space="preserve">Regional and remote students, and students of medium and low SES remained significantly under-represented in the HDR student population. There was little change in </w:t>
      </w:r>
      <w:r w:rsidR="007918A5">
        <w:t xml:space="preserve">the </w:t>
      </w:r>
      <w:r>
        <w:t>representation</w:t>
      </w:r>
      <w:r w:rsidR="007918A5">
        <w:t xml:space="preserve"> of these students</w:t>
      </w:r>
      <w:r>
        <w:t xml:space="preserve"> over the period. </w:t>
      </w:r>
    </w:p>
    <w:p w14:paraId="4E12D6DB" w14:textId="77777777" w:rsidR="0003404E" w:rsidRDefault="0003404E" w:rsidP="0003404E">
      <w:pPr>
        <w:pStyle w:val="ListParagraph"/>
        <w:numPr>
          <w:ilvl w:val="0"/>
          <w:numId w:val="19"/>
        </w:numPr>
        <w:spacing w:after="160"/>
        <w:ind w:left="714" w:hanging="357"/>
      </w:pPr>
      <w:r>
        <w:t>Regional students were more likely to be older, and less likely to attend their course internally compared to metropolitan students.</w:t>
      </w:r>
    </w:p>
    <w:p w14:paraId="43C97264" w14:textId="7ABC862F" w:rsidR="0003404E" w:rsidRDefault="0003404E" w:rsidP="0003404E">
      <w:pPr>
        <w:pStyle w:val="ListParagraph"/>
        <w:numPr>
          <w:ilvl w:val="0"/>
          <w:numId w:val="19"/>
        </w:numPr>
        <w:spacing w:after="160"/>
      </w:pPr>
      <w:r>
        <w:t>Regional and remote students were most strongly represented in the fields of a</w:t>
      </w:r>
      <w:r w:rsidRPr="00D93703">
        <w:t xml:space="preserve">griculture, </w:t>
      </w:r>
      <w:r>
        <w:t>e</w:t>
      </w:r>
      <w:r w:rsidRPr="00D93703">
        <w:t xml:space="preserve">nvironment and </w:t>
      </w:r>
      <w:r>
        <w:t>r</w:t>
      </w:r>
      <w:r w:rsidRPr="00D93703">
        <w:t xml:space="preserve">elated </w:t>
      </w:r>
      <w:r>
        <w:t>s</w:t>
      </w:r>
      <w:r w:rsidRPr="00D93703">
        <w:t xml:space="preserve">tudies and </w:t>
      </w:r>
      <w:r>
        <w:t>e</w:t>
      </w:r>
      <w:r w:rsidRPr="00D93703">
        <w:t>ducation</w:t>
      </w:r>
      <w:r>
        <w:t>.</w:t>
      </w:r>
      <w:r w:rsidRPr="003F1B65">
        <w:t xml:space="preserve"> </w:t>
      </w:r>
    </w:p>
    <w:p w14:paraId="0C505941" w14:textId="77777777" w:rsidR="0003404E" w:rsidRDefault="0003404E" w:rsidP="0003404E">
      <w:pPr>
        <w:pStyle w:val="ListParagraph"/>
        <w:numPr>
          <w:ilvl w:val="0"/>
          <w:numId w:val="19"/>
        </w:numPr>
        <w:spacing w:after="160"/>
        <w:ind w:left="714" w:hanging="357"/>
      </w:pPr>
      <w:r>
        <w:t>The proportion of HDR students with disability increased significantly between 2006 and 2017.</w:t>
      </w:r>
    </w:p>
    <w:p w14:paraId="2BD945BE" w14:textId="5842C435" w:rsidR="0003404E" w:rsidRDefault="0003404E" w:rsidP="0003404E">
      <w:pPr>
        <w:pStyle w:val="ListParagraph"/>
        <w:numPr>
          <w:ilvl w:val="0"/>
          <w:numId w:val="19"/>
        </w:numPr>
        <w:spacing w:after="160"/>
        <w:ind w:left="714" w:hanging="357"/>
      </w:pPr>
      <w:r>
        <w:t>Overall, the HDR cohort mirrors many of the equity participation patterns seen in undergraduate education, though most equity groups exhibit lower rates of participation in HDR compared to undergraduate courses.</w:t>
      </w:r>
    </w:p>
    <w:p w14:paraId="49555B8C" w14:textId="77777777" w:rsidR="0003404E" w:rsidRDefault="0003404E">
      <w:pPr>
        <w:rPr>
          <w:rFonts w:ascii="Calibri" w:eastAsiaTheme="majorEastAsia" w:hAnsi="Calibri" w:cstheme="majorBidi"/>
          <w:b/>
          <w:bCs/>
          <w:color w:val="522761"/>
          <w:sz w:val="36"/>
          <w:szCs w:val="28"/>
        </w:rPr>
      </w:pPr>
      <w:r>
        <w:br w:type="page"/>
      </w:r>
    </w:p>
    <w:p w14:paraId="6AA5E0D0" w14:textId="77777777" w:rsidR="0003404E" w:rsidRDefault="0003404E" w:rsidP="0003404E">
      <w:pPr>
        <w:pStyle w:val="Heading1"/>
      </w:pPr>
      <w:bookmarkStart w:id="4" w:name="_Toc23841271"/>
      <w:r>
        <w:t>Preface</w:t>
      </w:r>
      <w:bookmarkEnd w:id="4"/>
    </w:p>
    <w:p w14:paraId="78AE70B6" w14:textId="44C07E1F" w:rsidR="0003404E" w:rsidRDefault="0003404E" w:rsidP="0003404E">
      <w:r>
        <w:t xml:space="preserve">The 2016 </w:t>
      </w:r>
      <w:r w:rsidRPr="00165BB1">
        <w:rPr>
          <w:i/>
        </w:rPr>
        <w:t>Review of Australia’s Research Training System</w:t>
      </w:r>
      <w:r>
        <w:t xml:space="preserve"> (the Review), conducted by the Australian Council of Learned Academies (ACOLA), </w:t>
      </w:r>
      <w:r w:rsidR="0038004E">
        <w:t>included</w:t>
      </w:r>
      <w:r>
        <w:t xml:space="preserve"> a discussion of the representation of equity groups in </w:t>
      </w:r>
      <w:r w:rsidR="00FF067E">
        <w:t>HDR</w:t>
      </w:r>
      <w:r>
        <w:t xml:space="preserve"> training. The primary focus was on the low representation of </w:t>
      </w:r>
      <w:r w:rsidRPr="00FD201C">
        <w:t xml:space="preserve">Aboriginal and Torres Strait Islander peoples </w:t>
      </w:r>
      <w:r>
        <w:t>in HDR training, but it also noted the challenges faced by other equity groups including students from a rural or low socioeconomic background.</w:t>
      </w:r>
      <w:r>
        <w:rPr>
          <w:rStyle w:val="FootnoteReference"/>
        </w:rPr>
        <w:footnoteReference w:id="1"/>
      </w:r>
      <w:r>
        <w:t xml:space="preserve"> </w:t>
      </w:r>
    </w:p>
    <w:p w14:paraId="5726FE8F" w14:textId="6932527B" w:rsidR="0003404E" w:rsidRDefault="0003404E" w:rsidP="0003404E">
      <w:r>
        <w:t>In response to the Review, stakeholders developed a Research Training Implementation Plan (RTIP), released by the Australian Government in December 2017. The RTIP includes a number of action items related to the participation of equity groups</w:t>
      </w:r>
      <w:r w:rsidR="00FF067E">
        <w:t xml:space="preserve"> (Actions 3.1 to 3.4)</w:t>
      </w:r>
      <w:r>
        <w:t>. Among these is a commitment to monitor and undertake analysis of issues surrounding participation of equity groups includin</w:t>
      </w:r>
      <w:r w:rsidR="003E7D13">
        <w:t>g students of low socio</w:t>
      </w:r>
      <w:r>
        <w:t xml:space="preserve">economic </w:t>
      </w:r>
      <w:r w:rsidR="00AD50D4">
        <w:t>and regional/remote backgrounds</w:t>
      </w:r>
      <w:r>
        <w:t xml:space="preserve"> </w:t>
      </w:r>
      <w:r w:rsidR="00AD50D4">
        <w:t xml:space="preserve">and </w:t>
      </w:r>
      <w:r w:rsidRPr="001A6BC3">
        <w:t xml:space="preserve">Aboriginal and Torres Strait Islander </w:t>
      </w:r>
      <w:r>
        <w:t>students (Action 3.1).</w:t>
      </w:r>
      <w:r>
        <w:rPr>
          <w:rStyle w:val="FootnoteReference"/>
        </w:rPr>
        <w:footnoteReference w:id="2"/>
      </w:r>
    </w:p>
    <w:p w14:paraId="0E00AB50" w14:textId="3B61D729" w:rsidR="0003404E" w:rsidRDefault="0003404E" w:rsidP="0003404E">
      <w:r>
        <w:t>This report is one of a number of responses to these actions released by the</w:t>
      </w:r>
      <w:r w:rsidR="000A66BC">
        <w:t xml:space="preserve"> Department of Education (the </w:t>
      </w:r>
      <w:r>
        <w:t>department</w:t>
      </w:r>
      <w:r w:rsidR="000A66BC">
        <w:t>)</w:t>
      </w:r>
      <w:r>
        <w:t xml:space="preserve">. It presents selected data </w:t>
      </w:r>
      <w:r w:rsidR="00964833">
        <w:t xml:space="preserve">and analysis </w:t>
      </w:r>
      <w:r>
        <w:t xml:space="preserve">on enrolments, commencements and completions for </w:t>
      </w:r>
      <w:r w:rsidR="000D4384">
        <w:t xml:space="preserve">HDR </w:t>
      </w:r>
      <w:r w:rsidR="000A66BC">
        <w:t xml:space="preserve">programs </w:t>
      </w:r>
      <w:r w:rsidR="003E7D13">
        <w:t>over the period 2006 to 2017</w:t>
      </w:r>
      <w:r>
        <w:t xml:space="preserve">, organised by the themes of financial support, gender, </w:t>
      </w:r>
      <w:r w:rsidR="000A66BC">
        <w:t>SES</w:t>
      </w:r>
      <w:r>
        <w:t xml:space="preserve">, regional/remote status and disability. </w:t>
      </w:r>
      <w:r w:rsidRPr="0050357B">
        <w:t xml:space="preserve">The data </w:t>
      </w:r>
      <w:r>
        <w:t>refers to all</w:t>
      </w:r>
      <w:r w:rsidRPr="0050357B">
        <w:t xml:space="preserve"> </w:t>
      </w:r>
      <w:r>
        <w:t xml:space="preserve">Australian </w:t>
      </w:r>
      <w:r w:rsidRPr="0050357B">
        <w:t xml:space="preserve">institutions that enrol </w:t>
      </w:r>
      <w:r>
        <w:t>HDR</w:t>
      </w:r>
      <w:r w:rsidRPr="0050357B">
        <w:t xml:space="preserve"> students, both universities and a </w:t>
      </w:r>
      <w:r>
        <w:t xml:space="preserve">small </w:t>
      </w:r>
      <w:r w:rsidRPr="0050357B">
        <w:t>number of other higher education providers.</w:t>
      </w:r>
      <w:r>
        <w:t xml:space="preserve"> </w:t>
      </w:r>
      <w:r w:rsidRPr="00293E6C">
        <w:t>In all cases</w:t>
      </w:r>
      <w:r>
        <w:t>,</w:t>
      </w:r>
      <w:r w:rsidRPr="00293E6C">
        <w:t xml:space="preserve"> the data is </w:t>
      </w:r>
      <w:r>
        <w:t>derived from</w:t>
      </w:r>
      <w:r w:rsidRPr="00293E6C">
        <w:t xml:space="preserve"> custom queries to </w:t>
      </w:r>
      <w:r>
        <w:t>the department’s internal databases.</w:t>
      </w:r>
      <w:r w:rsidRPr="00293E6C">
        <w:t xml:space="preserve"> </w:t>
      </w:r>
      <w:r>
        <w:t>D</w:t>
      </w:r>
      <w:r w:rsidRPr="00293E6C">
        <w:t>ue to the</w:t>
      </w:r>
      <w:r>
        <w:t xml:space="preserve"> coding used to remove double counting of</w:t>
      </w:r>
      <w:r w:rsidRPr="00293E6C">
        <w:t xml:space="preserve"> enrolments</w:t>
      </w:r>
      <w:r>
        <w:t>,</w:t>
      </w:r>
      <w:r w:rsidRPr="00293E6C">
        <w:t xml:space="preserve"> the results may differ slightly from other public data.</w:t>
      </w:r>
    </w:p>
    <w:p w14:paraId="64A0CD20" w14:textId="667B029E" w:rsidR="00B86AB4" w:rsidRDefault="00B86AB4" w:rsidP="0003404E">
      <w:r>
        <w:t>Student numbers are presented on</w:t>
      </w:r>
      <w:r w:rsidRPr="00B86AB4">
        <w:t xml:space="preserve"> </w:t>
      </w:r>
      <w:r>
        <w:t>the basis of individual student enrolments, rather than an equivalent full-time student load (EFTSL) basis. One reason for this approach is that HDR students do not</w:t>
      </w:r>
      <w:r w:rsidR="003A040A">
        <w:t xml:space="preserve"> undertake typical</w:t>
      </w:r>
      <w:r>
        <w:t xml:space="preserve"> units of study and therefore it can be dif</w:t>
      </w:r>
      <w:r w:rsidR="003A040A">
        <w:t>ficult to consistently estimate</w:t>
      </w:r>
      <w:r>
        <w:t xml:space="preserve"> EFTSL. Further, as some equity groups have different attendance type patterns, enrolments give a more meaningful picture of equity group participation than EFTSL</w:t>
      </w:r>
      <w:r w:rsidR="003A040A">
        <w:t>.</w:t>
      </w:r>
    </w:p>
    <w:p w14:paraId="3106FB66" w14:textId="5D8391A8" w:rsidR="0003404E" w:rsidRDefault="0003404E" w:rsidP="0003404E">
      <w:r>
        <w:t>Where representation has remained relatively static over this period, the report generally</w:t>
      </w:r>
      <w:r w:rsidR="007918A5">
        <w:t xml:space="preserve"> only</w:t>
      </w:r>
      <w:r>
        <w:t xml:space="preserve"> provides a chart for the most recent available year, while some more significant changes are shown as a time series. As domestic students remain the primary focus of efforts to improve the representation of equity groups, this report does not address the position of international students except as a point of comparison.</w:t>
      </w:r>
    </w:p>
    <w:p w14:paraId="1E2450A4" w14:textId="43524E53" w:rsidR="00960351" w:rsidRDefault="0003404E" w:rsidP="0003404E">
      <w:r>
        <w:t>While the HDR cohort mirrors many of the patterns seen in undergraduate education, most equity groups exhibit lower rates of participation in HDR compared to undergraduate courses.</w:t>
      </w:r>
      <w:r>
        <w:rPr>
          <w:rStyle w:val="FootnoteReference"/>
        </w:rPr>
        <w:footnoteReference w:id="3"/>
      </w:r>
      <w:r>
        <w:t xml:space="preserve"> By making departmental data at this level of detail more readily available, it is hoped that the report will serve as a useful resource in highlighting the </w:t>
      </w:r>
      <w:r w:rsidR="00964833">
        <w:t>under-</w:t>
      </w:r>
      <w:r>
        <w:t xml:space="preserve">representation of equity groups in HDR. </w:t>
      </w:r>
      <w:r w:rsidR="00964833">
        <w:t xml:space="preserve">Further, the </w:t>
      </w:r>
      <w:r w:rsidR="00960351">
        <w:br w:type="page"/>
      </w:r>
    </w:p>
    <w:p w14:paraId="73E7406F" w14:textId="78BFC7AE" w:rsidR="00964833" w:rsidRDefault="00964833" w:rsidP="0003404E">
      <w:r>
        <w:t>analysis identifies areas of need</w:t>
      </w:r>
      <w:r w:rsidRPr="00964833">
        <w:t xml:space="preserve"> where policy interventions could improve commencements, enrolments and completions.</w:t>
      </w:r>
    </w:p>
    <w:p w14:paraId="099FCE00" w14:textId="1F266412" w:rsidR="0003404E" w:rsidRDefault="003A040A" w:rsidP="0003404E">
      <w:r>
        <w:t xml:space="preserve">A separate report, </w:t>
      </w:r>
      <w:r w:rsidRPr="003A040A">
        <w:rPr>
          <w:i/>
        </w:rPr>
        <w:t>Indigenous Students in Higher Degrees by Research</w:t>
      </w:r>
      <w:r w:rsidR="002A0F10">
        <w:t xml:space="preserve">, </w:t>
      </w:r>
      <w:r w:rsidR="007918A5">
        <w:t>focuses</w:t>
      </w:r>
      <w:r>
        <w:t xml:space="preserve"> on </w:t>
      </w:r>
      <w:r w:rsidR="0003404E" w:rsidRPr="008057B1">
        <w:t>Aboriginal and Torres Strait Islander peoples</w:t>
      </w:r>
      <w:r w:rsidR="0003404E">
        <w:t>’</w:t>
      </w:r>
      <w:r w:rsidR="0003404E" w:rsidRPr="008057B1">
        <w:t xml:space="preserve"> </w:t>
      </w:r>
      <w:r w:rsidR="0003404E">
        <w:t>participation in HDR, and include</w:t>
      </w:r>
      <w:r w:rsidR="007918A5">
        <w:t>s</w:t>
      </w:r>
      <w:r w:rsidR="0003404E">
        <w:t xml:space="preserve"> the results of a survey on financial support for </w:t>
      </w:r>
      <w:r w:rsidR="0003404E" w:rsidRPr="008057B1">
        <w:t>Aboriginal and Torres Strait Islander</w:t>
      </w:r>
      <w:r w:rsidR="0003404E">
        <w:t xml:space="preserve"> students.</w:t>
      </w:r>
    </w:p>
    <w:p w14:paraId="52AE8A39" w14:textId="77777777" w:rsidR="0003404E" w:rsidRDefault="0003404E">
      <w:r>
        <w:br w:type="page"/>
      </w:r>
    </w:p>
    <w:p w14:paraId="0CF99DB4" w14:textId="77777777" w:rsidR="0003404E" w:rsidRDefault="0003404E" w:rsidP="0003404E">
      <w:pPr>
        <w:pStyle w:val="Heading1"/>
        <w:numPr>
          <w:ilvl w:val="0"/>
          <w:numId w:val="20"/>
        </w:numPr>
      </w:pPr>
      <w:bookmarkStart w:id="5" w:name="_Toc23841272"/>
      <w:r>
        <w:t>Overview</w:t>
      </w:r>
      <w:bookmarkEnd w:id="5"/>
    </w:p>
    <w:p w14:paraId="77865D02" w14:textId="48F523E2" w:rsidR="0003404E" w:rsidRDefault="0003404E" w:rsidP="0003404E">
      <w:r w:rsidRPr="003B3F11">
        <w:t xml:space="preserve">In 2017 there were 66,145 students enrolled in a </w:t>
      </w:r>
      <w:r w:rsidR="003E7D13">
        <w:t>HDR</w:t>
      </w:r>
      <w:r w:rsidR="00D2018E">
        <w:t xml:space="preserve"> program</w:t>
      </w:r>
      <w:r w:rsidRPr="003B3F11">
        <w:t xml:space="preserve"> in Australia, representing 4 per cent of all higher education enrolments. Total HDR enrolments rose every year between 2006 and 2017, with particularly strong growth between 2009 and 2015. This growth was driven by international enrolments, </w:t>
      </w:r>
      <w:r>
        <w:t>which increased</w:t>
      </w:r>
      <w:r w:rsidRPr="003B3F11">
        <w:t xml:space="preserve"> as a proportion of total enrolments from 18 per</w:t>
      </w:r>
      <w:r w:rsidR="00D2018E">
        <w:t> </w:t>
      </w:r>
      <w:r w:rsidRPr="003B3F11">
        <w:t>cent in 2006 to 33 per cent in 2017. Domestic enrolments generally increased every year, but declined by 541 in 2017 – the first decline since 2008 (</w:t>
      </w:r>
      <w:r w:rsidR="0021516D">
        <w:fldChar w:fldCharType="begin"/>
      </w:r>
      <w:r w:rsidR="0021516D">
        <w:instrText xml:space="preserve"> REF _Ref2774039 \h </w:instrText>
      </w:r>
      <w:r w:rsidR="0021516D">
        <w:fldChar w:fldCharType="separate"/>
      </w:r>
      <w:r w:rsidR="00075142">
        <w:t xml:space="preserve">Figure </w:t>
      </w:r>
      <w:r w:rsidR="00075142">
        <w:rPr>
          <w:noProof/>
        </w:rPr>
        <w:t>1</w:t>
      </w:r>
      <w:r w:rsidR="0021516D">
        <w:fldChar w:fldCharType="end"/>
      </w:r>
      <w:r w:rsidR="00233643">
        <w:t>).</w:t>
      </w:r>
      <w:r w:rsidR="009725B8">
        <w:t xml:space="preserve"> </w:t>
      </w:r>
    </w:p>
    <w:p w14:paraId="54D17017" w14:textId="633416D9" w:rsidR="0003404E" w:rsidRPr="00931427" w:rsidRDefault="0021516D" w:rsidP="00931427">
      <w:pPr>
        <w:pStyle w:val="Caption"/>
        <w:rPr>
          <w:rFonts w:eastAsia="Times New Roman" w:cs="Times New Roman"/>
          <w:b w:val="0"/>
          <w:bCs w:val="0"/>
          <w:iCs w:val="0"/>
        </w:rPr>
      </w:pPr>
      <w:bookmarkStart w:id="6" w:name="_Ref2774039"/>
      <w:bookmarkStart w:id="7" w:name="Figure1"/>
      <w:bookmarkStart w:id="8" w:name="_Ref2774010"/>
      <w:bookmarkStart w:id="9" w:name="_Toc13836170"/>
      <w:bookmarkStart w:id="10" w:name="_Toc17907062"/>
      <w:r>
        <w:t xml:space="preserve">Figure </w:t>
      </w:r>
      <w:fldSimple w:instr=" SEQ Figure \* ARABIC ">
        <w:r w:rsidR="00075142">
          <w:rPr>
            <w:noProof/>
          </w:rPr>
          <w:t>1</w:t>
        </w:r>
      </w:fldSimple>
      <w:bookmarkEnd w:id="6"/>
      <w:bookmarkEnd w:id="7"/>
      <w:r w:rsidR="0003404E" w:rsidRPr="0003404E">
        <w:rPr>
          <w:rFonts w:eastAsia="Times New Roman" w:cs="Times New Roman"/>
        </w:rPr>
        <w:t>: HDR enrolments b</w:t>
      </w:r>
      <w:r w:rsidR="00931427">
        <w:rPr>
          <w:rFonts w:eastAsia="Times New Roman" w:cs="Times New Roman"/>
        </w:rPr>
        <w:t>y citizenship and gender, 2006–</w:t>
      </w:r>
      <w:r w:rsidR="0003404E" w:rsidRPr="0003404E">
        <w:rPr>
          <w:rFonts w:eastAsia="Times New Roman" w:cs="Times New Roman"/>
        </w:rPr>
        <w:t>17</w:t>
      </w:r>
      <w:bookmarkEnd w:id="8"/>
      <w:bookmarkEnd w:id="9"/>
      <w:bookmarkEnd w:id="10"/>
      <w:r w:rsidR="0003404E" w:rsidRPr="0003404E">
        <w:rPr>
          <w:rFonts w:eastAsia="Times New Roman" w:cs="Times New Roman"/>
        </w:rPr>
        <w:t xml:space="preserve"> </w:t>
      </w:r>
    </w:p>
    <w:p w14:paraId="2255F026" w14:textId="44D17B29" w:rsidR="00931427" w:rsidRDefault="001C5612" w:rsidP="0003404E">
      <w:pPr>
        <w:rPr>
          <w:rFonts w:ascii="Calibri" w:eastAsia="Times New Roman" w:hAnsi="Calibri" w:cs="Times New Roman"/>
        </w:rPr>
      </w:pPr>
      <w:r>
        <w:rPr>
          <w:rFonts w:ascii="Calibri" w:eastAsia="Times New Roman" w:hAnsi="Calibri" w:cs="Times New Roman"/>
          <w:noProof/>
          <w:lang w:eastAsia="en-AU"/>
        </w:rPr>
        <w:drawing>
          <wp:inline distT="0" distB="0" distL="0" distR="0" wp14:anchorId="336EA797" wp14:editId="0D8452E3">
            <wp:extent cx="5486400" cy="3612008"/>
            <wp:effectExtent l="0" t="0" r="0" b="7620"/>
            <wp:docPr id="17" name="Picture 17" descr="From 2006 to 2017, total HDR enrolments increased each year, from a base of 49,000 in 2006 to 66,000 in 2017. Domestic women were the majority of domestic enrolments across this period. International men made up the majority of international enrolments from 2006 to 2017.&#10;Note: figures are rounded to the nearest hundred." title="Figure 1: HDR enrolments by citizenship and gender, 2006–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5486400" cy="3612008"/>
                    </a:xfrm>
                    <a:prstGeom prst="rect">
                      <a:avLst/>
                    </a:prstGeom>
                    <a:noFill/>
                  </pic:spPr>
                </pic:pic>
              </a:graphicData>
            </a:graphic>
          </wp:inline>
        </w:drawing>
      </w:r>
    </w:p>
    <w:p w14:paraId="01C5F6A7" w14:textId="77055334" w:rsidR="0003404E" w:rsidRPr="0003404E" w:rsidRDefault="0003404E" w:rsidP="0003404E">
      <w:pPr>
        <w:rPr>
          <w:rFonts w:ascii="Calibri" w:eastAsia="Times New Roman" w:hAnsi="Calibri" w:cs="Times New Roman"/>
        </w:rPr>
      </w:pPr>
      <w:r w:rsidRPr="0003404E">
        <w:rPr>
          <w:rFonts w:ascii="Calibri" w:eastAsia="Times New Roman" w:hAnsi="Calibri" w:cs="Times New Roman"/>
        </w:rPr>
        <w:t xml:space="preserve">Proportionally, the largest cohort through this period was domestic women, followed by domestic men, international men and international women. </w:t>
      </w:r>
    </w:p>
    <w:p w14:paraId="22942568" w14:textId="571D9D38" w:rsidR="0003404E" w:rsidRPr="0003404E" w:rsidRDefault="003E7D13" w:rsidP="0003404E">
      <w:pPr>
        <w:rPr>
          <w:rFonts w:ascii="Calibri" w:eastAsia="Times New Roman" w:hAnsi="Calibri" w:cs="Times New Roman"/>
        </w:rPr>
      </w:pPr>
      <w:r>
        <w:rPr>
          <w:rFonts w:ascii="Calibri" w:eastAsia="Times New Roman" w:hAnsi="Calibri" w:cs="Times New Roman"/>
        </w:rPr>
        <w:t>In 2017</w:t>
      </w:r>
      <w:r w:rsidR="0003404E" w:rsidRPr="0003404E">
        <w:rPr>
          <w:rFonts w:ascii="Calibri" w:eastAsia="Times New Roman" w:hAnsi="Calibri" w:cs="Times New Roman"/>
        </w:rPr>
        <w:t xml:space="preserve"> 14,896 students commenced an HDR degree, including 9,083 domestic and 5,813 international students. The number of domestic commencements declined from a high of 9,810 in 2014, although domestic completions, which lag commencements, were still rising </w:t>
      </w:r>
      <w:r w:rsidR="00075142">
        <w:rPr>
          <w:rFonts w:ascii="Calibri" w:eastAsia="Times New Roman" w:hAnsi="Calibri" w:cs="Times New Roman"/>
        </w:rPr>
        <w:t>(</w:t>
      </w:r>
      <w:r w:rsidR="00075142" w:rsidRPr="00075142">
        <w:rPr>
          <w:rFonts w:ascii="Calibri" w:eastAsia="Times New Roman" w:hAnsi="Calibri" w:cs="Times New Roman"/>
        </w:rPr>
        <w:fldChar w:fldCharType="begin"/>
      </w:r>
      <w:r w:rsidR="00075142" w:rsidRPr="00075142">
        <w:rPr>
          <w:rFonts w:ascii="Calibri" w:eastAsia="Times New Roman" w:hAnsi="Calibri" w:cs="Times New Roman"/>
        </w:rPr>
        <w:instrText xml:space="preserve"> REF _Ref30426323 \h  \* MERGEFORMAT </w:instrText>
      </w:r>
      <w:r w:rsidR="00075142" w:rsidRPr="00075142">
        <w:rPr>
          <w:rFonts w:ascii="Calibri" w:eastAsia="Times New Roman" w:hAnsi="Calibri" w:cs="Times New Roman"/>
        </w:rPr>
      </w:r>
      <w:r w:rsidR="00075142" w:rsidRPr="00075142">
        <w:rPr>
          <w:rFonts w:ascii="Calibri" w:eastAsia="Times New Roman" w:hAnsi="Calibri" w:cs="Times New Roman"/>
        </w:rPr>
        <w:fldChar w:fldCharType="separate"/>
      </w:r>
      <w:r w:rsidR="00075142" w:rsidRPr="00075142">
        <w:t xml:space="preserve">Figure </w:t>
      </w:r>
      <w:r w:rsidR="00075142" w:rsidRPr="00075142">
        <w:rPr>
          <w:noProof/>
        </w:rPr>
        <w:t>2</w:t>
      </w:r>
      <w:r w:rsidR="00075142" w:rsidRPr="00075142">
        <w:rPr>
          <w:rFonts w:ascii="Calibri" w:eastAsia="Times New Roman" w:hAnsi="Calibri" w:cs="Times New Roman"/>
        </w:rPr>
        <w:fldChar w:fldCharType="end"/>
      </w:r>
      <w:r w:rsidR="00075142">
        <w:rPr>
          <w:rFonts w:ascii="Calibri" w:eastAsia="Times New Roman" w:hAnsi="Calibri" w:cs="Times New Roman"/>
        </w:rPr>
        <w:t>).</w:t>
      </w:r>
    </w:p>
    <w:p w14:paraId="08318DA9" w14:textId="77777777" w:rsidR="002A3962" w:rsidRDefault="0003404E" w:rsidP="007E7855">
      <w:pPr>
        <w:rPr>
          <w:rFonts w:ascii="Calibri" w:eastAsia="Times New Roman" w:hAnsi="Calibri" w:cs="Times New Roman"/>
        </w:rPr>
      </w:pPr>
      <w:r w:rsidRPr="0003404E">
        <w:rPr>
          <w:rFonts w:ascii="Calibri" w:eastAsia="Times New Roman" w:hAnsi="Calibri" w:cs="Times New Roman"/>
        </w:rPr>
        <w:t>Between 2006 and 2017, about 20 per cent of all domestic enrolments each year were first-year students starting their degree (commencements). In 2017, 10,739 students completed their degree, including 6,787 domestic and 3,952 international students. Over th</w:t>
      </w:r>
      <w:r w:rsidR="00B872BB">
        <w:rPr>
          <w:rFonts w:ascii="Calibri" w:eastAsia="Times New Roman" w:hAnsi="Calibri" w:cs="Times New Roman"/>
        </w:rPr>
        <w:t>is</w:t>
      </w:r>
      <w:r w:rsidRPr="0003404E">
        <w:rPr>
          <w:rFonts w:ascii="Calibri" w:eastAsia="Times New Roman" w:hAnsi="Calibri" w:cs="Times New Roman"/>
        </w:rPr>
        <w:t xml:space="preserve"> period, students who completed their degree </w:t>
      </w:r>
      <w:r w:rsidR="003E7D13">
        <w:rPr>
          <w:rFonts w:ascii="Calibri" w:eastAsia="Times New Roman" w:hAnsi="Calibri" w:cs="Times New Roman"/>
        </w:rPr>
        <w:t>were</w:t>
      </w:r>
      <w:r w:rsidR="00B872BB" w:rsidRPr="0003404E">
        <w:rPr>
          <w:rFonts w:ascii="Calibri" w:eastAsia="Times New Roman" w:hAnsi="Calibri" w:cs="Times New Roman"/>
        </w:rPr>
        <w:t xml:space="preserve"> </w:t>
      </w:r>
      <w:r w:rsidR="003E7D13">
        <w:rPr>
          <w:rFonts w:ascii="Calibri" w:eastAsia="Times New Roman" w:hAnsi="Calibri" w:cs="Times New Roman"/>
        </w:rPr>
        <w:t>between 13</w:t>
      </w:r>
      <w:r w:rsidR="003E7D13">
        <w:rPr>
          <w:rFonts w:ascii="Calibri" w:eastAsia="Times New Roman" w:hAnsi="Calibri" w:cs="Times New Roman"/>
        </w:rPr>
        <w:softHyphen/>
      </w:r>
      <w:r w:rsidR="003E7D13">
        <w:rPr>
          <w:rFonts w:ascii="Calibri" w:eastAsia="Times New Roman" w:hAnsi="Calibri" w:cs="Times New Roman"/>
        </w:rPr>
        <w:softHyphen/>
      </w:r>
      <w:r w:rsidR="003E7D13">
        <w:rPr>
          <w:rFonts w:ascii="Calibri" w:eastAsia="Times New Roman" w:hAnsi="Calibri" w:cs="Times New Roman"/>
        </w:rPr>
        <w:softHyphen/>
      </w:r>
      <w:r w:rsidR="003E7D13">
        <w:rPr>
          <w:rFonts w:ascii="Calibri" w:eastAsia="Times New Roman" w:hAnsi="Calibri" w:cs="Times New Roman"/>
        </w:rPr>
        <w:softHyphen/>
      </w:r>
      <w:r w:rsidR="003E7D13">
        <w:rPr>
          <w:rFonts w:ascii="Calibri" w:eastAsia="Times New Roman" w:hAnsi="Calibri" w:cs="Times New Roman"/>
        </w:rPr>
        <w:softHyphen/>
      </w:r>
      <w:r w:rsidR="003E7D13">
        <w:rPr>
          <w:rFonts w:ascii="Calibri" w:eastAsia="Times New Roman" w:hAnsi="Calibri" w:cs="Times New Roman"/>
        </w:rPr>
        <w:softHyphen/>
      </w:r>
      <w:r w:rsidR="003E7D13">
        <w:rPr>
          <w:rFonts w:ascii="Verdana" w:hAnsi="Verdana" w:cs="Calibri"/>
          <w:color w:val="000000"/>
          <w:sz w:val="16"/>
          <w:szCs w:val="16"/>
        </w:rPr>
        <w:t>–</w:t>
      </w:r>
      <w:r w:rsidRPr="0003404E">
        <w:rPr>
          <w:rFonts w:ascii="Calibri" w:eastAsia="Times New Roman" w:hAnsi="Calibri" w:cs="Times New Roman"/>
        </w:rPr>
        <w:t>15 per cent of all domestic enrolments each year, and international completions were between 13</w:t>
      </w:r>
      <w:r w:rsidR="003E7D13">
        <w:rPr>
          <w:rFonts w:ascii="Verdana" w:hAnsi="Verdana" w:cs="Calibri"/>
          <w:color w:val="000000"/>
          <w:sz w:val="16"/>
          <w:szCs w:val="16"/>
        </w:rPr>
        <w:t>–</w:t>
      </w:r>
      <w:r w:rsidRPr="0003404E">
        <w:rPr>
          <w:rFonts w:ascii="Calibri" w:eastAsia="Times New Roman" w:hAnsi="Calibri" w:cs="Times New Roman"/>
        </w:rPr>
        <w:t>18 per cent of international enrolments.</w:t>
      </w:r>
      <w:bookmarkStart w:id="11" w:name="_Toc13836171"/>
    </w:p>
    <w:p w14:paraId="539E22C9" w14:textId="77777777" w:rsidR="002A3962" w:rsidRDefault="002A3962">
      <w:pPr>
        <w:rPr>
          <w:rFonts w:ascii="Calibri" w:eastAsia="Times New Roman" w:hAnsi="Calibri" w:cs="Times New Roman"/>
        </w:rPr>
      </w:pPr>
      <w:r>
        <w:rPr>
          <w:rFonts w:ascii="Calibri" w:eastAsia="Times New Roman" w:hAnsi="Calibri" w:cs="Times New Roman"/>
        </w:rPr>
        <w:br w:type="page"/>
      </w:r>
    </w:p>
    <w:p w14:paraId="4D392093" w14:textId="461C0D7C" w:rsidR="0003404E" w:rsidRPr="007166F0" w:rsidRDefault="002A3962" w:rsidP="002A3962">
      <w:pPr>
        <w:rPr>
          <w:b/>
        </w:rPr>
      </w:pPr>
      <w:r w:rsidRPr="007166F0">
        <w:rPr>
          <w:b/>
        </w:rPr>
        <w:t xml:space="preserve"> </w:t>
      </w:r>
      <w:bookmarkStart w:id="12" w:name="_Ref14331938"/>
      <w:bookmarkStart w:id="13" w:name="_Ref30426323"/>
      <w:bookmarkStart w:id="14" w:name="_Toc17907063"/>
      <w:bookmarkEnd w:id="12"/>
      <w:r w:rsidR="0021516D" w:rsidRPr="007166F0">
        <w:rPr>
          <w:b/>
        </w:rPr>
        <w:t xml:space="preserve">Figure </w:t>
      </w:r>
      <w:r w:rsidR="00F97C40" w:rsidRPr="007166F0">
        <w:rPr>
          <w:b/>
        </w:rPr>
        <w:fldChar w:fldCharType="begin"/>
      </w:r>
      <w:r w:rsidR="00F97C40" w:rsidRPr="007166F0">
        <w:rPr>
          <w:b/>
        </w:rPr>
        <w:instrText xml:space="preserve"> SEQ Figure \* ARABIC </w:instrText>
      </w:r>
      <w:r w:rsidR="00F97C40" w:rsidRPr="007166F0">
        <w:rPr>
          <w:b/>
        </w:rPr>
        <w:fldChar w:fldCharType="separate"/>
      </w:r>
      <w:r w:rsidR="00075142">
        <w:rPr>
          <w:b/>
          <w:noProof/>
        </w:rPr>
        <w:t>2</w:t>
      </w:r>
      <w:r w:rsidR="00F97C40" w:rsidRPr="007166F0">
        <w:rPr>
          <w:b/>
          <w:noProof/>
        </w:rPr>
        <w:fldChar w:fldCharType="end"/>
      </w:r>
      <w:bookmarkEnd w:id="13"/>
      <w:r w:rsidR="0003404E" w:rsidRPr="007166F0">
        <w:rPr>
          <w:rFonts w:eastAsia="Times New Roman" w:cs="Times New Roman"/>
          <w:b/>
        </w:rPr>
        <w:t>: HDR commencements and completions, 2006–17</w:t>
      </w:r>
      <w:bookmarkEnd w:id="11"/>
      <w:bookmarkEnd w:id="14"/>
    </w:p>
    <w:p w14:paraId="443150FB" w14:textId="21405C95" w:rsidR="00C9519E" w:rsidRPr="00C9519E" w:rsidRDefault="00C9519E" w:rsidP="00C9519E">
      <w:r w:rsidRPr="00C44CCA">
        <w:rPr>
          <w:b/>
          <w:noProof/>
          <w:lang w:eastAsia="en-AU"/>
        </w:rPr>
        <w:drawing>
          <wp:inline distT="0" distB="0" distL="0" distR="0" wp14:anchorId="356C5E80" wp14:editId="09A6F32E">
            <wp:extent cx="5499100" cy="3670300"/>
            <wp:effectExtent l="0" t="0" r="6350" b="6350"/>
            <wp:docPr id="18" name="Picture 18" descr="From 2006 to 2017, HDR domestic commencements rose from a base of  8,800 in 2006 to a high of 9,800 in 2014, then declined after 2014. The number of domestic completions remained steady from 2006 to 2012, then significantly increased from 2012 to 2017. Notably, both international commencements and completions more than doubled from 2006 and 2017. International commencements increased from 2,500 in 2006 to 5,800 in 2017. International completions rose from 1,500 in 2006 to 4,000 in 2017.&#10;Note: figures are rounded to the nearest hundred.&#10;" title="Figure 2: HDR commencements and completions,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499100" cy="3670300"/>
                    </a:xfrm>
                    <a:prstGeom prst="rect">
                      <a:avLst/>
                    </a:prstGeom>
                    <a:noFill/>
                  </pic:spPr>
                </pic:pic>
              </a:graphicData>
            </a:graphic>
          </wp:inline>
        </w:drawing>
      </w:r>
    </w:p>
    <w:p w14:paraId="53B8CCA6" w14:textId="03EFB06D" w:rsidR="0003404E" w:rsidRPr="0003404E" w:rsidRDefault="0003404E" w:rsidP="0003404E">
      <w:pPr>
        <w:rPr>
          <w:rFonts w:ascii="Calibri" w:eastAsia="Times New Roman" w:hAnsi="Calibri" w:cs="Times New Roman"/>
        </w:rPr>
      </w:pPr>
      <w:r w:rsidRPr="0003404E">
        <w:rPr>
          <w:rFonts w:ascii="Calibri" w:eastAsia="Times New Roman" w:hAnsi="Calibri" w:cs="Times New Roman"/>
        </w:rPr>
        <w:t>The vast majority of domes</w:t>
      </w:r>
      <w:r w:rsidR="003E7D13">
        <w:rPr>
          <w:rFonts w:ascii="Calibri" w:eastAsia="Times New Roman" w:hAnsi="Calibri" w:cs="Times New Roman"/>
        </w:rPr>
        <w:t>tic HDR students were studying d</w:t>
      </w:r>
      <w:r w:rsidRPr="0003404E">
        <w:rPr>
          <w:rFonts w:ascii="Calibri" w:eastAsia="Times New Roman" w:hAnsi="Calibri" w:cs="Times New Roman"/>
        </w:rPr>
        <w:t>octorates by</w:t>
      </w:r>
      <w:r w:rsidR="003E7D13">
        <w:rPr>
          <w:rFonts w:ascii="Calibri" w:eastAsia="Times New Roman" w:hAnsi="Calibri" w:cs="Times New Roman"/>
        </w:rPr>
        <w:t xml:space="preserve"> research; over the period 2006</w:t>
      </w:r>
      <w:r w:rsidR="003E7D13">
        <w:rPr>
          <w:rFonts w:ascii="Verdana" w:hAnsi="Verdana" w:cs="Calibri"/>
          <w:color w:val="000000"/>
          <w:sz w:val="16"/>
          <w:szCs w:val="16"/>
        </w:rPr>
        <w:t>–</w:t>
      </w:r>
      <w:r w:rsidRPr="0003404E">
        <w:rPr>
          <w:rFonts w:ascii="Calibri" w:eastAsia="Times New Roman" w:hAnsi="Calibri" w:cs="Times New Roman"/>
        </w:rPr>
        <w:t>17</w:t>
      </w:r>
      <w:r w:rsidR="00B872BB">
        <w:rPr>
          <w:rFonts w:ascii="Calibri" w:eastAsia="Times New Roman" w:hAnsi="Calibri" w:cs="Times New Roman"/>
        </w:rPr>
        <w:t>,</w:t>
      </w:r>
      <w:r w:rsidRPr="0003404E">
        <w:rPr>
          <w:rFonts w:ascii="Calibri" w:eastAsia="Times New Roman" w:hAnsi="Calibri" w:cs="Times New Roman"/>
        </w:rPr>
        <w:t xml:space="preserve"> th</w:t>
      </w:r>
      <w:r w:rsidR="00B872BB">
        <w:rPr>
          <w:rFonts w:ascii="Calibri" w:eastAsia="Times New Roman" w:hAnsi="Calibri" w:cs="Times New Roman"/>
        </w:rPr>
        <w:t>is</w:t>
      </w:r>
      <w:r w:rsidRPr="0003404E">
        <w:rPr>
          <w:rFonts w:ascii="Calibri" w:eastAsia="Times New Roman" w:hAnsi="Calibri" w:cs="Times New Roman"/>
        </w:rPr>
        <w:t xml:space="preserve"> proportion increased from 82 to 85 per cent, </w:t>
      </w:r>
      <w:r w:rsidR="00B872BB">
        <w:rPr>
          <w:rFonts w:ascii="Calibri" w:eastAsia="Times New Roman" w:hAnsi="Calibri" w:cs="Times New Roman"/>
        </w:rPr>
        <w:t xml:space="preserve">with </w:t>
      </w:r>
      <w:r w:rsidRPr="0003404E">
        <w:rPr>
          <w:rFonts w:ascii="Calibri" w:eastAsia="Times New Roman" w:hAnsi="Calibri" w:cs="Times New Roman"/>
        </w:rPr>
        <w:t>the remainder studying for a</w:t>
      </w:r>
      <w:r w:rsidR="00125A98">
        <w:rPr>
          <w:rFonts w:ascii="Calibri" w:eastAsia="Times New Roman" w:hAnsi="Calibri" w:cs="Times New Roman"/>
        </w:rPr>
        <w:t xml:space="preserve"> </w:t>
      </w:r>
      <w:r w:rsidR="003E7D13">
        <w:rPr>
          <w:rFonts w:ascii="Calibri" w:eastAsia="Times New Roman" w:hAnsi="Calibri" w:cs="Times New Roman"/>
        </w:rPr>
        <w:t>m</w:t>
      </w:r>
      <w:r w:rsidR="002F1961">
        <w:rPr>
          <w:rFonts w:ascii="Calibri" w:eastAsia="Times New Roman" w:hAnsi="Calibri" w:cs="Times New Roman"/>
        </w:rPr>
        <w:t xml:space="preserve">asters by research or other HDR </w:t>
      </w:r>
      <w:r w:rsidR="00D2018E" w:rsidRPr="00D2018E">
        <w:rPr>
          <w:rFonts w:ascii="Calibri" w:eastAsia="Times New Roman" w:hAnsi="Calibri" w:cs="Times New Roman"/>
        </w:rPr>
        <w:t>programs</w:t>
      </w:r>
      <w:r w:rsidR="002F1961" w:rsidRPr="00D2018E">
        <w:rPr>
          <w:rFonts w:ascii="Calibri" w:eastAsia="Times New Roman" w:hAnsi="Calibri" w:cs="Times New Roman"/>
        </w:rPr>
        <w:t>.</w:t>
      </w:r>
    </w:p>
    <w:p w14:paraId="738FEBF2" w14:textId="77777777" w:rsidR="0003404E" w:rsidRPr="0003404E" w:rsidRDefault="0003404E" w:rsidP="0003404E">
      <w:pPr>
        <w:rPr>
          <w:rFonts w:ascii="Calibri" w:eastAsia="Times New Roman" w:hAnsi="Calibri" w:cs="Times New Roman"/>
        </w:rPr>
      </w:pPr>
      <w:r w:rsidRPr="0003404E">
        <w:rPr>
          <w:rFonts w:ascii="Calibri" w:eastAsia="Times New Roman" w:hAnsi="Calibri" w:cs="Times New Roman"/>
        </w:rPr>
        <w:t xml:space="preserve">The proportion of domestic students studying part-time (less than 0.75 EFTSL) declined from </w:t>
      </w:r>
      <w:r w:rsidRPr="0003404E">
        <w:rPr>
          <w:rFonts w:ascii="Calibri" w:eastAsia="Times New Roman" w:hAnsi="Calibri" w:cs="Times New Roman"/>
        </w:rPr>
        <w:br/>
        <w:t>51 per cent in 2006 to 41 per cent in 2014, before rising to 44 per cent in 2017.</w:t>
      </w:r>
      <w:r w:rsidRPr="0003404E" w:rsidDel="00E944E6">
        <w:rPr>
          <w:rFonts w:ascii="Calibri" w:eastAsia="Times New Roman" w:hAnsi="Calibri" w:cs="Times New Roman"/>
          <w:vertAlign w:val="superscript"/>
        </w:rPr>
        <w:t xml:space="preserve"> </w:t>
      </w:r>
    </w:p>
    <w:p w14:paraId="735B957A" w14:textId="54E6991C" w:rsidR="0003404E" w:rsidRPr="0003404E" w:rsidRDefault="0003404E" w:rsidP="0003404E">
      <w:pPr>
        <w:rPr>
          <w:rFonts w:ascii="Calibri" w:eastAsia="Times New Roman" w:hAnsi="Calibri" w:cs="Times New Roman"/>
        </w:rPr>
      </w:pPr>
      <w:r w:rsidRPr="0003404E">
        <w:rPr>
          <w:rFonts w:ascii="Calibri" w:eastAsia="Times New Roman" w:hAnsi="Calibri" w:cs="Times New Roman"/>
        </w:rPr>
        <w:t xml:space="preserve">In 2017, around 90 per cent of domestic HDR students studied on-campus, about 9 per cent </w:t>
      </w:r>
      <w:r w:rsidRPr="0003404E">
        <w:rPr>
          <w:rFonts w:ascii="Calibri" w:eastAsia="Times New Roman" w:hAnsi="Calibri" w:cs="Times New Roman"/>
        </w:rPr>
        <w:br/>
        <w:t xml:space="preserve">off-campus and the remainder studied </w:t>
      </w:r>
      <w:r w:rsidR="00B872BB">
        <w:rPr>
          <w:rFonts w:ascii="Calibri" w:eastAsia="Times New Roman" w:hAnsi="Calibri" w:cs="Times New Roman"/>
        </w:rPr>
        <w:t>both on-campus and off-campus.</w:t>
      </w:r>
      <w:r w:rsidRPr="0003404E">
        <w:rPr>
          <w:rFonts w:ascii="Calibri" w:eastAsia="Times New Roman" w:hAnsi="Calibri" w:cs="Times New Roman"/>
        </w:rPr>
        <w:t xml:space="preserve"> </w:t>
      </w:r>
    </w:p>
    <w:p w14:paraId="1B825F2F" w14:textId="0D4D8469" w:rsidR="0003404E" w:rsidRPr="0003404E" w:rsidRDefault="0003404E" w:rsidP="0003404E">
      <w:pPr>
        <w:rPr>
          <w:rFonts w:ascii="Calibri" w:eastAsia="Times New Roman" w:hAnsi="Calibri" w:cs="Times New Roman"/>
        </w:rPr>
      </w:pPr>
      <w:r w:rsidRPr="0003404E">
        <w:rPr>
          <w:rFonts w:ascii="Calibri" w:eastAsia="Times New Roman" w:hAnsi="Calibri" w:cs="Times New Roman"/>
        </w:rPr>
        <w:t>Over the period 2006</w:t>
      </w:r>
      <w:r w:rsidR="003E7D13">
        <w:rPr>
          <w:rFonts w:ascii="Verdana" w:hAnsi="Verdana" w:cs="Calibri"/>
          <w:color w:val="000000"/>
          <w:sz w:val="16"/>
          <w:szCs w:val="16"/>
        </w:rPr>
        <w:t>–</w:t>
      </w:r>
      <w:r w:rsidRPr="0003404E">
        <w:rPr>
          <w:rFonts w:ascii="Calibri" w:eastAsia="Times New Roman" w:hAnsi="Calibri" w:cs="Times New Roman"/>
        </w:rPr>
        <w:t>17, people</w:t>
      </w:r>
      <w:r w:rsidR="003E7D13">
        <w:rPr>
          <w:rFonts w:ascii="Calibri" w:eastAsia="Times New Roman" w:hAnsi="Calibri" w:cs="Times New Roman"/>
        </w:rPr>
        <w:t xml:space="preserve"> aged</w:t>
      </w:r>
      <w:r w:rsidRPr="0003404E">
        <w:rPr>
          <w:rFonts w:ascii="Calibri" w:eastAsia="Times New Roman" w:hAnsi="Calibri" w:cs="Times New Roman"/>
        </w:rPr>
        <w:t xml:space="preserve"> in their 30s increased their representation among domestic students slightly, however the majority of students were</w:t>
      </w:r>
      <w:r w:rsidR="007D63FC">
        <w:rPr>
          <w:rFonts w:ascii="Calibri" w:eastAsia="Times New Roman" w:hAnsi="Calibri" w:cs="Times New Roman"/>
        </w:rPr>
        <w:t xml:space="preserve"> over 40 years old (</w:t>
      </w:r>
      <w:r w:rsidR="0021516D">
        <w:rPr>
          <w:rFonts w:ascii="Calibri" w:eastAsia="Times New Roman" w:hAnsi="Calibri" w:cs="Times New Roman"/>
        </w:rPr>
        <w:fldChar w:fldCharType="begin"/>
      </w:r>
      <w:r w:rsidR="0021516D">
        <w:rPr>
          <w:rFonts w:ascii="Calibri" w:eastAsia="Times New Roman" w:hAnsi="Calibri" w:cs="Times New Roman"/>
        </w:rPr>
        <w:instrText xml:space="preserve"> REF _Ref2893500 \h </w:instrText>
      </w:r>
      <w:r w:rsidR="0021516D">
        <w:rPr>
          <w:rFonts w:ascii="Calibri" w:eastAsia="Times New Roman" w:hAnsi="Calibri" w:cs="Times New Roman"/>
        </w:rPr>
      </w:r>
      <w:r w:rsidR="0021516D">
        <w:rPr>
          <w:rFonts w:ascii="Calibri" w:eastAsia="Times New Roman" w:hAnsi="Calibri" w:cs="Times New Roman"/>
        </w:rPr>
        <w:fldChar w:fldCharType="separate"/>
      </w:r>
      <w:r w:rsidR="00075142">
        <w:t xml:space="preserve">Table </w:t>
      </w:r>
      <w:r w:rsidR="00075142">
        <w:rPr>
          <w:noProof/>
        </w:rPr>
        <w:t>1</w:t>
      </w:r>
      <w:r w:rsidR="0021516D">
        <w:rPr>
          <w:rFonts w:ascii="Calibri" w:eastAsia="Times New Roman" w:hAnsi="Calibri" w:cs="Times New Roman"/>
        </w:rPr>
        <w:fldChar w:fldCharType="end"/>
      </w:r>
      <w:r w:rsidR="007D63FC">
        <w:rPr>
          <w:rFonts w:ascii="Calibri" w:eastAsia="Times New Roman" w:hAnsi="Calibri" w:cs="Times New Roman"/>
        </w:rPr>
        <w:t>).</w:t>
      </w:r>
    </w:p>
    <w:p w14:paraId="738A5D45" w14:textId="7FDADC95" w:rsidR="0003404E" w:rsidRPr="0021516D" w:rsidRDefault="0021516D" w:rsidP="0021516D">
      <w:pPr>
        <w:pStyle w:val="Caption"/>
        <w:keepNext/>
      </w:pPr>
      <w:bookmarkStart w:id="15" w:name="_Ref2893500"/>
      <w:bookmarkStart w:id="16" w:name="_Toc17287215"/>
      <w:r>
        <w:t xml:space="preserve">Table </w:t>
      </w:r>
      <w:fldSimple w:instr=" SEQ Table \* ARABIC ">
        <w:r w:rsidR="00075142">
          <w:rPr>
            <w:noProof/>
          </w:rPr>
          <w:t>1</w:t>
        </w:r>
      </w:fldSimple>
      <w:bookmarkEnd w:id="15"/>
      <w:r w:rsidR="0003404E" w:rsidRPr="0003404E">
        <w:rPr>
          <w:rFonts w:eastAsia="Times New Roman" w:cs="Times New Roman"/>
        </w:rPr>
        <w:t>: Age distribution among domestic HDR students, 2017</w:t>
      </w:r>
      <w:bookmarkEnd w:id="16"/>
    </w:p>
    <w:tbl>
      <w:tblPr>
        <w:tblStyle w:val="DEEWRTable"/>
        <w:tblW w:w="0" w:type="auto"/>
        <w:tblLook w:val="04A0" w:firstRow="1" w:lastRow="0" w:firstColumn="1" w:lastColumn="0" w:noHBand="0" w:noVBand="1"/>
        <w:tblCaption w:val="Table 1: Age distribution among domestic HDR students, 2017"/>
      </w:tblPr>
      <w:tblGrid>
        <w:gridCol w:w="2254"/>
        <w:gridCol w:w="2254"/>
      </w:tblGrid>
      <w:tr w:rsidR="0003404E" w:rsidRPr="0003404E" w14:paraId="02999662" w14:textId="77777777" w:rsidTr="00B53C41">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2254" w:type="dxa"/>
          </w:tcPr>
          <w:p w14:paraId="1E29200C" w14:textId="77777777" w:rsidR="0003404E" w:rsidRPr="0003404E" w:rsidRDefault="0003404E" w:rsidP="0003404E">
            <w:pPr>
              <w:rPr>
                <w:rFonts w:ascii="Calibri" w:eastAsia="Times New Roman" w:hAnsi="Calibri" w:cs="Times New Roman"/>
                <w:color w:val="FFFFFF"/>
              </w:rPr>
            </w:pPr>
            <w:r w:rsidRPr="0003404E">
              <w:rPr>
                <w:rFonts w:ascii="Calibri" w:eastAsia="Times New Roman" w:hAnsi="Calibri" w:cs="Times New Roman"/>
                <w:color w:val="FFFFFF"/>
              </w:rPr>
              <w:t>Age</w:t>
            </w:r>
          </w:p>
        </w:tc>
        <w:tc>
          <w:tcPr>
            <w:tcW w:w="2254" w:type="dxa"/>
          </w:tcPr>
          <w:p w14:paraId="2ABF2921" w14:textId="77777777" w:rsidR="0003404E" w:rsidRPr="0003404E" w:rsidRDefault="0003404E" w:rsidP="0003404E">
            <w:pPr>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rPr>
            </w:pPr>
            <w:r w:rsidRPr="0003404E">
              <w:rPr>
                <w:rFonts w:ascii="Calibri" w:eastAsia="Times New Roman" w:hAnsi="Calibri" w:cs="Times New Roman"/>
                <w:color w:val="FFFFFF"/>
              </w:rPr>
              <w:t>Domestic</w:t>
            </w:r>
          </w:p>
        </w:tc>
      </w:tr>
      <w:tr w:rsidR="0003404E" w:rsidRPr="0003404E" w14:paraId="17D4CF2C" w14:textId="77777777" w:rsidTr="00C53E4C">
        <w:tc>
          <w:tcPr>
            <w:cnfStyle w:val="001000000000" w:firstRow="0" w:lastRow="0" w:firstColumn="1" w:lastColumn="0" w:oddVBand="0" w:evenVBand="0" w:oddHBand="0" w:evenHBand="0" w:firstRowFirstColumn="0" w:firstRowLastColumn="0" w:lastRowFirstColumn="0" w:lastRowLastColumn="0"/>
            <w:tcW w:w="2254" w:type="dxa"/>
          </w:tcPr>
          <w:p w14:paraId="592AD457" w14:textId="77777777" w:rsidR="0003404E" w:rsidRPr="0003404E" w:rsidRDefault="0003404E" w:rsidP="0003404E">
            <w:pPr>
              <w:rPr>
                <w:rFonts w:ascii="Calibri" w:eastAsia="Times New Roman" w:hAnsi="Calibri" w:cs="Times New Roman"/>
                <w:color w:val="000000"/>
              </w:rPr>
            </w:pPr>
            <w:r w:rsidRPr="0003404E">
              <w:rPr>
                <w:rFonts w:ascii="Calibri" w:eastAsia="Times New Roman" w:hAnsi="Calibri" w:cs="Times New Roman"/>
                <w:color w:val="000000"/>
              </w:rPr>
              <w:t>&lt;30</w:t>
            </w:r>
          </w:p>
        </w:tc>
        <w:tc>
          <w:tcPr>
            <w:tcW w:w="2254" w:type="dxa"/>
          </w:tcPr>
          <w:p w14:paraId="5B20E3ED" w14:textId="77777777" w:rsidR="0003404E" w:rsidRPr="0003404E" w:rsidRDefault="0003404E" w:rsidP="0003404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03404E">
              <w:rPr>
                <w:rFonts w:ascii="Calibri" w:eastAsia="Times New Roman" w:hAnsi="Calibri" w:cs="Times New Roman"/>
                <w:color w:val="000000"/>
              </w:rPr>
              <w:t>34%</w:t>
            </w:r>
          </w:p>
        </w:tc>
      </w:tr>
      <w:tr w:rsidR="0003404E" w:rsidRPr="0003404E" w14:paraId="578CC4AC" w14:textId="77777777" w:rsidTr="00C53E4C">
        <w:tc>
          <w:tcPr>
            <w:cnfStyle w:val="001000000000" w:firstRow="0" w:lastRow="0" w:firstColumn="1" w:lastColumn="0" w:oddVBand="0" w:evenVBand="0" w:oddHBand="0" w:evenHBand="0" w:firstRowFirstColumn="0" w:firstRowLastColumn="0" w:lastRowFirstColumn="0" w:lastRowLastColumn="0"/>
            <w:tcW w:w="2254" w:type="dxa"/>
          </w:tcPr>
          <w:p w14:paraId="5A1C76D1" w14:textId="77777777" w:rsidR="0003404E" w:rsidRPr="0003404E" w:rsidRDefault="0003404E" w:rsidP="0003404E">
            <w:pPr>
              <w:rPr>
                <w:rFonts w:ascii="Calibri" w:eastAsia="Times New Roman" w:hAnsi="Calibri" w:cs="Times New Roman"/>
                <w:color w:val="000000"/>
              </w:rPr>
            </w:pPr>
            <w:r w:rsidRPr="0003404E">
              <w:rPr>
                <w:rFonts w:ascii="Calibri" w:eastAsia="Times New Roman" w:hAnsi="Calibri" w:cs="Times New Roman"/>
                <w:color w:val="000000"/>
              </w:rPr>
              <w:t>30-39</w:t>
            </w:r>
          </w:p>
        </w:tc>
        <w:tc>
          <w:tcPr>
            <w:tcW w:w="2254" w:type="dxa"/>
          </w:tcPr>
          <w:p w14:paraId="110713BC" w14:textId="77777777" w:rsidR="0003404E" w:rsidRPr="0003404E" w:rsidRDefault="0003404E" w:rsidP="0003404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03404E">
              <w:rPr>
                <w:rFonts w:ascii="Calibri" w:eastAsia="Times New Roman" w:hAnsi="Calibri" w:cs="Times New Roman"/>
                <w:color w:val="000000"/>
              </w:rPr>
              <w:t>30%</w:t>
            </w:r>
          </w:p>
        </w:tc>
      </w:tr>
      <w:tr w:rsidR="0003404E" w:rsidRPr="0003404E" w14:paraId="481107CA" w14:textId="77777777" w:rsidTr="00C53E4C">
        <w:tc>
          <w:tcPr>
            <w:cnfStyle w:val="001000000000" w:firstRow="0" w:lastRow="0" w:firstColumn="1" w:lastColumn="0" w:oddVBand="0" w:evenVBand="0" w:oddHBand="0" w:evenHBand="0" w:firstRowFirstColumn="0" w:firstRowLastColumn="0" w:lastRowFirstColumn="0" w:lastRowLastColumn="0"/>
            <w:tcW w:w="2254" w:type="dxa"/>
          </w:tcPr>
          <w:p w14:paraId="4E61EF39" w14:textId="77777777" w:rsidR="0003404E" w:rsidRPr="0003404E" w:rsidRDefault="0003404E" w:rsidP="0003404E">
            <w:pPr>
              <w:rPr>
                <w:rFonts w:ascii="Calibri" w:eastAsia="Times New Roman" w:hAnsi="Calibri" w:cs="Times New Roman"/>
                <w:color w:val="000000"/>
              </w:rPr>
            </w:pPr>
            <w:r w:rsidRPr="0003404E">
              <w:rPr>
                <w:rFonts w:ascii="Calibri" w:eastAsia="Times New Roman" w:hAnsi="Calibri" w:cs="Times New Roman"/>
                <w:color w:val="000000"/>
              </w:rPr>
              <w:t>40+</w:t>
            </w:r>
          </w:p>
        </w:tc>
        <w:tc>
          <w:tcPr>
            <w:tcW w:w="2254" w:type="dxa"/>
          </w:tcPr>
          <w:p w14:paraId="1E233766" w14:textId="77777777" w:rsidR="0003404E" w:rsidRPr="0003404E" w:rsidRDefault="0003404E" w:rsidP="0003404E">
            <w:pPr>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03404E">
              <w:rPr>
                <w:rFonts w:ascii="Calibri" w:eastAsia="Times New Roman" w:hAnsi="Calibri" w:cs="Times New Roman"/>
                <w:color w:val="000000"/>
              </w:rPr>
              <w:t>36%</w:t>
            </w:r>
          </w:p>
        </w:tc>
      </w:tr>
    </w:tbl>
    <w:p w14:paraId="5064B204" w14:textId="77777777" w:rsidR="0003404E" w:rsidRDefault="0003404E" w:rsidP="0003404E"/>
    <w:p w14:paraId="420E10EE" w14:textId="468867BC" w:rsidR="00D2018E" w:rsidRDefault="00D2018E">
      <w:r>
        <w:br w:type="page"/>
      </w:r>
    </w:p>
    <w:p w14:paraId="30AC4D42" w14:textId="77777777" w:rsidR="0003404E" w:rsidRDefault="0003404E" w:rsidP="0003404E">
      <w:pPr>
        <w:pStyle w:val="Heading1"/>
        <w:numPr>
          <w:ilvl w:val="0"/>
          <w:numId w:val="20"/>
        </w:numPr>
      </w:pPr>
      <w:bookmarkStart w:id="17" w:name="_Toc23841273"/>
      <w:r>
        <w:t>Financial Support</w:t>
      </w:r>
      <w:bookmarkEnd w:id="17"/>
    </w:p>
    <w:p w14:paraId="5D1CABCD" w14:textId="27B15526" w:rsidR="0003404E" w:rsidRDefault="0003404E" w:rsidP="0003404E">
      <w:r>
        <w:t>In 2017, almost all domestic HDR students received a Research Training Program (RTP) fee offset to cover their tuition fees. Over the period 2006</w:t>
      </w:r>
      <w:r w:rsidR="008A6B6E">
        <w:rPr>
          <w:rFonts w:ascii="Verdana" w:hAnsi="Verdana" w:cs="Calibri"/>
          <w:color w:val="000000"/>
          <w:sz w:val="16"/>
          <w:szCs w:val="16"/>
        </w:rPr>
        <w:t>–</w:t>
      </w:r>
      <w:r>
        <w:t>17, the proportion of domestic students receiving this fee offset (or the previo</w:t>
      </w:r>
      <w:r w:rsidR="008A6B6E">
        <w:t>us Research Training Scheme (</w:t>
      </w:r>
      <w:r>
        <w:t>RTS</w:t>
      </w:r>
      <w:r w:rsidR="008A6B6E">
        <w:t>)</w:t>
      </w:r>
      <w:r>
        <w:t xml:space="preserve"> </w:t>
      </w:r>
      <w:r w:rsidR="002C753C">
        <w:t xml:space="preserve">fee </w:t>
      </w:r>
      <w:r>
        <w:t xml:space="preserve">offset) increased from 83 per cent to </w:t>
      </w:r>
      <w:r>
        <w:br/>
        <w:t>90 per cent. A small number of students received a non-Commonwealth supported place with an exemption scholarship, paid their fees upfront, or deferred them through FEE-HELP; these categories declined as a proportion of all tuition fee arrangements (</w:t>
      </w:r>
      <w:r w:rsidR="0021516D">
        <w:fldChar w:fldCharType="begin"/>
      </w:r>
      <w:r w:rsidR="0021516D">
        <w:instrText xml:space="preserve"> REF _Ref14332040 \h </w:instrText>
      </w:r>
      <w:r w:rsidR="0021516D">
        <w:fldChar w:fldCharType="separate"/>
      </w:r>
      <w:r w:rsidR="00075142">
        <w:t xml:space="preserve">Figure </w:t>
      </w:r>
      <w:r w:rsidR="00075142">
        <w:rPr>
          <w:noProof/>
        </w:rPr>
        <w:t>3</w:t>
      </w:r>
      <w:r w:rsidR="0021516D">
        <w:fldChar w:fldCharType="end"/>
      </w:r>
      <w:r>
        <w:t xml:space="preserve">). There was little or no difference among cohorts in their access to RTP fee offsets; an exception was part-time students, where the proportion awarded </w:t>
      </w:r>
      <w:r w:rsidR="008A6B6E">
        <w:t xml:space="preserve">a fee offset was consistently 7 to </w:t>
      </w:r>
      <w:r>
        <w:t>10 percentage points lower each year than the proportion of full-time students awarded an offset.</w:t>
      </w:r>
    </w:p>
    <w:p w14:paraId="2FF7B49C" w14:textId="3DA87CBD" w:rsidR="00A14E0A" w:rsidRDefault="0021516D" w:rsidP="0021516D">
      <w:pPr>
        <w:pStyle w:val="Caption"/>
        <w:keepNext/>
        <w:rPr>
          <w:noProof/>
          <w:lang w:eastAsia="en-AU"/>
        </w:rPr>
      </w:pPr>
      <w:bookmarkStart w:id="18" w:name="_Ref14332040"/>
      <w:bookmarkStart w:id="19" w:name="_Toc13836172"/>
      <w:bookmarkStart w:id="20" w:name="_Toc17907064"/>
      <w:r>
        <w:t xml:space="preserve">Figure </w:t>
      </w:r>
      <w:fldSimple w:instr=" SEQ Figure \* ARABIC ">
        <w:r w:rsidR="00075142">
          <w:rPr>
            <w:noProof/>
          </w:rPr>
          <w:t>3</w:t>
        </w:r>
      </w:fldSimple>
      <w:bookmarkEnd w:id="18"/>
      <w:r w:rsidR="0003404E">
        <w:t>: Domestic HDR student funding sources for tuition fees, 2006–17</w:t>
      </w:r>
      <w:bookmarkEnd w:id="19"/>
      <w:bookmarkEnd w:id="20"/>
      <w:r w:rsidR="0003404E" w:rsidRPr="00593E1D">
        <w:rPr>
          <w:noProof/>
          <w:lang w:eastAsia="en-AU"/>
        </w:rPr>
        <w:t xml:space="preserve"> </w:t>
      </w:r>
    </w:p>
    <w:p w14:paraId="5DC27578" w14:textId="1EB00A84" w:rsidR="002A3962" w:rsidRDefault="00C9519E" w:rsidP="00C9519E">
      <w:pPr>
        <w:rPr>
          <w:lang w:eastAsia="en-AU"/>
        </w:rPr>
      </w:pPr>
      <w:r>
        <w:rPr>
          <w:noProof/>
          <w:lang w:eastAsia="en-AU"/>
        </w:rPr>
        <w:drawing>
          <wp:inline distT="0" distB="0" distL="0" distR="0" wp14:anchorId="4F634800" wp14:editId="414DCC38">
            <wp:extent cx="5499100" cy="3670300"/>
            <wp:effectExtent l="0" t="0" r="6350" b="6350"/>
            <wp:docPr id="19" name="Picture 19" descr="From 2006 to 2017, the number of domestic HDR students who either had a non-Commonwealth supported place with fees offset or paid their fees upfront/deferred their fees through FEE-HELP gradually declined. The proportion of domestic students receiving fee offsets from either the Research Training Program (RTP) or Research Training Scheme (RTS) steadily increased from 83 per cent in 2006 to &#10;90 per cent in 2017." title="Figure 3: Domestic HDR student funding sources for tuition fees, 2006–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5499100" cy="3670300"/>
                    </a:xfrm>
                    <a:prstGeom prst="rect">
                      <a:avLst/>
                    </a:prstGeom>
                    <a:noFill/>
                  </pic:spPr>
                </pic:pic>
              </a:graphicData>
            </a:graphic>
          </wp:inline>
        </w:drawing>
      </w:r>
    </w:p>
    <w:p w14:paraId="62901BA1" w14:textId="77777777" w:rsidR="002A3962" w:rsidRDefault="002A3962">
      <w:pPr>
        <w:rPr>
          <w:lang w:eastAsia="en-AU"/>
        </w:rPr>
      </w:pPr>
      <w:r>
        <w:rPr>
          <w:lang w:eastAsia="en-AU"/>
        </w:rPr>
        <w:br w:type="page"/>
      </w:r>
    </w:p>
    <w:p w14:paraId="2C0107E1" w14:textId="68F9EF74" w:rsidR="0003404E" w:rsidRDefault="0003404E" w:rsidP="0003404E">
      <w:r>
        <w:t>To assist with living expenses, HDR students may also be awarded RTP stipends (which replaced Australian Postgraduate Awards</w:t>
      </w:r>
      <w:r w:rsidR="00125A98">
        <w:t xml:space="preserve"> (APA)</w:t>
      </w:r>
      <w:r>
        <w:t xml:space="preserve"> in 2017). Over the period 2006</w:t>
      </w:r>
      <w:r w:rsidR="008A6B6E">
        <w:rPr>
          <w:rFonts w:ascii="Verdana" w:hAnsi="Verdana" w:cs="Calibri"/>
          <w:color w:val="000000"/>
          <w:sz w:val="16"/>
          <w:szCs w:val="16"/>
        </w:rPr>
        <w:t>–</w:t>
      </w:r>
      <w:r>
        <w:t xml:space="preserve">17, the proportion of domestic HDR students awarded an APA/RTP stipend increased from 14 to 27 per cent. However, there were consistent differences </w:t>
      </w:r>
      <w:r w:rsidR="008A6B6E">
        <w:t>between</w:t>
      </w:r>
      <w:r>
        <w:t xml:space="preserve"> groups in the proportion of the group to receive RTP</w:t>
      </w:r>
      <w:r w:rsidR="008A6B6E">
        <w:t> </w:t>
      </w:r>
      <w:r>
        <w:t>stipends (</w:t>
      </w:r>
      <w:r w:rsidR="0021516D">
        <w:fldChar w:fldCharType="begin"/>
      </w:r>
      <w:r w:rsidR="0021516D">
        <w:instrText xml:space="preserve"> REF _Ref14332086 \h </w:instrText>
      </w:r>
      <w:r w:rsidR="0021516D">
        <w:fldChar w:fldCharType="separate"/>
      </w:r>
      <w:r w:rsidR="00075142">
        <w:t xml:space="preserve">Table </w:t>
      </w:r>
      <w:r w:rsidR="00075142">
        <w:rPr>
          <w:noProof/>
        </w:rPr>
        <w:t>2</w:t>
      </w:r>
      <w:r w:rsidR="0021516D">
        <w:fldChar w:fldCharType="end"/>
      </w:r>
      <w:r>
        <w:t>). In 2017 for example, the proportion</w:t>
      </w:r>
      <w:r w:rsidR="00125A98">
        <w:t xml:space="preserve"> of high </w:t>
      </w:r>
      <w:r>
        <w:t xml:space="preserve">SES students who were awarded </w:t>
      </w:r>
      <w:r w:rsidR="00A96A17">
        <w:t>a</w:t>
      </w:r>
      <w:r>
        <w:t xml:space="preserve">n APA was 30 per cent, </w:t>
      </w:r>
      <w:r w:rsidR="008A6B6E">
        <w:t>while</w:t>
      </w:r>
      <w:r>
        <w:t xml:space="preserve"> the proportion of low</w:t>
      </w:r>
      <w:r w:rsidR="008A6B6E">
        <w:t>-</w:t>
      </w:r>
      <w:r>
        <w:t>SES students awarded a stipend was 24 per cent.</w:t>
      </w:r>
      <w:r>
        <w:rPr>
          <w:rStyle w:val="FootnoteReference"/>
        </w:rPr>
        <w:footnoteReference w:id="4"/>
      </w:r>
    </w:p>
    <w:p w14:paraId="3E97FB16" w14:textId="5015CA15" w:rsidR="0003404E" w:rsidRPr="00752FF3" w:rsidRDefault="0021516D" w:rsidP="0003404E">
      <w:pPr>
        <w:pStyle w:val="Caption"/>
        <w:keepNext/>
      </w:pPr>
      <w:bookmarkStart w:id="21" w:name="_Ref14332086"/>
      <w:bookmarkStart w:id="22" w:name="_Toc17287216"/>
      <w:r>
        <w:t xml:space="preserve">Table </w:t>
      </w:r>
      <w:fldSimple w:instr=" SEQ Table \* ARABIC ">
        <w:r w:rsidR="00075142">
          <w:rPr>
            <w:noProof/>
          </w:rPr>
          <w:t>2</w:t>
        </w:r>
      </w:fldSimple>
      <w:bookmarkEnd w:id="21"/>
      <w:r w:rsidR="0003404E" w:rsidRPr="00146AC2">
        <w:t>: Selected cohorts and proportions awarded RTP stipends each year, 2006</w:t>
      </w:r>
      <w:r w:rsidR="0003404E" w:rsidRPr="00752FF3">
        <w:t>–17</w:t>
      </w:r>
      <w:bookmarkEnd w:id="22"/>
    </w:p>
    <w:tbl>
      <w:tblPr>
        <w:tblStyle w:val="DEEWRTable"/>
        <w:tblW w:w="0" w:type="auto"/>
        <w:tblLook w:val="04A0" w:firstRow="1" w:lastRow="0" w:firstColumn="1" w:lastColumn="0" w:noHBand="0" w:noVBand="1"/>
        <w:tblCaption w:val="Table 2: Selected cohorts and proportions awarded RTP stipends each year, 2006–17"/>
      </w:tblPr>
      <w:tblGrid>
        <w:gridCol w:w="3823"/>
        <w:gridCol w:w="5193"/>
      </w:tblGrid>
      <w:tr w:rsidR="0003404E" w14:paraId="21355FDB" w14:textId="77777777" w:rsidTr="00B53C41">
        <w:trPr>
          <w:cnfStyle w:val="100000000000" w:firstRow="1" w:lastRow="0" w:firstColumn="0" w:lastColumn="0" w:oddVBand="0" w:evenVBand="0" w:oddHBand="0" w:evenHBand="0" w:firstRowFirstColumn="0" w:firstRowLastColumn="0" w:lastRowFirstColumn="0" w:lastRowLastColumn="0"/>
          <w:cantSplit w:val="0"/>
          <w:tblHeader/>
        </w:trPr>
        <w:tc>
          <w:tcPr>
            <w:cnfStyle w:val="001000000000" w:firstRow="0" w:lastRow="0" w:firstColumn="1" w:lastColumn="0" w:oddVBand="0" w:evenVBand="0" w:oddHBand="0" w:evenHBand="0" w:firstRowFirstColumn="0" w:firstRowLastColumn="0" w:lastRowFirstColumn="0" w:lastRowLastColumn="0"/>
            <w:tcW w:w="3823" w:type="dxa"/>
          </w:tcPr>
          <w:p w14:paraId="6788453E" w14:textId="77777777" w:rsidR="0003404E" w:rsidRDefault="0003404E" w:rsidP="00FF067E">
            <w:r>
              <w:t>Cohort</w:t>
            </w:r>
          </w:p>
        </w:tc>
        <w:tc>
          <w:tcPr>
            <w:tcW w:w="5193" w:type="dxa"/>
          </w:tcPr>
          <w:p w14:paraId="71D55BF3" w14:textId="77777777" w:rsidR="0003404E" w:rsidRDefault="0003404E" w:rsidP="00FF067E">
            <w:pPr>
              <w:cnfStyle w:val="100000000000" w:firstRow="1" w:lastRow="0" w:firstColumn="0" w:lastColumn="0" w:oddVBand="0" w:evenVBand="0" w:oddHBand="0" w:evenHBand="0" w:firstRowFirstColumn="0" w:firstRowLastColumn="0" w:lastRowFirstColumn="0" w:lastRowLastColumn="0"/>
            </w:pPr>
            <w:r>
              <w:t>Proportion of cohort awarded an RTP stipend each year</w:t>
            </w:r>
          </w:p>
        </w:tc>
      </w:tr>
      <w:tr w:rsidR="0003404E" w14:paraId="2DD4F78C" w14:textId="77777777" w:rsidTr="00FF067E">
        <w:tc>
          <w:tcPr>
            <w:cnfStyle w:val="001000000000" w:firstRow="0" w:lastRow="0" w:firstColumn="1" w:lastColumn="0" w:oddVBand="0" w:evenVBand="0" w:oddHBand="0" w:evenHBand="0" w:firstRowFirstColumn="0" w:firstRowLastColumn="0" w:lastRowFirstColumn="0" w:lastRowLastColumn="0"/>
            <w:tcW w:w="3823" w:type="dxa"/>
          </w:tcPr>
          <w:p w14:paraId="17AB21AA" w14:textId="77777777" w:rsidR="0003404E" w:rsidRDefault="0003404E" w:rsidP="00FF067E">
            <w:pPr>
              <w:rPr>
                <w:b w:val="0"/>
              </w:rPr>
            </w:pPr>
            <w:r>
              <w:rPr>
                <w:b w:val="0"/>
              </w:rPr>
              <w:t>Women</w:t>
            </w:r>
          </w:p>
        </w:tc>
        <w:tc>
          <w:tcPr>
            <w:tcW w:w="5193" w:type="dxa"/>
          </w:tcPr>
          <w:p w14:paraId="1B3726B7" w14:textId="77777777" w:rsidR="0003404E" w:rsidRDefault="0003404E" w:rsidP="00FF067E">
            <w:pPr>
              <w:cnfStyle w:val="000000000000" w:firstRow="0" w:lastRow="0" w:firstColumn="0" w:lastColumn="0" w:oddVBand="0" w:evenVBand="0" w:oddHBand="0" w:evenHBand="0" w:firstRowFirstColumn="0" w:firstRowLastColumn="0" w:lastRowFirstColumn="0" w:lastRowLastColumn="0"/>
            </w:pPr>
            <w:r>
              <w:t>1-2 p.p. more than proportion of men</w:t>
            </w:r>
          </w:p>
        </w:tc>
      </w:tr>
      <w:tr w:rsidR="0003404E" w14:paraId="58546357" w14:textId="77777777" w:rsidTr="00FF067E">
        <w:tc>
          <w:tcPr>
            <w:cnfStyle w:val="001000000000" w:firstRow="0" w:lastRow="0" w:firstColumn="1" w:lastColumn="0" w:oddVBand="0" w:evenVBand="0" w:oddHBand="0" w:evenHBand="0" w:firstRowFirstColumn="0" w:firstRowLastColumn="0" w:lastRowFirstColumn="0" w:lastRowLastColumn="0"/>
            <w:tcW w:w="3823" w:type="dxa"/>
          </w:tcPr>
          <w:p w14:paraId="5E29911F" w14:textId="77777777" w:rsidR="0003404E" w:rsidRDefault="0003404E" w:rsidP="00FF067E">
            <w:pPr>
              <w:rPr>
                <w:b w:val="0"/>
              </w:rPr>
            </w:pPr>
            <w:r>
              <w:rPr>
                <w:b w:val="0"/>
              </w:rPr>
              <w:t>Low SES students</w:t>
            </w:r>
          </w:p>
        </w:tc>
        <w:tc>
          <w:tcPr>
            <w:tcW w:w="5193" w:type="dxa"/>
          </w:tcPr>
          <w:p w14:paraId="7BB1353D" w14:textId="77777777" w:rsidR="0003404E" w:rsidRDefault="0003404E" w:rsidP="00FF067E">
            <w:pPr>
              <w:cnfStyle w:val="000000000000" w:firstRow="0" w:lastRow="0" w:firstColumn="0" w:lastColumn="0" w:oddVBand="0" w:evenVBand="0" w:oddHBand="0" w:evenHBand="0" w:firstRowFirstColumn="0" w:firstRowLastColumn="0" w:lastRowFirstColumn="0" w:lastRowLastColumn="0"/>
            </w:pPr>
            <w:r>
              <w:t>2-6 p.p. less than proportion of high SES students</w:t>
            </w:r>
          </w:p>
        </w:tc>
      </w:tr>
      <w:tr w:rsidR="0003404E" w14:paraId="0D9E68F2" w14:textId="77777777" w:rsidTr="00FF067E">
        <w:tc>
          <w:tcPr>
            <w:cnfStyle w:val="001000000000" w:firstRow="0" w:lastRow="0" w:firstColumn="1" w:lastColumn="0" w:oddVBand="0" w:evenVBand="0" w:oddHBand="0" w:evenHBand="0" w:firstRowFirstColumn="0" w:firstRowLastColumn="0" w:lastRowFirstColumn="0" w:lastRowLastColumn="0"/>
            <w:tcW w:w="3823" w:type="dxa"/>
          </w:tcPr>
          <w:p w14:paraId="3873D5F3" w14:textId="77777777" w:rsidR="0003404E" w:rsidRDefault="0003404E" w:rsidP="00FF067E">
            <w:pPr>
              <w:rPr>
                <w:b w:val="0"/>
              </w:rPr>
            </w:pPr>
            <w:r>
              <w:rPr>
                <w:b w:val="0"/>
              </w:rPr>
              <w:t>Regional/remote students</w:t>
            </w:r>
          </w:p>
        </w:tc>
        <w:tc>
          <w:tcPr>
            <w:tcW w:w="5193" w:type="dxa"/>
          </w:tcPr>
          <w:p w14:paraId="4EE3A0D8" w14:textId="77777777" w:rsidR="0003404E" w:rsidRDefault="0003404E" w:rsidP="00FF067E">
            <w:pPr>
              <w:keepNext/>
              <w:cnfStyle w:val="000000000000" w:firstRow="0" w:lastRow="0" w:firstColumn="0" w:lastColumn="0" w:oddVBand="0" w:evenVBand="0" w:oddHBand="0" w:evenHBand="0" w:firstRowFirstColumn="0" w:firstRowLastColumn="0" w:lastRowFirstColumn="0" w:lastRowLastColumn="0"/>
            </w:pPr>
            <w:r>
              <w:t>3-6 p.p. less than proportion of metropolitan students</w:t>
            </w:r>
          </w:p>
        </w:tc>
      </w:tr>
      <w:tr w:rsidR="0003404E" w14:paraId="288D3A29" w14:textId="77777777" w:rsidTr="00FF067E">
        <w:tc>
          <w:tcPr>
            <w:cnfStyle w:val="001000000000" w:firstRow="0" w:lastRow="0" w:firstColumn="1" w:lastColumn="0" w:oddVBand="0" w:evenVBand="0" w:oddHBand="0" w:evenHBand="0" w:firstRowFirstColumn="0" w:firstRowLastColumn="0" w:lastRowFirstColumn="0" w:lastRowLastColumn="0"/>
            <w:tcW w:w="3823" w:type="dxa"/>
          </w:tcPr>
          <w:p w14:paraId="112CC3AA" w14:textId="77777777" w:rsidR="0003404E" w:rsidRDefault="0003404E" w:rsidP="00FF067E">
            <w:pPr>
              <w:rPr>
                <w:b w:val="0"/>
              </w:rPr>
            </w:pPr>
            <w:r>
              <w:rPr>
                <w:b w:val="0"/>
              </w:rPr>
              <w:t>Part-time students</w:t>
            </w:r>
          </w:p>
        </w:tc>
        <w:tc>
          <w:tcPr>
            <w:tcW w:w="5193" w:type="dxa"/>
          </w:tcPr>
          <w:p w14:paraId="7D5B09A0" w14:textId="77777777" w:rsidR="0003404E" w:rsidRDefault="0003404E" w:rsidP="00FF067E">
            <w:pPr>
              <w:cnfStyle w:val="000000000000" w:firstRow="0" w:lastRow="0" w:firstColumn="0" w:lastColumn="0" w:oddVBand="0" w:evenVBand="0" w:oddHBand="0" w:evenHBand="0" w:firstRowFirstColumn="0" w:firstRowLastColumn="0" w:lastRowFirstColumn="0" w:lastRowLastColumn="0"/>
            </w:pPr>
            <w:r>
              <w:t>17-37 p.p. less than proportion of full-time students</w:t>
            </w:r>
          </w:p>
        </w:tc>
      </w:tr>
    </w:tbl>
    <w:p w14:paraId="4CFCF443" w14:textId="3A95299E" w:rsidR="0003404E" w:rsidRPr="0003404E" w:rsidRDefault="0003404E" w:rsidP="0003404E">
      <w:pPr>
        <w:rPr>
          <w:sz w:val="20"/>
        </w:rPr>
      </w:pPr>
      <w:r w:rsidRPr="0003404E">
        <w:rPr>
          <w:sz w:val="20"/>
        </w:rPr>
        <w:t>p.p. = percentage points</w:t>
      </w:r>
      <w:r w:rsidR="002F1961">
        <w:rPr>
          <w:sz w:val="20"/>
        </w:rPr>
        <w:t xml:space="preserve"> </w:t>
      </w:r>
    </w:p>
    <w:p w14:paraId="1F337F1D" w14:textId="2EAC9D9F" w:rsidR="0003404E" w:rsidRDefault="0003404E" w:rsidP="0003404E">
      <w:r w:rsidRPr="008D07D0">
        <w:t>It is imp</w:t>
      </w:r>
      <w:r>
        <w:t>ortant to note that the data</w:t>
      </w:r>
      <w:r w:rsidRPr="008D07D0">
        <w:t xml:space="preserve"> does not indicate the total level of scholarship support offered to these students outside the RTP</w:t>
      </w:r>
      <w:r>
        <w:t>,</w:t>
      </w:r>
      <w:r w:rsidRPr="008D07D0">
        <w:t xml:space="preserve"> as </w:t>
      </w:r>
      <w:r>
        <w:t>the department</w:t>
      </w:r>
      <w:r w:rsidRPr="008D07D0">
        <w:t xml:space="preserve"> does not collect </w:t>
      </w:r>
      <w:r>
        <w:t xml:space="preserve">detailed </w:t>
      </w:r>
      <w:r w:rsidRPr="008D07D0">
        <w:t xml:space="preserve">data on </w:t>
      </w:r>
      <w:r>
        <w:br/>
      </w:r>
      <w:r w:rsidRPr="008D07D0">
        <w:t>non-Commonwealth stipends.</w:t>
      </w:r>
      <w:r>
        <w:t xml:space="preserve"> However, research shows that</w:t>
      </w:r>
      <w:r w:rsidR="008A6B6E">
        <w:t xml:space="preserve"> low-</w:t>
      </w:r>
      <w:r>
        <w:t>SES students have lower incomes and tend to be more debt averse than those from higher SES backgrounds</w:t>
      </w:r>
      <w:r w:rsidR="00B872BB">
        <w:t>.</w:t>
      </w:r>
      <w:r w:rsidR="008D2AD0">
        <w:rPr>
          <w:rStyle w:val="FootnoteReference"/>
        </w:rPr>
        <w:footnoteReference w:id="5"/>
      </w:r>
      <w:r w:rsidR="008A6B6E">
        <w:t xml:space="preserve"> </w:t>
      </w:r>
      <w:r>
        <w:t>A lower rate of income support for HDR study by low</w:t>
      </w:r>
      <w:r w:rsidR="008A6B6E">
        <w:t>-</w:t>
      </w:r>
      <w:r>
        <w:t>SES students is therefore more likely to act as a disincentive to participation in HDR.</w:t>
      </w:r>
      <w:r>
        <w:rPr>
          <w:rStyle w:val="FootnoteReference"/>
        </w:rPr>
        <w:footnoteReference w:id="6"/>
      </w:r>
      <w:r>
        <w:t xml:space="preserve"> For more discussion o</w:t>
      </w:r>
      <w:r w:rsidR="00B872BB">
        <w:t>n</w:t>
      </w:r>
      <w:r w:rsidR="008A6B6E">
        <w:t xml:space="preserve"> low-</w:t>
      </w:r>
      <w:r>
        <w:t>SES students</w:t>
      </w:r>
      <w:r w:rsidR="00B872BB">
        <w:t xml:space="preserve"> in HDR</w:t>
      </w:r>
      <w:r>
        <w:t>, see Section 4.</w:t>
      </w:r>
    </w:p>
    <w:p w14:paraId="15A04E09" w14:textId="10CA95AE" w:rsidR="0021516D" w:rsidRPr="002D3D86" w:rsidRDefault="0003404E" w:rsidP="0021516D">
      <w:pPr>
        <w:rPr>
          <w:rFonts w:ascii="Calibri" w:eastAsiaTheme="majorEastAsia" w:hAnsi="Calibri" w:cstheme="majorBidi"/>
          <w:b/>
          <w:bCs/>
          <w:iCs/>
        </w:rPr>
      </w:pPr>
      <w:r>
        <w:t>The</w:t>
      </w:r>
      <w:r w:rsidR="00A22831">
        <w:t>re is</w:t>
      </w:r>
      <w:r w:rsidR="008A6B6E">
        <w:t xml:space="preserve"> a</w:t>
      </w:r>
      <w:r>
        <w:t xml:space="preserve"> notable difference in stipend award rates for full-time and part-time</w:t>
      </w:r>
      <w:r w:rsidR="00A22831">
        <w:t xml:space="preserve"> students, with the disparity widening during the period 2006–17 (</w:t>
      </w:r>
      <w:r w:rsidR="00075142">
        <w:fldChar w:fldCharType="begin"/>
      </w:r>
      <w:r w:rsidR="00075142">
        <w:instrText xml:space="preserve"> REF _Ref30426591 \h </w:instrText>
      </w:r>
      <w:r w:rsidR="00075142">
        <w:fldChar w:fldCharType="separate"/>
      </w:r>
      <w:r w:rsidR="00075142">
        <w:t xml:space="preserve">Figure </w:t>
      </w:r>
      <w:r w:rsidR="00075142">
        <w:rPr>
          <w:noProof/>
        </w:rPr>
        <w:t>4</w:t>
      </w:r>
      <w:r w:rsidR="00075142">
        <w:fldChar w:fldCharType="end"/>
      </w:r>
      <w:r w:rsidR="00A22831">
        <w:fldChar w:fldCharType="begin"/>
      </w:r>
      <w:r w:rsidR="00A22831">
        <w:instrText xml:space="preserve"> REF _Ref14332142 \h </w:instrText>
      </w:r>
      <w:r w:rsidR="00A22831">
        <w:fldChar w:fldCharType="end"/>
      </w:r>
      <w:r w:rsidR="00A22831" w:rsidRPr="0021516D">
        <w:t>).</w:t>
      </w:r>
      <w:r w:rsidR="00A22831">
        <w:t xml:space="preserve"> This</w:t>
      </w:r>
      <w:r>
        <w:t xml:space="preserve"> may have been partly due to the earlier requirement under the </w:t>
      </w:r>
      <w:r w:rsidR="0038004E">
        <w:t xml:space="preserve">previous </w:t>
      </w:r>
      <w:r>
        <w:t xml:space="preserve">APA that a student </w:t>
      </w:r>
      <w:r w:rsidR="008A6B6E">
        <w:t>must be</w:t>
      </w:r>
      <w:r>
        <w:t xml:space="preserve"> full-time, unless the university approved part-time study. </w:t>
      </w:r>
      <w:r w:rsidR="00A22831">
        <w:t xml:space="preserve">The difference may also be due to the impact of completions in </w:t>
      </w:r>
      <w:bookmarkStart w:id="23" w:name="_Toc13836173"/>
      <w:r w:rsidR="00A22831">
        <w:t>the research block grant funding formula. Higher education providers may be incentivised to fund full</w:t>
      </w:r>
      <w:r w:rsidR="009105EC">
        <w:t>-</w:t>
      </w:r>
      <w:r w:rsidR="00A22831">
        <w:t xml:space="preserve"> time students, who have higher and faster completion rates, in order to receive more RTP funding.</w:t>
      </w:r>
    </w:p>
    <w:p w14:paraId="37F26E7E" w14:textId="0AC105A4" w:rsidR="002A3962" w:rsidRDefault="002A3962">
      <w:pPr>
        <w:rPr>
          <w:rFonts w:ascii="Calibri" w:eastAsiaTheme="majorEastAsia" w:hAnsi="Calibri" w:cstheme="majorBidi"/>
          <w:b/>
          <w:bCs/>
          <w:iCs/>
        </w:rPr>
      </w:pPr>
      <w:r>
        <w:br w:type="page"/>
      </w:r>
    </w:p>
    <w:p w14:paraId="41DE6239" w14:textId="21105783" w:rsidR="0003404E" w:rsidRDefault="0021516D" w:rsidP="0021516D">
      <w:pPr>
        <w:pStyle w:val="Caption"/>
        <w:rPr>
          <w:rFonts w:eastAsia="Times New Roman" w:cs="Times New Roman"/>
        </w:rPr>
      </w:pPr>
      <w:bookmarkStart w:id="24" w:name="_Toc17907065"/>
      <w:bookmarkStart w:id="25" w:name="_Ref14332142"/>
      <w:bookmarkStart w:id="26" w:name="_Ref30426591"/>
      <w:bookmarkEnd w:id="24"/>
      <w:bookmarkEnd w:id="25"/>
      <w:r>
        <w:t xml:space="preserve">Figure </w:t>
      </w:r>
      <w:fldSimple w:instr=" SEQ Figure \* ARABIC ">
        <w:r w:rsidR="00075142">
          <w:rPr>
            <w:noProof/>
          </w:rPr>
          <w:t>4</w:t>
        </w:r>
      </w:fldSimple>
      <w:bookmarkEnd w:id="26"/>
      <w:r w:rsidR="0003404E" w:rsidRPr="0003404E">
        <w:rPr>
          <w:rFonts w:eastAsia="Times New Roman" w:cs="Times New Roman"/>
        </w:rPr>
        <w:t>: Proportion of domestic students awarded RTP stipends by type of attendance, 2006–17</w:t>
      </w:r>
      <w:bookmarkEnd w:id="23"/>
    </w:p>
    <w:p w14:paraId="374CECAE" w14:textId="36A38AEA" w:rsidR="001C5612" w:rsidRPr="001C5612" w:rsidRDefault="001C5612" w:rsidP="001C5612">
      <w:r w:rsidRPr="0003404E">
        <w:rPr>
          <w:rFonts w:ascii="Calibri" w:eastAsia="Times New Roman" w:hAnsi="Calibri" w:cs="Times New Roman"/>
          <w:noProof/>
          <w:lang w:eastAsia="en-AU"/>
        </w:rPr>
        <w:drawing>
          <wp:inline distT="0" distB="0" distL="0" distR="0" wp14:anchorId="3B1506C7" wp14:editId="5371767D">
            <wp:extent cx="5486400" cy="3589365"/>
            <wp:effectExtent l="0" t="0" r="0" b="0"/>
            <wp:docPr id="1" name="Picture 1" descr="From 2006 to 2017, the percentage of all HDR domestic students awarded RTP stipends increased from 14 per cent in 2006 to a peak of 27 per cent in 2014. While there was a significant increase in the percentage of full time students awarded RTP stipends (increasing from 22 per cent in 2006 to 43 per cent in 2017), the percentage of part-time students awarded RTP stipends increased by just one per cent between 2006 and 2017. Part time students awarded an RTP stipend reached a peak of ten per cent in 2013 but then declined." title="Figure 4: Proportion of domestic students awarded RTP stipends by type of attendance,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486400" cy="3589365"/>
                    </a:xfrm>
                    <a:prstGeom prst="rect">
                      <a:avLst/>
                    </a:prstGeom>
                    <a:noFill/>
                  </pic:spPr>
                </pic:pic>
              </a:graphicData>
            </a:graphic>
          </wp:inline>
        </w:drawing>
      </w:r>
    </w:p>
    <w:p w14:paraId="5197E20C" w14:textId="621D5C57" w:rsidR="001C5544" w:rsidRPr="00075142" w:rsidRDefault="0003404E">
      <w:pPr>
        <w:rPr>
          <w:rFonts w:ascii="Calibri" w:eastAsia="Times New Roman" w:hAnsi="Calibri" w:cs="Times New Roman"/>
        </w:rPr>
      </w:pPr>
      <w:r w:rsidRPr="0003404E">
        <w:rPr>
          <w:rFonts w:ascii="Calibri" w:eastAsia="Times New Roman" w:hAnsi="Calibri" w:cs="Times New Roman"/>
        </w:rPr>
        <w:t>The introduction of the R</w:t>
      </w:r>
      <w:r w:rsidR="00125A98">
        <w:rPr>
          <w:rFonts w:ascii="Calibri" w:eastAsia="Times New Roman" w:hAnsi="Calibri" w:cs="Times New Roman"/>
        </w:rPr>
        <w:t xml:space="preserve">TP </w:t>
      </w:r>
      <w:r w:rsidRPr="0003404E">
        <w:rPr>
          <w:rFonts w:ascii="Calibri" w:eastAsia="Times New Roman" w:hAnsi="Calibri" w:cs="Times New Roman"/>
        </w:rPr>
        <w:t>in 2017 coincided with an increase in the proportio</w:t>
      </w:r>
      <w:r w:rsidR="009A5A0B">
        <w:rPr>
          <w:rFonts w:ascii="Calibri" w:eastAsia="Times New Roman" w:hAnsi="Calibri" w:cs="Times New Roman"/>
        </w:rPr>
        <w:t>n of students awarded a stipend.</w:t>
      </w:r>
      <w:r w:rsidR="00A22831">
        <w:rPr>
          <w:rFonts w:ascii="Calibri" w:eastAsia="Times New Roman" w:hAnsi="Calibri" w:cs="Times New Roman"/>
        </w:rPr>
        <w:t xml:space="preserve"> </w:t>
      </w:r>
      <w:r w:rsidR="001B587D" w:rsidRPr="0003404E">
        <w:rPr>
          <w:rFonts w:ascii="Calibri" w:eastAsia="Times New Roman" w:hAnsi="Calibri" w:cs="Times New Roman"/>
        </w:rPr>
        <w:t xml:space="preserve">Significant flexibility in university allocations was added </w:t>
      </w:r>
      <w:r w:rsidR="00BD4C7D">
        <w:rPr>
          <w:rFonts w:ascii="Calibri" w:eastAsia="Times New Roman" w:hAnsi="Calibri" w:cs="Times New Roman"/>
        </w:rPr>
        <w:t>alongside</w:t>
      </w:r>
      <w:r w:rsidR="00BD4C7D" w:rsidRPr="0003404E">
        <w:rPr>
          <w:rFonts w:ascii="Calibri" w:eastAsia="Times New Roman" w:hAnsi="Calibri" w:cs="Times New Roman"/>
        </w:rPr>
        <w:t xml:space="preserve"> </w:t>
      </w:r>
      <w:r w:rsidR="001B587D" w:rsidRPr="0003404E">
        <w:rPr>
          <w:rFonts w:ascii="Calibri" w:eastAsia="Times New Roman" w:hAnsi="Calibri" w:cs="Times New Roman"/>
        </w:rPr>
        <w:t xml:space="preserve">the implementation of the RTP, including for part-time arrangements. </w:t>
      </w:r>
      <w:r w:rsidR="00A22831">
        <w:rPr>
          <w:rFonts w:ascii="Calibri" w:eastAsia="Times New Roman" w:hAnsi="Calibri" w:cs="Times New Roman"/>
        </w:rPr>
        <w:t xml:space="preserve">It is worth noting that </w:t>
      </w:r>
      <w:r w:rsidR="001B587D">
        <w:rPr>
          <w:rFonts w:ascii="Calibri" w:eastAsia="Times New Roman" w:hAnsi="Calibri" w:cs="Times New Roman"/>
        </w:rPr>
        <w:t>RTP stipends awarded to part-time students did not increase in 2017, perhaps indicating that the full-time</w:t>
      </w:r>
      <w:r w:rsidR="00BD4C7D">
        <w:rPr>
          <w:rFonts w:ascii="Calibri" w:eastAsia="Times New Roman" w:hAnsi="Calibri" w:cs="Times New Roman"/>
        </w:rPr>
        <w:t>/</w:t>
      </w:r>
      <w:r w:rsidR="001B587D">
        <w:rPr>
          <w:rFonts w:ascii="Calibri" w:eastAsia="Times New Roman" w:hAnsi="Calibri" w:cs="Times New Roman"/>
        </w:rPr>
        <w:t xml:space="preserve">part-time discrepancy was not solely due to APA inflexibility. </w:t>
      </w:r>
      <w:r w:rsidRPr="0003404E">
        <w:rPr>
          <w:rFonts w:ascii="Calibri" w:eastAsia="Times New Roman" w:hAnsi="Calibri" w:cs="Times New Roman"/>
        </w:rPr>
        <w:t xml:space="preserve">Data for subsequent years is required to better </w:t>
      </w:r>
      <w:r w:rsidR="001B587D">
        <w:rPr>
          <w:rFonts w:ascii="Calibri" w:eastAsia="Times New Roman" w:hAnsi="Calibri" w:cs="Times New Roman"/>
        </w:rPr>
        <w:t>understand</w:t>
      </w:r>
      <w:r w:rsidRPr="0003404E">
        <w:rPr>
          <w:rFonts w:ascii="Calibri" w:eastAsia="Times New Roman" w:hAnsi="Calibri" w:cs="Times New Roman"/>
        </w:rPr>
        <w:t xml:space="preserve"> the effect of the research funding changes on fee </w:t>
      </w:r>
      <w:r w:rsidR="001B587D">
        <w:rPr>
          <w:rFonts w:ascii="Calibri" w:eastAsia="Times New Roman" w:hAnsi="Calibri" w:cs="Times New Roman"/>
        </w:rPr>
        <w:t>offset</w:t>
      </w:r>
      <w:r w:rsidRPr="0003404E">
        <w:rPr>
          <w:rFonts w:ascii="Calibri" w:eastAsia="Times New Roman" w:hAnsi="Calibri" w:cs="Times New Roman"/>
        </w:rPr>
        <w:t>s and stipends.</w:t>
      </w:r>
      <w:r w:rsidR="001C5544">
        <w:br w:type="page"/>
      </w:r>
    </w:p>
    <w:p w14:paraId="4AC7CF7C" w14:textId="77777777" w:rsidR="0003404E" w:rsidRDefault="0003404E" w:rsidP="0003404E">
      <w:pPr>
        <w:pStyle w:val="Heading1"/>
        <w:numPr>
          <w:ilvl w:val="0"/>
          <w:numId w:val="20"/>
        </w:numPr>
      </w:pPr>
      <w:bookmarkStart w:id="27" w:name="_Toc23841274"/>
      <w:r>
        <w:t>Gender</w:t>
      </w:r>
      <w:bookmarkEnd w:id="27"/>
    </w:p>
    <w:p w14:paraId="6E6F9BD0" w14:textId="50165A60" w:rsidR="0086320C" w:rsidRDefault="000E3D9E" w:rsidP="0086320C">
      <w:r>
        <w:t>From 2006 to 2017</w:t>
      </w:r>
      <w:r w:rsidR="0086320C">
        <w:t xml:space="preserve"> women made up the majority of domestic HDR enrolments (</w:t>
      </w:r>
      <w:r w:rsidR="0021516D">
        <w:fldChar w:fldCharType="begin"/>
      </w:r>
      <w:r w:rsidR="0021516D">
        <w:instrText xml:space="preserve"> REF _Ref14332177 \h </w:instrText>
      </w:r>
      <w:r w:rsidR="0021516D">
        <w:fldChar w:fldCharType="separate"/>
      </w:r>
      <w:r w:rsidR="00075142">
        <w:t xml:space="preserve">Figure </w:t>
      </w:r>
      <w:r w:rsidR="00075142">
        <w:rPr>
          <w:noProof/>
        </w:rPr>
        <w:t>5</w:t>
      </w:r>
      <w:r w:rsidR="0021516D">
        <w:fldChar w:fldCharType="end"/>
      </w:r>
      <w:r w:rsidR="0086320C">
        <w:t>), with the proportion increasing slightly from 53 per cent in 2006 to 54 per cent in 2017. By comparison, 58 per cent of domestic undergraduate bachelor students were women in 2017, indicating that there is a proportional loss of women between undergraduate study and postgraduate research.</w:t>
      </w:r>
    </w:p>
    <w:p w14:paraId="4AB97D9D" w14:textId="4437EE01" w:rsidR="0021516D" w:rsidRDefault="0086320C" w:rsidP="0021516D">
      <w:r>
        <w:t xml:space="preserve">Doctorates </w:t>
      </w:r>
      <w:r w:rsidR="008A6B6E">
        <w:t>and m</w:t>
      </w:r>
      <w:r>
        <w:t xml:space="preserve">asters by </w:t>
      </w:r>
      <w:r w:rsidR="009105EC">
        <w:t>R</w:t>
      </w:r>
      <w:r>
        <w:t>esearch have similar gen</w:t>
      </w:r>
      <w:r w:rsidR="00125A98">
        <w:t xml:space="preserve">der distribution patterns. For </w:t>
      </w:r>
      <w:r w:rsidR="008A6B6E">
        <w:t>d</w:t>
      </w:r>
      <w:r>
        <w:t>octorates, the gender distribution remained steady from 2012, with women making up nearly</w:t>
      </w:r>
      <w:r w:rsidR="00125A98">
        <w:t xml:space="preserve"> 55 per cent of enrolments. In </w:t>
      </w:r>
      <w:r w:rsidR="008A6B6E">
        <w:t>m</w:t>
      </w:r>
      <w:r>
        <w:t>asters, the gender distribution has remained steady since 2006, with women consistently making up around 53 per cent of enrolments.</w:t>
      </w:r>
      <w:bookmarkStart w:id="28" w:name="_Toc13836174"/>
    </w:p>
    <w:p w14:paraId="4914BE09" w14:textId="5FB109E8" w:rsidR="0086320C" w:rsidRPr="00A8700C" w:rsidRDefault="0021516D" w:rsidP="0086320C">
      <w:pPr>
        <w:pStyle w:val="Caption"/>
      </w:pPr>
      <w:bookmarkStart w:id="29" w:name="_Ref14332177"/>
      <w:bookmarkStart w:id="30" w:name="_Toc17907066"/>
      <w:r>
        <w:t xml:space="preserve">Figure </w:t>
      </w:r>
      <w:fldSimple w:instr=" SEQ Figure \* ARABIC ">
        <w:r w:rsidR="00075142">
          <w:rPr>
            <w:noProof/>
          </w:rPr>
          <w:t>5</w:t>
        </w:r>
      </w:fldSimple>
      <w:bookmarkEnd w:id="29"/>
      <w:r w:rsidR="0086320C">
        <w:t>: Domestic HDR enrolments by gender, 2006–17</w:t>
      </w:r>
      <w:bookmarkEnd w:id="28"/>
      <w:bookmarkEnd w:id="30"/>
    </w:p>
    <w:p w14:paraId="11ED0AD0" w14:textId="6DC0C59C" w:rsidR="00931427" w:rsidRDefault="001C5612" w:rsidP="001C5544">
      <w:r>
        <w:rPr>
          <w:noProof/>
          <w:lang w:eastAsia="en-AU"/>
        </w:rPr>
        <w:drawing>
          <wp:inline distT="0" distB="0" distL="0" distR="0" wp14:anchorId="1769F087" wp14:editId="5AB287B8">
            <wp:extent cx="5486400" cy="3608635"/>
            <wp:effectExtent l="0" t="0" r="0" b="0"/>
            <wp:docPr id="25" name="Picture 25" descr="From 2006 to 2017, women were consistently the majority of domestic HDR enrolments. During this period, the proportion of women increased slightly from around 53 per cent in 2006 to 54 per cent in 2017. The proportion of men gradually declined from 48 per cent in 2006 to 46 per cent in 2017." title="Figure 5: Domestic HDR enrolments by gender,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5486400" cy="3608635"/>
                    </a:xfrm>
                    <a:prstGeom prst="rect">
                      <a:avLst/>
                    </a:prstGeom>
                    <a:noFill/>
                  </pic:spPr>
                </pic:pic>
              </a:graphicData>
            </a:graphic>
          </wp:inline>
        </w:drawing>
      </w:r>
    </w:p>
    <w:p w14:paraId="7EDC1305" w14:textId="02C1207F" w:rsidR="001C5544" w:rsidRDefault="001C5544" w:rsidP="001C5544">
      <w:r>
        <w:t>The gender distribution of commencements was similar to enrolments, with women consistently making up around 54 per cent of domestic HDR commencements during this period. Women comprised 51 per cent of degree completions in 2006,</w:t>
      </w:r>
      <w:r w:rsidR="005D70A1">
        <w:t xml:space="preserve"> which had grown to a steady 54 </w:t>
      </w:r>
      <w:r>
        <w:t>to</w:t>
      </w:r>
      <w:r w:rsidR="005D70A1">
        <w:t> </w:t>
      </w:r>
      <w:r>
        <w:t>55</w:t>
      </w:r>
      <w:r w:rsidR="005D70A1">
        <w:t> </w:t>
      </w:r>
      <w:r>
        <w:t>per</w:t>
      </w:r>
      <w:r w:rsidR="005D70A1">
        <w:t> </w:t>
      </w:r>
      <w:r>
        <w:t xml:space="preserve">cent by 2013. </w:t>
      </w:r>
      <w:r w:rsidRPr="00146AC2">
        <w:t xml:space="preserve">Women made up between 53 and 54 per cent of full-time students </w:t>
      </w:r>
      <w:r w:rsidRPr="00335A50">
        <w:t xml:space="preserve">enrolled </w:t>
      </w:r>
      <w:r w:rsidRPr="00146AC2">
        <w:t>during 2006–17,</w:t>
      </w:r>
      <w:r>
        <w:t xml:space="preserve"> while the proportion of women studying part-time increased from 53</w:t>
      </w:r>
      <w:r w:rsidR="005D70A1">
        <w:t> </w:t>
      </w:r>
      <w:r>
        <w:t>to</w:t>
      </w:r>
      <w:r w:rsidR="005D70A1">
        <w:t> </w:t>
      </w:r>
      <w:r>
        <w:t>56</w:t>
      </w:r>
      <w:r w:rsidR="005D70A1">
        <w:t> </w:t>
      </w:r>
      <w:r>
        <w:t>per</w:t>
      </w:r>
      <w:r w:rsidR="005D70A1">
        <w:t> </w:t>
      </w:r>
      <w:r>
        <w:t>cent of all part-time enrolments.</w:t>
      </w:r>
    </w:p>
    <w:p w14:paraId="6AC9B6D1" w14:textId="759DE9A4" w:rsidR="001C5544" w:rsidRDefault="001C5544" w:rsidP="001C5544">
      <w:r>
        <w:t xml:space="preserve">Women made up the majority of enrolments in every domestic age group, and over this period increased their enrolment </w:t>
      </w:r>
      <w:r w:rsidR="00BD4C7D">
        <w:t xml:space="preserve">representation </w:t>
      </w:r>
      <w:r>
        <w:t>from 51 to 56 per cent among those in their 30s</w:t>
      </w:r>
      <w:r w:rsidR="00BD4C7D">
        <w:t>,</w:t>
      </w:r>
      <w:r>
        <w:t xml:space="preserve"> and from </w:t>
      </w:r>
      <w:r w:rsidRPr="005D70A1">
        <w:t>55</w:t>
      </w:r>
      <w:r w:rsidR="005D70A1">
        <w:t> to </w:t>
      </w:r>
      <w:r w:rsidRPr="005D70A1">
        <w:t>57</w:t>
      </w:r>
      <w:r w:rsidR="005D70A1">
        <w:t> </w:t>
      </w:r>
      <w:r>
        <w:t>per</w:t>
      </w:r>
      <w:r w:rsidR="005D70A1">
        <w:t> </w:t>
      </w:r>
      <w:r>
        <w:t xml:space="preserve">cent among those over 40 years. </w:t>
      </w:r>
      <w:r w:rsidR="002B4930">
        <w:t>Of enrolments</w:t>
      </w:r>
      <w:r w:rsidR="00BD4C7D">
        <w:t xml:space="preserve"> from the under 30 age group</w:t>
      </w:r>
      <w:r>
        <w:t>, t</w:t>
      </w:r>
      <w:r w:rsidRPr="00E944E6">
        <w:t>he proportion of women decreased</w:t>
      </w:r>
      <w:r w:rsidRPr="00335A50">
        <w:t xml:space="preserve"> slightly</w:t>
      </w:r>
      <w:r w:rsidRPr="00E944E6">
        <w:t xml:space="preserve"> from 52 per cent to</w:t>
      </w:r>
      <w:r>
        <w:t xml:space="preserve"> just over</w:t>
      </w:r>
      <w:r w:rsidRPr="00E944E6">
        <w:t xml:space="preserve"> 50 per cent</w:t>
      </w:r>
      <w:r>
        <w:t>.</w:t>
      </w:r>
      <w:r w:rsidR="00960351">
        <w:br w:type="page"/>
      </w:r>
    </w:p>
    <w:p w14:paraId="3C41526C" w14:textId="472792B9" w:rsidR="0003404E" w:rsidRDefault="001C5544" w:rsidP="001C5544">
      <w:r w:rsidRPr="00EE2E43">
        <w:t>There was a marked difference in the gender composition across different fields of education (FoE). The narrow fields of education with the largest number of enrolments for men in 2017 were medicine</w:t>
      </w:r>
      <w:r w:rsidRPr="00EE2E43">
        <w:rPr>
          <w:rStyle w:val="FootnoteReference"/>
        </w:rPr>
        <w:footnoteReference w:id="7"/>
      </w:r>
      <w:r w:rsidRPr="00EE2E43">
        <w:t>, biological sciences, studies in human society (including history, sociology, anthropology and related disciplines), other natural and physical sciences (including medical science and pharmacology), engineering, and business and management. Of these fields of education, men were a minority in the first four fields but a majority in the next four, which were engineering and</w:t>
      </w:r>
      <w:r>
        <w:t xml:space="preserve"> business-</w:t>
      </w:r>
      <w:r w:rsidRPr="001C5544">
        <w:t>related (</w:t>
      </w:r>
      <w:r w:rsidR="0021516D">
        <w:fldChar w:fldCharType="begin"/>
      </w:r>
      <w:r w:rsidR="0021516D">
        <w:instrText xml:space="preserve"> REF _Ref14332205 \h </w:instrText>
      </w:r>
      <w:r w:rsidR="0021516D">
        <w:fldChar w:fldCharType="separate"/>
      </w:r>
      <w:r w:rsidR="00075142">
        <w:t xml:space="preserve">Figure </w:t>
      </w:r>
      <w:r w:rsidR="00075142">
        <w:rPr>
          <w:noProof/>
        </w:rPr>
        <w:t>6</w:t>
      </w:r>
      <w:r w:rsidR="0021516D">
        <w:fldChar w:fldCharType="end"/>
      </w:r>
      <w:r w:rsidRPr="001C5544">
        <w:t>).</w:t>
      </w:r>
    </w:p>
    <w:p w14:paraId="55D9A7FD" w14:textId="69B4B2C8" w:rsidR="000E2DD5" w:rsidRDefault="0021516D" w:rsidP="001C5544">
      <w:pPr>
        <w:pStyle w:val="Caption"/>
      </w:pPr>
      <w:bookmarkStart w:id="31" w:name="_Ref14332205"/>
      <w:bookmarkStart w:id="32" w:name="_Toc17907067"/>
      <w:r>
        <w:t xml:space="preserve">Figure </w:t>
      </w:r>
      <w:fldSimple w:instr=" SEQ Figure \* ARABIC ">
        <w:r w:rsidR="00075142">
          <w:rPr>
            <w:noProof/>
          </w:rPr>
          <w:t>6</w:t>
        </w:r>
      </w:fldSimple>
      <w:bookmarkEnd w:id="31"/>
      <w:r w:rsidR="001C5544">
        <w:t xml:space="preserve">: Fields with the largest enrolments </w:t>
      </w:r>
      <w:r w:rsidR="005412EC">
        <w:t xml:space="preserve">of domestic </w:t>
      </w:r>
      <w:r w:rsidR="001C5544">
        <w:t>HDR students, men, 2017</w:t>
      </w:r>
      <w:bookmarkEnd w:id="32"/>
    </w:p>
    <w:p w14:paraId="3103CDE8" w14:textId="26D054C0" w:rsidR="001C5544" w:rsidRDefault="001C5612" w:rsidP="001C5544">
      <w:pPr>
        <w:pStyle w:val="Caption"/>
      </w:pPr>
      <w:r w:rsidRPr="00E95011">
        <w:rPr>
          <w:b w:val="0"/>
          <w:noProof/>
          <w:u w:val="single"/>
          <w:lang w:eastAsia="en-AU"/>
        </w:rPr>
        <w:drawing>
          <wp:inline distT="0" distB="0" distL="0" distR="0" wp14:anchorId="215012CF" wp14:editId="66A01627">
            <wp:extent cx="5486400" cy="3608295"/>
            <wp:effectExtent l="0" t="0" r="0" b="0"/>
            <wp:docPr id="27" name="Picture 27" descr="In 2017, the fields with the largest number of enrolments for male domestic HDR students were medical studies (1440), biological sciences (1340), studies in human society (1270), other natural and physical sciences (1150), electrical and electronic engineering and technology (850), process and resources engineering (820), business and management (790) and civil engineering (760). Of these eight fields, men were a minority in the first four but a majority in the next four, which were engineering and &#10;business-related.&#10;Note: figures are rounded to the nearest ten." title="Figure 6: Fields with the largest enrolments of domestic HDR students, me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5486400" cy="3608295"/>
                    </a:xfrm>
                    <a:prstGeom prst="rect">
                      <a:avLst/>
                    </a:prstGeom>
                    <a:noFill/>
                  </pic:spPr>
                </pic:pic>
              </a:graphicData>
            </a:graphic>
          </wp:inline>
        </w:drawing>
      </w:r>
    </w:p>
    <w:p w14:paraId="20518BDF" w14:textId="7D7B7781" w:rsidR="002A3962" w:rsidRDefault="002A3962">
      <w:r>
        <w:br w:type="page"/>
      </w:r>
    </w:p>
    <w:p w14:paraId="191B9B53" w14:textId="7822E10D" w:rsidR="007B2632" w:rsidRPr="007B2632" w:rsidRDefault="00B671EE" w:rsidP="007B2632">
      <w:pPr>
        <w:tabs>
          <w:tab w:val="left" w:pos="975"/>
        </w:tabs>
        <w:rPr>
          <w:rFonts w:ascii="Calibri" w:eastAsia="Times New Roman" w:hAnsi="Calibri" w:cs="Times New Roman"/>
        </w:rPr>
      </w:pPr>
      <w:r>
        <w:t>For women</w:t>
      </w:r>
      <w:r w:rsidR="001C5544">
        <w:t>, the fields of education with the largest number of enrolments were medicine, biology, studies in human society, behavioural science (psychology), other natural and physical sciences, curriculum and education studies, public health and other health (including nutrition, human movement and paramedics). Women were a majority in all these fields (</w:t>
      </w:r>
      <w:r w:rsidR="007B2632">
        <w:fldChar w:fldCharType="begin"/>
      </w:r>
      <w:r w:rsidR="007B2632">
        <w:instrText xml:space="preserve"> REF _Ref14332251 \h </w:instrText>
      </w:r>
      <w:r w:rsidR="007B2632">
        <w:fldChar w:fldCharType="separate"/>
      </w:r>
      <w:r w:rsidR="00075142">
        <w:t xml:space="preserve">Figure </w:t>
      </w:r>
      <w:r w:rsidR="00075142">
        <w:rPr>
          <w:noProof/>
        </w:rPr>
        <w:t>7</w:t>
      </w:r>
      <w:r w:rsidR="007B2632">
        <w:fldChar w:fldCharType="end"/>
      </w:r>
      <w:r w:rsidR="001C5544">
        <w:rPr>
          <w:rFonts w:ascii="Calibri" w:eastAsia="Times New Roman" w:hAnsi="Calibri" w:cs="Times New Roman"/>
        </w:rPr>
        <w:t xml:space="preserve">). </w:t>
      </w:r>
      <w:bookmarkStart w:id="33" w:name="_Toc13836176"/>
    </w:p>
    <w:p w14:paraId="53229026" w14:textId="070AB802" w:rsidR="001C5544" w:rsidRPr="007B2632" w:rsidRDefault="007B2632" w:rsidP="007B2632">
      <w:pPr>
        <w:pStyle w:val="Caption"/>
      </w:pPr>
      <w:bookmarkStart w:id="34" w:name="_Ref14332251"/>
      <w:bookmarkStart w:id="35" w:name="_Toc17907068"/>
      <w:r>
        <w:t xml:space="preserve">Figure </w:t>
      </w:r>
      <w:fldSimple w:instr=" SEQ Figure \* ARABIC ">
        <w:r w:rsidR="00075142">
          <w:rPr>
            <w:noProof/>
          </w:rPr>
          <w:t>7</w:t>
        </w:r>
      </w:fldSimple>
      <w:bookmarkEnd w:id="34"/>
      <w:r w:rsidR="001C5544" w:rsidRPr="001C5544">
        <w:rPr>
          <w:rFonts w:eastAsia="Times New Roman" w:cs="Times New Roman"/>
        </w:rPr>
        <w:t>: Fields with the largest enrolments of domestic HDR students, women, 2017</w:t>
      </w:r>
      <w:bookmarkEnd w:id="33"/>
      <w:bookmarkEnd w:id="35"/>
    </w:p>
    <w:p w14:paraId="7000E934" w14:textId="07105C57" w:rsidR="0003404E" w:rsidRDefault="001C5612" w:rsidP="0003404E">
      <w:r>
        <w:rPr>
          <w:noProof/>
          <w:lang w:eastAsia="en-AU"/>
        </w:rPr>
        <w:drawing>
          <wp:inline distT="0" distB="0" distL="0" distR="0" wp14:anchorId="19B3227D" wp14:editId="02112492">
            <wp:extent cx="5486400" cy="3608635"/>
            <wp:effectExtent l="0" t="0" r="0" b="0"/>
            <wp:docPr id="29" name="Picture 29" descr="In 2017, the fields with the largest number of enrolments for female domestic HDR students were medical studies (2180), biological sciences (1810), studies in human society (1780), behavioural science (1670), other natural and physical sciences (1300), curriculum and education studies (950), public health (830) and other health (720). Women were also the majority for all of these fields.&#10;Note: figures are rounded to the nearest ten." title="Figure 7: Fields with the largest enrolments of domestic HDR students, wome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5486400" cy="3608635"/>
                    </a:xfrm>
                    <a:prstGeom prst="rect">
                      <a:avLst/>
                    </a:prstGeom>
                    <a:noFill/>
                  </pic:spPr>
                </pic:pic>
              </a:graphicData>
            </a:graphic>
          </wp:inline>
        </w:drawing>
      </w:r>
    </w:p>
    <w:p w14:paraId="4BC10278" w14:textId="1D85EC01" w:rsidR="002A3962" w:rsidRDefault="001C5544" w:rsidP="005412EC">
      <w:pPr>
        <w:pStyle w:val="Caption"/>
        <w:rPr>
          <w:rFonts w:eastAsia="Times New Roman" w:cs="Times New Roman"/>
          <w:b w:val="0"/>
        </w:rPr>
      </w:pPr>
      <w:r w:rsidRPr="005412EC">
        <w:rPr>
          <w:rFonts w:eastAsia="Times New Roman" w:cs="Times New Roman"/>
          <w:b w:val="0"/>
        </w:rPr>
        <w:t>In the sciences, women were the majority among domestic students in biological sciences, and in other natural and physical sciences. In contrast, men were a significant majority in mathematical sciences and physics and astronomy</w:t>
      </w:r>
      <w:r w:rsidR="007D63FC" w:rsidRPr="005412EC">
        <w:rPr>
          <w:rFonts w:eastAsia="Times New Roman" w:cs="Times New Roman"/>
          <w:b w:val="0"/>
        </w:rPr>
        <w:t xml:space="preserve"> (</w:t>
      </w:r>
      <w:r w:rsidR="007B2632" w:rsidRPr="005412EC">
        <w:rPr>
          <w:rFonts w:eastAsia="Times New Roman" w:cs="Times New Roman"/>
          <w:b w:val="0"/>
        </w:rPr>
        <w:fldChar w:fldCharType="begin"/>
      </w:r>
      <w:r w:rsidR="007B2632" w:rsidRPr="005412EC">
        <w:rPr>
          <w:rFonts w:eastAsia="Times New Roman" w:cs="Times New Roman"/>
          <w:b w:val="0"/>
        </w:rPr>
        <w:instrText xml:space="preserve"> REF _Ref14332296 \h </w:instrText>
      </w:r>
      <w:r w:rsidR="005412EC">
        <w:rPr>
          <w:rFonts w:eastAsia="Times New Roman" w:cs="Times New Roman"/>
          <w:b w:val="0"/>
        </w:rPr>
        <w:instrText xml:space="preserve"> \* MERGEFORMAT </w:instrText>
      </w:r>
      <w:r w:rsidR="007B2632" w:rsidRPr="005412EC">
        <w:rPr>
          <w:rFonts w:eastAsia="Times New Roman" w:cs="Times New Roman"/>
          <w:b w:val="0"/>
        </w:rPr>
      </w:r>
      <w:r w:rsidR="007B2632" w:rsidRPr="005412EC">
        <w:rPr>
          <w:rFonts w:eastAsia="Times New Roman" w:cs="Times New Roman"/>
          <w:b w:val="0"/>
        </w:rPr>
        <w:fldChar w:fldCharType="separate"/>
      </w:r>
      <w:r w:rsidR="00075142" w:rsidRPr="00075142">
        <w:rPr>
          <w:b w:val="0"/>
        </w:rPr>
        <w:t xml:space="preserve">Figure </w:t>
      </w:r>
      <w:r w:rsidR="00075142" w:rsidRPr="00075142">
        <w:rPr>
          <w:b w:val="0"/>
          <w:noProof/>
        </w:rPr>
        <w:t>8</w:t>
      </w:r>
      <w:r w:rsidR="007B2632" w:rsidRPr="005412EC">
        <w:rPr>
          <w:rFonts w:eastAsia="Times New Roman" w:cs="Times New Roman"/>
          <w:b w:val="0"/>
        </w:rPr>
        <w:fldChar w:fldCharType="end"/>
      </w:r>
      <w:r w:rsidRPr="005412EC">
        <w:rPr>
          <w:rFonts w:eastAsia="Times New Roman" w:cs="Times New Roman"/>
          <w:b w:val="0"/>
        </w:rPr>
        <w:t>). Men were a significant majority in information technology and engineering, particularly mechanical and industrial and electrical and electronic engineering.</w:t>
      </w:r>
    </w:p>
    <w:p w14:paraId="1B1D8654" w14:textId="77777777" w:rsidR="002A3962" w:rsidRDefault="002A3962">
      <w:pPr>
        <w:rPr>
          <w:rFonts w:ascii="Calibri" w:eastAsia="Times New Roman" w:hAnsi="Calibri" w:cs="Times New Roman"/>
          <w:bCs/>
          <w:iCs/>
        </w:rPr>
      </w:pPr>
      <w:r>
        <w:rPr>
          <w:rFonts w:eastAsia="Times New Roman" w:cs="Times New Roman"/>
          <w:b/>
        </w:rPr>
        <w:br w:type="page"/>
      </w:r>
    </w:p>
    <w:p w14:paraId="51766DB7" w14:textId="2F69698B" w:rsidR="001C5544" w:rsidRPr="007B2632" w:rsidRDefault="007B2632" w:rsidP="007B2632">
      <w:pPr>
        <w:pStyle w:val="Caption"/>
      </w:pPr>
      <w:bookmarkStart w:id="36" w:name="_Toc17907069"/>
      <w:bookmarkStart w:id="37" w:name="_Ref14332296"/>
      <w:bookmarkEnd w:id="36"/>
      <w:r>
        <w:t xml:space="preserve">Figure </w:t>
      </w:r>
      <w:fldSimple w:instr=" SEQ Figure \* ARABIC ">
        <w:r w:rsidR="00075142">
          <w:rPr>
            <w:noProof/>
          </w:rPr>
          <w:t>8</w:t>
        </w:r>
      </w:fldSimple>
      <w:bookmarkEnd w:id="37"/>
      <w:r w:rsidR="00EA1BAF">
        <w:rPr>
          <w:rFonts w:eastAsia="Times New Roman" w:cs="Times New Roman"/>
        </w:rPr>
        <w:t>: Domestic HDR enrolments by g</w:t>
      </w:r>
      <w:r w:rsidR="001C5544" w:rsidRPr="001C5544">
        <w:rPr>
          <w:rFonts w:eastAsia="Times New Roman" w:cs="Times New Roman"/>
        </w:rPr>
        <w:t>ender in Science, 2017</w:t>
      </w:r>
    </w:p>
    <w:p w14:paraId="475BD907" w14:textId="6798F7C4" w:rsidR="001C5544" w:rsidRPr="001C5544" w:rsidRDefault="001C5612" w:rsidP="001C5544">
      <w:pPr>
        <w:spacing w:before="200" w:after="0"/>
        <w:outlineLvl w:val="3"/>
        <w:rPr>
          <w:rFonts w:ascii="Calibri" w:eastAsia="Times New Roman" w:hAnsi="Calibri" w:cs="Times New Roman"/>
          <w:b/>
          <w:bCs/>
          <w:iCs/>
        </w:rPr>
      </w:pPr>
      <w:r>
        <w:rPr>
          <w:i/>
          <w:noProof/>
          <w:sz w:val="20"/>
          <w:lang w:eastAsia="en-AU"/>
        </w:rPr>
        <w:drawing>
          <wp:inline distT="0" distB="0" distL="0" distR="0" wp14:anchorId="72660AE4" wp14:editId="0B52DE18">
            <wp:extent cx="5486400" cy="3240014"/>
            <wp:effectExtent l="0" t="0" r="0" b="0"/>
            <wp:docPr id="3" name="Picture 3" descr="In 2017, men were the majority of enrolments for four out of six fields within science: physics and astronomy &#10;(77 per cent), mathematical sciences&#10;(72 per cent), chemical sciences &#10;(57 per cent) and earth sciences&#10;(53 per cent). Women were the majority for the remaining two fields: other natural and physical sciences &#10;(53 per cent) and biological sciences &#10;(58 per cent). " title="Figure 8: Domestic HDR enrolments by gender in Scienc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5486400" cy="3240014"/>
                    </a:xfrm>
                    <a:prstGeom prst="rect">
                      <a:avLst/>
                    </a:prstGeom>
                    <a:noFill/>
                  </pic:spPr>
                </pic:pic>
              </a:graphicData>
            </a:graphic>
          </wp:inline>
        </w:drawing>
      </w:r>
    </w:p>
    <w:p w14:paraId="29A1A953" w14:textId="24419109" w:rsidR="007B2632" w:rsidRDefault="007D63FC" w:rsidP="007B2632">
      <w:pPr>
        <w:rPr>
          <w:i/>
          <w:sz w:val="20"/>
        </w:rPr>
      </w:pPr>
      <w:r>
        <w:rPr>
          <w:i/>
          <w:sz w:val="20"/>
        </w:rPr>
        <w:t>(Note: the n</w:t>
      </w:r>
      <w:r w:rsidR="001C5544" w:rsidRPr="001C5544">
        <w:rPr>
          <w:i/>
          <w:sz w:val="20"/>
        </w:rPr>
        <w:t>umber in brackets is the total number of enrolments</w:t>
      </w:r>
      <w:r>
        <w:rPr>
          <w:i/>
          <w:sz w:val="20"/>
        </w:rPr>
        <w:t>)</w:t>
      </w:r>
      <w:bookmarkStart w:id="38" w:name="_Toc13836177"/>
    </w:p>
    <w:p w14:paraId="39E9AF71" w14:textId="50DC80E9" w:rsidR="001C5544" w:rsidRPr="007B2632" w:rsidRDefault="007B2632" w:rsidP="007B2632">
      <w:pPr>
        <w:pStyle w:val="Caption"/>
      </w:pPr>
      <w:bookmarkStart w:id="39" w:name="_Toc17907070"/>
      <w:bookmarkEnd w:id="39"/>
      <w:r>
        <w:t xml:space="preserve">Figure </w:t>
      </w:r>
      <w:fldSimple w:instr=" SEQ Figure \* ARABIC ">
        <w:r w:rsidR="00075142">
          <w:rPr>
            <w:noProof/>
          </w:rPr>
          <w:t>9</w:t>
        </w:r>
      </w:fldSimple>
      <w:r w:rsidR="001C5544" w:rsidRPr="001C5544">
        <w:rPr>
          <w:rFonts w:eastAsia="Times New Roman" w:cs="Times New Roman"/>
        </w:rPr>
        <w:t>: Domestic HDR enrolments by gender in Engineering and IT, 2017</w:t>
      </w:r>
      <w:bookmarkEnd w:id="38"/>
      <w:r w:rsidR="001C5544" w:rsidRPr="001C5544">
        <w:rPr>
          <w:rFonts w:eastAsia="Times New Roman" w:cs="Times New Roman"/>
        </w:rPr>
        <w:t xml:space="preserve"> </w:t>
      </w:r>
    </w:p>
    <w:p w14:paraId="54FC572B" w14:textId="28F521A8" w:rsidR="001C5544" w:rsidRDefault="001C5612" w:rsidP="0003404E">
      <w:r>
        <w:rPr>
          <w:noProof/>
          <w:lang w:eastAsia="en-AU"/>
        </w:rPr>
        <w:drawing>
          <wp:inline distT="0" distB="0" distL="0" distR="0" wp14:anchorId="5F18E7D8" wp14:editId="7EAEB9F1">
            <wp:extent cx="5486400" cy="3040430"/>
            <wp:effectExtent l="0" t="0" r="0" b="7620"/>
            <wp:docPr id="21" name="Picture 21" descr="In 2017, men were a significant majority for domestic HDR enrolments in IT and engineering. The representation of men was particularly strong in mechanical and industrial engineering (86 per cent) and electrical and electronic engineering (76 per cent). For each IT field men made up around 70 per cent of enrolments." title="Figure 9: Domestic HDR enrolments by gender in Engineering and IT, 2017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5486400" cy="3040430"/>
                    </a:xfrm>
                    <a:prstGeom prst="rect">
                      <a:avLst/>
                    </a:prstGeom>
                    <a:noFill/>
                  </pic:spPr>
                </pic:pic>
              </a:graphicData>
            </a:graphic>
          </wp:inline>
        </w:drawing>
      </w:r>
    </w:p>
    <w:p w14:paraId="57B467CC" w14:textId="4BCEA5F1" w:rsidR="002A3962" w:rsidRDefault="007D63FC" w:rsidP="00CC0242">
      <w:pPr>
        <w:rPr>
          <w:rFonts w:ascii="Calibri" w:eastAsia="Times New Roman" w:hAnsi="Calibri" w:cs="Times New Roman"/>
          <w:i/>
          <w:sz w:val="20"/>
          <w:szCs w:val="20"/>
        </w:rPr>
      </w:pPr>
      <w:r>
        <w:rPr>
          <w:rFonts w:ascii="Calibri" w:eastAsia="Times New Roman" w:hAnsi="Calibri" w:cs="Times New Roman"/>
          <w:i/>
          <w:sz w:val="20"/>
          <w:szCs w:val="20"/>
        </w:rPr>
        <w:t>(</w:t>
      </w:r>
      <w:r w:rsidR="001C5544">
        <w:rPr>
          <w:rFonts w:ascii="Calibri" w:eastAsia="Times New Roman" w:hAnsi="Calibri" w:cs="Times New Roman"/>
          <w:i/>
          <w:sz w:val="20"/>
          <w:szCs w:val="20"/>
        </w:rPr>
        <w:t>*</w:t>
      </w:r>
      <w:r w:rsidR="001C5544" w:rsidRPr="001C5544">
        <w:rPr>
          <w:rFonts w:ascii="Calibri" w:eastAsia="Times New Roman" w:hAnsi="Calibri" w:cs="Times New Roman"/>
          <w:i/>
          <w:sz w:val="20"/>
          <w:szCs w:val="20"/>
        </w:rPr>
        <w:t xml:space="preserve">Aerospace, </w:t>
      </w:r>
      <w:r w:rsidR="002B4930" w:rsidRPr="001C5544">
        <w:rPr>
          <w:rFonts w:ascii="Calibri" w:eastAsia="Times New Roman" w:hAnsi="Calibri" w:cs="Times New Roman"/>
          <w:i/>
          <w:sz w:val="20"/>
          <w:szCs w:val="20"/>
        </w:rPr>
        <w:t>Geomatics</w:t>
      </w:r>
      <w:r w:rsidR="001C5544" w:rsidRPr="001C5544">
        <w:rPr>
          <w:rFonts w:ascii="Calibri" w:eastAsia="Times New Roman" w:hAnsi="Calibri" w:cs="Times New Roman"/>
          <w:i/>
          <w:sz w:val="20"/>
          <w:szCs w:val="20"/>
        </w:rPr>
        <w:t>, Manuf</w:t>
      </w:r>
      <w:r w:rsidR="00125A98">
        <w:rPr>
          <w:rFonts w:ascii="Calibri" w:eastAsia="Times New Roman" w:hAnsi="Calibri" w:cs="Times New Roman"/>
          <w:i/>
          <w:sz w:val="20"/>
          <w:szCs w:val="20"/>
        </w:rPr>
        <w:t>acturing, Maritime Engineering)</w:t>
      </w:r>
    </w:p>
    <w:p w14:paraId="51C0E624" w14:textId="77777777" w:rsidR="002A3962" w:rsidRDefault="002A3962">
      <w:pPr>
        <w:rPr>
          <w:rFonts w:ascii="Calibri" w:eastAsia="Times New Roman" w:hAnsi="Calibri" w:cs="Times New Roman"/>
          <w:i/>
          <w:sz w:val="20"/>
          <w:szCs w:val="20"/>
        </w:rPr>
      </w:pPr>
      <w:r>
        <w:rPr>
          <w:rFonts w:ascii="Calibri" w:eastAsia="Times New Roman" w:hAnsi="Calibri" w:cs="Times New Roman"/>
          <w:i/>
          <w:sz w:val="20"/>
          <w:szCs w:val="20"/>
        </w:rPr>
        <w:br w:type="page"/>
      </w:r>
    </w:p>
    <w:p w14:paraId="3F97F7C7" w14:textId="660AF182" w:rsidR="00CC0242" w:rsidRPr="00CC0242" w:rsidRDefault="00CC0242" w:rsidP="00CC0242">
      <w:pPr>
        <w:rPr>
          <w:rFonts w:ascii="Calibri" w:eastAsia="Times New Roman" w:hAnsi="Calibri" w:cs="Times New Roman"/>
        </w:rPr>
      </w:pPr>
      <w:r w:rsidRPr="00CC0242">
        <w:rPr>
          <w:rFonts w:ascii="Calibri" w:eastAsia="Times New Roman" w:hAnsi="Calibri" w:cs="Times New Roman"/>
        </w:rPr>
        <w:t xml:space="preserve">There has been much discussion about the low representation of women in most areas of STEM. Reasons proposed for this imbalance include a lack of encouragement </w:t>
      </w:r>
      <w:r w:rsidR="00BD4C7D">
        <w:rPr>
          <w:rFonts w:ascii="Calibri" w:eastAsia="Times New Roman" w:hAnsi="Calibri" w:cs="Times New Roman"/>
        </w:rPr>
        <w:t>from</w:t>
      </w:r>
      <w:r w:rsidRPr="00CC0242">
        <w:rPr>
          <w:rFonts w:ascii="Calibri" w:eastAsia="Times New Roman" w:hAnsi="Calibri" w:cs="Times New Roman"/>
        </w:rPr>
        <w:t xml:space="preserve"> academic staff at universities, unwelcoming environments in STEM fields, a lack of women role models, gender stereotyping, and a perception of less flexible and family-friendly working arrangements within STEM fields.</w:t>
      </w:r>
      <w:r w:rsidRPr="00CC0242">
        <w:rPr>
          <w:rFonts w:ascii="Calibri" w:eastAsia="Times New Roman" w:hAnsi="Calibri" w:cs="Times New Roman"/>
          <w:vertAlign w:val="superscript"/>
        </w:rPr>
        <w:footnoteReference w:id="8"/>
      </w:r>
    </w:p>
    <w:p w14:paraId="44096A6E" w14:textId="0B92DF46" w:rsidR="007B2632" w:rsidRPr="007B2632" w:rsidRDefault="00CC0242" w:rsidP="007B2632">
      <w:pPr>
        <w:rPr>
          <w:rFonts w:ascii="Calibri" w:eastAsia="Times New Roman" w:hAnsi="Calibri" w:cs="Times New Roman"/>
        </w:rPr>
      </w:pPr>
      <w:r w:rsidRPr="00CC0242">
        <w:rPr>
          <w:rFonts w:ascii="Calibri" w:eastAsia="Times New Roman" w:hAnsi="Calibri" w:cs="Times New Roman"/>
        </w:rPr>
        <w:t>The low representation of men in other HDR fields has received little attention. In 2017, men were in the minority of HDR students in virtually all fields of health, education and creative arts</w:t>
      </w:r>
      <w:r w:rsidR="007D63FC">
        <w:rPr>
          <w:rFonts w:ascii="Calibri" w:eastAsia="Times New Roman" w:hAnsi="Calibri" w:cs="Times New Roman"/>
        </w:rPr>
        <w:t xml:space="preserve"> (</w:t>
      </w:r>
      <w:r w:rsidR="007B2632">
        <w:rPr>
          <w:rFonts w:ascii="Calibri" w:eastAsia="Times New Roman" w:hAnsi="Calibri" w:cs="Times New Roman"/>
        </w:rPr>
        <w:fldChar w:fldCharType="begin"/>
      </w:r>
      <w:r w:rsidR="007B2632">
        <w:rPr>
          <w:rFonts w:ascii="Calibri" w:eastAsia="Times New Roman" w:hAnsi="Calibri" w:cs="Times New Roman"/>
        </w:rPr>
        <w:instrText xml:space="preserve"> REF _Ref14332371 \h </w:instrText>
      </w:r>
      <w:r w:rsidR="007B2632">
        <w:rPr>
          <w:rFonts w:ascii="Calibri" w:eastAsia="Times New Roman" w:hAnsi="Calibri" w:cs="Times New Roman"/>
        </w:rPr>
      </w:r>
      <w:r w:rsidR="007B2632">
        <w:rPr>
          <w:rFonts w:ascii="Calibri" w:eastAsia="Times New Roman" w:hAnsi="Calibri" w:cs="Times New Roman"/>
        </w:rPr>
        <w:fldChar w:fldCharType="separate"/>
      </w:r>
      <w:r w:rsidR="00075142">
        <w:t xml:space="preserve">Figure </w:t>
      </w:r>
      <w:r w:rsidR="00075142">
        <w:rPr>
          <w:noProof/>
        </w:rPr>
        <w:t>10</w:t>
      </w:r>
      <w:r w:rsidR="007B2632">
        <w:rPr>
          <w:rFonts w:ascii="Calibri" w:eastAsia="Times New Roman" w:hAnsi="Calibri" w:cs="Times New Roman"/>
        </w:rPr>
        <w:fldChar w:fldCharType="end"/>
      </w:r>
      <w:r w:rsidR="007B2632">
        <w:rPr>
          <w:rFonts w:ascii="Calibri" w:eastAsia="Times New Roman" w:hAnsi="Calibri" w:cs="Times New Roman"/>
        </w:rPr>
        <w:t xml:space="preserve">, </w:t>
      </w:r>
      <w:r w:rsidR="007B2632" w:rsidRPr="007B2632">
        <w:rPr>
          <w:rFonts w:ascii="Calibri" w:eastAsia="Times New Roman" w:hAnsi="Calibri" w:cs="Times New Roman"/>
        </w:rPr>
        <w:fldChar w:fldCharType="begin"/>
      </w:r>
      <w:r w:rsidR="007B2632" w:rsidRPr="007B2632">
        <w:rPr>
          <w:rFonts w:ascii="Calibri" w:eastAsia="Times New Roman" w:hAnsi="Calibri" w:cs="Times New Roman"/>
        </w:rPr>
        <w:instrText xml:space="preserve"> REF _Ref14332431 \h  \* MERGEFORMAT </w:instrText>
      </w:r>
      <w:r w:rsidR="007B2632" w:rsidRPr="007B2632">
        <w:rPr>
          <w:rFonts w:ascii="Calibri" w:eastAsia="Times New Roman" w:hAnsi="Calibri" w:cs="Times New Roman"/>
        </w:rPr>
      </w:r>
      <w:r w:rsidR="007B2632" w:rsidRPr="007B2632">
        <w:rPr>
          <w:rFonts w:ascii="Calibri" w:eastAsia="Times New Roman" w:hAnsi="Calibri" w:cs="Times New Roman"/>
        </w:rPr>
        <w:fldChar w:fldCharType="separate"/>
      </w:r>
      <w:r w:rsidR="00075142" w:rsidRPr="00075142">
        <w:t xml:space="preserve">Figure </w:t>
      </w:r>
      <w:r w:rsidR="00075142" w:rsidRPr="00075142">
        <w:rPr>
          <w:noProof/>
        </w:rPr>
        <w:t>11</w:t>
      </w:r>
      <w:r w:rsidR="007B2632" w:rsidRPr="007B2632">
        <w:rPr>
          <w:rFonts w:ascii="Calibri" w:eastAsia="Times New Roman" w:hAnsi="Calibri" w:cs="Times New Roman"/>
        </w:rPr>
        <w:fldChar w:fldCharType="end"/>
      </w:r>
      <w:r w:rsidR="007D63FC" w:rsidRPr="007B2632">
        <w:rPr>
          <w:rFonts w:ascii="Calibri" w:eastAsia="Times New Roman" w:hAnsi="Calibri" w:cs="Times New Roman"/>
        </w:rPr>
        <w:t>).</w:t>
      </w:r>
      <w:r w:rsidR="007D63FC">
        <w:rPr>
          <w:rFonts w:ascii="Calibri" w:eastAsia="Times New Roman" w:hAnsi="Calibri" w:cs="Times New Roman"/>
        </w:rPr>
        <w:t xml:space="preserve"> </w:t>
      </w:r>
      <w:r w:rsidRPr="00CC0242">
        <w:rPr>
          <w:rFonts w:ascii="Calibri" w:eastAsia="Times New Roman" w:hAnsi="Calibri" w:cs="Times New Roman"/>
        </w:rPr>
        <w:t>Men also had n</w:t>
      </w:r>
      <w:r w:rsidR="00374A15">
        <w:rPr>
          <w:rFonts w:ascii="Calibri" w:eastAsia="Times New Roman" w:hAnsi="Calibri" w:cs="Times New Roman"/>
        </w:rPr>
        <w:t xml:space="preserve">otably low representation in </w:t>
      </w:r>
      <w:r w:rsidRPr="00CC0242">
        <w:rPr>
          <w:rFonts w:ascii="Calibri" w:eastAsia="Times New Roman" w:hAnsi="Calibri" w:cs="Times New Roman"/>
        </w:rPr>
        <w:t>nursing, rehabilitation, dental studies, public health and veterinary studies.</w:t>
      </w:r>
      <w:bookmarkStart w:id="40" w:name="_Toc13836178"/>
    </w:p>
    <w:p w14:paraId="3844CF55" w14:textId="694F1A8E" w:rsidR="00CC0242" w:rsidRPr="007B2632" w:rsidRDefault="007B2632" w:rsidP="007B2632">
      <w:pPr>
        <w:pStyle w:val="Caption"/>
      </w:pPr>
      <w:bookmarkStart w:id="41" w:name="_Ref14332371"/>
      <w:bookmarkStart w:id="42" w:name="_Toc17907071"/>
      <w:r>
        <w:t xml:space="preserve">Figure </w:t>
      </w:r>
      <w:fldSimple w:instr=" SEQ Figure \* ARABIC ">
        <w:r w:rsidR="00075142">
          <w:rPr>
            <w:noProof/>
          </w:rPr>
          <w:t>10</w:t>
        </w:r>
      </w:fldSimple>
      <w:bookmarkEnd w:id="41"/>
      <w:r w:rsidR="00CC0242" w:rsidRPr="00CC0242">
        <w:rPr>
          <w:rFonts w:eastAsia="Times New Roman" w:cs="Times New Roman"/>
        </w:rPr>
        <w:t>: Domestic HDR enrolments by gender in Health, 2017</w:t>
      </w:r>
      <w:bookmarkEnd w:id="40"/>
      <w:bookmarkEnd w:id="42"/>
    </w:p>
    <w:p w14:paraId="42D2D3C2" w14:textId="42F2250E" w:rsidR="00CC0242" w:rsidRDefault="001C5612" w:rsidP="0003404E">
      <w:r>
        <w:rPr>
          <w:noProof/>
          <w:lang w:eastAsia="en-AU"/>
        </w:rPr>
        <w:drawing>
          <wp:inline distT="0" distB="0" distL="0" distR="0" wp14:anchorId="1497892B" wp14:editId="7210227A">
            <wp:extent cx="5486400" cy="3608635"/>
            <wp:effectExtent l="0" t="0" r="0" b="0"/>
            <wp:docPr id="30" name="Picture 30" descr="In 2017, men were the minority of domestic HDR enrolments in all fields of health. Men had a notably low representation in the following fields: public health (27 per cent), veterinary studies (25 per cent), dental studies &#10;(24 per cent), rehabilitation therapies (23 per cent) and nursing (16 per cent). The fields with the highest representation of men were optical science (47 per cent) and radiography (44 per cent)." title="Figure 10: Domestic HDR enrolments by gender in Health,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5486400" cy="3608635"/>
                    </a:xfrm>
                    <a:prstGeom prst="rect">
                      <a:avLst/>
                    </a:prstGeom>
                    <a:noFill/>
                  </pic:spPr>
                </pic:pic>
              </a:graphicData>
            </a:graphic>
          </wp:inline>
        </w:drawing>
      </w:r>
    </w:p>
    <w:p w14:paraId="40ACA42F" w14:textId="0FB7EF95" w:rsidR="00960351" w:rsidRDefault="00960351" w:rsidP="0003404E">
      <w:r>
        <w:br w:type="page"/>
      </w:r>
    </w:p>
    <w:p w14:paraId="2D129830" w14:textId="394233A8" w:rsidR="00CC0242" w:rsidRPr="00723BC6" w:rsidRDefault="007B2632" w:rsidP="007B2632">
      <w:pPr>
        <w:keepNext/>
        <w:spacing w:before="200" w:after="0"/>
        <w:outlineLvl w:val="3"/>
        <w:rPr>
          <w:b/>
        </w:rPr>
      </w:pPr>
      <w:bookmarkStart w:id="43" w:name="_Ref14332431"/>
      <w:bookmarkStart w:id="44" w:name="_Toc13836179"/>
      <w:bookmarkStart w:id="45" w:name="_Toc17907072"/>
      <w:r w:rsidRPr="00723BC6">
        <w:rPr>
          <w:b/>
        </w:rPr>
        <w:t xml:space="preserve">Figure </w:t>
      </w:r>
      <w:r w:rsidRPr="00723BC6">
        <w:rPr>
          <w:b/>
        </w:rPr>
        <w:fldChar w:fldCharType="begin"/>
      </w:r>
      <w:r w:rsidRPr="00723BC6">
        <w:rPr>
          <w:b/>
        </w:rPr>
        <w:instrText xml:space="preserve"> SEQ Figure \* ARABIC </w:instrText>
      </w:r>
      <w:r w:rsidRPr="00723BC6">
        <w:rPr>
          <w:b/>
        </w:rPr>
        <w:fldChar w:fldCharType="separate"/>
      </w:r>
      <w:r w:rsidR="00075142">
        <w:rPr>
          <w:b/>
          <w:noProof/>
        </w:rPr>
        <w:t>11</w:t>
      </w:r>
      <w:r w:rsidRPr="00723BC6">
        <w:rPr>
          <w:b/>
        </w:rPr>
        <w:fldChar w:fldCharType="end"/>
      </w:r>
      <w:bookmarkEnd w:id="43"/>
      <w:r w:rsidR="00CC0242" w:rsidRPr="00723BC6">
        <w:rPr>
          <w:rFonts w:ascii="Calibri" w:eastAsia="Times New Roman" w:hAnsi="Calibri" w:cs="Times New Roman"/>
          <w:b/>
          <w:bCs/>
          <w:iCs/>
        </w:rPr>
        <w:t>: Domestic HDR enrolments by gender in Creative Arts and Education, 2017</w:t>
      </w:r>
      <w:bookmarkEnd w:id="44"/>
      <w:bookmarkEnd w:id="45"/>
    </w:p>
    <w:p w14:paraId="3D6533B1" w14:textId="290CFF3C" w:rsidR="00CC0242" w:rsidRDefault="001C5612" w:rsidP="0003404E">
      <w:r>
        <w:rPr>
          <w:noProof/>
          <w:lang w:eastAsia="en-AU"/>
        </w:rPr>
        <w:drawing>
          <wp:inline distT="0" distB="0" distL="0" distR="0" wp14:anchorId="72A86E0C" wp14:editId="34E28C40">
            <wp:extent cx="5486400" cy="3599979"/>
            <wp:effectExtent l="0" t="0" r="0" b="635"/>
            <wp:docPr id="31" name="Picture 31" descr="In 2017, men were the minority in domestic HDR enrolments for every creative arts fields except performing arts, for which men made up 53 per cent. Men were also the minority for education, making up between 31 and 33 per cent of enrolments for each of the fields in education." title="Figure 11: Domestic HDR enrolments by gender in Creative Arts and Education,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5486400" cy="3599979"/>
                    </a:xfrm>
                    <a:prstGeom prst="rect">
                      <a:avLst/>
                    </a:prstGeom>
                    <a:noFill/>
                  </pic:spPr>
                </pic:pic>
              </a:graphicData>
            </a:graphic>
          </wp:inline>
        </w:drawing>
      </w:r>
    </w:p>
    <w:p w14:paraId="48C4C15D" w14:textId="6D392D02" w:rsidR="002A3962" w:rsidRDefault="00CC0242" w:rsidP="00CC0242">
      <w:pPr>
        <w:rPr>
          <w:rFonts w:ascii="Calibri" w:eastAsia="Times New Roman" w:hAnsi="Calibri" w:cs="Times New Roman"/>
        </w:rPr>
      </w:pPr>
      <w:r w:rsidRPr="00CC0242">
        <w:rPr>
          <w:rFonts w:ascii="Calibri" w:eastAsia="Times New Roman" w:hAnsi="Calibri" w:cs="Times New Roman"/>
        </w:rPr>
        <w:t xml:space="preserve">Society and culture presented a more mixed picture: men made up only a quarter of behavioural science (psychology) enrolments in 2017, </w:t>
      </w:r>
      <w:r w:rsidR="001F28BE">
        <w:rPr>
          <w:rFonts w:ascii="Calibri" w:eastAsia="Times New Roman" w:hAnsi="Calibri" w:cs="Times New Roman"/>
        </w:rPr>
        <w:t>however, they</w:t>
      </w:r>
      <w:r w:rsidRPr="00CC0242">
        <w:rPr>
          <w:rFonts w:ascii="Calibri" w:eastAsia="Times New Roman" w:hAnsi="Calibri" w:cs="Times New Roman"/>
        </w:rPr>
        <w:t xml:space="preserve"> notabl</w:t>
      </w:r>
      <w:r w:rsidR="00D41429">
        <w:rPr>
          <w:rFonts w:ascii="Calibri" w:eastAsia="Times New Roman" w:hAnsi="Calibri" w:cs="Times New Roman"/>
        </w:rPr>
        <w:t>y made up the</w:t>
      </w:r>
      <w:r w:rsidRPr="00CC0242">
        <w:rPr>
          <w:rFonts w:ascii="Calibri" w:eastAsia="Times New Roman" w:hAnsi="Calibri" w:cs="Times New Roman"/>
        </w:rPr>
        <w:t xml:space="preserve"> </w:t>
      </w:r>
      <w:r w:rsidR="002B4930" w:rsidRPr="00CC0242">
        <w:rPr>
          <w:rFonts w:ascii="Calibri" w:eastAsia="Times New Roman" w:hAnsi="Calibri" w:cs="Times New Roman"/>
        </w:rPr>
        <w:t>majori</w:t>
      </w:r>
      <w:r w:rsidR="002B4930">
        <w:rPr>
          <w:rFonts w:ascii="Calibri" w:eastAsia="Times New Roman" w:hAnsi="Calibri" w:cs="Times New Roman"/>
        </w:rPr>
        <w:t>ty</w:t>
      </w:r>
      <w:r w:rsidR="001F28BE">
        <w:rPr>
          <w:rFonts w:ascii="Calibri" w:eastAsia="Times New Roman" w:hAnsi="Calibri" w:cs="Times New Roman"/>
        </w:rPr>
        <w:t xml:space="preserve"> of enrolments </w:t>
      </w:r>
      <w:r w:rsidRPr="00CC0242">
        <w:rPr>
          <w:rFonts w:ascii="Calibri" w:eastAsia="Times New Roman" w:hAnsi="Calibri" w:cs="Times New Roman"/>
        </w:rPr>
        <w:t>in philosophy and religious studies, economics and econometrics and sport and recreatio</w:t>
      </w:r>
      <w:r w:rsidR="007D63FC">
        <w:rPr>
          <w:rFonts w:ascii="Calibri" w:eastAsia="Times New Roman" w:hAnsi="Calibri" w:cs="Times New Roman"/>
        </w:rPr>
        <w:t>n (</w:t>
      </w:r>
      <w:r w:rsidR="007B2632">
        <w:rPr>
          <w:rFonts w:ascii="Calibri" w:eastAsia="Times New Roman" w:hAnsi="Calibri" w:cs="Times New Roman"/>
        </w:rPr>
        <w:fldChar w:fldCharType="begin"/>
      </w:r>
      <w:r w:rsidR="007B2632">
        <w:rPr>
          <w:rFonts w:ascii="Calibri" w:eastAsia="Times New Roman" w:hAnsi="Calibri" w:cs="Times New Roman"/>
        </w:rPr>
        <w:instrText xml:space="preserve"> REF _Ref14332465 \h </w:instrText>
      </w:r>
      <w:r w:rsidR="007B2632">
        <w:rPr>
          <w:rFonts w:ascii="Calibri" w:eastAsia="Times New Roman" w:hAnsi="Calibri" w:cs="Times New Roman"/>
        </w:rPr>
      </w:r>
      <w:r w:rsidR="007B2632">
        <w:rPr>
          <w:rFonts w:ascii="Calibri" w:eastAsia="Times New Roman" w:hAnsi="Calibri" w:cs="Times New Roman"/>
        </w:rPr>
        <w:fldChar w:fldCharType="separate"/>
      </w:r>
      <w:r w:rsidR="00075142">
        <w:t xml:space="preserve">Figure </w:t>
      </w:r>
      <w:r w:rsidR="00075142">
        <w:rPr>
          <w:noProof/>
        </w:rPr>
        <w:t>12</w:t>
      </w:r>
      <w:r w:rsidR="007B2632">
        <w:rPr>
          <w:rFonts w:ascii="Calibri" w:eastAsia="Times New Roman" w:hAnsi="Calibri" w:cs="Times New Roman"/>
        </w:rPr>
        <w:fldChar w:fldCharType="end"/>
      </w:r>
      <w:r w:rsidR="007D63FC">
        <w:rPr>
          <w:rFonts w:ascii="Calibri" w:eastAsia="Times New Roman" w:hAnsi="Calibri" w:cs="Times New Roman"/>
        </w:rPr>
        <w:t>).</w:t>
      </w:r>
    </w:p>
    <w:p w14:paraId="69F2528B" w14:textId="0A114AA9" w:rsidR="00CC0242" w:rsidRDefault="002A3962" w:rsidP="00CC0242">
      <w:pPr>
        <w:rPr>
          <w:rFonts w:ascii="Calibri" w:eastAsia="Times New Roman" w:hAnsi="Calibri" w:cs="Times New Roman"/>
        </w:rPr>
      </w:pPr>
      <w:r>
        <w:rPr>
          <w:rFonts w:ascii="Calibri" w:eastAsia="Times New Roman" w:hAnsi="Calibri" w:cs="Times New Roman"/>
        </w:rPr>
        <w:br w:type="page"/>
      </w:r>
    </w:p>
    <w:p w14:paraId="3F3AD9E3" w14:textId="5F83DD85" w:rsidR="00CC0242" w:rsidRPr="007B2632" w:rsidRDefault="007B2632" w:rsidP="007B2632">
      <w:pPr>
        <w:pStyle w:val="Caption"/>
      </w:pPr>
      <w:bookmarkStart w:id="46" w:name="_Ref14332465"/>
      <w:bookmarkStart w:id="47" w:name="_Toc13836180"/>
      <w:bookmarkStart w:id="48" w:name="_Toc17907073"/>
      <w:r>
        <w:t xml:space="preserve">Figure </w:t>
      </w:r>
      <w:fldSimple w:instr=" SEQ Figure \* ARABIC ">
        <w:r w:rsidR="00075142">
          <w:rPr>
            <w:noProof/>
          </w:rPr>
          <w:t>12</w:t>
        </w:r>
      </w:fldSimple>
      <w:bookmarkEnd w:id="46"/>
      <w:r w:rsidR="00CC0242" w:rsidRPr="00CC0242">
        <w:rPr>
          <w:rFonts w:eastAsia="Times New Roman" w:cs="Times New Roman"/>
        </w:rPr>
        <w:t>: Domestic HDR enrolments by gender in Society and Culture, 2017</w:t>
      </w:r>
      <w:bookmarkEnd w:id="47"/>
      <w:bookmarkEnd w:id="48"/>
    </w:p>
    <w:p w14:paraId="4FC5AFC8" w14:textId="43C37A76" w:rsidR="00CC0242" w:rsidRDefault="001C5612" w:rsidP="0003404E">
      <w:r>
        <w:rPr>
          <w:noProof/>
          <w:lang w:eastAsia="en-AU"/>
        </w:rPr>
        <w:drawing>
          <wp:inline distT="0" distB="0" distL="0" distR="0" wp14:anchorId="3D3DCBDF" wp14:editId="44AF8A6B">
            <wp:extent cx="5486400" cy="3603356"/>
            <wp:effectExtent l="0" t="0" r="0" b="0"/>
            <wp:docPr id="33" name="Picture 33" descr="In 2017, domestic HDR enrolments in society and culture presented a mixed picture. Women made up the significant majority of enrolments for human welfare studies and services &#10;(77 per cent) and behavioural science (74 per cent). However, men made up the majority for almost half (five of the 11 fields) in society and culture. The three fields with the highest male representation were sport and recreation (68 per cent), economics and econometrics (64 per cent) and philosophy and religious studies &#10;(64 per cent)." title="Figure 12: Domestic HDR enrolments by gender in Society and Culture,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486400" cy="3603356"/>
                    </a:xfrm>
                    <a:prstGeom prst="rect">
                      <a:avLst/>
                    </a:prstGeom>
                    <a:noFill/>
                  </pic:spPr>
                </pic:pic>
              </a:graphicData>
            </a:graphic>
          </wp:inline>
        </w:drawing>
      </w:r>
    </w:p>
    <w:p w14:paraId="6DF56F15" w14:textId="77777777" w:rsidR="00CC0242" w:rsidRPr="00CC0242" w:rsidRDefault="00CC0242" w:rsidP="0003404E">
      <w:pPr>
        <w:rPr>
          <w:rFonts w:ascii="Calibri" w:eastAsia="Times New Roman" w:hAnsi="Calibri" w:cs="Times New Roman"/>
          <w:i/>
          <w:sz w:val="20"/>
        </w:rPr>
      </w:pPr>
      <w:r>
        <w:rPr>
          <w:rFonts w:ascii="Calibri" w:eastAsia="Times New Roman" w:hAnsi="Calibri" w:cs="Times New Roman"/>
          <w:i/>
          <w:sz w:val="20"/>
        </w:rPr>
        <w:t>(</w:t>
      </w:r>
      <w:r w:rsidRPr="00CC0242">
        <w:rPr>
          <w:rFonts w:ascii="Calibri" w:eastAsia="Times New Roman" w:hAnsi="Calibri" w:cs="Times New Roman"/>
          <w:i/>
          <w:sz w:val="20"/>
        </w:rPr>
        <w:t>Note: Librarianship and Information Management omitted due to low numbers)</w:t>
      </w:r>
    </w:p>
    <w:p w14:paraId="7BB37A40" w14:textId="284A3827" w:rsidR="00CC0242" w:rsidRDefault="00CC0242">
      <w:pPr>
        <w:rPr>
          <w:rFonts w:ascii="Calibri" w:eastAsiaTheme="majorEastAsia" w:hAnsi="Calibri" w:cstheme="majorBidi"/>
          <w:b/>
          <w:bCs/>
          <w:color w:val="522761"/>
          <w:sz w:val="36"/>
          <w:szCs w:val="28"/>
        </w:rPr>
      </w:pPr>
      <w:r>
        <w:br w:type="page"/>
      </w:r>
    </w:p>
    <w:p w14:paraId="2F65F2BF" w14:textId="695FBE27" w:rsidR="00CC0242" w:rsidRDefault="008A6B6E" w:rsidP="00CC0242">
      <w:pPr>
        <w:pStyle w:val="Heading1"/>
        <w:numPr>
          <w:ilvl w:val="0"/>
          <w:numId w:val="20"/>
        </w:numPr>
      </w:pPr>
      <w:bookmarkStart w:id="49" w:name="_Toc23841275"/>
      <w:r>
        <w:t>Socio</w:t>
      </w:r>
      <w:r w:rsidR="00CC0242">
        <w:t>economic Status</w:t>
      </w:r>
      <w:bookmarkEnd w:id="49"/>
    </w:p>
    <w:p w14:paraId="751E48D9" w14:textId="3E045163" w:rsidR="00CC0242" w:rsidRDefault="00CC0242" w:rsidP="00CC0242">
      <w:pPr>
        <w:rPr>
          <w:i/>
        </w:rPr>
      </w:pPr>
      <w:r w:rsidRPr="00755340">
        <w:rPr>
          <w:i/>
        </w:rPr>
        <w:t xml:space="preserve">Note: </w:t>
      </w:r>
      <w:r>
        <w:rPr>
          <w:i/>
        </w:rPr>
        <w:t xml:space="preserve">This section analyses student data </w:t>
      </w:r>
      <w:r w:rsidR="008A6B6E">
        <w:rPr>
          <w:i/>
        </w:rPr>
        <w:t>according to a measure of socio</w:t>
      </w:r>
      <w:r>
        <w:rPr>
          <w:i/>
        </w:rPr>
        <w:t xml:space="preserve">economic status (SES) derived from the </w:t>
      </w:r>
      <w:r w:rsidRPr="00755340">
        <w:rPr>
          <w:i/>
        </w:rPr>
        <w:t>SA1 (statistical area 1)</w:t>
      </w:r>
      <w:r>
        <w:rPr>
          <w:i/>
        </w:rPr>
        <w:t xml:space="preserve"> measure, based on the student’s permanent home residence. </w:t>
      </w:r>
      <w:r w:rsidRPr="00755340">
        <w:rPr>
          <w:i/>
        </w:rPr>
        <w:t xml:space="preserve">The address used to determine the SES of students </w:t>
      </w:r>
      <w:r>
        <w:rPr>
          <w:i/>
        </w:rPr>
        <w:t>was</w:t>
      </w:r>
      <w:r w:rsidRPr="00755340">
        <w:rPr>
          <w:i/>
        </w:rPr>
        <w:t xml:space="preserve"> their address at the ti</w:t>
      </w:r>
      <w:r>
        <w:rPr>
          <w:i/>
        </w:rPr>
        <w:t xml:space="preserve">me of enrolment, which may not be reflective of all students’ SES status. This data should therefore be used with caution. Data on this measure is not available prior to 2011. </w:t>
      </w:r>
    </w:p>
    <w:p w14:paraId="25DDA744" w14:textId="77777777" w:rsidR="00CC0242" w:rsidRPr="00D70F66" w:rsidRDefault="00CC0242" w:rsidP="00CC0242">
      <w:pPr>
        <w:rPr>
          <w:i/>
        </w:rPr>
      </w:pPr>
      <w:r>
        <w:rPr>
          <w:i/>
        </w:rPr>
        <w:t xml:space="preserve">Low </w:t>
      </w:r>
      <w:r w:rsidRPr="00D70F66">
        <w:rPr>
          <w:i/>
        </w:rPr>
        <w:t xml:space="preserve">SES </w:t>
      </w:r>
      <w:r>
        <w:rPr>
          <w:i/>
        </w:rPr>
        <w:t xml:space="preserve">is the bottom quartile and high </w:t>
      </w:r>
      <w:r w:rsidRPr="00D70F66">
        <w:rPr>
          <w:i/>
        </w:rPr>
        <w:t xml:space="preserve">SES the </w:t>
      </w:r>
      <w:r>
        <w:rPr>
          <w:i/>
        </w:rPr>
        <w:t>top</w:t>
      </w:r>
      <w:r w:rsidRPr="00D70F66">
        <w:rPr>
          <w:i/>
        </w:rPr>
        <w:t xml:space="preserve"> quartile. </w:t>
      </w:r>
    </w:p>
    <w:p w14:paraId="4366AE0D" w14:textId="77777777" w:rsidR="00CC0242" w:rsidRDefault="00CC0242" w:rsidP="00CC0242">
      <w:pPr>
        <w:rPr>
          <w:i/>
        </w:rPr>
      </w:pPr>
      <w:r>
        <w:rPr>
          <w:i/>
        </w:rPr>
        <w:t xml:space="preserve">SES data refers only to domestic students, as it is not reported for international students. Between </w:t>
      </w:r>
      <w:r>
        <w:rPr>
          <w:i/>
        </w:rPr>
        <w:br/>
        <w:t>5 and 7 per cent of student enrolments had an unknown SES status each year; data for these students has been disregarded here.</w:t>
      </w:r>
    </w:p>
    <w:p w14:paraId="552FF419" w14:textId="214A2139" w:rsidR="00CC0242" w:rsidRDefault="00CC0242" w:rsidP="00CC0242">
      <w:r>
        <w:t>The proportion of students in each SES band (low, medium and high) changed little between 2011 and 2017. Students of high SES remained the</w:t>
      </w:r>
      <w:r w:rsidR="001F28BE">
        <w:t xml:space="preserve"> dominant SES band in the</w:t>
      </w:r>
      <w:r>
        <w:t xml:space="preserve"> HDR student population, while medium and low SES students were underrepresented. In 2011, 8 per cent of all domestic HDR enrolments were students classified as low SES, 37 per cent were students classified as medium SES, and 49 per cent were students classified as high SES.</w:t>
      </w:r>
      <w:r>
        <w:rPr>
          <w:rStyle w:val="FootnoteReference"/>
        </w:rPr>
        <w:footnoteReference w:id="9"/>
      </w:r>
      <w:r>
        <w:t xml:space="preserve"> By 2017, the share of low SES was unchanged, medium SES had increased slightly to 39 per cent, while high SES had decreased slightly to 47</w:t>
      </w:r>
      <w:r w:rsidR="00D41429">
        <w:t> </w:t>
      </w:r>
      <w:r>
        <w:t>per</w:t>
      </w:r>
      <w:r w:rsidR="00D41429">
        <w:t> </w:t>
      </w:r>
      <w:r>
        <w:t xml:space="preserve">cent of enrolments </w:t>
      </w:r>
      <w:r w:rsidR="00075142">
        <w:t>(</w:t>
      </w:r>
      <w:r w:rsidR="00075142" w:rsidRPr="00075142">
        <w:fldChar w:fldCharType="begin"/>
      </w:r>
      <w:r w:rsidR="00075142" w:rsidRPr="00075142">
        <w:instrText xml:space="preserve"> REF _Ref30426363 \h  \* MERGEFORMAT </w:instrText>
      </w:r>
      <w:r w:rsidR="00075142" w:rsidRPr="00075142">
        <w:fldChar w:fldCharType="separate"/>
      </w:r>
      <w:r w:rsidR="00075142" w:rsidRPr="00075142">
        <w:t xml:space="preserve">Figure </w:t>
      </w:r>
      <w:r w:rsidR="00075142" w:rsidRPr="00075142">
        <w:rPr>
          <w:noProof/>
        </w:rPr>
        <w:t>13</w:t>
      </w:r>
      <w:r w:rsidR="00075142" w:rsidRPr="00075142">
        <w:fldChar w:fldCharType="end"/>
      </w:r>
      <w:r w:rsidR="00075142">
        <w:t>).</w:t>
      </w:r>
      <w:r w:rsidR="00075142">
        <w:br/>
      </w:r>
    </w:p>
    <w:p w14:paraId="2CD4367F" w14:textId="2DF9A4D6" w:rsidR="00E07749" w:rsidRPr="00960351" w:rsidRDefault="00960351" w:rsidP="00960351">
      <w:r>
        <w:br w:type="page"/>
      </w:r>
    </w:p>
    <w:p w14:paraId="6B4F1C02" w14:textId="383C07B3" w:rsidR="00CC0242" w:rsidRPr="007B2632" w:rsidRDefault="007B2632" w:rsidP="007B2632">
      <w:pPr>
        <w:keepNext/>
        <w:spacing w:before="200" w:after="0"/>
        <w:outlineLvl w:val="3"/>
      </w:pPr>
      <w:bookmarkStart w:id="50" w:name="_Toc17907074"/>
      <w:bookmarkStart w:id="51" w:name="_Ref14332496"/>
      <w:bookmarkStart w:id="52" w:name="_Ref30426363"/>
      <w:bookmarkEnd w:id="50"/>
      <w:bookmarkEnd w:id="51"/>
      <w:r w:rsidRPr="007B2632">
        <w:rPr>
          <w:b/>
        </w:rPr>
        <w:t xml:space="preserve">Figure </w:t>
      </w:r>
      <w:r w:rsidRPr="007B2632">
        <w:rPr>
          <w:b/>
        </w:rPr>
        <w:fldChar w:fldCharType="begin"/>
      </w:r>
      <w:r w:rsidRPr="007B2632">
        <w:rPr>
          <w:b/>
        </w:rPr>
        <w:instrText xml:space="preserve"> SEQ Figure \* ARABIC </w:instrText>
      </w:r>
      <w:r w:rsidRPr="007B2632">
        <w:rPr>
          <w:b/>
        </w:rPr>
        <w:fldChar w:fldCharType="separate"/>
      </w:r>
      <w:r w:rsidR="00075142">
        <w:rPr>
          <w:b/>
          <w:noProof/>
        </w:rPr>
        <w:t>13</w:t>
      </w:r>
      <w:r w:rsidRPr="007B2632">
        <w:rPr>
          <w:b/>
        </w:rPr>
        <w:fldChar w:fldCharType="end"/>
      </w:r>
      <w:bookmarkEnd w:id="52"/>
      <w:r w:rsidR="00CC0242">
        <w:rPr>
          <w:rFonts w:ascii="Calibri" w:eastAsia="Times New Roman" w:hAnsi="Calibri" w:cs="Times New Roman"/>
          <w:b/>
          <w:bCs/>
          <w:iCs/>
        </w:rPr>
        <w:t>: Proportion of domestic HDR enrolments by SES, 2011</w:t>
      </w:r>
      <w:r w:rsidR="00CB21F3">
        <w:t>–</w:t>
      </w:r>
      <w:r w:rsidR="00CC0242">
        <w:rPr>
          <w:rFonts w:ascii="Calibri" w:eastAsia="Times New Roman" w:hAnsi="Calibri" w:cs="Times New Roman"/>
          <w:b/>
          <w:bCs/>
          <w:iCs/>
        </w:rPr>
        <w:t>17</w:t>
      </w:r>
    </w:p>
    <w:p w14:paraId="54F25F14" w14:textId="6610B01A" w:rsidR="00CC0242" w:rsidRPr="00CC0242" w:rsidRDefault="001C5612" w:rsidP="00CC0242">
      <w:pPr>
        <w:spacing w:before="200" w:after="0"/>
        <w:outlineLvl w:val="3"/>
        <w:rPr>
          <w:rFonts w:ascii="Calibri" w:eastAsia="Times New Roman" w:hAnsi="Calibri" w:cs="Times New Roman"/>
          <w:b/>
          <w:bCs/>
          <w:iCs/>
        </w:rPr>
      </w:pPr>
      <w:r>
        <w:rPr>
          <w:rFonts w:ascii="Calibri" w:eastAsia="Times New Roman" w:hAnsi="Calibri" w:cs="Times New Roman"/>
          <w:b/>
          <w:bCs/>
          <w:iCs/>
          <w:noProof/>
          <w:lang w:eastAsia="en-AU"/>
        </w:rPr>
        <w:drawing>
          <wp:inline distT="0" distB="0" distL="0" distR="0" wp14:anchorId="18C26FD6" wp14:editId="6BC89513">
            <wp:extent cx="5499100" cy="3670300"/>
            <wp:effectExtent l="0" t="0" r="6350" b="6350"/>
            <wp:docPr id="13" name="Picture 13" descr="From 2011 to 2017, the representation of students from each &#10;Socio-Economic Status (SES) band (low, medium and high) changed little. Students of high SES remained the dominant SES band, while medium and low SES students were underrepresented. In 2011, eight per cent of all domestic HDR enrolments were students classified as low SES, &#10;37 per cent were classified as medium SES and 49 per cent were classified as high SES. By 2017, the representation of low SES students was unchanged, medium SES had increased slightly to 39 per cent and high SES enrolments had decreased slightly to 47 per cent." title="Figure 13: Proportion of domestic HDR enrolments by SES, 2011–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5499100" cy="3670300"/>
                    </a:xfrm>
                    <a:prstGeom prst="rect">
                      <a:avLst/>
                    </a:prstGeom>
                    <a:noFill/>
                  </pic:spPr>
                </pic:pic>
              </a:graphicData>
            </a:graphic>
          </wp:inline>
        </w:drawing>
      </w:r>
    </w:p>
    <w:p w14:paraId="713660E6" w14:textId="77777777" w:rsidR="00CC0242" w:rsidRPr="00CC0242" w:rsidRDefault="00CC0242" w:rsidP="0003404E">
      <w:pPr>
        <w:rPr>
          <w:i/>
        </w:rPr>
      </w:pPr>
      <w:r>
        <w:rPr>
          <w:rFonts w:ascii="Calibri" w:eastAsia="Times New Roman" w:hAnsi="Calibri" w:cs="Times New Roman"/>
          <w:i/>
          <w:sz w:val="20"/>
          <w:szCs w:val="20"/>
        </w:rPr>
        <w:t>(Note:</w:t>
      </w:r>
      <w:r w:rsidRPr="00CC0242">
        <w:rPr>
          <w:rFonts w:ascii="Calibri" w:eastAsia="Times New Roman" w:hAnsi="Calibri" w:cs="Times New Roman"/>
          <w:i/>
          <w:sz w:val="20"/>
          <w:szCs w:val="20"/>
        </w:rPr>
        <w:t xml:space="preserve"> 5-7 per cent of enrolments between 2011 and 2017 were unknown SES</w:t>
      </w:r>
      <w:r>
        <w:rPr>
          <w:rFonts w:ascii="Calibri" w:eastAsia="Times New Roman" w:hAnsi="Calibri" w:cs="Times New Roman"/>
          <w:i/>
          <w:sz w:val="20"/>
          <w:szCs w:val="20"/>
        </w:rPr>
        <w:t>)</w:t>
      </w:r>
    </w:p>
    <w:p w14:paraId="5CCC7848" w14:textId="22B1BE48" w:rsidR="00E93165" w:rsidRDefault="00E93165" w:rsidP="00CC0242">
      <w:pPr>
        <w:rPr>
          <w:rFonts w:ascii="Calibri" w:eastAsia="Times New Roman" w:hAnsi="Calibri" w:cs="Times New Roman"/>
        </w:rPr>
      </w:pPr>
      <w:r w:rsidRPr="00CC0242">
        <w:rPr>
          <w:rFonts w:ascii="Calibri" w:eastAsia="Times New Roman" w:hAnsi="Calibri" w:cs="Times New Roman"/>
        </w:rPr>
        <w:t>Proportional representation of each SES level would occur if 25</w:t>
      </w:r>
      <w:r>
        <w:rPr>
          <w:rFonts w:ascii="Calibri" w:eastAsia="Times New Roman" w:hAnsi="Calibri" w:cs="Times New Roman"/>
        </w:rPr>
        <w:t xml:space="preserve"> per cent </w:t>
      </w:r>
      <w:r w:rsidRPr="00CC0242">
        <w:rPr>
          <w:rFonts w:ascii="Calibri" w:eastAsia="Times New Roman" w:hAnsi="Calibri" w:cs="Times New Roman"/>
        </w:rPr>
        <w:t>of students were low SES, 50</w:t>
      </w:r>
      <w:r>
        <w:rPr>
          <w:rFonts w:ascii="Calibri" w:eastAsia="Times New Roman" w:hAnsi="Calibri" w:cs="Times New Roman"/>
        </w:rPr>
        <w:t> per cent</w:t>
      </w:r>
      <w:r w:rsidRPr="00CC0242">
        <w:rPr>
          <w:rFonts w:ascii="Calibri" w:eastAsia="Times New Roman" w:hAnsi="Calibri" w:cs="Times New Roman"/>
        </w:rPr>
        <w:t xml:space="preserve"> of students were medium SES, and 25</w:t>
      </w:r>
      <w:r>
        <w:rPr>
          <w:rFonts w:ascii="Calibri" w:eastAsia="Times New Roman" w:hAnsi="Calibri" w:cs="Times New Roman"/>
        </w:rPr>
        <w:t xml:space="preserve"> per cent </w:t>
      </w:r>
      <w:r w:rsidRPr="00CC0242">
        <w:rPr>
          <w:rFonts w:ascii="Calibri" w:eastAsia="Times New Roman" w:hAnsi="Calibri" w:cs="Times New Roman"/>
        </w:rPr>
        <w:t>of students were high SES. Therefore</w:t>
      </w:r>
      <w:r w:rsidR="001F28BE">
        <w:rPr>
          <w:rFonts w:ascii="Calibri" w:eastAsia="Times New Roman" w:hAnsi="Calibri" w:cs="Times New Roman"/>
        </w:rPr>
        <w:t>,</w:t>
      </w:r>
      <w:r w:rsidRPr="00CC0242">
        <w:rPr>
          <w:rFonts w:ascii="Calibri" w:eastAsia="Times New Roman" w:hAnsi="Calibri" w:cs="Times New Roman"/>
        </w:rPr>
        <w:t xml:space="preserve"> low</w:t>
      </w:r>
      <w:r w:rsidR="00D41429">
        <w:rPr>
          <w:rFonts w:ascii="Calibri" w:eastAsia="Times New Roman" w:hAnsi="Calibri" w:cs="Times New Roman"/>
        </w:rPr>
        <w:t>-</w:t>
      </w:r>
      <w:r w:rsidRPr="00CC0242">
        <w:rPr>
          <w:rFonts w:ascii="Calibri" w:eastAsia="Times New Roman" w:hAnsi="Calibri" w:cs="Times New Roman"/>
        </w:rPr>
        <w:t>SES students have approximately one third of their proportional representation, and high-SES students have just under two times their proportional representation</w:t>
      </w:r>
      <w:r>
        <w:rPr>
          <w:rFonts w:ascii="Calibri" w:eastAsia="Times New Roman" w:hAnsi="Calibri" w:cs="Times New Roman"/>
        </w:rPr>
        <w:t xml:space="preserve">. </w:t>
      </w:r>
    </w:p>
    <w:p w14:paraId="4E304134" w14:textId="269C7CAD" w:rsidR="00CC0242" w:rsidRPr="00CC0242" w:rsidRDefault="00CC0242" w:rsidP="00CC0242">
      <w:pPr>
        <w:rPr>
          <w:rFonts w:ascii="Calibri" w:eastAsia="Times New Roman" w:hAnsi="Calibri" w:cs="Times New Roman"/>
        </w:rPr>
      </w:pPr>
      <w:r w:rsidRPr="00CC0242">
        <w:rPr>
          <w:rFonts w:ascii="Calibri" w:eastAsia="Times New Roman" w:hAnsi="Calibri" w:cs="Times New Roman"/>
        </w:rPr>
        <w:t>Commencements and completions also showed little change. Between 2011 and 2017, low SES commencements rose slightly from 8 to 9 per cent, medium SES c</w:t>
      </w:r>
      <w:r w:rsidR="00374A15">
        <w:rPr>
          <w:rFonts w:ascii="Calibri" w:eastAsia="Times New Roman" w:hAnsi="Calibri" w:cs="Times New Roman"/>
        </w:rPr>
        <w:t>ommencements rose from 37 to 40 </w:t>
      </w:r>
      <w:r w:rsidRPr="00CC0242">
        <w:rPr>
          <w:rFonts w:ascii="Calibri" w:eastAsia="Times New Roman" w:hAnsi="Calibri" w:cs="Times New Roman"/>
        </w:rPr>
        <w:t>per cent, and high SES commencements declined from 47 to 46 per cent. Available completion r</w:t>
      </w:r>
      <w:r w:rsidR="00D41429">
        <w:rPr>
          <w:rFonts w:ascii="Calibri" w:eastAsia="Times New Roman" w:hAnsi="Calibri" w:cs="Times New Roman"/>
        </w:rPr>
        <w:t>ates were similar: in 2017, low-</w:t>
      </w:r>
      <w:r w:rsidRPr="00CC0242">
        <w:rPr>
          <w:rFonts w:ascii="Calibri" w:eastAsia="Times New Roman" w:hAnsi="Calibri" w:cs="Times New Roman"/>
        </w:rPr>
        <w:t>SES students made up 6 per cent of all HDR completions, medium</w:t>
      </w:r>
      <w:r w:rsidR="00D41429">
        <w:rPr>
          <w:rFonts w:ascii="Calibri" w:eastAsia="Times New Roman" w:hAnsi="Calibri" w:cs="Times New Roman"/>
        </w:rPr>
        <w:t>-</w:t>
      </w:r>
      <w:r w:rsidRPr="00CC0242">
        <w:rPr>
          <w:rFonts w:ascii="Calibri" w:eastAsia="Times New Roman" w:hAnsi="Calibri" w:cs="Times New Roman"/>
        </w:rPr>
        <w:t>SES students made up 31 per cent of completions, and high</w:t>
      </w:r>
      <w:r w:rsidR="00D41429">
        <w:rPr>
          <w:rFonts w:ascii="Calibri" w:eastAsia="Times New Roman" w:hAnsi="Calibri" w:cs="Times New Roman"/>
        </w:rPr>
        <w:t>-</w:t>
      </w:r>
      <w:r w:rsidRPr="00CC0242">
        <w:rPr>
          <w:rFonts w:ascii="Calibri" w:eastAsia="Times New Roman" w:hAnsi="Calibri" w:cs="Times New Roman"/>
        </w:rPr>
        <w:t>SES students made up 40 per cent of completions. However, a significant proportion (23 per cent) of graduating students had an unknown SES; as data for recent students becomes available a more comprehensive picture will emerge.</w:t>
      </w:r>
    </w:p>
    <w:p w14:paraId="2C42463A" w14:textId="5A0B476C" w:rsidR="00CC0242" w:rsidRPr="00CC0242" w:rsidRDefault="00CC0242" w:rsidP="00CC0242">
      <w:pPr>
        <w:rPr>
          <w:rFonts w:ascii="Calibri" w:eastAsia="Times New Roman" w:hAnsi="Calibri" w:cs="Times New Roman"/>
        </w:rPr>
      </w:pPr>
      <w:r w:rsidRPr="00CC0242">
        <w:rPr>
          <w:rFonts w:ascii="Calibri" w:eastAsia="Times New Roman" w:hAnsi="Calibri" w:cs="Times New Roman"/>
        </w:rPr>
        <w:t>In 2017, women were the majority of enrolments in each SES band, making up 55 per cent of high</w:t>
      </w:r>
      <w:r w:rsidR="0043223F">
        <w:rPr>
          <w:rFonts w:ascii="Calibri" w:eastAsia="Times New Roman" w:hAnsi="Calibri" w:cs="Times New Roman"/>
        </w:rPr>
        <w:t xml:space="preserve"> </w:t>
      </w:r>
      <w:r w:rsidR="00D41429">
        <w:rPr>
          <w:rFonts w:ascii="Calibri" w:eastAsia="Times New Roman" w:hAnsi="Calibri" w:cs="Times New Roman"/>
        </w:rPr>
        <w:t xml:space="preserve">and </w:t>
      </w:r>
      <w:r w:rsidRPr="00CC0242">
        <w:rPr>
          <w:rFonts w:ascii="Calibri" w:eastAsia="Times New Roman" w:hAnsi="Calibri" w:cs="Times New Roman"/>
        </w:rPr>
        <w:t>medium</w:t>
      </w:r>
      <w:r w:rsidR="00D41429">
        <w:rPr>
          <w:rFonts w:ascii="Calibri" w:eastAsia="Times New Roman" w:hAnsi="Calibri" w:cs="Times New Roman"/>
        </w:rPr>
        <w:t xml:space="preserve"> </w:t>
      </w:r>
      <w:r w:rsidRPr="00CC0242">
        <w:rPr>
          <w:rFonts w:ascii="Calibri" w:eastAsia="Times New Roman" w:hAnsi="Calibri" w:cs="Times New Roman"/>
        </w:rPr>
        <w:t>SES enrolments and a slightly lower 54 per cent of low SES enrolments.</w:t>
      </w:r>
    </w:p>
    <w:p w14:paraId="058CECDA" w14:textId="15B373DD" w:rsidR="00CC0242" w:rsidRDefault="0043223F" w:rsidP="00CC0242">
      <w:pPr>
        <w:rPr>
          <w:rFonts w:ascii="Calibri" w:eastAsia="Times New Roman" w:hAnsi="Calibri" w:cs="Times New Roman"/>
        </w:rPr>
      </w:pPr>
      <w:r>
        <w:rPr>
          <w:rFonts w:ascii="Calibri" w:eastAsia="Times New Roman" w:hAnsi="Calibri" w:cs="Times New Roman"/>
        </w:rPr>
        <w:t>In 2017, 57 per cent of high-</w:t>
      </w:r>
      <w:r w:rsidR="00CC0242" w:rsidRPr="00CC0242">
        <w:rPr>
          <w:rFonts w:ascii="Calibri" w:eastAsia="Times New Roman" w:hAnsi="Calibri" w:cs="Times New Roman"/>
        </w:rPr>
        <w:t xml:space="preserve">SES </w:t>
      </w:r>
      <w:r>
        <w:rPr>
          <w:rFonts w:ascii="Calibri" w:eastAsia="Times New Roman" w:hAnsi="Calibri" w:cs="Times New Roman"/>
        </w:rPr>
        <w:t>students and 31 per cent of low-</w:t>
      </w:r>
      <w:r w:rsidR="00CC0242" w:rsidRPr="00CC0242">
        <w:rPr>
          <w:rFonts w:ascii="Calibri" w:eastAsia="Times New Roman" w:hAnsi="Calibri" w:cs="Times New Roman"/>
        </w:rPr>
        <w:t xml:space="preserve">SES students attended the </w:t>
      </w:r>
      <w:r w:rsidR="00CC0242" w:rsidRPr="00CC0242">
        <w:rPr>
          <w:rFonts w:ascii="Calibri" w:eastAsia="Times New Roman" w:hAnsi="Calibri" w:cs="Times New Roman"/>
        </w:rPr>
        <w:br/>
        <w:t>research-oriented Group of Eight institutions. In contrast, 2 per ce</w:t>
      </w:r>
      <w:r>
        <w:rPr>
          <w:rFonts w:ascii="Calibri" w:eastAsia="Times New Roman" w:hAnsi="Calibri" w:cs="Times New Roman"/>
        </w:rPr>
        <w:t>nt of high-</w:t>
      </w:r>
      <w:r w:rsidR="00CC0242" w:rsidRPr="00CC0242">
        <w:rPr>
          <w:rFonts w:ascii="Calibri" w:eastAsia="Times New Roman" w:hAnsi="Calibri" w:cs="Times New Roman"/>
        </w:rPr>
        <w:t xml:space="preserve">SES students attended Regional University Network institutions, </w:t>
      </w:r>
      <w:r w:rsidR="00993A0E">
        <w:rPr>
          <w:rFonts w:ascii="Calibri" w:eastAsia="Times New Roman" w:hAnsi="Calibri" w:cs="Times New Roman"/>
        </w:rPr>
        <w:t>compared to 11 per cent of low-S</w:t>
      </w:r>
      <w:r w:rsidR="00CC0242" w:rsidRPr="00CC0242">
        <w:rPr>
          <w:rFonts w:ascii="Calibri" w:eastAsia="Times New Roman" w:hAnsi="Calibri" w:cs="Times New Roman"/>
        </w:rPr>
        <w:t xml:space="preserve">ES students </w:t>
      </w:r>
      <w:r w:rsidR="007D63FC" w:rsidRPr="007B2632">
        <w:rPr>
          <w:rFonts w:ascii="Calibri" w:eastAsia="Times New Roman" w:hAnsi="Calibri" w:cs="Times New Roman"/>
        </w:rPr>
        <w:t>(</w:t>
      </w:r>
      <w:r w:rsidR="007B2632" w:rsidRPr="007B2632">
        <w:rPr>
          <w:rFonts w:ascii="Calibri" w:eastAsia="Times New Roman" w:hAnsi="Calibri" w:cs="Times New Roman"/>
        </w:rPr>
        <w:fldChar w:fldCharType="begin"/>
      </w:r>
      <w:r w:rsidR="007B2632" w:rsidRPr="007B2632">
        <w:rPr>
          <w:rFonts w:ascii="Calibri" w:eastAsia="Times New Roman" w:hAnsi="Calibri" w:cs="Times New Roman"/>
        </w:rPr>
        <w:instrText xml:space="preserve"> REF _Ref14332536 \h  \* MERGEFORMAT </w:instrText>
      </w:r>
      <w:r w:rsidR="007B2632" w:rsidRPr="007B2632">
        <w:rPr>
          <w:rFonts w:ascii="Calibri" w:eastAsia="Times New Roman" w:hAnsi="Calibri" w:cs="Times New Roman"/>
        </w:rPr>
      </w:r>
      <w:r w:rsidR="007B2632" w:rsidRPr="007B2632">
        <w:rPr>
          <w:rFonts w:ascii="Calibri" w:eastAsia="Times New Roman" w:hAnsi="Calibri" w:cs="Times New Roman"/>
        </w:rPr>
        <w:fldChar w:fldCharType="separate"/>
      </w:r>
      <w:r w:rsidR="00075142" w:rsidRPr="00075142">
        <w:t xml:space="preserve">Figure </w:t>
      </w:r>
      <w:r w:rsidR="00075142" w:rsidRPr="00075142">
        <w:rPr>
          <w:noProof/>
        </w:rPr>
        <w:t>14</w:t>
      </w:r>
      <w:r w:rsidR="007B2632" w:rsidRPr="007B2632">
        <w:rPr>
          <w:rFonts w:ascii="Calibri" w:eastAsia="Times New Roman" w:hAnsi="Calibri" w:cs="Times New Roman"/>
        </w:rPr>
        <w:fldChar w:fldCharType="end"/>
      </w:r>
      <w:r w:rsidR="007D63FC" w:rsidRPr="007B2632">
        <w:rPr>
          <w:rFonts w:ascii="Calibri" w:eastAsia="Times New Roman" w:hAnsi="Calibri" w:cs="Times New Roman"/>
        </w:rPr>
        <w:t>).</w:t>
      </w:r>
    </w:p>
    <w:p w14:paraId="7048F19F" w14:textId="40CECC5F" w:rsidR="00960351" w:rsidRPr="00CC0242" w:rsidRDefault="00960351" w:rsidP="00CC0242">
      <w:pPr>
        <w:rPr>
          <w:rFonts w:ascii="Calibri" w:eastAsia="Times New Roman" w:hAnsi="Calibri" w:cs="Times New Roman"/>
        </w:rPr>
      </w:pPr>
      <w:r>
        <w:rPr>
          <w:rFonts w:ascii="Calibri" w:eastAsia="Times New Roman" w:hAnsi="Calibri" w:cs="Times New Roman"/>
        </w:rPr>
        <w:br w:type="page"/>
      </w:r>
    </w:p>
    <w:p w14:paraId="1F09D184" w14:textId="643C3A69" w:rsidR="00CC0242" w:rsidRPr="007B2632" w:rsidRDefault="007B2632" w:rsidP="007B2632">
      <w:pPr>
        <w:keepNext/>
        <w:spacing w:before="200" w:after="0"/>
        <w:outlineLvl w:val="3"/>
      </w:pPr>
      <w:bookmarkStart w:id="53" w:name="_Toc17907075"/>
      <w:bookmarkStart w:id="54" w:name="_Ref14332536"/>
      <w:bookmarkStart w:id="55" w:name="_Toc13836182"/>
      <w:bookmarkEnd w:id="53"/>
      <w:r w:rsidRPr="007B2632">
        <w:rPr>
          <w:b/>
        </w:rPr>
        <w:t xml:space="preserve">Figure </w:t>
      </w:r>
      <w:r w:rsidRPr="007B2632">
        <w:rPr>
          <w:b/>
        </w:rPr>
        <w:fldChar w:fldCharType="begin"/>
      </w:r>
      <w:r w:rsidRPr="007B2632">
        <w:rPr>
          <w:b/>
        </w:rPr>
        <w:instrText xml:space="preserve"> SEQ Figure \* ARABIC </w:instrText>
      </w:r>
      <w:r w:rsidRPr="007B2632">
        <w:rPr>
          <w:b/>
        </w:rPr>
        <w:fldChar w:fldCharType="separate"/>
      </w:r>
      <w:r w:rsidR="00075142">
        <w:rPr>
          <w:b/>
          <w:noProof/>
        </w:rPr>
        <w:t>14</w:t>
      </w:r>
      <w:r w:rsidRPr="007B2632">
        <w:rPr>
          <w:b/>
        </w:rPr>
        <w:fldChar w:fldCharType="end"/>
      </w:r>
      <w:bookmarkEnd w:id="54"/>
      <w:r w:rsidR="00CC0242" w:rsidRPr="007B2632">
        <w:rPr>
          <w:rFonts w:ascii="Calibri" w:eastAsia="Times New Roman" w:hAnsi="Calibri" w:cs="Times New Roman"/>
          <w:b/>
          <w:bCs/>
          <w:iCs/>
        </w:rPr>
        <w:t>:</w:t>
      </w:r>
      <w:r w:rsidR="00CC0242" w:rsidRPr="00CC0242">
        <w:rPr>
          <w:rFonts w:ascii="Calibri" w:eastAsia="Times New Roman" w:hAnsi="Calibri" w:cs="Times New Roman"/>
          <w:b/>
          <w:bCs/>
          <w:iCs/>
        </w:rPr>
        <w:t xml:space="preserve"> Distribution of HDR enrolments among university alliances by SES, 2017</w:t>
      </w:r>
      <w:bookmarkEnd w:id="55"/>
    </w:p>
    <w:p w14:paraId="56B76CC6" w14:textId="2AC2A1AF" w:rsidR="00CC0242" w:rsidRPr="00CC0242" w:rsidRDefault="001C5612" w:rsidP="00CC0242">
      <w:pPr>
        <w:spacing w:before="200" w:after="0"/>
        <w:outlineLvl w:val="3"/>
        <w:rPr>
          <w:rFonts w:ascii="Calibri" w:eastAsia="Times New Roman" w:hAnsi="Calibri" w:cs="Times New Roman"/>
          <w:b/>
          <w:bCs/>
          <w:iCs/>
        </w:rPr>
      </w:pPr>
      <w:r>
        <w:rPr>
          <w:noProof/>
          <w:lang w:eastAsia="en-AU"/>
        </w:rPr>
        <w:drawing>
          <wp:inline distT="0" distB="0" distL="0" distR="0" wp14:anchorId="07C16F26" wp14:editId="001237CD">
            <wp:extent cx="5486400" cy="3591568"/>
            <wp:effectExtent l="0" t="0" r="0" b="8890"/>
            <wp:docPr id="10" name="Picture 10" descr="In 2017, high Socio-Economic Status (SES) students made up the majority of HDR enrolments at Group of Eight institutions (57 per cent), compared with 36 per cent of medium SES and &#10;31 per cent of low SES students. Conversely, high SES students were significantly underrepresented at Regional Universities Network (RUN)institutions. Only two per cent of high SES students attended RUN institutions, compared with seven per cent of medium SES and 11 per cent of low SES students.&#10;" title="Figure 14: Distribution of HDR enrolments among university alliances by SES,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5486400" cy="3591568"/>
                    </a:xfrm>
                    <a:prstGeom prst="rect">
                      <a:avLst/>
                    </a:prstGeom>
                    <a:noFill/>
                  </pic:spPr>
                </pic:pic>
              </a:graphicData>
            </a:graphic>
          </wp:inline>
        </w:drawing>
      </w:r>
    </w:p>
    <w:p w14:paraId="55D4CE22" w14:textId="77777777" w:rsidR="00CC0242" w:rsidRPr="00CC0242" w:rsidRDefault="007D63FC" w:rsidP="00CC0242">
      <w:pPr>
        <w:rPr>
          <w:rFonts w:ascii="Calibri" w:eastAsia="Times New Roman" w:hAnsi="Calibri" w:cs="Times New Roman"/>
          <w:i/>
          <w:sz w:val="20"/>
          <w:szCs w:val="20"/>
        </w:rPr>
      </w:pPr>
      <w:r>
        <w:rPr>
          <w:rFonts w:ascii="Calibri" w:eastAsia="Times New Roman" w:hAnsi="Calibri" w:cs="Times New Roman"/>
          <w:i/>
          <w:sz w:val="20"/>
          <w:szCs w:val="20"/>
        </w:rPr>
        <w:t xml:space="preserve">(Note: </w:t>
      </w:r>
      <w:r w:rsidR="00CC0242" w:rsidRPr="00CC0242">
        <w:rPr>
          <w:rFonts w:ascii="Calibri" w:eastAsia="Times New Roman" w:hAnsi="Calibri" w:cs="Times New Roman"/>
          <w:i/>
          <w:sz w:val="20"/>
          <w:szCs w:val="20"/>
        </w:rPr>
        <w:t>ATN = Australian Technology Network of Universities; Go8 = Group of Eight; IRU = Innovative Research Universities; RUN = Regional Universities Network</w:t>
      </w:r>
      <w:r>
        <w:rPr>
          <w:rFonts w:ascii="Calibri" w:eastAsia="Times New Roman" w:hAnsi="Calibri" w:cs="Times New Roman"/>
          <w:i/>
          <w:sz w:val="20"/>
          <w:szCs w:val="20"/>
        </w:rPr>
        <w:t>)</w:t>
      </w:r>
    </w:p>
    <w:p w14:paraId="5FF4BEE6" w14:textId="3328B50A" w:rsidR="00CC0242" w:rsidRDefault="00CC0242" w:rsidP="00CC0242">
      <w:r>
        <w:t xml:space="preserve">Although there was little difference between whether different SES groups attended </w:t>
      </w:r>
      <w:r w:rsidR="00374A15">
        <w:t xml:space="preserve">in a </w:t>
      </w:r>
      <w:r>
        <w:t xml:space="preserve">full or part time </w:t>
      </w:r>
      <w:r w:rsidR="00374A15">
        <w:t xml:space="preserve">capacity </w:t>
      </w:r>
      <w:r w:rsidR="0043223F">
        <w:t>(56 per cent of low-</w:t>
      </w:r>
      <w:r>
        <w:t>SES students and 57 per cent of high</w:t>
      </w:r>
      <w:r w:rsidR="0043223F">
        <w:t>-</w:t>
      </w:r>
      <w:r>
        <w:t>SES students attended full-time in 2017), differences were more evident in the mo</w:t>
      </w:r>
      <w:r w:rsidR="0043223F">
        <w:t>de of attendance. In 2017, high-</w:t>
      </w:r>
      <w:r>
        <w:t>SES students were more likely to be attending their institution in</w:t>
      </w:r>
      <w:r w:rsidR="0043223F">
        <w:t>ternally (92 per cent) than low-</w:t>
      </w:r>
      <w:r>
        <w:t>SES students (</w:t>
      </w:r>
      <w:r w:rsidRPr="0089175F">
        <w:t>85</w:t>
      </w:r>
      <w:r w:rsidR="0043223F">
        <w:t> per cent). Compared to high-</w:t>
      </w:r>
      <w:r>
        <w:t>SES stude</w:t>
      </w:r>
      <w:r w:rsidR="0043223F">
        <w:t>nts, it was more common for low-</w:t>
      </w:r>
      <w:r>
        <w:t>SES students to attend externally (12 per cent of low SES versus 6 per cent of high SES) and multi-modally (3 per</w:t>
      </w:r>
      <w:r w:rsidR="000E3D9E">
        <w:t xml:space="preserve"> </w:t>
      </w:r>
      <w:r>
        <w:t>cent of low</w:t>
      </w:r>
      <w:r w:rsidR="000E3D9E">
        <w:t xml:space="preserve"> </w:t>
      </w:r>
      <w:r>
        <w:t>SES versus 2 per cent of high SES).</w:t>
      </w:r>
    </w:p>
    <w:p w14:paraId="4B4C6182" w14:textId="376E0028" w:rsidR="00CC0242" w:rsidRDefault="00CC0242" w:rsidP="00CC0242">
      <w:r>
        <w:t>The low representation of low</w:t>
      </w:r>
      <w:r w:rsidR="000E3D9E">
        <w:t>-</w:t>
      </w:r>
      <w:r>
        <w:t>SES students was consistent across fields of study, albeit with some minor variation. Representation was particularly low in architecture and building, economics, dentistry, law, performing and creative arts, language and literature, and communication and media studies (all less than 6 per cent of enrolments).</w:t>
      </w:r>
      <w:r w:rsidDel="0056317C">
        <w:t xml:space="preserve"> </w:t>
      </w:r>
      <w:r>
        <w:t xml:space="preserve">Representation was comparatively higher in STEM, agriculture, environment and related studies, education, and some health disciplines. </w:t>
      </w:r>
    </w:p>
    <w:p w14:paraId="4C459DE7" w14:textId="055C15C4" w:rsidR="001C5544" w:rsidRDefault="00CC0242" w:rsidP="00CC0242">
      <w:r>
        <w:t>In terms of total enrolments,</w:t>
      </w:r>
      <w:r w:rsidR="000E3D9E">
        <w:t xml:space="preserve"> the most popular fields for low-</w:t>
      </w:r>
      <w:r>
        <w:t>SES students were biology, medical studies, studies in human society, other natural and physical sciences, and behavioural science.</w:t>
      </w:r>
    </w:p>
    <w:p w14:paraId="25C7936B" w14:textId="77777777" w:rsidR="00CC0242" w:rsidRDefault="00CC0242">
      <w:pPr>
        <w:rPr>
          <w:rFonts w:ascii="Calibri" w:eastAsiaTheme="majorEastAsia" w:hAnsi="Calibri" w:cstheme="majorBidi"/>
          <w:b/>
          <w:bCs/>
          <w:color w:val="522761"/>
          <w:sz w:val="36"/>
          <w:szCs w:val="28"/>
        </w:rPr>
      </w:pPr>
      <w:r>
        <w:br w:type="page"/>
      </w:r>
    </w:p>
    <w:p w14:paraId="746F23F2" w14:textId="77777777" w:rsidR="00CC0242" w:rsidRDefault="00CC0242" w:rsidP="00CC0242">
      <w:pPr>
        <w:pStyle w:val="Heading1"/>
        <w:numPr>
          <w:ilvl w:val="0"/>
          <w:numId w:val="20"/>
        </w:numPr>
      </w:pPr>
      <w:bookmarkStart w:id="56" w:name="_Toc23841276"/>
      <w:r>
        <w:t>Regional and Remote Status</w:t>
      </w:r>
      <w:bookmarkEnd w:id="56"/>
    </w:p>
    <w:p w14:paraId="66C2DDF8" w14:textId="77777777" w:rsidR="00CC0242" w:rsidRDefault="00CC0242" w:rsidP="00CC0242">
      <w:pPr>
        <w:rPr>
          <w:i/>
        </w:rPr>
      </w:pPr>
      <w:r>
        <w:rPr>
          <w:i/>
        </w:rPr>
        <w:t>Note: Regional and Remote categories have been derived from the ABS Australian Statistical Geography Standard (ASGS). ASGS data is available from 2011. The regionality of some students, particularly those completing and those who have been enrolled for many years, was unknown.</w:t>
      </w:r>
    </w:p>
    <w:p w14:paraId="5CCA5207" w14:textId="06400082" w:rsidR="00CC0242" w:rsidRDefault="00CC0242" w:rsidP="00CC0242">
      <w:r>
        <w:t>From 2011 to 2017, the proportion of domestic HDR enrolments from regional and remote areas was stable at between 13 and 14 per cent of students, with metropolitan enrolments also stable at between 80 and 81 per cent of students. The remaining students were of unknown regionality.</w:t>
      </w:r>
      <w:r w:rsidR="000E3D9E">
        <w:t xml:space="preserve"> Given that 27</w:t>
      </w:r>
      <w:r w:rsidR="006B332B" w:rsidRPr="006B332B">
        <w:t xml:space="preserve"> per cent of Australians aged 15-64 live in regional and remote areas</w:t>
      </w:r>
      <w:r w:rsidR="000E3D9E">
        <w:t>,</w:t>
      </w:r>
      <w:r w:rsidR="000E3D9E">
        <w:rPr>
          <w:rStyle w:val="FootnoteReference"/>
        </w:rPr>
        <w:footnoteReference w:id="10"/>
      </w:r>
      <w:r w:rsidR="000E3D9E">
        <w:t xml:space="preserve"> </w:t>
      </w:r>
      <w:r w:rsidR="006B332B" w:rsidRPr="006B332B">
        <w:t>the proportion of regional and remote students enrolled in HDR is considerably under-representative of the population.</w:t>
      </w:r>
      <w:r w:rsidR="007E6938">
        <w:t xml:space="preserve"> </w:t>
      </w:r>
      <w:r>
        <w:t xml:space="preserve">In terms of </w:t>
      </w:r>
      <w:r w:rsidR="000E3D9E">
        <w:t xml:space="preserve">2017 </w:t>
      </w:r>
      <w:r w:rsidR="007D2083">
        <w:t xml:space="preserve">domestic </w:t>
      </w:r>
      <w:r>
        <w:t>completions, 68 per cent were by metropolitan students, 10 per cent were by regional/remote students, and 22 per cent were by students of unknown regionality, with little change from 2011.</w:t>
      </w:r>
    </w:p>
    <w:p w14:paraId="558FADDF" w14:textId="3F10290D" w:rsidR="003571C2" w:rsidRDefault="003571C2" w:rsidP="00CC0242">
      <w:r w:rsidRPr="003571C2">
        <w:t>There is no difference in the provision of fees offset</w:t>
      </w:r>
      <w:r w:rsidR="000E3D9E">
        <w:t>s</w:t>
      </w:r>
      <w:r w:rsidRPr="003571C2">
        <w:t xml:space="preserve"> in regional and remote students compared with metropolitan students. In 2017, 90 per cent of domestic HDR students receive an RTS fee offset, as did regional and remote students.</w:t>
      </w:r>
      <w:r>
        <w:t xml:space="preserve"> </w:t>
      </w:r>
      <w:r w:rsidRPr="003571C2">
        <w:t>Regional and remo</w:t>
      </w:r>
      <w:r w:rsidR="00F510B8">
        <w:t>te students are approximately three to six </w:t>
      </w:r>
      <w:r w:rsidRPr="003571C2">
        <w:t>per</w:t>
      </w:r>
      <w:r w:rsidR="00F510B8">
        <w:t> </w:t>
      </w:r>
      <w:r w:rsidRPr="003571C2">
        <w:t>cent less likely to be awarded</w:t>
      </w:r>
      <w:r w:rsidR="00B12F16">
        <w:t xml:space="preserve"> an RTP stipend each year (2011</w:t>
      </w:r>
      <w:r w:rsidR="00B12F16">
        <w:rPr>
          <w:rFonts w:ascii="Verdana" w:hAnsi="Verdana" w:cs="Calibri"/>
          <w:color w:val="000000"/>
          <w:sz w:val="16"/>
          <w:szCs w:val="16"/>
        </w:rPr>
        <w:t>–</w:t>
      </w:r>
      <w:r w:rsidRPr="003571C2">
        <w:t>2017) compared to metropolitan students. In 2017, 26 per cent of regional and remote students received a stipend compared with 30 per cent of metropolitan students.</w:t>
      </w:r>
      <w:r>
        <w:t xml:space="preserve"> However, r</w:t>
      </w:r>
      <w:r w:rsidRPr="003571C2">
        <w:t>egional and remote students are no less likely to receive an RTP stipend than metropolitan students when type of attendance (part-time/full-time) is accounted for.</w:t>
      </w:r>
    </w:p>
    <w:p w14:paraId="58B9B5B3" w14:textId="42C83E65" w:rsidR="00CC0242" w:rsidRDefault="00CC0242" w:rsidP="00CC0242">
      <w:r>
        <w:t>From 2013 to 2017, just over half of enrolments by regiona</w:t>
      </w:r>
      <w:r w:rsidR="00F510B8">
        <w:t>l/remote HDR students were full</w:t>
      </w:r>
      <w:r>
        <w:t xml:space="preserve">time, with 51 per cent in 2017. The proportion of full-time metropolitan HDR students was consistently about 5 percentage points higher than the proportion of full-time regional/remote students. </w:t>
      </w:r>
    </w:p>
    <w:p w14:paraId="677C8817" w14:textId="11C8D952" w:rsidR="00CC0242" w:rsidRDefault="00CC0242" w:rsidP="00CC0242">
      <w:r>
        <w:t xml:space="preserve">The regional/remote HDR population tended to be older than metropolitan HDR students, </w:t>
      </w:r>
      <w:r w:rsidR="008A1EFE">
        <w:t>with 50 </w:t>
      </w:r>
      <w:r>
        <w:t xml:space="preserve">per cent of regional/remote students aged 40 years or older in 2017, versus 34 per cent of metropolitan </w:t>
      </w:r>
      <w:r w:rsidR="007D63FC">
        <w:t>students (</w:t>
      </w:r>
      <w:r w:rsidR="007B2632" w:rsidRPr="007B2632">
        <w:fldChar w:fldCharType="begin"/>
      </w:r>
      <w:r w:rsidR="007B2632" w:rsidRPr="007B2632">
        <w:instrText xml:space="preserve"> REF _Ref14332585 \h  \* MERGEFORMAT </w:instrText>
      </w:r>
      <w:r w:rsidR="007B2632" w:rsidRPr="007B2632">
        <w:fldChar w:fldCharType="separate"/>
      </w:r>
      <w:r w:rsidR="00075142" w:rsidRPr="00075142">
        <w:t xml:space="preserve">Figure </w:t>
      </w:r>
      <w:r w:rsidR="00075142" w:rsidRPr="00075142">
        <w:rPr>
          <w:noProof/>
        </w:rPr>
        <w:t>15</w:t>
      </w:r>
      <w:r w:rsidR="007B2632" w:rsidRPr="007B2632">
        <w:fldChar w:fldCharType="end"/>
      </w:r>
      <w:r w:rsidR="007D63FC" w:rsidRPr="007B2632">
        <w:t>).</w:t>
      </w:r>
    </w:p>
    <w:p w14:paraId="2C009CC8" w14:textId="77777777" w:rsidR="003571C2" w:rsidRDefault="00CC0242" w:rsidP="003571C2">
      <w:pPr>
        <w:rPr>
          <w:rFonts w:ascii="Calibri" w:eastAsia="Times New Roman" w:hAnsi="Calibri" w:cs="Times New Roman"/>
        </w:rPr>
      </w:pPr>
      <w:r>
        <w:t>While more than 90 per cent of metropolitan students attended their course internally (91 per cent in 2017), fewer than 80 per cent of regional and remote students did so (79 per cent in 2017).</w:t>
      </w:r>
      <w:r w:rsidR="003571C2" w:rsidRPr="003571C2">
        <w:rPr>
          <w:rFonts w:ascii="Calibri" w:eastAsia="Times New Roman" w:hAnsi="Calibri" w:cs="Times New Roman"/>
        </w:rPr>
        <w:t xml:space="preserve"> </w:t>
      </w:r>
    </w:p>
    <w:p w14:paraId="2A544172" w14:textId="7E61D1B0" w:rsidR="003571C2" w:rsidRPr="00C82BCA" w:rsidRDefault="003571C2" w:rsidP="003571C2">
      <w:r w:rsidRPr="008A1EFE">
        <w:rPr>
          <w:rFonts w:ascii="Calibri" w:eastAsia="Times New Roman" w:hAnsi="Calibri" w:cs="Times New Roman"/>
        </w:rPr>
        <w:t>Regional HDR students were more likely to attend regional universities. While 50 per cent of metropolitan students attended Group of Eight institutions, only 23 per cent of regional/remote students attended those universities in 2017. In comparison, 19 per cent of regional and remote students attended Regional University Network institutions, versus just 3 per cent of metropolitan students</w:t>
      </w:r>
      <w:r>
        <w:rPr>
          <w:rFonts w:ascii="Calibri" w:eastAsia="Times New Roman" w:hAnsi="Calibri" w:cs="Times New Roman"/>
        </w:rPr>
        <w:t xml:space="preserve"> </w:t>
      </w:r>
      <w:r w:rsidR="00075142">
        <w:rPr>
          <w:rFonts w:ascii="Calibri" w:eastAsia="Times New Roman" w:hAnsi="Calibri" w:cs="Times New Roman"/>
        </w:rPr>
        <w:t>(</w:t>
      </w:r>
      <w:r w:rsidR="00075142" w:rsidRPr="00075142">
        <w:rPr>
          <w:rFonts w:ascii="Calibri" w:eastAsia="Times New Roman" w:hAnsi="Calibri" w:cs="Times New Roman"/>
        </w:rPr>
        <w:fldChar w:fldCharType="begin"/>
      </w:r>
      <w:r w:rsidR="00075142" w:rsidRPr="00075142">
        <w:rPr>
          <w:rFonts w:ascii="Calibri" w:eastAsia="Times New Roman" w:hAnsi="Calibri" w:cs="Times New Roman"/>
        </w:rPr>
        <w:instrText xml:space="preserve"> REF _Ref30426406 \h  \* MERGEFORMAT </w:instrText>
      </w:r>
      <w:r w:rsidR="00075142" w:rsidRPr="00075142">
        <w:rPr>
          <w:rFonts w:ascii="Calibri" w:eastAsia="Times New Roman" w:hAnsi="Calibri" w:cs="Times New Roman"/>
        </w:rPr>
      </w:r>
      <w:r w:rsidR="00075142" w:rsidRPr="00075142">
        <w:rPr>
          <w:rFonts w:ascii="Calibri" w:eastAsia="Times New Roman" w:hAnsi="Calibri" w:cs="Times New Roman"/>
        </w:rPr>
        <w:fldChar w:fldCharType="separate"/>
      </w:r>
      <w:r w:rsidR="00075142" w:rsidRPr="00075142">
        <w:t xml:space="preserve">Figure </w:t>
      </w:r>
      <w:r w:rsidR="00075142" w:rsidRPr="00075142">
        <w:rPr>
          <w:noProof/>
        </w:rPr>
        <w:t>16</w:t>
      </w:r>
      <w:r w:rsidR="00075142" w:rsidRPr="00075142">
        <w:rPr>
          <w:rFonts w:ascii="Calibri" w:eastAsia="Times New Roman" w:hAnsi="Calibri" w:cs="Times New Roman"/>
        </w:rPr>
        <w:fldChar w:fldCharType="end"/>
      </w:r>
      <w:r w:rsidR="00075142">
        <w:rPr>
          <w:rFonts w:ascii="Calibri" w:eastAsia="Times New Roman" w:hAnsi="Calibri" w:cs="Times New Roman"/>
        </w:rPr>
        <w:t>).</w:t>
      </w:r>
      <w:r w:rsidRPr="008A1EFE">
        <w:rPr>
          <w:rFonts w:ascii="Calibri" w:eastAsia="Times New Roman" w:hAnsi="Calibri" w:cs="Times New Roman"/>
        </w:rPr>
        <w:t xml:space="preserve"> </w:t>
      </w:r>
    </w:p>
    <w:p w14:paraId="10A92F35" w14:textId="5A30DA02" w:rsidR="00CC0242" w:rsidRDefault="00960351" w:rsidP="00CC0242">
      <w:r>
        <w:br w:type="page"/>
      </w:r>
    </w:p>
    <w:p w14:paraId="068A7BEA" w14:textId="5D3BB52D" w:rsidR="008A1EFE" w:rsidRPr="007B2632" w:rsidRDefault="007B2632" w:rsidP="007B2632">
      <w:pPr>
        <w:keepNext/>
        <w:spacing w:before="200" w:after="0"/>
        <w:outlineLvl w:val="3"/>
      </w:pPr>
      <w:bookmarkStart w:id="57" w:name="_Ref14332585"/>
      <w:bookmarkStart w:id="58" w:name="_Ref2773730"/>
      <w:bookmarkStart w:id="59" w:name="_Toc13836183"/>
      <w:bookmarkStart w:id="60" w:name="_Toc17907076"/>
      <w:r w:rsidRPr="007B2632">
        <w:rPr>
          <w:b/>
        </w:rPr>
        <w:t xml:space="preserve">Figure </w:t>
      </w:r>
      <w:r w:rsidRPr="007B2632">
        <w:rPr>
          <w:b/>
        </w:rPr>
        <w:fldChar w:fldCharType="begin"/>
      </w:r>
      <w:r w:rsidRPr="007B2632">
        <w:rPr>
          <w:b/>
        </w:rPr>
        <w:instrText xml:space="preserve"> SEQ Figure \* ARABIC </w:instrText>
      </w:r>
      <w:r w:rsidRPr="007B2632">
        <w:rPr>
          <w:b/>
        </w:rPr>
        <w:fldChar w:fldCharType="separate"/>
      </w:r>
      <w:r w:rsidR="00075142">
        <w:rPr>
          <w:b/>
          <w:noProof/>
        </w:rPr>
        <w:t>15</w:t>
      </w:r>
      <w:r w:rsidRPr="007B2632">
        <w:rPr>
          <w:b/>
        </w:rPr>
        <w:fldChar w:fldCharType="end"/>
      </w:r>
      <w:bookmarkEnd w:id="57"/>
      <w:r w:rsidR="008A1EFE" w:rsidRPr="008A1EFE">
        <w:rPr>
          <w:rFonts w:ascii="Calibri" w:eastAsia="Times New Roman" w:hAnsi="Calibri" w:cs="Times New Roman"/>
          <w:b/>
          <w:bCs/>
          <w:iCs/>
        </w:rPr>
        <w:t>: Proportion of domestic HDR enrolments by age and regionality, 2017</w:t>
      </w:r>
      <w:bookmarkEnd w:id="58"/>
      <w:bookmarkEnd w:id="59"/>
      <w:bookmarkEnd w:id="60"/>
    </w:p>
    <w:p w14:paraId="09C077E8" w14:textId="56249737" w:rsidR="00CC0242" w:rsidRDefault="001C5612" w:rsidP="0003404E">
      <w:r>
        <w:rPr>
          <w:noProof/>
          <w:lang w:eastAsia="en-AU"/>
        </w:rPr>
        <w:drawing>
          <wp:inline distT="0" distB="0" distL="0" distR="0" wp14:anchorId="54CA0FBE" wp14:editId="3A3DCE02">
            <wp:extent cx="5486400" cy="3508231"/>
            <wp:effectExtent l="0" t="0" r="0" b="0"/>
            <wp:docPr id="8" name="Picture 8" descr="In 2017, there were significantly more regional/remote domestic HDR students aged 40 years or older than metropolitan students: 50 per cent of regional/remote students were 40 years or older compared with only &#10;34 per cent for metropolitan students. 35 per cent of metropolitan students were aged 29 years or younger compared with 26 per cent for regional/remote students.&#10;" title="Figure 15: Proportion of domestic HDR enrolments by age and regionalit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6400" cy="3508231"/>
                    </a:xfrm>
                    <a:prstGeom prst="rect">
                      <a:avLst/>
                    </a:prstGeom>
                    <a:noFill/>
                  </pic:spPr>
                </pic:pic>
              </a:graphicData>
            </a:graphic>
          </wp:inline>
        </w:drawing>
      </w:r>
    </w:p>
    <w:p w14:paraId="030763C3" w14:textId="77777777" w:rsidR="00C9519E" w:rsidRDefault="008A1EFE" w:rsidP="00C9519E">
      <w:pPr>
        <w:rPr>
          <w:i/>
          <w:sz w:val="20"/>
        </w:rPr>
      </w:pPr>
      <w:r w:rsidRPr="008A1EFE">
        <w:rPr>
          <w:i/>
          <w:sz w:val="20"/>
        </w:rPr>
        <w:t>Note: Enrolments with known regionality constituted 5 per cent of all domestic HDR enrolments in 2017, and were omitted in this analysis.</w:t>
      </w:r>
      <w:bookmarkStart w:id="61" w:name="_Ref2773815"/>
      <w:bookmarkStart w:id="62" w:name="_Toc13836184"/>
    </w:p>
    <w:p w14:paraId="1F370E3D" w14:textId="20BD112A" w:rsidR="00960351" w:rsidRPr="00960351" w:rsidRDefault="007B2632" w:rsidP="00C9519E">
      <w:pPr>
        <w:rPr>
          <w:rFonts w:ascii="Calibri" w:eastAsia="Times New Roman" w:hAnsi="Calibri" w:cs="Times New Roman"/>
          <w:b/>
          <w:bCs/>
          <w:iCs/>
        </w:rPr>
      </w:pPr>
      <w:bookmarkStart w:id="63" w:name="_Toc17907077"/>
      <w:bookmarkStart w:id="64" w:name="_Ref14332617"/>
      <w:bookmarkStart w:id="65" w:name="_Ref30426406"/>
      <w:bookmarkEnd w:id="63"/>
      <w:bookmarkEnd w:id="64"/>
      <w:r w:rsidRPr="007B2632">
        <w:rPr>
          <w:b/>
        </w:rPr>
        <w:t xml:space="preserve">Figure </w:t>
      </w:r>
      <w:r w:rsidRPr="007B2632">
        <w:rPr>
          <w:b/>
        </w:rPr>
        <w:fldChar w:fldCharType="begin"/>
      </w:r>
      <w:r w:rsidRPr="007B2632">
        <w:rPr>
          <w:b/>
        </w:rPr>
        <w:instrText xml:space="preserve"> SEQ Figure \* ARABIC </w:instrText>
      </w:r>
      <w:r w:rsidRPr="007B2632">
        <w:rPr>
          <w:b/>
        </w:rPr>
        <w:fldChar w:fldCharType="separate"/>
      </w:r>
      <w:r w:rsidR="00075142">
        <w:rPr>
          <w:b/>
          <w:noProof/>
        </w:rPr>
        <w:t>16</w:t>
      </w:r>
      <w:r w:rsidRPr="007B2632">
        <w:rPr>
          <w:b/>
        </w:rPr>
        <w:fldChar w:fldCharType="end"/>
      </w:r>
      <w:bookmarkEnd w:id="65"/>
      <w:r w:rsidR="008A1EFE" w:rsidRPr="007B2632">
        <w:rPr>
          <w:rFonts w:ascii="Calibri" w:eastAsia="Times New Roman" w:hAnsi="Calibri" w:cs="Times New Roman"/>
          <w:b/>
          <w:bCs/>
          <w:iCs/>
        </w:rPr>
        <w:t>:</w:t>
      </w:r>
      <w:r w:rsidR="008A1EFE" w:rsidRPr="008A1EFE">
        <w:rPr>
          <w:rFonts w:ascii="Calibri" w:eastAsia="Times New Roman" w:hAnsi="Calibri" w:cs="Times New Roman"/>
          <w:b/>
          <w:bCs/>
          <w:iCs/>
        </w:rPr>
        <w:t xml:space="preserve"> HDR enrolments by alliance and regionality, 2017</w:t>
      </w:r>
      <w:bookmarkEnd w:id="61"/>
      <w:bookmarkEnd w:id="62"/>
      <w:r w:rsidR="00C9519E">
        <w:rPr>
          <w:noProof/>
          <w:lang w:eastAsia="en-AU"/>
        </w:rPr>
        <w:drawing>
          <wp:inline distT="0" distB="0" distL="0" distR="0" wp14:anchorId="207DCC22" wp14:editId="2E13B2AD">
            <wp:extent cx="5499100" cy="3670300"/>
            <wp:effectExtent l="0" t="0" r="6350" b="6350"/>
            <wp:docPr id="22" name="Picture 22" descr="In 2017, a significantly lower proportion of regional/remote students attended a Group of Eight (Go8) university than metropolitan HDR students: 50 per cent of HDR enrolments at Go8 universities were metropolitan students compared with only 23 per cent for regional/remote students. Regional students had a significantly higher representation at Regional Universities Network (RUN) institutions than metropolitan students:19 per cent of RUN enrolments were regional/remote students compared with only &#10;three per cent for metropolitan students." title="Figure 16: HDR enrolments by alliance and regionalit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5499100" cy="3670300"/>
                    </a:xfrm>
                    <a:prstGeom prst="rect">
                      <a:avLst/>
                    </a:prstGeom>
                    <a:noFill/>
                  </pic:spPr>
                </pic:pic>
              </a:graphicData>
            </a:graphic>
          </wp:inline>
        </w:drawing>
      </w:r>
      <w:r w:rsidR="00960351">
        <w:rPr>
          <w:rFonts w:ascii="Calibri" w:eastAsia="Times New Roman" w:hAnsi="Calibri" w:cs="Times New Roman"/>
          <w:b/>
          <w:bCs/>
          <w:iCs/>
        </w:rPr>
        <w:br w:type="page"/>
      </w:r>
    </w:p>
    <w:p w14:paraId="632F5A48" w14:textId="77777777" w:rsidR="008A1EFE" w:rsidRPr="008A1EFE" w:rsidRDefault="00125A98" w:rsidP="008A1EFE">
      <w:pPr>
        <w:rPr>
          <w:rFonts w:ascii="Calibri" w:eastAsia="Times New Roman" w:hAnsi="Calibri" w:cs="Times New Roman"/>
        </w:rPr>
      </w:pPr>
      <w:r>
        <w:rPr>
          <w:rFonts w:ascii="Calibri" w:eastAsia="Times New Roman" w:hAnsi="Calibri" w:cs="Times New Roman"/>
        </w:rPr>
        <w:t>The</w:t>
      </w:r>
      <w:r w:rsidR="008A1EFE" w:rsidRPr="008A1EFE">
        <w:rPr>
          <w:rFonts w:ascii="Calibri" w:eastAsia="Times New Roman" w:hAnsi="Calibri" w:cs="Times New Roman"/>
        </w:rPr>
        <w:t xml:space="preserve"> proportion of students from a regional or remote background who were women increased from 57 per cent in 2011 to 59 per cent in 2017. This is slightly higher than the proportion of women from a metropolitan background which was steady at around 54 per cent from 2011 to 2017.</w:t>
      </w:r>
    </w:p>
    <w:p w14:paraId="2AA75878" w14:textId="626D0971" w:rsidR="008A1EFE" w:rsidRDefault="00125A98" w:rsidP="008A1EFE">
      <w:pPr>
        <w:rPr>
          <w:rFonts w:ascii="Calibri" w:eastAsia="Times New Roman" w:hAnsi="Calibri" w:cs="Times New Roman"/>
        </w:rPr>
      </w:pPr>
      <w:r>
        <w:rPr>
          <w:rFonts w:ascii="Calibri" w:eastAsia="Times New Roman" w:hAnsi="Calibri" w:cs="Times New Roman"/>
        </w:rPr>
        <w:t>R</w:t>
      </w:r>
      <w:r w:rsidR="008A1EFE" w:rsidRPr="008A1EFE">
        <w:rPr>
          <w:rFonts w:ascii="Calibri" w:eastAsia="Times New Roman" w:hAnsi="Calibri" w:cs="Times New Roman"/>
        </w:rPr>
        <w:t>egional/remote students were most strongly represented in agriculture, environment and related studies and education. The lowest representations of regional/remote students were in IT, engineering and related technologies and architecture and building</w:t>
      </w:r>
      <w:r w:rsidR="008A1EFE" w:rsidRPr="007B2632">
        <w:rPr>
          <w:rFonts w:ascii="Calibri" w:eastAsia="Times New Roman" w:hAnsi="Calibri" w:cs="Times New Roman"/>
        </w:rPr>
        <w:t xml:space="preserve"> (</w:t>
      </w:r>
      <w:r w:rsidR="007B2632" w:rsidRPr="007B2632">
        <w:rPr>
          <w:rFonts w:ascii="Calibri" w:eastAsia="Times New Roman" w:hAnsi="Calibri" w:cs="Times New Roman"/>
        </w:rPr>
        <w:fldChar w:fldCharType="begin"/>
      </w:r>
      <w:r w:rsidR="007B2632" w:rsidRPr="007B2632">
        <w:rPr>
          <w:rFonts w:ascii="Calibri" w:eastAsia="Times New Roman" w:hAnsi="Calibri" w:cs="Times New Roman"/>
        </w:rPr>
        <w:instrText xml:space="preserve"> REF _Ref14332645 \h  \* MERGEFORMAT </w:instrText>
      </w:r>
      <w:r w:rsidR="007B2632" w:rsidRPr="007B2632">
        <w:rPr>
          <w:rFonts w:ascii="Calibri" w:eastAsia="Times New Roman" w:hAnsi="Calibri" w:cs="Times New Roman"/>
        </w:rPr>
      </w:r>
      <w:r w:rsidR="007B2632" w:rsidRPr="007B2632">
        <w:rPr>
          <w:rFonts w:ascii="Calibri" w:eastAsia="Times New Roman" w:hAnsi="Calibri" w:cs="Times New Roman"/>
        </w:rPr>
        <w:fldChar w:fldCharType="separate"/>
      </w:r>
      <w:r w:rsidR="00075142" w:rsidRPr="00075142">
        <w:t xml:space="preserve">Figure </w:t>
      </w:r>
      <w:r w:rsidR="00075142" w:rsidRPr="00075142">
        <w:rPr>
          <w:noProof/>
        </w:rPr>
        <w:t>17</w:t>
      </w:r>
      <w:r w:rsidR="007B2632" w:rsidRPr="007B2632">
        <w:rPr>
          <w:rFonts w:ascii="Calibri" w:eastAsia="Times New Roman" w:hAnsi="Calibri" w:cs="Times New Roman"/>
        </w:rPr>
        <w:fldChar w:fldCharType="end"/>
      </w:r>
      <w:r w:rsidR="008A1EFE" w:rsidRPr="007B2632">
        <w:rPr>
          <w:rFonts w:ascii="Calibri" w:eastAsia="Times New Roman" w:hAnsi="Calibri" w:cs="Times New Roman"/>
        </w:rPr>
        <w:t>).</w:t>
      </w:r>
    </w:p>
    <w:p w14:paraId="48AC9FCD" w14:textId="10197A9C" w:rsidR="008A1EFE" w:rsidRPr="007B2632" w:rsidRDefault="007B2632" w:rsidP="007B2632">
      <w:pPr>
        <w:keepNext/>
        <w:spacing w:before="200" w:after="0"/>
        <w:outlineLvl w:val="3"/>
      </w:pPr>
      <w:bookmarkStart w:id="66" w:name="_Ref14332645"/>
      <w:bookmarkStart w:id="67" w:name="_Ref2773847"/>
      <w:bookmarkStart w:id="68" w:name="_Toc13836185"/>
      <w:bookmarkStart w:id="69" w:name="_Toc17907078"/>
      <w:r w:rsidRPr="007B2632">
        <w:rPr>
          <w:b/>
        </w:rPr>
        <w:t xml:space="preserve">Figure </w:t>
      </w:r>
      <w:r w:rsidRPr="007B2632">
        <w:rPr>
          <w:b/>
        </w:rPr>
        <w:fldChar w:fldCharType="begin"/>
      </w:r>
      <w:r w:rsidRPr="007B2632">
        <w:rPr>
          <w:b/>
        </w:rPr>
        <w:instrText xml:space="preserve"> SEQ Figure \* ARABIC </w:instrText>
      </w:r>
      <w:r w:rsidRPr="007B2632">
        <w:rPr>
          <w:b/>
        </w:rPr>
        <w:fldChar w:fldCharType="separate"/>
      </w:r>
      <w:r w:rsidR="00075142">
        <w:rPr>
          <w:b/>
          <w:noProof/>
        </w:rPr>
        <w:t>17</w:t>
      </w:r>
      <w:r w:rsidRPr="007B2632">
        <w:rPr>
          <w:b/>
        </w:rPr>
        <w:fldChar w:fldCharType="end"/>
      </w:r>
      <w:bookmarkEnd w:id="66"/>
      <w:r w:rsidR="008A1EFE" w:rsidRPr="007B2632">
        <w:rPr>
          <w:rFonts w:ascii="Calibri" w:eastAsia="Times New Roman" w:hAnsi="Calibri" w:cs="Times New Roman"/>
          <w:b/>
          <w:bCs/>
          <w:iCs/>
        </w:rPr>
        <w:t>:</w:t>
      </w:r>
      <w:r w:rsidR="008A1EFE" w:rsidRPr="008A1EFE">
        <w:rPr>
          <w:rFonts w:ascii="Calibri" w:eastAsia="Times New Roman" w:hAnsi="Calibri" w:cs="Times New Roman"/>
          <w:b/>
          <w:bCs/>
          <w:iCs/>
        </w:rPr>
        <w:t xml:space="preserve"> Proportion of domestic HDR enrolments by broad FoE and regionality, 201</w:t>
      </w:r>
      <w:bookmarkEnd w:id="67"/>
      <w:bookmarkEnd w:id="68"/>
      <w:r w:rsidR="008A1EFE">
        <w:rPr>
          <w:rFonts w:ascii="Calibri" w:eastAsia="Times New Roman" w:hAnsi="Calibri" w:cs="Times New Roman"/>
          <w:b/>
          <w:bCs/>
          <w:iCs/>
        </w:rPr>
        <w:t>7</w:t>
      </w:r>
      <w:bookmarkEnd w:id="69"/>
    </w:p>
    <w:p w14:paraId="217B49C6" w14:textId="2306EE23" w:rsidR="008A1EFE" w:rsidRPr="008A1EFE" w:rsidRDefault="001C5612" w:rsidP="008A1EFE">
      <w:pPr>
        <w:spacing w:before="200" w:after="0"/>
        <w:outlineLvl w:val="3"/>
        <w:rPr>
          <w:rFonts w:ascii="Calibri" w:eastAsia="Times New Roman" w:hAnsi="Calibri" w:cs="Times New Roman"/>
          <w:b/>
          <w:bCs/>
          <w:iCs/>
        </w:rPr>
      </w:pPr>
      <w:r>
        <w:rPr>
          <w:rFonts w:ascii="Calibri" w:eastAsia="Times New Roman" w:hAnsi="Calibri" w:cs="Times New Roman"/>
          <w:b/>
          <w:bCs/>
          <w:iCs/>
          <w:noProof/>
          <w:lang w:eastAsia="en-AU"/>
        </w:rPr>
        <w:drawing>
          <wp:inline distT="0" distB="0" distL="0" distR="0" wp14:anchorId="5BEA6AA9" wp14:editId="017683AE">
            <wp:extent cx="5486400" cy="3259788"/>
            <wp:effectExtent l="0" t="0" r="0" b="0"/>
            <wp:docPr id="12" name="Picture 12" descr="In 2017, the two broad Fields of Education (FoEs) that regional/remote domestic HDR students were most strongly represented in were agriculture, environment (33 per cent) and education (21 per cent). The FoEs with the lowest representation of regional/remote HDR students were engineering (7 per cent), architecture and building (8 per cent) and IT &#10;(8 per cent). Metropolitan students were the significant majority for all FoEs with highest representation in architecture and building (87 per cent), IT (84 per cent) and health (84 per cent)." title="Figure 17: Proportion of domestic HDR enrolments by broad FoE and regionality, 20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5486400" cy="3259788"/>
                    </a:xfrm>
                    <a:prstGeom prst="rect">
                      <a:avLst/>
                    </a:prstGeom>
                    <a:noFill/>
                  </pic:spPr>
                </pic:pic>
              </a:graphicData>
            </a:graphic>
          </wp:inline>
        </w:drawing>
      </w:r>
    </w:p>
    <w:p w14:paraId="11CA03A7" w14:textId="77777777" w:rsidR="008A1EFE" w:rsidRPr="008A1EFE" w:rsidRDefault="008A1EFE" w:rsidP="008A1EFE">
      <w:pPr>
        <w:rPr>
          <w:rFonts w:ascii="Calibri" w:eastAsia="Times New Roman" w:hAnsi="Calibri" w:cs="Times New Roman"/>
        </w:rPr>
      </w:pPr>
    </w:p>
    <w:p w14:paraId="0DFAE587" w14:textId="77777777" w:rsidR="008A1EFE" w:rsidRDefault="008A1EFE">
      <w:pPr>
        <w:rPr>
          <w:rFonts w:ascii="Calibri" w:eastAsiaTheme="majorEastAsia" w:hAnsi="Calibri" w:cstheme="majorBidi"/>
          <w:b/>
          <w:bCs/>
          <w:color w:val="522761"/>
          <w:sz w:val="36"/>
          <w:szCs w:val="28"/>
        </w:rPr>
      </w:pPr>
      <w:r>
        <w:br w:type="page"/>
      </w:r>
    </w:p>
    <w:p w14:paraId="6D4426EF" w14:textId="77777777" w:rsidR="008A1EFE" w:rsidRDefault="00E309F2" w:rsidP="008A1EFE">
      <w:pPr>
        <w:pStyle w:val="Heading1"/>
        <w:numPr>
          <w:ilvl w:val="0"/>
          <w:numId w:val="20"/>
        </w:numPr>
      </w:pPr>
      <w:bookmarkStart w:id="70" w:name="_Toc23841277"/>
      <w:r>
        <w:t>People with Disability</w:t>
      </w:r>
      <w:bookmarkEnd w:id="70"/>
    </w:p>
    <w:p w14:paraId="799252D2" w14:textId="39D28A6B" w:rsidR="00340488" w:rsidRDefault="008A1EFE" w:rsidP="000A170C">
      <w:r>
        <w:t xml:space="preserve">The number of </w:t>
      </w:r>
      <w:r w:rsidR="00BF7DB2">
        <w:t xml:space="preserve">enrolled </w:t>
      </w:r>
      <w:r>
        <w:t xml:space="preserve">domestic HDR students </w:t>
      </w:r>
      <w:r w:rsidR="00AE31F5">
        <w:t xml:space="preserve">who identified as living with </w:t>
      </w:r>
      <w:r>
        <w:t xml:space="preserve">disability grew from 1520 in 2006 to 2447 in 2017 </w:t>
      </w:r>
      <w:r w:rsidR="00B12F16">
        <w:rPr>
          <w:rFonts w:ascii="Verdana" w:hAnsi="Verdana"/>
          <w:color w:val="000000"/>
          <w:sz w:val="16"/>
          <w:szCs w:val="16"/>
        </w:rPr>
        <w:t xml:space="preserve">— </w:t>
      </w:r>
      <w:r>
        <w:t xml:space="preserve">an </w:t>
      </w:r>
      <w:r w:rsidRPr="00C96CEE">
        <w:rPr>
          <w:color w:val="000000" w:themeColor="text1"/>
        </w:rPr>
        <w:t xml:space="preserve">increase </w:t>
      </w:r>
      <w:r>
        <w:t>of</w:t>
      </w:r>
      <w:r w:rsidRPr="00ED2ADE">
        <w:t xml:space="preserve"> 61</w:t>
      </w:r>
      <w:r>
        <w:t xml:space="preserve"> per cent</w:t>
      </w:r>
      <w:r w:rsidRPr="00ED2ADE">
        <w:t>.</w:t>
      </w:r>
      <w:r>
        <w:t xml:space="preserve"> As a proportion of total domes</w:t>
      </w:r>
      <w:r w:rsidR="00AE31F5">
        <w:t xml:space="preserve">tic HDR students, people with </w:t>
      </w:r>
      <w:r>
        <w:t>disability increased from 3.8 per cent in 2006 to 5.5 per cent</w:t>
      </w:r>
      <w:r w:rsidRPr="00ED2ADE">
        <w:t xml:space="preserve"> in 2017</w:t>
      </w:r>
      <w:r w:rsidR="0094205C">
        <w:t xml:space="preserve"> </w:t>
      </w:r>
      <w:r w:rsidR="00CF7D76">
        <w:t xml:space="preserve">      </w:t>
      </w:r>
      <w:r w:rsidR="0094205C" w:rsidRPr="0094205C">
        <w:t>(</w:t>
      </w:r>
      <w:r w:rsidR="0094205C" w:rsidRPr="001556AE">
        <w:fldChar w:fldCharType="begin"/>
      </w:r>
      <w:r w:rsidR="0094205C" w:rsidRPr="001556AE">
        <w:instrText xml:space="preserve"> REF _Ref16843562 \h  \* MERGEFORMAT </w:instrText>
      </w:r>
      <w:r w:rsidR="0094205C" w:rsidRPr="001556AE">
        <w:fldChar w:fldCharType="separate"/>
      </w:r>
      <w:r w:rsidR="00075142" w:rsidRPr="00075142">
        <w:t xml:space="preserve">Figure </w:t>
      </w:r>
      <w:r w:rsidR="00075142" w:rsidRPr="00075142">
        <w:rPr>
          <w:noProof/>
        </w:rPr>
        <w:t>18</w:t>
      </w:r>
      <w:r w:rsidR="0094205C" w:rsidRPr="001556AE">
        <w:fldChar w:fldCharType="end"/>
      </w:r>
      <w:r w:rsidR="0094205C" w:rsidRPr="0094205C">
        <w:t>)</w:t>
      </w:r>
      <w:r w:rsidRPr="0094205C">
        <w:t>.</w:t>
      </w:r>
      <w:r w:rsidR="000A170C">
        <w:t xml:space="preserve"> </w:t>
      </w:r>
      <w:r w:rsidR="00041BB0">
        <w:t xml:space="preserve">An analysis on </w:t>
      </w:r>
      <w:r w:rsidR="00BE2194">
        <w:t>d</w:t>
      </w:r>
      <w:r w:rsidR="000A170C">
        <w:t>ata from the Australian Bureau of Statistics</w:t>
      </w:r>
      <w:r w:rsidR="00BE2194">
        <w:t>’</w:t>
      </w:r>
      <w:r w:rsidR="000A170C">
        <w:t xml:space="preserve"> Survey of Disability, Ageing and Carers</w:t>
      </w:r>
      <w:r w:rsidR="00041BB0">
        <w:t xml:space="preserve"> by </w:t>
      </w:r>
      <w:r w:rsidR="00BE2194">
        <w:t xml:space="preserve">the Australian Institute of Health and Welfare </w:t>
      </w:r>
      <w:r w:rsidR="000A170C">
        <w:t>show</w:t>
      </w:r>
      <w:r w:rsidR="00B12F16">
        <w:t>ed</w:t>
      </w:r>
      <w:r w:rsidR="000A170C">
        <w:t xml:space="preserve"> that people with disability generally have lower levels of educational attainment compared to people</w:t>
      </w:r>
      <w:r w:rsidR="00AE31F5">
        <w:t xml:space="preserve"> without </w:t>
      </w:r>
      <w:r w:rsidR="00D1340D">
        <w:t>disability. B</w:t>
      </w:r>
      <w:r w:rsidR="000A170C">
        <w:t>etween 2003 and 2015 there</w:t>
      </w:r>
      <w:r w:rsidR="00A96B6A">
        <w:t xml:space="preserve"> were</w:t>
      </w:r>
      <w:r w:rsidR="001F05AC">
        <w:t xml:space="preserve"> small</w:t>
      </w:r>
      <w:r w:rsidR="00340488">
        <w:t xml:space="preserve"> improvements in education attain</w:t>
      </w:r>
      <w:r w:rsidR="00AE31F5">
        <w:t xml:space="preserve">ment for students living with </w:t>
      </w:r>
      <w:r w:rsidR="00340488">
        <w:t>disability, Year 12 and bachelor attainment increased by 1.2 and 1.</w:t>
      </w:r>
      <w:r w:rsidR="001F05AC">
        <w:t>8</w:t>
      </w:r>
      <w:r w:rsidR="00340488">
        <w:t xml:space="preserve"> percentage points respectively</w:t>
      </w:r>
      <w:r w:rsidR="00B12F16">
        <w:t>.</w:t>
      </w:r>
      <w:r w:rsidR="001F05AC">
        <w:rPr>
          <w:rStyle w:val="FootnoteReference"/>
        </w:rPr>
        <w:footnoteReference w:id="11"/>
      </w:r>
      <w:r w:rsidR="00B12F16">
        <w:t xml:space="preserve"> T</w:t>
      </w:r>
      <w:r w:rsidR="001F05AC">
        <w:t>he increase in the number of enrolled domestic HDR</w:t>
      </w:r>
      <w:r w:rsidR="001F05AC" w:rsidRPr="001F05AC">
        <w:t xml:space="preserve"> </w:t>
      </w:r>
      <w:r w:rsidR="00AE31F5">
        <w:t>students living with</w:t>
      </w:r>
      <w:r w:rsidR="001F05AC">
        <w:t xml:space="preserve"> di</w:t>
      </w:r>
      <w:r w:rsidR="00A96B6A">
        <w:t xml:space="preserve">sability is consistent with </w:t>
      </w:r>
      <w:r w:rsidR="006D53E9">
        <w:t xml:space="preserve">these </w:t>
      </w:r>
      <w:r w:rsidR="00A96B6A">
        <w:t>increases</w:t>
      </w:r>
      <w:r w:rsidR="001F05AC">
        <w:t>.</w:t>
      </w:r>
    </w:p>
    <w:p w14:paraId="2E0C708D" w14:textId="76054EAB" w:rsidR="008A1EFE" w:rsidRPr="007B2632" w:rsidRDefault="007B2632" w:rsidP="007B2632">
      <w:pPr>
        <w:keepNext/>
        <w:spacing w:before="200" w:after="0"/>
        <w:outlineLvl w:val="3"/>
      </w:pPr>
      <w:bookmarkStart w:id="71" w:name="_Ref16843562"/>
      <w:bookmarkStart w:id="72" w:name="_Toc17907079"/>
      <w:r w:rsidRPr="007B2632">
        <w:rPr>
          <w:b/>
        </w:rPr>
        <w:t xml:space="preserve">Figure </w:t>
      </w:r>
      <w:r w:rsidRPr="007B2632">
        <w:rPr>
          <w:b/>
        </w:rPr>
        <w:fldChar w:fldCharType="begin"/>
      </w:r>
      <w:r w:rsidRPr="007B2632">
        <w:rPr>
          <w:b/>
        </w:rPr>
        <w:instrText xml:space="preserve"> SEQ Figure \* ARABIC </w:instrText>
      </w:r>
      <w:r w:rsidRPr="007B2632">
        <w:rPr>
          <w:b/>
        </w:rPr>
        <w:fldChar w:fldCharType="separate"/>
      </w:r>
      <w:r w:rsidR="00075142">
        <w:rPr>
          <w:b/>
          <w:noProof/>
        </w:rPr>
        <w:t>18</w:t>
      </w:r>
      <w:r w:rsidRPr="007B2632">
        <w:rPr>
          <w:b/>
        </w:rPr>
        <w:fldChar w:fldCharType="end"/>
      </w:r>
      <w:bookmarkEnd w:id="71"/>
      <w:r w:rsidR="008A1EFE" w:rsidRPr="008A1EFE">
        <w:rPr>
          <w:rFonts w:ascii="Calibri" w:eastAsia="Times New Roman" w:hAnsi="Calibri" w:cs="Times New Roman"/>
          <w:b/>
          <w:bCs/>
          <w:iCs/>
        </w:rPr>
        <w:t xml:space="preserve">: Proportion of </w:t>
      </w:r>
      <w:r w:rsidR="00BF7DB2">
        <w:rPr>
          <w:rFonts w:ascii="Calibri" w:eastAsia="Times New Roman" w:hAnsi="Calibri" w:cs="Times New Roman"/>
          <w:b/>
          <w:bCs/>
          <w:iCs/>
        </w:rPr>
        <w:t xml:space="preserve">enrolled </w:t>
      </w:r>
      <w:r w:rsidR="008A1EFE" w:rsidRPr="008A1EFE">
        <w:rPr>
          <w:rFonts w:ascii="Calibri" w:eastAsia="Times New Roman" w:hAnsi="Calibri" w:cs="Times New Roman"/>
          <w:b/>
          <w:bCs/>
          <w:iCs/>
        </w:rPr>
        <w:t>domestic HDR stu</w:t>
      </w:r>
      <w:r w:rsidR="00AE31F5">
        <w:rPr>
          <w:rFonts w:ascii="Calibri" w:eastAsia="Times New Roman" w:hAnsi="Calibri" w:cs="Times New Roman"/>
          <w:b/>
          <w:bCs/>
          <w:iCs/>
        </w:rPr>
        <w:t xml:space="preserve">dents with </w:t>
      </w:r>
      <w:r w:rsidR="007172FE">
        <w:rPr>
          <w:rFonts w:ascii="Calibri" w:eastAsia="Times New Roman" w:hAnsi="Calibri" w:cs="Times New Roman"/>
          <w:b/>
          <w:bCs/>
          <w:iCs/>
        </w:rPr>
        <w:t>disability, 2006</w:t>
      </w:r>
      <w:r w:rsidR="007172FE" w:rsidRPr="007172FE">
        <w:rPr>
          <w:rFonts w:ascii="Calibri" w:eastAsia="Times New Roman" w:hAnsi="Calibri" w:cs="Times New Roman"/>
          <w:b/>
          <w:bCs/>
          <w:iCs/>
        </w:rPr>
        <w:t>–</w:t>
      </w:r>
      <w:r w:rsidR="008A1EFE" w:rsidRPr="008A1EFE">
        <w:rPr>
          <w:rFonts w:ascii="Calibri" w:eastAsia="Times New Roman" w:hAnsi="Calibri" w:cs="Times New Roman"/>
          <w:b/>
          <w:bCs/>
          <w:iCs/>
        </w:rPr>
        <w:t>17</w:t>
      </w:r>
      <w:bookmarkEnd w:id="72"/>
    </w:p>
    <w:p w14:paraId="2E46A525" w14:textId="41D338D4" w:rsidR="008A1EFE" w:rsidRDefault="001C5612" w:rsidP="0003404E">
      <w:r>
        <w:rPr>
          <w:noProof/>
          <w:lang w:eastAsia="en-AU"/>
        </w:rPr>
        <w:drawing>
          <wp:inline distT="0" distB="0" distL="0" distR="0" wp14:anchorId="4290E686" wp14:editId="435707F8">
            <wp:extent cx="5499100" cy="3670300"/>
            <wp:effectExtent l="0" t="0" r="6350" b="6350"/>
            <wp:docPr id="14" name="Picture 14" descr="From 2006 to 2017, the proportion of domestic HDR students who identified as having a disability increased each year, starting at 3.8 per cent in 2006 and rising to 5.5 per cent in 2017. " title="Figure 18: Proportion of enrolled domestic HDR students with disability,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5499100" cy="3670300"/>
                    </a:xfrm>
                    <a:prstGeom prst="rect">
                      <a:avLst/>
                    </a:prstGeom>
                    <a:noFill/>
                  </pic:spPr>
                </pic:pic>
              </a:graphicData>
            </a:graphic>
          </wp:inline>
        </w:drawing>
      </w:r>
    </w:p>
    <w:p w14:paraId="4777A2B7" w14:textId="7A2E6D9D" w:rsidR="007A7B3D" w:rsidRDefault="008A1EFE" w:rsidP="008A1EFE">
      <w:pPr>
        <w:rPr>
          <w:rFonts w:ascii="Calibri" w:eastAsia="Times New Roman" w:hAnsi="Calibri" w:cs="Times New Roman"/>
        </w:rPr>
      </w:pPr>
      <w:r w:rsidRPr="008A1EFE">
        <w:rPr>
          <w:rFonts w:ascii="Calibri" w:eastAsia="Times New Roman" w:hAnsi="Calibri" w:cs="Times New Roman"/>
        </w:rPr>
        <w:t xml:space="preserve">Between 2006 and 2017, there was a consistently higher percentage of students with disability undertaking research in humanities and social science (HASS) </w:t>
      </w:r>
      <w:r w:rsidRPr="007B2632">
        <w:rPr>
          <w:rFonts w:ascii="Calibri" w:eastAsia="Times New Roman" w:hAnsi="Calibri" w:cs="Times New Roman"/>
        </w:rPr>
        <w:t>subjects (</w:t>
      </w:r>
      <w:r w:rsidR="007B2632" w:rsidRPr="007B2632">
        <w:rPr>
          <w:rFonts w:ascii="Calibri" w:eastAsia="Times New Roman" w:hAnsi="Calibri" w:cs="Times New Roman"/>
        </w:rPr>
        <w:fldChar w:fldCharType="begin"/>
      </w:r>
      <w:r w:rsidR="007B2632" w:rsidRPr="007B2632">
        <w:rPr>
          <w:rFonts w:ascii="Calibri" w:eastAsia="Times New Roman" w:hAnsi="Calibri" w:cs="Times New Roman"/>
        </w:rPr>
        <w:instrText xml:space="preserve"> REF _Ref14332694 \h  \* MERGEFORMAT </w:instrText>
      </w:r>
      <w:r w:rsidR="007B2632" w:rsidRPr="007B2632">
        <w:rPr>
          <w:rFonts w:ascii="Calibri" w:eastAsia="Times New Roman" w:hAnsi="Calibri" w:cs="Times New Roman"/>
        </w:rPr>
      </w:r>
      <w:r w:rsidR="007B2632" w:rsidRPr="007B2632">
        <w:rPr>
          <w:rFonts w:ascii="Calibri" w:eastAsia="Times New Roman" w:hAnsi="Calibri" w:cs="Times New Roman"/>
        </w:rPr>
        <w:fldChar w:fldCharType="separate"/>
      </w:r>
      <w:r w:rsidR="00075142" w:rsidRPr="00075142">
        <w:t xml:space="preserve">Figure </w:t>
      </w:r>
      <w:r w:rsidR="00075142" w:rsidRPr="00075142">
        <w:rPr>
          <w:noProof/>
        </w:rPr>
        <w:t>19</w:t>
      </w:r>
      <w:r w:rsidR="007B2632" w:rsidRPr="007B2632">
        <w:rPr>
          <w:rFonts w:ascii="Calibri" w:eastAsia="Times New Roman" w:hAnsi="Calibri" w:cs="Times New Roman"/>
        </w:rPr>
        <w:fldChar w:fldCharType="end"/>
      </w:r>
      <w:r w:rsidRPr="007B2632">
        <w:rPr>
          <w:rFonts w:ascii="Calibri" w:eastAsia="Times New Roman" w:hAnsi="Calibri" w:cs="Times New Roman"/>
        </w:rPr>
        <w:t>).</w:t>
      </w:r>
      <w:r w:rsidR="00B12F16">
        <w:rPr>
          <w:rFonts w:ascii="Calibri" w:eastAsia="Times New Roman" w:hAnsi="Calibri" w:cs="Times New Roman"/>
        </w:rPr>
        <w:t xml:space="preserve"> In 2017, 56</w:t>
      </w:r>
      <w:r w:rsidR="005B39BE">
        <w:rPr>
          <w:rFonts w:ascii="Calibri" w:eastAsia="Times New Roman" w:hAnsi="Calibri" w:cs="Times New Roman"/>
        </w:rPr>
        <w:t> per cent</w:t>
      </w:r>
      <w:r w:rsidRPr="008A1EFE">
        <w:rPr>
          <w:rFonts w:ascii="Calibri" w:eastAsia="Times New Roman" w:hAnsi="Calibri" w:cs="Times New Roman"/>
        </w:rPr>
        <w:t xml:space="preserve"> of HDR students who identif</w:t>
      </w:r>
      <w:r w:rsidR="009A7A4C">
        <w:rPr>
          <w:rFonts w:ascii="Calibri" w:eastAsia="Times New Roman" w:hAnsi="Calibri" w:cs="Times New Roman"/>
        </w:rPr>
        <w:t>ied</w:t>
      </w:r>
      <w:r w:rsidR="000E2DD5">
        <w:rPr>
          <w:rFonts w:ascii="Calibri" w:eastAsia="Times New Roman" w:hAnsi="Calibri" w:cs="Times New Roman"/>
        </w:rPr>
        <w:t xml:space="preserve"> as living with </w:t>
      </w:r>
      <w:r w:rsidRPr="008A1EFE">
        <w:rPr>
          <w:rFonts w:ascii="Calibri" w:eastAsia="Times New Roman" w:hAnsi="Calibri" w:cs="Times New Roman"/>
        </w:rPr>
        <w:t>disability were enroll</w:t>
      </w:r>
      <w:r w:rsidR="00B12F16">
        <w:rPr>
          <w:rFonts w:ascii="Calibri" w:eastAsia="Times New Roman" w:hAnsi="Calibri" w:cs="Times New Roman"/>
        </w:rPr>
        <w:t>ed in HASS research, while 27</w:t>
      </w:r>
      <w:r w:rsidR="005B39BE">
        <w:rPr>
          <w:rFonts w:ascii="Calibri" w:eastAsia="Times New Roman" w:hAnsi="Calibri" w:cs="Times New Roman"/>
        </w:rPr>
        <w:t xml:space="preserve"> per cent</w:t>
      </w:r>
      <w:r w:rsidRPr="008A1EFE">
        <w:rPr>
          <w:rFonts w:ascii="Calibri" w:eastAsia="Times New Roman" w:hAnsi="Calibri" w:cs="Times New Roman"/>
        </w:rPr>
        <w:t xml:space="preserve"> were unde</w:t>
      </w:r>
      <w:r w:rsidR="00B12F16">
        <w:rPr>
          <w:rFonts w:ascii="Calibri" w:eastAsia="Times New Roman" w:hAnsi="Calibri" w:cs="Times New Roman"/>
        </w:rPr>
        <w:t>rtaking STEM research, and 11</w:t>
      </w:r>
      <w:r w:rsidR="005B39BE">
        <w:rPr>
          <w:rFonts w:ascii="Calibri" w:eastAsia="Times New Roman" w:hAnsi="Calibri" w:cs="Times New Roman"/>
        </w:rPr>
        <w:t xml:space="preserve"> per cent</w:t>
      </w:r>
      <w:r w:rsidRPr="008A1EFE">
        <w:rPr>
          <w:rFonts w:ascii="Calibri" w:eastAsia="Times New Roman" w:hAnsi="Calibri" w:cs="Times New Roman"/>
        </w:rPr>
        <w:t xml:space="preserve"> were enrolled in other subjects.</w:t>
      </w:r>
    </w:p>
    <w:p w14:paraId="2D5DA8E4" w14:textId="1E559BC0" w:rsidR="00960351" w:rsidRDefault="007A7B3D" w:rsidP="008A1EFE">
      <w:pPr>
        <w:rPr>
          <w:rFonts w:ascii="Calibri" w:eastAsia="Times New Roman" w:hAnsi="Calibri" w:cs="Times New Roman"/>
        </w:rPr>
      </w:pPr>
      <w:r>
        <w:rPr>
          <w:rFonts w:ascii="Calibri" w:eastAsia="Times New Roman" w:hAnsi="Calibri" w:cs="Times New Roman"/>
        </w:rPr>
        <w:br w:type="page"/>
      </w:r>
    </w:p>
    <w:p w14:paraId="2CD652E5" w14:textId="3A18B5A2" w:rsidR="00CC0242" w:rsidRDefault="007B2632" w:rsidP="00FD03C3">
      <w:pPr>
        <w:keepNext/>
        <w:spacing w:before="200" w:after="0"/>
        <w:outlineLvl w:val="3"/>
      </w:pPr>
      <w:bookmarkStart w:id="73" w:name="_Ref14332694"/>
      <w:bookmarkStart w:id="74" w:name="_Toc17907080"/>
      <w:r w:rsidRPr="007B2632">
        <w:rPr>
          <w:b/>
        </w:rPr>
        <w:t xml:space="preserve">Figure </w:t>
      </w:r>
      <w:r w:rsidRPr="007B2632">
        <w:rPr>
          <w:b/>
        </w:rPr>
        <w:fldChar w:fldCharType="begin"/>
      </w:r>
      <w:r w:rsidRPr="007B2632">
        <w:rPr>
          <w:b/>
        </w:rPr>
        <w:instrText xml:space="preserve"> SEQ Figure \* ARABIC </w:instrText>
      </w:r>
      <w:r w:rsidRPr="007B2632">
        <w:rPr>
          <w:b/>
        </w:rPr>
        <w:fldChar w:fldCharType="separate"/>
      </w:r>
      <w:r w:rsidR="00075142">
        <w:rPr>
          <w:b/>
          <w:noProof/>
        </w:rPr>
        <w:t>19</w:t>
      </w:r>
      <w:r w:rsidRPr="007B2632">
        <w:rPr>
          <w:b/>
        </w:rPr>
        <w:fldChar w:fldCharType="end"/>
      </w:r>
      <w:bookmarkEnd w:id="73"/>
      <w:r w:rsidR="008A1EFE" w:rsidRPr="008A1EFE">
        <w:rPr>
          <w:rFonts w:ascii="Calibri" w:eastAsia="Times New Roman" w:hAnsi="Calibri" w:cs="Times New Roman"/>
          <w:b/>
          <w:bCs/>
          <w:iCs/>
        </w:rPr>
        <w:t xml:space="preserve">: </w:t>
      </w:r>
      <w:r w:rsidR="009A5A0B">
        <w:rPr>
          <w:rFonts w:ascii="Calibri" w:eastAsia="Times New Roman" w:hAnsi="Calibri" w:cs="Times New Roman"/>
          <w:b/>
          <w:bCs/>
          <w:iCs/>
        </w:rPr>
        <w:t xml:space="preserve">Proportion of enrolments for </w:t>
      </w:r>
      <w:r w:rsidR="00AE31F5">
        <w:rPr>
          <w:rFonts w:ascii="Calibri" w:eastAsia="Times New Roman" w:hAnsi="Calibri" w:cs="Times New Roman"/>
          <w:b/>
          <w:bCs/>
          <w:iCs/>
        </w:rPr>
        <w:t xml:space="preserve">domestic HDR students with </w:t>
      </w:r>
      <w:r w:rsidR="008A1EFE" w:rsidRPr="008A1EFE">
        <w:rPr>
          <w:rFonts w:ascii="Calibri" w:eastAsia="Times New Roman" w:hAnsi="Calibri" w:cs="Times New Roman"/>
          <w:b/>
          <w:bCs/>
          <w:iCs/>
        </w:rPr>
        <w:t xml:space="preserve">disability, by field of </w:t>
      </w:r>
      <w:r w:rsidR="009A5A0B">
        <w:rPr>
          <w:rFonts w:ascii="Calibri" w:eastAsia="Times New Roman" w:hAnsi="Calibri" w:cs="Times New Roman"/>
          <w:b/>
          <w:bCs/>
          <w:iCs/>
        </w:rPr>
        <w:t>education</w:t>
      </w:r>
      <w:r w:rsidR="008A1EFE" w:rsidRPr="008A1EFE">
        <w:rPr>
          <w:rFonts w:ascii="Calibri" w:eastAsia="Times New Roman" w:hAnsi="Calibri" w:cs="Times New Roman"/>
          <w:b/>
          <w:bCs/>
          <w:iCs/>
        </w:rPr>
        <w:t>, 2006</w:t>
      </w:r>
      <w:r w:rsidR="00B12F16">
        <w:rPr>
          <w:rFonts w:ascii="Verdana" w:hAnsi="Verdana" w:cs="Calibri"/>
          <w:color w:val="000000"/>
          <w:sz w:val="16"/>
          <w:szCs w:val="16"/>
        </w:rPr>
        <w:t>–</w:t>
      </w:r>
      <w:r w:rsidR="009A5A0B">
        <w:rPr>
          <w:rFonts w:ascii="Calibri" w:eastAsia="Times New Roman" w:hAnsi="Calibri" w:cs="Times New Roman"/>
          <w:bCs/>
          <w:iCs/>
        </w:rPr>
        <w:t>1</w:t>
      </w:r>
      <w:r w:rsidR="008A1EFE" w:rsidRPr="008A1EFE">
        <w:rPr>
          <w:rFonts w:ascii="Calibri" w:eastAsia="Times New Roman" w:hAnsi="Calibri" w:cs="Times New Roman"/>
          <w:b/>
          <w:bCs/>
          <w:iCs/>
        </w:rPr>
        <w:t>7</w:t>
      </w:r>
      <w:bookmarkEnd w:id="74"/>
    </w:p>
    <w:p w14:paraId="3536F09C" w14:textId="400EA97B" w:rsidR="008A1EFE" w:rsidRDefault="001C5612">
      <w:pPr>
        <w:rPr>
          <w:rFonts w:ascii="Calibri" w:eastAsiaTheme="majorEastAsia" w:hAnsi="Calibri" w:cstheme="majorBidi"/>
          <w:b/>
          <w:bCs/>
          <w:color w:val="522761"/>
          <w:sz w:val="36"/>
          <w:szCs w:val="28"/>
        </w:rPr>
      </w:pPr>
      <w:r>
        <w:rPr>
          <w:noProof/>
          <w:lang w:eastAsia="en-AU"/>
        </w:rPr>
        <w:drawing>
          <wp:inline distT="0" distB="0" distL="0" distR="0" wp14:anchorId="19B911C4" wp14:editId="19485451">
            <wp:extent cx="5499100" cy="3670300"/>
            <wp:effectExtent l="0" t="0" r="6350" b="6350"/>
            <wp:docPr id="16" name="Picture 16" descr="From 2006 to 2017, domestic HDR students with disability were most strongly represented in Humanites and Social Science (HASS) subjects. In 2017, &#10;56 per cent of students with disability were enrolled in HASS research, while 27 per cent were undertaking STEM research, and 11 per cent were enrolled in other subjects." title="Figure 19: Proportion of enrolments for domestic HDR students with disability, by field of education, 2006–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5499100" cy="3670300"/>
                    </a:xfrm>
                    <a:prstGeom prst="rect">
                      <a:avLst/>
                    </a:prstGeom>
                    <a:noFill/>
                  </pic:spPr>
                </pic:pic>
              </a:graphicData>
            </a:graphic>
          </wp:inline>
        </w:drawing>
      </w:r>
      <w:r w:rsidR="008A1EFE">
        <w:br w:type="page"/>
      </w:r>
    </w:p>
    <w:p w14:paraId="17B96D36" w14:textId="77777777" w:rsidR="008A1EFE" w:rsidRDefault="008A1EFE" w:rsidP="008A1EFE">
      <w:pPr>
        <w:pStyle w:val="Heading1"/>
      </w:pPr>
      <w:bookmarkStart w:id="75" w:name="_Toc23841278"/>
      <w:r>
        <w:t>Bibliography</w:t>
      </w:r>
      <w:bookmarkEnd w:id="75"/>
    </w:p>
    <w:p w14:paraId="0AC85171" w14:textId="77777777" w:rsidR="00041BB0" w:rsidRDefault="00041BB0" w:rsidP="008A1EFE">
      <w:pPr>
        <w:rPr>
          <w:rFonts w:ascii="Calibri" w:eastAsia="Times New Roman" w:hAnsi="Calibri" w:cs="Times New Roman"/>
        </w:rPr>
      </w:pPr>
      <w:r w:rsidRPr="00041BB0">
        <w:rPr>
          <w:rFonts w:ascii="Calibri" w:eastAsia="Times New Roman" w:hAnsi="Calibri" w:cs="Times New Roman"/>
        </w:rPr>
        <w:t>AIHW analysis of the ABS 2003 and 2015 Surveys of Disability, Ageing and Carers data.</w:t>
      </w:r>
    </w:p>
    <w:p w14:paraId="3F9F709B" w14:textId="36E5039C"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Bell S. (2016) Ivory Towers and Glass Ceilings: Women in Non-traditional Fields. In: Harvey A., Burnheim C., Brett M. (eds) </w:t>
      </w:r>
      <w:r w:rsidRPr="008A1EFE">
        <w:rPr>
          <w:rFonts w:ascii="Calibri" w:eastAsia="Times New Roman" w:hAnsi="Calibri" w:cs="Times New Roman"/>
          <w:i/>
        </w:rPr>
        <w:t>Student Equity in Australian Higher Education</w:t>
      </w:r>
      <w:r w:rsidRPr="008A1EFE">
        <w:rPr>
          <w:rFonts w:ascii="Calibri" w:eastAsia="Times New Roman" w:hAnsi="Calibri" w:cs="Times New Roman"/>
        </w:rPr>
        <w:t>. Springer, Singapore</w:t>
      </w:r>
    </w:p>
    <w:p w14:paraId="62AFC8CB"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Bell S., May R. (2016) Ladders of Opportunity: Postgraduate Equity, Professions and the Academic Workforce. In: Harvey A., Burnheim C., Brett M. (eds) </w:t>
      </w:r>
      <w:r w:rsidRPr="008A1EFE">
        <w:rPr>
          <w:rFonts w:ascii="Calibri" w:eastAsia="Times New Roman" w:hAnsi="Calibri" w:cs="Times New Roman"/>
          <w:i/>
        </w:rPr>
        <w:t>Student Equity in Australian Higher Education</w:t>
      </w:r>
      <w:r w:rsidRPr="008A1EFE">
        <w:rPr>
          <w:rFonts w:ascii="Calibri" w:eastAsia="Times New Roman" w:hAnsi="Calibri" w:cs="Times New Roman"/>
        </w:rPr>
        <w:t>. Springer, Singapore</w:t>
      </w:r>
    </w:p>
    <w:p w14:paraId="0CB6EF76"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Burnheim C., Harvey A. (2016) Far from the Studying Crowd? Regional and Remote Students in Higher Education. In: Harvey A., Burnheim C., Brett M. (eds) </w:t>
      </w:r>
      <w:r w:rsidRPr="008A1EFE">
        <w:rPr>
          <w:rFonts w:ascii="Calibri" w:eastAsia="Times New Roman" w:hAnsi="Calibri" w:cs="Times New Roman"/>
          <w:i/>
        </w:rPr>
        <w:t>Student Equity in Australian Higher Education</w:t>
      </w:r>
      <w:r w:rsidRPr="008A1EFE">
        <w:rPr>
          <w:rFonts w:ascii="Calibri" w:eastAsia="Times New Roman" w:hAnsi="Calibri" w:cs="Times New Roman"/>
        </w:rPr>
        <w:t>. Springer, Singapore</w:t>
      </w:r>
    </w:p>
    <w:p w14:paraId="610D41EE"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Christie M., Medland A. (2017) Understanding why women are underrepresented in Science, Technology, Engineering and Mathematics (STEM) within Higher Education: a regional case study. </w:t>
      </w:r>
      <w:r w:rsidRPr="008A1EFE">
        <w:rPr>
          <w:rFonts w:ascii="Calibri" w:eastAsia="Times New Roman" w:hAnsi="Calibri" w:cs="Times New Roman"/>
          <w:i/>
        </w:rPr>
        <w:t>SciELO</w:t>
      </w:r>
      <w:r w:rsidRPr="008A1EFE">
        <w:rPr>
          <w:rFonts w:ascii="Calibri" w:eastAsia="Times New Roman" w:hAnsi="Calibri" w:cs="Times New Roman"/>
        </w:rPr>
        <w:t xml:space="preserve"> 27  </w:t>
      </w:r>
    </w:p>
    <w:p w14:paraId="54A72CEA"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Crabb S., Ekberg S. (2014) Retaining female postgraduates in academia: the role of gender and prospective parenthood. </w:t>
      </w:r>
      <w:r w:rsidRPr="008A1EFE">
        <w:rPr>
          <w:rFonts w:ascii="Calibri" w:eastAsia="Times New Roman" w:hAnsi="Calibri" w:cs="Times New Roman"/>
          <w:i/>
        </w:rPr>
        <w:t>Higher Education Research &amp; Development</w:t>
      </w:r>
      <w:r w:rsidRPr="008A1EFE">
        <w:rPr>
          <w:rFonts w:ascii="Calibri" w:eastAsia="Times New Roman" w:hAnsi="Calibri" w:cs="Times New Roman"/>
        </w:rPr>
        <w:t xml:space="preserve"> 33 (6): 1099-1112 </w:t>
      </w:r>
    </w:p>
    <w:p w14:paraId="2C72E49A"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Diekman A., Weisgram E., Belanger A. (2015) New Routes to Recruiting and Retaining Women in STEM: Policy Implications of a Communal Goal Congruity Perspective. </w:t>
      </w:r>
      <w:r w:rsidRPr="008A1EFE">
        <w:rPr>
          <w:rFonts w:ascii="Calibri" w:eastAsia="Times New Roman" w:hAnsi="Calibri" w:cs="Times New Roman"/>
          <w:i/>
        </w:rPr>
        <w:t>Social Issues and Policy Review</w:t>
      </w:r>
      <w:r w:rsidRPr="008A1EFE">
        <w:rPr>
          <w:rFonts w:ascii="Calibri" w:eastAsia="Times New Roman" w:hAnsi="Calibri" w:cs="Times New Roman"/>
        </w:rPr>
        <w:t xml:space="preserve"> 9 (1):52-88 </w:t>
      </w:r>
    </w:p>
    <w:p w14:paraId="4EB8A862"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Dockery P., Seymour R., Koshy A. (2015) Promoting low socio-economic participation in higher education: a comparison of area-based and individual measures. </w:t>
      </w:r>
      <w:r w:rsidRPr="008A1EFE">
        <w:rPr>
          <w:rFonts w:ascii="Calibri" w:eastAsia="Times New Roman" w:hAnsi="Calibri" w:cs="Times New Roman"/>
          <w:i/>
        </w:rPr>
        <w:t>Studies in Higher Education</w:t>
      </w:r>
      <w:r w:rsidRPr="008A1EFE">
        <w:rPr>
          <w:rFonts w:ascii="Calibri" w:eastAsia="Times New Roman" w:hAnsi="Calibri" w:cs="Times New Roman"/>
        </w:rPr>
        <w:t xml:space="preserve"> 41 (9): 1692-1714 </w:t>
      </w:r>
    </w:p>
    <w:p w14:paraId="1D209989"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Harvey A., Andrewartha L. (2013) Dr Who? Equity and diversity among university postgraduate and higher degree cohorts. </w:t>
      </w:r>
      <w:r w:rsidRPr="008A1EFE">
        <w:rPr>
          <w:rFonts w:ascii="Calibri" w:eastAsia="Times New Roman" w:hAnsi="Calibri" w:cs="Times New Roman"/>
          <w:i/>
        </w:rPr>
        <w:t>Journal of Higher Education Policy and Management</w:t>
      </w:r>
      <w:r w:rsidRPr="008A1EFE">
        <w:rPr>
          <w:rFonts w:ascii="Calibri" w:eastAsia="Times New Roman" w:hAnsi="Calibri" w:cs="Times New Roman"/>
        </w:rPr>
        <w:t xml:space="preserve"> 35 (2): 112-123 </w:t>
      </w:r>
    </w:p>
    <w:p w14:paraId="06AEDFC2"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Harvey A., Andrewartha L., Burnheim C. (2016) Out of Reach? University for People from Low Socio-Economic Status Backgrounds. In: Harvey A., Burnheim C., Brett M. (eds) </w:t>
      </w:r>
      <w:r w:rsidRPr="008A1EFE">
        <w:rPr>
          <w:rFonts w:ascii="Calibri" w:eastAsia="Times New Roman" w:hAnsi="Calibri" w:cs="Times New Roman"/>
          <w:i/>
        </w:rPr>
        <w:t>Student Equity in Australian Higher Education</w:t>
      </w:r>
      <w:r w:rsidRPr="008A1EFE">
        <w:rPr>
          <w:rFonts w:ascii="Calibri" w:eastAsia="Times New Roman" w:hAnsi="Calibri" w:cs="Times New Roman"/>
        </w:rPr>
        <w:t>. Springer, Singapore</w:t>
      </w:r>
    </w:p>
    <w:p w14:paraId="7DCAD7C9"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Harvey A., Burnheim C., Brett M. (2016) Towards a Fairer Chance for All: Revising the Australian Student Equity Framework. In: Harvey A., Burnheim C., Brett M. (eds) </w:t>
      </w:r>
      <w:r w:rsidRPr="008A1EFE">
        <w:rPr>
          <w:rFonts w:ascii="Calibri" w:eastAsia="Times New Roman" w:hAnsi="Calibri" w:cs="Times New Roman"/>
          <w:i/>
        </w:rPr>
        <w:t>Student Equity in Australian Higher Education</w:t>
      </w:r>
      <w:r w:rsidRPr="008A1EFE">
        <w:rPr>
          <w:rFonts w:ascii="Calibri" w:eastAsia="Times New Roman" w:hAnsi="Calibri" w:cs="Times New Roman"/>
        </w:rPr>
        <w:t>. Springer, Singapore</w:t>
      </w:r>
    </w:p>
    <w:p w14:paraId="69C530B4" w14:textId="77777777" w:rsidR="008A1EFE" w:rsidRPr="008A1EFE" w:rsidRDefault="008A1EFE" w:rsidP="008A1EFE">
      <w:pPr>
        <w:rPr>
          <w:rFonts w:ascii="Calibri" w:eastAsia="Calibri" w:hAnsi="Calibri" w:cs="Times New Roman"/>
        </w:rPr>
      </w:pPr>
      <w:r w:rsidRPr="008A1EFE">
        <w:rPr>
          <w:rFonts w:ascii="Calibri" w:eastAsia="Calibri" w:hAnsi="Calibri" w:cs="Times New Roman"/>
        </w:rPr>
        <w:t xml:space="preserve">Koshy P. (2018) </w:t>
      </w:r>
      <w:r w:rsidRPr="008A1EFE">
        <w:rPr>
          <w:rFonts w:ascii="Calibri" w:eastAsia="Calibri" w:hAnsi="Calibri" w:cs="Times New Roman"/>
          <w:i/>
        </w:rPr>
        <w:t>Equity Student Participation in Australian Higher Education: 2012–2017</w:t>
      </w:r>
      <w:r w:rsidRPr="008A1EFE">
        <w:rPr>
          <w:rFonts w:ascii="Calibri" w:eastAsia="Calibri" w:hAnsi="Calibri" w:cs="Times New Roman"/>
        </w:rPr>
        <w:t xml:space="preserve">. National Centre for Student Equity in Higher Education (NCSEHE). Perth: Curtin University. </w:t>
      </w:r>
    </w:p>
    <w:p w14:paraId="4CEA5ECE" w14:textId="3F1D072A" w:rsidR="008A1EFE" w:rsidRDefault="008A1EFE" w:rsidP="008A1EFE">
      <w:pPr>
        <w:rPr>
          <w:rFonts w:ascii="Calibri" w:eastAsia="Times New Roman" w:hAnsi="Calibri" w:cs="Times New Roman"/>
        </w:rPr>
      </w:pPr>
      <w:r w:rsidRPr="008A1EFE">
        <w:rPr>
          <w:rFonts w:ascii="Calibri" w:eastAsia="Times New Roman" w:hAnsi="Calibri" w:cs="Times New Roman"/>
        </w:rPr>
        <w:t xml:space="preserve">Larkins F. (2018) </w:t>
      </w:r>
      <w:hyperlink r:id="rId38" w:history="1">
        <w:r w:rsidRPr="00646DFC">
          <w:rPr>
            <w:rStyle w:val="Hyperlink"/>
            <w:rFonts w:ascii="Calibri" w:eastAsia="Times New Roman" w:hAnsi="Calibri" w:cs="Times New Roman"/>
            <w:i/>
          </w:rPr>
          <w:t>Male Students Remain Underrepresented in Australian Universities. Should Australia be concerned?</w:t>
        </w:r>
      </w:hyperlink>
      <w:r w:rsidRPr="008A1EFE">
        <w:rPr>
          <w:rFonts w:ascii="Calibri" w:eastAsia="Times New Roman" w:hAnsi="Calibri" w:cs="Times New Roman"/>
        </w:rPr>
        <w:t xml:space="preserve"> LH Martin Institute, The University of Melbourne </w:t>
      </w:r>
    </w:p>
    <w:p w14:paraId="3855F57E" w14:textId="1907AB26" w:rsidR="00960351" w:rsidRPr="008A1EFE" w:rsidRDefault="00960351" w:rsidP="008A1EFE">
      <w:pPr>
        <w:rPr>
          <w:rFonts w:ascii="Calibri" w:eastAsia="Times New Roman" w:hAnsi="Calibri" w:cs="Times New Roman"/>
        </w:rPr>
      </w:pPr>
      <w:r>
        <w:rPr>
          <w:rFonts w:ascii="Calibri" w:eastAsia="Times New Roman" w:hAnsi="Calibri" w:cs="Times New Roman"/>
        </w:rPr>
        <w:br w:type="page"/>
      </w:r>
    </w:p>
    <w:p w14:paraId="5643D083" w14:textId="70931E3E"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Larkins F. (2019) </w:t>
      </w:r>
      <w:hyperlink r:id="rId39" w:history="1">
        <w:r w:rsidRPr="002A3962">
          <w:rPr>
            <w:rStyle w:val="Hyperlink"/>
            <w:rFonts w:ascii="Calibri" w:eastAsia="Times New Roman" w:hAnsi="Calibri" w:cs="Times New Roman"/>
            <w:i/>
          </w:rPr>
          <w:t>Australian Universities Increased Dependency on Overseas Research Students Highlights A National Policy Failing</w:t>
        </w:r>
      </w:hyperlink>
      <w:r w:rsidRPr="008A1EFE">
        <w:rPr>
          <w:rFonts w:ascii="Calibri" w:eastAsia="Times New Roman" w:hAnsi="Calibri" w:cs="Times New Roman"/>
          <w:i/>
        </w:rPr>
        <w:t>.</w:t>
      </w:r>
      <w:r w:rsidRPr="008A1EFE">
        <w:rPr>
          <w:rFonts w:ascii="Calibri" w:eastAsia="Times New Roman" w:hAnsi="Calibri" w:cs="Times New Roman"/>
        </w:rPr>
        <w:t xml:space="preserve"> LH Martin Institute, The University of Melbourne </w:t>
      </w:r>
    </w:p>
    <w:p w14:paraId="02A31CF7" w14:textId="04C0244B"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Li I., Mahuteau S., Dockery A., Junankar R., Mavromaras K. (2016) </w:t>
      </w:r>
      <w:hyperlink r:id="rId40" w:history="1">
        <w:r w:rsidRPr="002A3962">
          <w:rPr>
            <w:rStyle w:val="Hyperlink"/>
            <w:rFonts w:ascii="Calibri" w:eastAsia="Times New Roman" w:hAnsi="Calibri" w:cs="Times New Roman"/>
            <w:i/>
          </w:rPr>
          <w:t>Labour market outcomes of Australian university graduates from equity groups</w:t>
        </w:r>
      </w:hyperlink>
      <w:r w:rsidRPr="008A1EFE">
        <w:rPr>
          <w:rFonts w:ascii="Calibri" w:eastAsia="Times New Roman" w:hAnsi="Calibri" w:cs="Times New Roman"/>
        </w:rPr>
        <w:t xml:space="preserve">. National Centre for Student Equity in Higher Education </w:t>
      </w:r>
    </w:p>
    <w:p w14:paraId="469AEE5F"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McCulloch A., Thomas L. (2012) Widening participation to doctoral education and research agenda for an emerging policy issue. </w:t>
      </w:r>
      <w:r w:rsidRPr="008A1EFE">
        <w:rPr>
          <w:rFonts w:ascii="Calibri" w:eastAsia="Times New Roman" w:hAnsi="Calibri" w:cs="Times New Roman"/>
          <w:i/>
        </w:rPr>
        <w:t>Higher Education Research &amp; Development</w:t>
      </w:r>
      <w:r w:rsidRPr="008A1EFE">
        <w:rPr>
          <w:rFonts w:ascii="Calibri" w:eastAsia="Times New Roman" w:hAnsi="Calibri" w:cs="Times New Roman"/>
        </w:rPr>
        <w:t xml:space="preserve"> 32 (2): 214-22 </w:t>
      </w:r>
    </w:p>
    <w:p w14:paraId="40B786A9" w14:textId="136E5BF2"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McGagh J., Marsh H., Western M., Thomas P., Hastings A., Mihailova M., Wenham M. (2016) </w:t>
      </w:r>
      <w:r w:rsidRPr="008A1EFE">
        <w:rPr>
          <w:rFonts w:ascii="Calibri" w:eastAsia="Times New Roman" w:hAnsi="Calibri" w:cs="Times New Roman"/>
          <w:i/>
        </w:rPr>
        <w:t>Review of Australia’s Research Training System</w:t>
      </w:r>
      <w:r w:rsidRPr="008A1EFE">
        <w:rPr>
          <w:rFonts w:ascii="Calibri" w:eastAsia="Times New Roman" w:hAnsi="Calibri" w:cs="Times New Roman"/>
        </w:rPr>
        <w:t xml:space="preserve">. Report for the </w:t>
      </w:r>
      <w:hyperlink r:id="rId41" w:history="1">
        <w:r w:rsidRPr="00646DFC">
          <w:rPr>
            <w:rStyle w:val="Hyperlink"/>
            <w:rFonts w:ascii="Calibri" w:eastAsia="Times New Roman" w:hAnsi="Calibri" w:cs="Times New Roman"/>
          </w:rPr>
          <w:t>Australia</w:t>
        </w:r>
        <w:r w:rsidR="00646DFC" w:rsidRPr="00646DFC">
          <w:rPr>
            <w:rStyle w:val="Hyperlink"/>
            <w:rFonts w:ascii="Calibri" w:eastAsia="Times New Roman" w:hAnsi="Calibri" w:cs="Times New Roman"/>
          </w:rPr>
          <w:t>n Council of Learned Academies</w:t>
        </w:r>
      </w:hyperlink>
      <w:r w:rsidR="00646DFC">
        <w:rPr>
          <w:rFonts w:ascii="Calibri" w:eastAsia="Times New Roman" w:hAnsi="Calibri" w:cs="Times New Roman"/>
        </w:rPr>
        <w:t>.</w:t>
      </w:r>
    </w:p>
    <w:p w14:paraId="5BB5CB33" w14:textId="77777777"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Norton A. (2016) Equity and Markets. In: Harvey A., Burnheim C., Brett M. (eds) </w:t>
      </w:r>
      <w:r w:rsidRPr="008A1EFE">
        <w:rPr>
          <w:rFonts w:ascii="Calibri" w:eastAsia="Times New Roman" w:hAnsi="Calibri" w:cs="Times New Roman"/>
          <w:i/>
        </w:rPr>
        <w:t>Student Equity in Australian Higher Education</w:t>
      </w:r>
      <w:r w:rsidRPr="008A1EFE">
        <w:rPr>
          <w:rFonts w:ascii="Calibri" w:eastAsia="Times New Roman" w:hAnsi="Calibri" w:cs="Times New Roman"/>
        </w:rPr>
        <w:t>. Springer, Singapore</w:t>
      </w:r>
    </w:p>
    <w:p w14:paraId="68413A24" w14:textId="5B7F5816"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Peseta T., Barrie S., Barrow M., Grant BM., Kelly F., Lucas L., Trahar S., Jawitz J., Thesen L. (2016) </w:t>
      </w:r>
      <w:hyperlink r:id="rId42" w:history="1">
        <w:r w:rsidRPr="002A3962">
          <w:rPr>
            <w:rStyle w:val="Hyperlink"/>
            <w:rFonts w:ascii="Calibri" w:eastAsia="Times New Roman" w:hAnsi="Calibri" w:cs="Times New Roman"/>
            <w:i/>
          </w:rPr>
          <w:t>Getting the measure of doctoral curriculum: A response to access and equity?</w:t>
        </w:r>
      </w:hyperlink>
      <w:r w:rsidRPr="008A1EFE">
        <w:rPr>
          <w:rFonts w:ascii="Calibri" w:eastAsia="Times New Roman" w:hAnsi="Calibri" w:cs="Times New Roman"/>
        </w:rPr>
        <w:t xml:space="preserve"> International Academic Identities Conference 2016 </w:t>
      </w:r>
    </w:p>
    <w:p w14:paraId="29607662" w14:textId="06A6FED5" w:rsidR="008A1EFE" w:rsidRPr="008A1EFE" w:rsidRDefault="008A1EFE" w:rsidP="008A1EFE">
      <w:pPr>
        <w:rPr>
          <w:rFonts w:ascii="Calibri" w:eastAsia="Times New Roman" w:hAnsi="Calibri" w:cs="Times New Roman"/>
        </w:rPr>
      </w:pPr>
      <w:r w:rsidRPr="008A1EFE">
        <w:rPr>
          <w:rFonts w:ascii="Calibri" w:eastAsia="Times New Roman" w:hAnsi="Calibri" w:cs="Times New Roman"/>
        </w:rPr>
        <w:t xml:space="preserve">Wakeling P., Kyriacou C. (2010) </w:t>
      </w:r>
      <w:hyperlink r:id="rId43" w:history="1">
        <w:r w:rsidRPr="002A3962">
          <w:rPr>
            <w:rStyle w:val="Hyperlink"/>
            <w:rFonts w:ascii="Calibri" w:eastAsia="Times New Roman" w:hAnsi="Calibri" w:cs="Times New Roman"/>
            <w:i/>
          </w:rPr>
          <w:t>Widening participation from undergraduate to postgraduate research degrees</w:t>
        </w:r>
      </w:hyperlink>
      <w:r w:rsidRPr="008A1EFE">
        <w:rPr>
          <w:rFonts w:ascii="Calibri" w:eastAsia="Times New Roman" w:hAnsi="Calibri" w:cs="Times New Roman"/>
        </w:rPr>
        <w:t xml:space="preserve">. National Coordinating Centre for Public Engagement; Economic and Social Research Council  </w:t>
      </w:r>
    </w:p>
    <w:p w14:paraId="74AA5861" w14:textId="02AC8B9F" w:rsidR="00A751A4" w:rsidRPr="008A1EFE" w:rsidRDefault="008A1EFE" w:rsidP="0003404E">
      <w:pPr>
        <w:rPr>
          <w:rFonts w:ascii="Calibri" w:eastAsia="Times New Roman" w:hAnsi="Calibri" w:cs="Times New Roman"/>
        </w:rPr>
      </w:pPr>
      <w:r w:rsidRPr="008A1EFE">
        <w:rPr>
          <w:rFonts w:ascii="Calibri" w:eastAsia="Times New Roman" w:hAnsi="Calibri" w:cs="Times New Roman"/>
        </w:rPr>
        <w:t xml:space="preserve">White K. (2015) </w:t>
      </w:r>
      <w:hyperlink r:id="rId44" w:history="1">
        <w:r w:rsidRPr="002A3962">
          <w:rPr>
            <w:rStyle w:val="Hyperlink"/>
            <w:rFonts w:ascii="Calibri" w:eastAsia="Times New Roman" w:hAnsi="Calibri" w:cs="Times New Roman"/>
          </w:rPr>
          <w:t>Glass ceilings and monastic men: Keeping women in science</w:t>
        </w:r>
      </w:hyperlink>
      <w:r w:rsidRPr="008A1EFE">
        <w:rPr>
          <w:rFonts w:ascii="Calibri" w:eastAsia="Times New Roman" w:hAnsi="Calibri" w:cs="Times New Roman"/>
        </w:rPr>
        <w:t xml:space="preserve">. </w:t>
      </w:r>
      <w:r w:rsidRPr="008A1EFE">
        <w:rPr>
          <w:rFonts w:ascii="Calibri" w:eastAsia="Times New Roman" w:hAnsi="Calibri" w:cs="Times New Roman"/>
          <w:i/>
        </w:rPr>
        <w:t>Australian Quart</w:t>
      </w:r>
      <w:r w:rsidRPr="008A1EFE">
        <w:rPr>
          <w:rFonts w:ascii="Calibri" w:eastAsia="Times New Roman" w:hAnsi="Calibri" w:cs="Times New Roman"/>
        </w:rPr>
        <w:t xml:space="preserve">erly 86 (3): 14-19 </w:t>
      </w:r>
    </w:p>
    <w:sectPr w:rsidR="00A751A4" w:rsidRPr="008A1EFE" w:rsidSect="00960351">
      <w:headerReference w:type="default" r:id="rId45"/>
      <w:footerReference w:type="default" r:id="rId46"/>
      <w:type w:val="continuous"/>
      <w:pgSz w:w="11906" w:h="16838"/>
      <w:pgMar w:top="1985" w:right="1440" w:bottom="1276" w:left="1440" w:header="708" w:footer="101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13ED7F2" w14:textId="77777777" w:rsidR="00D63423" w:rsidRDefault="00D63423" w:rsidP="00130923">
      <w:pPr>
        <w:spacing w:after="0" w:line="240" w:lineRule="auto"/>
      </w:pPr>
      <w:r>
        <w:separator/>
      </w:r>
    </w:p>
  </w:endnote>
  <w:endnote w:type="continuationSeparator" w:id="0">
    <w:p w14:paraId="5E6115C9" w14:textId="77777777" w:rsidR="00D63423" w:rsidRDefault="00D63423" w:rsidP="0013092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D47DC17" w14:textId="77777777" w:rsidR="00D63423" w:rsidRDefault="00D63423" w:rsidP="003242B9">
    <w:pPr>
      <w:pStyle w:val="Footer"/>
      <w:jc w:val="right"/>
    </w:pP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6C9FCD5" w14:textId="6E756D60" w:rsidR="00D63423" w:rsidRDefault="00B81D63" w:rsidP="00A73406">
    <w:pPr>
      <w:pStyle w:val="Footer"/>
      <w:tabs>
        <w:tab w:val="clear" w:pos="9026"/>
        <w:tab w:val="right" w:pos="8647"/>
      </w:tabs>
      <w:ind w:firstLine="720"/>
      <w:jc w:val="right"/>
    </w:pPr>
    <w:sdt>
      <w:sdtPr>
        <w:id w:val="638927636"/>
        <w:docPartObj>
          <w:docPartGallery w:val="Page Numbers (Bottom of Page)"/>
          <w:docPartUnique/>
        </w:docPartObj>
      </w:sdtPr>
      <w:sdtEndPr>
        <w:rPr>
          <w:noProof/>
        </w:rPr>
      </w:sdtEndPr>
      <w:sdtContent>
        <w:r w:rsidR="00D63423">
          <w:fldChar w:fldCharType="begin"/>
        </w:r>
        <w:r w:rsidR="00D63423">
          <w:instrText xml:space="preserve"> PAGE   \* MERGEFORMAT </w:instrText>
        </w:r>
        <w:r w:rsidR="00D63423">
          <w:fldChar w:fldCharType="separate"/>
        </w:r>
        <w:r w:rsidR="00075142">
          <w:rPr>
            <w:noProof/>
          </w:rPr>
          <w:t>14</w:t>
        </w:r>
        <w:r w:rsidR="00D63423">
          <w:rPr>
            <w:noProof/>
          </w:rPr>
          <w:fldChar w:fldCharType="end"/>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96B653C" w14:textId="77777777" w:rsidR="00D63423" w:rsidRDefault="00D63423" w:rsidP="00130923">
      <w:pPr>
        <w:spacing w:after="0" w:line="240" w:lineRule="auto"/>
      </w:pPr>
      <w:r>
        <w:separator/>
      </w:r>
    </w:p>
  </w:footnote>
  <w:footnote w:type="continuationSeparator" w:id="0">
    <w:p w14:paraId="1C292CA3" w14:textId="77777777" w:rsidR="00D63423" w:rsidRDefault="00D63423" w:rsidP="00130923">
      <w:pPr>
        <w:spacing w:after="0" w:line="240" w:lineRule="auto"/>
      </w:pPr>
      <w:r>
        <w:continuationSeparator/>
      </w:r>
    </w:p>
  </w:footnote>
  <w:footnote w:id="1">
    <w:p w14:paraId="19E22654" w14:textId="77777777" w:rsidR="00D63423" w:rsidRPr="003122F6" w:rsidRDefault="00D63423" w:rsidP="0003404E">
      <w:pPr>
        <w:pStyle w:val="FootnoteText"/>
      </w:pPr>
      <w:r>
        <w:rPr>
          <w:rStyle w:val="FootnoteReference"/>
        </w:rPr>
        <w:footnoteRef/>
      </w:r>
      <w:r>
        <w:t xml:space="preserve"> McGagh et al. (2016), Section 11.</w:t>
      </w:r>
    </w:p>
  </w:footnote>
  <w:footnote w:id="2">
    <w:p w14:paraId="13E51632" w14:textId="3D87CF1A" w:rsidR="00D63423" w:rsidRDefault="00D63423" w:rsidP="0003404E">
      <w:pPr>
        <w:pStyle w:val="FootnoteText"/>
      </w:pPr>
      <w:r>
        <w:rPr>
          <w:rStyle w:val="FootnoteReference"/>
        </w:rPr>
        <w:footnoteRef/>
      </w:r>
      <w:r>
        <w:t xml:space="preserve"> The RTIP is available at &lt;</w:t>
      </w:r>
      <w:hyperlink r:id="rId1" w:history="1">
        <w:r w:rsidRPr="008D026F">
          <w:rPr>
            <w:rStyle w:val="Hyperlink"/>
          </w:rPr>
          <w:t>Research Training Implementation Plan</w:t>
        </w:r>
      </w:hyperlink>
      <w:r>
        <w:t>&gt;</w:t>
      </w:r>
    </w:p>
  </w:footnote>
  <w:footnote w:id="3">
    <w:p w14:paraId="5691400C" w14:textId="77777777" w:rsidR="00D63423" w:rsidRDefault="00D63423" w:rsidP="0003404E">
      <w:pPr>
        <w:pStyle w:val="FootnoteText"/>
      </w:pPr>
      <w:r>
        <w:rPr>
          <w:rStyle w:val="FootnoteReference"/>
        </w:rPr>
        <w:footnoteRef/>
      </w:r>
      <w:r>
        <w:t xml:space="preserve"> For analysis of undergraduate patterns see Koshy (2018).</w:t>
      </w:r>
    </w:p>
  </w:footnote>
  <w:footnote w:id="4">
    <w:p w14:paraId="13979EB3" w14:textId="1D4D770A" w:rsidR="00D63423" w:rsidRPr="00E622B1" w:rsidRDefault="00D63423" w:rsidP="00E622B1">
      <w:pPr>
        <w:pStyle w:val="FootnoteText"/>
        <w:rPr>
          <w:rStyle w:val="FootnoteReference"/>
          <w:vertAlign w:val="baseline"/>
        </w:rPr>
      </w:pPr>
      <w:r w:rsidRPr="00E622B1">
        <w:rPr>
          <w:rStyle w:val="FootnoteReference"/>
          <w:vertAlign w:val="baseline"/>
        </w:rPr>
        <w:footnoteRef/>
      </w:r>
      <w:r w:rsidRPr="00E622B1">
        <w:rPr>
          <w:rStyle w:val="FootnoteReference"/>
          <w:vertAlign w:val="baseline"/>
        </w:rPr>
        <w:t xml:space="preserve"> Low SES is the bottom quartile and high SES the top quartile, based on the student’s permanent home residence. More information is provided in Section 4: Socioeconomic status.</w:t>
      </w:r>
    </w:p>
  </w:footnote>
  <w:footnote w:id="5">
    <w:p w14:paraId="76297A8A" w14:textId="5564316C" w:rsidR="00D63423" w:rsidRPr="00E622B1" w:rsidRDefault="00D63423" w:rsidP="00E622B1">
      <w:pPr>
        <w:pStyle w:val="FootnoteText"/>
        <w:rPr>
          <w:rStyle w:val="FootnoteReference"/>
          <w:vertAlign w:val="baseline"/>
        </w:rPr>
      </w:pPr>
      <w:r w:rsidRPr="00E622B1">
        <w:rPr>
          <w:rStyle w:val="FootnoteReference"/>
          <w:vertAlign w:val="baseline"/>
        </w:rPr>
        <w:footnoteRef/>
      </w:r>
      <w:r w:rsidRPr="00E622B1">
        <w:rPr>
          <w:rStyle w:val="FootnoteReference"/>
          <w:vertAlign w:val="baseline"/>
        </w:rPr>
        <w:t xml:space="preserve"> See Harvey A., Burnheim C., Brett M. (2016)</w:t>
      </w:r>
    </w:p>
  </w:footnote>
  <w:footnote w:id="6">
    <w:p w14:paraId="3AAFE636" w14:textId="77777777" w:rsidR="00D63423" w:rsidRPr="008D07D0" w:rsidRDefault="00D63423" w:rsidP="00E622B1">
      <w:pPr>
        <w:pStyle w:val="FootnoteText"/>
      </w:pPr>
      <w:r w:rsidRPr="00E622B1">
        <w:rPr>
          <w:rStyle w:val="FootnoteReference"/>
          <w:vertAlign w:val="baseline"/>
        </w:rPr>
        <w:footnoteRef/>
      </w:r>
      <w:r w:rsidRPr="00E622B1">
        <w:rPr>
          <w:rStyle w:val="FootnoteReference"/>
          <w:vertAlign w:val="baseline"/>
        </w:rPr>
        <w:t xml:space="preserve"> See Harvey and Andrewartha (2013).</w:t>
      </w:r>
    </w:p>
  </w:footnote>
  <w:footnote w:id="7">
    <w:p w14:paraId="091F6D67" w14:textId="4996EFAF" w:rsidR="00D63423" w:rsidRDefault="00D63423" w:rsidP="001C5544">
      <w:pPr>
        <w:pStyle w:val="FootnoteText"/>
      </w:pPr>
      <w:r>
        <w:rPr>
          <w:rStyle w:val="FootnoteReference"/>
        </w:rPr>
        <w:footnoteRef/>
      </w:r>
      <w:r>
        <w:t xml:space="preserve"> Medical studies is a special case, as HDR students enrolled in medical studies may also include medical students undertaking a PhD as part of their training.</w:t>
      </w:r>
    </w:p>
  </w:footnote>
  <w:footnote w:id="8">
    <w:p w14:paraId="15B4BC59" w14:textId="77777777" w:rsidR="00D63423" w:rsidRDefault="00D63423" w:rsidP="00CC0242">
      <w:pPr>
        <w:pStyle w:val="FootnoteText"/>
      </w:pPr>
      <w:r>
        <w:rPr>
          <w:rStyle w:val="FootnoteReference"/>
        </w:rPr>
        <w:footnoteRef/>
      </w:r>
      <w:r>
        <w:t xml:space="preserve"> See for example Crabb and Ekberg (2014), White (2015), Diekman et al. (2015), Bell (2016), Christie et al. (2017).</w:t>
      </w:r>
    </w:p>
  </w:footnote>
  <w:footnote w:id="9">
    <w:p w14:paraId="51AA5116" w14:textId="77777777" w:rsidR="00D63423" w:rsidRDefault="00D63423" w:rsidP="00CC0242">
      <w:pPr>
        <w:pStyle w:val="FootnoteText"/>
      </w:pPr>
      <w:r>
        <w:rPr>
          <w:rStyle w:val="FootnoteReference"/>
        </w:rPr>
        <w:footnoteRef/>
      </w:r>
      <w:r>
        <w:t xml:space="preserve"> The remaining 7 per cent of enrolments were by students of unknown SES.</w:t>
      </w:r>
    </w:p>
  </w:footnote>
  <w:footnote w:id="10">
    <w:p w14:paraId="2EF3BE5F" w14:textId="77777777" w:rsidR="00D63423" w:rsidRDefault="00D63423" w:rsidP="000E3D9E">
      <w:pPr>
        <w:pStyle w:val="FootnoteText"/>
      </w:pPr>
      <w:r>
        <w:rPr>
          <w:rStyle w:val="FootnoteReference"/>
        </w:rPr>
        <w:footnoteRef/>
      </w:r>
      <w:r>
        <w:t xml:space="preserve"> ABS 2016 Census</w:t>
      </w:r>
    </w:p>
  </w:footnote>
  <w:footnote w:id="11">
    <w:p w14:paraId="03E1E5AE" w14:textId="373FD1E8" w:rsidR="00D63423" w:rsidRDefault="00D63423" w:rsidP="001F05AC">
      <w:pPr>
        <w:pStyle w:val="FootnoteText"/>
      </w:pPr>
      <w:r>
        <w:rPr>
          <w:rStyle w:val="FootnoteReference"/>
        </w:rPr>
        <w:footnoteRef/>
      </w:r>
      <w:r>
        <w:t xml:space="preserve"> </w:t>
      </w:r>
      <w:hyperlink r:id="rId2" w:history="1">
        <w:r w:rsidR="00BE6898">
          <w:rPr>
            <w:rStyle w:val="Hyperlink"/>
          </w:rPr>
          <w:t>AIHW, Disability in Australia: changes over time in inclusion and participation in education</w:t>
        </w:r>
      </w:hyperlink>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4C48DF1C" w14:textId="77777777" w:rsidR="00D63423" w:rsidRDefault="00D63423" w:rsidP="00560CA0">
    <w:pPr>
      <w:pStyle w:val="Header"/>
      <w:jc w:val="righ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45FEA0C" w14:textId="147AF9B9" w:rsidR="00D63423" w:rsidRDefault="00D63423" w:rsidP="00560CA0">
    <w:pPr>
      <w:pStyle w:val="Header"/>
      <w:jc w:val="right"/>
    </w:pPr>
    <w:r>
      <w:t xml:space="preserve">Student Equity in Higher Degrees by Research – August 2019 </w:t>
    </w: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B4A8271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F2C0204"/>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37D08C3A"/>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4942CF74"/>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CE050E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2C86864C"/>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C840E18"/>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FEFE160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02001698"/>
    <w:lvl w:ilvl="0">
      <w:start w:val="1"/>
      <w:numFmt w:val="decimal"/>
      <w:lvlText w:val="%1."/>
      <w:lvlJc w:val="left"/>
      <w:pPr>
        <w:tabs>
          <w:tab w:val="num" w:pos="360"/>
        </w:tabs>
        <w:ind w:left="360" w:hanging="360"/>
      </w:pPr>
    </w:lvl>
  </w:abstractNum>
  <w:abstractNum w:abstractNumId="9" w15:restartNumberingAfterBreak="0">
    <w:nsid w:val="080F485D"/>
    <w:multiLevelType w:val="hybridMultilevel"/>
    <w:tmpl w:val="5BE4D756"/>
    <w:lvl w:ilvl="0" w:tplc="1A4409F4">
      <w:start w:val="1"/>
      <w:numFmt w:val="bullet"/>
      <w:lvlText w:val=""/>
      <w:lvlJc w:val="left"/>
      <w:pPr>
        <w:ind w:left="720" w:hanging="360"/>
      </w:pPr>
      <w:rPr>
        <w:rFonts w:ascii="Symbol" w:hAnsi="Symbol" w:hint="default"/>
      </w:rPr>
    </w:lvl>
    <w:lvl w:ilvl="1" w:tplc="0C090003">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0" w15:restartNumberingAfterBreak="0">
    <w:nsid w:val="14E12691"/>
    <w:multiLevelType w:val="hybridMultilevel"/>
    <w:tmpl w:val="87F08DFC"/>
    <w:lvl w:ilvl="0" w:tplc="0C090001">
      <w:start w:val="1"/>
      <w:numFmt w:val="bullet"/>
      <w:lvlText w:val=""/>
      <w:lvlJc w:val="left"/>
      <w:pPr>
        <w:ind w:left="360" w:hanging="360"/>
      </w:pPr>
      <w:rPr>
        <w:rFonts w:ascii="Symbol" w:hAnsi="Symbol" w:hint="default"/>
      </w:rPr>
    </w:lvl>
    <w:lvl w:ilvl="1" w:tplc="0C090003" w:tentative="1">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11" w15:restartNumberingAfterBreak="0">
    <w:nsid w:val="16641DF2"/>
    <w:multiLevelType w:val="hybridMultilevel"/>
    <w:tmpl w:val="F7842D62"/>
    <w:lvl w:ilvl="0" w:tplc="7F847DE4">
      <w:start w:val="1"/>
      <w:numFmt w:val="decimal"/>
      <w:pStyle w:val="numberedpara"/>
      <w:lvlText w:val="%1."/>
      <w:lvlJc w:val="right"/>
      <w:pPr>
        <w:tabs>
          <w:tab w:val="num" w:pos="567"/>
        </w:tabs>
        <w:ind w:left="0" w:hanging="567"/>
      </w:pPr>
      <w:rPr>
        <w:rFonts w:ascii="Calibri" w:hAnsi="Calibri" w:cs="Times New Roman" w:hint="default"/>
        <w:b w:val="0"/>
        <w:i w:val="0"/>
        <w:color w:val="auto"/>
        <w:sz w:val="22"/>
      </w:rPr>
    </w:lvl>
    <w:lvl w:ilvl="1" w:tplc="0C090019">
      <w:start w:val="1"/>
      <w:numFmt w:val="lowerLetter"/>
      <w:lvlText w:val="%2."/>
      <w:lvlJc w:val="left"/>
      <w:pPr>
        <w:tabs>
          <w:tab w:val="num" w:pos="1440"/>
        </w:tabs>
        <w:ind w:left="1440" w:hanging="360"/>
      </w:pPr>
    </w:lvl>
    <w:lvl w:ilvl="2" w:tplc="0C09001B">
      <w:start w:val="1"/>
      <w:numFmt w:val="decimal"/>
      <w:lvlText w:val="%3."/>
      <w:lvlJc w:val="left"/>
      <w:pPr>
        <w:tabs>
          <w:tab w:val="num" w:pos="2160"/>
        </w:tabs>
        <w:ind w:left="2160" w:hanging="360"/>
      </w:pPr>
    </w:lvl>
    <w:lvl w:ilvl="3" w:tplc="0C09000F">
      <w:start w:val="1"/>
      <w:numFmt w:val="decimal"/>
      <w:lvlText w:val="%4."/>
      <w:lvlJc w:val="left"/>
      <w:pPr>
        <w:tabs>
          <w:tab w:val="num" w:pos="2880"/>
        </w:tabs>
        <w:ind w:left="2880" w:hanging="360"/>
      </w:pPr>
    </w:lvl>
    <w:lvl w:ilvl="4" w:tplc="0C090019">
      <w:start w:val="1"/>
      <w:numFmt w:val="decimal"/>
      <w:lvlText w:val="%5."/>
      <w:lvlJc w:val="left"/>
      <w:pPr>
        <w:tabs>
          <w:tab w:val="num" w:pos="3600"/>
        </w:tabs>
        <w:ind w:left="3600" w:hanging="360"/>
      </w:pPr>
    </w:lvl>
    <w:lvl w:ilvl="5" w:tplc="0C09001B">
      <w:start w:val="1"/>
      <w:numFmt w:val="decimal"/>
      <w:lvlText w:val="%6."/>
      <w:lvlJc w:val="left"/>
      <w:pPr>
        <w:tabs>
          <w:tab w:val="num" w:pos="4320"/>
        </w:tabs>
        <w:ind w:left="4320" w:hanging="360"/>
      </w:pPr>
    </w:lvl>
    <w:lvl w:ilvl="6" w:tplc="0C09000F">
      <w:start w:val="1"/>
      <w:numFmt w:val="decimal"/>
      <w:lvlText w:val="%7."/>
      <w:lvlJc w:val="left"/>
      <w:pPr>
        <w:tabs>
          <w:tab w:val="num" w:pos="5040"/>
        </w:tabs>
        <w:ind w:left="5040" w:hanging="360"/>
      </w:pPr>
    </w:lvl>
    <w:lvl w:ilvl="7" w:tplc="0C090019">
      <w:start w:val="1"/>
      <w:numFmt w:val="decimal"/>
      <w:lvlText w:val="%8."/>
      <w:lvlJc w:val="left"/>
      <w:pPr>
        <w:tabs>
          <w:tab w:val="num" w:pos="5760"/>
        </w:tabs>
        <w:ind w:left="5760" w:hanging="360"/>
      </w:pPr>
    </w:lvl>
    <w:lvl w:ilvl="8" w:tplc="0C09001B">
      <w:start w:val="1"/>
      <w:numFmt w:val="decimal"/>
      <w:lvlText w:val="%9."/>
      <w:lvlJc w:val="left"/>
      <w:pPr>
        <w:tabs>
          <w:tab w:val="num" w:pos="6480"/>
        </w:tabs>
        <w:ind w:left="6480" w:hanging="360"/>
      </w:pPr>
    </w:lvl>
  </w:abstractNum>
  <w:abstractNum w:abstractNumId="12" w15:restartNumberingAfterBreak="0">
    <w:nsid w:val="1EC47A76"/>
    <w:multiLevelType w:val="hybridMultilevel"/>
    <w:tmpl w:val="C20CC00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3" w15:restartNumberingAfterBreak="0">
    <w:nsid w:val="1FBA5C77"/>
    <w:multiLevelType w:val="multilevel"/>
    <w:tmpl w:val="FF4E1B02"/>
    <w:lvl w:ilvl="0">
      <w:start w:val="1"/>
      <w:numFmt w:val="decimal"/>
      <w:pStyle w:val="ListNumber"/>
      <w:lvlText w:val="%1"/>
      <w:lvlJc w:val="left"/>
      <w:pPr>
        <w:ind w:left="360" w:hanging="360"/>
      </w:pPr>
      <w:rPr>
        <w:rFonts w:hint="default"/>
      </w:rPr>
    </w:lvl>
    <w:lvl w:ilvl="1">
      <w:start w:val="1"/>
      <w:numFmt w:val="decimal"/>
      <w:pStyle w:val="ListNumber2"/>
      <w:lvlText w:val="%1.%2"/>
      <w:lvlJc w:val="left"/>
      <w:pPr>
        <w:ind w:left="851" w:hanging="491"/>
      </w:pPr>
      <w:rPr>
        <w:rFonts w:hint="default"/>
      </w:rPr>
    </w:lvl>
    <w:lvl w:ilvl="2">
      <w:start w:val="1"/>
      <w:numFmt w:val="decimal"/>
      <w:pStyle w:val="ListNumber3"/>
      <w:lvlText w:val="%1.%2.%3"/>
      <w:lvlJc w:val="left"/>
      <w:pPr>
        <w:ind w:left="1474" w:hanging="623"/>
      </w:pPr>
      <w:rPr>
        <w:rFonts w:hint="default"/>
      </w:rPr>
    </w:lvl>
    <w:lvl w:ilvl="3">
      <w:start w:val="1"/>
      <w:numFmt w:val="decimal"/>
      <w:pStyle w:val="ListNumber4"/>
      <w:lvlText w:val="%1.%2.%3.%4"/>
      <w:lvlJc w:val="left"/>
      <w:pPr>
        <w:ind w:left="2268" w:hanging="737"/>
      </w:pPr>
      <w:rPr>
        <w:rFonts w:hint="default"/>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14" w15:restartNumberingAfterBreak="0">
    <w:nsid w:val="1FD73B67"/>
    <w:multiLevelType w:val="hybridMultilevel"/>
    <w:tmpl w:val="6EC84BE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5" w15:restartNumberingAfterBreak="0">
    <w:nsid w:val="26857EB8"/>
    <w:multiLevelType w:val="hybridMultilevel"/>
    <w:tmpl w:val="2618F0F2"/>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6" w15:restartNumberingAfterBreak="0">
    <w:nsid w:val="3CC05E98"/>
    <w:multiLevelType w:val="hybridMultilevel"/>
    <w:tmpl w:val="5524B084"/>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17" w15:restartNumberingAfterBreak="0">
    <w:nsid w:val="419D76C3"/>
    <w:multiLevelType w:val="hybridMultilevel"/>
    <w:tmpl w:val="7A3830E0"/>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8" w15:restartNumberingAfterBreak="0">
    <w:nsid w:val="4A293F7A"/>
    <w:multiLevelType w:val="hybridMultilevel"/>
    <w:tmpl w:val="C52CA0BC"/>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19" w15:restartNumberingAfterBreak="0">
    <w:nsid w:val="51B73210"/>
    <w:multiLevelType w:val="multilevel"/>
    <w:tmpl w:val="9C90C164"/>
    <w:lvl w:ilvl="0">
      <w:start w:val="1"/>
      <w:numFmt w:val="bullet"/>
      <w:pStyle w:val="ListBullet"/>
      <w:lvlText w:val=""/>
      <w:lvlJc w:val="left"/>
      <w:pPr>
        <w:ind w:left="360" w:hanging="360"/>
      </w:pPr>
      <w:rPr>
        <w:rFonts w:ascii="Symbol" w:hAnsi="Symbol" w:hint="default"/>
      </w:rPr>
    </w:lvl>
    <w:lvl w:ilvl="1">
      <w:start w:val="1"/>
      <w:numFmt w:val="bullet"/>
      <w:pStyle w:val="ListBullet2"/>
      <w:lvlText w:val=""/>
      <w:lvlJc w:val="left"/>
      <w:pPr>
        <w:ind w:left="737" w:hanging="340"/>
      </w:pPr>
      <w:rPr>
        <w:rFonts w:ascii="Symbol" w:hAnsi="Symbol" w:hint="default"/>
      </w:rPr>
    </w:lvl>
    <w:lvl w:ilvl="2">
      <w:start w:val="1"/>
      <w:numFmt w:val="bullet"/>
      <w:pStyle w:val="ListBullet3"/>
      <w:lvlText w:val=""/>
      <w:lvlJc w:val="left"/>
      <w:pPr>
        <w:ind w:left="1134" w:hanging="340"/>
      </w:pPr>
      <w:rPr>
        <w:rFonts w:ascii="Wingdings" w:hAnsi="Wingdings" w:hint="default"/>
      </w:rPr>
    </w:lvl>
    <w:lvl w:ilvl="3">
      <w:start w:val="1"/>
      <w:numFmt w:val="bullet"/>
      <w:pStyle w:val="ListBullet4"/>
      <w:lvlText w:val="o"/>
      <w:lvlJc w:val="left"/>
      <w:pPr>
        <w:ind w:left="1531" w:hanging="397"/>
      </w:pPr>
      <w:rPr>
        <w:rFonts w:ascii="Courier New" w:hAnsi="Courier New" w:hint="default"/>
      </w:rPr>
    </w:lvl>
    <w:lvl w:ilvl="4">
      <w:start w:val="1"/>
      <w:numFmt w:val="bullet"/>
      <w:lvlText w:val="o"/>
      <w:lvlJc w:val="left"/>
      <w:pPr>
        <w:ind w:left="3240" w:hanging="360"/>
      </w:pPr>
      <w:rPr>
        <w:rFonts w:ascii="Courier New" w:hAnsi="Courier New" w:cs="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0" w15:restartNumberingAfterBreak="0">
    <w:nsid w:val="56705BC1"/>
    <w:multiLevelType w:val="hybridMultilevel"/>
    <w:tmpl w:val="009E024E"/>
    <w:lvl w:ilvl="0" w:tplc="0C09000F">
      <w:start w:val="1"/>
      <w:numFmt w:val="decimal"/>
      <w:lvlText w:val="%1."/>
      <w:lvlJc w:val="left"/>
      <w:pPr>
        <w:ind w:left="720" w:hanging="360"/>
      </w:pPr>
      <w:rPr>
        <w:rFonts w:hint="default"/>
      </w:rPr>
    </w:lvl>
    <w:lvl w:ilvl="1" w:tplc="0C090019" w:tentative="1">
      <w:start w:val="1"/>
      <w:numFmt w:val="lowerLetter"/>
      <w:lvlText w:val="%2."/>
      <w:lvlJc w:val="left"/>
      <w:pPr>
        <w:ind w:left="1440" w:hanging="360"/>
      </w:pPr>
    </w:lvl>
    <w:lvl w:ilvl="2" w:tplc="0C09001B" w:tentative="1">
      <w:start w:val="1"/>
      <w:numFmt w:val="lowerRoman"/>
      <w:lvlText w:val="%3."/>
      <w:lvlJc w:val="right"/>
      <w:pPr>
        <w:ind w:left="2160" w:hanging="180"/>
      </w:pPr>
    </w:lvl>
    <w:lvl w:ilvl="3" w:tplc="0C09000F" w:tentative="1">
      <w:start w:val="1"/>
      <w:numFmt w:val="decimal"/>
      <w:lvlText w:val="%4."/>
      <w:lvlJc w:val="left"/>
      <w:pPr>
        <w:ind w:left="2880" w:hanging="360"/>
      </w:pPr>
    </w:lvl>
    <w:lvl w:ilvl="4" w:tplc="0C090019" w:tentative="1">
      <w:start w:val="1"/>
      <w:numFmt w:val="lowerLetter"/>
      <w:lvlText w:val="%5."/>
      <w:lvlJc w:val="left"/>
      <w:pPr>
        <w:ind w:left="3600" w:hanging="360"/>
      </w:pPr>
    </w:lvl>
    <w:lvl w:ilvl="5" w:tplc="0C09001B" w:tentative="1">
      <w:start w:val="1"/>
      <w:numFmt w:val="lowerRoman"/>
      <w:lvlText w:val="%6."/>
      <w:lvlJc w:val="right"/>
      <w:pPr>
        <w:ind w:left="4320" w:hanging="180"/>
      </w:pPr>
    </w:lvl>
    <w:lvl w:ilvl="6" w:tplc="0C09000F" w:tentative="1">
      <w:start w:val="1"/>
      <w:numFmt w:val="decimal"/>
      <w:lvlText w:val="%7."/>
      <w:lvlJc w:val="left"/>
      <w:pPr>
        <w:ind w:left="5040" w:hanging="360"/>
      </w:pPr>
    </w:lvl>
    <w:lvl w:ilvl="7" w:tplc="0C090019" w:tentative="1">
      <w:start w:val="1"/>
      <w:numFmt w:val="lowerLetter"/>
      <w:lvlText w:val="%8."/>
      <w:lvlJc w:val="left"/>
      <w:pPr>
        <w:ind w:left="5760" w:hanging="360"/>
      </w:pPr>
    </w:lvl>
    <w:lvl w:ilvl="8" w:tplc="0C09001B" w:tentative="1">
      <w:start w:val="1"/>
      <w:numFmt w:val="lowerRoman"/>
      <w:lvlText w:val="%9."/>
      <w:lvlJc w:val="right"/>
      <w:pPr>
        <w:ind w:left="6480" w:hanging="180"/>
      </w:pPr>
    </w:lvl>
  </w:abstractNum>
  <w:abstractNum w:abstractNumId="21" w15:restartNumberingAfterBreak="0">
    <w:nsid w:val="59CF1710"/>
    <w:multiLevelType w:val="multilevel"/>
    <w:tmpl w:val="835A880C"/>
    <w:lvl w:ilvl="0">
      <w:start w:val="1"/>
      <w:numFmt w:val="bullet"/>
      <w:lvlText w:val=""/>
      <w:lvlJc w:val="left"/>
      <w:pPr>
        <w:ind w:left="360" w:hanging="360"/>
      </w:pPr>
      <w:rPr>
        <w:rFonts w:ascii="Symbol" w:hAnsi="Symbol" w:hint="default"/>
        <w:color w:val="auto"/>
      </w:rPr>
    </w:lvl>
    <w:lvl w:ilvl="1">
      <w:start w:val="1"/>
      <w:numFmt w:val="bullet"/>
      <w:lvlText w:val="o"/>
      <w:lvlJc w:val="left"/>
      <w:pPr>
        <w:ind w:left="720" w:hanging="360"/>
      </w:pPr>
      <w:rPr>
        <w:rFonts w:ascii="Courier New" w:hAnsi="Courier New" w:hint="default"/>
      </w:rPr>
    </w:lvl>
    <w:lvl w:ilvl="2">
      <w:start w:val="1"/>
      <w:numFmt w:val="bullet"/>
      <w:lvlText w:val=""/>
      <w:lvlJc w:val="left"/>
      <w:pPr>
        <w:ind w:left="1080" w:hanging="360"/>
      </w:pPr>
      <w:rPr>
        <w:rFonts w:ascii="Symbol" w:hAnsi="Symbol" w:hint="default"/>
        <w:color w:val="auto"/>
      </w:rPr>
    </w:lvl>
    <w:lvl w:ilvl="3">
      <w:start w:val="1"/>
      <w:numFmt w:val="bullet"/>
      <w:lvlText w:val=""/>
      <w:lvlJc w:val="left"/>
      <w:pPr>
        <w:ind w:left="1440" w:hanging="360"/>
      </w:pPr>
      <w:rPr>
        <w:rFonts w:ascii="Symbol" w:hAnsi="Symbol" w:hint="default"/>
        <w:color w:val="auto"/>
      </w:rPr>
    </w:lvl>
    <w:lvl w:ilvl="4">
      <w:start w:val="1"/>
      <w:numFmt w:val="none"/>
      <w:lvlText w:val=""/>
      <w:lvlJc w:val="left"/>
      <w:pPr>
        <w:ind w:left="1800" w:hanging="360"/>
      </w:pPr>
      <w:rPr>
        <w:rFonts w:hint="default"/>
      </w:rPr>
    </w:lvl>
    <w:lvl w:ilvl="5">
      <w:start w:val="1"/>
      <w:numFmt w:val="none"/>
      <w:lvlText w:val=""/>
      <w:lvlJc w:val="left"/>
      <w:pPr>
        <w:ind w:left="2160" w:hanging="360"/>
      </w:pPr>
      <w:rPr>
        <w:rFonts w:hint="default"/>
      </w:rPr>
    </w:lvl>
    <w:lvl w:ilvl="6">
      <w:start w:val="1"/>
      <w:numFmt w:val="none"/>
      <w:lvlText w:val=""/>
      <w:lvlJc w:val="left"/>
      <w:pPr>
        <w:ind w:left="2520" w:hanging="360"/>
      </w:pPr>
      <w:rPr>
        <w:rFonts w:hint="default"/>
      </w:rPr>
    </w:lvl>
    <w:lvl w:ilvl="7">
      <w:start w:val="1"/>
      <w:numFmt w:val="none"/>
      <w:lvlText w:val=""/>
      <w:lvlJc w:val="left"/>
      <w:pPr>
        <w:ind w:left="2880" w:hanging="360"/>
      </w:pPr>
      <w:rPr>
        <w:rFonts w:hint="default"/>
      </w:rPr>
    </w:lvl>
    <w:lvl w:ilvl="8">
      <w:start w:val="1"/>
      <w:numFmt w:val="none"/>
      <w:lvlText w:val=""/>
      <w:lvlJc w:val="left"/>
      <w:pPr>
        <w:ind w:left="3240" w:hanging="360"/>
      </w:pPr>
      <w:rPr>
        <w:rFonts w:hint="default"/>
      </w:rPr>
    </w:lvl>
  </w:abstractNum>
  <w:abstractNum w:abstractNumId="22" w15:restartNumberingAfterBreak="0">
    <w:nsid w:val="76BE2999"/>
    <w:multiLevelType w:val="hybridMultilevel"/>
    <w:tmpl w:val="BE9A9BF0"/>
    <w:lvl w:ilvl="0" w:tplc="CC821152">
      <w:start w:val="1"/>
      <w:numFmt w:val="bullet"/>
      <w:lvlText w:val="o"/>
      <w:lvlJc w:val="left"/>
      <w:pPr>
        <w:ind w:left="1440" w:hanging="360"/>
      </w:pPr>
      <w:rPr>
        <w:rFonts w:ascii="Courier New" w:hAnsi="Courier New" w:cs="Courier New" w:hint="default"/>
      </w:rPr>
    </w:lvl>
    <w:lvl w:ilvl="1" w:tplc="0C090003" w:tentative="1">
      <w:start w:val="1"/>
      <w:numFmt w:val="bullet"/>
      <w:lvlText w:val="o"/>
      <w:lvlJc w:val="left"/>
      <w:pPr>
        <w:ind w:left="2160" w:hanging="360"/>
      </w:pPr>
      <w:rPr>
        <w:rFonts w:ascii="Courier New" w:hAnsi="Courier New" w:cs="Courier New" w:hint="default"/>
      </w:rPr>
    </w:lvl>
    <w:lvl w:ilvl="2" w:tplc="0C090005" w:tentative="1">
      <w:start w:val="1"/>
      <w:numFmt w:val="bullet"/>
      <w:lvlText w:val=""/>
      <w:lvlJc w:val="left"/>
      <w:pPr>
        <w:ind w:left="2880" w:hanging="360"/>
      </w:pPr>
      <w:rPr>
        <w:rFonts w:ascii="Wingdings" w:hAnsi="Wingdings" w:hint="default"/>
      </w:rPr>
    </w:lvl>
    <w:lvl w:ilvl="3" w:tplc="0C090001" w:tentative="1">
      <w:start w:val="1"/>
      <w:numFmt w:val="bullet"/>
      <w:lvlText w:val=""/>
      <w:lvlJc w:val="left"/>
      <w:pPr>
        <w:ind w:left="3600" w:hanging="360"/>
      </w:pPr>
      <w:rPr>
        <w:rFonts w:ascii="Symbol" w:hAnsi="Symbol" w:hint="default"/>
      </w:rPr>
    </w:lvl>
    <w:lvl w:ilvl="4" w:tplc="0C090003" w:tentative="1">
      <w:start w:val="1"/>
      <w:numFmt w:val="bullet"/>
      <w:lvlText w:val="o"/>
      <w:lvlJc w:val="left"/>
      <w:pPr>
        <w:ind w:left="4320" w:hanging="360"/>
      </w:pPr>
      <w:rPr>
        <w:rFonts w:ascii="Courier New" w:hAnsi="Courier New" w:cs="Courier New" w:hint="default"/>
      </w:rPr>
    </w:lvl>
    <w:lvl w:ilvl="5" w:tplc="0C090005" w:tentative="1">
      <w:start w:val="1"/>
      <w:numFmt w:val="bullet"/>
      <w:lvlText w:val=""/>
      <w:lvlJc w:val="left"/>
      <w:pPr>
        <w:ind w:left="5040" w:hanging="360"/>
      </w:pPr>
      <w:rPr>
        <w:rFonts w:ascii="Wingdings" w:hAnsi="Wingdings" w:hint="default"/>
      </w:rPr>
    </w:lvl>
    <w:lvl w:ilvl="6" w:tplc="0C090001" w:tentative="1">
      <w:start w:val="1"/>
      <w:numFmt w:val="bullet"/>
      <w:lvlText w:val=""/>
      <w:lvlJc w:val="left"/>
      <w:pPr>
        <w:ind w:left="5760" w:hanging="360"/>
      </w:pPr>
      <w:rPr>
        <w:rFonts w:ascii="Symbol" w:hAnsi="Symbol" w:hint="default"/>
      </w:rPr>
    </w:lvl>
    <w:lvl w:ilvl="7" w:tplc="0C090003" w:tentative="1">
      <w:start w:val="1"/>
      <w:numFmt w:val="bullet"/>
      <w:lvlText w:val="o"/>
      <w:lvlJc w:val="left"/>
      <w:pPr>
        <w:ind w:left="6480" w:hanging="360"/>
      </w:pPr>
      <w:rPr>
        <w:rFonts w:ascii="Courier New" w:hAnsi="Courier New" w:cs="Courier New" w:hint="default"/>
      </w:rPr>
    </w:lvl>
    <w:lvl w:ilvl="8" w:tplc="0C090005" w:tentative="1">
      <w:start w:val="1"/>
      <w:numFmt w:val="bullet"/>
      <w:lvlText w:val=""/>
      <w:lvlJc w:val="left"/>
      <w:pPr>
        <w:ind w:left="7200" w:hanging="360"/>
      </w:pPr>
      <w:rPr>
        <w:rFonts w:ascii="Wingdings" w:hAnsi="Wingdings" w:hint="default"/>
      </w:rPr>
    </w:lvl>
  </w:abstractNum>
  <w:num w:numId="1">
    <w:abstractNumId w:val="21"/>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3"/>
  </w:num>
  <w:num w:numId="12">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9"/>
  </w:num>
  <w:num w:numId="14">
    <w:abstractNumId w:val="22"/>
  </w:num>
  <w:num w:numId="15">
    <w:abstractNumId w:val="10"/>
  </w:num>
  <w:num w:numId="16">
    <w:abstractNumId w:val="19"/>
  </w:num>
  <w:num w:numId="17">
    <w:abstractNumId w:val="1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8">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6"/>
  </w:num>
  <w:num w:numId="20">
    <w:abstractNumId w:val="18"/>
  </w:num>
  <w:num w:numId="21">
    <w:abstractNumId w:val="11"/>
  </w:num>
  <w:num w:numId="22">
    <w:abstractNumId w:val="20"/>
  </w:num>
  <w:num w:numId="23">
    <w:abstractNumId w:val="14"/>
  </w:num>
  <w:num w:numId="24">
    <w:abstractNumId w:val="15"/>
  </w:num>
  <w:num w:numId="25">
    <w:abstractNumId w:val="17"/>
  </w:num>
  <w:num w:numId="26">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zoom w:percent="100"/>
  <w:removePersonalInformation/>
  <w:removeDateAndTime/>
  <w:hideSpellingErrors/>
  <w:hideGrammaticalErrors/>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inkAnnotations="0"/>
  <w:defaultTabStop w:val="720"/>
  <w:characterSpacingControl w:val="doNotCompress"/>
  <w:hdrShapeDefaults>
    <o:shapedefaults v:ext="edit" spidmax="104449"/>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_AMO_XmlVersion" w:val="Empty"/>
  </w:docVars>
  <w:rsids>
    <w:rsidRoot w:val="0003404E"/>
    <w:rsid w:val="00002721"/>
    <w:rsid w:val="00007E0C"/>
    <w:rsid w:val="00021904"/>
    <w:rsid w:val="00024E24"/>
    <w:rsid w:val="0003404E"/>
    <w:rsid w:val="00034EAA"/>
    <w:rsid w:val="00041BB0"/>
    <w:rsid w:val="00050DBC"/>
    <w:rsid w:val="000537AA"/>
    <w:rsid w:val="00075142"/>
    <w:rsid w:val="000861A6"/>
    <w:rsid w:val="00096427"/>
    <w:rsid w:val="000A170C"/>
    <w:rsid w:val="000A66BC"/>
    <w:rsid w:val="000B7EF3"/>
    <w:rsid w:val="000C3B1C"/>
    <w:rsid w:val="000D4384"/>
    <w:rsid w:val="000D7FD3"/>
    <w:rsid w:val="000E2DD5"/>
    <w:rsid w:val="000E3D9E"/>
    <w:rsid w:val="000E7E7B"/>
    <w:rsid w:val="000F3BA2"/>
    <w:rsid w:val="001175BF"/>
    <w:rsid w:val="00125A98"/>
    <w:rsid w:val="00130923"/>
    <w:rsid w:val="00130E4F"/>
    <w:rsid w:val="00134E70"/>
    <w:rsid w:val="001414F3"/>
    <w:rsid w:val="001438EF"/>
    <w:rsid w:val="00143FCD"/>
    <w:rsid w:val="001556AE"/>
    <w:rsid w:val="001701A0"/>
    <w:rsid w:val="00191588"/>
    <w:rsid w:val="0019669F"/>
    <w:rsid w:val="001A3621"/>
    <w:rsid w:val="001B587D"/>
    <w:rsid w:val="001B6467"/>
    <w:rsid w:val="001C5544"/>
    <w:rsid w:val="001C5612"/>
    <w:rsid w:val="001E09BA"/>
    <w:rsid w:val="001E25E6"/>
    <w:rsid w:val="001E78DF"/>
    <w:rsid w:val="001F05AC"/>
    <w:rsid w:val="001F28BE"/>
    <w:rsid w:val="001F4A24"/>
    <w:rsid w:val="0021516D"/>
    <w:rsid w:val="00223EB1"/>
    <w:rsid w:val="00233643"/>
    <w:rsid w:val="00236917"/>
    <w:rsid w:val="00243D6B"/>
    <w:rsid w:val="00244942"/>
    <w:rsid w:val="002532CE"/>
    <w:rsid w:val="00280638"/>
    <w:rsid w:val="002867E0"/>
    <w:rsid w:val="002A0F10"/>
    <w:rsid w:val="002A3962"/>
    <w:rsid w:val="002B06E6"/>
    <w:rsid w:val="002B4930"/>
    <w:rsid w:val="002C3AA1"/>
    <w:rsid w:val="002C4023"/>
    <w:rsid w:val="002C753C"/>
    <w:rsid w:val="002D271F"/>
    <w:rsid w:val="002D3D86"/>
    <w:rsid w:val="002D6386"/>
    <w:rsid w:val="002F1961"/>
    <w:rsid w:val="002F1999"/>
    <w:rsid w:val="00305B35"/>
    <w:rsid w:val="003155A7"/>
    <w:rsid w:val="003166C5"/>
    <w:rsid w:val="00323D5F"/>
    <w:rsid w:val="003242B9"/>
    <w:rsid w:val="00330463"/>
    <w:rsid w:val="00335F41"/>
    <w:rsid w:val="00340488"/>
    <w:rsid w:val="00340DC4"/>
    <w:rsid w:val="003571C2"/>
    <w:rsid w:val="00371FF4"/>
    <w:rsid w:val="00374A15"/>
    <w:rsid w:val="0038004E"/>
    <w:rsid w:val="003943C7"/>
    <w:rsid w:val="003979FC"/>
    <w:rsid w:val="003A040A"/>
    <w:rsid w:val="003D0F89"/>
    <w:rsid w:val="003D67FC"/>
    <w:rsid w:val="003E273C"/>
    <w:rsid w:val="003E7D13"/>
    <w:rsid w:val="00406E5A"/>
    <w:rsid w:val="00413801"/>
    <w:rsid w:val="00413C7E"/>
    <w:rsid w:val="0042245E"/>
    <w:rsid w:val="004238B8"/>
    <w:rsid w:val="0042627F"/>
    <w:rsid w:val="0043223F"/>
    <w:rsid w:val="00455B34"/>
    <w:rsid w:val="004565DD"/>
    <w:rsid w:val="00474934"/>
    <w:rsid w:val="00481F02"/>
    <w:rsid w:val="00482BA0"/>
    <w:rsid w:val="00485402"/>
    <w:rsid w:val="0048762C"/>
    <w:rsid w:val="004948ED"/>
    <w:rsid w:val="004A057B"/>
    <w:rsid w:val="004B256F"/>
    <w:rsid w:val="004B6C76"/>
    <w:rsid w:val="004B7579"/>
    <w:rsid w:val="004E040A"/>
    <w:rsid w:val="00510062"/>
    <w:rsid w:val="005113B6"/>
    <w:rsid w:val="005131CE"/>
    <w:rsid w:val="00531817"/>
    <w:rsid w:val="0053413B"/>
    <w:rsid w:val="005407E0"/>
    <w:rsid w:val="005412EC"/>
    <w:rsid w:val="00560CA0"/>
    <w:rsid w:val="005624F3"/>
    <w:rsid w:val="00566F0B"/>
    <w:rsid w:val="005811EF"/>
    <w:rsid w:val="00582032"/>
    <w:rsid w:val="005913A8"/>
    <w:rsid w:val="005B0878"/>
    <w:rsid w:val="005B39BE"/>
    <w:rsid w:val="005C15C0"/>
    <w:rsid w:val="005D6A91"/>
    <w:rsid w:val="005D70A1"/>
    <w:rsid w:val="005E17FE"/>
    <w:rsid w:val="005F1B1B"/>
    <w:rsid w:val="00604CD0"/>
    <w:rsid w:val="00610654"/>
    <w:rsid w:val="00624A16"/>
    <w:rsid w:val="006318B9"/>
    <w:rsid w:val="0064100B"/>
    <w:rsid w:val="00646DFC"/>
    <w:rsid w:val="00655805"/>
    <w:rsid w:val="00665513"/>
    <w:rsid w:val="0067026C"/>
    <w:rsid w:val="00685362"/>
    <w:rsid w:val="006A376E"/>
    <w:rsid w:val="006B332B"/>
    <w:rsid w:val="006C0A15"/>
    <w:rsid w:val="006D53E9"/>
    <w:rsid w:val="006E2D49"/>
    <w:rsid w:val="007121F9"/>
    <w:rsid w:val="007166F0"/>
    <w:rsid w:val="007172FE"/>
    <w:rsid w:val="00723BC6"/>
    <w:rsid w:val="00725CA7"/>
    <w:rsid w:val="00733500"/>
    <w:rsid w:val="00733FBF"/>
    <w:rsid w:val="00743570"/>
    <w:rsid w:val="007468FC"/>
    <w:rsid w:val="007536F4"/>
    <w:rsid w:val="00763100"/>
    <w:rsid w:val="00775BC6"/>
    <w:rsid w:val="007918A5"/>
    <w:rsid w:val="00791D7C"/>
    <w:rsid w:val="00792CA3"/>
    <w:rsid w:val="007A7B3D"/>
    <w:rsid w:val="007B18A7"/>
    <w:rsid w:val="007B2632"/>
    <w:rsid w:val="007B2FDD"/>
    <w:rsid w:val="007C0CA4"/>
    <w:rsid w:val="007C49AB"/>
    <w:rsid w:val="007D2083"/>
    <w:rsid w:val="007D58FB"/>
    <w:rsid w:val="007D63FC"/>
    <w:rsid w:val="007D7FCB"/>
    <w:rsid w:val="007E1360"/>
    <w:rsid w:val="007E460E"/>
    <w:rsid w:val="007E6938"/>
    <w:rsid w:val="007E7855"/>
    <w:rsid w:val="007E7B7B"/>
    <w:rsid w:val="007F3B57"/>
    <w:rsid w:val="00814493"/>
    <w:rsid w:val="0083468A"/>
    <w:rsid w:val="00842D43"/>
    <w:rsid w:val="00856D1C"/>
    <w:rsid w:val="0086320C"/>
    <w:rsid w:val="00875DB5"/>
    <w:rsid w:val="00876AC0"/>
    <w:rsid w:val="008907E9"/>
    <w:rsid w:val="008A0E29"/>
    <w:rsid w:val="008A17D4"/>
    <w:rsid w:val="008A1EFE"/>
    <w:rsid w:val="008A65F2"/>
    <w:rsid w:val="008A6B6E"/>
    <w:rsid w:val="008D026F"/>
    <w:rsid w:val="008D2AD0"/>
    <w:rsid w:val="008F2B21"/>
    <w:rsid w:val="00903408"/>
    <w:rsid w:val="009105EC"/>
    <w:rsid w:val="009116EA"/>
    <w:rsid w:val="00923533"/>
    <w:rsid w:val="00931427"/>
    <w:rsid w:val="00933671"/>
    <w:rsid w:val="0094205C"/>
    <w:rsid w:val="009539F3"/>
    <w:rsid w:val="00954257"/>
    <w:rsid w:val="00960351"/>
    <w:rsid w:val="00963BF4"/>
    <w:rsid w:val="00964833"/>
    <w:rsid w:val="009725B8"/>
    <w:rsid w:val="00972BF7"/>
    <w:rsid w:val="00972DD5"/>
    <w:rsid w:val="00975DD0"/>
    <w:rsid w:val="00976536"/>
    <w:rsid w:val="00984879"/>
    <w:rsid w:val="00985632"/>
    <w:rsid w:val="00991B63"/>
    <w:rsid w:val="00993A0E"/>
    <w:rsid w:val="009A5A0B"/>
    <w:rsid w:val="009A7A4C"/>
    <w:rsid w:val="009B2428"/>
    <w:rsid w:val="009B5CB7"/>
    <w:rsid w:val="00A14E0A"/>
    <w:rsid w:val="00A21B79"/>
    <w:rsid w:val="00A22831"/>
    <w:rsid w:val="00A31242"/>
    <w:rsid w:val="00A3589C"/>
    <w:rsid w:val="00A475CB"/>
    <w:rsid w:val="00A51186"/>
    <w:rsid w:val="00A52530"/>
    <w:rsid w:val="00A551BF"/>
    <w:rsid w:val="00A70524"/>
    <w:rsid w:val="00A73406"/>
    <w:rsid w:val="00A751A4"/>
    <w:rsid w:val="00A96A17"/>
    <w:rsid w:val="00A96B6A"/>
    <w:rsid w:val="00AA1E02"/>
    <w:rsid w:val="00AB7298"/>
    <w:rsid w:val="00AC4444"/>
    <w:rsid w:val="00AC65DA"/>
    <w:rsid w:val="00AD09E4"/>
    <w:rsid w:val="00AD1919"/>
    <w:rsid w:val="00AD50D4"/>
    <w:rsid w:val="00AE31F5"/>
    <w:rsid w:val="00AE39E2"/>
    <w:rsid w:val="00AF1737"/>
    <w:rsid w:val="00B12F16"/>
    <w:rsid w:val="00B2722A"/>
    <w:rsid w:val="00B32DC9"/>
    <w:rsid w:val="00B364A1"/>
    <w:rsid w:val="00B53522"/>
    <w:rsid w:val="00B53C41"/>
    <w:rsid w:val="00B56D61"/>
    <w:rsid w:val="00B618BA"/>
    <w:rsid w:val="00B61BB1"/>
    <w:rsid w:val="00B660AD"/>
    <w:rsid w:val="00B671EE"/>
    <w:rsid w:val="00B7089B"/>
    <w:rsid w:val="00B81D63"/>
    <w:rsid w:val="00B86AB4"/>
    <w:rsid w:val="00B872BB"/>
    <w:rsid w:val="00BA282D"/>
    <w:rsid w:val="00BA4D57"/>
    <w:rsid w:val="00BB59BA"/>
    <w:rsid w:val="00BB6260"/>
    <w:rsid w:val="00BD28A1"/>
    <w:rsid w:val="00BD4C7D"/>
    <w:rsid w:val="00BE2194"/>
    <w:rsid w:val="00BE399F"/>
    <w:rsid w:val="00BE6898"/>
    <w:rsid w:val="00BF7DB2"/>
    <w:rsid w:val="00C05E74"/>
    <w:rsid w:val="00C0720C"/>
    <w:rsid w:val="00C10C19"/>
    <w:rsid w:val="00C143B8"/>
    <w:rsid w:val="00C17D02"/>
    <w:rsid w:val="00C41B1B"/>
    <w:rsid w:val="00C44CCA"/>
    <w:rsid w:val="00C50036"/>
    <w:rsid w:val="00C53E4C"/>
    <w:rsid w:val="00C5649C"/>
    <w:rsid w:val="00C607B1"/>
    <w:rsid w:val="00C629CA"/>
    <w:rsid w:val="00C75486"/>
    <w:rsid w:val="00C8202C"/>
    <w:rsid w:val="00C82BCA"/>
    <w:rsid w:val="00C84E0C"/>
    <w:rsid w:val="00C869AD"/>
    <w:rsid w:val="00C92A5B"/>
    <w:rsid w:val="00C9519E"/>
    <w:rsid w:val="00CA0C52"/>
    <w:rsid w:val="00CA46EC"/>
    <w:rsid w:val="00CB21F3"/>
    <w:rsid w:val="00CC0242"/>
    <w:rsid w:val="00CC06FB"/>
    <w:rsid w:val="00CE626C"/>
    <w:rsid w:val="00CF7D76"/>
    <w:rsid w:val="00D05B29"/>
    <w:rsid w:val="00D1340D"/>
    <w:rsid w:val="00D1394D"/>
    <w:rsid w:val="00D2018E"/>
    <w:rsid w:val="00D32D79"/>
    <w:rsid w:val="00D41429"/>
    <w:rsid w:val="00D43650"/>
    <w:rsid w:val="00D47740"/>
    <w:rsid w:val="00D51FE9"/>
    <w:rsid w:val="00D63423"/>
    <w:rsid w:val="00D67857"/>
    <w:rsid w:val="00D74D08"/>
    <w:rsid w:val="00D812B9"/>
    <w:rsid w:val="00D903FD"/>
    <w:rsid w:val="00D91669"/>
    <w:rsid w:val="00D94BC5"/>
    <w:rsid w:val="00D96C08"/>
    <w:rsid w:val="00D979D4"/>
    <w:rsid w:val="00DA6DED"/>
    <w:rsid w:val="00DC0254"/>
    <w:rsid w:val="00DC3052"/>
    <w:rsid w:val="00DF46C4"/>
    <w:rsid w:val="00DF4CA3"/>
    <w:rsid w:val="00DF72AD"/>
    <w:rsid w:val="00E013A2"/>
    <w:rsid w:val="00E05E54"/>
    <w:rsid w:val="00E07749"/>
    <w:rsid w:val="00E309F2"/>
    <w:rsid w:val="00E376D2"/>
    <w:rsid w:val="00E4237D"/>
    <w:rsid w:val="00E6087D"/>
    <w:rsid w:val="00E622B1"/>
    <w:rsid w:val="00E8578E"/>
    <w:rsid w:val="00E93165"/>
    <w:rsid w:val="00E95011"/>
    <w:rsid w:val="00EA1BAF"/>
    <w:rsid w:val="00EB4551"/>
    <w:rsid w:val="00EC78E7"/>
    <w:rsid w:val="00ED350B"/>
    <w:rsid w:val="00ED43D2"/>
    <w:rsid w:val="00EE33DD"/>
    <w:rsid w:val="00EE3B8C"/>
    <w:rsid w:val="00EF4542"/>
    <w:rsid w:val="00EF4A38"/>
    <w:rsid w:val="00EF5845"/>
    <w:rsid w:val="00F11B8F"/>
    <w:rsid w:val="00F417CE"/>
    <w:rsid w:val="00F43F5F"/>
    <w:rsid w:val="00F47193"/>
    <w:rsid w:val="00F510B8"/>
    <w:rsid w:val="00F74011"/>
    <w:rsid w:val="00F80CFC"/>
    <w:rsid w:val="00F97C40"/>
    <w:rsid w:val="00FB10CB"/>
    <w:rsid w:val="00FB7001"/>
    <w:rsid w:val="00FD03C3"/>
    <w:rsid w:val="00FD5404"/>
    <w:rsid w:val="00FD7985"/>
    <w:rsid w:val="00FF067E"/>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shapeDefaults>
    <o:shapedefaults v:ext="edit" spidmax="104449"/>
    <o:shapelayout v:ext="edit">
      <o:idmap v:ext="edit" data="1"/>
    </o:shapelayout>
  </w:shapeDefaults>
  <w:decimalSymbol w:val="."/>
  <w:listSeparator w:val=","/>
  <w14:docId w14:val="2014C8B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en-A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qFormat="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AC65DA"/>
  </w:style>
  <w:style w:type="paragraph" w:styleId="Heading1">
    <w:name w:val="heading 1"/>
    <w:basedOn w:val="Normal"/>
    <w:next w:val="Normal"/>
    <w:link w:val="Heading1Char"/>
    <w:uiPriority w:val="9"/>
    <w:qFormat/>
    <w:rsid w:val="002C3AA1"/>
    <w:pPr>
      <w:spacing w:after="240" w:line="240" w:lineRule="auto"/>
      <w:contextualSpacing/>
      <w:outlineLvl w:val="0"/>
    </w:pPr>
    <w:rPr>
      <w:rFonts w:ascii="Calibri" w:eastAsiaTheme="majorEastAsia" w:hAnsi="Calibri" w:cstheme="majorBidi"/>
      <w:b/>
      <w:bCs/>
      <w:color w:val="522761"/>
      <w:sz w:val="36"/>
      <w:szCs w:val="28"/>
    </w:rPr>
  </w:style>
  <w:style w:type="paragraph" w:styleId="Heading2">
    <w:name w:val="heading 2"/>
    <w:basedOn w:val="Normal"/>
    <w:next w:val="Normal"/>
    <w:link w:val="Heading2Char"/>
    <w:uiPriority w:val="9"/>
    <w:unhideWhenUsed/>
    <w:qFormat/>
    <w:rsid w:val="00A31242"/>
    <w:pPr>
      <w:spacing w:before="200" w:after="0"/>
      <w:outlineLvl w:val="1"/>
    </w:pPr>
    <w:rPr>
      <w:rFonts w:ascii="Calibri" w:eastAsiaTheme="majorEastAsia" w:hAnsi="Calibri" w:cstheme="majorBidi"/>
      <w:b/>
      <w:bCs/>
      <w:sz w:val="28"/>
      <w:szCs w:val="26"/>
    </w:rPr>
  </w:style>
  <w:style w:type="paragraph" w:styleId="Heading3">
    <w:name w:val="heading 3"/>
    <w:basedOn w:val="Normal"/>
    <w:next w:val="Normal"/>
    <w:link w:val="Heading3Char"/>
    <w:uiPriority w:val="9"/>
    <w:unhideWhenUsed/>
    <w:qFormat/>
    <w:rsid w:val="001B6467"/>
    <w:pPr>
      <w:spacing w:before="200" w:after="0"/>
      <w:outlineLvl w:val="2"/>
    </w:pPr>
    <w:rPr>
      <w:rFonts w:ascii="Calibri" w:eastAsiaTheme="majorEastAsia" w:hAnsi="Calibri" w:cstheme="majorBidi"/>
      <w:b/>
      <w:bCs/>
    </w:rPr>
  </w:style>
  <w:style w:type="paragraph" w:styleId="Heading4">
    <w:name w:val="heading 4"/>
    <w:basedOn w:val="Normal"/>
    <w:next w:val="Normal"/>
    <w:link w:val="Heading4Char"/>
    <w:uiPriority w:val="9"/>
    <w:unhideWhenUsed/>
    <w:qFormat/>
    <w:rsid w:val="00236917"/>
    <w:pPr>
      <w:spacing w:before="200" w:after="0"/>
      <w:outlineLvl w:val="3"/>
    </w:pPr>
    <w:rPr>
      <w:rFonts w:ascii="Calibri" w:eastAsiaTheme="majorEastAsia" w:hAnsi="Calibri" w:cstheme="majorBidi"/>
      <w:b/>
      <w:bCs/>
      <w:i/>
      <w:iCs/>
    </w:rPr>
  </w:style>
  <w:style w:type="paragraph" w:styleId="Heading5">
    <w:name w:val="heading 5"/>
    <w:basedOn w:val="Normal"/>
    <w:next w:val="Normal"/>
    <w:link w:val="Heading5Char"/>
    <w:uiPriority w:val="9"/>
    <w:unhideWhenUsed/>
    <w:qFormat/>
    <w:rsid w:val="001B6467"/>
    <w:pPr>
      <w:spacing w:before="200" w:after="0"/>
      <w:outlineLvl w:val="4"/>
    </w:pPr>
    <w:rPr>
      <w:rFonts w:ascii="Calibri" w:eastAsiaTheme="majorEastAsia" w:hAnsi="Calibri" w:cstheme="majorBidi"/>
      <w:b/>
      <w:bCs/>
      <w:color w:val="757575"/>
    </w:rPr>
  </w:style>
  <w:style w:type="paragraph" w:styleId="Heading6">
    <w:name w:val="heading 6"/>
    <w:basedOn w:val="Normal"/>
    <w:next w:val="Normal"/>
    <w:link w:val="Heading6Char"/>
    <w:uiPriority w:val="9"/>
    <w:unhideWhenUsed/>
    <w:qFormat/>
    <w:rsid w:val="00933671"/>
    <w:pPr>
      <w:spacing w:before="200" w:after="0"/>
      <w:outlineLvl w:val="5"/>
    </w:pPr>
    <w:rPr>
      <w:rFonts w:ascii="Calibri" w:eastAsiaTheme="majorEastAsia" w:hAnsi="Calibri" w:cstheme="majorBidi"/>
      <w:b/>
      <w:bCs/>
      <w:i/>
      <w:iCs/>
      <w:color w:val="757575"/>
    </w:rPr>
  </w:style>
  <w:style w:type="paragraph" w:styleId="Heading7">
    <w:name w:val="heading 7"/>
    <w:basedOn w:val="Normal"/>
    <w:next w:val="Normal"/>
    <w:link w:val="Heading7Char"/>
    <w:uiPriority w:val="9"/>
    <w:semiHidden/>
    <w:unhideWhenUsed/>
    <w:qFormat/>
    <w:rsid w:val="00AC65DA"/>
    <w:pPr>
      <w:spacing w:after="0"/>
      <w:outlineLvl w:val="6"/>
    </w:pPr>
    <w:rPr>
      <w:rFonts w:asciiTheme="majorHAnsi" w:eastAsiaTheme="majorEastAsia" w:hAnsiTheme="majorHAnsi" w:cstheme="majorBidi"/>
      <w:i/>
      <w:iCs/>
    </w:rPr>
  </w:style>
  <w:style w:type="paragraph" w:styleId="Heading8">
    <w:name w:val="heading 8"/>
    <w:basedOn w:val="Normal"/>
    <w:next w:val="Normal"/>
    <w:link w:val="Heading8Char"/>
    <w:uiPriority w:val="9"/>
    <w:semiHidden/>
    <w:unhideWhenUsed/>
    <w:qFormat/>
    <w:rsid w:val="00AC65DA"/>
    <w:pPr>
      <w:spacing w:after="0"/>
      <w:outlineLvl w:val="7"/>
    </w:pPr>
    <w:rPr>
      <w:rFonts w:asciiTheme="majorHAnsi" w:eastAsiaTheme="majorEastAsia" w:hAnsiTheme="majorHAnsi" w:cstheme="majorBidi"/>
      <w:sz w:val="20"/>
      <w:szCs w:val="20"/>
    </w:rPr>
  </w:style>
  <w:style w:type="paragraph" w:styleId="Heading9">
    <w:name w:val="heading 9"/>
    <w:basedOn w:val="Normal"/>
    <w:next w:val="Normal"/>
    <w:link w:val="Heading9Char"/>
    <w:uiPriority w:val="9"/>
    <w:semiHidden/>
    <w:unhideWhenUsed/>
    <w:qFormat/>
    <w:rsid w:val="00AC65DA"/>
    <w:pPr>
      <w:spacing w:after="0"/>
      <w:outlineLvl w:val="8"/>
    </w:pPr>
    <w:rPr>
      <w:rFonts w:asciiTheme="majorHAnsi" w:eastAsiaTheme="majorEastAsia" w:hAnsiTheme="majorHAnsi" w:cstheme="majorBidi"/>
      <w:i/>
      <w:iCs/>
      <w:spacing w:val="5"/>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uiPriority w:val="22"/>
    <w:qFormat/>
    <w:rsid w:val="00AC65DA"/>
    <w:rPr>
      <w:b/>
      <w:bCs/>
    </w:rPr>
  </w:style>
  <w:style w:type="character" w:styleId="Emphasis">
    <w:name w:val="Emphasis"/>
    <w:uiPriority w:val="20"/>
    <w:qFormat/>
    <w:rsid w:val="00AC65DA"/>
    <w:rPr>
      <w:b/>
      <w:bCs/>
      <w:i/>
      <w:iCs/>
      <w:spacing w:val="10"/>
      <w:bdr w:val="none" w:sz="0" w:space="0" w:color="auto"/>
      <w:shd w:val="clear" w:color="auto" w:fill="auto"/>
    </w:rPr>
  </w:style>
  <w:style w:type="character" w:styleId="BookTitle">
    <w:name w:val="Book Title"/>
    <w:uiPriority w:val="33"/>
    <w:qFormat/>
    <w:rsid w:val="009116EA"/>
    <w:rPr>
      <w:i/>
      <w:iCs/>
      <w:caps w:val="0"/>
      <w:smallCaps w:val="0"/>
      <w:spacing w:val="5"/>
    </w:rPr>
  </w:style>
  <w:style w:type="character" w:styleId="Hyperlink">
    <w:name w:val="Hyperlink"/>
    <w:basedOn w:val="DefaultParagraphFont"/>
    <w:uiPriority w:val="99"/>
    <w:unhideWhenUsed/>
    <w:rsid w:val="00E376D2"/>
    <w:rPr>
      <w:color w:val="3C54A5" w:themeColor="text2"/>
      <w:u w:val="single"/>
    </w:rPr>
  </w:style>
  <w:style w:type="paragraph" w:styleId="Quote">
    <w:name w:val="Quote"/>
    <w:basedOn w:val="Normal"/>
    <w:next w:val="Normal"/>
    <w:link w:val="QuoteChar"/>
    <w:uiPriority w:val="29"/>
    <w:qFormat/>
    <w:rsid w:val="00C05E74"/>
    <w:pPr>
      <w:spacing w:after="120"/>
      <w:ind w:left="369" w:right="369"/>
    </w:pPr>
    <w:rPr>
      <w:i/>
      <w:iCs/>
    </w:rPr>
  </w:style>
  <w:style w:type="character" w:customStyle="1" w:styleId="QuoteChar">
    <w:name w:val="Quote Char"/>
    <w:basedOn w:val="DefaultParagraphFont"/>
    <w:link w:val="Quote"/>
    <w:uiPriority w:val="29"/>
    <w:rsid w:val="00C05E74"/>
    <w:rPr>
      <w:i/>
      <w:iCs/>
    </w:rPr>
  </w:style>
  <w:style w:type="character" w:customStyle="1" w:styleId="Heading1Char">
    <w:name w:val="Heading 1 Char"/>
    <w:basedOn w:val="DefaultParagraphFont"/>
    <w:link w:val="Heading1"/>
    <w:uiPriority w:val="9"/>
    <w:rsid w:val="002C3AA1"/>
    <w:rPr>
      <w:rFonts w:ascii="Calibri" w:eastAsiaTheme="majorEastAsia" w:hAnsi="Calibri" w:cstheme="majorBidi"/>
      <w:b/>
      <w:bCs/>
      <w:color w:val="522761"/>
      <w:sz w:val="36"/>
      <w:szCs w:val="28"/>
    </w:rPr>
  </w:style>
  <w:style w:type="character" w:customStyle="1" w:styleId="Heading2Char">
    <w:name w:val="Heading 2 Char"/>
    <w:basedOn w:val="DefaultParagraphFont"/>
    <w:link w:val="Heading2"/>
    <w:uiPriority w:val="9"/>
    <w:rsid w:val="00A31242"/>
    <w:rPr>
      <w:rFonts w:ascii="Calibri" w:eastAsiaTheme="majorEastAsia" w:hAnsi="Calibri" w:cstheme="majorBidi"/>
      <w:b/>
      <w:bCs/>
      <w:sz w:val="28"/>
      <w:szCs w:val="26"/>
    </w:rPr>
  </w:style>
  <w:style w:type="character" w:customStyle="1" w:styleId="Heading3Char">
    <w:name w:val="Heading 3 Char"/>
    <w:basedOn w:val="DefaultParagraphFont"/>
    <w:link w:val="Heading3"/>
    <w:uiPriority w:val="9"/>
    <w:rsid w:val="001B6467"/>
    <w:rPr>
      <w:rFonts w:ascii="Calibri" w:eastAsiaTheme="majorEastAsia" w:hAnsi="Calibri" w:cstheme="majorBidi"/>
      <w:b/>
      <w:bCs/>
    </w:rPr>
  </w:style>
  <w:style w:type="character" w:customStyle="1" w:styleId="Heading4Char">
    <w:name w:val="Heading 4 Char"/>
    <w:basedOn w:val="DefaultParagraphFont"/>
    <w:link w:val="Heading4"/>
    <w:uiPriority w:val="9"/>
    <w:rsid w:val="00236917"/>
    <w:rPr>
      <w:rFonts w:ascii="Calibri" w:eastAsiaTheme="majorEastAsia" w:hAnsi="Calibri" w:cstheme="majorBidi"/>
      <w:b/>
      <w:bCs/>
      <w:i/>
      <w:iCs/>
    </w:rPr>
  </w:style>
  <w:style w:type="character" w:customStyle="1" w:styleId="Heading5Char">
    <w:name w:val="Heading 5 Char"/>
    <w:basedOn w:val="DefaultParagraphFont"/>
    <w:link w:val="Heading5"/>
    <w:uiPriority w:val="9"/>
    <w:rsid w:val="001B6467"/>
    <w:rPr>
      <w:rFonts w:ascii="Calibri" w:eastAsiaTheme="majorEastAsia" w:hAnsi="Calibri" w:cstheme="majorBidi"/>
      <w:b/>
      <w:bCs/>
      <w:color w:val="757575"/>
    </w:rPr>
  </w:style>
  <w:style w:type="character" w:customStyle="1" w:styleId="Heading6Char">
    <w:name w:val="Heading 6 Char"/>
    <w:basedOn w:val="DefaultParagraphFont"/>
    <w:link w:val="Heading6"/>
    <w:uiPriority w:val="9"/>
    <w:rsid w:val="00933671"/>
    <w:rPr>
      <w:rFonts w:ascii="Calibri" w:eastAsiaTheme="majorEastAsia" w:hAnsi="Calibri" w:cstheme="majorBidi"/>
      <w:b/>
      <w:bCs/>
      <w:i/>
      <w:iCs/>
      <w:color w:val="757575"/>
    </w:rPr>
  </w:style>
  <w:style w:type="character" w:customStyle="1" w:styleId="Heading7Char">
    <w:name w:val="Heading 7 Char"/>
    <w:basedOn w:val="DefaultParagraphFont"/>
    <w:link w:val="Heading7"/>
    <w:uiPriority w:val="9"/>
    <w:semiHidden/>
    <w:rsid w:val="00AC65DA"/>
    <w:rPr>
      <w:rFonts w:asciiTheme="majorHAnsi" w:eastAsiaTheme="majorEastAsia" w:hAnsiTheme="majorHAnsi" w:cstheme="majorBidi"/>
      <w:i/>
      <w:iCs/>
    </w:rPr>
  </w:style>
  <w:style w:type="character" w:customStyle="1" w:styleId="Heading8Char">
    <w:name w:val="Heading 8 Char"/>
    <w:basedOn w:val="DefaultParagraphFont"/>
    <w:link w:val="Heading8"/>
    <w:uiPriority w:val="9"/>
    <w:semiHidden/>
    <w:rsid w:val="00AC65DA"/>
    <w:rPr>
      <w:rFonts w:asciiTheme="majorHAnsi" w:eastAsiaTheme="majorEastAsia" w:hAnsiTheme="majorHAnsi" w:cstheme="majorBidi"/>
      <w:sz w:val="20"/>
      <w:szCs w:val="20"/>
    </w:rPr>
  </w:style>
  <w:style w:type="character" w:customStyle="1" w:styleId="Heading9Char">
    <w:name w:val="Heading 9 Char"/>
    <w:basedOn w:val="DefaultParagraphFont"/>
    <w:link w:val="Heading9"/>
    <w:uiPriority w:val="9"/>
    <w:semiHidden/>
    <w:rsid w:val="00AC65DA"/>
    <w:rPr>
      <w:rFonts w:asciiTheme="majorHAnsi" w:eastAsiaTheme="majorEastAsia" w:hAnsiTheme="majorHAnsi" w:cstheme="majorBidi"/>
      <w:i/>
      <w:iCs/>
      <w:spacing w:val="5"/>
      <w:sz w:val="20"/>
      <w:szCs w:val="20"/>
    </w:rPr>
  </w:style>
  <w:style w:type="paragraph" w:styleId="Title">
    <w:name w:val="Title"/>
    <w:basedOn w:val="Normal"/>
    <w:next w:val="Normal"/>
    <w:link w:val="TitleChar"/>
    <w:uiPriority w:val="10"/>
    <w:qFormat/>
    <w:rsid w:val="00BA4D57"/>
    <w:pPr>
      <w:spacing w:after="120" w:line="240" w:lineRule="auto"/>
      <w:contextualSpacing/>
    </w:pPr>
    <w:rPr>
      <w:rFonts w:ascii="Calibri" w:eastAsiaTheme="majorEastAsia" w:hAnsi="Calibri" w:cstheme="majorBidi"/>
      <w:b/>
      <w:color w:val="522761"/>
      <w:spacing w:val="5"/>
      <w:sz w:val="72"/>
      <w:szCs w:val="52"/>
    </w:rPr>
  </w:style>
  <w:style w:type="character" w:customStyle="1" w:styleId="TitleChar">
    <w:name w:val="Title Char"/>
    <w:basedOn w:val="DefaultParagraphFont"/>
    <w:link w:val="Title"/>
    <w:uiPriority w:val="10"/>
    <w:rsid w:val="00BA4D57"/>
    <w:rPr>
      <w:rFonts w:ascii="Calibri" w:eastAsiaTheme="majorEastAsia" w:hAnsi="Calibri" w:cstheme="majorBidi"/>
      <w:b/>
      <w:color w:val="522761"/>
      <w:spacing w:val="5"/>
      <w:sz w:val="72"/>
      <w:szCs w:val="52"/>
    </w:rPr>
  </w:style>
  <w:style w:type="paragraph" w:styleId="Subtitle">
    <w:name w:val="Subtitle"/>
    <w:basedOn w:val="Normal"/>
    <w:next w:val="Normal"/>
    <w:link w:val="SubtitleChar"/>
    <w:uiPriority w:val="11"/>
    <w:qFormat/>
    <w:rsid w:val="00F80CFC"/>
    <w:pPr>
      <w:spacing w:after="240"/>
    </w:pPr>
    <w:rPr>
      <w:rFonts w:ascii="Calibri" w:eastAsiaTheme="majorEastAsia" w:hAnsi="Calibri" w:cstheme="majorBidi"/>
      <w:b/>
      <w:iCs/>
      <w:color w:val="522761"/>
      <w:spacing w:val="13"/>
      <w:sz w:val="40"/>
      <w:szCs w:val="24"/>
    </w:rPr>
  </w:style>
  <w:style w:type="character" w:customStyle="1" w:styleId="SubtitleChar">
    <w:name w:val="Subtitle Char"/>
    <w:basedOn w:val="DefaultParagraphFont"/>
    <w:link w:val="Subtitle"/>
    <w:uiPriority w:val="11"/>
    <w:rsid w:val="00F80CFC"/>
    <w:rPr>
      <w:rFonts w:ascii="Calibri" w:eastAsiaTheme="majorEastAsia" w:hAnsi="Calibri" w:cstheme="majorBidi"/>
      <w:b/>
      <w:iCs/>
      <w:color w:val="522761"/>
      <w:spacing w:val="13"/>
      <w:sz w:val="40"/>
      <w:szCs w:val="24"/>
    </w:rPr>
  </w:style>
  <w:style w:type="paragraph" w:styleId="NoSpacing">
    <w:name w:val="No Spacing"/>
    <w:basedOn w:val="Normal"/>
    <w:link w:val="NoSpacingChar"/>
    <w:uiPriority w:val="1"/>
    <w:qFormat/>
    <w:rsid w:val="00AC65DA"/>
    <w:pPr>
      <w:spacing w:after="0" w:line="240" w:lineRule="auto"/>
    </w:pPr>
  </w:style>
  <w:style w:type="paragraph" w:styleId="ListParagraph">
    <w:name w:val="List Paragraph"/>
    <w:basedOn w:val="Normal"/>
    <w:uiPriority w:val="34"/>
    <w:qFormat/>
    <w:rsid w:val="00AC65DA"/>
    <w:pPr>
      <w:ind w:left="720"/>
      <w:contextualSpacing/>
    </w:pPr>
  </w:style>
  <w:style w:type="paragraph" w:styleId="IntenseQuote">
    <w:name w:val="Intense Quote"/>
    <w:basedOn w:val="Normal"/>
    <w:next w:val="Normal"/>
    <w:link w:val="IntenseQuoteChar"/>
    <w:uiPriority w:val="30"/>
    <w:semiHidden/>
    <w:qFormat/>
    <w:rsid w:val="00AC65DA"/>
    <w:pPr>
      <w:pBdr>
        <w:bottom w:val="single" w:sz="4" w:space="1" w:color="auto"/>
      </w:pBdr>
      <w:spacing w:before="200" w:after="280"/>
      <w:ind w:left="1008" w:right="1152"/>
      <w:jc w:val="both"/>
    </w:pPr>
    <w:rPr>
      <w:b/>
      <w:bCs/>
      <w:i/>
      <w:iCs/>
    </w:rPr>
  </w:style>
  <w:style w:type="character" w:customStyle="1" w:styleId="IntenseQuoteChar">
    <w:name w:val="Intense Quote Char"/>
    <w:basedOn w:val="DefaultParagraphFont"/>
    <w:link w:val="IntenseQuote"/>
    <w:uiPriority w:val="30"/>
    <w:rsid w:val="00AC65DA"/>
    <w:rPr>
      <w:b/>
      <w:bCs/>
      <w:i/>
      <w:iCs/>
    </w:rPr>
  </w:style>
  <w:style w:type="character" w:styleId="SubtleEmphasis">
    <w:name w:val="Subtle Emphasis"/>
    <w:uiPriority w:val="19"/>
    <w:semiHidden/>
    <w:qFormat/>
    <w:rsid w:val="00AC65DA"/>
    <w:rPr>
      <w:i/>
      <w:iCs/>
    </w:rPr>
  </w:style>
  <w:style w:type="character" w:styleId="IntenseEmphasis">
    <w:name w:val="Intense Emphasis"/>
    <w:uiPriority w:val="21"/>
    <w:qFormat/>
    <w:rsid w:val="00AC65DA"/>
    <w:rPr>
      <w:b/>
      <w:bCs/>
    </w:rPr>
  </w:style>
  <w:style w:type="character" w:styleId="SubtleReference">
    <w:name w:val="Subtle Reference"/>
    <w:uiPriority w:val="31"/>
    <w:semiHidden/>
    <w:qFormat/>
    <w:rsid w:val="00AC65DA"/>
    <w:rPr>
      <w:smallCaps/>
    </w:rPr>
  </w:style>
  <w:style w:type="character" w:styleId="IntenseReference">
    <w:name w:val="Intense Reference"/>
    <w:uiPriority w:val="32"/>
    <w:semiHidden/>
    <w:qFormat/>
    <w:rsid w:val="00AC65DA"/>
    <w:rPr>
      <w:smallCaps/>
      <w:spacing w:val="5"/>
      <w:u w:val="single"/>
    </w:rPr>
  </w:style>
  <w:style w:type="paragraph" w:styleId="TOCHeading">
    <w:name w:val="TOC Heading"/>
    <w:basedOn w:val="Heading1"/>
    <w:next w:val="Normal"/>
    <w:uiPriority w:val="39"/>
    <w:semiHidden/>
    <w:unhideWhenUsed/>
    <w:qFormat/>
    <w:rsid w:val="00AC65DA"/>
    <w:pPr>
      <w:outlineLvl w:val="9"/>
    </w:pPr>
    <w:rPr>
      <w:lang w:bidi="en-US"/>
    </w:rPr>
  </w:style>
  <w:style w:type="paragraph" w:styleId="ListNumber">
    <w:name w:val="List Number"/>
    <w:basedOn w:val="Normal"/>
    <w:uiPriority w:val="99"/>
    <w:unhideWhenUsed/>
    <w:qFormat/>
    <w:rsid w:val="00FB10CB"/>
    <w:pPr>
      <w:numPr>
        <w:numId w:val="11"/>
      </w:numPr>
      <w:spacing w:after="120"/>
      <w:ind w:left="369" w:hanging="369"/>
      <w:contextualSpacing/>
    </w:pPr>
  </w:style>
  <w:style w:type="paragraph" w:styleId="ListNumber2">
    <w:name w:val="List Number 2"/>
    <w:basedOn w:val="Normal"/>
    <w:uiPriority w:val="99"/>
    <w:unhideWhenUsed/>
    <w:rsid w:val="00985632"/>
    <w:pPr>
      <w:numPr>
        <w:ilvl w:val="1"/>
        <w:numId w:val="11"/>
      </w:numPr>
      <w:tabs>
        <w:tab w:val="left" w:pos="1134"/>
      </w:tabs>
      <w:spacing w:after="120"/>
      <w:ind w:left="936" w:hanging="567"/>
      <w:contextualSpacing/>
    </w:pPr>
  </w:style>
  <w:style w:type="paragraph" w:styleId="ListNumber3">
    <w:name w:val="List Number 3"/>
    <w:basedOn w:val="Normal"/>
    <w:uiPriority w:val="99"/>
    <w:unhideWhenUsed/>
    <w:rsid w:val="00985632"/>
    <w:pPr>
      <w:numPr>
        <w:ilvl w:val="2"/>
        <w:numId w:val="11"/>
      </w:numPr>
      <w:spacing w:after="120"/>
      <w:ind w:left="1701" w:hanging="765"/>
      <w:contextualSpacing/>
    </w:pPr>
  </w:style>
  <w:style w:type="paragraph" w:styleId="ListNumber4">
    <w:name w:val="List Number 4"/>
    <w:basedOn w:val="Normal"/>
    <w:uiPriority w:val="99"/>
    <w:unhideWhenUsed/>
    <w:rsid w:val="00406E5A"/>
    <w:pPr>
      <w:numPr>
        <w:ilvl w:val="3"/>
        <w:numId w:val="11"/>
      </w:numPr>
      <w:spacing w:after="120"/>
      <w:ind w:left="2637" w:hanging="936"/>
      <w:contextualSpacing/>
    </w:pPr>
  </w:style>
  <w:style w:type="paragraph" w:styleId="ListBullet">
    <w:name w:val="List Bullet"/>
    <w:basedOn w:val="Normal"/>
    <w:uiPriority w:val="99"/>
    <w:unhideWhenUsed/>
    <w:qFormat/>
    <w:rsid w:val="00CA46EC"/>
    <w:pPr>
      <w:numPr>
        <w:numId w:val="16"/>
      </w:numPr>
      <w:spacing w:after="120"/>
      <w:ind w:left="369" w:hanging="369"/>
      <w:contextualSpacing/>
    </w:pPr>
  </w:style>
  <w:style w:type="paragraph" w:styleId="ListBullet2">
    <w:name w:val="List Bullet 2"/>
    <w:basedOn w:val="Normal"/>
    <w:uiPriority w:val="99"/>
    <w:unhideWhenUsed/>
    <w:rsid w:val="00CA46EC"/>
    <w:pPr>
      <w:numPr>
        <w:ilvl w:val="1"/>
        <w:numId w:val="16"/>
      </w:numPr>
      <w:spacing w:after="120"/>
      <w:ind w:left="766" w:hanging="369"/>
      <w:contextualSpacing/>
    </w:pPr>
  </w:style>
  <w:style w:type="paragraph" w:styleId="ListBullet3">
    <w:name w:val="List Bullet 3"/>
    <w:basedOn w:val="Normal"/>
    <w:uiPriority w:val="99"/>
    <w:unhideWhenUsed/>
    <w:rsid w:val="00CA46EC"/>
    <w:pPr>
      <w:numPr>
        <w:ilvl w:val="2"/>
        <w:numId w:val="16"/>
      </w:numPr>
      <w:spacing w:after="120"/>
      <w:ind w:left="1163" w:hanging="369"/>
      <w:contextualSpacing/>
    </w:pPr>
  </w:style>
  <w:style w:type="paragraph" w:styleId="ListBullet4">
    <w:name w:val="List Bullet 4"/>
    <w:basedOn w:val="Normal"/>
    <w:uiPriority w:val="99"/>
    <w:unhideWhenUsed/>
    <w:rsid w:val="00CA46EC"/>
    <w:pPr>
      <w:numPr>
        <w:ilvl w:val="3"/>
        <w:numId w:val="16"/>
      </w:numPr>
      <w:spacing w:after="120"/>
      <w:ind w:left="1503" w:hanging="369"/>
      <w:contextualSpacing/>
    </w:pPr>
  </w:style>
  <w:style w:type="table" w:styleId="TableGrid">
    <w:name w:val="Table Grid"/>
    <w:basedOn w:val="TableNormal"/>
    <w:uiPriority w:val="59"/>
    <w:semiHidden/>
    <w:rsid w:val="00792CA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DEEWRTable">
    <w:name w:val="DEEWR Table"/>
    <w:basedOn w:val="TableNormal"/>
    <w:uiPriority w:val="99"/>
    <w:rsid w:val="003E273C"/>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customStyle="1" w:styleId="Default">
    <w:name w:val="Default"/>
    <w:rsid w:val="00130923"/>
    <w:pPr>
      <w:autoSpaceDE w:val="0"/>
      <w:autoSpaceDN w:val="0"/>
      <w:adjustRightInd w:val="0"/>
      <w:spacing w:after="0" w:line="240" w:lineRule="auto"/>
    </w:pPr>
    <w:rPr>
      <w:rFonts w:ascii="Calibri" w:eastAsia="Times New Roman" w:hAnsi="Calibri" w:cs="Calibri"/>
      <w:color w:val="000000"/>
      <w:sz w:val="24"/>
      <w:szCs w:val="24"/>
      <w:lang w:eastAsia="en-AU"/>
    </w:rPr>
  </w:style>
  <w:style w:type="paragraph" w:styleId="BodyText">
    <w:name w:val="Body Text"/>
    <w:basedOn w:val="Normal"/>
    <w:link w:val="BodyTextChar"/>
    <w:rsid w:val="00130923"/>
    <w:pPr>
      <w:spacing w:after="120" w:line="240" w:lineRule="auto"/>
    </w:pPr>
    <w:rPr>
      <w:rFonts w:eastAsia="Times New Roman" w:cs="Times New Roman"/>
      <w:szCs w:val="24"/>
      <w:lang w:eastAsia="en-AU"/>
    </w:rPr>
  </w:style>
  <w:style w:type="character" w:customStyle="1" w:styleId="BodyTextChar">
    <w:name w:val="Body Text Char"/>
    <w:basedOn w:val="DefaultParagraphFont"/>
    <w:link w:val="BodyText"/>
    <w:rsid w:val="00130923"/>
    <w:rPr>
      <w:rFonts w:eastAsia="Times New Roman" w:cs="Times New Roman"/>
      <w:szCs w:val="24"/>
      <w:lang w:eastAsia="en-AU"/>
    </w:rPr>
  </w:style>
  <w:style w:type="paragraph" w:customStyle="1" w:styleId="numberedpara">
    <w:name w:val="numbered para"/>
    <w:basedOn w:val="Normal"/>
    <w:rsid w:val="00130923"/>
    <w:pPr>
      <w:numPr>
        <w:numId w:val="18"/>
      </w:numPr>
      <w:spacing w:after="0" w:line="240" w:lineRule="auto"/>
    </w:pPr>
    <w:rPr>
      <w:rFonts w:ascii="Calibri" w:eastAsiaTheme="minorHAnsi" w:hAnsi="Calibri" w:cs="Calibri"/>
      <w:lang w:eastAsia="en-AU"/>
    </w:rPr>
  </w:style>
  <w:style w:type="paragraph" w:styleId="BalloonText">
    <w:name w:val="Balloon Text"/>
    <w:basedOn w:val="Normal"/>
    <w:link w:val="BalloonTextChar"/>
    <w:uiPriority w:val="99"/>
    <w:semiHidden/>
    <w:unhideWhenUsed/>
    <w:rsid w:val="00130923"/>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30923"/>
    <w:rPr>
      <w:rFonts w:ascii="Tahoma" w:hAnsi="Tahoma" w:cs="Tahoma"/>
      <w:sz w:val="16"/>
      <w:szCs w:val="16"/>
    </w:rPr>
  </w:style>
  <w:style w:type="character" w:customStyle="1" w:styleId="NoSpacingChar">
    <w:name w:val="No Spacing Char"/>
    <w:basedOn w:val="DefaultParagraphFont"/>
    <w:link w:val="NoSpacing"/>
    <w:uiPriority w:val="1"/>
    <w:rsid w:val="00130923"/>
  </w:style>
  <w:style w:type="paragraph" w:styleId="Header">
    <w:name w:val="header"/>
    <w:basedOn w:val="Normal"/>
    <w:link w:val="HeaderChar"/>
    <w:uiPriority w:val="99"/>
    <w:unhideWhenUsed/>
    <w:rsid w:val="00130923"/>
    <w:pPr>
      <w:tabs>
        <w:tab w:val="center" w:pos="4513"/>
        <w:tab w:val="right" w:pos="9026"/>
      </w:tabs>
      <w:spacing w:after="0" w:line="240" w:lineRule="auto"/>
    </w:pPr>
  </w:style>
  <w:style w:type="character" w:customStyle="1" w:styleId="HeaderChar">
    <w:name w:val="Header Char"/>
    <w:basedOn w:val="DefaultParagraphFont"/>
    <w:link w:val="Header"/>
    <w:uiPriority w:val="99"/>
    <w:rsid w:val="00130923"/>
  </w:style>
  <w:style w:type="paragraph" w:styleId="Footer">
    <w:name w:val="footer"/>
    <w:basedOn w:val="Normal"/>
    <w:link w:val="FooterChar"/>
    <w:uiPriority w:val="99"/>
    <w:unhideWhenUsed/>
    <w:rsid w:val="00130923"/>
    <w:pPr>
      <w:tabs>
        <w:tab w:val="center" w:pos="4513"/>
        <w:tab w:val="right" w:pos="9026"/>
      </w:tabs>
      <w:spacing w:after="0" w:line="240" w:lineRule="auto"/>
    </w:pPr>
  </w:style>
  <w:style w:type="character" w:customStyle="1" w:styleId="FooterChar">
    <w:name w:val="Footer Char"/>
    <w:basedOn w:val="DefaultParagraphFont"/>
    <w:link w:val="Footer"/>
    <w:uiPriority w:val="99"/>
    <w:rsid w:val="00130923"/>
  </w:style>
  <w:style w:type="paragraph" w:styleId="TOC1">
    <w:name w:val="toc 1"/>
    <w:basedOn w:val="Normal"/>
    <w:next w:val="Normal"/>
    <w:autoRedefine/>
    <w:uiPriority w:val="39"/>
    <w:unhideWhenUsed/>
    <w:rsid w:val="00EF4A38"/>
    <w:pPr>
      <w:spacing w:after="100"/>
    </w:pPr>
  </w:style>
  <w:style w:type="paragraph" w:styleId="TOC2">
    <w:name w:val="toc 2"/>
    <w:basedOn w:val="Normal"/>
    <w:next w:val="Normal"/>
    <w:autoRedefine/>
    <w:uiPriority w:val="39"/>
    <w:unhideWhenUsed/>
    <w:rsid w:val="00EF4A38"/>
    <w:pPr>
      <w:spacing w:after="100"/>
      <w:ind w:left="220"/>
    </w:pPr>
  </w:style>
  <w:style w:type="paragraph" w:styleId="TOC3">
    <w:name w:val="toc 3"/>
    <w:basedOn w:val="Normal"/>
    <w:next w:val="Normal"/>
    <w:autoRedefine/>
    <w:uiPriority w:val="39"/>
    <w:unhideWhenUsed/>
    <w:rsid w:val="00EF4A38"/>
    <w:pPr>
      <w:spacing w:after="100"/>
      <w:ind w:left="440"/>
    </w:pPr>
  </w:style>
  <w:style w:type="paragraph" w:styleId="Caption">
    <w:name w:val="caption"/>
    <w:basedOn w:val="Heading4"/>
    <w:next w:val="Normal"/>
    <w:uiPriority w:val="35"/>
    <w:unhideWhenUsed/>
    <w:rsid w:val="00B2722A"/>
    <w:rPr>
      <w:i w:val="0"/>
    </w:rPr>
  </w:style>
  <w:style w:type="paragraph" w:customStyle="1" w:styleId="Source">
    <w:name w:val="Source"/>
    <w:basedOn w:val="Normal"/>
    <w:qFormat/>
    <w:rsid w:val="00B2722A"/>
    <w:rPr>
      <w:rFonts w:cstheme="minorHAnsi"/>
      <w:b/>
      <w:sz w:val="20"/>
      <w:szCs w:val="20"/>
    </w:rPr>
  </w:style>
  <w:style w:type="character" w:styleId="PlaceholderText">
    <w:name w:val="Placeholder Text"/>
    <w:basedOn w:val="DefaultParagraphFont"/>
    <w:uiPriority w:val="99"/>
    <w:semiHidden/>
    <w:rsid w:val="00BA282D"/>
    <w:rPr>
      <w:color w:val="808080"/>
    </w:rPr>
  </w:style>
  <w:style w:type="paragraph" w:customStyle="1" w:styleId="DeleteText">
    <w:name w:val="Delete Text"/>
    <w:basedOn w:val="Normal"/>
    <w:qFormat/>
    <w:rsid w:val="00E376D2"/>
    <w:rPr>
      <w:color w:val="522761" w:themeColor="accent4"/>
    </w:rPr>
  </w:style>
  <w:style w:type="table" w:styleId="ColorfulGrid-Accent1">
    <w:name w:val="Colorful Grid Accent 1"/>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1" w:themeFillTint="33"/>
    </w:tcPr>
    <w:tblStylePr w:type="firstRow">
      <w:rPr>
        <w:b/>
        <w:bCs/>
      </w:rPr>
      <w:tblPr/>
      <w:tcPr>
        <w:shd w:val="clear" w:color="auto" w:fill="ABB7E0" w:themeFill="accent1" w:themeFillTint="66"/>
      </w:tcPr>
    </w:tblStylePr>
    <w:tblStylePr w:type="lastRow">
      <w:rPr>
        <w:b/>
        <w:bCs/>
        <w:color w:val="000000" w:themeColor="text1"/>
      </w:rPr>
      <w:tblPr/>
      <w:tcPr>
        <w:shd w:val="clear" w:color="auto" w:fill="ABB7E0" w:themeFill="accent1" w:themeFillTint="66"/>
      </w:tcPr>
    </w:tblStylePr>
    <w:tblStylePr w:type="firstCol">
      <w:rPr>
        <w:color w:val="FFFFFF" w:themeColor="background1"/>
      </w:rPr>
      <w:tblPr/>
      <w:tcPr>
        <w:shd w:val="clear" w:color="auto" w:fill="2D3E7B" w:themeFill="accent1" w:themeFillShade="BF"/>
      </w:tcPr>
    </w:tblStylePr>
    <w:tblStylePr w:type="lastCol">
      <w:rPr>
        <w:color w:val="FFFFFF" w:themeColor="background1"/>
      </w:rPr>
      <w:tblPr/>
      <w:tcPr>
        <w:shd w:val="clear" w:color="auto" w:fill="2D3E7B" w:themeFill="accent1" w:themeFillShade="BF"/>
      </w:tc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ColorfulGrid-Accent2">
    <w:name w:val="Colorful Grid Accent 2"/>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2" w:themeFillTint="33"/>
    </w:tcPr>
    <w:tblStylePr w:type="firstRow">
      <w:rPr>
        <w:b/>
        <w:bCs/>
      </w:rPr>
      <w:tblPr/>
      <w:tcPr>
        <w:shd w:val="clear" w:color="auto" w:fill="B8BBC2" w:themeFill="accent2" w:themeFillTint="66"/>
      </w:tcPr>
    </w:tblStylePr>
    <w:tblStylePr w:type="lastRow">
      <w:rPr>
        <w:b/>
        <w:bCs/>
        <w:color w:val="000000" w:themeColor="text1"/>
      </w:rPr>
      <w:tblPr/>
      <w:tcPr>
        <w:shd w:val="clear" w:color="auto" w:fill="B8BBC2" w:themeFill="accent2" w:themeFillTint="66"/>
      </w:tcPr>
    </w:tblStylePr>
    <w:tblStylePr w:type="firstCol">
      <w:rPr>
        <w:color w:val="FFFFFF" w:themeColor="background1"/>
      </w:rPr>
      <w:tblPr/>
      <w:tcPr>
        <w:shd w:val="clear" w:color="auto" w:fill="3F4148" w:themeFill="accent2" w:themeFillShade="BF"/>
      </w:tcPr>
    </w:tblStylePr>
    <w:tblStylePr w:type="lastCol">
      <w:rPr>
        <w:color w:val="FFFFFF" w:themeColor="background1"/>
      </w:rPr>
      <w:tblPr/>
      <w:tcPr>
        <w:shd w:val="clear" w:color="auto" w:fill="3F4148" w:themeFill="accent2" w:themeFillShade="BF"/>
      </w:tc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ColorfulGrid-Accent3">
    <w:name w:val="Colorful Grid Accent 3"/>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BEDCF" w:themeFill="accent3" w:themeFillTint="33"/>
    </w:tcPr>
    <w:tblStylePr w:type="firstRow">
      <w:rPr>
        <w:b/>
        <w:bCs/>
      </w:rPr>
      <w:tblPr/>
      <w:tcPr>
        <w:shd w:val="clear" w:color="auto" w:fill="F7DC9F" w:themeFill="accent3" w:themeFillTint="66"/>
      </w:tcPr>
    </w:tblStylePr>
    <w:tblStylePr w:type="lastRow">
      <w:rPr>
        <w:b/>
        <w:bCs/>
        <w:color w:val="000000" w:themeColor="text1"/>
      </w:rPr>
      <w:tblPr/>
      <w:tcPr>
        <w:shd w:val="clear" w:color="auto" w:fill="F7DC9F" w:themeFill="accent3" w:themeFillTint="66"/>
      </w:tcPr>
    </w:tblStylePr>
    <w:tblStylePr w:type="firstCol">
      <w:rPr>
        <w:color w:val="FFFFFF" w:themeColor="background1"/>
      </w:rPr>
      <w:tblPr/>
      <w:tcPr>
        <w:shd w:val="clear" w:color="auto" w:fill="AE7E0E" w:themeFill="accent3" w:themeFillShade="BF"/>
      </w:tcPr>
    </w:tblStylePr>
    <w:tblStylePr w:type="lastCol">
      <w:rPr>
        <w:color w:val="FFFFFF" w:themeColor="background1"/>
      </w:rPr>
      <w:tblPr/>
      <w:tcPr>
        <w:shd w:val="clear" w:color="auto" w:fill="AE7E0E" w:themeFill="accent3" w:themeFillShade="BF"/>
      </w:tc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ColorfulGrid-Accent4">
    <w:name w:val="Colorful Grid Accent 4"/>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1C9E9" w:themeFill="accent4" w:themeFillTint="33"/>
    </w:tcPr>
    <w:tblStylePr w:type="firstRow">
      <w:rPr>
        <w:b/>
        <w:bCs/>
      </w:rPr>
      <w:tblPr/>
      <w:tcPr>
        <w:shd w:val="clear" w:color="auto" w:fill="C394D4" w:themeFill="accent4" w:themeFillTint="66"/>
      </w:tcPr>
    </w:tblStylePr>
    <w:tblStylePr w:type="lastRow">
      <w:rPr>
        <w:b/>
        <w:bCs/>
        <w:color w:val="000000" w:themeColor="text1"/>
      </w:rPr>
      <w:tblPr/>
      <w:tcPr>
        <w:shd w:val="clear" w:color="auto" w:fill="C394D4" w:themeFill="accent4" w:themeFillTint="66"/>
      </w:tcPr>
    </w:tblStylePr>
    <w:tblStylePr w:type="firstCol">
      <w:rPr>
        <w:color w:val="FFFFFF" w:themeColor="background1"/>
      </w:rPr>
      <w:tblPr/>
      <w:tcPr>
        <w:shd w:val="clear" w:color="auto" w:fill="3D1D48" w:themeFill="accent4" w:themeFillShade="BF"/>
      </w:tcPr>
    </w:tblStylePr>
    <w:tblStylePr w:type="lastCol">
      <w:rPr>
        <w:color w:val="FFFFFF" w:themeColor="background1"/>
      </w:rPr>
      <w:tblPr/>
      <w:tcPr>
        <w:shd w:val="clear" w:color="auto" w:fill="3D1D48" w:themeFill="accent4" w:themeFillShade="BF"/>
      </w:tc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ColorfulGrid-Accent5">
    <w:name w:val="Colorful Grid Accent 5"/>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5DBEF" w:themeFill="accent5" w:themeFillTint="33"/>
    </w:tcPr>
    <w:tblStylePr w:type="firstRow">
      <w:rPr>
        <w:b/>
        <w:bCs/>
      </w:rPr>
      <w:tblPr/>
      <w:tcPr>
        <w:shd w:val="clear" w:color="auto" w:fill="ABB7E0" w:themeFill="accent5" w:themeFillTint="66"/>
      </w:tcPr>
    </w:tblStylePr>
    <w:tblStylePr w:type="lastRow">
      <w:rPr>
        <w:b/>
        <w:bCs/>
        <w:color w:val="000000" w:themeColor="text1"/>
      </w:rPr>
      <w:tblPr/>
      <w:tcPr>
        <w:shd w:val="clear" w:color="auto" w:fill="ABB7E0" w:themeFill="accent5" w:themeFillTint="66"/>
      </w:tcPr>
    </w:tblStylePr>
    <w:tblStylePr w:type="firstCol">
      <w:rPr>
        <w:color w:val="FFFFFF" w:themeColor="background1"/>
      </w:rPr>
      <w:tblPr/>
      <w:tcPr>
        <w:shd w:val="clear" w:color="auto" w:fill="2D3E7B" w:themeFill="accent5" w:themeFillShade="BF"/>
      </w:tcPr>
    </w:tblStylePr>
    <w:tblStylePr w:type="lastCol">
      <w:rPr>
        <w:color w:val="FFFFFF" w:themeColor="background1"/>
      </w:rPr>
      <w:tblPr/>
      <w:tcPr>
        <w:shd w:val="clear" w:color="auto" w:fill="2D3E7B" w:themeFill="accent5" w:themeFillShade="BF"/>
      </w:tc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ColorfulGrid-Accent6">
    <w:name w:val="Colorful Grid Accent 6"/>
    <w:basedOn w:val="TableNormal"/>
    <w:uiPriority w:val="73"/>
    <w:semiHidden/>
    <w:rsid w:val="003E273C"/>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BDDE0" w:themeFill="accent6" w:themeFillTint="33"/>
    </w:tcPr>
    <w:tblStylePr w:type="firstRow">
      <w:rPr>
        <w:b/>
        <w:bCs/>
      </w:rPr>
      <w:tblPr/>
      <w:tcPr>
        <w:shd w:val="clear" w:color="auto" w:fill="B8BBC2" w:themeFill="accent6" w:themeFillTint="66"/>
      </w:tcPr>
    </w:tblStylePr>
    <w:tblStylePr w:type="lastRow">
      <w:rPr>
        <w:b/>
        <w:bCs/>
        <w:color w:val="000000" w:themeColor="text1"/>
      </w:rPr>
      <w:tblPr/>
      <w:tcPr>
        <w:shd w:val="clear" w:color="auto" w:fill="B8BBC2" w:themeFill="accent6" w:themeFillTint="66"/>
      </w:tcPr>
    </w:tblStylePr>
    <w:tblStylePr w:type="firstCol">
      <w:rPr>
        <w:color w:val="FFFFFF" w:themeColor="background1"/>
      </w:rPr>
      <w:tblPr/>
      <w:tcPr>
        <w:shd w:val="clear" w:color="auto" w:fill="3F4148" w:themeFill="accent6" w:themeFillShade="BF"/>
      </w:tcPr>
    </w:tblStylePr>
    <w:tblStylePr w:type="lastCol">
      <w:rPr>
        <w:color w:val="FFFFFF" w:themeColor="background1"/>
      </w:rPr>
      <w:tblPr/>
      <w:tcPr>
        <w:shd w:val="clear" w:color="auto" w:fill="3F4148" w:themeFill="accent6" w:themeFillShade="BF"/>
      </w:tc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ColorfulList">
    <w:name w:val="Colorful List"/>
    <w:basedOn w:val="TableNormal"/>
    <w:uiPriority w:val="72"/>
    <w:semiHidden/>
    <w:rsid w:val="003E273C"/>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1"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1" w:themeFillTint="3F"/>
      </w:tcPr>
    </w:tblStylePr>
    <w:tblStylePr w:type="band1Horz">
      <w:tblPr/>
      <w:tcPr>
        <w:shd w:val="clear" w:color="auto" w:fill="D5DBEF" w:themeFill="accent1" w:themeFillTint="33"/>
      </w:tcPr>
    </w:tblStylePr>
  </w:style>
  <w:style w:type="table" w:styleId="ColorfulList-Accent2">
    <w:name w:val="Colorful List Accent 2"/>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2" w:themeFillTint="19"/>
    </w:tcPr>
    <w:tblStylePr w:type="firstRow">
      <w:rPr>
        <w:b/>
        <w:bCs/>
        <w:color w:val="FFFFFF" w:themeColor="background1"/>
      </w:rPr>
      <w:tblPr/>
      <w:tcPr>
        <w:tcBorders>
          <w:bottom w:val="single" w:sz="12" w:space="0" w:color="FFFFFF" w:themeColor="background1"/>
        </w:tcBorders>
        <w:shd w:val="clear" w:color="auto" w:fill="43464D" w:themeFill="accent2" w:themeFillShade="CC"/>
      </w:tcPr>
    </w:tblStylePr>
    <w:tblStylePr w:type="lastRow">
      <w:rPr>
        <w:b/>
        <w:bCs/>
        <w:color w:val="43464D"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2" w:themeFillTint="3F"/>
      </w:tcPr>
    </w:tblStylePr>
    <w:tblStylePr w:type="band1Horz">
      <w:tblPr/>
      <w:tcPr>
        <w:shd w:val="clear" w:color="auto" w:fill="DBDDE0" w:themeFill="accent2" w:themeFillTint="33"/>
      </w:tcPr>
    </w:tblStylePr>
  </w:style>
  <w:style w:type="table" w:styleId="ColorfulList-Accent3">
    <w:name w:val="Colorful List Accent 3"/>
    <w:basedOn w:val="TableNormal"/>
    <w:uiPriority w:val="72"/>
    <w:semiHidden/>
    <w:rsid w:val="003E273C"/>
    <w:pPr>
      <w:spacing w:after="0" w:line="240" w:lineRule="auto"/>
    </w:pPr>
    <w:rPr>
      <w:color w:val="000000" w:themeColor="text1"/>
    </w:rPr>
    <w:tblPr>
      <w:tblStyleRowBandSize w:val="1"/>
      <w:tblStyleColBandSize w:val="1"/>
    </w:tblPr>
    <w:tcPr>
      <w:shd w:val="clear" w:color="auto" w:fill="FDF6E7" w:themeFill="accent3" w:themeFillTint="19"/>
    </w:tcPr>
    <w:tblStylePr w:type="firstRow">
      <w:rPr>
        <w:b/>
        <w:bCs/>
        <w:color w:val="FFFFFF" w:themeColor="background1"/>
      </w:rPr>
      <w:tblPr/>
      <w:tcPr>
        <w:tcBorders>
          <w:bottom w:val="single" w:sz="12" w:space="0" w:color="FFFFFF" w:themeColor="background1"/>
        </w:tcBorders>
        <w:shd w:val="clear" w:color="auto" w:fill="411F4D" w:themeFill="accent4" w:themeFillShade="CC"/>
      </w:tcPr>
    </w:tblStylePr>
    <w:tblStylePr w:type="lastRow">
      <w:rPr>
        <w:b/>
        <w:bCs/>
        <w:color w:val="411F4D"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AE9C3" w:themeFill="accent3" w:themeFillTint="3F"/>
      </w:tcPr>
    </w:tblStylePr>
    <w:tblStylePr w:type="band1Horz">
      <w:tblPr/>
      <w:tcPr>
        <w:shd w:val="clear" w:color="auto" w:fill="FBEDCF" w:themeFill="accent3" w:themeFillTint="33"/>
      </w:tcPr>
    </w:tblStylePr>
  </w:style>
  <w:style w:type="table" w:styleId="ColorfulList-Accent4">
    <w:name w:val="Colorful List Accent 4"/>
    <w:basedOn w:val="TableNormal"/>
    <w:uiPriority w:val="72"/>
    <w:semiHidden/>
    <w:rsid w:val="003E273C"/>
    <w:pPr>
      <w:spacing w:after="0" w:line="240" w:lineRule="auto"/>
    </w:pPr>
    <w:rPr>
      <w:color w:val="000000" w:themeColor="text1"/>
    </w:rPr>
    <w:tblPr>
      <w:tblStyleRowBandSize w:val="1"/>
      <w:tblStyleColBandSize w:val="1"/>
    </w:tblPr>
    <w:tcPr>
      <w:shd w:val="clear" w:color="auto" w:fill="F0E4F4" w:themeFill="accent4" w:themeFillTint="19"/>
    </w:tcPr>
    <w:tblStylePr w:type="firstRow">
      <w:rPr>
        <w:b/>
        <w:bCs/>
        <w:color w:val="FFFFFF" w:themeColor="background1"/>
      </w:rPr>
      <w:tblPr/>
      <w:tcPr>
        <w:tcBorders>
          <w:bottom w:val="single" w:sz="12" w:space="0" w:color="FFFFFF" w:themeColor="background1"/>
        </w:tcBorders>
        <w:shd w:val="clear" w:color="auto" w:fill="BA860F" w:themeFill="accent3" w:themeFillShade="CC"/>
      </w:tcPr>
    </w:tblStylePr>
    <w:tblStylePr w:type="lastRow">
      <w:rPr>
        <w:b/>
        <w:bCs/>
        <w:color w:val="BA860F"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ABCE4" w:themeFill="accent4" w:themeFillTint="3F"/>
      </w:tcPr>
    </w:tblStylePr>
    <w:tblStylePr w:type="band1Horz">
      <w:tblPr/>
      <w:tcPr>
        <w:shd w:val="clear" w:color="auto" w:fill="E1C9E9" w:themeFill="accent4" w:themeFillTint="33"/>
      </w:tcPr>
    </w:tblStylePr>
  </w:style>
  <w:style w:type="table" w:styleId="ColorfulList-Accent5">
    <w:name w:val="Colorful List Accent 5"/>
    <w:basedOn w:val="TableNormal"/>
    <w:uiPriority w:val="72"/>
    <w:semiHidden/>
    <w:rsid w:val="003E273C"/>
    <w:pPr>
      <w:spacing w:after="0" w:line="240" w:lineRule="auto"/>
    </w:pPr>
    <w:rPr>
      <w:color w:val="000000" w:themeColor="text1"/>
    </w:rPr>
    <w:tblPr>
      <w:tblStyleRowBandSize w:val="1"/>
      <w:tblStyleColBandSize w:val="1"/>
    </w:tblPr>
    <w:tcPr>
      <w:shd w:val="clear" w:color="auto" w:fill="EAEDF7" w:themeFill="accent5" w:themeFillTint="19"/>
    </w:tcPr>
    <w:tblStylePr w:type="firstRow">
      <w:rPr>
        <w:b/>
        <w:bCs/>
        <w:color w:val="FFFFFF" w:themeColor="background1"/>
      </w:rPr>
      <w:tblPr/>
      <w:tcPr>
        <w:tcBorders>
          <w:bottom w:val="single" w:sz="12" w:space="0" w:color="FFFFFF" w:themeColor="background1"/>
        </w:tcBorders>
        <w:shd w:val="clear" w:color="auto" w:fill="43464D" w:themeFill="accent6" w:themeFillShade="CC"/>
      </w:tcPr>
    </w:tblStylePr>
    <w:tblStylePr w:type="lastRow">
      <w:rPr>
        <w:b/>
        <w:bCs/>
        <w:color w:val="43464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BD2EC" w:themeFill="accent5" w:themeFillTint="3F"/>
      </w:tcPr>
    </w:tblStylePr>
    <w:tblStylePr w:type="band1Horz">
      <w:tblPr/>
      <w:tcPr>
        <w:shd w:val="clear" w:color="auto" w:fill="D5DBEF" w:themeFill="accent5" w:themeFillTint="33"/>
      </w:tcPr>
    </w:tblStylePr>
  </w:style>
  <w:style w:type="table" w:styleId="ColorfulList-Accent6">
    <w:name w:val="Colorful List Accent 6"/>
    <w:basedOn w:val="TableNormal"/>
    <w:uiPriority w:val="72"/>
    <w:semiHidden/>
    <w:rsid w:val="003E273C"/>
    <w:pPr>
      <w:spacing w:after="0" w:line="240" w:lineRule="auto"/>
    </w:pPr>
    <w:rPr>
      <w:color w:val="000000" w:themeColor="text1"/>
    </w:rPr>
    <w:tblPr>
      <w:tblStyleRowBandSize w:val="1"/>
      <w:tblStyleColBandSize w:val="1"/>
    </w:tblPr>
    <w:tcPr>
      <w:shd w:val="clear" w:color="auto" w:fill="EDEEF0" w:themeFill="accent6" w:themeFillTint="19"/>
    </w:tcPr>
    <w:tblStylePr w:type="firstRow">
      <w:rPr>
        <w:b/>
        <w:bCs/>
        <w:color w:val="FFFFFF" w:themeColor="background1"/>
      </w:rPr>
      <w:tblPr/>
      <w:tcPr>
        <w:tcBorders>
          <w:bottom w:val="single" w:sz="12" w:space="0" w:color="FFFFFF" w:themeColor="background1"/>
        </w:tcBorders>
        <w:shd w:val="clear" w:color="auto" w:fill="304384" w:themeFill="accent5" w:themeFillShade="CC"/>
      </w:tcPr>
    </w:tblStylePr>
    <w:tblStylePr w:type="lastRow">
      <w:rPr>
        <w:b/>
        <w:bCs/>
        <w:color w:val="304384"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5D9" w:themeFill="accent6" w:themeFillTint="3F"/>
      </w:tcPr>
    </w:tblStylePr>
    <w:tblStylePr w:type="band1Horz">
      <w:tblPr/>
      <w:tcPr>
        <w:shd w:val="clear" w:color="auto" w:fill="DBDDE0" w:themeFill="accent6" w:themeFillTint="33"/>
      </w:tcPr>
    </w:tblStylePr>
  </w:style>
  <w:style w:type="table" w:styleId="ColorfulShading">
    <w:name w:val="Colorful Shading"/>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3C54A5" w:themeColor="accent1"/>
        <w:bottom w:val="single" w:sz="4" w:space="0" w:color="3C54A5" w:themeColor="accent1"/>
        <w:right w:val="single" w:sz="4" w:space="0" w:color="3C54A5" w:themeColor="accent1"/>
        <w:insideH w:val="single" w:sz="4" w:space="0" w:color="FFFFFF" w:themeColor="background1"/>
        <w:insideV w:val="single" w:sz="4" w:space="0" w:color="FFFFFF" w:themeColor="background1"/>
      </w:tblBorders>
    </w:tblPr>
    <w:tcPr>
      <w:shd w:val="clear" w:color="auto" w:fill="EAEDF7" w:themeFill="accent1"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1" w:themeFillShade="99"/>
      </w:tcPr>
    </w:tblStylePr>
    <w:tblStylePr w:type="firstCol">
      <w:rPr>
        <w:color w:val="FFFFFF" w:themeColor="background1"/>
      </w:rPr>
      <w:tblPr/>
      <w:tcPr>
        <w:tcBorders>
          <w:top w:val="nil"/>
          <w:left w:val="nil"/>
          <w:bottom w:val="nil"/>
          <w:right w:val="nil"/>
          <w:insideH w:val="single" w:sz="4" w:space="0" w:color="243263" w:themeColor="accent1" w:themeShade="99"/>
          <w:insideV w:val="nil"/>
        </w:tcBorders>
        <w:shd w:val="clear" w:color="auto" w:fill="243263"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1" w:themeFillShade="99"/>
      </w:tcPr>
    </w:tblStylePr>
    <w:tblStylePr w:type="band1Vert">
      <w:tblPr/>
      <w:tcPr>
        <w:shd w:val="clear" w:color="auto" w:fill="ABB7E0" w:themeFill="accent1" w:themeFillTint="66"/>
      </w:tcPr>
    </w:tblStylePr>
    <w:tblStylePr w:type="band1Horz">
      <w:tblPr/>
      <w:tcPr>
        <w:shd w:val="clear" w:color="auto" w:fill="96A5D9"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2"/>
        <w:left w:val="single" w:sz="4" w:space="0" w:color="545861" w:themeColor="accent2"/>
        <w:bottom w:val="single" w:sz="4" w:space="0" w:color="545861" w:themeColor="accent2"/>
        <w:right w:val="single" w:sz="4" w:space="0" w:color="545861" w:themeColor="accent2"/>
        <w:insideH w:val="single" w:sz="4" w:space="0" w:color="FFFFFF" w:themeColor="background1"/>
        <w:insideV w:val="single" w:sz="4" w:space="0" w:color="FFFFFF" w:themeColor="background1"/>
      </w:tblBorders>
    </w:tblPr>
    <w:tcPr>
      <w:shd w:val="clear" w:color="auto" w:fill="EDEEF0" w:themeFill="accent2" w:themeFillTint="19"/>
    </w:tcPr>
    <w:tblStylePr w:type="firstRow">
      <w:rPr>
        <w:b/>
        <w:bCs/>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2" w:themeFillShade="99"/>
      </w:tcPr>
    </w:tblStylePr>
    <w:tblStylePr w:type="firstCol">
      <w:rPr>
        <w:color w:val="FFFFFF" w:themeColor="background1"/>
      </w:rPr>
      <w:tblPr/>
      <w:tcPr>
        <w:tcBorders>
          <w:top w:val="nil"/>
          <w:left w:val="nil"/>
          <w:bottom w:val="nil"/>
          <w:right w:val="nil"/>
          <w:insideH w:val="single" w:sz="4" w:space="0" w:color="32343A" w:themeColor="accent2" w:themeShade="99"/>
          <w:insideV w:val="nil"/>
        </w:tcBorders>
        <w:shd w:val="clear" w:color="auto" w:fill="32343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2" w:themeFillShade="99"/>
      </w:tcPr>
    </w:tblStylePr>
    <w:tblStylePr w:type="band1Vert">
      <w:tblPr/>
      <w:tcPr>
        <w:shd w:val="clear" w:color="auto" w:fill="B8BBC2" w:themeFill="accent2" w:themeFillTint="66"/>
      </w:tcPr>
    </w:tblStylePr>
    <w:tblStylePr w:type="band1Horz">
      <w:tblPr/>
      <w:tcPr>
        <w:shd w:val="clear" w:color="auto" w:fill="A7AAB3"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22761" w:themeColor="accent4"/>
        <w:left w:val="single" w:sz="4" w:space="0" w:color="E9A913" w:themeColor="accent3"/>
        <w:bottom w:val="single" w:sz="4" w:space="0" w:color="E9A913" w:themeColor="accent3"/>
        <w:right w:val="single" w:sz="4" w:space="0" w:color="E9A913" w:themeColor="accent3"/>
        <w:insideH w:val="single" w:sz="4" w:space="0" w:color="FFFFFF" w:themeColor="background1"/>
        <w:insideV w:val="single" w:sz="4" w:space="0" w:color="FFFFFF" w:themeColor="background1"/>
      </w:tblBorders>
    </w:tblPr>
    <w:tcPr>
      <w:shd w:val="clear" w:color="auto" w:fill="FDF6E7" w:themeFill="accent3" w:themeFillTint="19"/>
    </w:tcPr>
    <w:tblStylePr w:type="firstRow">
      <w:rPr>
        <w:b/>
        <w:bCs/>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B640B" w:themeFill="accent3" w:themeFillShade="99"/>
      </w:tcPr>
    </w:tblStylePr>
    <w:tblStylePr w:type="firstCol">
      <w:rPr>
        <w:color w:val="FFFFFF" w:themeColor="background1"/>
      </w:rPr>
      <w:tblPr/>
      <w:tcPr>
        <w:tcBorders>
          <w:top w:val="nil"/>
          <w:left w:val="nil"/>
          <w:bottom w:val="nil"/>
          <w:right w:val="nil"/>
          <w:insideH w:val="single" w:sz="4" w:space="0" w:color="8B640B" w:themeColor="accent3" w:themeShade="99"/>
          <w:insideV w:val="nil"/>
        </w:tcBorders>
        <w:shd w:val="clear" w:color="auto" w:fill="8B640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8B640B" w:themeFill="accent3" w:themeFillShade="99"/>
      </w:tcPr>
    </w:tblStylePr>
    <w:tblStylePr w:type="band1Vert">
      <w:tblPr/>
      <w:tcPr>
        <w:shd w:val="clear" w:color="auto" w:fill="F7DC9F" w:themeFill="accent3" w:themeFillTint="66"/>
      </w:tcPr>
    </w:tblStylePr>
    <w:tblStylePr w:type="band1Horz">
      <w:tblPr/>
      <w:tcPr>
        <w:shd w:val="clear" w:color="auto" w:fill="F5D488" w:themeFill="accent3" w:themeFillTint="7F"/>
      </w:tcPr>
    </w:tblStylePr>
  </w:style>
  <w:style w:type="table" w:styleId="ColorfulShading-Accent4">
    <w:name w:val="Colorful Shading Accent 4"/>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E9A913" w:themeColor="accent3"/>
        <w:left w:val="single" w:sz="4" w:space="0" w:color="522761" w:themeColor="accent4"/>
        <w:bottom w:val="single" w:sz="4" w:space="0" w:color="522761" w:themeColor="accent4"/>
        <w:right w:val="single" w:sz="4" w:space="0" w:color="522761" w:themeColor="accent4"/>
        <w:insideH w:val="single" w:sz="4" w:space="0" w:color="FFFFFF" w:themeColor="background1"/>
        <w:insideV w:val="single" w:sz="4" w:space="0" w:color="FFFFFF" w:themeColor="background1"/>
      </w:tblBorders>
    </w:tblPr>
    <w:tcPr>
      <w:shd w:val="clear" w:color="auto" w:fill="F0E4F4" w:themeFill="accent4" w:themeFillTint="19"/>
    </w:tcPr>
    <w:tblStylePr w:type="firstRow">
      <w:rPr>
        <w:b/>
        <w:bCs/>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01739" w:themeFill="accent4" w:themeFillShade="99"/>
      </w:tcPr>
    </w:tblStylePr>
    <w:tblStylePr w:type="firstCol">
      <w:rPr>
        <w:color w:val="FFFFFF" w:themeColor="background1"/>
      </w:rPr>
      <w:tblPr/>
      <w:tcPr>
        <w:tcBorders>
          <w:top w:val="nil"/>
          <w:left w:val="nil"/>
          <w:bottom w:val="nil"/>
          <w:right w:val="nil"/>
          <w:insideH w:val="single" w:sz="4" w:space="0" w:color="301739" w:themeColor="accent4" w:themeShade="99"/>
          <w:insideV w:val="nil"/>
        </w:tcBorders>
        <w:shd w:val="clear" w:color="auto" w:fill="30173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301739" w:themeFill="accent4" w:themeFillShade="99"/>
      </w:tcPr>
    </w:tblStylePr>
    <w:tblStylePr w:type="band1Vert">
      <w:tblPr/>
      <w:tcPr>
        <w:shd w:val="clear" w:color="auto" w:fill="C394D4" w:themeFill="accent4" w:themeFillTint="66"/>
      </w:tcPr>
    </w:tblStylePr>
    <w:tblStylePr w:type="band1Horz">
      <w:tblPr/>
      <w:tcPr>
        <w:shd w:val="clear" w:color="auto" w:fill="B57AC9"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545861" w:themeColor="accent6"/>
        <w:left w:val="single" w:sz="4" w:space="0" w:color="3C54A5" w:themeColor="accent5"/>
        <w:bottom w:val="single" w:sz="4" w:space="0" w:color="3C54A5" w:themeColor="accent5"/>
        <w:right w:val="single" w:sz="4" w:space="0" w:color="3C54A5" w:themeColor="accent5"/>
        <w:insideH w:val="single" w:sz="4" w:space="0" w:color="FFFFFF" w:themeColor="background1"/>
        <w:insideV w:val="single" w:sz="4" w:space="0" w:color="FFFFFF" w:themeColor="background1"/>
      </w:tblBorders>
    </w:tblPr>
    <w:tcPr>
      <w:shd w:val="clear" w:color="auto" w:fill="EAEDF7" w:themeFill="accent5" w:themeFillTint="19"/>
    </w:tcPr>
    <w:tblStylePr w:type="firstRow">
      <w:rPr>
        <w:b/>
        <w:bCs/>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43263" w:themeFill="accent5" w:themeFillShade="99"/>
      </w:tcPr>
    </w:tblStylePr>
    <w:tblStylePr w:type="firstCol">
      <w:rPr>
        <w:color w:val="FFFFFF" w:themeColor="background1"/>
      </w:rPr>
      <w:tblPr/>
      <w:tcPr>
        <w:tcBorders>
          <w:top w:val="nil"/>
          <w:left w:val="nil"/>
          <w:bottom w:val="nil"/>
          <w:right w:val="nil"/>
          <w:insideH w:val="single" w:sz="4" w:space="0" w:color="243263" w:themeColor="accent5" w:themeShade="99"/>
          <w:insideV w:val="nil"/>
        </w:tcBorders>
        <w:shd w:val="clear" w:color="auto" w:fill="243263"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43263" w:themeFill="accent5" w:themeFillShade="99"/>
      </w:tcPr>
    </w:tblStylePr>
    <w:tblStylePr w:type="band1Vert">
      <w:tblPr/>
      <w:tcPr>
        <w:shd w:val="clear" w:color="auto" w:fill="ABB7E0" w:themeFill="accent5" w:themeFillTint="66"/>
      </w:tcPr>
    </w:tblStylePr>
    <w:tblStylePr w:type="band1Horz">
      <w:tblPr/>
      <w:tcPr>
        <w:shd w:val="clear" w:color="auto" w:fill="96A5D9"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rsid w:val="003E273C"/>
    <w:pPr>
      <w:spacing w:after="0" w:line="240" w:lineRule="auto"/>
    </w:pPr>
    <w:rPr>
      <w:color w:val="000000" w:themeColor="text1"/>
    </w:rPr>
    <w:tblPr>
      <w:tblStyleRowBandSize w:val="1"/>
      <w:tblStyleColBandSize w:val="1"/>
      <w:tblBorders>
        <w:top w:val="single" w:sz="24" w:space="0" w:color="3C54A5" w:themeColor="accent5"/>
        <w:left w:val="single" w:sz="4" w:space="0" w:color="545861" w:themeColor="accent6"/>
        <w:bottom w:val="single" w:sz="4" w:space="0" w:color="545861" w:themeColor="accent6"/>
        <w:right w:val="single" w:sz="4" w:space="0" w:color="545861" w:themeColor="accent6"/>
        <w:insideH w:val="single" w:sz="4" w:space="0" w:color="FFFFFF" w:themeColor="background1"/>
        <w:insideV w:val="single" w:sz="4" w:space="0" w:color="FFFFFF" w:themeColor="background1"/>
      </w:tblBorders>
    </w:tblPr>
    <w:tcPr>
      <w:shd w:val="clear" w:color="auto" w:fill="EDEEF0" w:themeFill="accent6" w:themeFillTint="19"/>
    </w:tcPr>
    <w:tblStylePr w:type="firstRow">
      <w:rPr>
        <w:b/>
        <w:bCs/>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32343A" w:themeFill="accent6" w:themeFillShade="99"/>
      </w:tcPr>
    </w:tblStylePr>
    <w:tblStylePr w:type="firstCol">
      <w:rPr>
        <w:color w:val="FFFFFF" w:themeColor="background1"/>
      </w:rPr>
      <w:tblPr/>
      <w:tcPr>
        <w:tcBorders>
          <w:top w:val="nil"/>
          <w:left w:val="nil"/>
          <w:bottom w:val="nil"/>
          <w:right w:val="nil"/>
          <w:insideH w:val="single" w:sz="4" w:space="0" w:color="32343A" w:themeColor="accent6" w:themeShade="99"/>
          <w:insideV w:val="nil"/>
        </w:tcBorders>
        <w:shd w:val="clear" w:color="auto" w:fill="32343A"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32343A" w:themeFill="accent6" w:themeFillShade="99"/>
      </w:tcPr>
    </w:tblStylePr>
    <w:tblStylePr w:type="band1Vert">
      <w:tblPr/>
      <w:tcPr>
        <w:shd w:val="clear" w:color="auto" w:fill="B8BBC2" w:themeFill="accent6" w:themeFillTint="66"/>
      </w:tcPr>
    </w:tblStylePr>
    <w:tblStylePr w:type="band1Horz">
      <w:tblPr/>
      <w:tcPr>
        <w:shd w:val="clear" w:color="auto" w:fill="A7AAB3" w:themeFill="accent6" w:themeFillTint="7F"/>
      </w:tcPr>
    </w:tblStylePr>
    <w:tblStylePr w:type="neCell">
      <w:rPr>
        <w:color w:val="000000" w:themeColor="text1"/>
      </w:rPr>
    </w:tblStylePr>
    <w:tblStylePr w:type="nwCell">
      <w:rPr>
        <w:color w:val="000000" w:themeColor="text1"/>
      </w:rPr>
    </w:tblStylePr>
  </w:style>
  <w:style w:type="table" w:styleId="DarkList">
    <w:name w:val="Dark List"/>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1" w:themeFillShade="BF"/>
      </w:tcPr>
    </w:tblStylePr>
    <w:tblStylePr w:type="band1Vert">
      <w:tblPr/>
      <w:tcPr>
        <w:tcBorders>
          <w:top w:val="nil"/>
          <w:left w:val="nil"/>
          <w:bottom w:val="nil"/>
          <w:right w:val="nil"/>
          <w:insideH w:val="nil"/>
          <w:insideV w:val="nil"/>
        </w:tcBorders>
        <w:shd w:val="clear" w:color="auto" w:fill="2D3E7B" w:themeFill="accent1" w:themeFillShade="BF"/>
      </w:tcPr>
    </w:tblStylePr>
    <w:tblStylePr w:type="band1Horz">
      <w:tblPr/>
      <w:tcPr>
        <w:tcBorders>
          <w:top w:val="nil"/>
          <w:left w:val="nil"/>
          <w:bottom w:val="nil"/>
          <w:right w:val="nil"/>
          <w:insideH w:val="nil"/>
          <w:insideV w:val="nil"/>
        </w:tcBorders>
        <w:shd w:val="clear" w:color="auto" w:fill="2D3E7B" w:themeFill="accent1" w:themeFillShade="BF"/>
      </w:tcPr>
    </w:tblStylePr>
  </w:style>
  <w:style w:type="table" w:styleId="DarkList-Accent2">
    <w:name w:val="Dark List Accent 2"/>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2" w:themeFillShade="BF"/>
      </w:tcPr>
    </w:tblStylePr>
    <w:tblStylePr w:type="band1Vert">
      <w:tblPr/>
      <w:tcPr>
        <w:tcBorders>
          <w:top w:val="nil"/>
          <w:left w:val="nil"/>
          <w:bottom w:val="nil"/>
          <w:right w:val="nil"/>
          <w:insideH w:val="nil"/>
          <w:insideV w:val="nil"/>
        </w:tcBorders>
        <w:shd w:val="clear" w:color="auto" w:fill="3F4148" w:themeFill="accent2" w:themeFillShade="BF"/>
      </w:tcPr>
    </w:tblStylePr>
    <w:tblStylePr w:type="band1Horz">
      <w:tblPr/>
      <w:tcPr>
        <w:tcBorders>
          <w:top w:val="nil"/>
          <w:left w:val="nil"/>
          <w:bottom w:val="nil"/>
          <w:right w:val="nil"/>
          <w:insideH w:val="nil"/>
          <w:insideV w:val="nil"/>
        </w:tcBorders>
        <w:shd w:val="clear" w:color="auto" w:fill="3F4148" w:themeFill="accent2" w:themeFillShade="BF"/>
      </w:tcPr>
    </w:tblStylePr>
  </w:style>
  <w:style w:type="table" w:styleId="DarkList-Accent3">
    <w:name w:val="Dark List Accent 3"/>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E9A913"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35309"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AE7E0E"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AE7E0E" w:themeFill="accent3" w:themeFillShade="BF"/>
      </w:tcPr>
    </w:tblStylePr>
    <w:tblStylePr w:type="band1Vert">
      <w:tblPr/>
      <w:tcPr>
        <w:tcBorders>
          <w:top w:val="nil"/>
          <w:left w:val="nil"/>
          <w:bottom w:val="nil"/>
          <w:right w:val="nil"/>
          <w:insideH w:val="nil"/>
          <w:insideV w:val="nil"/>
        </w:tcBorders>
        <w:shd w:val="clear" w:color="auto" w:fill="AE7E0E" w:themeFill="accent3" w:themeFillShade="BF"/>
      </w:tcPr>
    </w:tblStylePr>
    <w:tblStylePr w:type="band1Horz">
      <w:tblPr/>
      <w:tcPr>
        <w:tcBorders>
          <w:top w:val="nil"/>
          <w:left w:val="nil"/>
          <w:bottom w:val="nil"/>
          <w:right w:val="nil"/>
          <w:insideH w:val="nil"/>
          <w:insideV w:val="nil"/>
        </w:tcBorders>
        <w:shd w:val="clear" w:color="auto" w:fill="AE7E0E" w:themeFill="accent3" w:themeFillShade="BF"/>
      </w:tcPr>
    </w:tblStylePr>
  </w:style>
  <w:style w:type="table" w:styleId="DarkList-Accent4">
    <w:name w:val="Dark List Accent 4"/>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22761"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81330"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3D1D4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3D1D48" w:themeFill="accent4" w:themeFillShade="BF"/>
      </w:tcPr>
    </w:tblStylePr>
    <w:tblStylePr w:type="band1Vert">
      <w:tblPr/>
      <w:tcPr>
        <w:tcBorders>
          <w:top w:val="nil"/>
          <w:left w:val="nil"/>
          <w:bottom w:val="nil"/>
          <w:right w:val="nil"/>
          <w:insideH w:val="nil"/>
          <w:insideV w:val="nil"/>
        </w:tcBorders>
        <w:shd w:val="clear" w:color="auto" w:fill="3D1D48" w:themeFill="accent4" w:themeFillShade="BF"/>
      </w:tcPr>
    </w:tblStylePr>
    <w:tblStylePr w:type="band1Horz">
      <w:tblPr/>
      <w:tcPr>
        <w:tcBorders>
          <w:top w:val="nil"/>
          <w:left w:val="nil"/>
          <w:bottom w:val="nil"/>
          <w:right w:val="nil"/>
          <w:insideH w:val="nil"/>
          <w:insideV w:val="nil"/>
        </w:tcBorders>
        <w:shd w:val="clear" w:color="auto" w:fill="3D1D48" w:themeFill="accent4" w:themeFillShade="BF"/>
      </w:tcPr>
    </w:tblStylePr>
  </w:style>
  <w:style w:type="table" w:styleId="DarkList-Accent5">
    <w:name w:val="Dark List Accent 5"/>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3C54A5"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1E2952"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2D3E7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2D3E7B" w:themeFill="accent5" w:themeFillShade="BF"/>
      </w:tcPr>
    </w:tblStylePr>
    <w:tblStylePr w:type="band1Vert">
      <w:tblPr/>
      <w:tcPr>
        <w:tcBorders>
          <w:top w:val="nil"/>
          <w:left w:val="nil"/>
          <w:bottom w:val="nil"/>
          <w:right w:val="nil"/>
          <w:insideH w:val="nil"/>
          <w:insideV w:val="nil"/>
        </w:tcBorders>
        <w:shd w:val="clear" w:color="auto" w:fill="2D3E7B" w:themeFill="accent5" w:themeFillShade="BF"/>
      </w:tcPr>
    </w:tblStylePr>
    <w:tblStylePr w:type="band1Horz">
      <w:tblPr/>
      <w:tcPr>
        <w:tcBorders>
          <w:top w:val="nil"/>
          <w:left w:val="nil"/>
          <w:bottom w:val="nil"/>
          <w:right w:val="nil"/>
          <w:insideH w:val="nil"/>
          <w:insideV w:val="nil"/>
        </w:tcBorders>
        <w:shd w:val="clear" w:color="auto" w:fill="2D3E7B" w:themeFill="accent5" w:themeFillShade="BF"/>
      </w:tcPr>
    </w:tblStylePr>
  </w:style>
  <w:style w:type="table" w:styleId="DarkList-Accent6">
    <w:name w:val="Dark List Accent 6"/>
    <w:basedOn w:val="TableNormal"/>
    <w:uiPriority w:val="70"/>
    <w:semiHidden/>
    <w:rsid w:val="003E273C"/>
    <w:pPr>
      <w:spacing w:after="0" w:line="240" w:lineRule="auto"/>
    </w:pPr>
    <w:rPr>
      <w:color w:val="FFFFFF" w:themeColor="background1"/>
    </w:rPr>
    <w:tblPr>
      <w:tblStyleRowBandSize w:val="1"/>
      <w:tblStyleColBandSize w:val="1"/>
    </w:tblPr>
    <w:tcPr>
      <w:shd w:val="clear" w:color="auto" w:fill="545861"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92B30"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F4148"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F4148" w:themeFill="accent6" w:themeFillShade="BF"/>
      </w:tcPr>
    </w:tblStylePr>
    <w:tblStylePr w:type="band1Vert">
      <w:tblPr/>
      <w:tcPr>
        <w:tcBorders>
          <w:top w:val="nil"/>
          <w:left w:val="nil"/>
          <w:bottom w:val="nil"/>
          <w:right w:val="nil"/>
          <w:insideH w:val="nil"/>
          <w:insideV w:val="nil"/>
        </w:tcBorders>
        <w:shd w:val="clear" w:color="auto" w:fill="3F4148" w:themeFill="accent6" w:themeFillShade="BF"/>
      </w:tcPr>
    </w:tblStylePr>
    <w:tblStylePr w:type="band1Horz">
      <w:tblPr/>
      <w:tcPr>
        <w:tcBorders>
          <w:top w:val="nil"/>
          <w:left w:val="nil"/>
          <w:bottom w:val="nil"/>
          <w:right w:val="nil"/>
          <w:insideH w:val="nil"/>
          <w:insideV w:val="nil"/>
        </w:tcBorders>
        <w:shd w:val="clear" w:color="auto" w:fill="3F4148" w:themeFill="accent6" w:themeFillShade="BF"/>
      </w:tcPr>
    </w:tblStylePr>
  </w:style>
  <w:style w:type="table" w:styleId="LightGrid">
    <w:name w:val="Light Grid"/>
    <w:basedOn w:val="TableNormal"/>
    <w:uiPriority w:val="62"/>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18" w:space="0" w:color="3C54A5" w:themeColor="accent1"/>
          <w:right w:val="single" w:sz="8" w:space="0" w:color="3C54A5" w:themeColor="accent1"/>
          <w:insideH w:val="nil"/>
          <w:insideV w:val="single" w:sz="8" w:space="0" w:color="3C54A5"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insideH w:val="nil"/>
          <w:insideV w:val="single" w:sz="8" w:space="0" w:color="3C54A5"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shd w:val="clear" w:color="auto" w:fill="CBD2EC" w:themeFill="accent1" w:themeFillTint="3F"/>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shd w:val="clear" w:color="auto" w:fill="CBD2EC" w:themeFill="accent1" w:themeFillTint="3F"/>
      </w:tcPr>
    </w:tblStylePr>
    <w:tblStylePr w:type="band2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insideV w:val="single" w:sz="8" w:space="0" w:color="3C54A5" w:themeColor="accent1"/>
        </w:tcBorders>
      </w:tcPr>
    </w:tblStylePr>
  </w:style>
  <w:style w:type="table" w:styleId="LightGrid-Accent2">
    <w:name w:val="Light Grid Accent 2"/>
    <w:basedOn w:val="TableNormal"/>
    <w:uiPriority w:val="62"/>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18" w:space="0" w:color="545861" w:themeColor="accent2"/>
          <w:right w:val="single" w:sz="8" w:space="0" w:color="545861" w:themeColor="accent2"/>
          <w:insideH w:val="nil"/>
          <w:insideV w:val="single" w:sz="8" w:space="0" w:color="545861"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insideH w:val="nil"/>
          <w:insideV w:val="single" w:sz="8" w:space="0" w:color="545861"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shd w:val="clear" w:color="auto" w:fill="D3D5D9" w:themeFill="accent2" w:themeFillTint="3F"/>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shd w:val="clear" w:color="auto" w:fill="D3D5D9" w:themeFill="accent2" w:themeFillTint="3F"/>
      </w:tcPr>
    </w:tblStylePr>
    <w:tblStylePr w:type="band2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insideV w:val="single" w:sz="8" w:space="0" w:color="545861" w:themeColor="accent2"/>
        </w:tcBorders>
      </w:tcPr>
    </w:tblStylePr>
  </w:style>
  <w:style w:type="table" w:styleId="LightGrid-Accent3">
    <w:name w:val="Light Grid Accent 3"/>
    <w:basedOn w:val="TableNormal"/>
    <w:uiPriority w:val="62"/>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18" w:space="0" w:color="E9A913" w:themeColor="accent3"/>
          <w:right w:val="single" w:sz="8" w:space="0" w:color="E9A913" w:themeColor="accent3"/>
          <w:insideH w:val="nil"/>
          <w:insideV w:val="single" w:sz="8" w:space="0" w:color="E9A913"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insideH w:val="nil"/>
          <w:insideV w:val="single" w:sz="8" w:space="0" w:color="E9A913"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shd w:val="clear" w:color="auto" w:fill="FAE9C3" w:themeFill="accent3" w:themeFillTint="3F"/>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shd w:val="clear" w:color="auto" w:fill="FAE9C3" w:themeFill="accent3" w:themeFillTint="3F"/>
      </w:tcPr>
    </w:tblStylePr>
    <w:tblStylePr w:type="band2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insideV w:val="single" w:sz="8" w:space="0" w:color="E9A913" w:themeColor="accent3"/>
        </w:tcBorders>
      </w:tcPr>
    </w:tblStylePr>
  </w:style>
  <w:style w:type="table" w:styleId="LightGrid-Accent4">
    <w:name w:val="Light Grid Accent 4"/>
    <w:basedOn w:val="TableNormal"/>
    <w:uiPriority w:val="62"/>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18" w:space="0" w:color="522761" w:themeColor="accent4"/>
          <w:right w:val="single" w:sz="8" w:space="0" w:color="522761" w:themeColor="accent4"/>
          <w:insideH w:val="nil"/>
          <w:insideV w:val="single" w:sz="8" w:space="0" w:color="522761"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insideH w:val="nil"/>
          <w:insideV w:val="single" w:sz="8" w:space="0" w:color="522761"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shd w:val="clear" w:color="auto" w:fill="DABCE4" w:themeFill="accent4" w:themeFillTint="3F"/>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shd w:val="clear" w:color="auto" w:fill="DABCE4" w:themeFill="accent4" w:themeFillTint="3F"/>
      </w:tcPr>
    </w:tblStylePr>
    <w:tblStylePr w:type="band2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insideV w:val="single" w:sz="8" w:space="0" w:color="522761" w:themeColor="accent4"/>
        </w:tcBorders>
      </w:tcPr>
    </w:tblStylePr>
  </w:style>
  <w:style w:type="table" w:styleId="LightGrid-Accent5">
    <w:name w:val="Light Grid Accent 5"/>
    <w:basedOn w:val="TableNormal"/>
    <w:uiPriority w:val="62"/>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18" w:space="0" w:color="3C54A5" w:themeColor="accent5"/>
          <w:right w:val="single" w:sz="8" w:space="0" w:color="3C54A5" w:themeColor="accent5"/>
          <w:insideH w:val="nil"/>
          <w:insideV w:val="single" w:sz="8" w:space="0" w:color="3C54A5"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insideH w:val="nil"/>
          <w:insideV w:val="single" w:sz="8" w:space="0" w:color="3C54A5"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shd w:val="clear" w:color="auto" w:fill="CBD2EC" w:themeFill="accent5" w:themeFillTint="3F"/>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shd w:val="clear" w:color="auto" w:fill="CBD2EC" w:themeFill="accent5" w:themeFillTint="3F"/>
      </w:tcPr>
    </w:tblStylePr>
    <w:tblStylePr w:type="band2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insideV w:val="single" w:sz="8" w:space="0" w:color="3C54A5" w:themeColor="accent5"/>
        </w:tcBorders>
      </w:tcPr>
    </w:tblStylePr>
  </w:style>
  <w:style w:type="table" w:styleId="LightGrid-Accent6">
    <w:name w:val="Light Grid Accent 6"/>
    <w:basedOn w:val="TableNormal"/>
    <w:uiPriority w:val="62"/>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18" w:space="0" w:color="545861" w:themeColor="accent6"/>
          <w:right w:val="single" w:sz="8" w:space="0" w:color="545861" w:themeColor="accent6"/>
          <w:insideH w:val="nil"/>
          <w:insideV w:val="single" w:sz="8" w:space="0" w:color="545861"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insideH w:val="nil"/>
          <w:insideV w:val="single" w:sz="8" w:space="0" w:color="545861"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shd w:val="clear" w:color="auto" w:fill="D3D5D9" w:themeFill="accent6" w:themeFillTint="3F"/>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shd w:val="clear" w:color="auto" w:fill="D3D5D9" w:themeFill="accent6" w:themeFillTint="3F"/>
      </w:tcPr>
    </w:tblStylePr>
    <w:tblStylePr w:type="band2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insideV w:val="single" w:sz="8" w:space="0" w:color="545861" w:themeColor="accent6"/>
        </w:tcBorders>
      </w:tcPr>
    </w:tblStylePr>
  </w:style>
  <w:style w:type="table" w:styleId="LightList">
    <w:name w:val="Light List"/>
    <w:basedOn w:val="TableNormal"/>
    <w:uiPriority w:val="61"/>
    <w:semiHidden/>
    <w:rsid w:val="003E273C"/>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rsid w:val="003E273C"/>
    <w:pPr>
      <w:spacing w:after="0" w:line="240" w:lineRule="auto"/>
    </w:p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pPr>
        <w:spacing w:before="0" w:after="0" w:line="240" w:lineRule="auto"/>
      </w:pPr>
      <w:rPr>
        <w:b/>
        <w:bCs/>
        <w:color w:val="FFFFFF" w:themeColor="background1"/>
      </w:rPr>
      <w:tblPr/>
      <w:tcPr>
        <w:shd w:val="clear" w:color="auto" w:fill="3C54A5" w:themeFill="accent1"/>
      </w:tcPr>
    </w:tblStylePr>
    <w:tblStylePr w:type="lastRow">
      <w:pPr>
        <w:spacing w:before="0" w:after="0" w:line="240" w:lineRule="auto"/>
      </w:pPr>
      <w:rPr>
        <w:b/>
        <w:bCs/>
      </w:rPr>
      <w:tblPr/>
      <w:tcPr>
        <w:tcBorders>
          <w:top w:val="double" w:sz="6" w:space="0" w:color="3C54A5" w:themeColor="accent1"/>
          <w:left w:val="single" w:sz="8" w:space="0" w:color="3C54A5" w:themeColor="accent1"/>
          <w:bottom w:val="single" w:sz="8" w:space="0" w:color="3C54A5" w:themeColor="accent1"/>
          <w:right w:val="single" w:sz="8" w:space="0" w:color="3C54A5" w:themeColor="accent1"/>
        </w:tcBorders>
      </w:tcPr>
    </w:tblStylePr>
    <w:tblStylePr w:type="firstCol">
      <w:rPr>
        <w:b/>
        <w:bCs/>
      </w:rPr>
    </w:tblStylePr>
    <w:tblStylePr w:type="lastCol">
      <w:rPr>
        <w:b/>
        <w:bCs/>
      </w:rPr>
    </w:tblStylePr>
    <w:tblStylePr w:type="band1Vert">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tblStylePr w:type="band1Horz">
      <w:tblPr/>
      <w:tcPr>
        <w:tcBorders>
          <w:top w:val="single" w:sz="8" w:space="0" w:color="3C54A5" w:themeColor="accent1"/>
          <w:left w:val="single" w:sz="8" w:space="0" w:color="3C54A5" w:themeColor="accent1"/>
          <w:bottom w:val="single" w:sz="8" w:space="0" w:color="3C54A5" w:themeColor="accent1"/>
          <w:right w:val="single" w:sz="8" w:space="0" w:color="3C54A5" w:themeColor="accent1"/>
        </w:tcBorders>
      </w:tcPr>
    </w:tblStylePr>
  </w:style>
  <w:style w:type="table" w:styleId="LightList-Accent2">
    <w:name w:val="Light List Accent 2"/>
    <w:basedOn w:val="TableNormal"/>
    <w:uiPriority w:val="61"/>
    <w:semiHidden/>
    <w:rsid w:val="003E273C"/>
    <w:pPr>
      <w:spacing w:after="0" w:line="240" w:lineRule="auto"/>
    </w:p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pPr>
        <w:spacing w:before="0" w:after="0" w:line="240" w:lineRule="auto"/>
      </w:pPr>
      <w:rPr>
        <w:b/>
        <w:bCs/>
        <w:color w:val="FFFFFF" w:themeColor="background1"/>
      </w:rPr>
      <w:tblPr/>
      <w:tcPr>
        <w:shd w:val="clear" w:color="auto" w:fill="545861" w:themeFill="accent2"/>
      </w:tcPr>
    </w:tblStylePr>
    <w:tblStylePr w:type="lastRow">
      <w:pPr>
        <w:spacing w:before="0" w:after="0" w:line="240" w:lineRule="auto"/>
      </w:pPr>
      <w:rPr>
        <w:b/>
        <w:bCs/>
      </w:rPr>
      <w:tblPr/>
      <w:tcPr>
        <w:tcBorders>
          <w:top w:val="double" w:sz="6" w:space="0" w:color="545861" w:themeColor="accent2"/>
          <w:left w:val="single" w:sz="8" w:space="0" w:color="545861" w:themeColor="accent2"/>
          <w:bottom w:val="single" w:sz="8" w:space="0" w:color="545861" w:themeColor="accent2"/>
          <w:right w:val="single" w:sz="8" w:space="0" w:color="545861" w:themeColor="accent2"/>
        </w:tcBorders>
      </w:tcPr>
    </w:tblStylePr>
    <w:tblStylePr w:type="firstCol">
      <w:rPr>
        <w:b/>
        <w:bCs/>
      </w:rPr>
    </w:tblStylePr>
    <w:tblStylePr w:type="lastCol">
      <w:rPr>
        <w:b/>
        <w:bCs/>
      </w:rPr>
    </w:tblStylePr>
    <w:tblStylePr w:type="band1Vert">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tblStylePr w:type="band1Horz">
      <w:tblPr/>
      <w:tcPr>
        <w:tcBorders>
          <w:top w:val="single" w:sz="8" w:space="0" w:color="545861" w:themeColor="accent2"/>
          <w:left w:val="single" w:sz="8" w:space="0" w:color="545861" w:themeColor="accent2"/>
          <w:bottom w:val="single" w:sz="8" w:space="0" w:color="545861" w:themeColor="accent2"/>
          <w:right w:val="single" w:sz="8" w:space="0" w:color="545861" w:themeColor="accent2"/>
        </w:tcBorders>
      </w:tcPr>
    </w:tblStylePr>
  </w:style>
  <w:style w:type="table" w:styleId="LightList-Accent3">
    <w:name w:val="Light List Accent 3"/>
    <w:basedOn w:val="TableNormal"/>
    <w:uiPriority w:val="61"/>
    <w:semiHidden/>
    <w:rsid w:val="003E273C"/>
    <w:pPr>
      <w:spacing w:after="0" w:line="240" w:lineRule="auto"/>
    </w:p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pPr>
        <w:spacing w:before="0" w:after="0" w:line="240" w:lineRule="auto"/>
      </w:pPr>
      <w:rPr>
        <w:b/>
        <w:bCs/>
        <w:color w:val="FFFFFF" w:themeColor="background1"/>
      </w:rPr>
      <w:tblPr/>
      <w:tcPr>
        <w:shd w:val="clear" w:color="auto" w:fill="E9A913" w:themeFill="accent3"/>
      </w:tcPr>
    </w:tblStylePr>
    <w:tblStylePr w:type="lastRow">
      <w:pPr>
        <w:spacing w:before="0" w:after="0" w:line="240" w:lineRule="auto"/>
      </w:pPr>
      <w:rPr>
        <w:b/>
        <w:bCs/>
      </w:rPr>
      <w:tblPr/>
      <w:tcPr>
        <w:tcBorders>
          <w:top w:val="double" w:sz="6" w:space="0" w:color="E9A913" w:themeColor="accent3"/>
          <w:left w:val="single" w:sz="8" w:space="0" w:color="E9A913" w:themeColor="accent3"/>
          <w:bottom w:val="single" w:sz="8" w:space="0" w:color="E9A913" w:themeColor="accent3"/>
          <w:right w:val="single" w:sz="8" w:space="0" w:color="E9A913" w:themeColor="accent3"/>
        </w:tcBorders>
      </w:tcPr>
    </w:tblStylePr>
    <w:tblStylePr w:type="firstCol">
      <w:rPr>
        <w:b/>
        <w:bCs/>
      </w:rPr>
    </w:tblStylePr>
    <w:tblStylePr w:type="lastCol">
      <w:rPr>
        <w:b/>
        <w:bCs/>
      </w:rPr>
    </w:tblStylePr>
    <w:tblStylePr w:type="band1Vert">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tblStylePr w:type="band1Horz">
      <w:tblPr/>
      <w:tcPr>
        <w:tcBorders>
          <w:top w:val="single" w:sz="8" w:space="0" w:color="E9A913" w:themeColor="accent3"/>
          <w:left w:val="single" w:sz="8" w:space="0" w:color="E9A913" w:themeColor="accent3"/>
          <w:bottom w:val="single" w:sz="8" w:space="0" w:color="E9A913" w:themeColor="accent3"/>
          <w:right w:val="single" w:sz="8" w:space="0" w:color="E9A913" w:themeColor="accent3"/>
        </w:tcBorders>
      </w:tcPr>
    </w:tblStylePr>
  </w:style>
  <w:style w:type="table" w:styleId="LightList-Accent4">
    <w:name w:val="Light List Accent 4"/>
    <w:basedOn w:val="TableNormal"/>
    <w:uiPriority w:val="61"/>
    <w:semiHidden/>
    <w:rsid w:val="003E273C"/>
    <w:pPr>
      <w:spacing w:after="0" w:line="240" w:lineRule="auto"/>
    </w:p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pPr>
        <w:spacing w:before="0" w:after="0" w:line="240" w:lineRule="auto"/>
      </w:pPr>
      <w:rPr>
        <w:b/>
        <w:bCs/>
        <w:color w:val="FFFFFF" w:themeColor="background1"/>
      </w:rPr>
      <w:tblPr/>
      <w:tcPr>
        <w:shd w:val="clear" w:color="auto" w:fill="522761" w:themeFill="accent4"/>
      </w:tcPr>
    </w:tblStylePr>
    <w:tblStylePr w:type="lastRow">
      <w:pPr>
        <w:spacing w:before="0" w:after="0" w:line="240" w:lineRule="auto"/>
      </w:pPr>
      <w:rPr>
        <w:b/>
        <w:bCs/>
      </w:rPr>
      <w:tblPr/>
      <w:tcPr>
        <w:tcBorders>
          <w:top w:val="double" w:sz="6" w:space="0" w:color="522761" w:themeColor="accent4"/>
          <w:left w:val="single" w:sz="8" w:space="0" w:color="522761" w:themeColor="accent4"/>
          <w:bottom w:val="single" w:sz="8" w:space="0" w:color="522761" w:themeColor="accent4"/>
          <w:right w:val="single" w:sz="8" w:space="0" w:color="522761" w:themeColor="accent4"/>
        </w:tcBorders>
      </w:tcPr>
    </w:tblStylePr>
    <w:tblStylePr w:type="firstCol">
      <w:rPr>
        <w:b/>
        <w:bCs/>
      </w:rPr>
    </w:tblStylePr>
    <w:tblStylePr w:type="lastCol">
      <w:rPr>
        <w:b/>
        <w:bCs/>
      </w:rPr>
    </w:tblStylePr>
    <w:tblStylePr w:type="band1Vert">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tblStylePr w:type="band1Horz">
      <w:tblPr/>
      <w:tcPr>
        <w:tcBorders>
          <w:top w:val="single" w:sz="8" w:space="0" w:color="522761" w:themeColor="accent4"/>
          <w:left w:val="single" w:sz="8" w:space="0" w:color="522761" w:themeColor="accent4"/>
          <w:bottom w:val="single" w:sz="8" w:space="0" w:color="522761" w:themeColor="accent4"/>
          <w:right w:val="single" w:sz="8" w:space="0" w:color="522761" w:themeColor="accent4"/>
        </w:tcBorders>
      </w:tcPr>
    </w:tblStylePr>
  </w:style>
  <w:style w:type="table" w:styleId="LightList-Accent5">
    <w:name w:val="Light List Accent 5"/>
    <w:basedOn w:val="TableNormal"/>
    <w:uiPriority w:val="61"/>
    <w:semiHidden/>
    <w:rsid w:val="003E273C"/>
    <w:pPr>
      <w:spacing w:after="0" w:line="240" w:lineRule="auto"/>
    </w:p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pPr>
        <w:spacing w:before="0" w:after="0" w:line="240" w:lineRule="auto"/>
      </w:pPr>
      <w:rPr>
        <w:b/>
        <w:bCs/>
        <w:color w:val="FFFFFF" w:themeColor="background1"/>
      </w:rPr>
      <w:tblPr/>
      <w:tcPr>
        <w:shd w:val="clear" w:color="auto" w:fill="3C54A5" w:themeFill="accent5"/>
      </w:tcPr>
    </w:tblStylePr>
    <w:tblStylePr w:type="lastRow">
      <w:pPr>
        <w:spacing w:before="0" w:after="0" w:line="240" w:lineRule="auto"/>
      </w:pPr>
      <w:rPr>
        <w:b/>
        <w:bCs/>
      </w:rPr>
      <w:tblPr/>
      <w:tcPr>
        <w:tcBorders>
          <w:top w:val="double" w:sz="6" w:space="0" w:color="3C54A5" w:themeColor="accent5"/>
          <w:left w:val="single" w:sz="8" w:space="0" w:color="3C54A5" w:themeColor="accent5"/>
          <w:bottom w:val="single" w:sz="8" w:space="0" w:color="3C54A5" w:themeColor="accent5"/>
          <w:right w:val="single" w:sz="8" w:space="0" w:color="3C54A5" w:themeColor="accent5"/>
        </w:tcBorders>
      </w:tcPr>
    </w:tblStylePr>
    <w:tblStylePr w:type="firstCol">
      <w:rPr>
        <w:b/>
        <w:bCs/>
      </w:rPr>
    </w:tblStylePr>
    <w:tblStylePr w:type="lastCol">
      <w:rPr>
        <w:b/>
        <w:bCs/>
      </w:rPr>
    </w:tblStylePr>
    <w:tblStylePr w:type="band1Vert">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tblStylePr w:type="band1Horz">
      <w:tblPr/>
      <w:tcPr>
        <w:tcBorders>
          <w:top w:val="single" w:sz="8" w:space="0" w:color="3C54A5" w:themeColor="accent5"/>
          <w:left w:val="single" w:sz="8" w:space="0" w:color="3C54A5" w:themeColor="accent5"/>
          <w:bottom w:val="single" w:sz="8" w:space="0" w:color="3C54A5" w:themeColor="accent5"/>
          <w:right w:val="single" w:sz="8" w:space="0" w:color="3C54A5" w:themeColor="accent5"/>
        </w:tcBorders>
      </w:tcPr>
    </w:tblStylePr>
  </w:style>
  <w:style w:type="table" w:styleId="LightList-Accent6">
    <w:name w:val="Light List Accent 6"/>
    <w:basedOn w:val="TableNormal"/>
    <w:uiPriority w:val="61"/>
    <w:semiHidden/>
    <w:rsid w:val="003E273C"/>
    <w:pPr>
      <w:spacing w:after="0" w:line="240" w:lineRule="auto"/>
    </w:p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pPr>
        <w:spacing w:before="0" w:after="0" w:line="240" w:lineRule="auto"/>
      </w:pPr>
      <w:rPr>
        <w:b/>
        <w:bCs/>
        <w:color w:val="FFFFFF" w:themeColor="background1"/>
      </w:rPr>
      <w:tblPr/>
      <w:tcPr>
        <w:shd w:val="clear" w:color="auto" w:fill="545861" w:themeFill="accent6"/>
      </w:tcPr>
    </w:tblStylePr>
    <w:tblStylePr w:type="lastRow">
      <w:pPr>
        <w:spacing w:before="0" w:after="0" w:line="240" w:lineRule="auto"/>
      </w:pPr>
      <w:rPr>
        <w:b/>
        <w:bCs/>
      </w:rPr>
      <w:tblPr/>
      <w:tcPr>
        <w:tcBorders>
          <w:top w:val="double" w:sz="6" w:space="0" w:color="545861" w:themeColor="accent6"/>
          <w:left w:val="single" w:sz="8" w:space="0" w:color="545861" w:themeColor="accent6"/>
          <w:bottom w:val="single" w:sz="8" w:space="0" w:color="545861" w:themeColor="accent6"/>
          <w:right w:val="single" w:sz="8" w:space="0" w:color="545861" w:themeColor="accent6"/>
        </w:tcBorders>
      </w:tcPr>
    </w:tblStylePr>
    <w:tblStylePr w:type="firstCol">
      <w:rPr>
        <w:b/>
        <w:bCs/>
      </w:rPr>
    </w:tblStylePr>
    <w:tblStylePr w:type="lastCol">
      <w:rPr>
        <w:b/>
        <w:bCs/>
      </w:rPr>
    </w:tblStylePr>
    <w:tblStylePr w:type="band1Vert">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tblStylePr w:type="band1Horz">
      <w:tblPr/>
      <w:tcPr>
        <w:tcBorders>
          <w:top w:val="single" w:sz="8" w:space="0" w:color="545861" w:themeColor="accent6"/>
          <w:left w:val="single" w:sz="8" w:space="0" w:color="545861" w:themeColor="accent6"/>
          <w:bottom w:val="single" w:sz="8" w:space="0" w:color="545861" w:themeColor="accent6"/>
          <w:right w:val="single" w:sz="8" w:space="0" w:color="545861" w:themeColor="accent6"/>
        </w:tcBorders>
      </w:tcPr>
    </w:tblStylePr>
  </w:style>
  <w:style w:type="table" w:styleId="LightShading">
    <w:name w:val="Light Shading"/>
    <w:basedOn w:val="TableNormal"/>
    <w:uiPriority w:val="60"/>
    <w:semiHidden/>
    <w:rsid w:val="003E273C"/>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rsid w:val="003E273C"/>
    <w:pPr>
      <w:spacing w:after="0" w:line="240" w:lineRule="auto"/>
    </w:pPr>
    <w:rPr>
      <w:color w:val="2D3E7B" w:themeColor="accent1" w:themeShade="BF"/>
    </w:rPr>
    <w:tblPr>
      <w:tblStyleRowBandSize w:val="1"/>
      <w:tblStyleColBandSize w:val="1"/>
      <w:tblBorders>
        <w:top w:val="single" w:sz="8" w:space="0" w:color="3C54A5" w:themeColor="accent1"/>
        <w:bottom w:val="single" w:sz="8" w:space="0" w:color="3C54A5" w:themeColor="accent1"/>
      </w:tblBorders>
    </w:tblPr>
    <w:tblStylePr w:type="fir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lastRow">
      <w:pPr>
        <w:spacing w:before="0" w:after="0" w:line="240" w:lineRule="auto"/>
      </w:pPr>
      <w:rPr>
        <w:b/>
        <w:bCs/>
      </w:rPr>
      <w:tblPr/>
      <w:tcPr>
        <w:tcBorders>
          <w:top w:val="single" w:sz="8" w:space="0" w:color="3C54A5" w:themeColor="accent1"/>
          <w:left w:val="nil"/>
          <w:bottom w:val="single" w:sz="8" w:space="0" w:color="3C54A5"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left w:val="nil"/>
          <w:right w:val="nil"/>
          <w:insideH w:val="nil"/>
          <w:insideV w:val="nil"/>
        </w:tcBorders>
        <w:shd w:val="clear" w:color="auto" w:fill="CBD2EC" w:themeFill="accent1" w:themeFillTint="3F"/>
      </w:tcPr>
    </w:tblStylePr>
  </w:style>
  <w:style w:type="table" w:styleId="LightShading-Accent2">
    <w:name w:val="Light Shading Accent 2"/>
    <w:basedOn w:val="TableNormal"/>
    <w:uiPriority w:val="60"/>
    <w:semiHidden/>
    <w:rsid w:val="003E273C"/>
    <w:pPr>
      <w:spacing w:after="0" w:line="240" w:lineRule="auto"/>
    </w:pPr>
    <w:rPr>
      <w:color w:val="3F4148" w:themeColor="accent2" w:themeShade="BF"/>
    </w:rPr>
    <w:tblPr>
      <w:tblStyleRowBandSize w:val="1"/>
      <w:tblStyleColBandSize w:val="1"/>
      <w:tblBorders>
        <w:top w:val="single" w:sz="8" w:space="0" w:color="545861" w:themeColor="accent2"/>
        <w:bottom w:val="single" w:sz="8" w:space="0" w:color="545861" w:themeColor="accent2"/>
      </w:tblBorders>
    </w:tblPr>
    <w:tblStylePr w:type="fir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lastRow">
      <w:pPr>
        <w:spacing w:before="0" w:after="0" w:line="240" w:lineRule="auto"/>
      </w:pPr>
      <w:rPr>
        <w:b/>
        <w:bCs/>
      </w:rPr>
      <w:tblPr/>
      <w:tcPr>
        <w:tcBorders>
          <w:top w:val="single" w:sz="8" w:space="0" w:color="545861" w:themeColor="accent2"/>
          <w:left w:val="nil"/>
          <w:bottom w:val="single" w:sz="8" w:space="0" w:color="545861"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left w:val="nil"/>
          <w:right w:val="nil"/>
          <w:insideH w:val="nil"/>
          <w:insideV w:val="nil"/>
        </w:tcBorders>
        <w:shd w:val="clear" w:color="auto" w:fill="D3D5D9" w:themeFill="accent2" w:themeFillTint="3F"/>
      </w:tcPr>
    </w:tblStylePr>
  </w:style>
  <w:style w:type="table" w:styleId="LightShading-Accent3">
    <w:name w:val="Light Shading Accent 3"/>
    <w:basedOn w:val="TableNormal"/>
    <w:uiPriority w:val="60"/>
    <w:semiHidden/>
    <w:rsid w:val="003E273C"/>
    <w:pPr>
      <w:spacing w:after="0" w:line="240" w:lineRule="auto"/>
    </w:pPr>
    <w:rPr>
      <w:color w:val="AE7E0E" w:themeColor="accent3" w:themeShade="BF"/>
    </w:rPr>
    <w:tblPr>
      <w:tblStyleRowBandSize w:val="1"/>
      <w:tblStyleColBandSize w:val="1"/>
      <w:tblBorders>
        <w:top w:val="single" w:sz="8" w:space="0" w:color="E9A913" w:themeColor="accent3"/>
        <w:bottom w:val="single" w:sz="8" w:space="0" w:color="E9A913" w:themeColor="accent3"/>
      </w:tblBorders>
    </w:tblPr>
    <w:tblStylePr w:type="fir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lastRow">
      <w:pPr>
        <w:spacing w:before="0" w:after="0" w:line="240" w:lineRule="auto"/>
      </w:pPr>
      <w:rPr>
        <w:b/>
        <w:bCs/>
      </w:rPr>
      <w:tblPr/>
      <w:tcPr>
        <w:tcBorders>
          <w:top w:val="single" w:sz="8" w:space="0" w:color="E9A913" w:themeColor="accent3"/>
          <w:left w:val="nil"/>
          <w:bottom w:val="single" w:sz="8" w:space="0" w:color="E9A913"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left w:val="nil"/>
          <w:right w:val="nil"/>
          <w:insideH w:val="nil"/>
          <w:insideV w:val="nil"/>
        </w:tcBorders>
        <w:shd w:val="clear" w:color="auto" w:fill="FAE9C3" w:themeFill="accent3" w:themeFillTint="3F"/>
      </w:tcPr>
    </w:tblStylePr>
  </w:style>
  <w:style w:type="table" w:styleId="LightShading-Accent4">
    <w:name w:val="Light Shading Accent 4"/>
    <w:basedOn w:val="TableNormal"/>
    <w:uiPriority w:val="60"/>
    <w:semiHidden/>
    <w:rsid w:val="003E273C"/>
    <w:pPr>
      <w:spacing w:after="0" w:line="240" w:lineRule="auto"/>
    </w:pPr>
    <w:rPr>
      <w:color w:val="3D1D48" w:themeColor="accent4" w:themeShade="BF"/>
    </w:rPr>
    <w:tblPr>
      <w:tblStyleRowBandSize w:val="1"/>
      <w:tblStyleColBandSize w:val="1"/>
      <w:tblBorders>
        <w:top w:val="single" w:sz="8" w:space="0" w:color="522761" w:themeColor="accent4"/>
        <w:bottom w:val="single" w:sz="8" w:space="0" w:color="522761" w:themeColor="accent4"/>
      </w:tblBorders>
    </w:tblPr>
    <w:tblStylePr w:type="fir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lastRow">
      <w:pPr>
        <w:spacing w:before="0" w:after="0" w:line="240" w:lineRule="auto"/>
      </w:pPr>
      <w:rPr>
        <w:b/>
        <w:bCs/>
      </w:rPr>
      <w:tblPr/>
      <w:tcPr>
        <w:tcBorders>
          <w:top w:val="single" w:sz="8" w:space="0" w:color="522761" w:themeColor="accent4"/>
          <w:left w:val="nil"/>
          <w:bottom w:val="single" w:sz="8" w:space="0" w:color="522761"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left w:val="nil"/>
          <w:right w:val="nil"/>
          <w:insideH w:val="nil"/>
          <w:insideV w:val="nil"/>
        </w:tcBorders>
        <w:shd w:val="clear" w:color="auto" w:fill="DABCE4" w:themeFill="accent4" w:themeFillTint="3F"/>
      </w:tcPr>
    </w:tblStylePr>
  </w:style>
  <w:style w:type="table" w:styleId="MediumGrid1">
    <w:name w:val="Medium Grid 1"/>
    <w:basedOn w:val="TableNormal"/>
    <w:uiPriority w:val="67"/>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insideV w:val="single" w:sz="8" w:space="0" w:color="6278C6" w:themeColor="accent1" w:themeTint="BF"/>
      </w:tblBorders>
    </w:tblPr>
    <w:tcPr>
      <w:shd w:val="clear" w:color="auto" w:fill="CBD2EC" w:themeFill="accent1" w:themeFillTint="3F"/>
    </w:tcPr>
    <w:tblStylePr w:type="firstRow">
      <w:rPr>
        <w:b/>
        <w:bCs/>
      </w:rPr>
    </w:tblStylePr>
    <w:tblStylePr w:type="lastRow">
      <w:rPr>
        <w:b/>
        <w:bCs/>
      </w:rPr>
      <w:tblPr/>
      <w:tcPr>
        <w:tcBorders>
          <w:top w:val="single" w:sz="18" w:space="0" w:color="6278C6" w:themeColor="accent1" w:themeTint="BF"/>
        </w:tcBorders>
      </w:tcPr>
    </w:tblStylePr>
    <w:tblStylePr w:type="firstCol">
      <w:rPr>
        <w:b/>
        <w:bCs/>
      </w:rPr>
    </w:tblStylePr>
    <w:tblStylePr w:type="lastCol">
      <w:rPr>
        <w:b/>
        <w:bCs/>
      </w:rPr>
    </w:tblStylePr>
    <w:tblStylePr w:type="band1Vert">
      <w:tblPr/>
      <w:tcPr>
        <w:shd w:val="clear" w:color="auto" w:fill="96A5D9" w:themeFill="accent1" w:themeFillTint="7F"/>
      </w:tcPr>
    </w:tblStylePr>
    <w:tblStylePr w:type="band1Horz">
      <w:tblPr/>
      <w:tcPr>
        <w:shd w:val="clear" w:color="auto" w:fill="96A5D9" w:themeFill="accent1" w:themeFillTint="7F"/>
      </w:tcPr>
    </w:tblStylePr>
  </w:style>
  <w:style w:type="table" w:styleId="MediumGrid1-Accent2">
    <w:name w:val="Medium Grid 1 Accent 2"/>
    <w:basedOn w:val="TableNormal"/>
    <w:uiPriority w:val="67"/>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insideV w:val="single" w:sz="8" w:space="0" w:color="7A808C" w:themeColor="accent2" w:themeTint="BF"/>
      </w:tblBorders>
    </w:tblPr>
    <w:tcPr>
      <w:shd w:val="clear" w:color="auto" w:fill="D3D5D9" w:themeFill="accent2" w:themeFillTint="3F"/>
    </w:tcPr>
    <w:tblStylePr w:type="firstRow">
      <w:rPr>
        <w:b/>
        <w:bCs/>
      </w:rPr>
    </w:tblStylePr>
    <w:tblStylePr w:type="lastRow">
      <w:rPr>
        <w:b/>
        <w:bCs/>
      </w:rPr>
      <w:tblPr/>
      <w:tcPr>
        <w:tcBorders>
          <w:top w:val="single" w:sz="18" w:space="0" w:color="7A808C" w:themeColor="accent2" w:themeTint="BF"/>
        </w:tcBorders>
      </w:tcPr>
    </w:tblStylePr>
    <w:tblStylePr w:type="firstCol">
      <w:rPr>
        <w:b/>
        <w:bCs/>
      </w:rPr>
    </w:tblStylePr>
    <w:tblStylePr w:type="lastCol">
      <w:rPr>
        <w:b/>
        <w:bCs/>
      </w:rPr>
    </w:tblStylePr>
    <w:tblStylePr w:type="band1Vert">
      <w:tblPr/>
      <w:tcPr>
        <w:shd w:val="clear" w:color="auto" w:fill="A7AAB3" w:themeFill="accent2" w:themeFillTint="7F"/>
      </w:tcPr>
    </w:tblStylePr>
    <w:tblStylePr w:type="band1Horz">
      <w:tblPr/>
      <w:tcPr>
        <w:shd w:val="clear" w:color="auto" w:fill="A7AAB3" w:themeFill="accent2" w:themeFillTint="7F"/>
      </w:tcPr>
    </w:tblStylePr>
  </w:style>
  <w:style w:type="table" w:styleId="MediumGrid1-Accent3">
    <w:name w:val="Medium Grid 1 Accent 3"/>
    <w:basedOn w:val="TableNormal"/>
    <w:uiPriority w:val="67"/>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insideV w:val="single" w:sz="8" w:space="0" w:color="F0BE4C" w:themeColor="accent3" w:themeTint="BF"/>
      </w:tblBorders>
    </w:tblPr>
    <w:tcPr>
      <w:shd w:val="clear" w:color="auto" w:fill="FAE9C3" w:themeFill="accent3" w:themeFillTint="3F"/>
    </w:tcPr>
    <w:tblStylePr w:type="firstRow">
      <w:rPr>
        <w:b/>
        <w:bCs/>
      </w:rPr>
    </w:tblStylePr>
    <w:tblStylePr w:type="lastRow">
      <w:rPr>
        <w:b/>
        <w:bCs/>
      </w:rPr>
      <w:tblPr/>
      <w:tcPr>
        <w:tcBorders>
          <w:top w:val="single" w:sz="18" w:space="0" w:color="F0BE4C" w:themeColor="accent3" w:themeTint="BF"/>
        </w:tcBorders>
      </w:tcPr>
    </w:tblStylePr>
    <w:tblStylePr w:type="firstCol">
      <w:rPr>
        <w:b/>
        <w:bCs/>
      </w:rPr>
    </w:tblStylePr>
    <w:tblStylePr w:type="lastCol">
      <w:rPr>
        <w:b/>
        <w:bCs/>
      </w:rPr>
    </w:tblStylePr>
    <w:tblStylePr w:type="band1Vert">
      <w:tblPr/>
      <w:tcPr>
        <w:shd w:val="clear" w:color="auto" w:fill="F5D488" w:themeFill="accent3" w:themeFillTint="7F"/>
      </w:tcPr>
    </w:tblStylePr>
    <w:tblStylePr w:type="band1Horz">
      <w:tblPr/>
      <w:tcPr>
        <w:shd w:val="clear" w:color="auto" w:fill="F5D488" w:themeFill="accent3" w:themeFillTint="7F"/>
      </w:tcPr>
    </w:tblStylePr>
  </w:style>
  <w:style w:type="table" w:styleId="MediumGrid1-Accent4">
    <w:name w:val="Medium Grid 1 Accent 4"/>
    <w:basedOn w:val="TableNormal"/>
    <w:uiPriority w:val="67"/>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insideV w:val="single" w:sz="8" w:space="0" w:color="8A42A3" w:themeColor="accent4" w:themeTint="BF"/>
      </w:tblBorders>
    </w:tblPr>
    <w:tcPr>
      <w:shd w:val="clear" w:color="auto" w:fill="DABCE4" w:themeFill="accent4" w:themeFillTint="3F"/>
    </w:tcPr>
    <w:tblStylePr w:type="firstRow">
      <w:rPr>
        <w:b/>
        <w:bCs/>
      </w:rPr>
    </w:tblStylePr>
    <w:tblStylePr w:type="lastRow">
      <w:rPr>
        <w:b/>
        <w:bCs/>
      </w:rPr>
      <w:tblPr/>
      <w:tcPr>
        <w:tcBorders>
          <w:top w:val="single" w:sz="18" w:space="0" w:color="8A42A3" w:themeColor="accent4" w:themeTint="BF"/>
        </w:tcBorders>
      </w:tcPr>
    </w:tblStylePr>
    <w:tblStylePr w:type="firstCol">
      <w:rPr>
        <w:b/>
        <w:bCs/>
      </w:rPr>
    </w:tblStylePr>
    <w:tblStylePr w:type="lastCol">
      <w:rPr>
        <w:b/>
        <w:bCs/>
      </w:rPr>
    </w:tblStylePr>
    <w:tblStylePr w:type="band1Vert">
      <w:tblPr/>
      <w:tcPr>
        <w:shd w:val="clear" w:color="auto" w:fill="B57AC9" w:themeFill="accent4" w:themeFillTint="7F"/>
      </w:tcPr>
    </w:tblStylePr>
    <w:tblStylePr w:type="band1Horz">
      <w:tblPr/>
      <w:tcPr>
        <w:shd w:val="clear" w:color="auto" w:fill="B57AC9" w:themeFill="accent4" w:themeFillTint="7F"/>
      </w:tcPr>
    </w:tblStylePr>
  </w:style>
  <w:style w:type="table" w:styleId="MediumGrid1-Accent5">
    <w:name w:val="Medium Grid 1 Accent 5"/>
    <w:basedOn w:val="TableNormal"/>
    <w:uiPriority w:val="67"/>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insideV w:val="single" w:sz="8" w:space="0" w:color="6278C6" w:themeColor="accent5" w:themeTint="BF"/>
      </w:tblBorders>
    </w:tblPr>
    <w:tcPr>
      <w:shd w:val="clear" w:color="auto" w:fill="CBD2EC" w:themeFill="accent5" w:themeFillTint="3F"/>
    </w:tcPr>
    <w:tblStylePr w:type="firstRow">
      <w:rPr>
        <w:b/>
        <w:bCs/>
      </w:rPr>
    </w:tblStylePr>
    <w:tblStylePr w:type="lastRow">
      <w:rPr>
        <w:b/>
        <w:bCs/>
      </w:rPr>
      <w:tblPr/>
      <w:tcPr>
        <w:tcBorders>
          <w:top w:val="single" w:sz="18" w:space="0" w:color="6278C6" w:themeColor="accent5" w:themeTint="BF"/>
        </w:tcBorders>
      </w:tcPr>
    </w:tblStylePr>
    <w:tblStylePr w:type="firstCol">
      <w:rPr>
        <w:b/>
        <w:bCs/>
      </w:rPr>
    </w:tblStylePr>
    <w:tblStylePr w:type="lastCol">
      <w:rPr>
        <w:b/>
        <w:bCs/>
      </w:rPr>
    </w:tblStylePr>
    <w:tblStylePr w:type="band1Vert">
      <w:tblPr/>
      <w:tcPr>
        <w:shd w:val="clear" w:color="auto" w:fill="96A5D9" w:themeFill="accent5" w:themeFillTint="7F"/>
      </w:tcPr>
    </w:tblStylePr>
    <w:tblStylePr w:type="band1Horz">
      <w:tblPr/>
      <w:tcPr>
        <w:shd w:val="clear" w:color="auto" w:fill="96A5D9" w:themeFill="accent5" w:themeFillTint="7F"/>
      </w:tcPr>
    </w:tblStylePr>
  </w:style>
  <w:style w:type="table" w:styleId="MediumGrid1-Accent6">
    <w:name w:val="Medium Grid 1 Accent 6"/>
    <w:basedOn w:val="TableNormal"/>
    <w:uiPriority w:val="67"/>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insideV w:val="single" w:sz="8" w:space="0" w:color="7A808C" w:themeColor="accent6" w:themeTint="BF"/>
      </w:tblBorders>
    </w:tblPr>
    <w:tcPr>
      <w:shd w:val="clear" w:color="auto" w:fill="D3D5D9" w:themeFill="accent6" w:themeFillTint="3F"/>
    </w:tcPr>
    <w:tblStylePr w:type="firstRow">
      <w:rPr>
        <w:b/>
        <w:bCs/>
      </w:rPr>
    </w:tblStylePr>
    <w:tblStylePr w:type="lastRow">
      <w:rPr>
        <w:b/>
        <w:bCs/>
      </w:rPr>
      <w:tblPr/>
      <w:tcPr>
        <w:tcBorders>
          <w:top w:val="single" w:sz="18" w:space="0" w:color="7A808C" w:themeColor="accent6" w:themeTint="BF"/>
        </w:tcBorders>
      </w:tcPr>
    </w:tblStylePr>
    <w:tblStylePr w:type="firstCol">
      <w:rPr>
        <w:b/>
        <w:bCs/>
      </w:rPr>
    </w:tblStylePr>
    <w:tblStylePr w:type="lastCol">
      <w:rPr>
        <w:b/>
        <w:bCs/>
      </w:rPr>
    </w:tblStylePr>
    <w:tblStylePr w:type="band1Vert">
      <w:tblPr/>
      <w:tcPr>
        <w:shd w:val="clear" w:color="auto" w:fill="A7AAB3" w:themeFill="accent6" w:themeFillTint="7F"/>
      </w:tcPr>
    </w:tblStylePr>
    <w:tblStylePr w:type="band1Horz">
      <w:tblPr/>
      <w:tcPr>
        <w:shd w:val="clear" w:color="auto" w:fill="A7AAB3" w:themeFill="accent6" w:themeFillTint="7F"/>
      </w:tcPr>
    </w:tblStylePr>
  </w:style>
  <w:style w:type="table" w:styleId="MediumGrid2">
    <w:name w:val="Medium Grid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insideH w:val="single" w:sz="8" w:space="0" w:color="3C54A5" w:themeColor="accent1"/>
        <w:insideV w:val="single" w:sz="8" w:space="0" w:color="3C54A5" w:themeColor="accent1"/>
      </w:tblBorders>
    </w:tblPr>
    <w:tcPr>
      <w:shd w:val="clear" w:color="auto" w:fill="CBD2EC" w:themeFill="accent1" w:themeFillTint="3F"/>
    </w:tcPr>
    <w:tblStylePr w:type="firstRow">
      <w:rPr>
        <w:b/>
        <w:bCs/>
        <w:color w:val="000000" w:themeColor="text1"/>
      </w:rPr>
      <w:tblPr/>
      <w:tcPr>
        <w:shd w:val="clear" w:color="auto" w:fill="EAEDF7"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1" w:themeFillTint="33"/>
      </w:tcPr>
    </w:tblStylePr>
    <w:tblStylePr w:type="band1Vert">
      <w:tblPr/>
      <w:tcPr>
        <w:shd w:val="clear" w:color="auto" w:fill="96A5D9" w:themeFill="accent1" w:themeFillTint="7F"/>
      </w:tcPr>
    </w:tblStylePr>
    <w:tblStylePr w:type="band1Horz">
      <w:tblPr/>
      <w:tcPr>
        <w:tcBorders>
          <w:insideH w:val="single" w:sz="6" w:space="0" w:color="3C54A5" w:themeColor="accent1"/>
          <w:insideV w:val="single" w:sz="6" w:space="0" w:color="3C54A5" w:themeColor="accent1"/>
        </w:tcBorders>
        <w:shd w:val="clear" w:color="auto" w:fill="96A5D9"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insideH w:val="single" w:sz="8" w:space="0" w:color="545861" w:themeColor="accent2"/>
        <w:insideV w:val="single" w:sz="8" w:space="0" w:color="545861" w:themeColor="accent2"/>
      </w:tblBorders>
    </w:tblPr>
    <w:tcPr>
      <w:shd w:val="clear" w:color="auto" w:fill="D3D5D9" w:themeFill="accent2" w:themeFillTint="3F"/>
    </w:tcPr>
    <w:tblStylePr w:type="firstRow">
      <w:rPr>
        <w:b/>
        <w:bCs/>
        <w:color w:val="000000" w:themeColor="text1"/>
      </w:rPr>
      <w:tblPr/>
      <w:tcPr>
        <w:shd w:val="clear" w:color="auto" w:fill="EDEEF0"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2" w:themeFillTint="33"/>
      </w:tcPr>
    </w:tblStylePr>
    <w:tblStylePr w:type="band1Vert">
      <w:tblPr/>
      <w:tcPr>
        <w:shd w:val="clear" w:color="auto" w:fill="A7AAB3" w:themeFill="accent2" w:themeFillTint="7F"/>
      </w:tcPr>
    </w:tblStylePr>
    <w:tblStylePr w:type="band1Horz">
      <w:tblPr/>
      <w:tcPr>
        <w:tcBorders>
          <w:insideH w:val="single" w:sz="6" w:space="0" w:color="545861" w:themeColor="accent2"/>
          <w:insideV w:val="single" w:sz="6" w:space="0" w:color="545861" w:themeColor="accent2"/>
        </w:tcBorders>
        <w:shd w:val="clear" w:color="auto" w:fill="A7AAB3"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insideH w:val="single" w:sz="8" w:space="0" w:color="E9A913" w:themeColor="accent3"/>
        <w:insideV w:val="single" w:sz="8" w:space="0" w:color="E9A913" w:themeColor="accent3"/>
      </w:tblBorders>
    </w:tblPr>
    <w:tcPr>
      <w:shd w:val="clear" w:color="auto" w:fill="FAE9C3" w:themeFill="accent3" w:themeFillTint="3F"/>
    </w:tcPr>
    <w:tblStylePr w:type="firstRow">
      <w:rPr>
        <w:b/>
        <w:bCs/>
        <w:color w:val="000000" w:themeColor="text1"/>
      </w:rPr>
      <w:tblPr/>
      <w:tcPr>
        <w:shd w:val="clear" w:color="auto" w:fill="FDF6E7"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BEDCF" w:themeFill="accent3" w:themeFillTint="33"/>
      </w:tcPr>
    </w:tblStylePr>
    <w:tblStylePr w:type="band1Vert">
      <w:tblPr/>
      <w:tcPr>
        <w:shd w:val="clear" w:color="auto" w:fill="F5D488" w:themeFill="accent3" w:themeFillTint="7F"/>
      </w:tcPr>
    </w:tblStylePr>
    <w:tblStylePr w:type="band1Horz">
      <w:tblPr/>
      <w:tcPr>
        <w:tcBorders>
          <w:insideH w:val="single" w:sz="6" w:space="0" w:color="E9A913" w:themeColor="accent3"/>
          <w:insideV w:val="single" w:sz="6" w:space="0" w:color="E9A913" w:themeColor="accent3"/>
        </w:tcBorders>
        <w:shd w:val="clear" w:color="auto" w:fill="F5D488"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insideH w:val="single" w:sz="8" w:space="0" w:color="522761" w:themeColor="accent4"/>
        <w:insideV w:val="single" w:sz="8" w:space="0" w:color="522761" w:themeColor="accent4"/>
      </w:tblBorders>
    </w:tblPr>
    <w:tcPr>
      <w:shd w:val="clear" w:color="auto" w:fill="DABCE4" w:themeFill="accent4" w:themeFillTint="3F"/>
    </w:tcPr>
    <w:tblStylePr w:type="firstRow">
      <w:rPr>
        <w:b/>
        <w:bCs/>
        <w:color w:val="000000" w:themeColor="text1"/>
      </w:rPr>
      <w:tblPr/>
      <w:tcPr>
        <w:shd w:val="clear" w:color="auto" w:fill="F0E4F4"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1C9E9" w:themeFill="accent4" w:themeFillTint="33"/>
      </w:tcPr>
    </w:tblStylePr>
    <w:tblStylePr w:type="band1Vert">
      <w:tblPr/>
      <w:tcPr>
        <w:shd w:val="clear" w:color="auto" w:fill="B57AC9" w:themeFill="accent4" w:themeFillTint="7F"/>
      </w:tcPr>
    </w:tblStylePr>
    <w:tblStylePr w:type="band1Horz">
      <w:tblPr/>
      <w:tcPr>
        <w:tcBorders>
          <w:insideH w:val="single" w:sz="6" w:space="0" w:color="522761" w:themeColor="accent4"/>
          <w:insideV w:val="single" w:sz="6" w:space="0" w:color="522761" w:themeColor="accent4"/>
        </w:tcBorders>
        <w:shd w:val="clear" w:color="auto" w:fill="B57AC9"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insideH w:val="single" w:sz="8" w:space="0" w:color="3C54A5" w:themeColor="accent5"/>
        <w:insideV w:val="single" w:sz="8" w:space="0" w:color="3C54A5" w:themeColor="accent5"/>
      </w:tblBorders>
    </w:tblPr>
    <w:tcPr>
      <w:shd w:val="clear" w:color="auto" w:fill="CBD2EC" w:themeFill="accent5" w:themeFillTint="3F"/>
    </w:tcPr>
    <w:tblStylePr w:type="firstRow">
      <w:rPr>
        <w:b/>
        <w:bCs/>
        <w:color w:val="000000" w:themeColor="text1"/>
      </w:rPr>
      <w:tblPr/>
      <w:tcPr>
        <w:shd w:val="clear" w:color="auto" w:fill="EAEDF7"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5DBEF" w:themeFill="accent5" w:themeFillTint="33"/>
      </w:tcPr>
    </w:tblStylePr>
    <w:tblStylePr w:type="band1Vert">
      <w:tblPr/>
      <w:tcPr>
        <w:shd w:val="clear" w:color="auto" w:fill="96A5D9" w:themeFill="accent5" w:themeFillTint="7F"/>
      </w:tcPr>
    </w:tblStylePr>
    <w:tblStylePr w:type="band1Horz">
      <w:tblPr/>
      <w:tcPr>
        <w:tcBorders>
          <w:insideH w:val="single" w:sz="6" w:space="0" w:color="3C54A5" w:themeColor="accent5"/>
          <w:insideV w:val="single" w:sz="6" w:space="0" w:color="3C54A5" w:themeColor="accent5"/>
        </w:tcBorders>
        <w:shd w:val="clear" w:color="auto" w:fill="96A5D9"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insideH w:val="single" w:sz="8" w:space="0" w:color="545861" w:themeColor="accent6"/>
        <w:insideV w:val="single" w:sz="8" w:space="0" w:color="545861" w:themeColor="accent6"/>
      </w:tblBorders>
    </w:tblPr>
    <w:tcPr>
      <w:shd w:val="clear" w:color="auto" w:fill="D3D5D9" w:themeFill="accent6" w:themeFillTint="3F"/>
    </w:tcPr>
    <w:tblStylePr w:type="firstRow">
      <w:rPr>
        <w:b/>
        <w:bCs/>
        <w:color w:val="000000" w:themeColor="text1"/>
      </w:rPr>
      <w:tblPr/>
      <w:tcPr>
        <w:shd w:val="clear" w:color="auto" w:fill="EDEEF0"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DDE0" w:themeFill="accent6" w:themeFillTint="33"/>
      </w:tcPr>
    </w:tblStylePr>
    <w:tblStylePr w:type="band1Vert">
      <w:tblPr/>
      <w:tcPr>
        <w:shd w:val="clear" w:color="auto" w:fill="A7AAB3" w:themeFill="accent6" w:themeFillTint="7F"/>
      </w:tcPr>
    </w:tblStylePr>
    <w:tblStylePr w:type="band1Horz">
      <w:tblPr/>
      <w:tcPr>
        <w:tcBorders>
          <w:insideH w:val="single" w:sz="6" w:space="0" w:color="545861" w:themeColor="accent6"/>
          <w:insideV w:val="single" w:sz="6" w:space="0" w:color="545861" w:themeColor="accent6"/>
        </w:tcBorders>
        <w:shd w:val="clear" w:color="auto" w:fill="A7AAB3"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1" w:themeFillTint="7F"/>
      </w:tcPr>
    </w:tblStylePr>
  </w:style>
  <w:style w:type="table" w:styleId="MediumGrid3-Accent2">
    <w:name w:val="Medium Grid 3 Accent 2"/>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2" w:themeFillTint="7F"/>
      </w:tcPr>
    </w:tblStylePr>
  </w:style>
  <w:style w:type="table" w:styleId="MediumGrid3-Accent3">
    <w:name w:val="Medium Grid 3 Accent 3"/>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AE9C3"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A913"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A913"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A913"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5D488"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5D488" w:themeFill="accent3" w:themeFillTint="7F"/>
      </w:tcPr>
    </w:tblStylePr>
  </w:style>
  <w:style w:type="table" w:styleId="MediumGrid3-Accent4">
    <w:name w:val="Medium Grid 3 Accent 4"/>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ABCE4"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22761"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22761"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22761"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57AC9"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57AC9" w:themeFill="accent4" w:themeFillTint="7F"/>
      </w:tcPr>
    </w:tblStylePr>
  </w:style>
  <w:style w:type="table" w:styleId="MediumGrid3-Accent5">
    <w:name w:val="Medium Grid 3 Accent 5"/>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BD2EC"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3C54A5"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3C54A5"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3C54A5"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6A5D9"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6A5D9" w:themeFill="accent5" w:themeFillTint="7F"/>
      </w:tcPr>
    </w:tblStylePr>
  </w:style>
  <w:style w:type="table" w:styleId="MediumGrid3-Accent6">
    <w:name w:val="Medium Grid 3 Accent 6"/>
    <w:basedOn w:val="TableNormal"/>
    <w:uiPriority w:val="69"/>
    <w:semiHidden/>
    <w:rsid w:val="003E273C"/>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3D5D9"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545861"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545861"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545861"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AAB3"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AAB3" w:themeFill="accent6" w:themeFillTint="7F"/>
      </w:tcPr>
    </w:tblStylePr>
  </w:style>
  <w:style w:type="table" w:styleId="MediumList1">
    <w:name w:val="Medium Lis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3C54A5"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1"/>
        <w:bottom w:val="single" w:sz="8" w:space="0" w:color="3C54A5" w:themeColor="accent1"/>
      </w:tblBorders>
    </w:tblPr>
    <w:tblStylePr w:type="firstRow">
      <w:rPr>
        <w:rFonts w:asciiTheme="majorHAnsi" w:eastAsiaTheme="majorEastAsia" w:hAnsiTheme="majorHAnsi" w:cstheme="majorBidi"/>
      </w:rPr>
      <w:tblPr/>
      <w:tcPr>
        <w:tcBorders>
          <w:top w:val="nil"/>
          <w:bottom w:val="single" w:sz="8" w:space="0" w:color="3C54A5" w:themeColor="accent1"/>
        </w:tcBorders>
      </w:tcPr>
    </w:tblStylePr>
    <w:tblStylePr w:type="lastRow">
      <w:rPr>
        <w:b/>
        <w:bCs/>
        <w:color w:val="3C54A5" w:themeColor="text2"/>
      </w:rPr>
      <w:tblPr/>
      <w:tcPr>
        <w:tcBorders>
          <w:top w:val="single" w:sz="8" w:space="0" w:color="3C54A5" w:themeColor="accent1"/>
          <w:bottom w:val="single" w:sz="8" w:space="0" w:color="3C54A5" w:themeColor="accent1"/>
        </w:tcBorders>
      </w:tcPr>
    </w:tblStylePr>
    <w:tblStylePr w:type="firstCol">
      <w:rPr>
        <w:b/>
        <w:bCs/>
      </w:rPr>
    </w:tblStylePr>
    <w:tblStylePr w:type="lastCol">
      <w:rPr>
        <w:b/>
        <w:bCs/>
      </w:rPr>
      <w:tblPr/>
      <w:tcPr>
        <w:tcBorders>
          <w:top w:val="single" w:sz="8" w:space="0" w:color="3C54A5" w:themeColor="accent1"/>
          <w:bottom w:val="single" w:sz="8" w:space="0" w:color="3C54A5" w:themeColor="accent1"/>
        </w:tcBorders>
      </w:tcPr>
    </w:tblStylePr>
    <w:tblStylePr w:type="band1Vert">
      <w:tblPr/>
      <w:tcPr>
        <w:shd w:val="clear" w:color="auto" w:fill="CBD2EC" w:themeFill="accent1" w:themeFillTint="3F"/>
      </w:tcPr>
    </w:tblStylePr>
    <w:tblStylePr w:type="band1Horz">
      <w:tblPr/>
      <w:tcPr>
        <w:shd w:val="clear" w:color="auto" w:fill="CBD2EC" w:themeFill="accent1" w:themeFillTint="3F"/>
      </w:tcPr>
    </w:tblStylePr>
  </w:style>
  <w:style w:type="table" w:styleId="MediumList1-Accent2">
    <w:name w:val="Medium List 1 Accent 2"/>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2"/>
        <w:bottom w:val="single" w:sz="8" w:space="0" w:color="545861" w:themeColor="accent2"/>
      </w:tblBorders>
    </w:tblPr>
    <w:tblStylePr w:type="firstRow">
      <w:rPr>
        <w:rFonts w:asciiTheme="majorHAnsi" w:eastAsiaTheme="majorEastAsia" w:hAnsiTheme="majorHAnsi" w:cstheme="majorBidi"/>
      </w:rPr>
      <w:tblPr/>
      <w:tcPr>
        <w:tcBorders>
          <w:top w:val="nil"/>
          <w:bottom w:val="single" w:sz="8" w:space="0" w:color="545861" w:themeColor="accent2"/>
        </w:tcBorders>
      </w:tcPr>
    </w:tblStylePr>
    <w:tblStylePr w:type="lastRow">
      <w:rPr>
        <w:b/>
        <w:bCs/>
        <w:color w:val="3C54A5" w:themeColor="text2"/>
      </w:rPr>
      <w:tblPr/>
      <w:tcPr>
        <w:tcBorders>
          <w:top w:val="single" w:sz="8" w:space="0" w:color="545861" w:themeColor="accent2"/>
          <w:bottom w:val="single" w:sz="8" w:space="0" w:color="545861" w:themeColor="accent2"/>
        </w:tcBorders>
      </w:tcPr>
    </w:tblStylePr>
    <w:tblStylePr w:type="firstCol">
      <w:rPr>
        <w:b/>
        <w:bCs/>
      </w:rPr>
    </w:tblStylePr>
    <w:tblStylePr w:type="lastCol">
      <w:rPr>
        <w:b/>
        <w:bCs/>
      </w:rPr>
      <w:tblPr/>
      <w:tcPr>
        <w:tcBorders>
          <w:top w:val="single" w:sz="8" w:space="0" w:color="545861" w:themeColor="accent2"/>
          <w:bottom w:val="single" w:sz="8" w:space="0" w:color="545861" w:themeColor="accent2"/>
        </w:tcBorders>
      </w:tcPr>
    </w:tblStylePr>
    <w:tblStylePr w:type="band1Vert">
      <w:tblPr/>
      <w:tcPr>
        <w:shd w:val="clear" w:color="auto" w:fill="D3D5D9" w:themeFill="accent2" w:themeFillTint="3F"/>
      </w:tcPr>
    </w:tblStylePr>
    <w:tblStylePr w:type="band1Horz">
      <w:tblPr/>
      <w:tcPr>
        <w:shd w:val="clear" w:color="auto" w:fill="D3D5D9" w:themeFill="accent2" w:themeFillTint="3F"/>
      </w:tcPr>
    </w:tblStylePr>
  </w:style>
  <w:style w:type="table" w:styleId="MediumList1-Accent3">
    <w:name w:val="Medium List 1 Accent 3"/>
    <w:basedOn w:val="TableNormal"/>
    <w:uiPriority w:val="65"/>
    <w:semiHidden/>
    <w:rsid w:val="003E273C"/>
    <w:pPr>
      <w:spacing w:after="0" w:line="240" w:lineRule="auto"/>
    </w:pPr>
    <w:rPr>
      <w:color w:val="000000" w:themeColor="text1"/>
    </w:rPr>
    <w:tblPr>
      <w:tblStyleRowBandSize w:val="1"/>
      <w:tblStyleColBandSize w:val="1"/>
      <w:tblBorders>
        <w:top w:val="single" w:sz="8" w:space="0" w:color="E9A913" w:themeColor="accent3"/>
        <w:bottom w:val="single" w:sz="8" w:space="0" w:color="E9A913" w:themeColor="accent3"/>
      </w:tblBorders>
    </w:tblPr>
    <w:tblStylePr w:type="firstRow">
      <w:rPr>
        <w:rFonts w:asciiTheme="majorHAnsi" w:eastAsiaTheme="majorEastAsia" w:hAnsiTheme="majorHAnsi" w:cstheme="majorBidi"/>
      </w:rPr>
      <w:tblPr/>
      <w:tcPr>
        <w:tcBorders>
          <w:top w:val="nil"/>
          <w:bottom w:val="single" w:sz="8" w:space="0" w:color="E9A913" w:themeColor="accent3"/>
        </w:tcBorders>
      </w:tcPr>
    </w:tblStylePr>
    <w:tblStylePr w:type="lastRow">
      <w:rPr>
        <w:b/>
        <w:bCs/>
        <w:color w:val="3C54A5" w:themeColor="text2"/>
      </w:rPr>
      <w:tblPr/>
      <w:tcPr>
        <w:tcBorders>
          <w:top w:val="single" w:sz="8" w:space="0" w:color="E9A913" w:themeColor="accent3"/>
          <w:bottom w:val="single" w:sz="8" w:space="0" w:color="E9A913" w:themeColor="accent3"/>
        </w:tcBorders>
      </w:tcPr>
    </w:tblStylePr>
    <w:tblStylePr w:type="firstCol">
      <w:rPr>
        <w:b/>
        <w:bCs/>
      </w:rPr>
    </w:tblStylePr>
    <w:tblStylePr w:type="lastCol">
      <w:rPr>
        <w:b/>
        <w:bCs/>
      </w:rPr>
      <w:tblPr/>
      <w:tcPr>
        <w:tcBorders>
          <w:top w:val="single" w:sz="8" w:space="0" w:color="E9A913" w:themeColor="accent3"/>
          <w:bottom w:val="single" w:sz="8" w:space="0" w:color="E9A913" w:themeColor="accent3"/>
        </w:tcBorders>
      </w:tcPr>
    </w:tblStylePr>
    <w:tblStylePr w:type="band1Vert">
      <w:tblPr/>
      <w:tcPr>
        <w:shd w:val="clear" w:color="auto" w:fill="FAE9C3" w:themeFill="accent3" w:themeFillTint="3F"/>
      </w:tcPr>
    </w:tblStylePr>
    <w:tblStylePr w:type="band1Horz">
      <w:tblPr/>
      <w:tcPr>
        <w:shd w:val="clear" w:color="auto" w:fill="FAE9C3" w:themeFill="accent3" w:themeFillTint="3F"/>
      </w:tcPr>
    </w:tblStylePr>
  </w:style>
  <w:style w:type="table" w:styleId="MediumList1-Accent4">
    <w:name w:val="Medium List 1 Accent 4"/>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22761" w:themeColor="accent4"/>
        <w:bottom w:val="single" w:sz="8" w:space="0" w:color="522761" w:themeColor="accent4"/>
      </w:tblBorders>
    </w:tblPr>
    <w:tblStylePr w:type="firstRow">
      <w:rPr>
        <w:rFonts w:asciiTheme="majorHAnsi" w:eastAsiaTheme="majorEastAsia" w:hAnsiTheme="majorHAnsi" w:cstheme="majorBidi"/>
      </w:rPr>
      <w:tblPr/>
      <w:tcPr>
        <w:tcBorders>
          <w:top w:val="nil"/>
          <w:bottom w:val="single" w:sz="8" w:space="0" w:color="522761" w:themeColor="accent4"/>
        </w:tcBorders>
      </w:tcPr>
    </w:tblStylePr>
    <w:tblStylePr w:type="lastRow">
      <w:rPr>
        <w:b/>
        <w:bCs/>
        <w:color w:val="3C54A5" w:themeColor="text2"/>
      </w:rPr>
      <w:tblPr/>
      <w:tcPr>
        <w:tcBorders>
          <w:top w:val="single" w:sz="8" w:space="0" w:color="522761" w:themeColor="accent4"/>
          <w:bottom w:val="single" w:sz="8" w:space="0" w:color="522761" w:themeColor="accent4"/>
        </w:tcBorders>
      </w:tcPr>
    </w:tblStylePr>
    <w:tblStylePr w:type="firstCol">
      <w:rPr>
        <w:b/>
        <w:bCs/>
      </w:rPr>
    </w:tblStylePr>
    <w:tblStylePr w:type="lastCol">
      <w:rPr>
        <w:b/>
        <w:bCs/>
      </w:rPr>
      <w:tblPr/>
      <w:tcPr>
        <w:tcBorders>
          <w:top w:val="single" w:sz="8" w:space="0" w:color="522761" w:themeColor="accent4"/>
          <w:bottom w:val="single" w:sz="8" w:space="0" w:color="522761" w:themeColor="accent4"/>
        </w:tcBorders>
      </w:tcPr>
    </w:tblStylePr>
    <w:tblStylePr w:type="band1Vert">
      <w:tblPr/>
      <w:tcPr>
        <w:shd w:val="clear" w:color="auto" w:fill="DABCE4" w:themeFill="accent4" w:themeFillTint="3F"/>
      </w:tcPr>
    </w:tblStylePr>
    <w:tblStylePr w:type="band1Horz">
      <w:tblPr/>
      <w:tcPr>
        <w:shd w:val="clear" w:color="auto" w:fill="DABCE4" w:themeFill="accent4" w:themeFillTint="3F"/>
      </w:tcPr>
    </w:tblStylePr>
  </w:style>
  <w:style w:type="table" w:styleId="MediumList1-Accent5">
    <w:name w:val="Medium List 1 Accent 5"/>
    <w:basedOn w:val="TableNormal"/>
    <w:uiPriority w:val="65"/>
    <w:semiHidden/>
    <w:rsid w:val="003E273C"/>
    <w:pPr>
      <w:spacing w:after="0" w:line="240" w:lineRule="auto"/>
    </w:pPr>
    <w:rPr>
      <w:color w:val="000000" w:themeColor="text1"/>
    </w:rPr>
    <w:tblPr>
      <w:tblStyleRowBandSize w:val="1"/>
      <w:tblStyleColBandSize w:val="1"/>
      <w:tblBorders>
        <w:top w:val="single" w:sz="8" w:space="0" w:color="3C54A5" w:themeColor="accent5"/>
        <w:bottom w:val="single" w:sz="8" w:space="0" w:color="3C54A5" w:themeColor="accent5"/>
      </w:tblBorders>
    </w:tblPr>
    <w:tblStylePr w:type="firstRow">
      <w:rPr>
        <w:rFonts w:asciiTheme="majorHAnsi" w:eastAsiaTheme="majorEastAsia" w:hAnsiTheme="majorHAnsi" w:cstheme="majorBidi"/>
      </w:rPr>
      <w:tblPr/>
      <w:tcPr>
        <w:tcBorders>
          <w:top w:val="nil"/>
          <w:bottom w:val="single" w:sz="8" w:space="0" w:color="3C54A5" w:themeColor="accent5"/>
        </w:tcBorders>
      </w:tcPr>
    </w:tblStylePr>
    <w:tblStylePr w:type="lastRow">
      <w:rPr>
        <w:b/>
        <w:bCs/>
        <w:color w:val="3C54A5" w:themeColor="text2"/>
      </w:rPr>
      <w:tblPr/>
      <w:tcPr>
        <w:tcBorders>
          <w:top w:val="single" w:sz="8" w:space="0" w:color="3C54A5" w:themeColor="accent5"/>
          <w:bottom w:val="single" w:sz="8" w:space="0" w:color="3C54A5" w:themeColor="accent5"/>
        </w:tcBorders>
      </w:tcPr>
    </w:tblStylePr>
    <w:tblStylePr w:type="firstCol">
      <w:rPr>
        <w:b/>
        <w:bCs/>
      </w:rPr>
    </w:tblStylePr>
    <w:tblStylePr w:type="lastCol">
      <w:rPr>
        <w:b/>
        <w:bCs/>
      </w:rPr>
      <w:tblPr/>
      <w:tcPr>
        <w:tcBorders>
          <w:top w:val="single" w:sz="8" w:space="0" w:color="3C54A5" w:themeColor="accent5"/>
          <w:bottom w:val="single" w:sz="8" w:space="0" w:color="3C54A5" w:themeColor="accent5"/>
        </w:tcBorders>
      </w:tcPr>
    </w:tblStylePr>
    <w:tblStylePr w:type="band1Vert">
      <w:tblPr/>
      <w:tcPr>
        <w:shd w:val="clear" w:color="auto" w:fill="CBD2EC" w:themeFill="accent5" w:themeFillTint="3F"/>
      </w:tcPr>
    </w:tblStylePr>
    <w:tblStylePr w:type="band1Horz">
      <w:tblPr/>
      <w:tcPr>
        <w:shd w:val="clear" w:color="auto" w:fill="CBD2EC" w:themeFill="accent5" w:themeFillTint="3F"/>
      </w:tcPr>
    </w:tblStylePr>
  </w:style>
  <w:style w:type="table" w:styleId="MediumList1-Accent6">
    <w:name w:val="Medium List 1 Accent 6"/>
    <w:basedOn w:val="TableNormal"/>
    <w:uiPriority w:val="65"/>
    <w:semiHidden/>
    <w:rsid w:val="003E273C"/>
    <w:pPr>
      <w:spacing w:after="0" w:line="240" w:lineRule="auto"/>
    </w:pPr>
    <w:rPr>
      <w:color w:val="000000" w:themeColor="text1"/>
    </w:rPr>
    <w:tblPr>
      <w:tblStyleRowBandSize w:val="1"/>
      <w:tblStyleColBandSize w:val="1"/>
      <w:tblBorders>
        <w:top w:val="single" w:sz="8" w:space="0" w:color="545861" w:themeColor="accent6"/>
        <w:bottom w:val="single" w:sz="8" w:space="0" w:color="545861" w:themeColor="accent6"/>
      </w:tblBorders>
    </w:tblPr>
    <w:tblStylePr w:type="firstRow">
      <w:rPr>
        <w:rFonts w:asciiTheme="majorHAnsi" w:eastAsiaTheme="majorEastAsia" w:hAnsiTheme="majorHAnsi" w:cstheme="majorBidi"/>
      </w:rPr>
      <w:tblPr/>
      <w:tcPr>
        <w:tcBorders>
          <w:top w:val="nil"/>
          <w:bottom w:val="single" w:sz="8" w:space="0" w:color="545861" w:themeColor="accent6"/>
        </w:tcBorders>
      </w:tcPr>
    </w:tblStylePr>
    <w:tblStylePr w:type="lastRow">
      <w:rPr>
        <w:b/>
        <w:bCs/>
        <w:color w:val="3C54A5" w:themeColor="text2"/>
      </w:rPr>
      <w:tblPr/>
      <w:tcPr>
        <w:tcBorders>
          <w:top w:val="single" w:sz="8" w:space="0" w:color="545861" w:themeColor="accent6"/>
          <w:bottom w:val="single" w:sz="8" w:space="0" w:color="545861" w:themeColor="accent6"/>
        </w:tcBorders>
      </w:tcPr>
    </w:tblStylePr>
    <w:tblStylePr w:type="firstCol">
      <w:rPr>
        <w:b/>
        <w:bCs/>
      </w:rPr>
    </w:tblStylePr>
    <w:tblStylePr w:type="lastCol">
      <w:rPr>
        <w:b/>
        <w:bCs/>
      </w:rPr>
      <w:tblPr/>
      <w:tcPr>
        <w:tcBorders>
          <w:top w:val="single" w:sz="8" w:space="0" w:color="545861" w:themeColor="accent6"/>
          <w:bottom w:val="single" w:sz="8" w:space="0" w:color="545861" w:themeColor="accent6"/>
        </w:tcBorders>
      </w:tcPr>
    </w:tblStylePr>
    <w:tblStylePr w:type="band1Vert">
      <w:tblPr/>
      <w:tcPr>
        <w:shd w:val="clear" w:color="auto" w:fill="D3D5D9" w:themeFill="accent6" w:themeFillTint="3F"/>
      </w:tcPr>
    </w:tblStylePr>
    <w:tblStylePr w:type="band1Horz">
      <w:tblPr/>
      <w:tcPr>
        <w:shd w:val="clear" w:color="auto" w:fill="D3D5D9" w:themeFill="accent6" w:themeFillTint="3F"/>
      </w:tcPr>
    </w:tblStylePr>
  </w:style>
  <w:style w:type="table" w:styleId="MediumList2">
    <w:name w:val="Medium Lis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1"/>
        <w:left w:val="single" w:sz="8" w:space="0" w:color="3C54A5" w:themeColor="accent1"/>
        <w:bottom w:val="single" w:sz="8" w:space="0" w:color="3C54A5" w:themeColor="accent1"/>
        <w:right w:val="single" w:sz="8" w:space="0" w:color="3C54A5" w:themeColor="accent1"/>
      </w:tblBorders>
    </w:tblPr>
    <w:tblStylePr w:type="firstRow">
      <w:rPr>
        <w:sz w:val="24"/>
        <w:szCs w:val="24"/>
      </w:rPr>
      <w:tblPr/>
      <w:tcPr>
        <w:tcBorders>
          <w:top w:val="nil"/>
          <w:left w:val="nil"/>
          <w:bottom w:val="single" w:sz="24" w:space="0" w:color="3C54A5" w:themeColor="accent1"/>
          <w:right w:val="nil"/>
          <w:insideH w:val="nil"/>
          <w:insideV w:val="nil"/>
        </w:tcBorders>
        <w:shd w:val="clear" w:color="auto" w:fill="FFFFFF" w:themeFill="background1"/>
      </w:tcPr>
    </w:tblStylePr>
    <w:tblStylePr w:type="lastRow">
      <w:tblPr/>
      <w:tcPr>
        <w:tcBorders>
          <w:top w:val="single" w:sz="8" w:space="0" w:color="3C54A5"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1"/>
          <w:insideH w:val="nil"/>
          <w:insideV w:val="nil"/>
        </w:tcBorders>
        <w:shd w:val="clear" w:color="auto" w:fill="FFFFFF" w:themeFill="background1"/>
      </w:tcPr>
    </w:tblStylePr>
    <w:tblStylePr w:type="lastCol">
      <w:tblPr/>
      <w:tcPr>
        <w:tcBorders>
          <w:top w:val="nil"/>
          <w:left w:val="single" w:sz="8" w:space="0" w:color="3C54A5"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1" w:themeFillTint="3F"/>
      </w:tcPr>
    </w:tblStylePr>
    <w:tblStylePr w:type="band1Horz">
      <w:tblPr/>
      <w:tcPr>
        <w:tcBorders>
          <w:top w:val="nil"/>
          <w:bottom w:val="nil"/>
          <w:insideH w:val="nil"/>
          <w:insideV w:val="nil"/>
        </w:tcBorders>
        <w:shd w:val="clear" w:color="auto" w:fill="CBD2EC"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2"/>
        <w:left w:val="single" w:sz="8" w:space="0" w:color="545861" w:themeColor="accent2"/>
        <w:bottom w:val="single" w:sz="8" w:space="0" w:color="545861" w:themeColor="accent2"/>
        <w:right w:val="single" w:sz="8" w:space="0" w:color="545861" w:themeColor="accent2"/>
      </w:tblBorders>
    </w:tblPr>
    <w:tblStylePr w:type="firstRow">
      <w:rPr>
        <w:sz w:val="24"/>
        <w:szCs w:val="24"/>
      </w:rPr>
      <w:tblPr/>
      <w:tcPr>
        <w:tcBorders>
          <w:top w:val="nil"/>
          <w:left w:val="nil"/>
          <w:bottom w:val="single" w:sz="24" w:space="0" w:color="545861" w:themeColor="accent2"/>
          <w:right w:val="nil"/>
          <w:insideH w:val="nil"/>
          <w:insideV w:val="nil"/>
        </w:tcBorders>
        <w:shd w:val="clear" w:color="auto" w:fill="FFFFFF" w:themeFill="background1"/>
      </w:tcPr>
    </w:tblStylePr>
    <w:tblStylePr w:type="lastRow">
      <w:tblPr/>
      <w:tcPr>
        <w:tcBorders>
          <w:top w:val="single" w:sz="8" w:space="0" w:color="545861"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2"/>
          <w:insideH w:val="nil"/>
          <w:insideV w:val="nil"/>
        </w:tcBorders>
        <w:shd w:val="clear" w:color="auto" w:fill="FFFFFF" w:themeFill="background1"/>
      </w:tcPr>
    </w:tblStylePr>
    <w:tblStylePr w:type="lastCol">
      <w:tblPr/>
      <w:tcPr>
        <w:tcBorders>
          <w:top w:val="nil"/>
          <w:left w:val="single" w:sz="8" w:space="0" w:color="545861"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2" w:themeFillTint="3F"/>
      </w:tcPr>
    </w:tblStylePr>
    <w:tblStylePr w:type="band1Horz">
      <w:tblPr/>
      <w:tcPr>
        <w:tcBorders>
          <w:top w:val="nil"/>
          <w:bottom w:val="nil"/>
          <w:insideH w:val="nil"/>
          <w:insideV w:val="nil"/>
        </w:tcBorders>
        <w:shd w:val="clear" w:color="auto" w:fill="D3D5D9"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A913" w:themeColor="accent3"/>
        <w:left w:val="single" w:sz="8" w:space="0" w:color="E9A913" w:themeColor="accent3"/>
        <w:bottom w:val="single" w:sz="8" w:space="0" w:color="E9A913" w:themeColor="accent3"/>
        <w:right w:val="single" w:sz="8" w:space="0" w:color="E9A913" w:themeColor="accent3"/>
      </w:tblBorders>
    </w:tblPr>
    <w:tblStylePr w:type="firstRow">
      <w:rPr>
        <w:sz w:val="24"/>
        <w:szCs w:val="24"/>
      </w:rPr>
      <w:tblPr/>
      <w:tcPr>
        <w:tcBorders>
          <w:top w:val="nil"/>
          <w:left w:val="nil"/>
          <w:bottom w:val="single" w:sz="24" w:space="0" w:color="E9A913" w:themeColor="accent3"/>
          <w:right w:val="nil"/>
          <w:insideH w:val="nil"/>
          <w:insideV w:val="nil"/>
        </w:tcBorders>
        <w:shd w:val="clear" w:color="auto" w:fill="FFFFFF" w:themeFill="background1"/>
      </w:tcPr>
    </w:tblStylePr>
    <w:tblStylePr w:type="lastRow">
      <w:tblPr/>
      <w:tcPr>
        <w:tcBorders>
          <w:top w:val="single" w:sz="8" w:space="0" w:color="E9A913"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A913" w:themeColor="accent3"/>
          <w:insideH w:val="nil"/>
          <w:insideV w:val="nil"/>
        </w:tcBorders>
        <w:shd w:val="clear" w:color="auto" w:fill="FFFFFF" w:themeFill="background1"/>
      </w:tcPr>
    </w:tblStylePr>
    <w:tblStylePr w:type="lastCol">
      <w:tblPr/>
      <w:tcPr>
        <w:tcBorders>
          <w:top w:val="nil"/>
          <w:left w:val="single" w:sz="8" w:space="0" w:color="E9A913"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AE9C3" w:themeFill="accent3" w:themeFillTint="3F"/>
      </w:tcPr>
    </w:tblStylePr>
    <w:tblStylePr w:type="band1Horz">
      <w:tblPr/>
      <w:tcPr>
        <w:tcBorders>
          <w:top w:val="nil"/>
          <w:bottom w:val="nil"/>
          <w:insideH w:val="nil"/>
          <w:insideV w:val="nil"/>
        </w:tcBorders>
        <w:shd w:val="clear" w:color="auto" w:fill="FAE9C3"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22761" w:themeColor="accent4"/>
        <w:left w:val="single" w:sz="8" w:space="0" w:color="522761" w:themeColor="accent4"/>
        <w:bottom w:val="single" w:sz="8" w:space="0" w:color="522761" w:themeColor="accent4"/>
        <w:right w:val="single" w:sz="8" w:space="0" w:color="522761" w:themeColor="accent4"/>
      </w:tblBorders>
    </w:tblPr>
    <w:tblStylePr w:type="firstRow">
      <w:rPr>
        <w:sz w:val="24"/>
        <w:szCs w:val="24"/>
      </w:rPr>
      <w:tblPr/>
      <w:tcPr>
        <w:tcBorders>
          <w:top w:val="nil"/>
          <w:left w:val="nil"/>
          <w:bottom w:val="single" w:sz="24" w:space="0" w:color="522761" w:themeColor="accent4"/>
          <w:right w:val="nil"/>
          <w:insideH w:val="nil"/>
          <w:insideV w:val="nil"/>
        </w:tcBorders>
        <w:shd w:val="clear" w:color="auto" w:fill="FFFFFF" w:themeFill="background1"/>
      </w:tcPr>
    </w:tblStylePr>
    <w:tblStylePr w:type="lastRow">
      <w:tblPr/>
      <w:tcPr>
        <w:tcBorders>
          <w:top w:val="single" w:sz="8" w:space="0" w:color="522761"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22761" w:themeColor="accent4"/>
          <w:insideH w:val="nil"/>
          <w:insideV w:val="nil"/>
        </w:tcBorders>
        <w:shd w:val="clear" w:color="auto" w:fill="FFFFFF" w:themeFill="background1"/>
      </w:tcPr>
    </w:tblStylePr>
    <w:tblStylePr w:type="lastCol">
      <w:tblPr/>
      <w:tcPr>
        <w:tcBorders>
          <w:top w:val="nil"/>
          <w:left w:val="single" w:sz="8" w:space="0" w:color="522761"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ABCE4" w:themeFill="accent4" w:themeFillTint="3F"/>
      </w:tcPr>
    </w:tblStylePr>
    <w:tblStylePr w:type="band1Horz">
      <w:tblPr/>
      <w:tcPr>
        <w:tcBorders>
          <w:top w:val="nil"/>
          <w:bottom w:val="nil"/>
          <w:insideH w:val="nil"/>
          <w:insideV w:val="nil"/>
        </w:tcBorders>
        <w:shd w:val="clear" w:color="auto" w:fill="DABCE4"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3C54A5" w:themeColor="accent5"/>
        <w:left w:val="single" w:sz="8" w:space="0" w:color="3C54A5" w:themeColor="accent5"/>
        <w:bottom w:val="single" w:sz="8" w:space="0" w:color="3C54A5" w:themeColor="accent5"/>
        <w:right w:val="single" w:sz="8" w:space="0" w:color="3C54A5" w:themeColor="accent5"/>
      </w:tblBorders>
    </w:tblPr>
    <w:tblStylePr w:type="firstRow">
      <w:rPr>
        <w:sz w:val="24"/>
        <w:szCs w:val="24"/>
      </w:rPr>
      <w:tblPr/>
      <w:tcPr>
        <w:tcBorders>
          <w:top w:val="nil"/>
          <w:left w:val="nil"/>
          <w:bottom w:val="single" w:sz="24" w:space="0" w:color="3C54A5" w:themeColor="accent5"/>
          <w:right w:val="nil"/>
          <w:insideH w:val="nil"/>
          <w:insideV w:val="nil"/>
        </w:tcBorders>
        <w:shd w:val="clear" w:color="auto" w:fill="FFFFFF" w:themeFill="background1"/>
      </w:tcPr>
    </w:tblStylePr>
    <w:tblStylePr w:type="lastRow">
      <w:tblPr/>
      <w:tcPr>
        <w:tcBorders>
          <w:top w:val="single" w:sz="8" w:space="0" w:color="3C54A5"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3C54A5" w:themeColor="accent5"/>
          <w:insideH w:val="nil"/>
          <w:insideV w:val="nil"/>
        </w:tcBorders>
        <w:shd w:val="clear" w:color="auto" w:fill="FFFFFF" w:themeFill="background1"/>
      </w:tcPr>
    </w:tblStylePr>
    <w:tblStylePr w:type="lastCol">
      <w:tblPr/>
      <w:tcPr>
        <w:tcBorders>
          <w:top w:val="nil"/>
          <w:left w:val="single" w:sz="8" w:space="0" w:color="3C54A5"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BD2EC" w:themeFill="accent5" w:themeFillTint="3F"/>
      </w:tcPr>
    </w:tblStylePr>
    <w:tblStylePr w:type="band1Horz">
      <w:tblPr/>
      <w:tcPr>
        <w:tcBorders>
          <w:top w:val="nil"/>
          <w:bottom w:val="nil"/>
          <w:insideH w:val="nil"/>
          <w:insideV w:val="nil"/>
        </w:tcBorders>
        <w:shd w:val="clear" w:color="auto" w:fill="CBD2EC"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rsid w:val="003E273C"/>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545861" w:themeColor="accent6"/>
        <w:left w:val="single" w:sz="8" w:space="0" w:color="545861" w:themeColor="accent6"/>
        <w:bottom w:val="single" w:sz="8" w:space="0" w:color="545861" w:themeColor="accent6"/>
        <w:right w:val="single" w:sz="8" w:space="0" w:color="545861" w:themeColor="accent6"/>
      </w:tblBorders>
    </w:tblPr>
    <w:tblStylePr w:type="firstRow">
      <w:rPr>
        <w:sz w:val="24"/>
        <w:szCs w:val="24"/>
      </w:rPr>
      <w:tblPr/>
      <w:tcPr>
        <w:tcBorders>
          <w:top w:val="nil"/>
          <w:left w:val="nil"/>
          <w:bottom w:val="single" w:sz="24" w:space="0" w:color="545861" w:themeColor="accent6"/>
          <w:right w:val="nil"/>
          <w:insideH w:val="nil"/>
          <w:insideV w:val="nil"/>
        </w:tcBorders>
        <w:shd w:val="clear" w:color="auto" w:fill="FFFFFF" w:themeFill="background1"/>
      </w:tcPr>
    </w:tblStylePr>
    <w:tblStylePr w:type="lastRow">
      <w:tblPr/>
      <w:tcPr>
        <w:tcBorders>
          <w:top w:val="single" w:sz="8" w:space="0" w:color="545861"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545861" w:themeColor="accent6"/>
          <w:insideH w:val="nil"/>
          <w:insideV w:val="nil"/>
        </w:tcBorders>
        <w:shd w:val="clear" w:color="auto" w:fill="FFFFFF" w:themeFill="background1"/>
      </w:tcPr>
    </w:tblStylePr>
    <w:tblStylePr w:type="lastCol">
      <w:tblPr/>
      <w:tcPr>
        <w:tcBorders>
          <w:top w:val="nil"/>
          <w:left w:val="single" w:sz="8" w:space="0" w:color="545861"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5D9" w:themeFill="accent6" w:themeFillTint="3F"/>
      </w:tcPr>
    </w:tblStylePr>
    <w:tblStylePr w:type="band1Horz">
      <w:tblPr/>
      <w:tcPr>
        <w:tcBorders>
          <w:top w:val="nil"/>
          <w:bottom w:val="nil"/>
          <w:insideH w:val="nil"/>
          <w:insideV w:val="nil"/>
        </w:tcBorders>
        <w:shd w:val="clear" w:color="auto" w:fill="D3D5D9"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rsid w:val="003E273C"/>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rsid w:val="003E273C"/>
    <w:pPr>
      <w:spacing w:after="0" w:line="240" w:lineRule="auto"/>
    </w:pPr>
    <w:tblPr>
      <w:tblStyleRowBandSize w:val="1"/>
      <w:tblStyleColBandSize w:val="1"/>
      <w:tbl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single" w:sz="8" w:space="0" w:color="6278C6" w:themeColor="accent1" w:themeTint="BF"/>
      </w:tblBorders>
    </w:tblPr>
    <w:tblStylePr w:type="firstRow">
      <w:pPr>
        <w:spacing w:before="0" w:after="0" w:line="240" w:lineRule="auto"/>
      </w:pPr>
      <w:rPr>
        <w:b/>
        <w:bCs/>
        <w:color w:val="FFFFFF" w:themeColor="background1"/>
      </w:rPr>
      <w:tblPr/>
      <w:tcPr>
        <w:tcBorders>
          <w:top w:val="single" w:sz="8"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shd w:val="clear" w:color="auto" w:fill="3C54A5" w:themeFill="accent1"/>
      </w:tcPr>
    </w:tblStylePr>
    <w:tblStylePr w:type="lastRow">
      <w:pPr>
        <w:spacing w:before="0" w:after="0" w:line="240" w:lineRule="auto"/>
      </w:pPr>
      <w:rPr>
        <w:b/>
        <w:bCs/>
      </w:rPr>
      <w:tblPr/>
      <w:tcPr>
        <w:tcBorders>
          <w:top w:val="double" w:sz="6" w:space="0" w:color="6278C6" w:themeColor="accent1" w:themeTint="BF"/>
          <w:left w:val="single" w:sz="8" w:space="0" w:color="6278C6" w:themeColor="accent1" w:themeTint="BF"/>
          <w:bottom w:val="single" w:sz="8" w:space="0" w:color="6278C6" w:themeColor="accent1" w:themeTint="BF"/>
          <w:right w:val="single" w:sz="8" w:space="0" w:color="6278C6" w:themeColor="accent1"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1" w:themeFillTint="3F"/>
      </w:tcPr>
    </w:tblStylePr>
    <w:tblStylePr w:type="band1Horz">
      <w:tblPr/>
      <w:tcPr>
        <w:tcBorders>
          <w:insideH w:val="nil"/>
          <w:insideV w:val="nil"/>
        </w:tcBorders>
        <w:shd w:val="clear" w:color="auto" w:fill="CBD2EC"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rsid w:val="003E273C"/>
    <w:pPr>
      <w:spacing w:after="0" w:line="240" w:lineRule="auto"/>
    </w:pPr>
    <w:tblPr>
      <w:tblStyleRowBandSize w:val="1"/>
      <w:tblStyleColBandSize w:val="1"/>
      <w:tbl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single" w:sz="8" w:space="0" w:color="7A808C" w:themeColor="accent2" w:themeTint="BF"/>
      </w:tblBorders>
    </w:tblPr>
    <w:tblStylePr w:type="firstRow">
      <w:pPr>
        <w:spacing w:before="0" w:after="0" w:line="240" w:lineRule="auto"/>
      </w:pPr>
      <w:rPr>
        <w:b/>
        <w:bCs/>
        <w:color w:val="FFFFFF" w:themeColor="background1"/>
      </w:rPr>
      <w:tblPr/>
      <w:tcPr>
        <w:tcBorders>
          <w:top w:val="single" w:sz="8"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shd w:val="clear" w:color="auto" w:fill="545861" w:themeFill="accent2"/>
      </w:tcPr>
    </w:tblStylePr>
    <w:tblStylePr w:type="lastRow">
      <w:pPr>
        <w:spacing w:before="0" w:after="0" w:line="240" w:lineRule="auto"/>
      </w:pPr>
      <w:rPr>
        <w:b/>
        <w:bCs/>
      </w:rPr>
      <w:tblPr/>
      <w:tcPr>
        <w:tcBorders>
          <w:top w:val="double" w:sz="6" w:space="0" w:color="7A808C" w:themeColor="accent2" w:themeTint="BF"/>
          <w:left w:val="single" w:sz="8" w:space="0" w:color="7A808C" w:themeColor="accent2" w:themeTint="BF"/>
          <w:bottom w:val="single" w:sz="8" w:space="0" w:color="7A808C" w:themeColor="accent2" w:themeTint="BF"/>
          <w:right w:val="single" w:sz="8" w:space="0" w:color="7A808C" w:themeColor="accent2"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2" w:themeFillTint="3F"/>
      </w:tcPr>
    </w:tblStylePr>
    <w:tblStylePr w:type="band1Horz">
      <w:tblPr/>
      <w:tcPr>
        <w:tcBorders>
          <w:insideH w:val="nil"/>
          <w:insideV w:val="nil"/>
        </w:tcBorders>
        <w:shd w:val="clear" w:color="auto" w:fill="D3D5D9"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rsid w:val="003E273C"/>
    <w:pPr>
      <w:spacing w:after="0" w:line="240" w:lineRule="auto"/>
    </w:pPr>
    <w:tblPr>
      <w:tblStyleRowBandSize w:val="1"/>
      <w:tblStyleColBandSize w:val="1"/>
      <w:tbl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single" w:sz="8" w:space="0" w:color="F0BE4C" w:themeColor="accent3" w:themeTint="BF"/>
      </w:tblBorders>
    </w:tblPr>
    <w:tblStylePr w:type="firstRow">
      <w:pPr>
        <w:spacing w:before="0" w:after="0" w:line="240" w:lineRule="auto"/>
      </w:pPr>
      <w:rPr>
        <w:b/>
        <w:bCs/>
        <w:color w:val="FFFFFF" w:themeColor="background1"/>
      </w:rPr>
      <w:tblPr/>
      <w:tcPr>
        <w:tcBorders>
          <w:top w:val="single" w:sz="8"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shd w:val="clear" w:color="auto" w:fill="E9A913" w:themeFill="accent3"/>
      </w:tcPr>
    </w:tblStylePr>
    <w:tblStylePr w:type="lastRow">
      <w:pPr>
        <w:spacing w:before="0" w:after="0" w:line="240" w:lineRule="auto"/>
      </w:pPr>
      <w:rPr>
        <w:b/>
        <w:bCs/>
      </w:rPr>
      <w:tblPr/>
      <w:tcPr>
        <w:tcBorders>
          <w:top w:val="double" w:sz="6" w:space="0" w:color="F0BE4C" w:themeColor="accent3" w:themeTint="BF"/>
          <w:left w:val="single" w:sz="8" w:space="0" w:color="F0BE4C" w:themeColor="accent3" w:themeTint="BF"/>
          <w:bottom w:val="single" w:sz="8" w:space="0" w:color="F0BE4C" w:themeColor="accent3" w:themeTint="BF"/>
          <w:right w:val="single" w:sz="8" w:space="0" w:color="F0BE4C" w:themeColor="accent3" w:themeTint="BF"/>
          <w:insideH w:val="nil"/>
          <w:insideV w:val="nil"/>
        </w:tcBorders>
      </w:tcPr>
    </w:tblStylePr>
    <w:tblStylePr w:type="firstCol">
      <w:rPr>
        <w:b/>
        <w:bCs/>
      </w:rPr>
    </w:tblStylePr>
    <w:tblStylePr w:type="lastCol">
      <w:rPr>
        <w:b/>
        <w:bCs/>
      </w:rPr>
    </w:tblStylePr>
    <w:tblStylePr w:type="band1Vert">
      <w:tblPr/>
      <w:tcPr>
        <w:shd w:val="clear" w:color="auto" w:fill="FAE9C3" w:themeFill="accent3" w:themeFillTint="3F"/>
      </w:tcPr>
    </w:tblStylePr>
    <w:tblStylePr w:type="band1Horz">
      <w:tblPr/>
      <w:tcPr>
        <w:tcBorders>
          <w:insideH w:val="nil"/>
          <w:insideV w:val="nil"/>
        </w:tcBorders>
        <w:shd w:val="clear" w:color="auto" w:fill="FAE9C3"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rsid w:val="003E273C"/>
    <w:pPr>
      <w:spacing w:after="0" w:line="240" w:lineRule="auto"/>
    </w:pPr>
    <w:tblPr>
      <w:tblStyleRowBandSize w:val="1"/>
      <w:tblStyleColBandSize w:val="1"/>
      <w:tbl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single" w:sz="8" w:space="0" w:color="8A42A3" w:themeColor="accent4" w:themeTint="BF"/>
      </w:tblBorders>
    </w:tblPr>
    <w:tblStylePr w:type="firstRow">
      <w:pPr>
        <w:spacing w:before="0" w:after="0" w:line="240" w:lineRule="auto"/>
      </w:pPr>
      <w:rPr>
        <w:b/>
        <w:bCs/>
        <w:color w:val="FFFFFF" w:themeColor="background1"/>
      </w:rPr>
      <w:tblPr/>
      <w:tcPr>
        <w:tcBorders>
          <w:top w:val="single" w:sz="8"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shd w:val="clear" w:color="auto" w:fill="522761" w:themeFill="accent4"/>
      </w:tcPr>
    </w:tblStylePr>
    <w:tblStylePr w:type="lastRow">
      <w:pPr>
        <w:spacing w:before="0" w:after="0" w:line="240" w:lineRule="auto"/>
      </w:pPr>
      <w:rPr>
        <w:b/>
        <w:bCs/>
      </w:rPr>
      <w:tblPr/>
      <w:tcPr>
        <w:tcBorders>
          <w:top w:val="double" w:sz="6" w:space="0" w:color="8A42A3" w:themeColor="accent4" w:themeTint="BF"/>
          <w:left w:val="single" w:sz="8" w:space="0" w:color="8A42A3" w:themeColor="accent4" w:themeTint="BF"/>
          <w:bottom w:val="single" w:sz="8" w:space="0" w:color="8A42A3" w:themeColor="accent4" w:themeTint="BF"/>
          <w:right w:val="single" w:sz="8" w:space="0" w:color="8A42A3" w:themeColor="accent4" w:themeTint="BF"/>
          <w:insideH w:val="nil"/>
          <w:insideV w:val="nil"/>
        </w:tcBorders>
      </w:tcPr>
    </w:tblStylePr>
    <w:tblStylePr w:type="firstCol">
      <w:rPr>
        <w:b/>
        <w:bCs/>
      </w:rPr>
    </w:tblStylePr>
    <w:tblStylePr w:type="lastCol">
      <w:rPr>
        <w:b/>
        <w:bCs/>
      </w:rPr>
    </w:tblStylePr>
    <w:tblStylePr w:type="band1Vert">
      <w:tblPr/>
      <w:tcPr>
        <w:shd w:val="clear" w:color="auto" w:fill="DABCE4" w:themeFill="accent4" w:themeFillTint="3F"/>
      </w:tcPr>
    </w:tblStylePr>
    <w:tblStylePr w:type="band1Horz">
      <w:tblPr/>
      <w:tcPr>
        <w:tcBorders>
          <w:insideH w:val="nil"/>
          <w:insideV w:val="nil"/>
        </w:tcBorders>
        <w:shd w:val="clear" w:color="auto" w:fill="DABCE4"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rsid w:val="003E273C"/>
    <w:pPr>
      <w:spacing w:after="0" w:line="240" w:lineRule="auto"/>
    </w:pPr>
    <w:tblPr>
      <w:tblStyleRowBandSize w:val="1"/>
      <w:tblStyleColBandSize w:val="1"/>
      <w:tbl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single" w:sz="8" w:space="0" w:color="6278C6" w:themeColor="accent5" w:themeTint="BF"/>
      </w:tblBorders>
    </w:tblPr>
    <w:tblStylePr w:type="firstRow">
      <w:pPr>
        <w:spacing w:before="0" w:after="0" w:line="240" w:lineRule="auto"/>
      </w:pPr>
      <w:rPr>
        <w:b/>
        <w:bCs/>
        <w:color w:val="FFFFFF" w:themeColor="background1"/>
      </w:rPr>
      <w:tblPr/>
      <w:tcPr>
        <w:tcBorders>
          <w:top w:val="single" w:sz="8"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shd w:val="clear" w:color="auto" w:fill="3C54A5" w:themeFill="accent5"/>
      </w:tcPr>
    </w:tblStylePr>
    <w:tblStylePr w:type="lastRow">
      <w:pPr>
        <w:spacing w:before="0" w:after="0" w:line="240" w:lineRule="auto"/>
      </w:pPr>
      <w:rPr>
        <w:b/>
        <w:bCs/>
      </w:rPr>
      <w:tblPr/>
      <w:tcPr>
        <w:tcBorders>
          <w:top w:val="double" w:sz="6" w:space="0" w:color="6278C6" w:themeColor="accent5" w:themeTint="BF"/>
          <w:left w:val="single" w:sz="8" w:space="0" w:color="6278C6" w:themeColor="accent5" w:themeTint="BF"/>
          <w:bottom w:val="single" w:sz="8" w:space="0" w:color="6278C6" w:themeColor="accent5" w:themeTint="BF"/>
          <w:right w:val="single" w:sz="8" w:space="0" w:color="6278C6" w:themeColor="accent5" w:themeTint="BF"/>
          <w:insideH w:val="nil"/>
          <w:insideV w:val="nil"/>
        </w:tcBorders>
      </w:tcPr>
    </w:tblStylePr>
    <w:tblStylePr w:type="firstCol">
      <w:rPr>
        <w:b/>
        <w:bCs/>
      </w:rPr>
    </w:tblStylePr>
    <w:tblStylePr w:type="lastCol">
      <w:rPr>
        <w:b/>
        <w:bCs/>
      </w:rPr>
    </w:tblStylePr>
    <w:tblStylePr w:type="band1Vert">
      <w:tblPr/>
      <w:tcPr>
        <w:shd w:val="clear" w:color="auto" w:fill="CBD2EC" w:themeFill="accent5" w:themeFillTint="3F"/>
      </w:tcPr>
    </w:tblStylePr>
    <w:tblStylePr w:type="band1Horz">
      <w:tblPr/>
      <w:tcPr>
        <w:tcBorders>
          <w:insideH w:val="nil"/>
          <w:insideV w:val="nil"/>
        </w:tcBorders>
        <w:shd w:val="clear" w:color="auto" w:fill="CBD2EC"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rsid w:val="003E273C"/>
    <w:pPr>
      <w:spacing w:after="0" w:line="240" w:lineRule="auto"/>
    </w:pPr>
    <w:tblPr>
      <w:tblStyleRowBandSize w:val="1"/>
      <w:tblStyleColBandSize w:val="1"/>
      <w:tbl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single" w:sz="8" w:space="0" w:color="7A808C" w:themeColor="accent6" w:themeTint="BF"/>
      </w:tblBorders>
    </w:tblPr>
    <w:tblStylePr w:type="firstRow">
      <w:pPr>
        <w:spacing w:before="0" w:after="0" w:line="240" w:lineRule="auto"/>
      </w:pPr>
      <w:rPr>
        <w:b/>
        <w:bCs/>
        <w:color w:val="FFFFFF" w:themeColor="background1"/>
      </w:rPr>
      <w:tblPr/>
      <w:tcPr>
        <w:tcBorders>
          <w:top w:val="single" w:sz="8"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shd w:val="clear" w:color="auto" w:fill="545861" w:themeFill="accent6"/>
      </w:tcPr>
    </w:tblStylePr>
    <w:tblStylePr w:type="lastRow">
      <w:pPr>
        <w:spacing w:before="0" w:after="0" w:line="240" w:lineRule="auto"/>
      </w:pPr>
      <w:rPr>
        <w:b/>
        <w:bCs/>
      </w:rPr>
      <w:tblPr/>
      <w:tcPr>
        <w:tcBorders>
          <w:top w:val="double" w:sz="6" w:space="0" w:color="7A808C" w:themeColor="accent6" w:themeTint="BF"/>
          <w:left w:val="single" w:sz="8" w:space="0" w:color="7A808C" w:themeColor="accent6" w:themeTint="BF"/>
          <w:bottom w:val="single" w:sz="8" w:space="0" w:color="7A808C" w:themeColor="accent6" w:themeTint="BF"/>
          <w:right w:val="single" w:sz="8" w:space="0" w:color="7A808C" w:themeColor="accent6" w:themeTint="BF"/>
          <w:insideH w:val="nil"/>
          <w:insideV w:val="nil"/>
        </w:tcBorders>
      </w:tcPr>
    </w:tblStylePr>
    <w:tblStylePr w:type="firstCol">
      <w:rPr>
        <w:b/>
        <w:bCs/>
      </w:rPr>
    </w:tblStylePr>
    <w:tblStylePr w:type="lastCol">
      <w:rPr>
        <w:b/>
        <w:bCs/>
      </w:rPr>
    </w:tblStylePr>
    <w:tblStylePr w:type="band1Vert">
      <w:tblPr/>
      <w:tcPr>
        <w:shd w:val="clear" w:color="auto" w:fill="D3D5D9" w:themeFill="accent6" w:themeFillTint="3F"/>
      </w:tcPr>
    </w:tblStylePr>
    <w:tblStylePr w:type="band1Horz">
      <w:tblPr/>
      <w:tcPr>
        <w:tcBorders>
          <w:insideH w:val="nil"/>
          <w:insideV w:val="nil"/>
        </w:tcBorders>
        <w:shd w:val="clear" w:color="auto" w:fill="D3D5D9"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1"/>
      </w:tcPr>
    </w:tblStylePr>
    <w:tblStylePr w:type="lastCol">
      <w:rPr>
        <w:b/>
        <w:bCs/>
        <w:color w:val="FFFFFF" w:themeColor="background1"/>
      </w:rPr>
      <w:tblPr/>
      <w:tcPr>
        <w:tcBorders>
          <w:left w:val="nil"/>
          <w:right w:val="nil"/>
          <w:insideH w:val="nil"/>
          <w:insideV w:val="nil"/>
        </w:tcBorders>
        <w:shd w:val="clear" w:color="auto" w:fill="3C54A5"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2"/>
      </w:tcPr>
    </w:tblStylePr>
    <w:tblStylePr w:type="lastCol">
      <w:rPr>
        <w:b/>
        <w:bCs/>
        <w:color w:val="FFFFFF" w:themeColor="background1"/>
      </w:rPr>
      <w:tblPr/>
      <w:tcPr>
        <w:tcBorders>
          <w:left w:val="nil"/>
          <w:right w:val="nil"/>
          <w:insideH w:val="nil"/>
          <w:insideV w:val="nil"/>
        </w:tcBorders>
        <w:shd w:val="clear" w:color="auto" w:fill="545861"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A913"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A913" w:themeFill="accent3"/>
      </w:tcPr>
    </w:tblStylePr>
    <w:tblStylePr w:type="lastCol">
      <w:rPr>
        <w:b/>
        <w:bCs/>
        <w:color w:val="FFFFFF" w:themeColor="background1"/>
      </w:rPr>
      <w:tblPr/>
      <w:tcPr>
        <w:tcBorders>
          <w:left w:val="nil"/>
          <w:right w:val="nil"/>
          <w:insideH w:val="nil"/>
          <w:insideV w:val="nil"/>
        </w:tcBorders>
        <w:shd w:val="clear" w:color="auto" w:fill="E9A913"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22761"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22761" w:themeFill="accent4"/>
      </w:tcPr>
    </w:tblStylePr>
    <w:tblStylePr w:type="lastCol">
      <w:rPr>
        <w:b/>
        <w:bCs/>
        <w:color w:val="FFFFFF" w:themeColor="background1"/>
      </w:rPr>
      <w:tblPr/>
      <w:tcPr>
        <w:tcBorders>
          <w:left w:val="nil"/>
          <w:right w:val="nil"/>
          <w:insideH w:val="nil"/>
          <w:insideV w:val="nil"/>
        </w:tcBorders>
        <w:shd w:val="clear" w:color="auto" w:fill="522761"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3C54A5"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3C54A5" w:themeFill="accent5"/>
      </w:tcPr>
    </w:tblStylePr>
    <w:tblStylePr w:type="lastCol">
      <w:rPr>
        <w:b/>
        <w:bCs/>
        <w:color w:val="FFFFFF" w:themeColor="background1"/>
      </w:rPr>
      <w:tblPr/>
      <w:tcPr>
        <w:tcBorders>
          <w:left w:val="nil"/>
          <w:right w:val="nil"/>
          <w:insideH w:val="nil"/>
          <w:insideV w:val="nil"/>
        </w:tcBorders>
        <w:shd w:val="clear" w:color="auto" w:fill="3C54A5"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semiHidden/>
    <w:rsid w:val="003E273C"/>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545861"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545861" w:themeFill="accent6"/>
      </w:tcPr>
    </w:tblStylePr>
    <w:tblStylePr w:type="lastCol">
      <w:rPr>
        <w:b/>
        <w:bCs/>
        <w:color w:val="FFFFFF" w:themeColor="background1"/>
      </w:rPr>
      <w:tblPr/>
      <w:tcPr>
        <w:tcBorders>
          <w:left w:val="nil"/>
          <w:right w:val="nil"/>
          <w:insideH w:val="nil"/>
          <w:insideV w:val="nil"/>
        </w:tcBorders>
        <w:shd w:val="clear" w:color="auto" w:fill="545861"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Table3Deffects1">
    <w:name w:val="Table 3D effects 1"/>
    <w:basedOn w:val="TableNormal"/>
    <w:uiPriority w:val="99"/>
    <w:semiHidden/>
    <w:rsid w:val="003E273C"/>
    <w:tblPr/>
    <w:tcPr>
      <w:shd w:val="solid" w:color="C0C0C0" w:fill="FFFFFF"/>
    </w:tcPr>
    <w:tblStylePr w:type="firstRow">
      <w:rPr>
        <w:b/>
        <w:bCs/>
        <w:color w:val="800080"/>
      </w:rPr>
      <w:tblPr/>
      <w:tcPr>
        <w:tcBorders>
          <w:bottom w:val="single" w:sz="6" w:space="0" w:color="808080"/>
          <w:tl2br w:val="none" w:sz="0" w:space="0" w:color="auto"/>
          <w:tr2bl w:val="none" w:sz="0" w:space="0" w:color="auto"/>
        </w:tcBorders>
      </w:tcPr>
    </w:tblStylePr>
    <w:tblStylePr w:type="lastRow">
      <w:tblPr/>
      <w:tcPr>
        <w:tcBorders>
          <w:top w:val="single" w:sz="6" w:space="0" w:color="FFFFFF"/>
          <w:tl2br w:val="none" w:sz="0" w:space="0" w:color="auto"/>
          <w:tr2bl w:val="none" w:sz="0" w:space="0" w:color="auto"/>
        </w:tcBorders>
      </w:tcPr>
    </w:tblStylePr>
    <w:tblStylePr w:type="firstCol">
      <w:rPr>
        <w:b/>
        <w:bCs/>
      </w:rPr>
      <w:tblPr/>
      <w:tcPr>
        <w:tcBorders>
          <w:right w:val="single" w:sz="6" w:space="0" w:color="808080"/>
          <w:tl2br w:val="none" w:sz="0" w:space="0" w:color="auto"/>
          <w:tr2bl w:val="none" w:sz="0" w:space="0" w:color="auto"/>
        </w:tcBorders>
      </w:tcPr>
    </w:tblStylePr>
    <w:tblStylePr w:type="lastCol">
      <w:tblPr/>
      <w:tcPr>
        <w:tcBorders>
          <w:left w:val="single" w:sz="6" w:space="0" w:color="FFFFFF"/>
          <w:tl2br w:val="none" w:sz="0" w:space="0" w:color="auto"/>
          <w:tr2bl w:val="none" w:sz="0" w:space="0" w:color="auto"/>
        </w:tcBorders>
      </w:tcPr>
    </w:tblStylePr>
    <w:tblStylePr w:type="neCell">
      <w:tblPr/>
      <w:tcPr>
        <w:tcBorders>
          <w:left w:val="none" w:sz="0" w:space="0" w:color="auto"/>
          <w:bottom w:val="none" w:sz="0" w:space="0" w:color="auto"/>
          <w:tl2br w:val="none" w:sz="0" w:space="0" w:color="auto"/>
          <w:tr2bl w:val="none" w:sz="0" w:space="0" w:color="auto"/>
        </w:tcBorders>
      </w:tcPr>
    </w:tblStylePr>
    <w:tblStylePr w:type="nwCell">
      <w:tblPr/>
      <w:tcPr>
        <w:tcBorders>
          <w:bottom w:val="none" w:sz="0" w:space="0" w:color="auto"/>
          <w:right w:val="none" w:sz="0" w:space="0" w:color="auto"/>
          <w:tl2br w:val="none" w:sz="0" w:space="0" w:color="auto"/>
          <w:tr2bl w:val="none" w:sz="0" w:space="0" w:color="auto"/>
        </w:tcBorders>
      </w:tcPr>
    </w:tblStylePr>
    <w:tblStylePr w:type="seCell">
      <w:tblPr/>
      <w:tcPr>
        <w:tcBorders>
          <w:top w:val="none" w:sz="0" w:space="0" w:color="auto"/>
          <w:left w:val="none" w:sz="0" w:space="0" w:color="auto"/>
          <w:tl2br w:val="none" w:sz="0" w:space="0" w:color="auto"/>
          <w:tr2bl w:val="none" w:sz="0" w:space="0" w:color="auto"/>
        </w:tcBorders>
      </w:tcPr>
    </w:tblStylePr>
    <w:tblStylePr w:type="swCell">
      <w:rPr>
        <w:color w:val="000080"/>
      </w:rPr>
      <w:tblPr/>
      <w:tcPr>
        <w:tcBorders>
          <w:top w:val="none" w:sz="0" w:space="0" w:color="auto"/>
          <w:right w:val="none" w:sz="0" w:space="0" w:color="auto"/>
          <w:tl2br w:val="none" w:sz="0" w:space="0" w:color="auto"/>
          <w:tr2bl w:val="none" w:sz="0" w:space="0" w:color="auto"/>
        </w:tcBorders>
      </w:tcPr>
    </w:tblStylePr>
  </w:style>
  <w:style w:type="table" w:styleId="Table3Deffects2">
    <w:name w:val="Table 3D effects 2"/>
    <w:basedOn w:val="TableNormal"/>
    <w:uiPriority w:val="99"/>
    <w:semiHidden/>
    <w:rsid w:val="003E273C"/>
    <w:tblPr>
      <w:tblStyleRowBandSize w:val="1"/>
    </w:tblPr>
    <w:tcPr>
      <w:shd w:val="solid" w:color="C0C0C0" w:fill="FFFFFF"/>
    </w:tc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3Deffects3">
    <w:name w:val="Table 3D effects 3"/>
    <w:basedOn w:val="TableNormal"/>
    <w:uiPriority w:val="99"/>
    <w:semiHidden/>
    <w:rsid w:val="003E273C"/>
    <w:tblPr>
      <w:tblStyleRowBandSize w:val="1"/>
      <w:tblStyleColBandSize w:val="1"/>
    </w:tblPr>
    <w:tblStylePr w:type="firstRow">
      <w:rPr>
        <w:b/>
        <w:bCs/>
      </w:rPr>
      <w:tblPr/>
      <w:tcPr>
        <w:tcBorders>
          <w:tl2br w:val="none" w:sz="0" w:space="0" w:color="auto"/>
          <w:tr2bl w:val="none" w:sz="0" w:space="0" w:color="auto"/>
        </w:tcBorders>
      </w:tcPr>
    </w:tblStylePr>
    <w:tblStylePr w:type="firstCol">
      <w:tblPr/>
      <w:tcPr>
        <w:tcBorders>
          <w:top w:val="none" w:sz="0" w:space="0" w:color="auto"/>
          <w:bottom w:val="none" w:sz="0" w:space="0" w:color="auto"/>
          <w:right w:val="single" w:sz="6" w:space="0" w:color="808080"/>
          <w:tl2br w:val="none" w:sz="0" w:space="0" w:color="auto"/>
          <w:tr2bl w:val="none" w:sz="0" w:space="0" w:color="auto"/>
        </w:tcBorders>
      </w:tcPr>
    </w:tblStylePr>
    <w:tblStylePr w:type="lastCol">
      <w:tblPr/>
      <w:tcPr>
        <w:tcBorders>
          <w:right w:val="single" w:sz="6" w:space="0" w:color="FFFFFF"/>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1">
    <w:name w:val="Table Classic 1"/>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tblPr/>
      <w:tcPr>
        <w:tcBorders>
          <w:right w:val="single" w:sz="6" w:space="0" w:color="000000"/>
          <w:tl2br w:val="none" w:sz="0" w:space="0" w:color="auto"/>
          <w:tr2bl w:val="none" w:sz="0" w:space="0" w:color="auto"/>
        </w:tcBorders>
      </w:tcPr>
    </w:tblStylePr>
    <w:tblStylePr w:type="neCell">
      <w:rPr>
        <w:b/>
        <w:bCs/>
        <w:i w:val="0"/>
        <w:iCs w:val="0"/>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lassic2">
    <w:name w:val="Table Classic 2"/>
    <w:basedOn w:val="TableNormal"/>
    <w:uiPriority w:val="99"/>
    <w:semiHidden/>
    <w:rsid w:val="003E273C"/>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table" w:styleId="TableClassic3">
    <w:name w:val="Table Classic 3"/>
    <w:basedOn w:val="TableNormal"/>
    <w:uiPriority w:val="99"/>
    <w:semiHidden/>
    <w:rsid w:val="003E273C"/>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l2br w:val="none" w:sz="0" w:space="0" w:color="auto"/>
          <w:tr2bl w:val="none" w:sz="0" w:space="0" w:color="auto"/>
        </w:tcBorders>
        <w:shd w:val="solid" w:color="000080" w:fill="FFFFFF"/>
      </w:tcPr>
    </w:tblStylePr>
    <w:tblStylePr w:type="lastRow">
      <w:rPr>
        <w:color w:val="000080"/>
      </w:rPr>
      <w:tblPr/>
      <w:tcPr>
        <w:tcBorders>
          <w:top w:val="single" w:sz="12" w:space="0" w:color="000000"/>
          <w:tl2br w:val="none" w:sz="0" w:space="0" w:color="auto"/>
          <w:tr2bl w:val="none" w:sz="0" w:space="0" w:color="auto"/>
        </w:tcBorders>
        <w:shd w:val="solid" w:color="FFFFFF" w:fill="FFFFFF"/>
      </w:tcPr>
    </w:tblStylePr>
    <w:tblStylePr w:type="firstCol">
      <w:rPr>
        <w:b/>
        <w:bCs/>
        <w:color w:val="000000"/>
      </w:rPr>
      <w:tblPr/>
      <w:tcPr>
        <w:tcBorders>
          <w:tl2br w:val="none" w:sz="0" w:space="0" w:color="auto"/>
          <w:tr2bl w:val="none" w:sz="0" w:space="0" w:color="auto"/>
        </w:tcBorders>
      </w:tcPr>
    </w:tblStylePr>
  </w:style>
  <w:style w:type="table" w:styleId="TableClassic4">
    <w:name w:val="Table Classic 4"/>
    <w:basedOn w:val="TableNormal"/>
    <w:uiPriority w:val="99"/>
    <w:semiHidden/>
    <w:rsid w:val="003E273C"/>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l2br w:val="none" w:sz="0" w:space="0" w:color="auto"/>
          <w:tr2bl w:val="none" w:sz="0" w:space="0" w:color="auto"/>
        </w:tcBorders>
        <w:shd w:val="pct50" w:color="000080" w:fill="FFFFFF"/>
      </w:tcPr>
    </w:tblStylePr>
    <w:tblStylePr w:type="lastRow">
      <w:rPr>
        <w:color w:val="000080"/>
      </w:rPr>
      <w:tblPr/>
      <w:tcPr>
        <w:tcBorders>
          <w:bottom w:val="single" w:sz="6" w:space="0" w:color="000000"/>
          <w:tl2br w:val="none" w:sz="0" w:space="0" w:color="auto"/>
          <w:tr2bl w:val="none" w:sz="0" w:space="0" w:color="auto"/>
        </w:tcBorders>
        <w:shd w:val="pct50" w:color="000000" w:fill="FFFFFF"/>
      </w:tcPr>
    </w:tblStylePr>
    <w:tblStylePr w:type="firstCol">
      <w:rPr>
        <w:b/>
        <w:bCs/>
      </w:rPr>
      <w:tblPr/>
      <w:tcPr>
        <w:tcBorders>
          <w:tl2br w:val="none" w:sz="0" w:space="0" w:color="auto"/>
          <w:tr2bl w:val="none" w:sz="0" w:space="0" w:color="auto"/>
        </w:tcBorders>
      </w:tcPr>
    </w:tblStylePr>
    <w:tblStylePr w:type="nwCell">
      <w:rPr>
        <w:b/>
        <w:bCs/>
      </w:rPr>
      <w:tblPr/>
      <w:tcPr>
        <w:tcBorders>
          <w:tl2br w:val="none" w:sz="0" w:space="0" w:color="auto"/>
          <w:tr2bl w:val="none" w:sz="0" w:space="0" w:color="auto"/>
        </w:tcBorders>
      </w:tcPr>
    </w:tblStylePr>
    <w:tblStylePr w:type="swCell">
      <w:rPr>
        <w:color w:val="000080"/>
      </w:rPr>
      <w:tblPr/>
      <w:tcPr>
        <w:tcBorders>
          <w:tl2br w:val="none" w:sz="0" w:space="0" w:color="auto"/>
          <w:tr2bl w:val="none" w:sz="0" w:space="0" w:color="auto"/>
        </w:tcBorders>
      </w:tcPr>
    </w:tblStylePr>
  </w:style>
  <w:style w:type="table" w:styleId="TableColorful1">
    <w:name w:val="Table Colorful 1"/>
    <w:basedOn w:val="TableNormal"/>
    <w:uiPriority w:val="99"/>
    <w:semiHidden/>
    <w:rsid w:val="003E273C"/>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tcBorders>
          <w:tl2br w:val="none" w:sz="0" w:space="0" w:color="auto"/>
          <w:tr2bl w:val="none" w:sz="0" w:space="0" w:color="auto"/>
        </w:tcBorders>
        <w:shd w:val="solid" w:color="000000" w:fill="FFFFFF"/>
      </w:tcPr>
    </w:tblStylePr>
    <w:tblStylePr w:type="firstCol">
      <w:rPr>
        <w:b/>
        <w:bCs/>
        <w:i/>
        <w:iCs/>
      </w:rPr>
      <w:tblPr/>
      <w:tcPr>
        <w:tcBorders>
          <w:tl2br w:val="none" w:sz="0" w:space="0" w:color="auto"/>
          <w:tr2bl w:val="none" w:sz="0" w:space="0" w:color="auto"/>
        </w:tcBorders>
        <w:shd w:val="solid" w:color="000080" w:fill="FFFFFF"/>
      </w:tcPr>
    </w:tblStylePr>
    <w:tblStylePr w:type="nwCell">
      <w:tblPr/>
      <w:tcPr>
        <w:tcBorders>
          <w:tl2br w:val="none" w:sz="0" w:space="0" w:color="auto"/>
          <w:tr2bl w:val="none" w:sz="0" w:space="0" w:color="auto"/>
        </w:tcBorders>
        <w:shd w:val="solid" w:color="000000" w:fill="FFFFFF"/>
      </w:tcPr>
    </w:tblStylePr>
    <w:tblStylePr w:type="swCell">
      <w:rPr>
        <w:b/>
        <w:bCs/>
        <w:i w:val="0"/>
        <w:iCs w:val="0"/>
      </w:rPr>
      <w:tblPr/>
      <w:tcPr>
        <w:tcBorders>
          <w:tl2br w:val="none" w:sz="0" w:space="0" w:color="auto"/>
          <w:tr2bl w:val="none" w:sz="0" w:space="0" w:color="auto"/>
        </w:tcBorders>
      </w:tcPr>
    </w:tblStylePr>
  </w:style>
  <w:style w:type="table" w:styleId="TableColorful2">
    <w:name w:val="Table Colorful 2"/>
    <w:basedOn w:val="TableNormal"/>
    <w:uiPriority w:val="99"/>
    <w:semiHidden/>
    <w:rsid w:val="003E273C"/>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olorful3">
    <w:name w:val="Table Colorful 3"/>
    <w:basedOn w:val="TableNormal"/>
    <w:uiPriority w:val="99"/>
    <w:semiHidden/>
    <w:rsid w:val="003E273C"/>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l2br w:val="none" w:sz="0" w:space="0" w:color="auto"/>
          <w:tr2bl w:val="none" w:sz="0" w:space="0" w:color="auto"/>
        </w:tcBorders>
        <w:shd w:val="solid" w:color="008080" w:fill="FFFFFF"/>
      </w:tcPr>
    </w:tblStylePr>
    <w:tblStylePr w:type="firstCol">
      <w:tblPr/>
      <w:tcPr>
        <w:tcBorders>
          <w:left w:val="single" w:sz="36" w:space="0" w:color="000000"/>
          <w:right w:val="single" w:sz="6" w:space="0" w:color="000000"/>
          <w:tl2br w:val="none" w:sz="0" w:space="0" w:color="auto"/>
          <w:tr2bl w:val="none" w:sz="0" w:space="0" w:color="auto"/>
        </w:tcBorders>
        <w:shd w:val="solid" w:color="008080" w:fill="FFFFFF"/>
      </w:tcPr>
    </w:tblStylePr>
    <w:tblStylePr w:type="nwCell">
      <w:rPr>
        <w:b/>
        <w:bCs/>
        <w:color w:val="FFFFFF"/>
      </w:rPr>
      <w:tblPr/>
      <w:tcPr>
        <w:tcBorders>
          <w:tl2br w:val="none" w:sz="0" w:space="0" w:color="auto"/>
          <w:tr2bl w:val="none" w:sz="0" w:space="0" w:color="auto"/>
        </w:tcBorders>
        <w:shd w:val="solid" w:color="000000" w:fill="FFFFFF"/>
      </w:tcPr>
    </w:tblStylePr>
  </w:style>
  <w:style w:type="table" w:styleId="TableColumns1">
    <w:name w:val="Table Columns 1"/>
    <w:basedOn w:val="TableNormal"/>
    <w:uiPriority w:val="99"/>
    <w:semiHidden/>
    <w:rsid w:val="003E273C"/>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2">
    <w:name w:val="Table Columns 2"/>
    <w:basedOn w:val="TableNormal"/>
    <w:uiPriority w:val="99"/>
    <w:semiHidden/>
    <w:rsid w:val="003E273C"/>
    <w:rPr>
      <w:b/>
      <w:bCs/>
    </w:rPr>
    <w:tblPr>
      <w:tblStyleColBandSize w:val="1"/>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l2br w:val="none" w:sz="0" w:space="0" w:color="auto"/>
          <w:tr2bl w:val="none" w:sz="0" w:space="0" w:color="auto"/>
        </w:tcBorders>
      </w:tcPr>
    </w:tblStylePr>
    <w:tblStylePr w:type="firstCol">
      <w:rPr>
        <w:b w:val="0"/>
        <w:bCs w:val="0"/>
        <w:color w:val="00000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Columns3">
    <w:name w:val="Table Columns 3"/>
    <w:basedOn w:val="TableNormal"/>
    <w:uiPriority w:val="99"/>
    <w:semiHidden/>
    <w:rsid w:val="003E273C"/>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tcBorders>
          <w:tl2br w:val="none" w:sz="0" w:space="0" w:color="auto"/>
          <w:tr2bl w:val="none" w:sz="0" w:space="0" w:color="auto"/>
        </w:tcBorders>
        <w:shd w:val="solid" w:color="000080" w:fill="FFFFFF"/>
      </w:tcPr>
    </w:tblStylePr>
    <w:tblStylePr w:type="lastRow">
      <w:rPr>
        <w:b w:val="0"/>
        <w:bCs w:val="0"/>
      </w:rPr>
      <w:tblPr/>
      <w:tcPr>
        <w:tcBorders>
          <w:top w:val="single" w:sz="6" w:space="0" w:color="00008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cBorders>
          <w:tl2br w:val="none" w:sz="0" w:space="0" w:color="auto"/>
          <w:tr2bl w:val="none" w:sz="0" w:space="0" w:color="auto"/>
        </w:tcBorders>
      </w:tcPr>
    </w:tblStylePr>
  </w:style>
  <w:style w:type="table" w:styleId="TableColumns4">
    <w:name w:val="Table Columns 4"/>
    <w:basedOn w:val="TableNormal"/>
    <w:uiPriority w:val="99"/>
    <w:semiHidden/>
    <w:rsid w:val="003E273C"/>
    <w:tblPr>
      <w:tblStyleColBandSize w:val="1"/>
    </w:tblPr>
    <w:tblStylePr w:type="firstRow">
      <w:rPr>
        <w:color w:val="FFFFFF"/>
      </w:rPr>
      <w:tblPr/>
      <w:tcPr>
        <w:tcBorders>
          <w:tl2br w:val="none" w:sz="0" w:space="0" w:color="auto"/>
          <w:tr2bl w:val="none" w:sz="0" w:space="0" w:color="auto"/>
        </w:tcBorders>
        <w:shd w:val="solid" w:color="0000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rsid w:val="003E273C"/>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l2br w:val="none" w:sz="0" w:space="0" w:color="auto"/>
          <w:tr2bl w:val="none" w:sz="0" w:space="0" w:color="auto"/>
        </w:tcBorders>
      </w:tcPr>
    </w:tblStylePr>
    <w:tblStylePr w:type="lastRow">
      <w:rPr>
        <w:b/>
        <w:bCs/>
      </w:rPr>
      <w:tblPr/>
      <w:tcPr>
        <w:tcBorders>
          <w:top w:val="single" w:sz="6" w:space="0" w:color="80808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Vert">
      <w:rPr>
        <w:color w:val="auto"/>
      </w:rPr>
      <w:tblPr/>
      <w:tcPr>
        <w:shd w:val="solid" w:color="C0C0C0" w:fill="FFFFFF"/>
      </w:tcPr>
    </w:tblStylePr>
    <w:tblStylePr w:type="band2Vert">
      <w:rPr>
        <w:color w:val="auto"/>
      </w:rPr>
    </w:tblStylePr>
  </w:style>
  <w:style w:type="table" w:styleId="TableContemporary">
    <w:name w:val="Table Contemporary"/>
    <w:basedOn w:val="TableNormal"/>
    <w:uiPriority w:val="99"/>
    <w:semiHidden/>
    <w:rsid w:val="003E273C"/>
    <w:tblPr>
      <w:tblStyleRowBandSize w:val="1"/>
      <w:tblBorders>
        <w:insideH w:val="single" w:sz="18" w:space="0" w:color="FFFFFF"/>
        <w:insideV w:val="single" w:sz="18" w:space="0" w:color="FFFFFF"/>
      </w:tblBorders>
    </w:tblPr>
    <w:tblStylePr w:type="firstRow">
      <w:rPr>
        <w:b/>
        <w:bCs/>
        <w:color w:val="auto"/>
      </w:rPr>
      <w:tblPr/>
      <w:tcPr>
        <w:tcBorders>
          <w:tl2br w:val="none" w:sz="0" w:space="0" w:color="auto"/>
          <w:tr2bl w:val="none" w:sz="0" w:space="0" w:color="auto"/>
        </w:tcBorders>
        <w:shd w:val="pct20" w:color="000000" w:fill="FFFFFF"/>
      </w:tcPr>
    </w:tblStylePr>
    <w:tblStylePr w:type="band1Horz">
      <w:rPr>
        <w:color w:val="auto"/>
      </w:rPr>
      <w:tblPr/>
      <w:tcPr>
        <w:tcBorders>
          <w:tl2br w:val="none" w:sz="0" w:space="0" w:color="auto"/>
          <w:tr2bl w:val="none" w:sz="0" w:space="0" w:color="auto"/>
        </w:tcBorders>
        <w:shd w:val="pct5" w:color="000000" w:fill="FFFFFF"/>
      </w:tcPr>
    </w:tblStylePr>
    <w:tblStylePr w:type="band2Horz">
      <w:rPr>
        <w:color w:val="auto"/>
      </w:rPr>
      <w:tblPr/>
      <w:tcPr>
        <w:tcBorders>
          <w:tl2br w:val="none" w:sz="0" w:space="0" w:color="auto"/>
          <w:tr2bl w:val="none" w:sz="0" w:space="0" w:color="auto"/>
        </w:tcBorders>
        <w:shd w:val="pct20" w:color="000000" w:fill="FFFFFF"/>
      </w:tcPr>
    </w:tblStylePr>
  </w:style>
  <w:style w:type="table" w:styleId="TableElegant">
    <w:name w:val="Table Elegant"/>
    <w:basedOn w:val="TableNormal"/>
    <w:uiPriority w:val="99"/>
    <w:semiHidden/>
    <w:rsid w:val="003E273C"/>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cBorders>
          <w:tl2br w:val="none" w:sz="0" w:space="0" w:color="auto"/>
          <w:tr2bl w:val="none" w:sz="0" w:space="0" w:color="auto"/>
        </w:tcBorders>
      </w:tcPr>
    </w:tblStylePr>
  </w:style>
  <w:style w:type="table" w:styleId="TableGrid1">
    <w:name w:val="Table Grid 1"/>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leGrid2">
    <w:name w:val="Table Grid 2"/>
    <w:basedOn w:val="TableNormal"/>
    <w:uiPriority w:val="99"/>
    <w:semiHidden/>
    <w:rsid w:val="003E273C"/>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3">
    <w:name w:val="Table Grid 3"/>
    <w:basedOn w:val="TableNormal"/>
    <w:uiPriority w:val="99"/>
    <w:semiHidden/>
    <w:rsid w:val="003E273C"/>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leGrid4">
    <w:name w:val="Table Grid 4"/>
    <w:basedOn w:val="TableNormal"/>
    <w:uiPriority w:val="99"/>
    <w:semiHidden/>
    <w:rsid w:val="003E273C"/>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leGrid5">
    <w:name w:val="Table Grid 5"/>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6">
    <w:name w:val="Table Grid 6"/>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7">
    <w:name w:val="Table Grid 7"/>
    <w:basedOn w:val="TableNormal"/>
    <w:uiPriority w:val="99"/>
    <w:semiHidden/>
    <w:rsid w:val="003E273C"/>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leGrid8">
    <w:name w:val="Table Grid 8"/>
    <w:basedOn w:val="TableNormal"/>
    <w:uiPriority w:val="99"/>
    <w:semiHidden/>
    <w:rsid w:val="003E273C"/>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TableList1">
    <w:name w:val="Table List 1"/>
    <w:basedOn w:val="TableNormal"/>
    <w:uiPriority w:val="99"/>
    <w:semiHidden/>
    <w:rsid w:val="003E273C"/>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2">
    <w:name w:val="Table List 2"/>
    <w:basedOn w:val="TableNormal"/>
    <w:uiPriority w:val="99"/>
    <w:semiHidden/>
    <w:rsid w:val="003E273C"/>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List3">
    <w:name w:val="Table List 3"/>
    <w:basedOn w:val="TableNormal"/>
    <w:uiPriority w:val="99"/>
    <w:semiHidden/>
    <w:rsid w:val="003E273C"/>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leList4">
    <w:name w:val="Table List 4"/>
    <w:basedOn w:val="TableNormal"/>
    <w:uiPriority w:val="99"/>
    <w:semiHidden/>
    <w:rsid w:val="003E273C"/>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leList5">
    <w:name w:val="Table List 5"/>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leList6">
    <w:name w:val="Table List 6"/>
    <w:basedOn w:val="TableNormal"/>
    <w:uiPriority w:val="99"/>
    <w:semiHidden/>
    <w:rsid w:val="003E273C"/>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paragraph" w:styleId="TableofAuthorities">
    <w:name w:val="table of authorities"/>
    <w:basedOn w:val="Normal"/>
    <w:next w:val="Normal"/>
    <w:uiPriority w:val="99"/>
    <w:semiHidden/>
    <w:rsid w:val="003E273C"/>
    <w:pPr>
      <w:spacing w:after="0"/>
      <w:ind w:left="220" w:hanging="220"/>
    </w:pPr>
  </w:style>
  <w:style w:type="paragraph" w:styleId="TableofFigures">
    <w:name w:val="table of figures"/>
    <w:basedOn w:val="Normal"/>
    <w:next w:val="Normal"/>
    <w:uiPriority w:val="99"/>
    <w:rsid w:val="003E273C"/>
    <w:pPr>
      <w:spacing w:after="0"/>
    </w:pPr>
  </w:style>
  <w:style w:type="table" w:styleId="TableProfessional">
    <w:name w:val="Table Professional"/>
    <w:basedOn w:val="TableNormal"/>
    <w:uiPriority w:val="99"/>
    <w:semiHidden/>
    <w:rsid w:val="003E273C"/>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tcBorders>
          <w:tl2br w:val="none" w:sz="0" w:space="0" w:color="auto"/>
          <w:tr2bl w:val="none" w:sz="0" w:space="0" w:color="auto"/>
        </w:tcBorders>
        <w:shd w:val="solid" w:color="000000" w:fill="FFFFFF"/>
      </w:tcPr>
    </w:tblStylePr>
  </w:style>
  <w:style w:type="table" w:styleId="TableSimple1">
    <w:name w:val="Table Simple 1"/>
    <w:basedOn w:val="TableNormal"/>
    <w:uiPriority w:val="99"/>
    <w:semiHidden/>
    <w:rsid w:val="003E273C"/>
    <w:tblPr>
      <w:tblBorders>
        <w:top w:val="single" w:sz="12" w:space="0" w:color="008000"/>
        <w:bottom w:val="single" w:sz="12" w:space="0" w:color="008000"/>
      </w:tblBorders>
    </w:tblPr>
    <w:tcPr>
      <w:shd w:val="clear" w:color="auto" w:fill="auto"/>
    </w:tcPr>
    <w:tblStylePr w:type="firstRow">
      <w:tblPr/>
      <w:tcPr>
        <w:tcBorders>
          <w:bottom w:val="single" w:sz="6" w:space="0" w:color="008000"/>
          <w:tl2br w:val="none" w:sz="0" w:space="0" w:color="auto"/>
          <w:tr2bl w:val="none" w:sz="0" w:space="0" w:color="auto"/>
        </w:tcBorders>
      </w:tcPr>
    </w:tblStylePr>
    <w:tblStylePr w:type="lastRow">
      <w:tblPr/>
      <w:tcPr>
        <w:tcBorders>
          <w:top w:val="single" w:sz="6" w:space="0" w:color="008000"/>
          <w:tl2br w:val="none" w:sz="0" w:space="0" w:color="auto"/>
          <w:tr2bl w:val="none" w:sz="0" w:space="0" w:color="auto"/>
        </w:tcBorders>
      </w:tcPr>
    </w:tblStylePr>
  </w:style>
  <w:style w:type="table" w:styleId="TableSimple2">
    <w:name w:val="Table Simple 2"/>
    <w:basedOn w:val="TableNormal"/>
    <w:uiPriority w:val="99"/>
    <w:semiHidden/>
    <w:rsid w:val="003E273C"/>
    <w:tblPr/>
    <w:tblStylePr w:type="firstRow">
      <w:rPr>
        <w:b/>
        <w:bCs/>
      </w:rPr>
      <w:tblPr/>
      <w:tcPr>
        <w:tcBorders>
          <w:bottom w:val="single" w:sz="12" w:space="0" w:color="000000"/>
          <w:tl2br w:val="none" w:sz="0" w:space="0" w:color="auto"/>
          <w:tr2bl w:val="none" w:sz="0" w:space="0" w:color="auto"/>
        </w:tcBorders>
      </w:tcPr>
    </w:tblStylePr>
    <w:tblStylePr w:type="lastRow">
      <w:rPr>
        <w:b/>
        <w:bCs/>
        <w:color w:val="auto"/>
      </w:rPr>
      <w:tblPr/>
      <w:tcPr>
        <w:tcBorders>
          <w:top w:val="single" w:sz="6"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lastCol">
      <w:rPr>
        <w:b/>
        <w:bCs/>
      </w:rPr>
      <w:tblPr/>
      <w:tcPr>
        <w:tcBorders>
          <w:left w:val="single" w:sz="6" w:space="0" w:color="000000"/>
          <w:tl2br w:val="none" w:sz="0" w:space="0" w:color="auto"/>
          <w:tr2bl w:val="none" w:sz="0" w:space="0" w:color="auto"/>
        </w:tcBorders>
      </w:tcPr>
    </w:tblStylePr>
    <w:tblStylePr w:type="neCell">
      <w:rPr>
        <w:b/>
        <w:bCs/>
      </w:rPr>
      <w:tblPr/>
      <w:tcPr>
        <w:tcBorders>
          <w:left w:val="none" w:sz="0" w:space="0" w:color="auto"/>
          <w:tl2br w:val="none" w:sz="0" w:space="0" w:color="auto"/>
          <w:tr2bl w:val="none" w:sz="0" w:space="0" w:color="auto"/>
        </w:tcBorders>
      </w:tcPr>
    </w:tblStylePr>
    <w:tblStylePr w:type="swCell">
      <w:rPr>
        <w:b/>
        <w:bCs/>
      </w:rPr>
      <w:tblPr/>
      <w:tcPr>
        <w:tcBorders>
          <w:top w:val="none" w:sz="0" w:space="0" w:color="auto"/>
          <w:tl2br w:val="none" w:sz="0" w:space="0" w:color="auto"/>
          <w:tr2bl w:val="none" w:sz="0" w:space="0" w:color="auto"/>
        </w:tcBorders>
      </w:tcPr>
    </w:tblStylePr>
  </w:style>
  <w:style w:type="table" w:styleId="TableSimple3">
    <w:name w:val="Table Simple 3"/>
    <w:basedOn w:val="TableNormal"/>
    <w:uiPriority w:val="99"/>
    <w:semiHidden/>
    <w:rsid w:val="003E273C"/>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table" w:styleId="TableSubtle1">
    <w:name w:val="Table Subtle 1"/>
    <w:basedOn w:val="TableNormal"/>
    <w:uiPriority w:val="99"/>
    <w:semiHidden/>
    <w:rsid w:val="003E273C"/>
    <w:tblPr>
      <w:tblStyleRowBandSize w:val="1"/>
    </w:tblPr>
    <w:tblStylePr w:type="firstRow">
      <w:tblPr/>
      <w:tcPr>
        <w:tcBorders>
          <w:top w:val="single" w:sz="6" w:space="0" w:color="000000"/>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shd w:val="pct25" w:color="800080" w:fill="FFFFFF"/>
      </w:tcPr>
    </w:tblStylePr>
    <w:tblStylePr w:type="firstCol">
      <w:tblPr/>
      <w:tcPr>
        <w:tcBorders>
          <w:right w:val="single" w:sz="12" w:space="0" w:color="000000"/>
          <w:tl2br w:val="none" w:sz="0" w:space="0" w:color="auto"/>
          <w:tr2bl w:val="none" w:sz="0" w:space="0" w:color="auto"/>
        </w:tcBorders>
      </w:tcPr>
    </w:tblStylePr>
    <w:tblStylePr w:type="lastCol">
      <w:tblPr/>
      <w:tcPr>
        <w:tcBorders>
          <w:left w:val="single" w:sz="12" w:space="0" w:color="000000"/>
          <w:tl2br w:val="none" w:sz="0" w:space="0" w:color="auto"/>
          <w:tr2bl w:val="none" w:sz="0" w:space="0" w:color="auto"/>
        </w:tcBorders>
      </w:tcPr>
    </w:tblStylePr>
    <w:tblStylePr w:type="band1Horz">
      <w:tblPr/>
      <w:tcPr>
        <w:tcBorders>
          <w:bottom w:val="single" w:sz="6"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Subtle2">
    <w:name w:val="Table Subtle 2"/>
    <w:basedOn w:val="TableNormal"/>
    <w:uiPriority w:val="99"/>
    <w:semiHidden/>
    <w:rsid w:val="003E273C"/>
    <w:tblPr>
      <w:tblBorders>
        <w:left w:val="single" w:sz="6" w:space="0" w:color="000000"/>
        <w:right w:val="single" w:sz="6" w:space="0" w:color="000000"/>
      </w:tblBorders>
    </w:tblPr>
    <w:tblStylePr w:type="firstRow">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firstCol">
      <w:tblPr/>
      <w:tcPr>
        <w:tcBorders>
          <w:right w:val="single" w:sz="12" w:space="0" w:color="000000"/>
          <w:tl2br w:val="none" w:sz="0" w:space="0" w:color="auto"/>
          <w:tr2bl w:val="none" w:sz="0" w:space="0" w:color="auto"/>
        </w:tcBorders>
        <w:shd w:val="pct25" w:color="008000" w:fill="FFFFFF"/>
      </w:tcPr>
    </w:tblStylePr>
    <w:tblStylePr w:type="lastCol">
      <w:tblPr/>
      <w:tcPr>
        <w:tcBorders>
          <w:left w:val="single" w:sz="12" w:space="0" w:color="000000"/>
          <w:tl2br w:val="none" w:sz="0" w:space="0" w:color="auto"/>
          <w:tr2bl w:val="none" w:sz="0" w:space="0" w:color="auto"/>
        </w:tcBorders>
        <w:shd w:val="pct25" w:color="8080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leTheme">
    <w:name w:val="Table Theme"/>
    <w:basedOn w:val="TableNormal"/>
    <w:uiPriority w:val="99"/>
    <w:semiHidden/>
    <w:rsid w:val="003E273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Web1">
    <w:name w:val="Table Web 1"/>
    <w:basedOn w:val="TableNormal"/>
    <w:uiPriority w:val="99"/>
    <w:semiHidden/>
    <w:rsid w:val="003E273C"/>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character" w:styleId="FollowedHyperlink">
    <w:name w:val="FollowedHyperlink"/>
    <w:basedOn w:val="DefaultParagraphFont"/>
    <w:uiPriority w:val="99"/>
    <w:semiHidden/>
    <w:unhideWhenUsed/>
    <w:rsid w:val="00E376D2"/>
    <w:rPr>
      <w:color w:val="522761" w:themeColor="accent4"/>
      <w:u w:val="single"/>
    </w:rPr>
  </w:style>
  <w:style w:type="table" w:customStyle="1" w:styleId="EducationTable">
    <w:name w:val="Education Table"/>
    <w:basedOn w:val="TableNormal"/>
    <w:uiPriority w:val="99"/>
    <w:rsid w:val="00A751A4"/>
    <w:pPr>
      <w:spacing w:after="0" w:line="240" w:lineRule="auto"/>
    </w:pPr>
    <w:rPr>
      <w:color w:val="000000" w:themeColor="text1"/>
      <w:sz w:val="20"/>
    </w:rPr>
    <w:tblPr>
      <w:tblStyleRowBandSize w:val="1"/>
      <w:tblBorders>
        <w:bottom w:val="single" w:sz="4" w:space="0" w:color="auto"/>
      </w:tblBorders>
    </w:tblPr>
    <w:trPr>
      <w:cantSplit/>
    </w:trPr>
    <w:tblStylePr w:type="firstRow">
      <w:pPr>
        <w:wordWrap/>
        <w:ind w:leftChars="0" w:left="0" w:rightChars="0" w:right="0"/>
        <w:jc w:val="left"/>
      </w:pPr>
      <w:rPr>
        <w:rFonts w:asciiTheme="minorHAnsi" w:hAnsiTheme="minorHAnsi"/>
        <w:b/>
        <w:color w:val="FFFFFF" w:themeColor="background1"/>
        <w:sz w:val="20"/>
      </w:rPr>
      <w:tblPr/>
      <w:tcPr>
        <w:shd w:val="clear" w:color="auto" w:fill="522761"/>
      </w:tcPr>
    </w:tblStylePr>
    <w:tblStylePr w:type="firstCol">
      <w:pPr>
        <w:jc w:val="left"/>
      </w:pPr>
      <w:rPr>
        <w:b/>
      </w:rPr>
    </w:tblStylePr>
  </w:style>
  <w:style w:type="paragraph" w:styleId="FootnoteText">
    <w:name w:val="footnote text"/>
    <w:basedOn w:val="Normal"/>
    <w:link w:val="FootnoteTextChar"/>
    <w:uiPriority w:val="99"/>
    <w:semiHidden/>
    <w:unhideWhenUsed/>
    <w:rsid w:val="0003404E"/>
    <w:pPr>
      <w:spacing w:after="0" w:line="240" w:lineRule="auto"/>
    </w:pPr>
    <w:rPr>
      <w:rFonts w:eastAsiaTheme="minorHAnsi"/>
      <w:sz w:val="20"/>
      <w:szCs w:val="20"/>
    </w:rPr>
  </w:style>
  <w:style w:type="character" w:customStyle="1" w:styleId="FootnoteTextChar">
    <w:name w:val="Footnote Text Char"/>
    <w:basedOn w:val="DefaultParagraphFont"/>
    <w:link w:val="FootnoteText"/>
    <w:uiPriority w:val="99"/>
    <w:semiHidden/>
    <w:rsid w:val="0003404E"/>
    <w:rPr>
      <w:rFonts w:eastAsiaTheme="minorHAnsi"/>
      <w:sz w:val="20"/>
      <w:szCs w:val="20"/>
    </w:rPr>
  </w:style>
  <w:style w:type="character" w:styleId="FootnoteReference">
    <w:name w:val="footnote reference"/>
    <w:basedOn w:val="DefaultParagraphFont"/>
    <w:uiPriority w:val="99"/>
    <w:semiHidden/>
    <w:unhideWhenUsed/>
    <w:rsid w:val="0003404E"/>
    <w:rPr>
      <w:vertAlign w:val="superscript"/>
    </w:rPr>
  </w:style>
  <w:style w:type="character" w:styleId="CommentReference">
    <w:name w:val="annotation reference"/>
    <w:basedOn w:val="DefaultParagraphFont"/>
    <w:uiPriority w:val="99"/>
    <w:semiHidden/>
    <w:unhideWhenUsed/>
    <w:rsid w:val="00964833"/>
    <w:rPr>
      <w:sz w:val="16"/>
      <w:szCs w:val="16"/>
    </w:rPr>
  </w:style>
  <w:style w:type="paragraph" w:styleId="CommentText">
    <w:name w:val="annotation text"/>
    <w:basedOn w:val="Normal"/>
    <w:link w:val="CommentTextChar"/>
    <w:uiPriority w:val="99"/>
    <w:semiHidden/>
    <w:unhideWhenUsed/>
    <w:rsid w:val="00964833"/>
    <w:pPr>
      <w:spacing w:line="240" w:lineRule="auto"/>
    </w:pPr>
    <w:rPr>
      <w:sz w:val="20"/>
      <w:szCs w:val="20"/>
    </w:rPr>
  </w:style>
  <w:style w:type="character" w:customStyle="1" w:styleId="CommentTextChar">
    <w:name w:val="Comment Text Char"/>
    <w:basedOn w:val="DefaultParagraphFont"/>
    <w:link w:val="CommentText"/>
    <w:uiPriority w:val="99"/>
    <w:semiHidden/>
    <w:rsid w:val="00964833"/>
    <w:rPr>
      <w:sz w:val="20"/>
      <w:szCs w:val="20"/>
    </w:rPr>
  </w:style>
  <w:style w:type="paragraph" w:styleId="CommentSubject">
    <w:name w:val="annotation subject"/>
    <w:basedOn w:val="CommentText"/>
    <w:next w:val="CommentText"/>
    <w:link w:val="CommentSubjectChar"/>
    <w:uiPriority w:val="99"/>
    <w:semiHidden/>
    <w:unhideWhenUsed/>
    <w:rsid w:val="00964833"/>
    <w:rPr>
      <w:b/>
      <w:bCs/>
    </w:rPr>
  </w:style>
  <w:style w:type="character" w:customStyle="1" w:styleId="CommentSubjectChar">
    <w:name w:val="Comment Subject Char"/>
    <w:basedOn w:val="CommentTextChar"/>
    <w:link w:val="CommentSubject"/>
    <w:uiPriority w:val="99"/>
    <w:semiHidden/>
    <w:rsid w:val="00964833"/>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843655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RelyOnCSS/>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eader" Target="header1.xml"/><Relationship Id="rId18" Type="http://schemas.openxmlformats.org/officeDocument/2006/relationships/hyperlink" Target="http://dnet.hosts.network/education/Resources/Documents/CC%20BY%204.0%20International" TargetMode="External"/><Relationship Id="rId26" Type="http://schemas.openxmlformats.org/officeDocument/2006/relationships/image" Target="media/image11.png"/><Relationship Id="rId39" Type="http://schemas.openxmlformats.org/officeDocument/2006/relationships/hyperlink" Target="https://melbourne-cshe.unimelb.edu.au/lh-martin-institute/news/increased-dependency-on-overseas-research-students-highlights-a-national-policy-failing" TargetMode="External"/><Relationship Id="rId3" Type="http://schemas.openxmlformats.org/officeDocument/2006/relationships/customXml" Target="../customXml/item3.xml"/><Relationship Id="rId21" Type="http://schemas.openxmlformats.org/officeDocument/2006/relationships/image" Target="media/image6.png"/><Relationship Id="rId34" Type="http://schemas.openxmlformats.org/officeDocument/2006/relationships/image" Target="media/image19.png"/><Relationship Id="rId42" Type="http://schemas.openxmlformats.org/officeDocument/2006/relationships/hyperlink" Target="https://researchdirect.westernsydney.edu.au/islandora/object/uws:40937" TargetMode="External"/><Relationship Id="rId47" Type="http://schemas.openxmlformats.org/officeDocument/2006/relationships/fontTable" Target="fontTable.xml"/><Relationship Id="rId7" Type="http://schemas.openxmlformats.org/officeDocument/2006/relationships/settings" Target="settings.xml"/><Relationship Id="rId12" Type="http://schemas.openxmlformats.org/officeDocument/2006/relationships/image" Target="media/image2.jpg"/><Relationship Id="rId17" Type="http://schemas.openxmlformats.org/officeDocument/2006/relationships/hyperlink" Target="http://dnet.hosts.network/education/Resources/Documents/Creative%20Commons%20Attribution%204.0%20International" TargetMode="External"/><Relationship Id="rId25" Type="http://schemas.openxmlformats.org/officeDocument/2006/relationships/image" Target="media/image10.png"/><Relationship Id="rId33" Type="http://schemas.openxmlformats.org/officeDocument/2006/relationships/image" Target="media/image18.png"/><Relationship Id="rId38" Type="http://schemas.openxmlformats.org/officeDocument/2006/relationships/hyperlink" Target="https://melbourne-cshe.unimelb.edu.au/__data/assets/pdf_file/0012/2894718/Gender-Enrolment-Trends-F-Larkins-Sep-2018.pdf" TargetMode="External"/><Relationship Id="rId46"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image" Target="cid:image001.png@01CC5B5E.C6C84990" TargetMode="External"/><Relationship Id="rId20" Type="http://schemas.openxmlformats.org/officeDocument/2006/relationships/image" Target="media/image5.png"/><Relationship Id="rId29" Type="http://schemas.openxmlformats.org/officeDocument/2006/relationships/image" Target="media/image14.png"/><Relationship Id="rId41" Type="http://schemas.openxmlformats.org/officeDocument/2006/relationships/hyperlink" Target="http://www.acola.org.au"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1.jpeg"/><Relationship Id="rId24" Type="http://schemas.openxmlformats.org/officeDocument/2006/relationships/image" Target="media/image9.png"/><Relationship Id="rId32" Type="http://schemas.openxmlformats.org/officeDocument/2006/relationships/image" Target="media/image17.png"/><Relationship Id="rId37" Type="http://schemas.openxmlformats.org/officeDocument/2006/relationships/image" Target="media/image22.png"/><Relationship Id="rId40" Type="http://schemas.openxmlformats.org/officeDocument/2006/relationships/hyperlink" Target="https://www.ncsehe.edu.au/wp-content/uploads/2016/03/Labour-Market-Outcomes-of-Australian-University-Graduates-from-Equity-Groups.pdf" TargetMode="External"/><Relationship Id="rId45" Type="http://schemas.openxmlformats.org/officeDocument/2006/relationships/header" Target="header2.xml"/><Relationship Id="rId5" Type="http://schemas.openxmlformats.org/officeDocument/2006/relationships/numbering" Target="numbering.xml"/><Relationship Id="rId15" Type="http://schemas.openxmlformats.org/officeDocument/2006/relationships/image" Target="media/image3.png"/><Relationship Id="rId23" Type="http://schemas.openxmlformats.org/officeDocument/2006/relationships/image" Target="media/image8.png"/><Relationship Id="rId28" Type="http://schemas.openxmlformats.org/officeDocument/2006/relationships/image" Target="media/image13.png"/><Relationship Id="rId36" Type="http://schemas.openxmlformats.org/officeDocument/2006/relationships/image" Target="media/image21.png"/><Relationship Id="rId10" Type="http://schemas.openxmlformats.org/officeDocument/2006/relationships/endnotes" Target="endnotes.xml"/><Relationship Id="rId19" Type="http://schemas.openxmlformats.org/officeDocument/2006/relationships/image" Target="media/image4.png"/><Relationship Id="rId31" Type="http://schemas.openxmlformats.org/officeDocument/2006/relationships/image" Target="media/image16.png"/><Relationship Id="rId44" Type="http://schemas.openxmlformats.org/officeDocument/2006/relationships/hyperlink" Target="https://search.informit.com.au/documentSummary;dn=277070726835031;res=IELAPA"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footer" Target="footer1.xml"/><Relationship Id="rId22" Type="http://schemas.openxmlformats.org/officeDocument/2006/relationships/image" Target="media/image7.png"/><Relationship Id="rId27" Type="http://schemas.openxmlformats.org/officeDocument/2006/relationships/image" Target="media/image12.png"/><Relationship Id="rId30" Type="http://schemas.openxmlformats.org/officeDocument/2006/relationships/image" Target="media/image15.png"/><Relationship Id="rId35" Type="http://schemas.openxmlformats.org/officeDocument/2006/relationships/image" Target="media/image20.png"/><Relationship Id="rId43" Type="http://schemas.openxmlformats.org/officeDocument/2006/relationships/hyperlink" Target="https://www2.le.ac.uk/departments/doctoralcollege/about/external/publications/widening-participation.pdf" TargetMode="External"/><Relationship Id="rId48" Type="http://schemas.openxmlformats.org/officeDocument/2006/relationships/theme" Target="theme/theme1.xml"/></Relationships>
</file>

<file path=word/_rels/footnotes.xml.rels><?xml version="1.0" encoding="UTF-8" standalone="yes"?>
<Relationships xmlns="http://schemas.openxmlformats.org/package/2006/relationships"><Relationship Id="rId2" Type="http://schemas.openxmlformats.org/officeDocument/2006/relationships/hyperlink" Target="https://www.aihw.gov.au/getmedia/34f09557-0acf-4adf-837d-eada7b74d466/Education-20905.pdf.aspxed" TargetMode="External"/><Relationship Id="rId1" Type="http://schemas.openxmlformats.org/officeDocument/2006/relationships/hyperlink" Target="https://docs.education.gov.au/documents/research-training-implementation-plan" TargetMode="External"/></Relationships>
</file>

<file path=word/theme/theme1.xml><?xml version="1.0" encoding="utf-8"?>
<a:theme xmlns:a="http://schemas.openxmlformats.org/drawingml/2006/main" name="Office Theme">
  <a:themeElements>
    <a:clrScheme name="Education">
      <a:dk1>
        <a:sysClr val="windowText" lastClr="000000"/>
      </a:dk1>
      <a:lt1>
        <a:srgbClr val="FFFFFF"/>
      </a:lt1>
      <a:dk2>
        <a:srgbClr val="3C54A5"/>
      </a:dk2>
      <a:lt2>
        <a:srgbClr val="E9A913"/>
      </a:lt2>
      <a:accent1>
        <a:srgbClr val="3C54A5"/>
      </a:accent1>
      <a:accent2>
        <a:srgbClr val="545861"/>
      </a:accent2>
      <a:accent3>
        <a:srgbClr val="E9A913"/>
      </a:accent3>
      <a:accent4>
        <a:srgbClr val="522761"/>
      </a:accent4>
      <a:accent5>
        <a:srgbClr val="3C54A5"/>
      </a:accent5>
      <a:accent6>
        <a:srgbClr val="545861"/>
      </a:accent6>
      <a:hlink>
        <a:srgbClr val="3C54A5"/>
      </a:hlink>
      <a:folHlink>
        <a:srgbClr val="522761"/>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Unknown Document Type" ma:contentTypeID="0x010104" ma:contentTypeVersion="0" ma:contentTypeDescription="" ma:contentTypeScope="" ma:versionID="05d83ceaa0bbd2e3bc716e6e66bd857a">
  <xsd:schema xmlns:xsd="http://www.w3.org/2001/XMLSchema" xmlns:xs="http://www.w3.org/2001/XMLSchema" xmlns:p="http://schemas.microsoft.com/office/2006/metadata/properties" targetNamespace="http://schemas.microsoft.com/office/2006/metadata/properties" ma:root="true" ma:fieldsID="b3d69fe45253d5ff147bb69036b756a7">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ma:readOnly="true"/>
        <xsd:element ref="dc:title" minOccurs="0" maxOccurs="1" ma:index="3"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8BB07A6-3D6D-4906-8BEE-BBA26B5D0E27}">
  <ds:schemaRefs>
    <ds:schemaRef ds:uri="http://schemas.microsoft.com/sharepoint/v3/contenttype/forms"/>
  </ds:schemaRefs>
</ds:datastoreItem>
</file>

<file path=customXml/itemProps2.xml><?xml version="1.0" encoding="utf-8"?>
<ds:datastoreItem xmlns:ds="http://schemas.openxmlformats.org/officeDocument/2006/customXml" ds:itemID="{39767389-5B43-4AD8-B51B-1960CFA623D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openxmlformats.org/package/2006/metadata/core-properties"/>
    <ds:schemaRef ds:uri="http://purl.org/dc/elements/1.1/"/>
    <ds:schemaRef ds:uri="http://purl.org/dc/terms/"/>
    <ds:schemaRef ds:uri="http://schemas.microsoft.com/internal/obd"/>
    <ds:schemaRef ds:uri="http://schemas.microsoft.com/office/infopath/2007/PartnerControls"/>
  </ds:schemaRefs>
</ds:datastoreItem>
</file>

<file path=customXml/itemProps3.xml><?xml version="1.0" encoding="utf-8"?>
<ds:datastoreItem xmlns:ds="http://schemas.openxmlformats.org/officeDocument/2006/customXml" ds:itemID="{85059B5F-B672-4046-BBBE-7F4A178510AA}">
  <ds:schemaRef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http://purl.org/dc/elements/1.1/"/>
    <ds:schemaRef ds:uri="http://schemas.microsoft.com/office/2006/metadata/properties"/>
    <ds:schemaRef ds:uri="http://www.w3.org/XML/1998/namespace"/>
    <ds:schemaRef ds:uri="http://purl.org/dc/dcmitype/"/>
  </ds:schemaRefs>
</ds:datastoreItem>
</file>

<file path=customXml/itemProps4.xml><?xml version="1.0" encoding="utf-8"?>
<ds:datastoreItem xmlns:ds="http://schemas.openxmlformats.org/officeDocument/2006/customXml" ds:itemID="{4C45F830-4669-4FEE-B953-E2E4D1B1D8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17B29EAB.dotm</Template>
  <TotalTime>0</TotalTime>
  <Pages>37</Pages>
  <Words>5491</Words>
  <Characters>31303</Characters>
  <Application>Microsoft Office Word</Application>
  <DocSecurity>0</DocSecurity>
  <Lines>260</Lines>
  <Paragraphs>73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36721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
  <cp:lastModifiedBy/>
  <cp:revision>1</cp:revision>
  <dcterms:created xsi:type="dcterms:W3CDTF">2020-01-20T23:44:00Z</dcterms:created>
  <dcterms:modified xsi:type="dcterms:W3CDTF">2020-01-20T23:44:00Z</dcterms:modified>
</cp:coreProperties>
</file>