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xml" ContentType="application/vnd.openxmlformats-officedocument.drawingml.chart+xml"/>
  <Override PartName="/word/charts/colors1.xml" ContentType="application/vnd.ms-office.chartcolorstyle+xml"/>
  <Override PartName="/word/charts/style2.xml" ContentType="application/vnd.ms-office.chartstyle+xml"/>
  <Override PartName="/word/charts/chart1.xml" ContentType="application/vnd.openxmlformats-officedocument.drawingml.chart+xml"/>
  <Override PartName="/word/charts/style1.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75DA8" w14:textId="489F6AE0" w:rsidR="000B4632" w:rsidRPr="001E60C7" w:rsidRDefault="000B4632" w:rsidP="000B4632">
      <w:pPr>
        <w:spacing w:after="160" w:line="259" w:lineRule="auto"/>
        <w:jc w:val="right"/>
        <w:rPr>
          <w:rFonts w:asciiTheme="minorHAnsi" w:hAnsiTheme="minorHAnsi" w:cstheme="minorBidi"/>
          <w:b/>
          <w:sz w:val="48"/>
          <w:szCs w:val="48"/>
          <w:lang w:eastAsia="zh-TW"/>
        </w:rPr>
      </w:pPr>
      <w:bookmarkStart w:id="0" w:name="_GoBack"/>
      <w:bookmarkEnd w:id="0"/>
      <w:r w:rsidRPr="001E60C7">
        <w:rPr>
          <w:rFonts w:asciiTheme="minorHAnsi" w:hAnsiTheme="minorHAnsi" w:cstheme="minorBidi"/>
          <w:b/>
          <w:noProof/>
          <w:sz w:val="48"/>
          <w:szCs w:val="48"/>
          <w:lang w:eastAsia="en-AU"/>
        </w:rPr>
        <w:drawing>
          <wp:inline distT="0" distB="0" distL="0" distR="0" wp14:anchorId="739AB3F9" wp14:editId="28D6BFA9">
            <wp:extent cx="3803015" cy="3803015"/>
            <wp:effectExtent l="0" t="0" r="6985" b="6985"/>
            <wp:docPr id="4" name="Picture 4" descr="lawn bowls"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3015" cy="3803015"/>
                    </a:xfrm>
                    <a:prstGeom prst="rect">
                      <a:avLst/>
                    </a:prstGeom>
                    <a:noFill/>
                    <a:ln>
                      <a:noFill/>
                    </a:ln>
                  </pic:spPr>
                </pic:pic>
              </a:graphicData>
            </a:graphic>
          </wp:inline>
        </w:drawing>
      </w:r>
    </w:p>
    <w:p w14:paraId="01668F61" w14:textId="77777777" w:rsidR="000F3B18" w:rsidRPr="001E60C7" w:rsidRDefault="000F3B18" w:rsidP="000B4632">
      <w:pPr>
        <w:spacing w:after="160" w:line="259" w:lineRule="auto"/>
        <w:jc w:val="right"/>
        <w:rPr>
          <w:rFonts w:asciiTheme="minorHAnsi" w:hAnsiTheme="minorHAnsi" w:cstheme="minorBidi"/>
          <w:b/>
          <w:sz w:val="48"/>
          <w:szCs w:val="48"/>
          <w:lang w:eastAsia="zh-TW"/>
        </w:rPr>
      </w:pPr>
      <w:r w:rsidRPr="001E60C7">
        <w:rPr>
          <w:rFonts w:asciiTheme="minorHAnsi" w:hAnsiTheme="minorHAnsi" w:cstheme="minorBidi"/>
          <w:b/>
          <w:sz w:val="48"/>
          <w:szCs w:val="48"/>
          <w:lang w:eastAsia="zh-TW"/>
        </w:rPr>
        <w:t>The Australia-China Education Relationship</w:t>
      </w:r>
    </w:p>
    <w:p w14:paraId="7CD0B5CB" w14:textId="44941E98" w:rsidR="000B4632" w:rsidRPr="001E60C7" w:rsidRDefault="000F3B18" w:rsidP="000B4632">
      <w:pPr>
        <w:spacing w:after="160" w:line="259" w:lineRule="auto"/>
        <w:jc w:val="right"/>
        <w:rPr>
          <w:rFonts w:asciiTheme="minorHAnsi" w:hAnsiTheme="minorHAnsi" w:cstheme="minorBidi"/>
          <w:sz w:val="48"/>
          <w:szCs w:val="48"/>
          <w:lang w:eastAsia="zh-TW"/>
        </w:rPr>
      </w:pPr>
      <w:r w:rsidRPr="001E60C7">
        <w:rPr>
          <w:rFonts w:asciiTheme="minorHAnsi" w:hAnsiTheme="minorHAnsi" w:cstheme="minorBidi"/>
          <w:sz w:val="48"/>
          <w:szCs w:val="48"/>
          <w:lang w:eastAsia="zh-TW"/>
        </w:rPr>
        <w:t>Diversity, Complexity and Maturity</w:t>
      </w:r>
      <w:r w:rsidR="000B4632" w:rsidRPr="001E60C7">
        <w:rPr>
          <w:rFonts w:asciiTheme="minorHAnsi" w:hAnsiTheme="minorHAnsi" w:cstheme="minorBidi"/>
          <w:sz w:val="48"/>
          <w:szCs w:val="48"/>
          <w:lang w:eastAsia="zh-TW"/>
        </w:rPr>
        <w:t xml:space="preserve"> </w:t>
      </w:r>
    </w:p>
    <w:p w14:paraId="09E8742B" w14:textId="77777777" w:rsidR="000B4632" w:rsidRPr="001E60C7" w:rsidRDefault="000B4632" w:rsidP="000B4632">
      <w:pPr>
        <w:spacing w:after="160" w:line="259" w:lineRule="auto"/>
        <w:rPr>
          <w:rFonts w:asciiTheme="minorHAnsi" w:hAnsiTheme="minorHAnsi" w:cstheme="minorBidi"/>
          <w:lang w:eastAsia="zh-TW"/>
        </w:rPr>
      </w:pPr>
    </w:p>
    <w:p w14:paraId="35BD3C36" w14:textId="77777777" w:rsidR="000B4632" w:rsidRPr="001E60C7" w:rsidRDefault="000B4632" w:rsidP="000B4632">
      <w:pPr>
        <w:spacing w:after="160" w:line="259" w:lineRule="auto"/>
        <w:rPr>
          <w:rFonts w:asciiTheme="minorHAnsi" w:hAnsiTheme="minorHAnsi" w:cstheme="minorBidi"/>
          <w:lang w:eastAsia="zh-TW"/>
        </w:rPr>
      </w:pPr>
    </w:p>
    <w:p w14:paraId="37BBAC00" w14:textId="77777777" w:rsidR="000B4632" w:rsidRPr="001E60C7" w:rsidRDefault="000B4632" w:rsidP="000B4632">
      <w:pPr>
        <w:spacing w:after="160" w:line="259" w:lineRule="auto"/>
        <w:rPr>
          <w:rFonts w:asciiTheme="minorHAnsi" w:hAnsiTheme="minorHAnsi" w:cstheme="minorBidi"/>
          <w:lang w:eastAsia="zh-TW"/>
        </w:rPr>
      </w:pPr>
    </w:p>
    <w:p w14:paraId="35C2414F" w14:textId="77777777" w:rsidR="000B4632" w:rsidRPr="001E60C7" w:rsidRDefault="000B4632" w:rsidP="000B4632">
      <w:pPr>
        <w:spacing w:after="160" w:line="259" w:lineRule="auto"/>
        <w:rPr>
          <w:rFonts w:asciiTheme="minorHAnsi" w:hAnsiTheme="minorHAnsi" w:cstheme="minorBidi"/>
          <w:lang w:eastAsia="zh-TW"/>
        </w:rPr>
      </w:pPr>
    </w:p>
    <w:p w14:paraId="78504E36" w14:textId="77777777" w:rsidR="000B4632" w:rsidRPr="001E60C7" w:rsidRDefault="000B4632" w:rsidP="000B4632">
      <w:pPr>
        <w:spacing w:after="160" w:line="259" w:lineRule="auto"/>
        <w:rPr>
          <w:rFonts w:asciiTheme="minorHAnsi" w:hAnsiTheme="minorHAnsi" w:cstheme="minorBidi"/>
          <w:lang w:eastAsia="zh-TW"/>
        </w:rPr>
      </w:pPr>
    </w:p>
    <w:p w14:paraId="3BD557A4" w14:textId="77777777" w:rsidR="000B4632" w:rsidRPr="001E60C7" w:rsidRDefault="000B4632" w:rsidP="000B4632">
      <w:pPr>
        <w:spacing w:after="160" w:line="259" w:lineRule="auto"/>
        <w:rPr>
          <w:rFonts w:asciiTheme="minorHAnsi" w:hAnsiTheme="minorHAnsi" w:cstheme="minorBidi"/>
          <w:lang w:eastAsia="zh-TW"/>
        </w:rPr>
      </w:pPr>
    </w:p>
    <w:p w14:paraId="02900952" w14:textId="77777777" w:rsidR="000B4632" w:rsidRPr="001E60C7" w:rsidRDefault="000B4632" w:rsidP="000B4632">
      <w:pPr>
        <w:spacing w:after="160" w:line="259" w:lineRule="auto"/>
        <w:rPr>
          <w:rFonts w:asciiTheme="minorHAnsi" w:hAnsiTheme="minorHAnsi" w:cstheme="minorBidi"/>
          <w:lang w:eastAsia="zh-TW"/>
        </w:rPr>
      </w:pPr>
    </w:p>
    <w:p w14:paraId="6AC240FD" w14:textId="77777777" w:rsidR="000B4632" w:rsidRPr="001E60C7" w:rsidRDefault="000B4632" w:rsidP="000B4632">
      <w:pPr>
        <w:spacing w:after="160" w:line="259" w:lineRule="auto"/>
        <w:rPr>
          <w:rFonts w:asciiTheme="minorHAnsi" w:hAnsiTheme="minorHAnsi" w:cstheme="minorBidi"/>
          <w:lang w:eastAsia="zh-TW"/>
        </w:rPr>
      </w:pPr>
    </w:p>
    <w:p w14:paraId="39441E94" w14:textId="77777777" w:rsidR="000B4632" w:rsidRPr="001E60C7" w:rsidRDefault="000B4632" w:rsidP="000B4632">
      <w:pPr>
        <w:spacing w:line="259" w:lineRule="auto"/>
        <w:rPr>
          <w:rFonts w:asciiTheme="minorHAnsi" w:hAnsiTheme="minorHAnsi" w:cstheme="minorBidi"/>
          <w:sz w:val="24"/>
          <w:lang w:eastAsia="zh-TW"/>
        </w:rPr>
      </w:pPr>
      <w:r w:rsidRPr="001E60C7">
        <w:rPr>
          <w:rFonts w:asciiTheme="minorHAnsi" w:hAnsiTheme="minorHAnsi" w:cstheme="minorBidi"/>
          <w:sz w:val="24"/>
          <w:lang w:eastAsia="zh-TW"/>
        </w:rPr>
        <w:t>Report by the Council for International Education</w:t>
      </w:r>
    </w:p>
    <w:p w14:paraId="0555D721" w14:textId="77777777" w:rsidR="000B4632" w:rsidRPr="001E60C7" w:rsidRDefault="000B4632" w:rsidP="000B4632">
      <w:pPr>
        <w:spacing w:line="259" w:lineRule="auto"/>
        <w:rPr>
          <w:rFonts w:asciiTheme="minorHAnsi" w:hAnsiTheme="minorHAnsi" w:cstheme="minorBidi"/>
          <w:sz w:val="24"/>
          <w:lang w:eastAsia="zh-TW"/>
        </w:rPr>
      </w:pPr>
      <w:r w:rsidRPr="001E60C7">
        <w:rPr>
          <w:rFonts w:asciiTheme="minorHAnsi" w:hAnsiTheme="minorHAnsi" w:cstheme="minorBidi"/>
          <w:sz w:val="24"/>
          <w:lang w:eastAsia="zh-TW"/>
        </w:rPr>
        <w:lastRenderedPageBreak/>
        <w:t xml:space="preserve">China Working Group </w:t>
      </w:r>
    </w:p>
    <w:p w14:paraId="492ACBC7" w14:textId="77777777" w:rsidR="000B4632" w:rsidRPr="001E60C7" w:rsidRDefault="000B4632" w:rsidP="000B4632">
      <w:pPr>
        <w:spacing w:after="160" w:line="259" w:lineRule="auto"/>
        <w:rPr>
          <w:rFonts w:asciiTheme="minorHAnsi" w:hAnsiTheme="minorHAnsi" w:cstheme="minorBidi"/>
          <w:lang w:eastAsia="zh-TW"/>
        </w:rPr>
      </w:pPr>
      <w:r w:rsidRPr="001E60C7">
        <w:rPr>
          <w:rFonts w:asciiTheme="minorHAnsi" w:hAnsiTheme="minorHAnsi" w:cstheme="minorBidi"/>
          <w:lang w:eastAsia="zh-TW"/>
        </w:rPr>
        <w:t>July 2019</w:t>
      </w:r>
      <w:r w:rsidRPr="001E60C7">
        <w:rPr>
          <w:rFonts w:asciiTheme="minorHAnsi" w:hAnsiTheme="minorHAnsi" w:cstheme="minorBidi"/>
          <w:lang w:eastAsia="zh-TW"/>
        </w:rPr>
        <w:br w:type="page"/>
      </w:r>
    </w:p>
    <w:p w14:paraId="10128316" w14:textId="77777777" w:rsidR="007368D5" w:rsidRDefault="007368D5" w:rsidP="007368D5">
      <w:pPr>
        <w:rPr>
          <w:sz w:val="18"/>
          <w:szCs w:val="18"/>
          <w:lang w:eastAsia="zh-TW"/>
        </w:rPr>
      </w:pPr>
    </w:p>
    <w:p w14:paraId="3FDF5FD5" w14:textId="20419C36" w:rsidR="007368D5" w:rsidRPr="007368D5" w:rsidRDefault="007368D5" w:rsidP="007368D5">
      <w:pPr>
        <w:spacing w:before="720"/>
        <w:rPr>
          <w:sz w:val="18"/>
          <w:szCs w:val="18"/>
          <w:lang w:eastAsia="zh-TW"/>
        </w:rPr>
      </w:pPr>
      <w:r w:rsidRPr="007368D5">
        <w:rPr>
          <w:sz w:val="18"/>
          <w:szCs w:val="18"/>
          <w:lang w:eastAsia="zh-TW"/>
        </w:rPr>
        <w:t>ISBN 978-1-76051-761-8 [PDF]</w:t>
      </w:r>
    </w:p>
    <w:p w14:paraId="776C443E" w14:textId="77777777" w:rsidR="007368D5" w:rsidRPr="007368D5" w:rsidRDefault="007368D5" w:rsidP="007368D5">
      <w:pPr>
        <w:rPr>
          <w:sz w:val="18"/>
          <w:szCs w:val="18"/>
          <w:lang w:eastAsia="zh-TW"/>
        </w:rPr>
      </w:pPr>
      <w:r w:rsidRPr="007368D5">
        <w:rPr>
          <w:sz w:val="18"/>
          <w:szCs w:val="18"/>
          <w:lang w:eastAsia="zh-TW"/>
        </w:rPr>
        <w:t>ISBN 978-1-76051-762-5 [DOCX]</w:t>
      </w:r>
    </w:p>
    <w:p w14:paraId="0F8304E0" w14:textId="3E2678AF" w:rsidR="007368D5" w:rsidRPr="007368D5" w:rsidRDefault="007368D5" w:rsidP="007368D5">
      <w:pPr>
        <w:rPr>
          <w:sz w:val="18"/>
          <w:szCs w:val="18"/>
          <w:lang w:eastAsia="zh-TW"/>
        </w:rPr>
      </w:pPr>
      <w:r w:rsidRPr="007368D5">
        <w:rPr>
          <w:sz w:val="18"/>
          <w:szCs w:val="18"/>
          <w:lang w:eastAsia="zh-TW"/>
        </w:rPr>
        <w:t>ISBN 978-1-76051-763-2 [PRINT]</w:t>
      </w:r>
    </w:p>
    <w:p w14:paraId="64F0A591" w14:textId="0E3BB99B" w:rsidR="007368D5" w:rsidRDefault="007368D5" w:rsidP="007368D5">
      <w:pPr>
        <w:rPr>
          <w:lang w:eastAsia="zh-TW"/>
        </w:rPr>
      </w:pPr>
    </w:p>
    <w:p w14:paraId="244C1B72" w14:textId="5448FE22" w:rsidR="007368D5" w:rsidRPr="007368D5" w:rsidRDefault="007368D5" w:rsidP="007368D5">
      <w:pPr>
        <w:rPr>
          <w:lang w:eastAsia="zh-TW"/>
        </w:rPr>
      </w:pPr>
      <w:r>
        <w:rPr>
          <w:noProof/>
          <w:lang w:eastAsia="en-AU"/>
        </w:rPr>
        <w:drawing>
          <wp:inline distT="0" distB="0" distL="0" distR="0" wp14:anchorId="0F4A3E90" wp14:editId="030CDEC3">
            <wp:extent cx="927279" cy="324548"/>
            <wp:effectExtent l="0" t="0" r="6350" b="0"/>
            <wp:docPr id="5" name="Picture 5"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40" cy="330694"/>
                    </a:xfrm>
                    <a:prstGeom prst="rect">
                      <a:avLst/>
                    </a:prstGeom>
                  </pic:spPr>
                </pic:pic>
              </a:graphicData>
            </a:graphic>
          </wp:inline>
        </w:drawing>
      </w:r>
    </w:p>
    <w:p w14:paraId="305EACB7" w14:textId="77777777" w:rsidR="007368D5" w:rsidRPr="007368D5" w:rsidRDefault="007368D5" w:rsidP="007368D5">
      <w:pPr>
        <w:rPr>
          <w:lang w:eastAsia="zh-TW"/>
        </w:rPr>
      </w:pPr>
    </w:p>
    <w:p w14:paraId="22C39FC1" w14:textId="7E92689E" w:rsidR="007368D5" w:rsidRPr="007368D5" w:rsidRDefault="007368D5" w:rsidP="007368D5">
      <w:pPr>
        <w:spacing w:after="120"/>
        <w:rPr>
          <w:sz w:val="18"/>
          <w:szCs w:val="18"/>
          <w:lang w:eastAsia="zh-TW"/>
        </w:rPr>
      </w:pPr>
      <w:r w:rsidRPr="007368D5">
        <w:rPr>
          <w:sz w:val="18"/>
          <w:szCs w:val="18"/>
          <w:lang w:eastAsia="zh-TW"/>
        </w:rPr>
        <w:t>With the exception of any material protected by a trade mark and where otherwise noted all material presented in this document is provided under a Creative Commons Attribution 4.0 International (</w:t>
      </w:r>
      <w:r w:rsidRPr="007368D5">
        <w:rPr>
          <w:rStyle w:val="Hyperlink"/>
          <w:sz w:val="18"/>
          <w:szCs w:val="18"/>
        </w:rPr>
        <w:t>https://creativecommons.org/licenses/by/4.0/</w:t>
      </w:r>
      <w:r w:rsidRPr="007368D5">
        <w:rPr>
          <w:sz w:val="18"/>
          <w:szCs w:val="18"/>
          <w:lang w:eastAsia="zh-TW"/>
        </w:rPr>
        <w:t>) licence.</w:t>
      </w:r>
    </w:p>
    <w:p w14:paraId="45D46702" w14:textId="77777777" w:rsidR="007368D5" w:rsidRPr="007368D5" w:rsidRDefault="007368D5" w:rsidP="007368D5">
      <w:pPr>
        <w:rPr>
          <w:sz w:val="18"/>
          <w:szCs w:val="18"/>
          <w:lang w:eastAsia="zh-TW"/>
        </w:rPr>
      </w:pPr>
      <w:r w:rsidRPr="007368D5">
        <w:rPr>
          <w:sz w:val="18"/>
          <w:szCs w:val="18"/>
          <w:lang w:eastAsia="zh-TW"/>
        </w:rPr>
        <w:t xml:space="preserve">The details of the relevant licence conditions are available on the Creative Commons website (accessible using the links provided) as is the full legal code for the CC BY 4.0 International </w:t>
      </w:r>
    </w:p>
    <w:p w14:paraId="0080A4E7" w14:textId="77777777" w:rsidR="007368D5" w:rsidRPr="007368D5" w:rsidRDefault="007368D5" w:rsidP="007368D5">
      <w:pPr>
        <w:spacing w:after="120"/>
        <w:rPr>
          <w:sz w:val="18"/>
          <w:szCs w:val="18"/>
          <w:lang w:eastAsia="zh-TW"/>
        </w:rPr>
      </w:pPr>
      <w:r w:rsidRPr="007368D5">
        <w:rPr>
          <w:sz w:val="18"/>
          <w:szCs w:val="18"/>
          <w:lang w:eastAsia="zh-TW"/>
        </w:rPr>
        <w:t>(</w:t>
      </w:r>
      <w:r w:rsidRPr="007368D5">
        <w:rPr>
          <w:rStyle w:val="Hyperlink"/>
          <w:sz w:val="18"/>
          <w:szCs w:val="18"/>
        </w:rPr>
        <w:t>https://creativecommons.org/licenses/by/4.0/legalcode</w:t>
      </w:r>
      <w:r w:rsidRPr="007368D5">
        <w:rPr>
          <w:sz w:val="18"/>
          <w:szCs w:val="18"/>
          <w:lang w:eastAsia="zh-TW"/>
        </w:rPr>
        <w:t>)</w:t>
      </w:r>
    </w:p>
    <w:p w14:paraId="1BC32C65" w14:textId="6242D7FB" w:rsidR="007368D5" w:rsidRPr="007368D5" w:rsidRDefault="007368D5" w:rsidP="007368D5">
      <w:pPr>
        <w:rPr>
          <w:sz w:val="18"/>
          <w:szCs w:val="18"/>
          <w:lang w:eastAsia="zh-TW"/>
        </w:rPr>
      </w:pPr>
      <w:r w:rsidRPr="007368D5">
        <w:rPr>
          <w:sz w:val="18"/>
          <w:szCs w:val="18"/>
          <w:lang w:eastAsia="zh-TW"/>
        </w:rPr>
        <w:t>The document must be attributed as the The Australia-China Education Relationship: Diversity, Complexity and Maturity.</w:t>
      </w:r>
    </w:p>
    <w:p w14:paraId="23C32CA1" w14:textId="4357D640" w:rsidR="000B4632" w:rsidRPr="001E60C7" w:rsidRDefault="000B4632" w:rsidP="007368D5">
      <w:pPr>
        <w:spacing w:before="600" w:after="360" w:line="259" w:lineRule="auto"/>
        <w:rPr>
          <w:rFonts w:asciiTheme="minorHAnsi" w:hAnsiTheme="minorHAnsi" w:cstheme="minorBidi"/>
          <w:color w:val="4472C4" w:themeColor="accent5"/>
          <w:sz w:val="32"/>
          <w:lang w:eastAsia="zh-TW"/>
        </w:rPr>
      </w:pPr>
      <w:r w:rsidRPr="001E60C7">
        <w:rPr>
          <w:rFonts w:asciiTheme="minorHAnsi" w:hAnsiTheme="minorHAnsi" w:cstheme="minorBidi"/>
          <w:color w:val="4472C4" w:themeColor="accent5"/>
          <w:sz w:val="28"/>
          <w:lang w:eastAsia="zh-TW"/>
        </w:rPr>
        <w:t>Acknowledgements</w:t>
      </w:r>
      <w:r w:rsidRPr="001E60C7">
        <w:rPr>
          <w:rFonts w:asciiTheme="minorHAnsi" w:hAnsiTheme="minorHAnsi" w:cstheme="minorBidi"/>
          <w:color w:val="4472C4" w:themeColor="accent5"/>
          <w:sz w:val="32"/>
          <w:lang w:eastAsia="zh-TW"/>
        </w:rPr>
        <w:t xml:space="preserve"> </w:t>
      </w:r>
    </w:p>
    <w:p w14:paraId="1193E2C6" w14:textId="77777777" w:rsidR="000B4632" w:rsidRPr="007368D5" w:rsidRDefault="000B4632" w:rsidP="000B4632">
      <w:pPr>
        <w:spacing w:after="160" w:line="259" w:lineRule="auto"/>
        <w:rPr>
          <w:rFonts w:asciiTheme="minorHAnsi" w:hAnsiTheme="minorHAnsi" w:cstheme="minorBidi"/>
          <w:b/>
          <w:lang w:eastAsia="zh-TW"/>
        </w:rPr>
      </w:pPr>
      <w:r w:rsidRPr="007368D5">
        <w:rPr>
          <w:rFonts w:asciiTheme="minorHAnsi" w:hAnsiTheme="minorHAnsi" w:cstheme="minorBidi"/>
          <w:b/>
          <w:lang w:eastAsia="zh-TW"/>
        </w:rPr>
        <w:t>Working Group Members</w:t>
      </w:r>
    </w:p>
    <w:p w14:paraId="716F87F0"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Professor Kent Anderson – Working Group Co-Chair, Strategic Advisor to the Vice-Chancellor, University of Newcastle</w:t>
      </w:r>
    </w:p>
    <w:p w14:paraId="5EBF035D"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Mr Laurie Pearcey – Working Group Co-Chair, Pro-Vice-Chancellor (International), University of New South Wales</w:t>
      </w:r>
    </w:p>
    <w:p w14:paraId="3E7150FA" w14:textId="77777777" w:rsidR="00807D96" w:rsidRPr="007368D5" w:rsidRDefault="00807D96" w:rsidP="00807D96">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Mr Derek Scott – Principal, Haileybury</w:t>
      </w:r>
    </w:p>
    <w:p w14:paraId="60F0E651"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Jo Simpson – Director, English Language Centre, University of Adelaide</w:t>
      </w:r>
    </w:p>
    <w:p w14:paraId="3D14CD1E" w14:textId="77777777" w:rsidR="00807D96" w:rsidRPr="007368D5" w:rsidRDefault="00807D96" w:rsidP="00807D96">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Mr Iain Watt – Deputy Vice-Chancellor and Vice-President (International), University of Technology Sydney</w:t>
      </w:r>
    </w:p>
    <w:p w14:paraId="0B1C015F"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Sunny Yang – Associate Vice-President (Student Recruitment and Admissions), Monash University</w:t>
      </w:r>
    </w:p>
    <w:p w14:paraId="31BF327F" w14:textId="6A43E1CA" w:rsidR="00807D96" w:rsidRPr="007368D5" w:rsidRDefault="00807D96" w:rsidP="00807D96">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Mr Brian Zhang – Manager of Global Engagement, TAFE Queensland</w:t>
      </w:r>
      <w:r w:rsidR="005337F3" w:rsidRPr="007368D5">
        <w:rPr>
          <w:rFonts w:asciiTheme="minorHAnsi" w:hAnsiTheme="minorHAnsi" w:cstheme="minorBidi"/>
          <w:sz w:val="18"/>
          <w:szCs w:val="18"/>
          <w:lang w:eastAsia="zh-TW"/>
        </w:rPr>
        <w:t>, and representative of TAFE Directors Australia</w:t>
      </w:r>
    </w:p>
    <w:p w14:paraId="1724039D" w14:textId="77777777" w:rsidR="000B4632" w:rsidRPr="007368D5" w:rsidRDefault="000B4632" w:rsidP="000B4632">
      <w:pPr>
        <w:spacing w:line="259" w:lineRule="auto"/>
        <w:rPr>
          <w:rFonts w:asciiTheme="minorHAnsi" w:hAnsiTheme="minorHAnsi" w:cstheme="minorBidi"/>
          <w:b/>
          <w:sz w:val="18"/>
          <w:szCs w:val="18"/>
          <w:lang w:eastAsia="zh-TW"/>
        </w:rPr>
      </w:pPr>
    </w:p>
    <w:p w14:paraId="5BAB50AF" w14:textId="27A203C5" w:rsidR="000B4632" w:rsidRPr="007368D5" w:rsidRDefault="000B4632" w:rsidP="000B4632">
      <w:pPr>
        <w:spacing w:after="160" w:line="259" w:lineRule="auto"/>
        <w:rPr>
          <w:rFonts w:asciiTheme="minorHAnsi" w:hAnsiTheme="minorHAnsi" w:cstheme="minorBidi"/>
          <w:b/>
          <w:lang w:eastAsia="zh-TW"/>
        </w:rPr>
      </w:pPr>
      <w:r w:rsidRPr="007368D5">
        <w:rPr>
          <w:rFonts w:asciiTheme="minorHAnsi" w:hAnsiTheme="minorHAnsi" w:cstheme="minorBidi"/>
          <w:b/>
          <w:lang w:eastAsia="zh-TW"/>
        </w:rPr>
        <w:t>Observers</w:t>
      </w:r>
    </w:p>
    <w:p w14:paraId="564341AF"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Mr Rhett Miller – Consul (Commercial), Trade Commissioner (Education) Austrade, Shanghai</w:t>
      </w:r>
    </w:p>
    <w:p w14:paraId="6D3BB6EE"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Brooke Hartigan – Minister-Counsellor (Education and Research), Australian Embassy, Beijing</w:t>
      </w:r>
    </w:p>
    <w:p w14:paraId="55F44EA9" w14:textId="77777777" w:rsidR="000B4632" w:rsidRPr="007368D5" w:rsidRDefault="000B4632" w:rsidP="000B4632">
      <w:pPr>
        <w:spacing w:line="259" w:lineRule="auto"/>
        <w:rPr>
          <w:rFonts w:asciiTheme="minorHAnsi" w:hAnsiTheme="minorHAnsi" w:cstheme="minorBidi"/>
          <w:sz w:val="18"/>
          <w:szCs w:val="18"/>
          <w:lang w:eastAsia="zh-TW"/>
        </w:rPr>
      </w:pPr>
    </w:p>
    <w:p w14:paraId="187A9F2F" w14:textId="77777777" w:rsidR="000B4632" w:rsidRPr="007368D5" w:rsidRDefault="000B4632" w:rsidP="000B4632">
      <w:pPr>
        <w:spacing w:after="160" w:line="259" w:lineRule="auto"/>
        <w:rPr>
          <w:rFonts w:asciiTheme="minorHAnsi" w:hAnsiTheme="minorHAnsi" w:cstheme="minorBidi"/>
          <w:b/>
          <w:lang w:eastAsia="zh-TW"/>
        </w:rPr>
      </w:pPr>
      <w:r w:rsidRPr="007368D5">
        <w:rPr>
          <w:rFonts w:asciiTheme="minorHAnsi" w:hAnsiTheme="minorHAnsi" w:cstheme="minorBidi"/>
          <w:b/>
          <w:lang w:eastAsia="zh-TW"/>
        </w:rPr>
        <w:t>Secretariat (Department of Education)</w:t>
      </w:r>
    </w:p>
    <w:p w14:paraId="3339963B"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Greta Doherty – Branch Manager, Partnerships Branch</w:t>
      </w:r>
    </w:p>
    <w:p w14:paraId="43452C33" w14:textId="77777777"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lastRenderedPageBreak/>
        <w:t>Mr Nicholas Birch – Director, China Team</w:t>
      </w:r>
    </w:p>
    <w:p w14:paraId="30A66E57" w14:textId="77777777" w:rsidR="005337F3" w:rsidRPr="007368D5" w:rsidRDefault="005337F3" w:rsidP="005337F3">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 xml:space="preserve">Dr Marshall Clark – China Team </w:t>
      </w:r>
    </w:p>
    <w:p w14:paraId="479A0894" w14:textId="77777777" w:rsidR="005337F3" w:rsidRPr="007368D5" w:rsidRDefault="005337F3" w:rsidP="005337F3">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 xml:space="preserve">Ms Sarah Cheng – China Team </w:t>
      </w:r>
    </w:p>
    <w:p w14:paraId="60B13655" w14:textId="77777777" w:rsidR="000256EB" w:rsidRPr="007368D5" w:rsidRDefault="000256EB" w:rsidP="000256EB">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 xml:space="preserve">Ms Sandy Cain – China Team </w:t>
      </w:r>
    </w:p>
    <w:p w14:paraId="6DD292B7" w14:textId="77777777" w:rsidR="000B4632" w:rsidRPr="007368D5" w:rsidRDefault="000B4632" w:rsidP="000B4632">
      <w:pPr>
        <w:spacing w:line="259" w:lineRule="auto"/>
        <w:rPr>
          <w:rFonts w:asciiTheme="minorHAnsi" w:hAnsiTheme="minorHAnsi" w:cstheme="minorBidi"/>
          <w:sz w:val="18"/>
          <w:szCs w:val="18"/>
          <w:lang w:eastAsia="zh-TW"/>
        </w:rPr>
      </w:pPr>
    </w:p>
    <w:p w14:paraId="425369CC" w14:textId="77777777" w:rsidR="000B4632" w:rsidRPr="007368D5" w:rsidRDefault="000B4632" w:rsidP="000B4632">
      <w:pPr>
        <w:spacing w:after="160" w:line="259" w:lineRule="auto"/>
        <w:rPr>
          <w:rFonts w:asciiTheme="minorHAnsi" w:hAnsiTheme="minorHAnsi" w:cstheme="minorBidi"/>
          <w:b/>
          <w:lang w:eastAsia="zh-TW"/>
        </w:rPr>
      </w:pPr>
      <w:r w:rsidRPr="007368D5">
        <w:rPr>
          <w:rFonts w:asciiTheme="minorHAnsi" w:hAnsiTheme="minorHAnsi" w:cstheme="minorBidi"/>
          <w:b/>
          <w:lang w:eastAsia="zh-TW"/>
        </w:rPr>
        <w:t xml:space="preserve">Critical Informants </w:t>
      </w:r>
    </w:p>
    <w:p w14:paraId="4767D6A1" w14:textId="77777777" w:rsidR="00807D96" w:rsidRPr="007368D5" w:rsidRDefault="00807D96" w:rsidP="00807D96">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Jen Bahen – Director, International Engagement, TAFE Directors Australia</w:t>
      </w:r>
    </w:p>
    <w:p w14:paraId="150E7F91" w14:textId="01E31954"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Associate Professor Jane Golley</w:t>
      </w:r>
      <w:r w:rsidR="00807D96" w:rsidRPr="007368D5">
        <w:rPr>
          <w:rFonts w:asciiTheme="minorHAnsi" w:hAnsiTheme="minorHAnsi" w:cstheme="minorBidi"/>
          <w:sz w:val="18"/>
          <w:szCs w:val="18"/>
          <w:lang w:eastAsia="zh-TW"/>
        </w:rPr>
        <w:t xml:space="preserve"> –</w:t>
      </w:r>
      <w:r w:rsidRPr="007368D5">
        <w:rPr>
          <w:rFonts w:asciiTheme="minorHAnsi" w:hAnsiTheme="minorHAnsi" w:cstheme="minorBidi"/>
          <w:sz w:val="18"/>
          <w:szCs w:val="18"/>
          <w:lang w:eastAsia="zh-TW"/>
        </w:rPr>
        <w:t xml:space="preserve"> Director, Australian Centre on China in the World, Australian National University </w:t>
      </w:r>
    </w:p>
    <w:p w14:paraId="6840A9F3" w14:textId="59E4A0BB" w:rsidR="000B4632" w:rsidRPr="007368D5" w:rsidRDefault="000B4632"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Ms Linda Jakobson</w:t>
      </w:r>
      <w:r w:rsidR="005337F3" w:rsidRPr="007368D5">
        <w:rPr>
          <w:rFonts w:asciiTheme="minorHAnsi" w:hAnsiTheme="minorHAnsi" w:cstheme="minorBidi"/>
          <w:sz w:val="18"/>
          <w:szCs w:val="18"/>
          <w:lang w:eastAsia="zh-TW"/>
        </w:rPr>
        <w:t>, Mr Jackson Kwok and</w:t>
      </w:r>
      <w:r w:rsidR="00807D96" w:rsidRPr="007368D5">
        <w:rPr>
          <w:rFonts w:asciiTheme="minorHAnsi" w:hAnsiTheme="minorHAnsi" w:cstheme="minorBidi"/>
          <w:sz w:val="18"/>
          <w:szCs w:val="18"/>
          <w:lang w:eastAsia="zh-TW"/>
        </w:rPr>
        <w:t xml:space="preserve"> Mr Noah Vaz –</w:t>
      </w:r>
      <w:r w:rsidRPr="007368D5">
        <w:rPr>
          <w:rFonts w:asciiTheme="minorHAnsi" w:hAnsiTheme="minorHAnsi" w:cstheme="minorBidi"/>
          <w:sz w:val="18"/>
          <w:szCs w:val="18"/>
          <w:lang w:eastAsia="zh-TW"/>
        </w:rPr>
        <w:t xml:space="preserve"> China Matters </w:t>
      </w:r>
    </w:p>
    <w:p w14:paraId="13C4CC09" w14:textId="31103D4E" w:rsidR="000B4632" w:rsidRPr="007368D5" w:rsidRDefault="00807D96"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 xml:space="preserve">Professor John Makeham – </w:t>
      </w:r>
      <w:r w:rsidR="000B4632" w:rsidRPr="007368D5">
        <w:rPr>
          <w:rFonts w:asciiTheme="minorHAnsi" w:hAnsiTheme="minorHAnsi" w:cstheme="minorBidi"/>
          <w:sz w:val="18"/>
          <w:szCs w:val="18"/>
          <w:lang w:eastAsia="zh-TW"/>
        </w:rPr>
        <w:t xml:space="preserve">Director, China Studies Research Centre, La Trobe University </w:t>
      </w:r>
    </w:p>
    <w:p w14:paraId="7FD4394D" w14:textId="7442873A" w:rsidR="000B4632" w:rsidRPr="007368D5" w:rsidRDefault="00807D96" w:rsidP="000B4632">
      <w:pPr>
        <w:spacing w:line="259" w:lineRule="auto"/>
        <w:rPr>
          <w:rFonts w:asciiTheme="minorHAnsi" w:hAnsiTheme="minorHAnsi" w:cstheme="minorBidi"/>
          <w:sz w:val="18"/>
          <w:szCs w:val="18"/>
          <w:lang w:eastAsia="zh-TW"/>
        </w:rPr>
      </w:pPr>
      <w:r w:rsidRPr="007368D5">
        <w:rPr>
          <w:rFonts w:asciiTheme="minorHAnsi" w:hAnsiTheme="minorHAnsi" w:cstheme="minorBidi"/>
          <w:sz w:val="18"/>
          <w:szCs w:val="18"/>
          <w:lang w:eastAsia="zh-TW"/>
        </w:rPr>
        <w:t>Professor Greg McCarthy</w:t>
      </w:r>
      <w:r w:rsidR="000B4632" w:rsidRPr="007368D5">
        <w:rPr>
          <w:rFonts w:asciiTheme="minorHAnsi" w:hAnsiTheme="minorHAnsi" w:cstheme="minorBidi"/>
          <w:sz w:val="18"/>
          <w:szCs w:val="18"/>
          <w:lang w:eastAsia="zh-TW"/>
        </w:rPr>
        <w:t xml:space="preserve"> </w:t>
      </w:r>
      <w:r w:rsidRPr="007368D5">
        <w:rPr>
          <w:rFonts w:asciiTheme="minorHAnsi" w:hAnsiTheme="minorHAnsi" w:cstheme="minorBidi"/>
          <w:sz w:val="18"/>
          <w:szCs w:val="18"/>
          <w:lang w:eastAsia="zh-TW"/>
        </w:rPr>
        <w:t xml:space="preserve">– </w:t>
      </w:r>
      <w:r w:rsidR="000B4632" w:rsidRPr="007368D5">
        <w:rPr>
          <w:rFonts w:asciiTheme="minorHAnsi" w:hAnsiTheme="minorHAnsi" w:cstheme="minorBidi"/>
          <w:sz w:val="18"/>
          <w:szCs w:val="18"/>
          <w:lang w:eastAsia="zh-TW"/>
        </w:rPr>
        <w:t>Honorary Research Fellow, University of Western Australia</w:t>
      </w:r>
    </w:p>
    <w:p w14:paraId="0BA73C7B" w14:textId="77777777" w:rsidR="000B4632" w:rsidRPr="007368D5" w:rsidRDefault="000B4632" w:rsidP="000B4632">
      <w:pPr>
        <w:spacing w:line="259" w:lineRule="auto"/>
        <w:rPr>
          <w:rFonts w:asciiTheme="minorHAnsi" w:hAnsiTheme="minorHAnsi" w:cstheme="minorBidi"/>
          <w:sz w:val="18"/>
          <w:szCs w:val="18"/>
          <w:lang w:eastAsia="zh-TW"/>
        </w:rPr>
      </w:pPr>
    </w:p>
    <w:p w14:paraId="29C7F7C0" w14:textId="6FF762FD" w:rsidR="007368D5" w:rsidRDefault="000B4632" w:rsidP="000B4632">
      <w:pPr>
        <w:spacing w:line="259" w:lineRule="auto"/>
        <w:rPr>
          <w:rFonts w:asciiTheme="minorHAnsi" w:hAnsiTheme="minorHAnsi" w:cstheme="minorBidi"/>
          <w:sz w:val="20"/>
          <w:lang w:eastAsia="zh-TW"/>
        </w:rPr>
      </w:pPr>
      <w:r w:rsidRPr="007368D5">
        <w:rPr>
          <w:rFonts w:asciiTheme="minorHAnsi" w:hAnsiTheme="minorHAnsi" w:cstheme="minorBidi"/>
          <w:sz w:val="18"/>
          <w:szCs w:val="18"/>
          <w:lang w:eastAsia="zh-TW"/>
        </w:rPr>
        <w:t xml:space="preserve">Cover illustration: Public art </w:t>
      </w:r>
      <w:r w:rsidRPr="007368D5">
        <w:rPr>
          <w:rFonts w:asciiTheme="minorHAnsi" w:hAnsiTheme="minorHAnsi" w:cstheme="minorBidi" w:hint="eastAsia"/>
          <w:sz w:val="18"/>
          <w:szCs w:val="18"/>
          <w:lang w:eastAsia="zh-TW"/>
        </w:rPr>
        <w:t>in the Tang Dynasty City Wall Park, Xi</w:t>
      </w:r>
      <w:r w:rsidRPr="007368D5">
        <w:rPr>
          <w:rFonts w:asciiTheme="minorHAnsi" w:hAnsiTheme="minorHAnsi" w:cstheme="minorBidi"/>
          <w:sz w:val="18"/>
          <w:szCs w:val="18"/>
          <w:lang w:eastAsia="zh-TW"/>
        </w:rPr>
        <w:t>’</w:t>
      </w:r>
      <w:r w:rsidRPr="007368D5">
        <w:rPr>
          <w:rFonts w:asciiTheme="minorHAnsi" w:hAnsiTheme="minorHAnsi" w:cstheme="minorBidi" w:hint="eastAsia"/>
          <w:sz w:val="18"/>
          <w:szCs w:val="18"/>
          <w:lang w:eastAsia="zh-TW"/>
        </w:rPr>
        <w:t>an. The characters engraved</w:t>
      </w:r>
      <w:r w:rsidRPr="007368D5">
        <w:rPr>
          <w:rFonts w:asciiTheme="minorHAnsi" w:hAnsiTheme="minorHAnsi" w:cstheme="minorBidi"/>
          <w:sz w:val="18"/>
          <w:szCs w:val="18"/>
          <w:lang w:eastAsia="zh-TW"/>
        </w:rPr>
        <w:t xml:space="preserve"> on the spheres, </w:t>
      </w:r>
      <w:r w:rsidRPr="007368D5">
        <w:rPr>
          <w:rFonts w:asciiTheme="minorHAnsi" w:hAnsiTheme="minorHAnsi" w:cstheme="minorBidi" w:hint="eastAsia"/>
          <w:sz w:val="18"/>
          <w:szCs w:val="18"/>
          <w:lang w:eastAsia="zh-TW"/>
        </w:rPr>
        <w:t>平</w:t>
      </w:r>
      <w:r w:rsidRPr="007368D5">
        <w:rPr>
          <w:rFonts w:asciiTheme="minorHAnsi" w:hAnsiTheme="minorHAnsi" w:cstheme="minorBidi" w:hint="eastAsia"/>
          <w:sz w:val="18"/>
          <w:szCs w:val="18"/>
          <w:lang w:eastAsia="zh-TW"/>
        </w:rPr>
        <w:t xml:space="preserve"> </w:t>
      </w:r>
      <w:r w:rsidRPr="007368D5">
        <w:rPr>
          <w:rFonts w:asciiTheme="minorHAnsi" w:hAnsiTheme="minorHAnsi" w:cstheme="minorBidi"/>
          <w:sz w:val="18"/>
          <w:szCs w:val="18"/>
          <w:lang w:eastAsia="zh-TW"/>
        </w:rPr>
        <w:t>(</w:t>
      </w:r>
      <w:r w:rsidRPr="007368D5">
        <w:rPr>
          <w:rFonts w:asciiTheme="minorHAnsi" w:hAnsiTheme="minorHAnsi" w:cstheme="minorBidi" w:hint="eastAsia"/>
          <w:i/>
          <w:sz w:val="18"/>
          <w:szCs w:val="18"/>
          <w:lang w:eastAsia="zh-TW"/>
        </w:rPr>
        <w:t>ping</w:t>
      </w:r>
      <w:r w:rsidRPr="007368D5">
        <w:rPr>
          <w:rFonts w:asciiTheme="minorHAnsi" w:hAnsiTheme="minorHAnsi" w:cstheme="minorBidi" w:hint="eastAsia"/>
          <w:sz w:val="18"/>
          <w:szCs w:val="18"/>
          <w:lang w:eastAsia="zh-TW"/>
        </w:rPr>
        <w:t xml:space="preserve">) and </w:t>
      </w:r>
      <w:r w:rsidRPr="007368D5">
        <w:rPr>
          <w:rFonts w:asciiTheme="minorHAnsi" w:hAnsiTheme="minorHAnsi" w:cstheme="minorBidi" w:hint="eastAsia"/>
          <w:sz w:val="18"/>
          <w:szCs w:val="18"/>
          <w:lang w:eastAsia="zh-TW"/>
        </w:rPr>
        <w:t>仄</w:t>
      </w:r>
      <w:r w:rsidRPr="007368D5">
        <w:rPr>
          <w:rFonts w:asciiTheme="minorHAnsi" w:hAnsiTheme="minorHAnsi" w:cstheme="minorBidi" w:hint="eastAsia"/>
          <w:sz w:val="18"/>
          <w:szCs w:val="18"/>
          <w:lang w:eastAsia="zh-TW"/>
        </w:rPr>
        <w:t xml:space="preserve"> (</w:t>
      </w:r>
      <w:r w:rsidRPr="007368D5">
        <w:rPr>
          <w:rFonts w:asciiTheme="minorHAnsi" w:hAnsiTheme="minorHAnsi" w:cstheme="minorBidi" w:hint="eastAsia"/>
          <w:i/>
          <w:sz w:val="18"/>
          <w:szCs w:val="18"/>
          <w:lang w:eastAsia="zh-TW"/>
        </w:rPr>
        <w:t>ze</w:t>
      </w:r>
      <w:r w:rsidRPr="007368D5">
        <w:rPr>
          <w:rFonts w:asciiTheme="minorHAnsi" w:hAnsiTheme="minorHAnsi" w:cstheme="minorBidi" w:hint="eastAsia"/>
          <w:sz w:val="18"/>
          <w:szCs w:val="18"/>
          <w:lang w:eastAsia="zh-TW"/>
        </w:rPr>
        <w:t>), reflect the tonal patterns and rhythms of Chinese poetry.</w:t>
      </w:r>
      <w:r w:rsidRPr="007368D5">
        <w:rPr>
          <w:rFonts w:asciiTheme="minorHAnsi" w:hAnsiTheme="minorHAnsi" w:cstheme="minorBidi"/>
          <w:sz w:val="18"/>
          <w:szCs w:val="18"/>
          <w:lang w:eastAsia="zh-TW"/>
        </w:rPr>
        <w:t xml:space="preserve"> © Dr Paul J. Farrelly</w:t>
      </w:r>
      <w:r w:rsidR="00E16E50" w:rsidRPr="007368D5">
        <w:rPr>
          <w:rFonts w:asciiTheme="minorHAnsi" w:hAnsiTheme="minorHAnsi" w:cstheme="minorBidi"/>
          <w:sz w:val="18"/>
          <w:szCs w:val="18"/>
          <w:lang w:eastAsia="zh-TW"/>
        </w:rPr>
        <w:t>.</w:t>
      </w:r>
      <w:r w:rsidR="007368D5">
        <w:rPr>
          <w:rFonts w:asciiTheme="minorHAnsi" w:hAnsiTheme="minorHAnsi" w:cstheme="minorBidi"/>
          <w:sz w:val="20"/>
          <w:lang w:eastAsia="zh-TW"/>
        </w:rPr>
        <w:br w:type="page"/>
      </w:r>
    </w:p>
    <w:p w14:paraId="2001EC94" w14:textId="1FF5BF0C" w:rsidR="00FA29C2" w:rsidRPr="001E60C7" w:rsidRDefault="00A12B1B" w:rsidP="004401C2">
      <w:pPr>
        <w:suppressAutoHyphens/>
        <w:autoSpaceDE w:val="0"/>
        <w:autoSpaceDN w:val="0"/>
        <w:adjustRightInd w:val="0"/>
        <w:spacing w:after="240" w:line="259" w:lineRule="auto"/>
        <w:jc w:val="center"/>
        <w:textAlignment w:val="center"/>
        <w:rPr>
          <w:rFonts w:asciiTheme="minorHAnsi" w:eastAsiaTheme="minorHAnsi" w:hAnsiTheme="minorHAnsi" w:cstheme="minorHAnsi"/>
          <w:b/>
          <w:bCs/>
          <w:color w:val="246EB9"/>
          <w:sz w:val="32"/>
          <w:szCs w:val="32"/>
        </w:rPr>
      </w:pPr>
      <w:r w:rsidRPr="001E60C7">
        <w:rPr>
          <w:rFonts w:asciiTheme="minorHAnsi" w:eastAsiaTheme="minorHAnsi" w:hAnsiTheme="minorHAnsi" w:cstheme="minorHAnsi"/>
          <w:b/>
          <w:bCs/>
          <w:color w:val="246EB9"/>
          <w:sz w:val="32"/>
          <w:szCs w:val="32"/>
        </w:rPr>
        <w:lastRenderedPageBreak/>
        <w:t>Executive Summary</w:t>
      </w:r>
    </w:p>
    <w:p w14:paraId="20943005" w14:textId="6FE3684F" w:rsidR="004401C2" w:rsidRPr="001E60C7" w:rsidRDefault="000A1694"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In late 2018, t</w:t>
      </w:r>
      <w:r w:rsidR="004401C2" w:rsidRPr="001E60C7">
        <w:rPr>
          <w:rFonts w:asciiTheme="minorHAnsi" w:hAnsiTheme="minorHAnsi" w:cstheme="minorBidi"/>
          <w:sz w:val="24"/>
        </w:rPr>
        <w:t xml:space="preserve">he Council for International Education formed the China Working Group (the Working Group) to encourage </w:t>
      </w:r>
      <w:r w:rsidR="00C17CD1" w:rsidRPr="001E60C7">
        <w:rPr>
          <w:rFonts w:asciiTheme="minorHAnsi" w:hAnsiTheme="minorHAnsi" w:cstheme="minorBidi"/>
          <w:sz w:val="24"/>
        </w:rPr>
        <w:t xml:space="preserve">a diversification </w:t>
      </w:r>
      <w:r w:rsidR="004401C2" w:rsidRPr="001E60C7">
        <w:rPr>
          <w:rFonts w:asciiTheme="minorHAnsi" w:hAnsiTheme="minorHAnsi" w:cstheme="minorBidi"/>
          <w:sz w:val="24"/>
        </w:rPr>
        <w:t>and broaden</w:t>
      </w:r>
      <w:r w:rsidR="00C17CD1" w:rsidRPr="001E60C7">
        <w:rPr>
          <w:rFonts w:asciiTheme="minorHAnsi" w:hAnsiTheme="minorHAnsi" w:cstheme="minorBidi"/>
          <w:sz w:val="24"/>
        </w:rPr>
        <w:t>ing of</w:t>
      </w:r>
      <w:r w:rsidR="004401C2" w:rsidRPr="001E60C7">
        <w:rPr>
          <w:rFonts w:asciiTheme="minorHAnsi" w:hAnsiTheme="minorHAnsi" w:cstheme="minorBidi"/>
          <w:sz w:val="24"/>
        </w:rPr>
        <w:t xml:space="preserve"> Australia’s education, research and innov</w:t>
      </w:r>
      <w:r w:rsidR="00EB638D" w:rsidRPr="001E60C7">
        <w:rPr>
          <w:rFonts w:asciiTheme="minorHAnsi" w:hAnsiTheme="minorHAnsi" w:cstheme="minorBidi"/>
          <w:sz w:val="24"/>
        </w:rPr>
        <w:t>ation engagement with China. Its</w:t>
      </w:r>
      <w:r w:rsidR="004401C2" w:rsidRPr="001E60C7">
        <w:rPr>
          <w:rFonts w:asciiTheme="minorHAnsi" w:hAnsiTheme="minorHAnsi" w:cstheme="minorBidi"/>
          <w:sz w:val="24"/>
        </w:rPr>
        <w:t xml:space="preserve"> terms of reference included increasing engagement with </w:t>
      </w:r>
      <w:r w:rsidR="00EB638D" w:rsidRPr="001E60C7">
        <w:rPr>
          <w:rFonts w:asciiTheme="minorHAnsi" w:hAnsiTheme="minorHAnsi" w:cstheme="minorBidi"/>
          <w:sz w:val="24"/>
        </w:rPr>
        <w:t>sectors beyond higher education,</w:t>
      </w:r>
      <w:r w:rsidR="004401C2" w:rsidRPr="001E60C7">
        <w:rPr>
          <w:rFonts w:asciiTheme="minorHAnsi" w:hAnsiTheme="minorHAnsi" w:cstheme="minorBidi"/>
          <w:sz w:val="24"/>
        </w:rPr>
        <w:t xml:space="preserve"> increasing Chinese regional engagement, increa</w:t>
      </w:r>
      <w:r w:rsidR="00C31A87" w:rsidRPr="001E60C7">
        <w:rPr>
          <w:rFonts w:asciiTheme="minorHAnsi" w:hAnsiTheme="minorHAnsi" w:cstheme="minorBidi"/>
          <w:sz w:val="24"/>
        </w:rPr>
        <w:t>sing</w:t>
      </w:r>
      <w:r w:rsidR="00EB638D" w:rsidRPr="001E60C7">
        <w:rPr>
          <w:rFonts w:asciiTheme="minorHAnsi" w:hAnsiTheme="minorHAnsi" w:cstheme="minorBidi"/>
          <w:sz w:val="24"/>
        </w:rPr>
        <w:t xml:space="preserve"> region-to-region engagement,</w:t>
      </w:r>
      <w:r w:rsidR="004401C2" w:rsidRPr="001E60C7">
        <w:rPr>
          <w:rFonts w:asciiTheme="minorHAnsi" w:hAnsiTheme="minorHAnsi" w:cstheme="minorBidi"/>
          <w:sz w:val="24"/>
        </w:rPr>
        <w:t xml:space="preserve"> increasing coop</w:t>
      </w:r>
      <w:r w:rsidR="00EB638D" w:rsidRPr="001E60C7">
        <w:rPr>
          <w:rFonts w:asciiTheme="minorHAnsi" w:hAnsiTheme="minorHAnsi" w:cstheme="minorBidi"/>
          <w:sz w:val="24"/>
        </w:rPr>
        <w:t>erative innovation partnerships,</w:t>
      </w:r>
      <w:r w:rsidR="004401C2" w:rsidRPr="001E60C7">
        <w:rPr>
          <w:rFonts w:asciiTheme="minorHAnsi" w:hAnsiTheme="minorHAnsi" w:cstheme="minorBidi"/>
          <w:sz w:val="24"/>
        </w:rPr>
        <w:t xml:space="preserve"> and diversifying research collaboration. This report examines the challenges and opportunities in each of these issues, while also identifying new approaches to quality assurance and collaboration. </w:t>
      </w:r>
    </w:p>
    <w:p w14:paraId="7002E816" w14:textId="1CD61425" w:rsidR="004401C2" w:rsidRPr="001E60C7" w:rsidRDefault="004401C2"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 xml:space="preserve">Currently, Australia’s education and research engagement with China is broad, </w:t>
      </w:r>
      <w:r w:rsidR="0079462D" w:rsidRPr="001E60C7">
        <w:rPr>
          <w:rFonts w:asciiTheme="minorHAnsi" w:hAnsiTheme="minorHAnsi" w:cstheme="minorBidi"/>
          <w:sz w:val="24"/>
        </w:rPr>
        <w:t xml:space="preserve">especially in </w:t>
      </w:r>
      <w:r w:rsidR="005964B0" w:rsidRPr="001E60C7">
        <w:rPr>
          <w:rFonts w:asciiTheme="minorHAnsi" w:hAnsiTheme="minorHAnsi" w:cstheme="minorBidi"/>
          <w:sz w:val="24"/>
        </w:rPr>
        <w:t xml:space="preserve">terms of government-to-government cooperation and </w:t>
      </w:r>
      <w:r w:rsidRPr="001E60C7">
        <w:rPr>
          <w:rFonts w:asciiTheme="minorHAnsi" w:hAnsiTheme="minorHAnsi" w:cstheme="minorBidi"/>
          <w:sz w:val="24"/>
        </w:rPr>
        <w:t>relationships between providers across all education sectors. Australia is a key destination for Chinese international students, and Australian universities and research organisations have increasingly deep</w:t>
      </w:r>
      <w:r w:rsidR="000A1694" w:rsidRPr="001E60C7">
        <w:rPr>
          <w:rFonts w:asciiTheme="minorHAnsi" w:hAnsiTheme="minorHAnsi" w:cstheme="minorBidi"/>
          <w:sz w:val="24"/>
        </w:rPr>
        <w:t xml:space="preserve"> and</w:t>
      </w:r>
      <w:r w:rsidRPr="001E60C7">
        <w:rPr>
          <w:rFonts w:asciiTheme="minorHAnsi" w:hAnsiTheme="minorHAnsi" w:cstheme="minorBidi"/>
          <w:sz w:val="24"/>
        </w:rPr>
        <w:t xml:space="preserve"> longstanding research interests, engagement and expertise in China. Australia’s global reputation for quality education, training and research, combined with </w:t>
      </w:r>
      <w:r w:rsidR="005964B0" w:rsidRPr="001E60C7">
        <w:rPr>
          <w:rFonts w:asciiTheme="minorHAnsi" w:hAnsiTheme="minorHAnsi" w:cstheme="minorBidi"/>
          <w:sz w:val="24"/>
        </w:rPr>
        <w:t xml:space="preserve">existing government-to-government, </w:t>
      </w:r>
      <w:r w:rsidRPr="001E60C7">
        <w:rPr>
          <w:rFonts w:asciiTheme="minorHAnsi" w:hAnsiTheme="minorHAnsi" w:cstheme="minorBidi"/>
          <w:sz w:val="24"/>
        </w:rPr>
        <w:t>institution</w:t>
      </w:r>
      <w:r w:rsidRPr="001E60C7">
        <w:rPr>
          <w:rFonts w:asciiTheme="minorHAnsi" w:hAnsiTheme="minorHAnsi" w:cstheme="minorBidi"/>
          <w:sz w:val="24"/>
        </w:rPr>
        <w:noBreakHyphen/>
        <w:t>to</w:t>
      </w:r>
      <w:r w:rsidRPr="001E60C7">
        <w:rPr>
          <w:rFonts w:asciiTheme="minorHAnsi" w:hAnsiTheme="minorHAnsi" w:cstheme="minorBidi"/>
          <w:sz w:val="24"/>
        </w:rPr>
        <w:noBreakHyphen/>
        <w:t>institution and people</w:t>
      </w:r>
      <w:r w:rsidRPr="001E60C7">
        <w:rPr>
          <w:rFonts w:asciiTheme="minorHAnsi" w:hAnsiTheme="minorHAnsi" w:cstheme="minorBidi"/>
          <w:sz w:val="24"/>
        </w:rPr>
        <w:noBreakHyphen/>
        <w:t>to</w:t>
      </w:r>
      <w:r w:rsidRPr="001E60C7">
        <w:rPr>
          <w:rFonts w:asciiTheme="minorHAnsi" w:hAnsiTheme="minorHAnsi" w:cstheme="minorBidi"/>
          <w:sz w:val="24"/>
        </w:rPr>
        <w:noBreakHyphen/>
        <w:t xml:space="preserve">people links, provides a solid foundation to progress the bilateral education relationship more broadly. </w:t>
      </w:r>
    </w:p>
    <w:p w14:paraId="7060E6CC" w14:textId="6A975698" w:rsidR="009D776B" w:rsidRPr="001E60C7" w:rsidRDefault="004401C2"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We have much to be proud of, but Australia cannot be complacent</w:t>
      </w:r>
      <w:r w:rsidR="00EB638D" w:rsidRPr="001E60C7">
        <w:rPr>
          <w:rFonts w:asciiTheme="minorHAnsi" w:hAnsiTheme="minorHAnsi" w:cstheme="minorBidi"/>
          <w:sz w:val="24"/>
        </w:rPr>
        <w:t xml:space="preserve">, </w:t>
      </w:r>
      <w:r w:rsidR="006A7B26" w:rsidRPr="001E60C7">
        <w:rPr>
          <w:rFonts w:asciiTheme="minorHAnsi" w:hAnsiTheme="minorHAnsi" w:cstheme="minorBidi"/>
          <w:sz w:val="24"/>
        </w:rPr>
        <w:t xml:space="preserve">as our </w:t>
      </w:r>
      <w:r w:rsidR="00EB638D" w:rsidRPr="001E60C7">
        <w:rPr>
          <w:rFonts w:asciiTheme="minorHAnsi" w:hAnsiTheme="minorHAnsi" w:cstheme="minorBidi"/>
          <w:sz w:val="24"/>
        </w:rPr>
        <w:t xml:space="preserve">competitors continue to </w:t>
      </w:r>
      <w:r w:rsidR="003D2980" w:rsidRPr="001E60C7">
        <w:rPr>
          <w:rFonts w:asciiTheme="minorHAnsi" w:hAnsiTheme="minorHAnsi" w:cstheme="minorBidi"/>
          <w:sz w:val="24"/>
        </w:rPr>
        <w:t xml:space="preserve">elevate, </w:t>
      </w:r>
      <w:r w:rsidR="00EB638D" w:rsidRPr="001E60C7">
        <w:rPr>
          <w:rFonts w:asciiTheme="minorHAnsi" w:hAnsiTheme="minorHAnsi" w:cstheme="minorBidi"/>
          <w:sz w:val="24"/>
        </w:rPr>
        <w:t>innovate and enhance engagement. Yet i</w:t>
      </w:r>
      <w:r w:rsidRPr="001E60C7">
        <w:rPr>
          <w:rFonts w:asciiTheme="minorHAnsi" w:hAnsiTheme="minorHAnsi" w:cstheme="minorBidi"/>
          <w:sz w:val="24"/>
        </w:rPr>
        <w:t xml:space="preserve">ncreased development and </w:t>
      </w:r>
      <w:r w:rsidR="000824A6" w:rsidRPr="001E60C7">
        <w:rPr>
          <w:rFonts w:asciiTheme="minorHAnsi" w:hAnsiTheme="minorHAnsi" w:cstheme="minorBidi"/>
          <w:sz w:val="24"/>
        </w:rPr>
        <w:t xml:space="preserve">the transformation of the Chinese economy </w:t>
      </w:r>
      <w:r w:rsidRPr="001E60C7">
        <w:rPr>
          <w:rFonts w:asciiTheme="minorHAnsi" w:hAnsiTheme="minorHAnsi" w:cstheme="minorBidi"/>
          <w:sz w:val="24"/>
        </w:rPr>
        <w:t xml:space="preserve">is leading to </w:t>
      </w:r>
      <w:r w:rsidR="00C31A87" w:rsidRPr="001E60C7">
        <w:rPr>
          <w:rFonts w:asciiTheme="minorHAnsi" w:hAnsiTheme="minorHAnsi" w:cstheme="minorBidi"/>
          <w:sz w:val="24"/>
        </w:rPr>
        <w:t xml:space="preserve">heightened </w:t>
      </w:r>
      <w:r w:rsidRPr="001E60C7">
        <w:rPr>
          <w:rFonts w:asciiTheme="minorHAnsi" w:hAnsiTheme="minorHAnsi" w:cstheme="minorBidi"/>
          <w:sz w:val="24"/>
        </w:rPr>
        <w:t xml:space="preserve">demand for skilled workers, research and innovation. </w:t>
      </w:r>
      <w:r w:rsidR="00C31A87" w:rsidRPr="001E60C7">
        <w:rPr>
          <w:rFonts w:asciiTheme="minorHAnsi" w:hAnsiTheme="minorHAnsi" w:cstheme="minorBidi"/>
          <w:sz w:val="24"/>
        </w:rPr>
        <w:t xml:space="preserve">Improved </w:t>
      </w:r>
      <w:r w:rsidRPr="001E60C7">
        <w:rPr>
          <w:rFonts w:asciiTheme="minorHAnsi" w:hAnsiTheme="minorHAnsi" w:cstheme="minorBidi"/>
          <w:sz w:val="24"/>
        </w:rPr>
        <w:t xml:space="preserve">incomes </w:t>
      </w:r>
      <w:r w:rsidR="00C31A87" w:rsidRPr="001E60C7">
        <w:rPr>
          <w:rFonts w:asciiTheme="minorHAnsi" w:hAnsiTheme="minorHAnsi" w:cstheme="minorBidi"/>
          <w:sz w:val="24"/>
        </w:rPr>
        <w:t xml:space="preserve">and a growing middle class will further </w:t>
      </w:r>
      <w:r w:rsidRPr="001E60C7">
        <w:rPr>
          <w:rFonts w:asciiTheme="minorHAnsi" w:hAnsiTheme="minorHAnsi" w:cstheme="minorBidi"/>
          <w:sz w:val="24"/>
        </w:rPr>
        <w:t xml:space="preserve">increase demand for high quality education and training with strong employability outcomes. </w:t>
      </w:r>
    </w:p>
    <w:p w14:paraId="3A8E7DA4" w14:textId="717BC21A" w:rsidR="004401C2" w:rsidRPr="001E60C7" w:rsidRDefault="003D2980"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China is investing significantly in modernisation and</w:t>
      </w:r>
      <w:r w:rsidR="004401C2" w:rsidRPr="001E60C7">
        <w:rPr>
          <w:rFonts w:asciiTheme="minorHAnsi" w:hAnsiTheme="minorHAnsi" w:cstheme="minorBidi"/>
          <w:sz w:val="24"/>
        </w:rPr>
        <w:t xml:space="preserve"> </w:t>
      </w:r>
      <w:r w:rsidRPr="001E60C7">
        <w:rPr>
          <w:rFonts w:asciiTheme="minorHAnsi" w:hAnsiTheme="minorHAnsi" w:cstheme="minorBidi"/>
          <w:sz w:val="24"/>
        </w:rPr>
        <w:t xml:space="preserve">reform to all parts of </w:t>
      </w:r>
      <w:r w:rsidR="009D776B" w:rsidRPr="001E60C7">
        <w:rPr>
          <w:rFonts w:asciiTheme="minorHAnsi" w:hAnsiTheme="minorHAnsi" w:cstheme="minorBidi"/>
          <w:sz w:val="24"/>
        </w:rPr>
        <w:t xml:space="preserve">its </w:t>
      </w:r>
      <w:r w:rsidR="004401C2" w:rsidRPr="001E60C7">
        <w:rPr>
          <w:rFonts w:asciiTheme="minorHAnsi" w:hAnsiTheme="minorHAnsi" w:cstheme="minorBidi"/>
          <w:sz w:val="24"/>
        </w:rPr>
        <w:t>education sector</w:t>
      </w:r>
      <w:r w:rsidR="009D776B" w:rsidRPr="001E60C7">
        <w:rPr>
          <w:rFonts w:asciiTheme="minorHAnsi" w:hAnsiTheme="minorHAnsi" w:cstheme="minorBidi"/>
          <w:sz w:val="24"/>
        </w:rPr>
        <w:t>, which</w:t>
      </w:r>
      <w:r w:rsidR="004401C2" w:rsidRPr="001E60C7">
        <w:rPr>
          <w:rFonts w:asciiTheme="minorHAnsi" w:hAnsiTheme="minorHAnsi" w:cstheme="minorBidi"/>
          <w:sz w:val="24"/>
        </w:rPr>
        <w:t xml:space="preserve"> will expand </w:t>
      </w:r>
      <w:r w:rsidR="000A1694" w:rsidRPr="001E60C7">
        <w:rPr>
          <w:rFonts w:asciiTheme="minorHAnsi" w:hAnsiTheme="minorHAnsi" w:cstheme="minorBidi"/>
          <w:sz w:val="24"/>
        </w:rPr>
        <w:t>its</w:t>
      </w:r>
      <w:r w:rsidR="004401C2" w:rsidRPr="001E60C7">
        <w:rPr>
          <w:rFonts w:asciiTheme="minorHAnsi" w:hAnsiTheme="minorHAnsi" w:cstheme="minorBidi"/>
          <w:sz w:val="24"/>
        </w:rPr>
        <w:t xml:space="preserve"> capacity to del</w:t>
      </w:r>
      <w:r w:rsidR="009D776B" w:rsidRPr="001E60C7">
        <w:rPr>
          <w:rFonts w:asciiTheme="minorHAnsi" w:hAnsiTheme="minorHAnsi" w:cstheme="minorBidi"/>
          <w:sz w:val="24"/>
        </w:rPr>
        <w:t>iver high quality education. However, there will continue to be</w:t>
      </w:r>
      <w:r w:rsidR="004401C2" w:rsidRPr="001E60C7">
        <w:rPr>
          <w:rFonts w:asciiTheme="minorHAnsi" w:hAnsiTheme="minorHAnsi" w:cstheme="minorBidi"/>
          <w:sz w:val="24"/>
        </w:rPr>
        <w:t xml:space="preserve"> demand for internationally recognised, quality education from China’s rising middle </w:t>
      </w:r>
      <w:r w:rsidR="004401C2" w:rsidRPr="001E60C7">
        <w:rPr>
          <w:rFonts w:asciiTheme="minorHAnsi" w:hAnsiTheme="minorHAnsi" w:cstheme="minorBidi"/>
          <w:sz w:val="24"/>
        </w:rPr>
        <w:lastRenderedPageBreak/>
        <w:t>class</w:t>
      </w:r>
      <w:r w:rsidR="009D776B" w:rsidRPr="001E60C7">
        <w:rPr>
          <w:rFonts w:asciiTheme="minorHAnsi" w:hAnsiTheme="minorHAnsi" w:cstheme="minorBidi"/>
          <w:sz w:val="24"/>
        </w:rPr>
        <w:t>, and this demand</w:t>
      </w:r>
      <w:r w:rsidR="004401C2" w:rsidRPr="001E60C7">
        <w:rPr>
          <w:rFonts w:asciiTheme="minorHAnsi" w:hAnsiTheme="minorHAnsi" w:cstheme="minorBidi"/>
          <w:sz w:val="24"/>
        </w:rPr>
        <w:t xml:space="preserve"> will continue to </w:t>
      </w:r>
      <w:r w:rsidR="009D776B" w:rsidRPr="001E60C7">
        <w:rPr>
          <w:rFonts w:asciiTheme="minorHAnsi" w:hAnsiTheme="minorHAnsi" w:cstheme="minorBidi"/>
          <w:sz w:val="24"/>
        </w:rPr>
        <w:t xml:space="preserve">exceed </w:t>
      </w:r>
      <w:r w:rsidR="000A1694" w:rsidRPr="001E60C7">
        <w:rPr>
          <w:rFonts w:asciiTheme="minorHAnsi" w:hAnsiTheme="minorHAnsi" w:cstheme="minorBidi"/>
          <w:sz w:val="24"/>
        </w:rPr>
        <w:t xml:space="preserve">its </w:t>
      </w:r>
      <w:r w:rsidR="004401C2" w:rsidRPr="001E60C7">
        <w:rPr>
          <w:rFonts w:asciiTheme="minorHAnsi" w:hAnsiTheme="minorHAnsi" w:cstheme="minorBidi"/>
          <w:sz w:val="24"/>
        </w:rPr>
        <w:t xml:space="preserve">expanded capacity. As China faces this significant shortfall, Australia has an opportunity to elevate, broaden and deepen engagement with China even further. </w:t>
      </w:r>
      <w:r w:rsidR="009D776B" w:rsidRPr="001E60C7">
        <w:rPr>
          <w:rFonts w:asciiTheme="minorHAnsi" w:hAnsiTheme="minorHAnsi" w:cstheme="minorBidi"/>
          <w:sz w:val="24"/>
        </w:rPr>
        <w:t xml:space="preserve">Moreover, China’s reform will highlight different types of opportunities in offshore support and delivery across all sectors, meaning </w:t>
      </w:r>
      <w:r w:rsidR="000A1694" w:rsidRPr="001E60C7">
        <w:rPr>
          <w:rFonts w:asciiTheme="minorHAnsi" w:hAnsiTheme="minorHAnsi" w:cstheme="minorBidi"/>
          <w:sz w:val="24"/>
        </w:rPr>
        <w:t>g</w:t>
      </w:r>
      <w:r w:rsidR="009D776B" w:rsidRPr="001E60C7">
        <w:rPr>
          <w:rFonts w:asciiTheme="minorHAnsi" w:hAnsiTheme="minorHAnsi" w:cstheme="minorBidi"/>
          <w:sz w:val="24"/>
        </w:rPr>
        <w:t>overnments and providers will need to rethink their approach to offshore engagement.</w:t>
      </w:r>
    </w:p>
    <w:p w14:paraId="0776DAEB" w14:textId="4A29FCA9" w:rsidR="004401C2" w:rsidRPr="001E60C7" w:rsidRDefault="004401C2"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 xml:space="preserve">In this broad context, the Working Group advocates developing </w:t>
      </w:r>
      <w:r w:rsidR="00E953C0" w:rsidRPr="001E60C7">
        <w:rPr>
          <w:rFonts w:asciiTheme="minorHAnsi" w:hAnsiTheme="minorHAnsi" w:cstheme="minorBidi"/>
          <w:sz w:val="24"/>
        </w:rPr>
        <w:t xml:space="preserve">more </w:t>
      </w:r>
      <w:r w:rsidRPr="001E60C7">
        <w:rPr>
          <w:rFonts w:asciiTheme="minorHAnsi" w:hAnsiTheme="minorHAnsi" w:cstheme="minorBidi"/>
          <w:sz w:val="24"/>
        </w:rPr>
        <w:t>sustainable relationships through</w:t>
      </w:r>
      <w:r w:rsidR="003F4136" w:rsidRPr="001E60C7">
        <w:rPr>
          <w:rFonts w:asciiTheme="minorHAnsi" w:hAnsiTheme="minorHAnsi" w:cstheme="minorBidi"/>
          <w:sz w:val="24"/>
        </w:rPr>
        <w:t>, among other things,</w:t>
      </w:r>
      <w:r w:rsidRPr="001E60C7">
        <w:rPr>
          <w:rFonts w:asciiTheme="minorHAnsi" w:hAnsiTheme="minorHAnsi" w:cstheme="minorBidi"/>
          <w:sz w:val="24"/>
        </w:rPr>
        <w:t xml:space="preserve"> </w:t>
      </w:r>
      <w:r w:rsidR="0079462D" w:rsidRPr="001E60C7">
        <w:rPr>
          <w:rFonts w:asciiTheme="minorHAnsi" w:hAnsiTheme="minorHAnsi" w:cstheme="minorBidi"/>
          <w:sz w:val="24"/>
        </w:rPr>
        <w:t xml:space="preserve">elevating the education relationship, </w:t>
      </w:r>
      <w:r w:rsidRPr="001E60C7">
        <w:rPr>
          <w:rFonts w:asciiTheme="minorHAnsi" w:hAnsiTheme="minorHAnsi" w:cstheme="minorBidi"/>
          <w:sz w:val="24"/>
        </w:rPr>
        <w:t xml:space="preserve">greater sharing of education policies and information, increased research collaboration between Australian and Chinese institutions and researchers, and enhanced mutually beneficial collaboration in transnational and online education. </w:t>
      </w:r>
    </w:p>
    <w:p w14:paraId="27F1E4D1" w14:textId="174C4EDA" w:rsidR="00FA29C2" w:rsidRPr="001E60C7" w:rsidRDefault="004401C2" w:rsidP="004401C2">
      <w:pPr>
        <w:spacing w:after="120" w:line="273" w:lineRule="auto"/>
        <w:jc w:val="both"/>
        <w:rPr>
          <w:rFonts w:asciiTheme="minorHAnsi" w:hAnsiTheme="minorHAnsi" w:cstheme="minorBidi"/>
          <w:sz w:val="24"/>
        </w:rPr>
      </w:pPr>
      <w:r w:rsidRPr="001E60C7">
        <w:rPr>
          <w:rFonts w:asciiTheme="minorHAnsi" w:hAnsiTheme="minorHAnsi" w:cstheme="minorBidi"/>
          <w:sz w:val="24"/>
        </w:rPr>
        <w:t xml:space="preserve">The Australia-China education relationship is presenting expanded opportunities from which both countries can benefit. The analysis and recommendations in this report identify a clear pathway to strengthen the bilateral education relationship, </w:t>
      </w:r>
      <w:r w:rsidR="00C17CD1" w:rsidRPr="001E60C7">
        <w:rPr>
          <w:rFonts w:asciiTheme="minorHAnsi" w:hAnsiTheme="minorHAnsi" w:cstheme="minorBidi"/>
          <w:sz w:val="24"/>
        </w:rPr>
        <w:t>increase research collaboration, and facilitate cooperative innovation.</w:t>
      </w:r>
    </w:p>
    <w:p w14:paraId="4934FF69" w14:textId="77777777" w:rsidR="005964B0" w:rsidRPr="001E60C7" w:rsidRDefault="005964B0" w:rsidP="00C17CD1">
      <w:pPr>
        <w:spacing w:after="160" w:line="259" w:lineRule="auto"/>
        <w:rPr>
          <w:rFonts w:asciiTheme="minorHAnsi" w:eastAsiaTheme="minorHAnsi" w:hAnsiTheme="minorHAnsi" w:cstheme="minorHAnsi"/>
          <w:b/>
          <w:bCs/>
          <w:sz w:val="32"/>
          <w:szCs w:val="32"/>
        </w:rPr>
      </w:pPr>
    </w:p>
    <w:p w14:paraId="113EBB30" w14:textId="7D308396" w:rsidR="004401C2" w:rsidRPr="001E60C7" w:rsidRDefault="004401C2" w:rsidP="00C17CD1">
      <w:pPr>
        <w:spacing w:after="160" w:line="259" w:lineRule="auto"/>
        <w:rPr>
          <w:rFonts w:asciiTheme="minorHAnsi" w:eastAsiaTheme="minorHAnsi" w:hAnsiTheme="minorHAnsi" w:cstheme="minorHAnsi"/>
          <w:b/>
          <w:bCs/>
          <w:sz w:val="32"/>
          <w:szCs w:val="32"/>
        </w:rPr>
      </w:pPr>
      <w:r w:rsidRPr="001E60C7">
        <w:rPr>
          <w:rFonts w:asciiTheme="minorHAnsi" w:eastAsiaTheme="minorHAnsi" w:hAnsiTheme="minorHAnsi" w:cstheme="minorHAnsi"/>
          <w:b/>
          <w:bCs/>
          <w:sz w:val="32"/>
          <w:szCs w:val="32"/>
        </w:rPr>
        <w:t>Commendations</w:t>
      </w:r>
    </w:p>
    <w:p w14:paraId="2E9FE107" w14:textId="66023EB3" w:rsidR="004401C2" w:rsidRPr="001E60C7" w:rsidRDefault="004401C2" w:rsidP="004401C2">
      <w:pPr>
        <w:numPr>
          <w:ilvl w:val="0"/>
          <w:numId w:val="14"/>
        </w:numPr>
        <w:spacing w:after="120" w:line="273" w:lineRule="auto"/>
        <w:rPr>
          <w:sz w:val="24"/>
          <w:szCs w:val="24"/>
        </w:rPr>
      </w:pPr>
      <w:r w:rsidRPr="001E60C7">
        <w:rPr>
          <w:sz w:val="24"/>
          <w:szCs w:val="24"/>
        </w:rPr>
        <w:t>The Australia-China bilateral education relationship has enjoyed strong growth</w:t>
      </w:r>
      <w:r w:rsidR="00C17CD1" w:rsidRPr="001E60C7">
        <w:rPr>
          <w:sz w:val="24"/>
          <w:szCs w:val="24"/>
        </w:rPr>
        <w:t xml:space="preserve"> </w:t>
      </w:r>
      <w:r w:rsidR="003F4136" w:rsidRPr="001E60C7">
        <w:rPr>
          <w:sz w:val="24"/>
          <w:szCs w:val="24"/>
        </w:rPr>
        <w:t xml:space="preserve">in the last few years, </w:t>
      </w:r>
      <w:r w:rsidR="001E4CC7" w:rsidRPr="001E60C7">
        <w:rPr>
          <w:sz w:val="24"/>
          <w:szCs w:val="24"/>
        </w:rPr>
        <w:t>and spans many decades of collaboration</w:t>
      </w:r>
      <w:r w:rsidRPr="001E60C7">
        <w:rPr>
          <w:sz w:val="24"/>
          <w:szCs w:val="24"/>
        </w:rPr>
        <w:t xml:space="preserve">. </w:t>
      </w:r>
      <w:r w:rsidR="003F4136" w:rsidRPr="001E60C7">
        <w:rPr>
          <w:sz w:val="24"/>
          <w:szCs w:val="24"/>
        </w:rPr>
        <w:t>Broad, deep and long-standing research collaboration, student and professional mobility, and resilient relationships among governments, providers, institutions and other key stakeholders underpin the success of the education relationship</w:t>
      </w:r>
      <w:r w:rsidRPr="001E60C7">
        <w:rPr>
          <w:sz w:val="24"/>
          <w:szCs w:val="24"/>
        </w:rPr>
        <w:t xml:space="preserve">. </w:t>
      </w:r>
    </w:p>
    <w:p w14:paraId="4688930C" w14:textId="77777777" w:rsidR="004401C2" w:rsidRPr="001E60C7" w:rsidRDefault="004401C2" w:rsidP="004401C2">
      <w:pPr>
        <w:numPr>
          <w:ilvl w:val="0"/>
          <w:numId w:val="14"/>
        </w:numPr>
        <w:spacing w:after="120" w:line="273" w:lineRule="auto"/>
        <w:rPr>
          <w:sz w:val="24"/>
          <w:szCs w:val="24"/>
        </w:rPr>
      </w:pPr>
      <w:r w:rsidRPr="001E60C7">
        <w:rPr>
          <w:sz w:val="24"/>
          <w:szCs w:val="24"/>
        </w:rPr>
        <w:t xml:space="preserve">The existing relationships forged between Australian and Chinese providers across all education sectors have been positive and fruitful. Through the combined efforts of the Australian Government and the education sector in increasing cooperative partnerships </w:t>
      </w:r>
      <w:r w:rsidRPr="001E60C7">
        <w:rPr>
          <w:sz w:val="24"/>
          <w:szCs w:val="24"/>
        </w:rPr>
        <w:lastRenderedPageBreak/>
        <w:t xml:space="preserve">and building on existing successes, we have opportunities to further diversify and broaden engagement across the education, training and research sectors. </w:t>
      </w:r>
    </w:p>
    <w:p w14:paraId="007E1478" w14:textId="77777777" w:rsidR="004401C2" w:rsidRPr="001E60C7" w:rsidRDefault="004401C2" w:rsidP="004401C2">
      <w:pPr>
        <w:suppressAutoHyphens/>
        <w:autoSpaceDE w:val="0"/>
        <w:autoSpaceDN w:val="0"/>
        <w:adjustRightInd w:val="0"/>
        <w:spacing w:after="240" w:line="259" w:lineRule="auto"/>
        <w:textAlignment w:val="center"/>
        <w:rPr>
          <w:rFonts w:asciiTheme="minorHAnsi" w:eastAsiaTheme="minorHAnsi" w:hAnsiTheme="minorHAnsi" w:cstheme="minorHAnsi"/>
          <w:b/>
          <w:bCs/>
          <w:sz w:val="32"/>
          <w:szCs w:val="32"/>
        </w:rPr>
      </w:pPr>
      <w:r w:rsidRPr="001E60C7">
        <w:rPr>
          <w:rFonts w:asciiTheme="minorHAnsi" w:eastAsiaTheme="minorHAnsi" w:hAnsiTheme="minorHAnsi" w:cstheme="minorHAnsi"/>
          <w:b/>
          <w:bCs/>
          <w:sz w:val="32"/>
          <w:szCs w:val="32"/>
        </w:rPr>
        <w:t>Recommendations</w:t>
      </w:r>
    </w:p>
    <w:p w14:paraId="7FE402A7" w14:textId="117B45FE" w:rsidR="004401C2" w:rsidRPr="001E60C7" w:rsidRDefault="004401C2" w:rsidP="004401C2">
      <w:pPr>
        <w:numPr>
          <w:ilvl w:val="0"/>
          <w:numId w:val="16"/>
        </w:numPr>
        <w:spacing w:after="120" w:line="273" w:lineRule="auto"/>
        <w:jc w:val="both"/>
        <w:rPr>
          <w:sz w:val="24"/>
          <w:szCs w:val="24"/>
        </w:rPr>
      </w:pPr>
      <w:r w:rsidRPr="001E60C7">
        <w:rPr>
          <w:sz w:val="24"/>
          <w:szCs w:val="24"/>
        </w:rPr>
        <w:t xml:space="preserve">Australian Government to elevate the Australia-China bilateral education relationship by identifying opportunities for ministerial and other state or state-like interactions, forums and agreements, </w:t>
      </w:r>
      <w:r w:rsidR="00C31A87" w:rsidRPr="001E60C7">
        <w:rPr>
          <w:sz w:val="24"/>
          <w:szCs w:val="24"/>
        </w:rPr>
        <w:t xml:space="preserve">leveraging architecture such as the </w:t>
      </w:r>
      <w:r w:rsidR="003F4136" w:rsidRPr="001E60C7">
        <w:rPr>
          <w:sz w:val="24"/>
          <w:szCs w:val="24"/>
        </w:rPr>
        <w:t xml:space="preserve">recently-announced </w:t>
      </w:r>
      <w:r w:rsidR="00C31A87" w:rsidRPr="001E60C7">
        <w:rPr>
          <w:sz w:val="24"/>
          <w:szCs w:val="24"/>
        </w:rPr>
        <w:t xml:space="preserve">National Foundation for Australia-China Relations, </w:t>
      </w:r>
      <w:r w:rsidRPr="001E60C7">
        <w:rPr>
          <w:sz w:val="24"/>
          <w:szCs w:val="24"/>
        </w:rPr>
        <w:t xml:space="preserve">and </w:t>
      </w:r>
      <w:r w:rsidR="00EB638D" w:rsidRPr="001E60C7">
        <w:rPr>
          <w:sz w:val="24"/>
          <w:szCs w:val="24"/>
        </w:rPr>
        <w:t>investigate the establishment of</w:t>
      </w:r>
      <w:r w:rsidRPr="001E60C7">
        <w:rPr>
          <w:sz w:val="24"/>
          <w:szCs w:val="24"/>
        </w:rPr>
        <w:t xml:space="preserve"> a People-to-People (P2P) Dialogue, involving both state and non-state actors.</w:t>
      </w:r>
    </w:p>
    <w:p w14:paraId="6946B04F" w14:textId="664ED40F" w:rsidR="004401C2" w:rsidRPr="001E60C7" w:rsidRDefault="004401C2" w:rsidP="001E4CC7">
      <w:pPr>
        <w:numPr>
          <w:ilvl w:val="0"/>
          <w:numId w:val="16"/>
        </w:numPr>
        <w:spacing w:after="120" w:line="273" w:lineRule="auto"/>
        <w:jc w:val="both"/>
        <w:rPr>
          <w:sz w:val="24"/>
          <w:szCs w:val="24"/>
        </w:rPr>
      </w:pPr>
      <w:r w:rsidRPr="001E60C7">
        <w:rPr>
          <w:sz w:val="24"/>
          <w:szCs w:val="24"/>
        </w:rPr>
        <w:t>Australian Government to finalise a new memorandum of understanding (MoU) on Strategic Collaboration with the Chinese Ministry of Education</w:t>
      </w:r>
      <w:r w:rsidR="0050718B">
        <w:rPr>
          <w:sz w:val="24"/>
          <w:szCs w:val="24"/>
        </w:rPr>
        <w:t xml:space="preserve"> (MoE)</w:t>
      </w:r>
      <w:r w:rsidRPr="001E60C7">
        <w:rPr>
          <w:sz w:val="24"/>
          <w:szCs w:val="24"/>
        </w:rPr>
        <w:t xml:space="preserve"> to provide the framework and general principles to strengthen strategic cooperation in education, training and research. </w:t>
      </w:r>
      <w:r w:rsidR="001E4CC7" w:rsidRPr="001E60C7">
        <w:rPr>
          <w:sz w:val="24"/>
          <w:szCs w:val="24"/>
        </w:rPr>
        <w:t xml:space="preserve">The MoU </w:t>
      </w:r>
      <w:r w:rsidR="00EB638D" w:rsidRPr="001E60C7">
        <w:rPr>
          <w:sz w:val="24"/>
          <w:szCs w:val="24"/>
        </w:rPr>
        <w:t xml:space="preserve">is </w:t>
      </w:r>
      <w:r w:rsidR="000A1694" w:rsidRPr="001E60C7">
        <w:rPr>
          <w:sz w:val="24"/>
          <w:szCs w:val="24"/>
        </w:rPr>
        <w:t>to be supported by an action</w:t>
      </w:r>
      <w:r w:rsidR="000A1694" w:rsidRPr="001E60C7">
        <w:rPr>
          <w:sz w:val="24"/>
          <w:szCs w:val="24"/>
        </w:rPr>
        <w:noBreakHyphen/>
      </w:r>
      <w:r w:rsidR="001E4CC7" w:rsidRPr="001E60C7">
        <w:rPr>
          <w:sz w:val="24"/>
          <w:szCs w:val="24"/>
        </w:rPr>
        <w:t>oriented joint work program, appropriate resourcing and a strong platform for the sector to play an advisory role in the implementation of the MoU.</w:t>
      </w:r>
    </w:p>
    <w:p w14:paraId="57E6C4CD" w14:textId="2E314266" w:rsidR="004401C2" w:rsidRPr="001E60C7" w:rsidRDefault="004401C2" w:rsidP="004401C2">
      <w:pPr>
        <w:numPr>
          <w:ilvl w:val="0"/>
          <w:numId w:val="16"/>
        </w:numPr>
        <w:spacing w:after="120" w:line="273" w:lineRule="auto"/>
        <w:jc w:val="both"/>
        <w:rPr>
          <w:sz w:val="24"/>
          <w:szCs w:val="24"/>
        </w:rPr>
      </w:pPr>
      <w:r w:rsidRPr="001E60C7">
        <w:rPr>
          <w:sz w:val="24"/>
          <w:szCs w:val="24"/>
        </w:rPr>
        <w:t>Australian Government to expand marketing and promotional activity in China as well as identify capability development projects across all sectors of education to harness the emerging opportunities</w:t>
      </w:r>
      <w:r w:rsidR="000A1694" w:rsidRPr="001E60C7">
        <w:rPr>
          <w:sz w:val="24"/>
          <w:szCs w:val="24"/>
        </w:rPr>
        <w:t>,</w:t>
      </w:r>
      <w:r w:rsidRPr="001E60C7">
        <w:rPr>
          <w:sz w:val="24"/>
          <w:szCs w:val="24"/>
        </w:rPr>
        <w:t xml:space="preserve"> including regional engagement</w:t>
      </w:r>
      <w:r w:rsidR="004C1F52" w:rsidRPr="001E60C7">
        <w:rPr>
          <w:sz w:val="24"/>
          <w:szCs w:val="24"/>
        </w:rPr>
        <w:t>,</w:t>
      </w:r>
      <w:r w:rsidRPr="001E60C7">
        <w:rPr>
          <w:sz w:val="24"/>
          <w:szCs w:val="24"/>
        </w:rPr>
        <w:t xml:space="preserve"> and </w:t>
      </w:r>
      <w:r w:rsidR="001E4CC7" w:rsidRPr="001E60C7">
        <w:rPr>
          <w:sz w:val="24"/>
          <w:szCs w:val="24"/>
        </w:rPr>
        <w:t xml:space="preserve">to promote </w:t>
      </w:r>
      <w:r w:rsidRPr="001E60C7">
        <w:rPr>
          <w:sz w:val="24"/>
          <w:szCs w:val="24"/>
        </w:rPr>
        <w:t>a more diverse range of course offerings</w:t>
      </w:r>
      <w:r w:rsidR="000A1694" w:rsidRPr="001E60C7">
        <w:rPr>
          <w:sz w:val="24"/>
          <w:szCs w:val="24"/>
        </w:rPr>
        <w:t xml:space="preserve"> beyond </w:t>
      </w:r>
      <w:r w:rsidR="003F4136" w:rsidRPr="001E60C7">
        <w:rPr>
          <w:sz w:val="24"/>
          <w:szCs w:val="24"/>
        </w:rPr>
        <w:t xml:space="preserve">the field of </w:t>
      </w:r>
      <w:r w:rsidR="000A1694" w:rsidRPr="001E60C7">
        <w:rPr>
          <w:sz w:val="24"/>
          <w:szCs w:val="24"/>
        </w:rPr>
        <w:t>management and commerce</w:t>
      </w:r>
      <w:r w:rsidRPr="001E60C7">
        <w:rPr>
          <w:sz w:val="24"/>
          <w:szCs w:val="24"/>
        </w:rPr>
        <w:t xml:space="preserve">. </w:t>
      </w:r>
    </w:p>
    <w:p w14:paraId="4B18E136" w14:textId="4BD90B07" w:rsidR="004401C2" w:rsidRPr="001E60C7" w:rsidRDefault="001E4CC7" w:rsidP="004401C2">
      <w:pPr>
        <w:numPr>
          <w:ilvl w:val="0"/>
          <w:numId w:val="16"/>
        </w:numPr>
        <w:spacing w:after="120" w:line="273" w:lineRule="auto"/>
        <w:jc w:val="both"/>
        <w:rPr>
          <w:sz w:val="24"/>
          <w:szCs w:val="24"/>
        </w:rPr>
      </w:pPr>
      <w:r w:rsidRPr="001E60C7">
        <w:rPr>
          <w:sz w:val="24"/>
          <w:szCs w:val="24"/>
        </w:rPr>
        <w:t xml:space="preserve">All stakeholders in the international education sector </w:t>
      </w:r>
      <w:r w:rsidR="004401C2" w:rsidRPr="001E60C7">
        <w:rPr>
          <w:sz w:val="24"/>
          <w:szCs w:val="24"/>
        </w:rPr>
        <w:t>to strengthen and increase opportunities whereby Australian and Chinese institutions can exchange i</w:t>
      </w:r>
      <w:r w:rsidR="009D776B" w:rsidRPr="001E60C7">
        <w:rPr>
          <w:sz w:val="24"/>
          <w:szCs w:val="24"/>
        </w:rPr>
        <w:t>deas, policies and research</w:t>
      </w:r>
      <w:r w:rsidR="004401C2" w:rsidRPr="001E60C7">
        <w:rPr>
          <w:sz w:val="24"/>
          <w:szCs w:val="24"/>
        </w:rPr>
        <w:t xml:space="preserve"> </w:t>
      </w:r>
      <w:r w:rsidR="00EB638D" w:rsidRPr="001E60C7">
        <w:rPr>
          <w:sz w:val="24"/>
          <w:szCs w:val="24"/>
        </w:rPr>
        <w:t>to support</w:t>
      </w:r>
      <w:r w:rsidR="004401C2" w:rsidRPr="001E60C7">
        <w:rPr>
          <w:sz w:val="24"/>
          <w:szCs w:val="24"/>
        </w:rPr>
        <w:t xml:space="preserve"> emerging areas identified in the report.</w:t>
      </w:r>
    </w:p>
    <w:p w14:paraId="1484AE4F" w14:textId="0276C791" w:rsidR="004401C2" w:rsidRPr="001E60C7" w:rsidRDefault="001E4CC7" w:rsidP="004401C2">
      <w:pPr>
        <w:numPr>
          <w:ilvl w:val="0"/>
          <w:numId w:val="16"/>
        </w:numPr>
        <w:spacing w:after="120" w:line="273" w:lineRule="auto"/>
        <w:jc w:val="both"/>
        <w:rPr>
          <w:sz w:val="24"/>
          <w:szCs w:val="24"/>
        </w:rPr>
      </w:pPr>
      <w:r w:rsidRPr="001E60C7">
        <w:rPr>
          <w:sz w:val="24"/>
          <w:szCs w:val="24"/>
        </w:rPr>
        <w:t xml:space="preserve">All levels of Australian government and the Australian international education sector </w:t>
      </w:r>
      <w:r w:rsidR="004401C2" w:rsidRPr="001E60C7">
        <w:rPr>
          <w:sz w:val="24"/>
          <w:szCs w:val="24"/>
        </w:rPr>
        <w:t xml:space="preserve">to work together, through </w:t>
      </w:r>
      <w:r w:rsidR="00EB638D" w:rsidRPr="001E60C7">
        <w:rPr>
          <w:sz w:val="24"/>
          <w:szCs w:val="24"/>
        </w:rPr>
        <w:t xml:space="preserve">the </w:t>
      </w:r>
      <w:r w:rsidR="004401C2" w:rsidRPr="001E60C7">
        <w:rPr>
          <w:sz w:val="24"/>
          <w:szCs w:val="24"/>
        </w:rPr>
        <w:t xml:space="preserve">Council </w:t>
      </w:r>
      <w:r w:rsidR="00EB638D" w:rsidRPr="001E60C7">
        <w:rPr>
          <w:sz w:val="24"/>
          <w:szCs w:val="24"/>
        </w:rPr>
        <w:t>of Australian Governments</w:t>
      </w:r>
      <w:r w:rsidRPr="001E60C7">
        <w:rPr>
          <w:sz w:val="24"/>
          <w:szCs w:val="24"/>
        </w:rPr>
        <w:t>,</w:t>
      </w:r>
      <w:r w:rsidR="004401C2" w:rsidRPr="001E60C7">
        <w:rPr>
          <w:sz w:val="24"/>
          <w:szCs w:val="24"/>
        </w:rPr>
        <w:t xml:space="preserve"> to secure endorsement of a single senior school certificate brand to complement individual s</w:t>
      </w:r>
      <w:r w:rsidRPr="001E60C7">
        <w:rPr>
          <w:sz w:val="24"/>
          <w:szCs w:val="24"/>
        </w:rPr>
        <w:t xml:space="preserve">tate and territory </w:t>
      </w:r>
      <w:r w:rsidRPr="001E60C7">
        <w:rPr>
          <w:sz w:val="24"/>
          <w:szCs w:val="24"/>
        </w:rPr>
        <w:lastRenderedPageBreak/>
        <w:t>certificates</w:t>
      </w:r>
      <w:r w:rsidR="004C1F52" w:rsidRPr="001E60C7">
        <w:rPr>
          <w:sz w:val="24"/>
          <w:szCs w:val="24"/>
        </w:rPr>
        <w:t>,</w:t>
      </w:r>
      <w:r w:rsidRPr="001E60C7">
        <w:rPr>
          <w:sz w:val="24"/>
          <w:szCs w:val="24"/>
        </w:rPr>
        <w:t xml:space="preserve"> and position the reputation of Australian school qualifications delivered in China.</w:t>
      </w:r>
    </w:p>
    <w:p w14:paraId="5B848811" w14:textId="79B69E67" w:rsidR="006A6CB5" w:rsidRPr="001E60C7" w:rsidRDefault="006A6CB5" w:rsidP="00373CF8">
      <w:pPr>
        <w:numPr>
          <w:ilvl w:val="0"/>
          <w:numId w:val="16"/>
        </w:numPr>
        <w:spacing w:after="120" w:line="273" w:lineRule="auto"/>
        <w:jc w:val="both"/>
        <w:rPr>
          <w:sz w:val="24"/>
          <w:szCs w:val="24"/>
        </w:rPr>
      </w:pPr>
      <w:r w:rsidRPr="001E60C7">
        <w:rPr>
          <w:sz w:val="24"/>
          <w:szCs w:val="24"/>
        </w:rPr>
        <w:t>Australian Government and peak industry bodies to explore opportunities with Chinese counterparts to support skills recognition and mobility for Chinese VET graduates from Australia, by benchmarking skills and development of occupational standards, particularly for occupations that are in demand in the Chinese labour market.</w:t>
      </w:r>
    </w:p>
    <w:p w14:paraId="43B5A975" w14:textId="4EF24683" w:rsidR="00373CF8" w:rsidRPr="001E60C7" w:rsidRDefault="00373CF8" w:rsidP="00373CF8">
      <w:pPr>
        <w:numPr>
          <w:ilvl w:val="0"/>
          <w:numId w:val="16"/>
        </w:numPr>
        <w:spacing w:after="120" w:line="273" w:lineRule="auto"/>
        <w:jc w:val="both"/>
        <w:rPr>
          <w:sz w:val="24"/>
          <w:szCs w:val="24"/>
        </w:rPr>
      </w:pPr>
      <w:r w:rsidRPr="001E60C7">
        <w:rPr>
          <w:sz w:val="24"/>
          <w:szCs w:val="24"/>
        </w:rPr>
        <w:t>Providers and industry bodies to work with the Australian Government to strengthen the reputation of Australian</w:t>
      </w:r>
      <w:r w:rsidR="00A04FB8" w:rsidRPr="001E60C7">
        <w:rPr>
          <w:sz w:val="24"/>
          <w:szCs w:val="24"/>
        </w:rPr>
        <w:t xml:space="preserve"> qualifications by examining</w:t>
      </w:r>
      <w:r w:rsidRPr="001E60C7">
        <w:rPr>
          <w:sz w:val="24"/>
          <w:szCs w:val="24"/>
        </w:rPr>
        <w:t xml:space="preserve"> post-qualification career outcomes of Chinese graduates of the Australian e</w:t>
      </w:r>
      <w:r w:rsidR="00A04FB8" w:rsidRPr="001E60C7">
        <w:rPr>
          <w:sz w:val="24"/>
          <w:szCs w:val="24"/>
        </w:rPr>
        <w:t>ducation system, and promote</w:t>
      </w:r>
      <w:r w:rsidRPr="001E60C7">
        <w:rPr>
          <w:sz w:val="24"/>
          <w:szCs w:val="24"/>
        </w:rPr>
        <w:t xml:space="preserve"> employment pathways for graduates across all sectors. </w:t>
      </w:r>
    </w:p>
    <w:p w14:paraId="24E66B7B" w14:textId="335B6F63" w:rsidR="004401C2" w:rsidRPr="001E60C7" w:rsidRDefault="004401C2" w:rsidP="00B72624">
      <w:pPr>
        <w:numPr>
          <w:ilvl w:val="0"/>
          <w:numId w:val="16"/>
        </w:numPr>
        <w:spacing w:after="120" w:line="273" w:lineRule="auto"/>
        <w:jc w:val="both"/>
        <w:rPr>
          <w:sz w:val="24"/>
          <w:szCs w:val="24"/>
        </w:rPr>
      </w:pPr>
      <w:r w:rsidRPr="001E60C7">
        <w:rPr>
          <w:sz w:val="24"/>
          <w:szCs w:val="24"/>
        </w:rPr>
        <w:t>Australian Governme</w:t>
      </w:r>
      <w:r w:rsidR="003F4136" w:rsidRPr="001E60C7">
        <w:rPr>
          <w:sz w:val="24"/>
          <w:szCs w:val="24"/>
        </w:rPr>
        <w:t xml:space="preserve">nt to seek dialogue with the </w:t>
      </w:r>
      <w:r w:rsidR="0050718B">
        <w:rPr>
          <w:sz w:val="24"/>
          <w:szCs w:val="24"/>
        </w:rPr>
        <w:t>MoE</w:t>
      </w:r>
      <w:r w:rsidRPr="001E60C7">
        <w:rPr>
          <w:sz w:val="24"/>
          <w:szCs w:val="24"/>
        </w:rPr>
        <w:t xml:space="preserve"> and its online research centre on the development of joint online award </w:t>
      </w:r>
      <w:r w:rsidR="009D776B" w:rsidRPr="001E60C7">
        <w:rPr>
          <w:sz w:val="24"/>
          <w:szCs w:val="24"/>
        </w:rPr>
        <w:t xml:space="preserve">and non-award </w:t>
      </w:r>
      <w:r w:rsidRPr="001E60C7">
        <w:rPr>
          <w:sz w:val="24"/>
          <w:szCs w:val="24"/>
        </w:rPr>
        <w:t xml:space="preserve">programs on a pilot basis. </w:t>
      </w:r>
    </w:p>
    <w:p w14:paraId="2A192829" w14:textId="663763BD" w:rsidR="00373CF8" w:rsidRPr="001E60C7" w:rsidRDefault="00373CF8" w:rsidP="00373CF8">
      <w:pPr>
        <w:numPr>
          <w:ilvl w:val="0"/>
          <w:numId w:val="16"/>
        </w:numPr>
        <w:spacing w:after="120" w:line="273" w:lineRule="auto"/>
        <w:jc w:val="both"/>
        <w:rPr>
          <w:sz w:val="24"/>
          <w:szCs w:val="24"/>
        </w:rPr>
      </w:pPr>
      <w:r w:rsidRPr="001E60C7">
        <w:rPr>
          <w:sz w:val="24"/>
          <w:szCs w:val="24"/>
        </w:rPr>
        <w:t>All stakeholders in the international education sector to work with the Australian Government to develop a communication strategy</w:t>
      </w:r>
      <w:r w:rsidR="00EB638D" w:rsidRPr="001E60C7">
        <w:rPr>
          <w:sz w:val="24"/>
          <w:szCs w:val="24"/>
        </w:rPr>
        <w:t xml:space="preserve"> focused</w:t>
      </w:r>
      <w:r w:rsidRPr="001E60C7">
        <w:rPr>
          <w:sz w:val="24"/>
          <w:szCs w:val="24"/>
        </w:rPr>
        <w:t xml:space="preserve"> on a fresh narrative for the Australia-China b</w:t>
      </w:r>
      <w:r w:rsidR="00EB638D" w:rsidRPr="001E60C7">
        <w:rPr>
          <w:sz w:val="24"/>
          <w:szCs w:val="24"/>
        </w:rPr>
        <w:t>ilateral education relationship, showcasing</w:t>
      </w:r>
      <w:r w:rsidRPr="001E60C7">
        <w:rPr>
          <w:sz w:val="24"/>
          <w:szCs w:val="24"/>
        </w:rPr>
        <w:t xml:space="preserve"> the mutual benefits of the engagement to both Australian and Chinese audiences. </w:t>
      </w:r>
    </w:p>
    <w:p w14:paraId="33F44C16" w14:textId="077FB476" w:rsidR="00C76689" w:rsidRPr="001E60C7" w:rsidRDefault="00C76689">
      <w:pPr>
        <w:spacing w:after="160" w:line="259" w:lineRule="auto"/>
        <w:rPr>
          <w:rFonts w:cstheme="minorHAnsi"/>
          <w:b/>
          <w:sz w:val="32"/>
        </w:rPr>
      </w:pPr>
      <w:r w:rsidRPr="001E60C7">
        <w:rPr>
          <w:rFonts w:cstheme="minorHAnsi"/>
          <w:b/>
          <w:sz w:val="32"/>
        </w:rPr>
        <w:br w:type="page"/>
      </w:r>
    </w:p>
    <w:p w14:paraId="3E17B000" w14:textId="2E2351D2" w:rsidR="00B53F0D" w:rsidRPr="001E60C7" w:rsidRDefault="00B53F0D" w:rsidP="004401C2">
      <w:pPr>
        <w:spacing w:after="240" w:line="259" w:lineRule="auto"/>
        <w:jc w:val="center"/>
        <w:rPr>
          <w:rFonts w:cstheme="minorHAnsi"/>
        </w:rPr>
      </w:pPr>
      <w:r w:rsidRPr="001E60C7">
        <w:rPr>
          <w:rFonts w:cstheme="minorHAnsi"/>
          <w:b/>
          <w:sz w:val="32"/>
        </w:rPr>
        <w:lastRenderedPageBreak/>
        <w:t xml:space="preserve">1 Current </w:t>
      </w:r>
      <w:r w:rsidR="00CD6F6E" w:rsidRPr="001E60C7">
        <w:rPr>
          <w:rFonts w:asciiTheme="minorHAnsi" w:eastAsiaTheme="minorHAnsi" w:hAnsiTheme="minorHAnsi" w:cstheme="minorHAnsi"/>
          <w:b/>
          <w:sz w:val="32"/>
        </w:rPr>
        <w:t>e</w:t>
      </w:r>
      <w:r w:rsidRPr="001E60C7">
        <w:rPr>
          <w:rFonts w:asciiTheme="minorHAnsi" w:eastAsiaTheme="minorHAnsi" w:hAnsiTheme="minorHAnsi" w:cstheme="minorHAnsi"/>
          <w:b/>
          <w:sz w:val="32"/>
        </w:rPr>
        <w:t>ngagement</w:t>
      </w:r>
      <w:r w:rsidRPr="001E60C7">
        <w:rPr>
          <w:rFonts w:cstheme="minorHAnsi"/>
          <w:b/>
          <w:sz w:val="32"/>
        </w:rPr>
        <w:t xml:space="preserve"> with China</w:t>
      </w:r>
    </w:p>
    <w:p w14:paraId="66034AD0" w14:textId="3051F914" w:rsidR="00E953C0" w:rsidRPr="001E60C7" w:rsidRDefault="0097060B" w:rsidP="00506FEF">
      <w:pPr>
        <w:spacing w:after="160" w:line="259" w:lineRule="auto"/>
        <w:rPr>
          <w:lang w:val="en"/>
        </w:rPr>
      </w:pPr>
      <w:r w:rsidRPr="001E60C7">
        <w:rPr>
          <w:lang w:val="en"/>
        </w:rPr>
        <w:t xml:space="preserve">To </w:t>
      </w:r>
      <w:r w:rsidR="00FA29C2" w:rsidRPr="001E60C7">
        <w:rPr>
          <w:lang w:val="en"/>
        </w:rPr>
        <w:t xml:space="preserve">appreciate </w:t>
      </w:r>
      <w:r w:rsidRPr="001E60C7">
        <w:rPr>
          <w:lang w:val="en"/>
        </w:rPr>
        <w:t xml:space="preserve">fully </w:t>
      </w:r>
      <w:r w:rsidR="00FA29C2" w:rsidRPr="001E60C7">
        <w:rPr>
          <w:lang w:val="en"/>
        </w:rPr>
        <w:t>the history, complexity, and depth of the Australia-China education, training and research relationship</w:t>
      </w:r>
      <w:r w:rsidR="00166199" w:rsidRPr="001E60C7">
        <w:rPr>
          <w:lang w:val="en"/>
        </w:rPr>
        <w:t>,</w:t>
      </w:r>
      <w:r w:rsidR="00FA29C2" w:rsidRPr="001E60C7">
        <w:rPr>
          <w:lang w:val="en"/>
        </w:rPr>
        <w:t xml:space="preserve"> and then to assess </w:t>
      </w:r>
      <w:r w:rsidR="00B53F0D" w:rsidRPr="001E60C7">
        <w:rPr>
          <w:lang w:val="en"/>
        </w:rPr>
        <w:t xml:space="preserve">how Australia can enhance </w:t>
      </w:r>
      <w:r w:rsidR="00FA29C2" w:rsidRPr="001E60C7">
        <w:rPr>
          <w:lang w:val="en"/>
        </w:rPr>
        <w:t>this relationship</w:t>
      </w:r>
      <w:r w:rsidR="00B53F0D" w:rsidRPr="001E60C7">
        <w:rPr>
          <w:lang w:val="en"/>
        </w:rPr>
        <w:t xml:space="preserve">, it is important to first develop a snapshot of Australia’s current levels of engagement. The Working Group’s stocktake of current engagement took into account international education data as well as input provided by all major stakeholder </w:t>
      </w:r>
      <w:r w:rsidR="00B53F0D" w:rsidRPr="001E60C7">
        <w:rPr>
          <w:rFonts w:asciiTheme="minorHAnsi" w:eastAsiaTheme="minorHAnsi" w:hAnsiTheme="minorHAnsi" w:cstheme="minorBidi"/>
          <w:lang w:val="en"/>
        </w:rPr>
        <w:t>groups</w:t>
      </w:r>
      <w:r w:rsidR="00B53F0D" w:rsidRPr="001E60C7">
        <w:rPr>
          <w:lang w:val="en"/>
        </w:rPr>
        <w:t>.</w:t>
      </w:r>
      <w:r w:rsidR="009E446C" w:rsidRPr="001E60C7">
        <w:rPr>
          <w:lang w:val="en"/>
        </w:rPr>
        <w:t xml:space="preserve"> The Working Group began this work by developing a sectoral engagement survey designed for education, training and research providers, </w:t>
      </w:r>
      <w:r w:rsidR="00E953C0" w:rsidRPr="001E60C7">
        <w:rPr>
          <w:lang w:val="en"/>
        </w:rPr>
        <w:t xml:space="preserve">followed by engaging with a number of critical informants from within Australia’s education system, </w:t>
      </w:r>
      <w:r w:rsidR="009E446C" w:rsidRPr="001E60C7">
        <w:rPr>
          <w:lang w:val="en"/>
        </w:rPr>
        <w:t xml:space="preserve">eliciting </w:t>
      </w:r>
      <w:r w:rsidR="00E953C0" w:rsidRPr="001E60C7">
        <w:rPr>
          <w:lang w:val="en"/>
        </w:rPr>
        <w:t xml:space="preserve">qualitative </w:t>
      </w:r>
      <w:r w:rsidR="0050718B">
        <w:rPr>
          <w:lang w:val="en"/>
        </w:rPr>
        <w:t>perspectives on opportunities for</w:t>
      </w:r>
      <w:r w:rsidR="009E446C" w:rsidRPr="001E60C7">
        <w:rPr>
          <w:lang w:val="en"/>
        </w:rPr>
        <w:t xml:space="preserve"> future growth.</w:t>
      </w:r>
      <w:r w:rsidR="00B53F0D" w:rsidRPr="001E60C7">
        <w:rPr>
          <w:lang w:val="en"/>
        </w:rPr>
        <w:t xml:space="preserve"> </w:t>
      </w:r>
    </w:p>
    <w:p w14:paraId="1B7D556E" w14:textId="000832FB" w:rsidR="00506FEF" w:rsidRPr="001E60C7" w:rsidRDefault="00B53F0D" w:rsidP="00506FEF">
      <w:pPr>
        <w:spacing w:after="160" w:line="259" w:lineRule="auto"/>
      </w:pPr>
      <w:r w:rsidRPr="001E60C7">
        <w:rPr>
          <w:lang w:val="en"/>
        </w:rPr>
        <w:t>This stocktake</w:t>
      </w:r>
      <w:r w:rsidR="009E446C" w:rsidRPr="001E60C7">
        <w:rPr>
          <w:lang w:val="en"/>
        </w:rPr>
        <w:t xml:space="preserve"> and sectoral engagement survey</w:t>
      </w:r>
      <w:r w:rsidRPr="001E60C7">
        <w:rPr>
          <w:lang w:val="en"/>
        </w:rPr>
        <w:t xml:space="preserve"> identified </w:t>
      </w:r>
      <w:r w:rsidR="00E953C0" w:rsidRPr="001E60C7">
        <w:rPr>
          <w:lang w:val="en"/>
        </w:rPr>
        <w:t>that</w:t>
      </w:r>
      <w:r w:rsidR="00506FEF" w:rsidRPr="001E60C7">
        <w:t xml:space="preserve"> </w:t>
      </w:r>
      <w:r w:rsidR="00E953C0" w:rsidRPr="001E60C7">
        <w:t xml:space="preserve">while </w:t>
      </w:r>
      <w:r w:rsidR="00506FEF" w:rsidRPr="001E60C7">
        <w:t xml:space="preserve">Australia’s education and research engagement with China is broad, there continues to be significant opportunities to expand engagement with China in a way that is mutually beneficial to both countries. In this context, Australia is striving to meet the needs of China as its domestic economy is driving increased mobility across its workforce, with increasing numbers of students, professionals and researchers seeking to travel overseas to take advantage of Australia’s state-of-the-art education system. </w:t>
      </w:r>
    </w:p>
    <w:p w14:paraId="5813A1D2" w14:textId="662ED60D" w:rsidR="000D7720" w:rsidRPr="001E60C7" w:rsidRDefault="00D86AB0" w:rsidP="007701CC">
      <w:pPr>
        <w:pStyle w:val="BasicParagraph"/>
        <w:numPr>
          <w:ilvl w:val="1"/>
          <w:numId w:val="2"/>
        </w:numPr>
        <w:spacing w:before="240" w:after="160"/>
        <w:textAlignment w:val="center"/>
        <w:rPr>
          <w:rFonts w:asciiTheme="minorHAnsi" w:hAnsiTheme="minorHAnsi" w:cstheme="minorHAnsi"/>
          <w:b/>
          <w:bCs/>
          <w:color w:val="246EB9"/>
          <w:sz w:val="32"/>
          <w:szCs w:val="32"/>
          <w:lang w:val="en-AU"/>
        </w:rPr>
      </w:pPr>
      <w:r w:rsidRPr="001E60C7">
        <w:rPr>
          <w:rFonts w:asciiTheme="minorHAnsi" w:hAnsiTheme="minorHAnsi" w:cstheme="minorHAnsi"/>
          <w:b/>
          <w:bCs/>
          <w:color w:val="246EB9"/>
          <w:sz w:val="32"/>
          <w:szCs w:val="32"/>
          <w:lang w:val="en-AU"/>
        </w:rPr>
        <w:t xml:space="preserve">Australian international education and </w:t>
      </w:r>
      <w:r w:rsidR="000D7720" w:rsidRPr="001E60C7">
        <w:rPr>
          <w:rFonts w:asciiTheme="minorHAnsi" w:hAnsiTheme="minorHAnsi" w:cstheme="minorHAnsi"/>
          <w:b/>
          <w:bCs/>
          <w:color w:val="246EB9"/>
          <w:sz w:val="32"/>
          <w:szCs w:val="32"/>
          <w:lang w:val="en-AU"/>
        </w:rPr>
        <w:t>Chi</w:t>
      </w:r>
      <w:r w:rsidR="0084732F" w:rsidRPr="001E60C7">
        <w:rPr>
          <w:rFonts w:asciiTheme="minorHAnsi" w:hAnsiTheme="minorHAnsi" w:cstheme="minorHAnsi"/>
          <w:b/>
          <w:bCs/>
          <w:color w:val="246EB9"/>
          <w:sz w:val="32"/>
          <w:szCs w:val="32"/>
          <w:lang w:val="en-AU"/>
        </w:rPr>
        <w:t>na</w:t>
      </w:r>
    </w:p>
    <w:p w14:paraId="43ED580E" w14:textId="332D4051" w:rsidR="000B7B49" w:rsidRPr="001E60C7" w:rsidRDefault="00871A04" w:rsidP="0087342A">
      <w:pPr>
        <w:spacing w:after="160" w:line="259" w:lineRule="auto"/>
      </w:pPr>
      <w:r w:rsidRPr="001E60C7">
        <w:t xml:space="preserve">Australian international education has a world-leading reputation for quality. Hundreds of thousands of international students, </w:t>
      </w:r>
      <w:r w:rsidR="00DD58B7" w:rsidRPr="001E60C7">
        <w:t xml:space="preserve">a large proportion of </w:t>
      </w:r>
      <w:r w:rsidR="00B7552F" w:rsidRPr="001E60C7">
        <w:t>whom</w:t>
      </w:r>
      <w:r w:rsidR="00DD58B7" w:rsidRPr="001E60C7">
        <w:t xml:space="preserve"> are </w:t>
      </w:r>
      <w:r w:rsidRPr="001E60C7">
        <w:t>from China, are attracted to Australia each year</w:t>
      </w:r>
      <w:r w:rsidR="00C81A8B">
        <w:t xml:space="preserve">. </w:t>
      </w:r>
      <w:r w:rsidR="0087342A" w:rsidRPr="001E60C7">
        <w:t>Chinese students represent around 30 per cent of all international students in Australia, the majority of whom tend to return to China post-qualification</w:t>
      </w:r>
      <w:r w:rsidR="00BB5375" w:rsidRPr="001E60C7">
        <w:t xml:space="preserve"> to pursue employment</w:t>
      </w:r>
      <w:r w:rsidR="00BB5375" w:rsidRPr="001E60C7">
        <w:rPr>
          <w:vertAlign w:val="superscript"/>
        </w:rPr>
        <w:footnoteReference w:id="1"/>
      </w:r>
      <w:r w:rsidR="00BB5375" w:rsidRPr="001E60C7">
        <w:t>, and thereby enhance the Australian education system’s global reputation</w:t>
      </w:r>
      <w:r w:rsidR="0087342A" w:rsidRPr="001E60C7">
        <w:t xml:space="preserve">. According to the Chinese </w:t>
      </w:r>
      <w:r w:rsidR="003F4136" w:rsidRPr="001E60C7">
        <w:t>Ministry of Education (</w:t>
      </w:r>
      <w:r w:rsidR="0087342A" w:rsidRPr="001E60C7">
        <w:t>MoE</w:t>
      </w:r>
      <w:r w:rsidR="003F4136" w:rsidRPr="001E60C7">
        <w:t>)</w:t>
      </w:r>
      <w:r w:rsidR="0087342A" w:rsidRPr="001E60C7">
        <w:t>, since 2014 the return rate of overseas Chinese</w:t>
      </w:r>
      <w:r w:rsidR="0050718B">
        <w:t xml:space="preserve"> students has remained above 78 </w:t>
      </w:r>
      <w:r w:rsidR="0087342A" w:rsidRPr="001E60C7">
        <w:t xml:space="preserve">per </w:t>
      </w:r>
      <w:r w:rsidR="0087342A" w:rsidRPr="001E60C7">
        <w:lastRenderedPageBreak/>
        <w:t>cent.</w:t>
      </w:r>
      <w:r w:rsidR="0087342A" w:rsidRPr="001E60C7">
        <w:rPr>
          <w:vertAlign w:val="superscript"/>
        </w:rPr>
        <w:footnoteReference w:id="2"/>
      </w:r>
      <w:r w:rsidR="0087342A" w:rsidRPr="001E60C7">
        <w:t xml:space="preserve"> These returning students play an important </w:t>
      </w:r>
      <w:r w:rsidR="000C53C8" w:rsidRPr="001E60C7">
        <w:t xml:space="preserve">‘soft power’ or </w:t>
      </w:r>
      <w:r w:rsidR="0087342A" w:rsidRPr="001E60C7">
        <w:t>cultural ambassadorial role for advancing Australia’s international education reputation, while also strengthening bilateral academic ties and professional and business linkages.</w:t>
      </w:r>
    </w:p>
    <w:p w14:paraId="3240F96D" w14:textId="5FD81987" w:rsidR="003D229D" w:rsidRPr="001E60C7" w:rsidRDefault="003D229D" w:rsidP="003D229D">
      <w:pPr>
        <w:spacing w:after="160" w:line="259" w:lineRule="auto"/>
        <w:rPr>
          <w:rFonts w:asciiTheme="minorHAnsi" w:eastAsiaTheme="minorHAnsi" w:hAnsiTheme="minorHAnsi" w:cstheme="minorBidi"/>
        </w:rPr>
      </w:pPr>
      <w:r w:rsidRPr="001E60C7">
        <w:t>With the expansion of post-qualification work opportunities and visas, n</w:t>
      </w:r>
      <w:r w:rsidR="00E757D9" w:rsidRPr="001E60C7">
        <w:t>ot all Chinese students return to China immediately after their inter</w:t>
      </w:r>
      <w:r w:rsidRPr="001E60C7">
        <w:t>national student experience</w:t>
      </w:r>
      <w:r w:rsidR="00E757D9" w:rsidRPr="001E60C7">
        <w:t>.</w:t>
      </w:r>
      <w:r w:rsidR="00E757D9" w:rsidRPr="001E60C7">
        <w:rPr>
          <w:rFonts w:asciiTheme="minorHAnsi" w:eastAsiaTheme="minorHAnsi" w:hAnsiTheme="minorHAnsi" w:cstheme="minorBidi"/>
        </w:rPr>
        <w:t xml:space="preserve"> </w:t>
      </w:r>
      <w:r w:rsidR="00417636" w:rsidRPr="001E60C7">
        <w:rPr>
          <w:rFonts w:asciiTheme="minorHAnsi" w:eastAsiaTheme="minorHAnsi" w:hAnsiTheme="minorHAnsi" w:cstheme="minorBidi"/>
        </w:rPr>
        <w:t xml:space="preserve">This </w:t>
      </w:r>
      <w:r w:rsidR="00F446C5" w:rsidRPr="001E60C7">
        <w:rPr>
          <w:rFonts w:asciiTheme="minorHAnsi" w:eastAsiaTheme="minorHAnsi" w:hAnsiTheme="minorHAnsi" w:cstheme="minorBidi"/>
        </w:rPr>
        <w:t xml:space="preserve">is important for Australia, as there is </w:t>
      </w:r>
      <w:r w:rsidR="00417636" w:rsidRPr="001E60C7">
        <w:rPr>
          <w:rFonts w:asciiTheme="minorHAnsi" w:eastAsiaTheme="minorHAnsi" w:hAnsiTheme="minorHAnsi" w:cstheme="minorBidi"/>
        </w:rPr>
        <w:t>a</w:t>
      </w:r>
      <w:r w:rsidR="00F446C5" w:rsidRPr="001E60C7">
        <w:rPr>
          <w:rFonts w:asciiTheme="minorHAnsi" w:eastAsiaTheme="minorHAnsi" w:hAnsiTheme="minorHAnsi" w:cstheme="minorBidi"/>
        </w:rPr>
        <w:t xml:space="preserve"> strong </w:t>
      </w:r>
      <w:r w:rsidR="00417636" w:rsidRPr="001E60C7">
        <w:rPr>
          <w:rFonts w:asciiTheme="minorHAnsi" w:eastAsiaTheme="minorHAnsi" w:hAnsiTheme="minorHAnsi" w:cstheme="minorBidi"/>
        </w:rPr>
        <w:t>link between</w:t>
      </w:r>
      <w:r w:rsidR="00F446C5" w:rsidRPr="001E60C7">
        <w:rPr>
          <w:rFonts w:asciiTheme="minorHAnsi" w:eastAsiaTheme="minorHAnsi" w:hAnsiTheme="minorHAnsi" w:cstheme="minorBidi"/>
        </w:rPr>
        <w:t xml:space="preserve"> flows of</w:t>
      </w:r>
      <w:r w:rsidR="00417636" w:rsidRPr="001E60C7">
        <w:rPr>
          <w:rFonts w:asciiTheme="minorHAnsi" w:eastAsiaTheme="minorHAnsi" w:hAnsiTheme="minorHAnsi" w:cstheme="minorBidi"/>
        </w:rPr>
        <w:t xml:space="preserve"> international students, especially postgraduate students, and academic</w:t>
      </w:r>
      <w:r w:rsidR="00F446C5" w:rsidRPr="001E60C7">
        <w:rPr>
          <w:rFonts w:asciiTheme="minorHAnsi" w:eastAsiaTheme="minorHAnsi" w:hAnsiTheme="minorHAnsi" w:cstheme="minorBidi"/>
        </w:rPr>
        <w:t xml:space="preserve"> employment</w:t>
      </w:r>
      <w:r w:rsidR="00417636" w:rsidRPr="001E60C7">
        <w:rPr>
          <w:rFonts w:asciiTheme="minorHAnsi" w:eastAsiaTheme="minorHAnsi" w:hAnsiTheme="minorHAnsi" w:cstheme="minorBidi"/>
        </w:rPr>
        <w:t>.</w:t>
      </w:r>
      <w:r w:rsidR="00F446C5" w:rsidRPr="001E60C7">
        <w:rPr>
          <w:rStyle w:val="FootnoteReference"/>
          <w:rFonts w:asciiTheme="minorHAnsi" w:eastAsiaTheme="minorHAnsi" w:hAnsiTheme="minorHAnsi" w:cstheme="minorBidi"/>
        </w:rPr>
        <w:footnoteReference w:id="3"/>
      </w:r>
      <w:r w:rsidR="00417636" w:rsidRPr="001E60C7">
        <w:rPr>
          <w:rFonts w:asciiTheme="minorHAnsi" w:eastAsiaTheme="minorHAnsi" w:hAnsiTheme="minorHAnsi" w:cstheme="minorBidi"/>
        </w:rPr>
        <w:t xml:space="preserve"> </w:t>
      </w:r>
      <w:r w:rsidRPr="001E60C7">
        <w:rPr>
          <w:rFonts w:asciiTheme="minorHAnsi" w:eastAsiaTheme="minorHAnsi" w:hAnsiTheme="minorHAnsi" w:cstheme="minorBidi"/>
        </w:rPr>
        <w:t xml:space="preserve">Many </w:t>
      </w:r>
      <w:r w:rsidR="00417636" w:rsidRPr="001E60C7">
        <w:rPr>
          <w:rFonts w:asciiTheme="minorHAnsi" w:eastAsiaTheme="minorHAnsi" w:hAnsiTheme="minorHAnsi" w:cstheme="minorBidi"/>
        </w:rPr>
        <w:t xml:space="preserve">overseas academics gain positions in </w:t>
      </w:r>
      <w:r w:rsidR="00A04FB8" w:rsidRPr="001E60C7">
        <w:rPr>
          <w:rFonts w:asciiTheme="minorHAnsi" w:eastAsiaTheme="minorHAnsi" w:hAnsiTheme="minorHAnsi" w:cstheme="minorBidi"/>
        </w:rPr>
        <w:t xml:space="preserve">the </w:t>
      </w:r>
      <w:r w:rsidR="00417636" w:rsidRPr="001E60C7">
        <w:rPr>
          <w:rFonts w:asciiTheme="minorHAnsi" w:eastAsiaTheme="minorHAnsi" w:hAnsiTheme="minorHAnsi" w:cstheme="minorBidi"/>
        </w:rPr>
        <w:t xml:space="preserve">Australian higher education </w:t>
      </w:r>
      <w:r w:rsidR="00A04FB8" w:rsidRPr="001E60C7">
        <w:rPr>
          <w:rFonts w:asciiTheme="minorHAnsi" w:eastAsiaTheme="minorHAnsi" w:hAnsiTheme="minorHAnsi" w:cstheme="minorBidi"/>
        </w:rPr>
        <w:t xml:space="preserve">sector </w:t>
      </w:r>
      <w:r w:rsidR="00417636" w:rsidRPr="001E60C7">
        <w:rPr>
          <w:rFonts w:asciiTheme="minorHAnsi" w:eastAsiaTheme="minorHAnsi" w:hAnsiTheme="minorHAnsi" w:cstheme="minorBidi"/>
        </w:rPr>
        <w:t>after gaining an Australian doctoral qualification</w:t>
      </w:r>
      <w:r w:rsidR="00EB638D" w:rsidRPr="001E60C7">
        <w:rPr>
          <w:rFonts w:asciiTheme="minorHAnsi" w:eastAsiaTheme="minorHAnsi" w:hAnsiTheme="minorHAnsi" w:cstheme="minorBidi"/>
        </w:rPr>
        <w:t xml:space="preserve">. </w:t>
      </w:r>
      <w:r w:rsidR="00E50096">
        <w:rPr>
          <w:rFonts w:asciiTheme="minorHAnsi" w:eastAsiaTheme="minorHAnsi" w:hAnsiTheme="minorHAnsi" w:cstheme="minorBidi"/>
        </w:rPr>
        <w:t>In the period 1993–</w:t>
      </w:r>
      <w:r w:rsidR="00D15984" w:rsidRPr="001E60C7">
        <w:rPr>
          <w:rFonts w:asciiTheme="minorHAnsi" w:eastAsiaTheme="minorHAnsi" w:hAnsiTheme="minorHAnsi" w:cstheme="minorBidi"/>
        </w:rPr>
        <w:t>2010,</w:t>
      </w:r>
      <w:r w:rsidR="00417636" w:rsidRPr="001E60C7">
        <w:rPr>
          <w:rFonts w:asciiTheme="minorHAnsi" w:eastAsiaTheme="minorHAnsi" w:hAnsiTheme="minorHAnsi" w:cstheme="minorBidi"/>
        </w:rPr>
        <w:t xml:space="preserve"> after the UK, China was the second largest single source of permanent academics coming into Australia</w:t>
      </w:r>
      <w:r w:rsidR="002D3E11" w:rsidRPr="001E60C7">
        <w:rPr>
          <w:rFonts w:asciiTheme="minorHAnsi" w:eastAsiaTheme="minorHAnsi" w:hAnsiTheme="minorHAnsi" w:cstheme="minorBidi"/>
        </w:rPr>
        <w:t>.</w:t>
      </w:r>
      <w:r w:rsidR="002D3E11" w:rsidRPr="001E60C7">
        <w:rPr>
          <w:rStyle w:val="FootnoteReference"/>
          <w:rFonts w:asciiTheme="minorHAnsi" w:eastAsiaTheme="minorHAnsi" w:hAnsiTheme="minorHAnsi" w:cstheme="minorBidi"/>
        </w:rPr>
        <w:footnoteReference w:id="4"/>
      </w:r>
      <w:r w:rsidR="00F856B2" w:rsidRPr="001E60C7">
        <w:rPr>
          <w:rFonts w:asciiTheme="minorHAnsi" w:eastAsiaTheme="minorHAnsi" w:hAnsiTheme="minorHAnsi" w:cstheme="minorBidi"/>
        </w:rPr>
        <w:t xml:space="preserve"> </w:t>
      </w:r>
      <w:r w:rsidRPr="001E60C7">
        <w:rPr>
          <w:rFonts w:asciiTheme="minorHAnsi" w:eastAsiaTheme="minorHAnsi" w:hAnsiTheme="minorHAnsi" w:cstheme="minorBidi"/>
        </w:rPr>
        <w:t xml:space="preserve">This </w:t>
      </w:r>
      <w:r w:rsidR="00F856B2" w:rsidRPr="001E60C7">
        <w:rPr>
          <w:rFonts w:asciiTheme="minorHAnsi" w:eastAsiaTheme="minorHAnsi" w:hAnsiTheme="minorHAnsi" w:cstheme="minorBidi"/>
        </w:rPr>
        <w:t xml:space="preserve">connection </w:t>
      </w:r>
      <w:r w:rsidRPr="001E60C7">
        <w:rPr>
          <w:rFonts w:asciiTheme="minorHAnsi" w:eastAsiaTheme="minorHAnsi" w:hAnsiTheme="minorHAnsi" w:cstheme="minorBidi"/>
        </w:rPr>
        <w:t>increases Australia’s links with g</w:t>
      </w:r>
      <w:r w:rsidR="006D05E3" w:rsidRPr="001E60C7">
        <w:rPr>
          <w:rFonts w:asciiTheme="minorHAnsi" w:eastAsiaTheme="minorHAnsi" w:hAnsiTheme="minorHAnsi" w:cstheme="minorBidi"/>
        </w:rPr>
        <w:t>lobal Chinese academic networks that</w:t>
      </w:r>
      <w:r w:rsidR="00A04FB8" w:rsidRPr="001E60C7">
        <w:rPr>
          <w:rFonts w:asciiTheme="minorHAnsi" w:eastAsiaTheme="minorHAnsi" w:hAnsiTheme="minorHAnsi" w:cstheme="minorBidi"/>
        </w:rPr>
        <w:t>,</w:t>
      </w:r>
      <w:r w:rsidR="006D05E3" w:rsidRPr="001E60C7">
        <w:rPr>
          <w:rFonts w:asciiTheme="minorHAnsi" w:eastAsiaTheme="minorHAnsi" w:hAnsiTheme="minorHAnsi" w:cstheme="minorBidi"/>
        </w:rPr>
        <w:t xml:space="preserve"> in turn</w:t>
      </w:r>
      <w:r w:rsidR="00A04FB8" w:rsidRPr="001E60C7">
        <w:rPr>
          <w:rFonts w:asciiTheme="minorHAnsi" w:eastAsiaTheme="minorHAnsi" w:hAnsiTheme="minorHAnsi" w:cstheme="minorBidi"/>
        </w:rPr>
        <w:t>,</w:t>
      </w:r>
      <w:r w:rsidR="00D15984" w:rsidRPr="001E60C7">
        <w:rPr>
          <w:rFonts w:asciiTheme="minorHAnsi" w:eastAsiaTheme="minorHAnsi" w:hAnsiTheme="minorHAnsi" w:cstheme="minorBidi"/>
        </w:rPr>
        <w:t xml:space="preserve"> could </w:t>
      </w:r>
      <w:r w:rsidR="00EB638D" w:rsidRPr="001E60C7">
        <w:rPr>
          <w:rFonts w:asciiTheme="minorHAnsi" w:eastAsiaTheme="minorHAnsi" w:hAnsiTheme="minorHAnsi" w:cstheme="minorBidi"/>
        </w:rPr>
        <w:t>lead</w:t>
      </w:r>
      <w:r w:rsidRPr="001E60C7">
        <w:rPr>
          <w:rFonts w:asciiTheme="minorHAnsi" w:eastAsiaTheme="minorHAnsi" w:hAnsiTheme="minorHAnsi" w:cstheme="minorBidi"/>
        </w:rPr>
        <w:t xml:space="preserve"> to increases in the Australia-China collaborative research output.</w:t>
      </w:r>
    </w:p>
    <w:p w14:paraId="39FBBD92" w14:textId="6C5DCAD4" w:rsidR="000B7B49" w:rsidRPr="001E60C7" w:rsidRDefault="00430348" w:rsidP="0087342A">
      <w:pPr>
        <w:spacing w:after="160" w:line="259" w:lineRule="auto"/>
      </w:pPr>
      <w:r w:rsidRPr="001E60C7">
        <w:rPr>
          <w:rFonts w:asciiTheme="minorHAnsi" w:eastAsiaTheme="minorHAnsi" w:hAnsiTheme="minorHAnsi" w:cstheme="minorBidi"/>
        </w:rPr>
        <w:t>T</w:t>
      </w:r>
      <w:r w:rsidR="00EF4F37" w:rsidRPr="001E60C7">
        <w:t>hrough the Chinese diaspora</w:t>
      </w:r>
      <w:r w:rsidR="00F41680" w:rsidRPr="001E60C7">
        <w:t>,</w:t>
      </w:r>
      <w:r w:rsidR="00E757D9" w:rsidRPr="001E60C7">
        <w:t xml:space="preserve"> </w:t>
      </w:r>
      <w:r w:rsidR="00293847" w:rsidRPr="001E60C7">
        <w:t xml:space="preserve">ethnic </w:t>
      </w:r>
      <w:r w:rsidR="00E757D9" w:rsidRPr="001E60C7">
        <w:t xml:space="preserve">Chinese have </w:t>
      </w:r>
      <w:r w:rsidR="00EF4F37" w:rsidRPr="001E60C7">
        <w:t xml:space="preserve">played a key </w:t>
      </w:r>
      <w:r w:rsidR="00E757D9" w:rsidRPr="001E60C7">
        <w:t xml:space="preserve">part </w:t>
      </w:r>
      <w:r w:rsidR="00EF4F37" w:rsidRPr="001E60C7">
        <w:t>in Australian society</w:t>
      </w:r>
      <w:r w:rsidR="00E757D9" w:rsidRPr="001E60C7">
        <w:t>. The population of ethnic Chin</w:t>
      </w:r>
      <w:r w:rsidR="00EF4F37" w:rsidRPr="001E60C7">
        <w:t>ese in Australia has fluctuated,</w:t>
      </w:r>
      <w:r w:rsidR="00E757D9" w:rsidRPr="001E60C7">
        <w:t xml:space="preserve"> with periods of high migration, </w:t>
      </w:r>
      <w:r w:rsidR="00201658" w:rsidRPr="001E60C7">
        <w:t>such as</w:t>
      </w:r>
      <w:r w:rsidR="00BB5375" w:rsidRPr="001E60C7">
        <w:t xml:space="preserve"> </w:t>
      </w:r>
      <w:r w:rsidR="00E757D9" w:rsidRPr="001E60C7">
        <w:t>the gold rush</w:t>
      </w:r>
      <w:r w:rsidR="00BB5375" w:rsidRPr="001E60C7">
        <w:t xml:space="preserve">es of the nineteenth century </w:t>
      </w:r>
      <w:r w:rsidR="00201658" w:rsidRPr="001E60C7">
        <w:t>and</w:t>
      </w:r>
      <w:r w:rsidR="00E757D9" w:rsidRPr="001E60C7">
        <w:t xml:space="preserve"> the high-skilled migrants of </w:t>
      </w:r>
      <w:r w:rsidR="00EF4F37" w:rsidRPr="001E60C7">
        <w:t xml:space="preserve">the early </w:t>
      </w:r>
      <w:r w:rsidR="006D05E3" w:rsidRPr="001E60C7">
        <w:t>21</w:t>
      </w:r>
      <w:r w:rsidR="006D05E3" w:rsidRPr="001E60C7">
        <w:rPr>
          <w:vertAlign w:val="superscript"/>
        </w:rPr>
        <w:t>st</w:t>
      </w:r>
      <w:r w:rsidR="006D05E3" w:rsidRPr="001E60C7">
        <w:t xml:space="preserve"> </w:t>
      </w:r>
      <w:r w:rsidR="00EF4F37" w:rsidRPr="001E60C7">
        <w:t>century. T</w:t>
      </w:r>
      <w:r w:rsidR="00E757D9" w:rsidRPr="001E60C7">
        <w:t>h</w:t>
      </w:r>
      <w:r w:rsidR="006D05E3" w:rsidRPr="001E60C7">
        <w:t>e 2016 census reported that 8.3 per cent</w:t>
      </w:r>
      <w:r w:rsidR="00E757D9" w:rsidRPr="001E60C7">
        <w:t xml:space="preserve"> of Australia’s foreign-born population came from China</w:t>
      </w:r>
      <w:r w:rsidR="007D68F8" w:rsidRPr="001E60C7">
        <w:rPr>
          <w:rStyle w:val="FootnoteReference"/>
        </w:rPr>
        <w:footnoteReference w:id="5"/>
      </w:r>
      <w:r w:rsidR="007D68F8" w:rsidRPr="001E60C7">
        <w:t>,</w:t>
      </w:r>
      <w:r w:rsidR="00E757D9" w:rsidRPr="001E60C7">
        <w:t xml:space="preserve"> </w:t>
      </w:r>
      <w:r w:rsidR="006D05E3" w:rsidRPr="001E60C7">
        <w:t xml:space="preserve">with </w:t>
      </w:r>
      <w:r w:rsidR="00E757D9" w:rsidRPr="001E60C7">
        <w:t>1.2 million people of Chinese ancestry.</w:t>
      </w:r>
      <w:r w:rsidR="00E44C61" w:rsidRPr="001E60C7">
        <w:rPr>
          <w:rStyle w:val="FootnoteReference"/>
        </w:rPr>
        <w:footnoteReference w:id="6"/>
      </w:r>
      <w:r w:rsidR="00E757D9" w:rsidRPr="001E60C7">
        <w:t xml:space="preserve"> </w:t>
      </w:r>
      <w:r w:rsidR="00EF4F37" w:rsidRPr="001E60C7">
        <w:t xml:space="preserve">This </w:t>
      </w:r>
      <w:r w:rsidR="00E757D9" w:rsidRPr="001E60C7">
        <w:t>indicate</w:t>
      </w:r>
      <w:r w:rsidR="00EF4F37" w:rsidRPr="001E60C7">
        <w:t>s</w:t>
      </w:r>
      <w:r w:rsidR="00D15984" w:rsidRPr="001E60C7">
        <w:t xml:space="preserve">, to some extent, </w:t>
      </w:r>
      <w:r w:rsidR="00E757D9" w:rsidRPr="001E60C7">
        <w:t xml:space="preserve">the social context </w:t>
      </w:r>
      <w:r w:rsidR="00D15984" w:rsidRPr="001E60C7">
        <w:t xml:space="preserve">underpinning </w:t>
      </w:r>
      <w:r w:rsidR="00E757D9" w:rsidRPr="001E60C7">
        <w:t>our international education exchanges.</w:t>
      </w:r>
    </w:p>
    <w:p w14:paraId="385625D3" w14:textId="0861A826"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sz w:val="18"/>
          <w:szCs w:val="18"/>
        </w:rPr>
      </w:pPr>
      <w:r w:rsidRPr="001E60C7">
        <w:rPr>
          <w:rFonts w:eastAsia="Calibri"/>
          <w:b/>
          <w:bCs/>
          <w:color w:val="246EB9"/>
          <w:sz w:val="18"/>
          <w:szCs w:val="18"/>
        </w:rPr>
        <w:t>Case Study 1 – Tourism benefits of Chinese international students</w:t>
      </w:r>
    </w:p>
    <w:p w14:paraId="5BF5D675" w14:textId="28BE0C55" w:rsidR="008E5815" w:rsidRPr="001E60C7" w:rsidRDefault="00C81A8B"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sz w:val="18"/>
          <w:szCs w:val="18"/>
        </w:rPr>
      </w:pPr>
      <w:r>
        <w:rPr>
          <w:rFonts w:asciiTheme="minorHAnsi" w:eastAsiaTheme="minorHAnsi" w:hAnsiTheme="minorHAnsi" w:cstheme="minorBidi"/>
          <w:sz w:val="18"/>
          <w:szCs w:val="18"/>
        </w:rPr>
        <w:t xml:space="preserve">There are economic flow on effects of Chinese international students, as they </w:t>
      </w:r>
      <w:r w:rsidR="008E5815" w:rsidRPr="001E60C7">
        <w:rPr>
          <w:rFonts w:asciiTheme="minorHAnsi" w:eastAsiaTheme="minorHAnsi" w:hAnsiTheme="minorHAnsi" w:cstheme="minorBidi"/>
          <w:sz w:val="18"/>
          <w:szCs w:val="18"/>
        </w:rPr>
        <w:t>often bring a host of friends and relatives t</w:t>
      </w:r>
      <w:r>
        <w:rPr>
          <w:rFonts w:asciiTheme="minorHAnsi" w:eastAsiaTheme="minorHAnsi" w:hAnsiTheme="minorHAnsi" w:cstheme="minorBidi"/>
          <w:sz w:val="18"/>
          <w:szCs w:val="18"/>
        </w:rPr>
        <w:t>o visit them while they live and study in Australia</w:t>
      </w:r>
      <w:r w:rsidR="008E5815" w:rsidRPr="001E60C7">
        <w:rPr>
          <w:rFonts w:asciiTheme="minorHAnsi" w:eastAsiaTheme="minorHAnsi" w:hAnsiTheme="minorHAnsi" w:cstheme="minorBidi"/>
          <w:sz w:val="18"/>
          <w:szCs w:val="18"/>
        </w:rPr>
        <w:t xml:space="preserve">. </w:t>
      </w:r>
    </w:p>
    <w:p w14:paraId="0131394C" w14:textId="3D9E386E"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sz w:val="18"/>
          <w:szCs w:val="18"/>
        </w:rPr>
      </w:pPr>
      <w:r w:rsidRPr="001E60C7">
        <w:rPr>
          <w:rFonts w:asciiTheme="minorHAnsi" w:eastAsiaTheme="minorHAnsi" w:hAnsiTheme="minorHAnsi" w:cstheme="minorBidi"/>
          <w:sz w:val="18"/>
          <w:szCs w:val="18"/>
        </w:rPr>
        <w:lastRenderedPageBreak/>
        <w:t xml:space="preserve">Deloitte Access Economics estimates that tourists who come to Australia to visit friends and relatives </w:t>
      </w:r>
      <w:r w:rsidR="00C81A8B">
        <w:rPr>
          <w:rFonts w:asciiTheme="minorHAnsi" w:eastAsiaTheme="minorHAnsi" w:hAnsiTheme="minorHAnsi" w:cstheme="minorBidi"/>
          <w:sz w:val="18"/>
          <w:szCs w:val="18"/>
        </w:rPr>
        <w:t xml:space="preserve">of international students </w:t>
      </w:r>
      <w:r w:rsidRPr="001E60C7">
        <w:rPr>
          <w:rFonts w:asciiTheme="minorHAnsi" w:eastAsiaTheme="minorHAnsi" w:hAnsiTheme="minorHAnsi" w:cstheme="minorBidi"/>
          <w:sz w:val="18"/>
          <w:szCs w:val="18"/>
        </w:rPr>
        <w:t>contribute a total of $222 million in value added to the Australian economy because of tourism expenditure, supporting the employment of 2,359 FTE jobs.</w:t>
      </w:r>
      <w:r w:rsidRPr="001E60C7">
        <w:rPr>
          <w:rFonts w:asciiTheme="minorHAnsi" w:eastAsiaTheme="minorHAnsi" w:hAnsiTheme="minorHAnsi" w:cstheme="minorBidi"/>
          <w:sz w:val="18"/>
          <w:szCs w:val="18"/>
          <w:vertAlign w:val="superscript"/>
        </w:rPr>
        <w:footnoteReference w:id="7"/>
      </w:r>
      <w:r w:rsidRPr="001E60C7">
        <w:rPr>
          <w:rFonts w:asciiTheme="minorHAnsi" w:eastAsiaTheme="minorHAnsi" w:hAnsiTheme="minorHAnsi" w:cstheme="minorBidi"/>
          <w:sz w:val="18"/>
          <w:szCs w:val="18"/>
        </w:rPr>
        <w:t xml:space="preserve"> These figures are based on 109,103 travellers who came to Australia for a holiday or to visit friends and relatives who stated that a reason for their trip to Australia was to visit an international student friend or relative studying here. These visitors are a subset of the broader visitor population of 544,949 who visited an international student at some stage during their trip to Australia but may not have come to Australia </w:t>
      </w:r>
      <w:r w:rsidR="00D15984" w:rsidRPr="001E60C7">
        <w:rPr>
          <w:rFonts w:asciiTheme="minorHAnsi" w:eastAsiaTheme="minorHAnsi" w:hAnsiTheme="minorHAnsi" w:cstheme="minorBidi"/>
          <w:sz w:val="18"/>
          <w:szCs w:val="18"/>
        </w:rPr>
        <w:t>primarily</w:t>
      </w:r>
      <w:r w:rsidRPr="001E60C7">
        <w:rPr>
          <w:rFonts w:asciiTheme="minorHAnsi" w:eastAsiaTheme="minorHAnsi" w:hAnsiTheme="minorHAnsi" w:cstheme="minorBidi"/>
          <w:sz w:val="18"/>
          <w:szCs w:val="18"/>
        </w:rPr>
        <w:t xml:space="preserve"> for that reason. </w:t>
      </w:r>
    </w:p>
    <w:p w14:paraId="586FD693" w14:textId="4D63B8CC" w:rsidR="008E5815"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sz w:val="18"/>
          <w:szCs w:val="18"/>
          <w:lang w:val="en-US"/>
        </w:rPr>
      </w:pPr>
      <w:r w:rsidRPr="001E60C7">
        <w:rPr>
          <w:rFonts w:asciiTheme="minorHAnsi" w:eastAsiaTheme="minorHAnsi" w:hAnsiTheme="minorHAnsi" w:cstheme="minorBidi"/>
          <w:sz w:val="18"/>
          <w:szCs w:val="18"/>
        </w:rPr>
        <w:t xml:space="preserve">With Chinese students representing almost a third of international students, at least a </w:t>
      </w:r>
      <w:r w:rsidR="00A901A8">
        <w:rPr>
          <w:rFonts w:asciiTheme="minorHAnsi" w:eastAsiaTheme="minorHAnsi" w:hAnsiTheme="minorHAnsi" w:cstheme="minorBidi"/>
          <w:sz w:val="18"/>
          <w:szCs w:val="18"/>
        </w:rPr>
        <w:t xml:space="preserve">third – perhaps more – </w:t>
      </w:r>
      <w:r w:rsidRPr="001E60C7">
        <w:rPr>
          <w:rFonts w:asciiTheme="minorHAnsi" w:eastAsiaTheme="minorHAnsi" w:hAnsiTheme="minorHAnsi" w:cstheme="minorBidi"/>
          <w:sz w:val="18"/>
          <w:szCs w:val="18"/>
        </w:rPr>
        <w:t>of these visitors are potentially from China. Moreover, a recent study by Pyke et al (2013) found that 64% of Chinese international student alumni had travelled back to Australia in the last five years and the majority had travelled twice or more frequently.</w:t>
      </w:r>
      <w:r w:rsidR="00716CD3">
        <w:rPr>
          <w:rFonts w:asciiTheme="minorHAnsi" w:eastAsiaTheme="minorHAnsi" w:hAnsiTheme="minorHAnsi" w:cstheme="minorBidi"/>
          <w:sz w:val="18"/>
          <w:szCs w:val="18"/>
        </w:rPr>
        <w:t>*</w:t>
      </w:r>
      <w:r w:rsidRPr="001E60C7">
        <w:rPr>
          <w:rFonts w:asciiTheme="minorHAnsi" w:eastAsiaTheme="minorHAnsi" w:hAnsiTheme="minorHAnsi" w:cstheme="minorBidi"/>
          <w:sz w:val="18"/>
          <w:szCs w:val="18"/>
        </w:rPr>
        <w:t xml:space="preserve"> This highlights the future </w:t>
      </w:r>
      <w:r w:rsidR="004A0C1B">
        <w:rPr>
          <w:rFonts w:asciiTheme="minorHAnsi" w:eastAsiaTheme="minorHAnsi" w:hAnsiTheme="minorHAnsi" w:cstheme="minorBidi"/>
          <w:sz w:val="18"/>
          <w:szCs w:val="18"/>
        </w:rPr>
        <w:t xml:space="preserve">benefits </w:t>
      </w:r>
      <w:r w:rsidRPr="001E60C7">
        <w:rPr>
          <w:rFonts w:asciiTheme="minorHAnsi" w:eastAsiaTheme="minorHAnsi" w:hAnsiTheme="minorHAnsi" w:cstheme="minorBidi"/>
          <w:sz w:val="18"/>
          <w:szCs w:val="18"/>
        </w:rPr>
        <w:t>that international education can bring to the tourism sector.</w:t>
      </w:r>
      <w:r w:rsidRPr="001E60C7">
        <w:rPr>
          <w:rFonts w:asciiTheme="minorHAnsi" w:eastAsiaTheme="minorHAnsi" w:hAnsiTheme="minorHAnsi" w:cstheme="minorBidi"/>
          <w:sz w:val="18"/>
          <w:szCs w:val="18"/>
          <w:lang w:val="en-US"/>
        </w:rPr>
        <w:t xml:space="preserve"> </w:t>
      </w:r>
    </w:p>
    <w:p w14:paraId="355E2DF9" w14:textId="12239742" w:rsidR="00716CD3" w:rsidRPr="00716CD3" w:rsidRDefault="00716CD3"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sz w:val="10"/>
          <w:szCs w:val="18"/>
          <w:lang w:val="en-US"/>
        </w:rPr>
      </w:pPr>
      <w:r>
        <w:rPr>
          <w:rFonts w:asciiTheme="minorHAnsi" w:eastAsiaTheme="minorHAnsi" w:hAnsiTheme="minorHAnsi" w:cstheme="minorBidi"/>
          <w:sz w:val="18"/>
          <w:szCs w:val="18"/>
          <w:lang w:val="en-US"/>
        </w:rPr>
        <w:t xml:space="preserve">* </w:t>
      </w:r>
      <w:r w:rsidRPr="00716CD3">
        <w:rPr>
          <w:sz w:val="16"/>
        </w:rPr>
        <w:t xml:space="preserve">Joanne Pyke, Min Jiang, Terry Delacy, Edward Smith, Guijun Li, and Al-Min Li (2013), </w:t>
      </w:r>
      <w:r w:rsidRPr="00716CD3">
        <w:rPr>
          <w:i/>
          <w:sz w:val="16"/>
        </w:rPr>
        <w:t>The role and influence of China based alumni on travel and tourism</w:t>
      </w:r>
      <w:r w:rsidRPr="00716CD3">
        <w:rPr>
          <w:sz w:val="16"/>
        </w:rPr>
        <w:t xml:space="preserve">, available at </w:t>
      </w:r>
      <w:hyperlink r:id="rId10" w:history="1">
        <w:r w:rsidRPr="00716CD3">
          <w:rPr>
            <w:rStyle w:val="Hyperlink"/>
            <w:sz w:val="16"/>
          </w:rPr>
          <w:t>http://vuir.vu.edu.au/22397/1/the-role-and-influence-of-china-based-alumni-on-travel-and-tourism.pdf</w:t>
        </w:r>
      </w:hyperlink>
      <w:r w:rsidRPr="00716CD3">
        <w:rPr>
          <w:sz w:val="16"/>
        </w:rPr>
        <w:t>.</w:t>
      </w:r>
    </w:p>
    <w:p w14:paraId="5EA6EB70" w14:textId="77777777" w:rsidR="008E5815" w:rsidRPr="001E60C7" w:rsidRDefault="008E5815" w:rsidP="0087342A">
      <w:pPr>
        <w:spacing w:after="160" w:line="259" w:lineRule="auto"/>
        <w:rPr>
          <w:lang w:val="en-US"/>
        </w:rPr>
      </w:pPr>
    </w:p>
    <w:p w14:paraId="312ECB69" w14:textId="023B9E9D" w:rsidR="008E5815" w:rsidRPr="001E60C7" w:rsidRDefault="00E757D9">
      <w:pPr>
        <w:spacing w:after="160" w:line="259" w:lineRule="auto"/>
      </w:pPr>
      <w:r w:rsidRPr="001E60C7">
        <w:t>Within this historic context, m</w:t>
      </w:r>
      <w:r w:rsidR="0087342A" w:rsidRPr="001E60C7">
        <w:t xml:space="preserve">any Australian universities have </w:t>
      </w:r>
      <w:r w:rsidRPr="001E60C7">
        <w:t xml:space="preserve">developed </w:t>
      </w:r>
      <w:r w:rsidR="0087342A" w:rsidRPr="001E60C7">
        <w:t>deep and longstanding research interests and engagement in China. The</w:t>
      </w:r>
      <w:r w:rsidR="000C53C8" w:rsidRPr="001E60C7">
        <w:t>se</w:t>
      </w:r>
      <w:r w:rsidR="0087342A" w:rsidRPr="001E60C7">
        <w:t xml:space="preserve"> robust education partnerships and research collaborations </w:t>
      </w:r>
      <w:r w:rsidR="00D15984" w:rsidRPr="001E60C7">
        <w:t xml:space="preserve">evidence </w:t>
      </w:r>
      <w:r w:rsidR="0087342A" w:rsidRPr="001E60C7">
        <w:t>Australia’s quality teaching and learning and help to promote Australia’s global reputation as home to some of the best minds and research teams in the world. As observed by Belinda Robinson, former Chief Executive of Universities Australia, the quality of Australia’s education system is a drawcard: ‘We know that international students are attracted to Australia by the excellent quality of the education we provide and the calibre of both teaching and research here’.</w:t>
      </w:r>
      <w:r w:rsidR="0087342A" w:rsidRPr="001E60C7">
        <w:rPr>
          <w:vertAlign w:val="superscript"/>
        </w:rPr>
        <w:footnoteReference w:id="8"/>
      </w:r>
      <w:r w:rsidR="008E5815" w:rsidRPr="001E60C7">
        <w:rPr>
          <w:rFonts w:asciiTheme="minorHAnsi" w:hAnsiTheme="minorHAnsi" w:cstheme="minorHAnsi"/>
          <w:b/>
          <w:bCs/>
          <w:color w:val="246EB9"/>
          <w:sz w:val="32"/>
          <w:szCs w:val="32"/>
        </w:rPr>
        <w:br w:type="page"/>
      </w:r>
    </w:p>
    <w:p w14:paraId="229FB1EC" w14:textId="62CEC37F" w:rsidR="00B53F0D" w:rsidRPr="001E60C7" w:rsidRDefault="00B53F0D" w:rsidP="007701CC">
      <w:pPr>
        <w:pStyle w:val="BasicParagraph"/>
        <w:numPr>
          <w:ilvl w:val="1"/>
          <w:numId w:val="2"/>
        </w:numPr>
        <w:spacing w:before="240" w:after="160"/>
        <w:textAlignment w:val="center"/>
        <w:rPr>
          <w:rFonts w:asciiTheme="minorHAnsi" w:hAnsiTheme="minorHAnsi" w:cstheme="minorHAnsi"/>
          <w:b/>
          <w:bCs/>
          <w:color w:val="246EB9"/>
          <w:sz w:val="32"/>
          <w:szCs w:val="32"/>
          <w:lang w:val="en-AU"/>
        </w:rPr>
      </w:pPr>
      <w:r w:rsidRPr="001E60C7">
        <w:rPr>
          <w:rFonts w:asciiTheme="minorHAnsi" w:hAnsiTheme="minorHAnsi" w:cstheme="minorHAnsi"/>
          <w:b/>
          <w:bCs/>
          <w:color w:val="246EB9"/>
          <w:sz w:val="32"/>
          <w:szCs w:val="32"/>
          <w:lang w:val="en-AU"/>
        </w:rPr>
        <w:lastRenderedPageBreak/>
        <w:t>Chinese</w:t>
      </w:r>
      <w:r w:rsidRPr="001E60C7">
        <w:t xml:space="preserve"> </w:t>
      </w:r>
      <w:r w:rsidR="00CD6F6E" w:rsidRPr="001E60C7">
        <w:rPr>
          <w:rFonts w:asciiTheme="minorHAnsi" w:hAnsiTheme="minorHAnsi" w:cstheme="minorHAnsi"/>
          <w:b/>
          <w:bCs/>
          <w:color w:val="246EB9"/>
          <w:sz w:val="32"/>
          <w:szCs w:val="32"/>
          <w:lang w:val="en-AU"/>
        </w:rPr>
        <w:t>domestic f</w:t>
      </w:r>
      <w:r w:rsidRPr="001E60C7">
        <w:rPr>
          <w:rFonts w:asciiTheme="minorHAnsi" w:hAnsiTheme="minorHAnsi" w:cstheme="minorHAnsi"/>
          <w:b/>
          <w:bCs/>
          <w:color w:val="246EB9"/>
          <w:sz w:val="32"/>
          <w:szCs w:val="32"/>
          <w:lang w:val="en-AU"/>
        </w:rPr>
        <w:t xml:space="preserve">actors </w:t>
      </w:r>
    </w:p>
    <w:p w14:paraId="63797C2E" w14:textId="36B884EE" w:rsidR="00B53F0D" w:rsidRPr="001E60C7" w:rsidRDefault="00B53F0D" w:rsidP="00B53F0D">
      <w:pPr>
        <w:spacing w:after="160" w:line="259" w:lineRule="auto"/>
      </w:pPr>
      <w:r w:rsidRPr="001E60C7">
        <w:t>The increased number of Chinese students studying in Australia reflects a global trend of more Chinese people travelling internationally for study. In 2017, UNESCO data indicates there were almost 850,000 Chinese international university students globally.</w:t>
      </w:r>
      <w:r w:rsidR="006D0800" w:rsidRPr="001E60C7">
        <w:rPr>
          <w:rStyle w:val="FootnoteReference"/>
        </w:rPr>
        <w:footnoteReference w:id="9"/>
      </w:r>
      <w:r w:rsidRPr="001E60C7">
        <w:t xml:space="preserve"> </w:t>
      </w:r>
      <w:r w:rsidR="002E1A17" w:rsidRPr="001E60C7">
        <w:t xml:space="preserve">As shown in </w:t>
      </w:r>
      <w:r w:rsidRPr="001E60C7">
        <w:t xml:space="preserve">Table </w:t>
      </w:r>
      <w:r w:rsidR="00506FEF" w:rsidRPr="001E60C7">
        <w:t>1</w:t>
      </w:r>
      <w:r w:rsidR="002E1A17" w:rsidRPr="001E60C7">
        <w:t xml:space="preserve">, </w:t>
      </w:r>
      <w:r w:rsidR="000C53C8" w:rsidRPr="001E60C7">
        <w:t>Australia is the second-</w:t>
      </w:r>
      <w:r w:rsidRPr="001E60C7">
        <w:t>most popular destination for Chinese students after the USA</w:t>
      </w:r>
      <w:r w:rsidR="009A780B" w:rsidRPr="001E60C7">
        <w:t>.</w:t>
      </w:r>
    </w:p>
    <w:p w14:paraId="469DDB8F" w14:textId="64049D60" w:rsidR="00B53F0D" w:rsidRPr="001E60C7" w:rsidRDefault="00B53F0D" w:rsidP="00B53F0D">
      <w:pPr>
        <w:ind w:right="-20"/>
        <w:rPr>
          <w:rFonts w:eastAsia="Calibri"/>
          <w:b/>
          <w:position w:val="1"/>
        </w:rPr>
      </w:pPr>
      <w:r w:rsidRPr="001E60C7">
        <w:rPr>
          <w:rFonts w:eastAsia="Calibri"/>
          <w:b/>
          <w:position w:val="1"/>
        </w:rPr>
        <w:t xml:space="preserve">Table </w:t>
      </w:r>
      <w:r w:rsidR="00373F1E" w:rsidRPr="001E60C7">
        <w:rPr>
          <w:rFonts w:eastAsia="Calibri"/>
          <w:b/>
          <w:position w:val="1"/>
        </w:rPr>
        <w:t>1</w:t>
      </w:r>
      <w:r w:rsidRPr="001E60C7">
        <w:rPr>
          <w:rFonts w:eastAsia="Calibri"/>
          <w:b/>
          <w:position w:val="1"/>
        </w:rPr>
        <w:t xml:space="preserve"> </w:t>
      </w:r>
      <w:r w:rsidR="006542B3" w:rsidRPr="001E60C7">
        <w:rPr>
          <w:rFonts w:eastAsia="Calibri"/>
          <w:b/>
          <w:position w:val="1"/>
        </w:rPr>
        <w:t>–</w:t>
      </w:r>
      <w:r w:rsidR="008B7D85" w:rsidRPr="001E60C7">
        <w:rPr>
          <w:rFonts w:eastAsia="Calibri"/>
          <w:b/>
          <w:position w:val="1"/>
        </w:rPr>
        <w:t xml:space="preserve"> Popul</w:t>
      </w:r>
      <w:r w:rsidR="00CD6F6E" w:rsidRPr="001E60C7">
        <w:rPr>
          <w:rFonts w:eastAsia="Calibri"/>
          <w:b/>
          <w:position w:val="1"/>
        </w:rPr>
        <w:t>ar d</w:t>
      </w:r>
      <w:r w:rsidR="006542B3" w:rsidRPr="001E60C7">
        <w:rPr>
          <w:rFonts w:eastAsia="Calibri"/>
          <w:b/>
          <w:position w:val="1"/>
        </w:rPr>
        <w:t xml:space="preserve">estinations for Chinese </w:t>
      </w:r>
      <w:r w:rsidR="00CD6F6E" w:rsidRPr="001E60C7">
        <w:rPr>
          <w:rFonts w:eastAsia="Calibri"/>
          <w:b/>
          <w:position w:val="1"/>
        </w:rPr>
        <w:t>i</w:t>
      </w:r>
      <w:r w:rsidR="006542B3" w:rsidRPr="001E60C7">
        <w:rPr>
          <w:rFonts w:eastAsia="Calibri"/>
          <w:b/>
          <w:position w:val="1"/>
        </w:rPr>
        <w:t xml:space="preserve">nternational </w:t>
      </w:r>
      <w:r w:rsidR="00CD6F6E" w:rsidRPr="001E60C7">
        <w:rPr>
          <w:rFonts w:eastAsia="Calibri"/>
          <w:b/>
          <w:position w:val="1"/>
        </w:rPr>
        <w:t>s</w:t>
      </w:r>
      <w:r w:rsidR="006542B3" w:rsidRPr="001E60C7">
        <w:rPr>
          <w:rFonts w:eastAsia="Calibri"/>
          <w:b/>
          <w:position w:val="1"/>
        </w:rPr>
        <w:t>tudents b</w:t>
      </w:r>
      <w:r w:rsidR="00CD6F6E" w:rsidRPr="001E60C7">
        <w:rPr>
          <w:rFonts w:eastAsia="Calibri"/>
          <w:b/>
          <w:position w:val="1"/>
        </w:rPr>
        <w:t>y c</w:t>
      </w:r>
      <w:r w:rsidR="006542B3" w:rsidRPr="001E60C7">
        <w:rPr>
          <w:rFonts w:eastAsia="Calibri"/>
          <w:b/>
          <w:position w:val="1"/>
        </w:rPr>
        <w:t>ountry</w:t>
      </w:r>
      <w:r w:rsidR="00BF28F4" w:rsidRPr="001E60C7">
        <w:rPr>
          <w:rFonts w:eastAsia="Calibri"/>
          <w:b/>
          <w:position w:val="1"/>
        </w:rPr>
        <w:t xml:space="preserve"> in 2017</w:t>
      </w:r>
    </w:p>
    <w:tbl>
      <w:tblPr>
        <w:tblStyle w:val="TableGrid"/>
        <w:tblW w:w="0" w:type="auto"/>
        <w:tblInd w:w="-5" w:type="dxa"/>
        <w:tblLook w:val="04A0" w:firstRow="1" w:lastRow="0" w:firstColumn="1" w:lastColumn="0" w:noHBand="0" w:noVBand="1"/>
      </w:tblPr>
      <w:tblGrid>
        <w:gridCol w:w="1559"/>
        <w:gridCol w:w="3544"/>
        <w:gridCol w:w="3544"/>
      </w:tblGrid>
      <w:tr w:rsidR="00B53F0D" w:rsidRPr="001E60C7" w14:paraId="74645FA5" w14:textId="77777777" w:rsidTr="004401C2">
        <w:tc>
          <w:tcPr>
            <w:tcW w:w="1559" w:type="dxa"/>
            <w:shd w:val="clear" w:color="auto" w:fill="002060"/>
          </w:tcPr>
          <w:p w14:paraId="30FCD78A" w14:textId="77777777" w:rsidR="00B53F0D" w:rsidRPr="001E60C7" w:rsidRDefault="00B53F0D" w:rsidP="00B53F0D">
            <w:pPr>
              <w:spacing w:before="24"/>
              <w:ind w:left="142" w:right="88"/>
              <w:rPr>
                <w:rFonts w:eastAsia="Calibri"/>
                <w:b/>
                <w:bCs/>
                <w:color w:val="FFFFFF" w:themeColor="background1"/>
                <w:spacing w:val="1"/>
              </w:rPr>
            </w:pPr>
            <w:r w:rsidRPr="001E60C7">
              <w:rPr>
                <w:rFonts w:eastAsia="Calibri"/>
                <w:b/>
                <w:bCs/>
                <w:color w:val="FFFFFF" w:themeColor="background1"/>
                <w:spacing w:val="1"/>
              </w:rPr>
              <w:t>Country</w:t>
            </w:r>
          </w:p>
        </w:tc>
        <w:tc>
          <w:tcPr>
            <w:tcW w:w="3544" w:type="dxa"/>
            <w:shd w:val="clear" w:color="auto" w:fill="002060"/>
          </w:tcPr>
          <w:p w14:paraId="6EE593C2" w14:textId="77777777" w:rsidR="00B53F0D" w:rsidRPr="001E60C7" w:rsidRDefault="00B53F0D" w:rsidP="003B1B79">
            <w:pPr>
              <w:spacing w:before="24"/>
              <w:ind w:left="142" w:right="88"/>
              <w:rPr>
                <w:rFonts w:eastAsia="Calibri"/>
                <w:b/>
                <w:bCs/>
                <w:color w:val="FFFFFF" w:themeColor="background1"/>
                <w:spacing w:val="1"/>
              </w:rPr>
            </w:pPr>
            <w:r w:rsidRPr="001E60C7">
              <w:rPr>
                <w:rFonts w:eastAsia="Calibri"/>
                <w:b/>
                <w:bCs/>
                <w:color w:val="FFFFFF" w:themeColor="background1"/>
                <w:spacing w:val="1"/>
              </w:rPr>
              <w:t>Proportion of total</w:t>
            </w:r>
            <w:r w:rsidR="003B1B79" w:rsidRPr="001E60C7">
              <w:rPr>
                <w:rFonts w:eastAsia="Calibri"/>
                <w:b/>
                <w:bCs/>
                <w:color w:val="FFFFFF" w:themeColor="background1"/>
                <w:spacing w:val="1"/>
              </w:rPr>
              <w:t xml:space="preserve"> of Chinese international students</w:t>
            </w:r>
          </w:p>
        </w:tc>
        <w:tc>
          <w:tcPr>
            <w:tcW w:w="3544" w:type="dxa"/>
            <w:shd w:val="clear" w:color="auto" w:fill="002060"/>
          </w:tcPr>
          <w:p w14:paraId="78627661" w14:textId="77777777" w:rsidR="00B53F0D" w:rsidRPr="001E60C7" w:rsidRDefault="00B53F0D" w:rsidP="00B53F0D">
            <w:pPr>
              <w:spacing w:before="24"/>
              <w:ind w:left="142" w:right="88"/>
              <w:rPr>
                <w:rFonts w:eastAsia="Calibri"/>
                <w:b/>
                <w:bCs/>
                <w:color w:val="FFFFFF" w:themeColor="background1"/>
                <w:spacing w:val="1"/>
              </w:rPr>
            </w:pPr>
            <w:r w:rsidRPr="001E60C7">
              <w:rPr>
                <w:rFonts w:eastAsia="Calibri"/>
                <w:b/>
                <w:bCs/>
                <w:color w:val="FFFFFF" w:themeColor="background1"/>
                <w:spacing w:val="1"/>
              </w:rPr>
              <w:t>Proportion of international students who are Chinese</w:t>
            </w:r>
          </w:p>
        </w:tc>
      </w:tr>
      <w:tr w:rsidR="00B53F0D" w:rsidRPr="001E60C7" w14:paraId="0AC674D3" w14:textId="77777777" w:rsidTr="00B53F0D">
        <w:tc>
          <w:tcPr>
            <w:tcW w:w="1559" w:type="dxa"/>
          </w:tcPr>
          <w:p w14:paraId="49B6393F" w14:textId="77777777" w:rsidR="00B53F0D" w:rsidRPr="001E60C7" w:rsidRDefault="00B53F0D" w:rsidP="00B53F0D">
            <w:pPr>
              <w:spacing w:after="120" w:line="259" w:lineRule="auto"/>
            </w:pPr>
            <w:r w:rsidRPr="001E60C7">
              <w:t>USA</w:t>
            </w:r>
          </w:p>
        </w:tc>
        <w:tc>
          <w:tcPr>
            <w:tcW w:w="3544" w:type="dxa"/>
          </w:tcPr>
          <w:p w14:paraId="6EBF0CE9" w14:textId="77777777" w:rsidR="00B53F0D" w:rsidRPr="001E60C7" w:rsidRDefault="00B53F0D" w:rsidP="00B53F0D">
            <w:pPr>
              <w:spacing w:after="120" w:line="259" w:lineRule="auto"/>
              <w:jc w:val="center"/>
            </w:pPr>
            <w:r w:rsidRPr="001E60C7">
              <w:t>34%</w:t>
            </w:r>
          </w:p>
        </w:tc>
        <w:tc>
          <w:tcPr>
            <w:tcW w:w="3544" w:type="dxa"/>
          </w:tcPr>
          <w:p w14:paraId="325F3D7B" w14:textId="77777777" w:rsidR="00B53F0D" w:rsidRPr="001E60C7" w:rsidRDefault="00B53F0D" w:rsidP="00B53F0D">
            <w:pPr>
              <w:spacing w:after="120" w:line="259" w:lineRule="auto"/>
              <w:jc w:val="center"/>
            </w:pPr>
            <w:r w:rsidRPr="001E60C7">
              <w:t>33%</w:t>
            </w:r>
          </w:p>
        </w:tc>
      </w:tr>
      <w:tr w:rsidR="00B53F0D" w:rsidRPr="001E60C7" w14:paraId="6B6BCB33" w14:textId="77777777" w:rsidTr="00B53F0D">
        <w:tc>
          <w:tcPr>
            <w:tcW w:w="1559" w:type="dxa"/>
          </w:tcPr>
          <w:p w14:paraId="7A7C6DA8" w14:textId="77777777" w:rsidR="00B53F0D" w:rsidRPr="001E60C7" w:rsidRDefault="00B53F0D" w:rsidP="00B53F0D">
            <w:pPr>
              <w:spacing w:after="120" w:line="259" w:lineRule="auto"/>
            </w:pPr>
            <w:r w:rsidRPr="001E60C7">
              <w:t>Australia</w:t>
            </w:r>
          </w:p>
        </w:tc>
        <w:tc>
          <w:tcPr>
            <w:tcW w:w="3544" w:type="dxa"/>
          </w:tcPr>
          <w:p w14:paraId="1287D047" w14:textId="77777777" w:rsidR="00B53F0D" w:rsidRPr="001E60C7" w:rsidRDefault="00B53F0D" w:rsidP="00B53F0D">
            <w:pPr>
              <w:spacing w:after="120" w:line="259" w:lineRule="auto"/>
              <w:jc w:val="center"/>
            </w:pPr>
            <w:r w:rsidRPr="001E60C7">
              <w:t>13%</w:t>
            </w:r>
          </w:p>
        </w:tc>
        <w:tc>
          <w:tcPr>
            <w:tcW w:w="3544" w:type="dxa"/>
          </w:tcPr>
          <w:p w14:paraId="7F4DEC36" w14:textId="77777777" w:rsidR="00B53F0D" w:rsidRPr="001E60C7" w:rsidRDefault="003B1B79" w:rsidP="00B53F0D">
            <w:pPr>
              <w:spacing w:after="120" w:line="259" w:lineRule="auto"/>
              <w:jc w:val="center"/>
            </w:pPr>
            <w:r w:rsidRPr="001E60C7">
              <w:t>29</w:t>
            </w:r>
            <w:r w:rsidR="00B53F0D" w:rsidRPr="001E60C7">
              <w:t>%</w:t>
            </w:r>
          </w:p>
        </w:tc>
      </w:tr>
      <w:tr w:rsidR="00B53F0D" w:rsidRPr="001E60C7" w14:paraId="3CDB659A" w14:textId="77777777" w:rsidTr="00B53F0D">
        <w:tc>
          <w:tcPr>
            <w:tcW w:w="1559" w:type="dxa"/>
          </w:tcPr>
          <w:p w14:paraId="215F5FD6" w14:textId="77777777" w:rsidR="00B53F0D" w:rsidRPr="001E60C7" w:rsidRDefault="00B53F0D" w:rsidP="00B53F0D">
            <w:pPr>
              <w:spacing w:after="120" w:line="259" w:lineRule="auto"/>
            </w:pPr>
            <w:r w:rsidRPr="001E60C7">
              <w:t>UK</w:t>
            </w:r>
          </w:p>
        </w:tc>
        <w:tc>
          <w:tcPr>
            <w:tcW w:w="3544" w:type="dxa"/>
          </w:tcPr>
          <w:p w14:paraId="62EC5567" w14:textId="77777777" w:rsidR="00B53F0D" w:rsidRPr="001E60C7" w:rsidRDefault="00B53F0D" w:rsidP="00B53F0D">
            <w:pPr>
              <w:spacing w:after="120" w:line="259" w:lineRule="auto"/>
              <w:jc w:val="center"/>
            </w:pPr>
            <w:r w:rsidRPr="001E60C7">
              <w:t>11%</w:t>
            </w:r>
          </w:p>
        </w:tc>
        <w:tc>
          <w:tcPr>
            <w:tcW w:w="3544" w:type="dxa"/>
          </w:tcPr>
          <w:p w14:paraId="1F954742" w14:textId="77777777" w:rsidR="00B53F0D" w:rsidRPr="001E60C7" w:rsidRDefault="00B53F0D" w:rsidP="00B53F0D">
            <w:pPr>
              <w:spacing w:after="120" w:line="259" w:lineRule="auto"/>
              <w:jc w:val="center"/>
            </w:pPr>
            <w:r w:rsidRPr="001E60C7">
              <w:t>28%</w:t>
            </w:r>
          </w:p>
        </w:tc>
      </w:tr>
    </w:tbl>
    <w:p w14:paraId="47D58861" w14:textId="443BB326" w:rsidR="00B53F0D" w:rsidRPr="001E60C7" w:rsidRDefault="00B53F0D" w:rsidP="00B53F0D">
      <w:pPr>
        <w:ind w:right="-23"/>
        <w:rPr>
          <w:rFonts w:eastAsia="Calibri"/>
          <w:spacing w:val="-1"/>
          <w:position w:val="1"/>
          <w:sz w:val="16"/>
          <w:szCs w:val="16"/>
        </w:rPr>
      </w:pPr>
      <w:r w:rsidRPr="001E60C7">
        <w:rPr>
          <w:rFonts w:eastAsia="Calibri"/>
          <w:spacing w:val="-1"/>
          <w:position w:val="1"/>
          <w:sz w:val="16"/>
          <w:szCs w:val="16"/>
        </w:rPr>
        <w:t>Source: UNESCO</w:t>
      </w:r>
      <w:r w:rsidR="007A704B" w:rsidRPr="001E60C7">
        <w:rPr>
          <w:rFonts w:eastAsia="Calibri"/>
          <w:spacing w:val="-1"/>
          <w:position w:val="1"/>
          <w:sz w:val="16"/>
          <w:szCs w:val="16"/>
        </w:rPr>
        <w:t>.</w:t>
      </w:r>
      <w:r w:rsidR="00BF28F4" w:rsidRPr="001E60C7">
        <w:rPr>
          <w:rFonts w:eastAsia="Calibri"/>
          <w:spacing w:val="-1"/>
          <w:position w:val="1"/>
          <w:sz w:val="16"/>
          <w:szCs w:val="16"/>
        </w:rPr>
        <w:t xml:space="preserve"> </w:t>
      </w:r>
    </w:p>
    <w:p w14:paraId="65DDDD5C" w14:textId="77777777" w:rsidR="00B53F0D" w:rsidRPr="001E60C7" w:rsidRDefault="00B53F0D" w:rsidP="00B53F0D"/>
    <w:p w14:paraId="0B81F063" w14:textId="658D4E2C" w:rsidR="00B53F0D" w:rsidRPr="001E60C7" w:rsidRDefault="00B53F0D" w:rsidP="00B53F0D">
      <w:pPr>
        <w:spacing w:after="160" w:line="259" w:lineRule="auto"/>
      </w:pPr>
      <w:r w:rsidRPr="001E60C7">
        <w:t xml:space="preserve">This extraordinary growth in the number of Chinese students choosing to study in Australia over the last few years </w:t>
      </w:r>
      <w:r w:rsidR="009A780B" w:rsidRPr="001E60C7">
        <w:t xml:space="preserve">has </w:t>
      </w:r>
      <w:r w:rsidRPr="001E60C7">
        <w:t>slowed</w:t>
      </w:r>
      <w:r w:rsidR="009A780B" w:rsidRPr="001E60C7">
        <w:t xml:space="preserve"> more recently</w:t>
      </w:r>
      <w:r w:rsidR="00D74D88" w:rsidRPr="001E60C7">
        <w:t>,</w:t>
      </w:r>
      <w:r w:rsidR="00912B48" w:rsidRPr="001E60C7">
        <w:t xml:space="preserve"> </w:t>
      </w:r>
      <w:r w:rsidR="00D74D88" w:rsidRPr="001E60C7">
        <w:t xml:space="preserve">from </w:t>
      </w:r>
      <w:r w:rsidR="00912B48" w:rsidRPr="001E60C7">
        <w:t>18 per cent</w:t>
      </w:r>
      <w:r w:rsidR="00D74D88" w:rsidRPr="001E60C7">
        <w:t xml:space="preserve"> </w:t>
      </w:r>
      <w:r w:rsidR="00562E6D" w:rsidRPr="001E60C7">
        <w:t xml:space="preserve">in 2017 </w:t>
      </w:r>
      <w:r w:rsidR="00D74D88" w:rsidRPr="001E60C7">
        <w:t>to</w:t>
      </w:r>
      <w:r w:rsidR="00912B48" w:rsidRPr="001E60C7">
        <w:t xml:space="preserve"> 11 per cent</w:t>
      </w:r>
      <w:r w:rsidR="00D74D88" w:rsidRPr="001E60C7">
        <w:t xml:space="preserve"> in 2018</w:t>
      </w:r>
      <w:r w:rsidR="0085143A" w:rsidRPr="001E60C7">
        <w:t>.</w:t>
      </w:r>
      <w:r w:rsidR="00506FEF" w:rsidRPr="001E60C7">
        <w:rPr>
          <w:rStyle w:val="FootnoteReference"/>
        </w:rPr>
        <w:footnoteReference w:id="10"/>
      </w:r>
      <w:r w:rsidR="0085143A" w:rsidRPr="001E60C7">
        <w:t xml:space="preserve"> </w:t>
      </w:r>
      <w:r w:rsidR="00C254CD" w:rsidRPr="001E60C7">
        <w:t xml:space="preserve">If we compare the total number of Chinese enrolments in Australia in 2018 (255,896) to the number of Chinese enrolments in 2014 (150,814) when this wave of growth first began, it </w:t>
      </w:r>
      <w:r w:rsidR="00C254CD" w:rsidRPr="001E60C7">
        <w:rPr>
          <w:rFonts w:cstheme="minorHAnsi"/>
        </w:rPr>
        <w:t>represents</w:t>
      </w:r>
      <w:r w:rsidR="00C254CD" w:rsidRPr="001E60C7">
        <w:t xml:space="preserve"> almost 70 per cent growth. </w:t>
      </w:r>
      <w:r w:rsidR="0085143A" w:rsidRPr="001E60C7">
        <w:t>While this level of growth is still very healthy, t</w:t>
      </w:r>
      <w:r w:rsidR="006D05E3" w:rsidRPr="001E60C7">
        <w:t>his could represent</w:t>
      </w:r>
      <w:r w:rsidR="00166199" w:rsidRPr="001E60C7">
        <w:t xml:space="preserve"> a natural slowdown from </w:t>
      </w:r>
      <w:r w:rsidR="00DC5310" w:rsidRPr="001E60C7">
        <w:t>record growth in 2017. B</w:t>
      </w:r>
      <w:r w:rsidR="00166199" w:rsidRPr="001E60C7">
        <w:t xml:space="preserve">ilateral tensions may </w:t>
      </w:r>
      <w:r w:rsidR="00DC5310" w:rsidRPr="001E60C7">
        <w:t xml:space="preserve">also </w:t>
      </w:r>
      <w:r w:rsidR="00166199" w:rsidRPr="001E60C7">
        <w:t>be influencing Chinese students’ decision to study in Australia, coupled with China’s investment in its own education system</w:t>
      </w:r>
      <w:r w:rsidR="009A780B" w:rsidRPr="001E60C7">
        <w:t>.</w:t>
      </w:r>
      <w:r w:rsidR="00C07A50" w:rsidRPr="001E60C7">
        <w:rPr>
          <w:rStyle w:val="FootnoteReference"/>
        </w:rPr>
        <w:footnoteReference w:id="11"/>
      </w:r>
    </w:p>
    <w:p w14:paraId="1A6CACF1" w14:textId="747A6475" w:rsidR="00C76E6D" w:rsidRPr="001E60C7" w:rsidRDefault="00C76E6D" w:rsidP="00B53F0D">
      <w:pPr>
        <w:spacing w:after="160" w:line="259" w:lineRule="auto"/>
      </w:pPr>
      <w:r w:rsidRPr="001E60C7">
        <w:t>China is undergoing a transformation to what it terms a moderately prosperous society. As disposable incomes rise, China’s growing middle class aspires to quality health care and education, more sophisticated financial services products and the opportunity to travel.</w:t>
      </w:r>
      <w:r w:rsidRPr="001E60C7">
        <w:rPr>
          <w:rStyle w:val="FootnoteReference"/>
        </w:rPr>
        <w:footnoteReference w:id="12"/>
      </w:r>
      <w:r w:rsidRPr="001E60C7">
        <w:t xml:space="preserve"> In this context, China is contin</w:t>
      </w:r>
      <w:r w:rsidRPr="001E60C7">
        <w:lastRenderedPageBreak/>
        <w:t xml:space="preserve">uing its significant reform and modernisation of its education sector. Under its </w:t>
      </w:r>
      <w:r w:rsidRPr="001E60C7">
        <w:rPr>
          <w:i/>
          <w:iCs/>
        </w:rPr>
        <w:t>Education Development 13th Five</w:t>
      </w:r>
      <w:r w:rsidRPr="001E60C7">
        <w:rPr>
          <w:i/>
          <w:iCs/>
        </w:rPr>
        <w:noBreakHyphen/>
        <w:t xml:space="preserve">Year Plan </w:t>
      </w:r>
      <w:r w:rsidR="00A901A8">
        <w:rPr>
          <w:iCs/>
        </w:rPr>
        <w:t>(2015–</w:t>
      </w:r>
      <w:r w:rsidRPr="001E60C7">
        <w:rPr>
          <w:iCs/>
        </w:rPr>
        <w:t>2020)</w:t>
      </w:r>
      <w:r w:rsidRPr="001E60C7">
        <w:t>, China is investing heavily in its universities to enhance performance in international rankings and become globally competitive in international education. </w:t>
      </w:r>
    </w:p>
    <w:p w14:paraId="10624478" w14:textId="50F30A0D" w:rsidR="00B53F0D" w:rsidRPr="001E60C7" w:rsidRDefault="00343D64" w:rsidP="00B53F0D">
      <w:pPr>
        <w:spacing w:after="160" w:line="259" w:lineRule="auto"/>
      </w:pPr>
      <w:r w:rsidRPr="001E60C7">
        <w:t>I</w:t>
      </w:r>
      <w:r w:rsidR="00B53F0D" w:rsidRPr="001E60C7">
        <w:t>nvestment in its university system has</w:t>
      </w:r>
      <w:r w:rsidR="004A2588" w:rsidRPr="001E60C7">
        <w:t xml:space="preserve"> already improved China’s overall position</w:t>
      </w:r>
      <w:r w:rsidR="00B53F0D" w:rsidRPr="001E60C7">
        <w:t xml:space="preserve"> in global university rankings and China’s movement up the global rankings is likely to continue. China’s </w:t>
      </w:r>
      <w:r w:rsidR="00A04FB8" w:rsidRPr="001E60C7">
        <w:t>two top-</w:t>
      </w:r>
      <w:r w:rsidR="00B53F0D" w:rsidRPr="001E60C7">
        <w:t xml:space="preserve">ranked universities, Tsinghua </w:t>
      </w:r>
      <w:r w:rsidR="00A04FB8" w:rsidRPr="001E60C7">
        <w:t xml:space="preserve">University </w:t>
      </w:r>
      <w:r w:rsidR="00B53F0D" w:rsidRPr="001E60C7">
        <w:t>and Peking University, now rank higher than Australia’s top ranked universities in some global university rankings.</w:t>
      </w:r>
      <w:r w:rsidR="0055602B" w:rsidRPr="001E60C7">
        <w:t xml:space="preserve"> </w:t>
      </w:r>
      <w:r w:rsidR="006F299C" w:rsidRPr="001E60C7">
        <w:t>In 2019</w:t>
      </w:r>
      <w:r w:rsidR="00D45066" w:rsidRPr="001E60C7">
        <w:t>, China had three universities in the Times H</w:t>
      </w:r>
      <w:r w:rsidR="006F299C" w:rsidRPr="001E60C7">
        <w:t>igher Education World Rankings t</w:t>
      </w:r>
      <w:r w:rsidR="00D45066" w:rsidRPr="001E60C7">
        <w:t>op 100</w:t>
      </w:r>
      <w:r w:rsidR="006F299C" w:rsidRPr="001E60C7">
        <w:rPr>
          <w:rStyle w:val="FootnoteReference"/>
        </w:rPr>
        <w:footnoteReference w:id="13"/>
      </w:r>
      <w:r w:rsidR="00D45066" w:rsidRPr="001E60C7">
        <w:t xml:space="preserve">, six universities in the QS World Rankings </w:t>
      </w:r>
      <w:r w:rsidR="006F299C" w:rsidRPr="001E60C7">
        <w:t>top 100</w:t>
      </w:r>
      <w:r w:rsidR="006F299C" w:rsidRPr="001E60C7">
        <w:rPr>
          <w:rStyle w:val="FootnoteReference"/>
        </w:rPr>
        <w:footnoteReference w:id="14"/>
      </w:r>
      <w:r w:rsidR="006F299C" w:rsidRPr="001E60C7">
        <w:t>,</w:t>
      </w:r>
      <w:r w:rsidR="00D45066" w:rsidRPr="001E60C7">
        <w:t xml:space="preserve"> and</w:t>
      </w:r>
      <w:r w:rsidR="0055602B" w:rsidRPr="001E60C7">
        <w:t xml:space="preserve"> </w:t>
      </w:r>
      <w:r w:rsidR="00D45066" w:rsidRPr="001E60C7">
        <w:t xml:space="preserve">three universities in the top 100 of </w:t>
      </w:r>
      <w:r w:rsidR="0055602B" w:rsidRPr="001E60C7">
        <w:t>the Academic Rankings of Wor</w:t>
      </w:r>
      <w:r w:rsidR="00D45066" w:rsidRPr="001E60C7">
        <w:t>ld Universities (ARWU)</w:t>
      </w:r>
      <w:r w:rsidR="0055602B" w:rsidRPr="001E60C7">
        <w:t>.</w:t>
      </w:r>
      <w:r w:rsidR="006F299C" w:rsidRPr="001E60C7">
        <w:rPr>
          <w:rStyle w:val="FootnoteReference"/>
        </w:rPr>
        <w:footnoteReference w:id="15"/>
      </w:r>
      <w:r w:rsidR="0055602B" w:rsidRPr="001E60C7">
        <w:t xml:space="preserve"> </w:t>
      </w:r>
    </w:p>
    <w:p w14:paraId="24E96C10" w14:textId="1270EDB4" w:rsidR="00B53F0D" w:rsidRPr="001E60C7" w:rsidRDefault="009A780B" w:rsidP="00B53F0D">
      <w:pPr>
        <w:spacing w:after="160" w:line="259" w:lineRule="auto"/>
        <w:rPr>
          <w:lang w:val="en"/>
        </w:rPr>
      </w:pPr>
      <w:r w:rsidRPr="001E60C7">
        <w:t xml:space="preserve">Since 2004, </w:t>
      </w:r>
      <w:r w:rsidR="00B53F0D" w:rsidRPr="001E60C7">
        <w:t xml:space="preserve">China </w:t>
      </w:r>
      <w:r w:rsidRPr="001E60C7">
        <w:t>has become</w:t>
      </w:r>
      <w:r w:rsidR="00B53F0D" w:rsidRPr="001E60C7">
        <w:t xml:space="preserve"> a key research partner for Australian universities and, according to </w:t>
      </w:r>
      <w:r w:rsidR="00DD58B7" w:rsidRPr="001E60C7">
        <w:t xml:space="preserve">University of Queensland’s Chancellor, Peter </w:t>
      </w:r>
      <w:r w:rsidR="00B53F0D" w:rsidRPr="001E60C7">
        <w:t>Varghese, ‘research collaboration between Australian and Chinese scholars will only increase’.</w:t>
      </w:r>
      <w:r w:rsidR="00B53F0D" w:rsidRPr="001E60C7">
        <w:rPr>
          <w:rStyle w:val="FootnoteReference"/>
        </w:rPr>
        <w:footnoteReference w:id="16"/>
      </w:r>
      <w:r w:rsidR="00B53F0D" w:rsidRPr="001E60C7">
        <w:t xml:space="preserve"> Chinese universities, which are attracting high quality academic teachers and researchers, are now demonstrating a growing capacity to deliver high-quality education. </w:t>
      </w:r>
      <w:r w:rsidR="0044385C" w:rsidRPr="001E60C7">
        <w:t>China is also showing a growing capacity to deliver international education, and is the third largest destination country for international students after the US and UK.</w:t>
      </w:r>
      <w:r w:rsidR="0044385C" w:rsidRPr="001E60C7">
        <w:rPr>
          <w:rStyle w:val="FootnoteReference"/>
        </w:rPr>
        <w:footnoteReference w:id="17"/>
      </w:r>
      <w:r w:rsidR="0044385C" w:rsidRPr="001E60C7">
        <w:t xml:space="preserve"> </w:t>
      </w:r>
      <w:r w:rsidR="00B53F0D" w:rsidRPr="001E60C7">
        <w:t xml:space="preserve">According to University of NSW’s </w:t>
      </w:r>
      <w:r w:rsidRPr="001E60C7">
        <w:t xml:space="preserve">Vice Chancellor </w:t>
      </w:r>
      <w:r w:rsidR="0044385C" w:rsidRPr="001E60C7">
        <w:t>Professor Ian Jacobs, China is</w:t>
      </w:r>
      <w:r w:rsidR="00B53F0D" w:rsidRPr="001E60C7">
        <w:t xml:space="preserve"> </w:t>
      </w:r>
      <w:r w:rsidR="00562E6D" w:rsidRPr="001E60C7">
        <w:t>establishing</w:t>
      </w:r>
      <w:r w:rsidR="00B53F0D" w:rsidRPr="001E60C7">
        <w:t xml:space="preserve"> more universities, </w:t>
      </w:r>
      <w:r w:rsidR="006F299C" w:rsidRPr="001E60C7">
        <w:t>‘</w:t>
      </w:r>
      <w:r w:rsidR="00B53F0D" w:rsidRPr="001E60C7">
        <w:t xml:space="preserve">and those are getting much </w:t>
      </w:r>
      <w:r w:rsidR="00A901A8">
        <w:t>better quality, very rapidly…</w:t>
      </w:r>
      <w:r w:rsidR="00B53F0D" w:rsidRPr="001E60C7">
        <w:t xml:space="preserve"> The Chinese government understands education is everything if they are going to be the high</w:t>
      </w:r>
      <w:r w:rsidR="006F299C" w:rsidRPr="001E60C7">
        <w:t xml:space="preserve"> tech country they aspire to be’</w:t>
      </w:r>
      <w:r w:rsidR="00B53F0D" w:rsidRPr="001E60C7">
        <w:t>.</w:t>
      </w:r>
      <w:r w:rsidR="00B53F0D" w:rsidRPr="001E60C7">
        <w:rPr>
          <w:rStyle w:val="FootnoteReference"/>
        </w:rPr>
        <w:footnoteReference w:id="18"/>
      </w:r>
    </w:p>
    <w:p w14:paraId="29E36BB2" w14:textId="75FFA77B" w:rsidR="00912B48" w:rsidRPr="001E60C7" w:rsidRDefault="00B53F0D" w:rsidP="00912B48">
      <w:pPr>
        <w:spacing w:after="160" w:line="259" w:lineRule="auto"/>
      </w:pPr>
      <w:r w:rsidRPr="001E60C7">
        <w:lastRenderedPageBreak/>
        <w:t>Despite the Chinese government’s strong investment in its higher education sector, all indications suggest demand for internation</w:t>
      </w:r>
      <w:r w:rsidR="000C53C8" w:rsidRPr="001E60C7">
        <w:t>ally-</w:t>
      </w:r>
      <w:r w:rsidRPr="001E60C7">
        <w:t xml:space="preserve">recognised, quality education from China’s rising middle class will increase. </w:t>
      </w:r>
      <w:r w:rsidR="00B66389" w:rsidRPr="001E60C7">
        <w:t>According to a</w:t>
      </w:r>
      <w:r w:rsidR="00182A90" w:rsidRPr="001E60C7">
        <w:t xml:space="preserve"> </w:t>
      </w:r>
      <w:r w:rsidR="00912B48" w:rsidRPr="001E60C7">
        <w:t>Deloitte Access Economics report, increased urbanisation and average incomes in developing economies such as China ‘will propel large volumes of people into contention for international education, and at a time when the global economy’s demand for high-skilled workers is increasing sharply’.</w:t>
      </w:r>
      <w:r w:rsidR="00912B48" w:rsidRPr="001E60C7">
        <w:rPr>
          <w:vertAlign w:val="superscript"/>
        </w:rPr>
        <w:footnoteReference w:id="19"/>
      </w:r>
      <w:r w:rsidR="00912B48" w:rsidRPr="001E60C7">
        <w:t xml:space="preserve"> </w:t>
      </w:r>
      <w:r w:rsidR="00DC5310" w:rsidRPr="001E60C7">
        <w:t xml:space="preserve">While </w:t>
      </w:r>
      <w:r w:rsidR="00912B48" w:rsidRPr="001E60C7">
        <w:t>this demand will continue to exceed China’s own supp</w:t>
      </w:r>
      <w:r w:rsidR="00DC5310" w:rsidRPr="001E60C7">
        <w:t xml:space="preserve">ly capacities for </w:t>
      </w:r>
      <w:r w:rsidR="00562E6D" w:rsidRPr="001E60C7">
        <w:t>the near future</w:t>
      </w:r>
      <w:r w:rsidR="00DC5310" w:rsidRPr="001E60C7">
        <w:t xml:space="preserve">, for a Chinese student the proposition of an overseas education experience is not just about </w:t>
      </w:r>
      <w:r w:rsidR="00B35482" w:rsidRPr="001E60C7">
        <w:t>a</w:t>
      </w:r>
      <w:r w:rsidR="00DC5310" w:rsidRPr="001E60C7">
        <w:t xml:space="preserve"> lack of enrolment capacity in China’s higher education system. The international education proposition is much more about aspirational lifestyle, prestige, and opportunity. </w:t>
      </w:r>
    </w:p>
    <w:p w14:paraId="14A742E4" w14:textId="2E7FEEBB" w:rsidR="00B53F0D" w:rsidRPr="001E60C7" w:rsidRDefault="00B53F0D" w:rsidP="00B53F0D">
      <w:pPr>
        <w:spacing w:after="160" w:line="259" w:lineRule="auto"/>
      </w:pPr>
      <w:r w:rsidRPr="001E60C7">
        <w:t>Australia is still experiencing strong growth in Chinese student enrolments. According to J</w:t>
      </w:r>
      <w:r w:rsidR="004B3CB7" w:rsidRPr="001E60C7">
        <w:t>acobs,</w:t>
      </w:r>
      <w:r w:rsidRPr="001E60C7">
        <w:t xml:space="preserve"> ‘Demand is still very high, and [demand for] postgraduates is higher than ever. I am not sure if we have yet hit the peak. More and more students from China want opportunities and their system cannot yet respond to demand’.</w:t>
      </w:r>
      <w:r w:rsidR="009A780B" w:rsidRPr="001E60C7">
        <w:rPr>
          <w:rStyle w:val="FootnoteReference"/>
        </w:rPr>
        <w:footnoteReference w:id="20"/>
      </w:r>
    </w:p>
    <w:p w14:paraId="6FBDD348" w14:textId="48A78884" w:rsidR="00912B48" w:rsidRPr="001E60C7" w:rsidRDefault="00343D64" w:rsidP="00145FC9">
      <w:pPr>
        <w:spacing w:after="160" w:line="259" w:lineRule="auto"/>
      </w:pPr>
      <w:r w:rsidRPr="001E60C7">
        <w:t xml:space="preserve">Yet, others suggest </w:t>
      </w:r>
      <w:r w:rsidR="00912B48" w:rsidRPr="001E60C7">
        <w:t>the increase in Chinese student numbers will slow in a range of</w:t>
      </w:r>
      <w:r w:rsidR="00722768" w:rsidRPr="001E60C7">
        <w:t xml:space="preserve"> overseas destination countries</w:t>
      </w:r>
      <w:r w:rsidR="00912B48" w:rsidRPr="001E60C7">
        <w:t>.</w:t>
      </w:r>
      <w:r w:rsidR="00562E6D" w:rsidRPr="001E60C7">
        <w:t xml:space="preserve"> </w:t>
      </w:r>
      <w:r w:rsidR="00912B48" w:rsidRPr="001E60C7">
        <w:t xml:space="preserve">According to a 2019 report in the </w:t>
      </w:r>
      <w:r w:rsidR="00912B48" w:rsidRPr="001E60C7">
        <w:rPr>
          <w:i/>
        </w:rPr>
        <w:t>University World News,</w:t>
      </w:r>
      <w:r w:rsidR="00912B48" w:rsidRPr="001E60C7">
        <w:t xml:space="preserve"> ‘While very difficult to predict, it is quite likely the numbers of Chinese students going abroad to several of the key receiving countries will slow or even decline’.</w:t>
      </w:r>
      <w:r w:rsidR="00912B48" w:rsidRPr="001E60C7">
        <w:rPr>
          <w:vertAlign w:val="superscript"/>
        </w:rPr>
        <w:footnoteReference w:id="21"/>
      </w:r>
      <w:r w:rsidR="00912B48" w:rsidRPr="001E60C7">
        <w:t xml:space="preserve"> </w:t>
      </w:r>
      <w:r w:rsidR="00145FC9" w:rsidRPr="001E60C7">
        <w:t>Similarly, as Varghese warns, ‘In the short to medium term it is more likely than not that demand will remain strong. But, like any market, the market in international students can be cyclical and influenced by external factors’.</w:t>
      </w:r>
      <w:r w:rsidR="00145FC9" w:rsidRPr="001E60C7">
        <w:rPr>
          <w:vertAlign w:val="superscript"/>
        </w:rPr>
        <w:footnoteReference w:id="22"/>
      </w:r>
      <w:r w:rsidRPr="001E60C7">
        <w:t xml:space="preserve"> These could include rising tensions in the US-China </w:t>
      </w:r>
      <w:r w:rsidR="00C77E3D" w:rsidRPr="001E60C7">
        <w:t xml:space="preserve">relationship, which could raise </w:t>
      </w:r>
      <w:r w:rsidR="0050718B">
        <w:t>Australian international</w:t>
      </w:r>
      <w:r w:rsidR="00C77E3D" w:rsidRPr="001E60C7">
        <w:t xml:space="preserve"> education as a substitute, or rising tensions in the Australia-China relationship, which could have the opposite effect.</w:t>
      </w:r>
    </w:p>
    <w:p w14:paraId="46594184" w14:textId="468A8361" w:rsidR="00B53F0D" w:rsidRPr="001E60C7" w:rsidRDefault="001B6BCD" w:rsidP="007701CC">
      <w:pPr>
        <w:pStyle w:val="BasicParagraph"/>
        <w:numPr>
          <w:ilvl w:val="1"/>
          <w:numId w:val="2"/>
        </w:numPr>
        <w:spacing w:before="240" w:after="160"/>
        <w:textAlignment w:val="center"/>
        <w:rPr>
          <w:rFonts w:asciiTheme="minorHAnsi" w:hAnsiTheme="minorHAnsi" w:cstheme="minorHAnsi"/>
          <w:b/>
          <w:bCs/>
          <w:color w:val="246EB9"/>
          <w:sz w:val="32"/>
          <w:szCs w:val="32"/>
          <w:lang w:val="en-AU"/>
        </w:rPr>
      </w:pPr>
      <w:r w:rsidRPr="001E60C7">
        <w:rPr>
          <w:rFonts w:asciiTheme="minorHAnsi" w:hAnsiTheme="minorHAnsi" w:cstheme="minorHAnsi"/>
          <w:b/>
          <w:bCs/>
          <w:color w:val="246EB9"/>
          <w:sz w:val="32"/>
          <w:szCs w:val="32"/>
          <w:lang w:val="en-AU"/>
        </w:rPr>
        <w:t>Sectoral</w:t>
      </w:r>
      <w:r w:rsidR="00373F1E" w:rsidRPr="001E60C7">
        <w:rPr>
          <w:rFonts w:asciiTheme="minorHAnsi" w:hAnsiTheme="minorHAnsi" w:cstheme="minorHAnsi"/>
          <w:b/>
          <w:bCs/>
          <w:color w:val="246EB9"/>
          <w:sz w:val="32"/>
          <w:szCs w:val="32"/>
          <w:lang w:val="en-AU"/>
        </w:rPr>
        <w:t xml:space="preserve"> </w:t>
      </w:r>
      <w:r w:rsidR="00CD6F6E" w:rsidRPr="001E60C7">
        <w:rPr>
          <w:rFonts w:asciiTheme="minorHAnsi" w:hAnsiTheme="minorHAnsi" w:cstheme="minorHAnsi"/>
          <w:b/>
          <w:bCs/>
          <w:color w:val="246EB9"/>
          <w:sz w:val="32"/>
          <w:szCs w:val="32"/>
          <w:lang w:val="en-AU"/>
        </w:rPr>
        <w:t>e</w:t>
      </w:r>
      <w:r w:rsidR="00B53F0D" w:rsidRPr="001E60C7">
        <w:rPr>
          <w:rFonts w:asciiTheme="minorHAnsi" w:hAnsiTheme="minorHAnsi" w:cstheme="minorHAnsi"/>
          <w:b/>
          <w:bCs/>
          <w:color w:val="246EB9"/>
          <w:sz w:val="32"/>
          <w:szCs w:val="32"/>
          <w:lang w:val="en-AU"/>
        </w:rPr>
        <w:t>ngagement with China</w:t>
      </w:r>
    </w:p>
    <w:p w14:paraId="5181C75D" w14:textId="152E8F6E" w:rsidR="00DE7B11" w:rsidRPr="001E60C7" w:rsidRDefault="00562E6D" w:rsidP="0057351B">
      <w:pPr>
        <w:spacing w:after="160" w:line="259" w:lineRule="auto"/>
      </w:pPr>
      <w:r w:rsidRPr="001E60C7">
        <w:lastRenderedPageBreak/>
        <w:t>The international market</w:t>
      </w:r>
      <w:r w:rsidR="00912B48" w:rsidRPr="001E60C7">
        <w:t xml:space="preserve">place views Australia’s high quality education system favourably. This is particularly so in China. </w:t>
      </w:r>
      <w:r w:rsidR="000B0AF4" w:rsidRPr="001E60C7">
        <w:t>The past 30 years have seen strong growth in education partnerships between Australia and China’s higher education sectors</w:t>
      </w:r>
      <w:r w:rsidR="00961D8C" w:rsidRPr="001E60C7">
        <w:t>, and higher education is our most rapidly growing sector in terms of Chinese international student enrolments</w:t>
      </w:r>
      <w:r w:rsidR="000B0AF4" w:rsidRPr="001E60C7">
        <w:t xml:space="preserve">. </w:t>
      </w:r>
      <w:r w:rsidR="00912B48" w:rsidRPr="001E60C7">
        <w:t xml:space="preserve">The close ties with China in the </w:t>
      </w:r>
      <w:r w:rsidR="00961D8C" w:rsidRPr="001E60C7">
        <w:t>h</w:t>
      </w:r>
      <w:r w:rsidR="00912B48" w:rsidRPr="001E60C7">
        <w:t xml:space="preserve">igher </w:t>
      </w:r>
      <w:r w:rsidR="00961D8C" w:rsidRPr="001E60C7">
        <w:t xml:space="preserve">education sector, as well as the strong growth in </w:t>
      </w:r>
      <w:r w:rsidR="00A92F9E" w:rsidRPr="001E60C7">
        <w:t>Chinese overseas students in higher education, provide</w:t>
      </w:r>
      <w:r w:rsidR="00912B48" w:rsidRPr="001E60C7">
        <w:t xml:space="preserve"> an excellent foundatio</w:t>
      </w:r>
      <w:r w:rsidR="00A92F9E" w:rsidRPr="001E60C7">
        <w:t xml:space="preserve">n for other sectors to build on. </w:t>
      </w:r>
      <w:r w:rsidR="00B7552F" w:rsidRPr="001E60C7">
        <w:t>These include</w:t>
      </w:r>
      <w:r w:rsidR="00912B48" w:rsidRPr="001E60C7">
        <w:t xml:space="preserve"> </w:t>
      </w:r>
      <w:r w:rsidR="002B1E1B" w:rsidRPr="001E60C7">
        <w:t>Vocational Education and Training (</w:t>
      </w:r>
      <w:r w:rsidR="00912B48" w:rsidRPr="001E60C7">
        <w:t>VET</w:t>
      </w:r>
      <w:r w:rsidR="002B1E1B" w:rsidRPr="001E60C7">
        <w:t>)</w:t>
      </w:r>
      <w:r w:rsidR="00912B48" w:rsidRPr="001E60C7">
        <w:t>, Schools</w:t>
      </w:r>
      <w:r w:rsidR="006D05E3" w:rsidRPr="001E60C7">
        <w:t>,</w:t>
      </w:r>
      <w:r w:rsidR="00912B48" w:rsidRPr="001E60C7">
        <w:t xml:space="preserve"> and </w:t>
      </w:r>
      <w:r w:rsidR="002B1E1B" w:rsidRPr="001E60C7">
        <w:t>English Language Intensive Courses for Overseas Students (</w:t>
      </w:r>
      <w:r w:rsidR="00912B48" w:rsidRPr="001E60C7">
        <w:t>ELICOS</w:t>
      </w:r>
      <w:r w:rsidR="002B1E1B" w:rsidRPr="001E60C7">
        <w:t>)</w:t>
      </w:r>
      <w:r w:rsidR="00912B48" w:rsidRPr="001E60C7">
        <w:t>, which already enjoy a high level of bilateral cooperation, including many collaborative partnerships.</w:t>
      </w:r>
      <w:r w:rsidR="000B0AF4" w:rsidRPr="001E60C7">
        <w:t xml:space="preserve"> </w:t>
      </w:r>
    </w:p>
    <w:p w14:paraId="6F47548B" w14:textId="682794BB" w:rsidR="00316C20" w:rsidRPr="001E60C7" w:rsidRDefault="00316C20" w:rsidP="0057351B">
      <w:pPr>
        <w:spacing w:after="160" w:line="259" w:lineRule="auto"/>
        <w:rPr>
          <w:rFonts w:cstheme="minorHAnsi"/>
          <w:b/>
          <w:bCs/>
          <w:color w:val="246EB9"/>
        </w:rPr>
      </w:pPr>
      <w:r w:rsidRPr="001E60C7">
        <w:rPr>
          <w:rFonts w:cstheme="minorHAnsi"/>
          <w:b/>
          <w:bCs/>
          <w:color w:val="246EB9"/>
        </w:rPr>
        <w:t>Vocational Education and Training</w:t>
      </w:r>
    </w:p>
    <w:p w14:paraId="1E834AB0" w14:textId="76B676B3" w:rsidR="00B53F0D" w:rsidRPr="001E60C7" w:rsidRDefault="00B53F0D" w:rsidP="00026B03">
      <w:pPr>
        <w:spacing w:after="160" w:line="259" w:lineRule="auto"/>
      </w:pPr>
      <w:r w:rsidRPr="001E60C7">
        <w:t>Australia and China have enjoyed a long history</w:t>
      </w:r>
      <w:r w:rsidR="00C77E3D" w:rsidRPr="001E60C7">
        <w:t xml:space="preserve"> of cooperation in the VET sector and have</w:t>
      </w:r>
      <w:r w:rsidRPr="001E60C7">
        <w:t xml:space="preserve"> continued to do so through the MoU between the Australian and Chinese governments on cooperation in VET</w:t>
      </w:r>
      <w:r w:rsidR="00A04FB8" w:rsidRPr="001E60C7">
        <w:t>,</w:t>
      </w:r>
      <w:r w:rsidRPr="001E60C7">
        <w:t xml:space="preserve"> signed in 2017. Australian public and private providers have been partners with Chinese institutions to deliver both non-award and f</w:t>
      </w:r>
      <w:r w:rsidR="006D05E3" w:rsidRPr="001E60C7">
        <w:t>ull qualifications in China for</w:t>
      </w:r>
      <w:r w:rsidRPr="001E60C7">
        <w:t xml:space="preserve"> more than two decades. A flagship collaboration has been the Australia China Chongqing Vocational Education and Training </w:t>
      </w:r>
      <w:r w:rsidR="006D05E3" w:rsidRPr="001E60C7">
        <w:t>Project that</w:t>
      </w:r>
      <w:r w:rsidR="00A901A8">
        <w:t xml:space="preserve"> ran from 2002–</w:t>
      </w:r>
      <w:r w:rsidRPr="001E60C7">
        <w:t>2007 with government funding</w:t>
      </w:r>
      <w:r w:rsidR="006D05E3" w:rsidRPr="001E60C7">
        <w:t xml:space="preserve"> from both countries</w:t>
      </w:r>
      <w:r w:rsidRPr="001E60C7">
        <w:t xml:space="preserve">. Australia-China cooperation in VET </w:t>
      </w:r>
      <w:r w:rsidR="00CC1E96" w:rsidRPr="001E60C7">
        <w:t xml:space="preserve">has taken place, or continues to take place, </w:t>
      </w:r>
      <w:r w:rsidRPr="001E60C7">
        <w:t xml:space="preserve">in many forms including: </w:t>
      </w:r>
    </w:p>
    <w:p w14:paraId="7F38ADF9" w14:textId="5DE84720" w:rsidR="00145FC9" w:rsidRPr="001E60C7" w:rsidRDefault="00145FC9" w:rsidP="00145FC9">
      <w:pPr>
        <w:pStyle w:val="ListParagraph"/>
        <w:numPr>
          <w:ilvl w:val="0"/>
          <w:numId w:val="3"/>
        </w:numPr>
        <w:spacing w:after="200" w:line="276" w:lineRule="auto"/>
      </w:pPr>
      <w:r w:rsidRPr="001E60C7">
        <w:t>Joint institutes and joint programs for delivery of formally approved Sino-foreign joint sub</w:t>
      </w:r>
      <w:r w:rsidRPr="001E60C7">
        <w:noBreakHyphen/>
        <w:t>degree level programs in China. The MoE issues a ‘Chinese-Foreign Cooperative Education License’ and lists details of the approved programs on the relevant part of its Jiaoyu Shewai Ji</w:t>
      </w:r>
      <w:r w:rsidR="002E04FA" w:rsidRPr="001E60C7">
        <w:t>anguan Xinxi Wang (JSJ) website,</w:t>
      </w:r>
      <w:r w:rsidRPr="001E60C7">
        <w:rPr>
          <w:rStyle w:val="FootnoteReference"/>
        </w:rPr>
        <w:footnoteReference w:id="23"/>
      </w:r>
    </w:p>
    <w:p w14:paraId="2DD514E2" w14:textId="7B300ECD" w:rsidR="00B53F0D" w:rsidRPr="001E60C7" w:rsidRDefault="00B53F0D" w:rsidP="00D5191F">
      <w:pPr>
        <w:pStyle w:val="ListParagraph"/>
        <w:numPr>
          <w:ilvl w:val="0"/>
          <w:numId w:val="3"/>
        </w:numPr>
        <w:spacing w:after="200" w:line="276" w:lineRule="auto"/>
      </w:pPr>
      <w:r w:rsidRPr="001E60C7">
        <w:t>TAFE Directors Australia’s MoU with the China Education Association for International Exchange (CEAIE) in 2008, to develop the Vocational Leade</w:t>
      </w:r>
      <w:r w:rsidR="00145FC9" w:rsidRPr="001E60C7">
        <w:t>rship Training Prog</w:t>
      </w:r>
      <w:r w:rsidR="006D05E3" w:rsidRPr="001E60C7">
        <w:t>ram that delivered</w:t>
      </w:r>
      <w:r w:rsidRPr="001E60C7">
        <w:t xml:space="preserve"> training for Chinese leaders of vocat</w:t>
      </w:r>
      <w:r w:rsidR="00CC1E96" w:rsidRPr="001E60C7">
        <w:t>ional institut</w:t>
      </w:r>
      <w:r w:rsidR="006D05E3" w:rsidRPr="001E60C7">
        <w:t>es between</w:t>
      </w:r>
      <w:r w:rsidR="002E04FA" w:rsidRPr="001E60C7">
        <w:t xml:space="preserve"> 2010</w:t>
      </w:r>
      <w:r w:rsidR="007511AD">
        <w:t>–</w:t>
      </w:r>
      <w:r w:rsidR="002E04FA" w:rsidRPr="001E60C7">
        <w:t>2015,</w:t>
      </w:r>
      <w:r w:rsidR="00621412" w:rsidRPr="001E60C7">
        <w:t xml:space="preserve"> and</w:t>
      </w:r>
      <w:r w:rsidRPr="001E60C7">
        <w:t xml:space="preserve"> </w:t>
      </w:r>
    </w:p>
    <w:p w14:paraId="1CA57F7C" w14:textId="4380C957" w:rsidR="00B66389" w:rsidRPr="001E60C7" w:rsidRDefault="00B53F0D" w:rsidP="00D15984">
      <w:pPr>
        <w:pStyle w:val="ListParagraph"/>
        <w:numPr>
          <w:ilvl w:val="0"/>
          <w:numId w:val="3"/>
        </w:numPr>
        <w:spacing w:after="200" w:line="259" w:lineRule="auto"/>
      </w:pPr>
      <w:r w:rsidRPr="001E60C7">
        <w:t>The Australian Skills Qua</w:t>
      </w:r>
      <w:r w:rsidR="006D05E3" w:rsidRPr="001E60C7">
        <w:t xml:space="preserve">lity Authority’s MoU with CEAIE, signed </w:t>
      </w:r>
      <w:r w:rsidRPr="001E60C7">
        <w:t>in 2015</w:t>
      </w:r>
      <w:r w:rsidR="00A04FB8" w:rsidRPr="001E60C7">
        <w:t>,</w:t>
      </w:r>
      <w:r w:rsidRPr="001E60C7">
        <w:t xml:space="preserve"> to coordinate joint audits of Australian vocational qualifications delivered in China in partne</w:t>
      </w:r>
      <w:r w:rsidR="00CC1E96" w:rsidRPr="001E60C7">
        <w:t>rshi</w:t>
      </w:r>
      <w:r w:rsidR="00145FC9" w:rsidRPr="001E60C7">
        <w:t>p with Chinese institutions.</w:t>
      </w:r>
    </w:p>
    <w:p w14:paraId="02B7A55C" w14:textId="7251DF29" w:rsidR="00145FC9" w:rsidRPr="001E60C7" w:rsidRDefault="00CA3AFA" w:rsidP="00145FC9">
      <w:pPr>
        <w:spacing w:after="160" w:line="259" w:lineRule="auto"/>
      </w:pPr>
      <w:r w:rsidRPr="001E60C7">
        <w:lastRenderedPageBreak/>
        <w:t xml:space="preserve">China’s elevated focus on </w:t>
      </w:r>
      <w:r w:rsidR="00145FC9" w:rsidRPr="001E60C7">
        <w:t xml:space="preserve">VET </w:t>
      </w:r>
      <w:r w:rsidRPr="001E60C7">
        <w:t xml:space="preserve">or Technical and Vocational Education and Training (TVET) </w:t>
      </w:r>
      <w:r w:rsidR="00145FC9" w:rsidRPr="001E60C7">
        <w:t xml:space="preserve">reform, as articulated through the </w:t>
      </w:r>
      <w:r w:rsidR="00145FC9" w:rsidRPr="001E60C7">
        <w:rPr>
          <w:i/>
        </w:rPr>
        <w:t xml:space="preserve">2019 Implementation Plan for TVET, </w:t>
      </w:r>
      <w:r w:rsidR="00145FC9" w:rsidRPr="001E60C7">
        <w:t xml:space="preserve">coupled with the difficulty of delivering full sub-degree </w:t>
      </w:r>
      <w:r w:rsidR="00A04FB8" w:rsidRPr="001E60C7">
        <w:t>Australian Qualifications Framework (</w:t>
      </w:r>
      <w:r w:rsidR="00145FC9" w:rsidRPr="001E60C7">
        <w:t>AQF</w:t>
      </w:r>
      <w:r w:rsidR="00A04FB8" w:rsidRPr="001E60C7">
        <w:t>)-accredited</w:t>
      </w:r>
      <w:r w:rsidR="00145FC9" w:rsidRPr="001E60C7">
        <w:t xml:space="preserve"> qualifications offshore, will likely see a shift away from the traditional joint program model. China is also encouraging foreign institutions to focus on a smaller number of partners, and develop broader, deeper partnerships. </w:t>
      </w:r>
    </w:p>
    <w:p w14:paraId="275F77FD" w14:textId="09A55B45" w:rsidR="00822BB8" w:rsidRPr="001E60C7" w:rsidRDefault="00145FC9" w:rsidP="00B66389">
      <w:pPr>
        <w:spacing w:after="160" w:line="259" w:lineRule="auto"/>
      </w:pPr>
      <w:r w:rsidRPr="001E60C7">
        <w:t>Chinese institutions a</w:t>
      </w:r>
      <w:r w:rsidR="006D05E3" w:rsidRPr="001E60C7">
        <w:t>re seeking support to develop a</w:t>
      </w:r>
      <w:r w:rsidRPr="001E60C7">
        <w:t xml:space="preserve"> curriculum that is appr</w:t>
      </w:r>
      <w:r w:rsidR="006D0800" w:rsidRPr="001E60C7">
        <w:t>opriate for a Chinese workplace, and</w:t>
      </w:r>
      <w:r w:rsidRPr="001E60C7">
        <w:t xml:space="preserve"> aspires to a global standard. Australian TAFEs </w:t>
      </w:r>
      <w:r w:rsidR="00B35482" w:rsidRPr="001E60C7">
        <w:t xml:space="preserve">and private vocational education providers </w:t>
      </w:r>
      <w:r w:rsidRPr="001E60C7">
        <w:t>are focussed on working with Chinese institutions in a knowledge transfer and capability building capacity, as well as partnering with industry and government to provide bespoke skills development support, appropriate for local circumstances. Partnerships are also likely to focus on i</w:t>
      </w:r>
      <w:r w:rsidR="00FB23F4" w:rsidRPr="001E60C7">
        <w:t>nnovation, technology transfer</w:t>
      </w:r>
      <w:r w:rsidR="000C53C8" w:rsidRPr="001E60C7">
        <w:t>,</w:t>
      </w:r>
      <w:r w:rsidRPr="001E60C7">
        <w:t xml:space="preserve"> and staff and student support. </w:t>
      </w:r>
    </w:p>
    <w:p w14:paraId="1EF40871" w14:textId="2BED7F34"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heme="minorHAnsi" w:hAnsiTheme="minorHAnsi" w:cstheme="minorBidi"/>
          <w:b/>
          <w:bCs/>
          <w:sz w:val="18"/>
          <w:szCs w:val="18"/>
        </w:rPr>
      </w:pPr>
      <w:r w:rsidRPr="001E60C7">
        <w:rPr>
          <w:rFonts w:eastAsia="Calibri"/>
          <w:b/>
          <w:bCs/>
          <w:color w:val="246EB9"/>
          <w:sz w:val="18"/>
          <w:szCs w:val="18"/>
        </w:rPr>
        <w:t>Case Study 2 – Queensland College – A vocational training education cooperative project</w:t>
      </w:r>
    </w:p>
    <w:p w14:paraId="12F4A61A"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bCs/>
          <w:color w:val="212121"/>
          <w:sz w:val="18"/>
          <w:szCs w:val="18"/>
          <w:lang w:val="en"/>
        </w:rPr>
      </w:pPr>
      <w:r w:rsidRPr="001E60C7">
        <w:rPr>
          <w:rFonts w:asciiTheme="minorHAnsi" w:eastAsia="Times New Roman" w:hAnsiTheme="minorHAnsi" w:cs="Courier New"/>
          <w:bCs/>
          <w:color w:val="212121"/>
          <w:sz w:val="18"/>
          <w:szCs w:val="18"/>
          <w:lang w:val="en"/>
        </w:rPr>
        <w:t xml:space="preserve">Queensland College is a Vocational Training Education Cooperative Project jointly established by Shanghai Second Polytechnic University (SSPU) and TAFE Queensland (TQ) in September 2000.  </w:t>
      </w:r>
    </w:p>
    <w:p w14:paraId="4E94FF1F"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bCs/>
          <w:color w:val="212121"/>
          <w:sz w:val="18"/>
          <w:szCs w:val="18"/>
          <w:lang w:val="en"/>
        </w:rPr>
      </w:pPr>
      <w:r w:rsidRPr="001E60C7">
        <w:rPr>
          <w:rFonts w:asciiTheme="minorHAnsi" w:eastAsia="Times New Roman" w:hAnsiTheme="minorHAnsi" w:cs="Courier New"/>
          <w:bCs/>
          <w:color w:val="212121"/>
          <w:sz w:val="18"/>
          <w:szCs w:val="18"/>
          <w:lang w:val="en"/>
        </w:rPr>
        <w:t xml:space="preserve">Under this project, trainers from both Australia and China work closely to meet teaching requirements of both sides, and the curriculum design must meet the requirements of the Chinese education authorities and the relevant industry bodies as well as the Australian regulator, Australian Quality Skills Authority (ASQA). </w:t>
      </w:r>
    </w:p>
    <w:p w14:paraId="450C33A2"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color w:val="212121"/>
          <w:sz w:val="18"/>
          <w:szCs w:val="18"/>
          <w:lang w:val="en"/>
        </w:rPr>
      </w:pPr>
      <w:r w:rsidRPr="001E60C7">
        <w:rPr>
          <w:rFonts w:asciiTheme="minorHAnsi" w:eastAsia="Times New Roman" w:hAnsiTheme="minorHAnsi" w:cs="Courier New"/>
          <w:bCs/>
          <w:color w:val="212121"/>
          <w:sz w:val="18"/>
          <w:szCs w:val="18"/>
          <w:lang w:val="en"/>
        </w:rPr>
        <w:t>The project has demonstrated benefits to both countries, such as raising the profile of Australia’s VET system in China, and embedding Australia’s competency-based training concept and quality assurance system.</w:t>
      </w:r>
      <w:r w:rsidRPr="001E60C7">
        <w:rPr>
          <w:rFonts w:asciiTheme="minorHAnsi" w:eastAsia="Times New Roman" w:hAnsiTheme="minorHAnsi" w:cs="Courier New"/>
          <w:color w:val="212121"/>
          <w:sz w:val="18"/>
          <w:szCs w:val="18"/>
          <w:lang w:val="en"/>
        </w:rPr>
        <w:t xml:space="preserve"> </w:t>
      </w:r>
    </w:p>
    <w:p w14:paraId="0025B2DC"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color w:val="212121"/>
          <w:sz w:val="18"/>
          <w:szCs w:val="18"/>
          <w:lang w:val="en"/>
        </w:rPr>
      </w:pPr>
      <w:r w:rsidRPr="001E60C7">
        <w:rPr>
          <w:rFonts w:asciiTheme="minorHAnsi" w:eastAsia="Times New Roman" w:hAnsiTheme="minorHAnsi" w:cs="Courier New"/>
          <w:color w:val="212121"/>
          <w:sz w:val="18"/>
          <w:szCs w:val="18"/>
          <w:lang w:val="en"/>
        </w:rPr>
        <w:t xml:space="preserve">Since the establishment of </w:t>
      </w:r>
      <w:r w:rsidRPr="001E60C7">
        <w:rPr>
          <w:rFonts w:asciiTheme="minorHAnsi" w:eastAsia="Times New Roman" w:hAnsiTheme="minorHAnsi" w:cs="Courier New" w:hint="eastAsia"/>
          <w:color w:val="212121"/>
          <w:sz w:val="18"/>
          <w:szCs w:val="18"/>
          <w:lang w:val="en"/>
        </w:rPr>
        <w:t xml:space="preserve">this cooperation, </w:t>
      </w:r>
      <w:r w:rsidRPr="001E60C7">
        <w:rPr>
          <w:rFonts w:asciiTheme="minorHAnsi" w:eastAsia="Times New Roman" w:hAnsiTheme="minorHAnsi" w:cs="Courier New"/>
          <w:color w:val="212121"/>
          <w:sz w:val="18"/>
          <w:szCs w:val="18"/>
          <w:lang w:val="en"/>
        </w:rPr>
        <w:t>202 teachers</w:t>
      </w:r>
      <w:r w:rsidRPr="001E60C7">
        <w:rPr>
          <w:rFonts w:asciiTheme="minorHAnsi" w:eastAsia="Times New Roman" w:hAnsiTheme="minorHAnsi" w:cs="Courier New" w:hint="eastAsia"/>
          <w:color w:val="212121"/>
          <w:sz w:val="18"/>
          <w:szCs w:val="18"/>
          <w:lang w:val="en"/>
        </w:rPr>
        <w:t xml:space="preserve"> from</w:t>
      </w:r>
      <w:r w:rsidRPr="001E60C7">
        <w:rPr>
          <w:rFonts w:asciiTheme="minorHAnsi" w:eastAsia="Times New Roman" w:hAnsiTheme="minorHAnsi" w:cs="Courier New"/>
          <w:color w:val="212121"/>
          <w:sz w:val="18"/>
          <w:szCs w:val="18"/>
          <w:lang w:val="en"/>
        </w:rPr>
        <w:t xml:space="preserve"> TQ</w:t>
      </w:r>
      <w:r w:rsidRPr="001E60C7">
        <w:rPr>
          <w:rFonts w:asciiTheme="minorHAnsi" w:eastAsia="Times New Roman" w:hAnsiTheme="minorHAnsi" w:cs="Courier New" w:hint="eastAsia"/>
          <w:color w:val="212121"/>
          <w:sz w:val="18"/>
          <w:szCs w:val="18"/>
          <w:lang w:val="en"/>
        </w:rPr>
        <w:t xml:space="preserve"> </w:t>
      </w:r>
      <w:r w:rsidRPr="001E60C7">
        <w:rPr>
          <w:rFonts w:asciiTheme="minorHAnsi" w:eastAsia="Times New Roman" w:hAnsiTheme="minorHAnsi" w:cs="Courier New"/>
          <w:color w:val="212121"/>
          <w:sz w:val="18"/>
          <w:szCs w:val="18"/>
          <w:lang w:val="en"/>
        </w:rPr>
        <w:t>have</w:t>
      </w:r>
      <w:r w:rsidRPr="001E60C7">
        <w:rPr>
          <w:rFonts w:asciiTheme="minorHAnsi" w:eastAsia="Times New Roman" w:hAnsiTheme="minorHAnsi" w:cs="Courier New" w:hint="eastAsia"/>
          <w:color w:val="212121"/>
          <w:sz w:val="18"/>
          <w:szCs w:val="18"/>
          <w:lang w:val="en"/>
        </w:rPr>
        <w:t xml:space="preserve"> delivered </w:t>
      </w:r>
      <w:r w:rsidRPr="001E60C7">
        <w:rPr>
          <w:rFonts w:asciiTheme="minorHAnsi" w:eastAsia="Times New Roman" w:hAnsiTheme="minorHAnsi" w:cs="Courier New"/>
          <w:color w:val="212121"/>
          <w:sz w:val="18"/>
          <w:szCs w:val="18"/>
          <w:lang w:val="en"/>
        </w:rPr>
        <w:t xml:space="preserve">teaching </w:t>
      </w:r>
      <w:r w:rsidRPr="001E60C7">
        <w:rPr>
          <w:rFonts w:asciiTheme="minorHAnsi" w:eastAsia="Times New Roman" w:hAnsiTheme="minorHAnsi" w:cs="Courier New" w:hint="eastAsia"/>
          <w:color w:val="212121"/>
          <w:sz w:val="18"/>
          <w:szCs w:val="18"/>
          <w:lang w:val="en"/>
        </w:rPr>
        <w:t>in Queensland College</w:t>
      </w:r>
      <w:r w:rsidRPr="001E60C7">
        <w:rPr>
          <w:rFonts w:asciiTheme="minorHAnsi" w:eastAsia="Times New Roman" w:hAnsiTheme="minorHAnsi" w:cs="Courier New"/>
          <w:color w:val="212121"/>
          <w:sz w:val="18"/>
          <w:szCs w:val="18"/>
          <w:lang w:val="en"/>
        </w:rPr>
        <w:t xml:space="preserve">, and 65 teachers from SSPU have been to Australia for </w:t>
      </w:r>
      <w:r w:rsidRPr="001E60C7">
        <w:rPr>
          <w:rFonts w:asciiTheme="minorHAnsi" w:eastAsia="Times New Roman" w:hAnsiTheme="minorHAnsi" w:cs="Courier New" w:hint="eastAsia"/>
          <w:color w:val="212121"/>
          <w:sz w:val="18"/>
          <w:szCs w:val="18"/>
          <w:lang w:val="en"/>
        </w:rPr>
        <w:t xml:space="preserve">teacher </w:t>
      </w:r>
      <w:r w:rsidRPr="001E60C7">
        <w:rPr>
          <w:rFonts w:asciiTheme="minorHAnsi" w:eastAsia="Times New Roman" w:hAnsiTheme="minorHAnsi" w:cs="Courier New"/>
          <w:color w:val="212121"/>
          <w:sz w:val="18"/>
          <w:szCs w:val="18"/>
          <w:lang w:val="en"/>
        </w:rPr>
        <w:t xml:space="preserve">training and further study. There have been Chinese 135 students who have travelled to Australia to </w:t>
      </w:r>
      <w:r w:rsidRPr="001E60C7">
        <w:rPr>
          <w:rFonts w:asciiTheme="minorHAnsi" w:eastAsia="Times New Roman" w:hAnsiTheme="minorHAnsi" w:cs="Courier New" w:hint="eastAsia"/>
          <w:color w:val="212121"/>
          <w:sz w:val="18"/>
          <w:szCs w:val="18"/>
          <w:lang w:val="en"/>
        </w:rPr>
        <w:t>continue their study.</w:t>
      </w:r>
    </w:p>
    <w:p w14:paraId="414B4FB4"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color w:val="212121"/>
          <w:sz w:val="18"/>
          <w:szCs w:val="18"/>
          <w:lang w:val="en"/>
        </w:rPr>
      </w:pPr>
      <w:r w:rsidRPr="001E60C7">
        <w:rPr>
          <w:rFonts w:asciiTheme="minorHAnsi" w:eastAsia="Times New Roman" w:hAnsiTheme="minorHAnsi" w:cs="Courier New"/>
          <w:color w:val="212121"/>
          <w:sz w:val="18"/>
          <w:szCs w:val="18"/>
          <w:lang w:val="en"/>
        </w:rPr>
        <w:t xml:space="preserve">While the program initially commenced in Brisbane, for a number of years Cairns has been the base of the SSPU students. In Cairns, they do a six-week program at TAFE, before starting six-week internships with local businesses. </w:t>
      </w:r>
    </w:p>
    <w:p w14:paraId="013D8590"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color w:val="212121"/>
          <w:sz w:val="18"/>
          <w:szCs w:val="18"/>
        </w:rPr>
      </w:pPr>
      <w:r w:rsidRPr="001E60C7">
        <w:rPr>
          <w:rFonts w:asciiTheme="minorHAnsi" w:eastAsia="Times New Roman" w:hAnsiTheme="minorHAnsi" w:cs="Courier New"/>
          <w:color w:val="212121"/>
          <w:sz w:val="18"/>
          <w:szCs w:val="18"/>
          <w:lang w:val="en"/>
        </w:rPr>
        <w:t>According to TQ North international business manager Mark McCarthy, the difference in environment is marked: ‘The SSPU students appreciate that their studies at TAFE and work experience in Cairns will be highlights that they can include in their portfolios when they return to China and seek employment with companies specialising in public relations and marketing to international businesses’.</w:t>
      </w:r>
    </w:p>
    <w:p w14:paraId="303986A8" w14:textId="77777777" w:rsidR="008E5815" w:rsidRPr="001E60C7" w:rsidRDefault="008E5815" w:rsidP="008E5815">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120"/>
        <w:rPr>
          <w:rFonts w:asciiTheme="minorHAnsi" w:eastAsia="Times New Roman" w:hAnsiTheme="minorHAnsi" w:cs="Courier New"/>
          <w:color w:val="212121"/>
          <w:sz w:val="18"/>
          <w:szCs w:val="18"/>
          <w:lang w:val="en"/>
        </w:rPr>
      </w:pPr>
      <w:r w:rsidRPr="001E60C7">
        <w:rPr>
          <w:rFonts w:asciiTheme="minorHAnsi" w:eastAsia="Times New Roman" w:hAnsiTheme="minorHAnsi" w:cs="Courier New"/>
          <w:color w:val="212121"/>
          <w:sz w:val="18"/>
          <w:szCs w:val="18"/>
          <w:lang w:val="en"/>
        </w:rPr>
        <w:t xml:space="preserve">Since its inception in September 2000, the dual diploma program across five discipline areas have benefited more than 3,000 graduates in China, who have now become contributors to China’s developing economy. </w:t>
      </w:r>
    </w:p>
    <w:p w14:paraId="119734D3" w14:textId="77777777" w:rsidR="008E5815" w:rsidRPr="001E60C7" w:rsidRDefault="008E5815" w:rsidP="00B66389">
      <w:pPr>
        <w:spacing w:after="160" w:line="259" w:lineRule="auto"/>
        <w:rPr>
          <w:rFonts w:cstheme="minorHAnsi"/>
          <w:b/>
          <w:bCs/>
          <w:color w:val="246EB9"/>
          <w:lang w:val="en"/>
        </w:rPr>
      </w:pPr>
    </w:p>
    <w:p w14:paraId="6C0FA736" w14:textId="6D8BCDB5" w:rsidR="00C74FA8" w:rsidRPr="001E60C7" w:rsidRDefault="00C74FA8" w:rsidP="00A8379A">
      <w:pPr>
        <w:spacing w:after="160" w:line="259" w:lineRule="auto"/>
        <w:rPr>
          <w:rFonts w:cstheme="minorHAnsi"/>
          <w:b/>
          <w:bCs/>
          <w:color w:val="246EB9"/>
        </w:rPr>
      </w:pPr>
      <w:r w:rsidRPr="001E60C7">
        <w:rPr>
          <w:rFonts w:cstheme="minorHAnsi"/>
          <w:b/>
          <w:bCs/>
          <w:color w:val="246EB9"/>
        </w:rPr>
        <w:t>Schools</w:t>
      </w:r>
    </w:p>
    <w:p w14:paraId="4AADE33B" w14:textId="42364DB8" w:rsidR="006D52A4" w:rsidRPr="001E60C7" w:rsidRDefault="00C87D33" w:rsidP="00026B03">
      <w:pPr>
        <w:spacing w:after="160" w:line="259" w:lineRule="auto"/>
        <w:rPr>
          <w:rFonts w:eastAsia="Calibri" w:cs="Times New Roman"/>
          <w:lang w:eastAsia="zh-CN"/>
        </w:rPr>
      </w:pPr>
      <w:r w:rsidRPr="001E60C7">
        <w:rPr>
          <w:rFonts w:eastAsia="Calibri" w:cs="Times New Roman"/>
          <w:lang w:eastAsia="zh-CN"/>
        </w:rPr>
        <w:lastRenderedPageBreak/>
        <w:t xml:space="preserve">China has the </w:t>
      </w:r>
      <w:r w:rsidR="00B7552F" w:rsidRPr="001E60C7">
        <w:rPr>
          <w:rFonts w:eastAsia="Calibri" w:cs="Times New Roman"/>
          <w:lang w:eastAsia="zh-CN"/>
        </w:rPr>
        <w:t>largest</w:t>
      </w:r>
      <w:r w:rsidRPr="001E60C7">
        <w:rPr>
          <w:rFonts w:eastAsia="Calibri" w:cs="Times New Roman"/>
          <w:lang w:eastAsia="zh-CN"/>
        </w:rPr>
        <w:t xml:space="preserve"> </w:t>
      </w:r>
      <w:r w:rsidR="00B7552F" w:rsidRPr="001E60C7">
        <w:rPr>
          <w:rFonts w:eastAsia="Calibri" w:cs="Times New Roman"/>
          <w:lang w:eastAsia="zh-CN"/>
        </w:rPr>
        <w:t xml:space="preserve">number of </w:t>
      </w:r>
      <w:r w:rsidRPr="001E60C7">
        <w:t>international</w:t>
      </w:r>
      <w:r w:rsidR="0050718B">
        <w:rPr>
          <w:rFonts w:eastAsia="Calibri" w:cs="Times New Roman"/>
          <w:lang w:eastAsia="zh-CN"/>
        </w:rPr>
        <w:t xml:space="preserve"> schools in the world</w:t>
      </w:r>
      <w:r w:rsidR="00716CD3">
        <w:rPr>
          <w:rFonts w:eastAsia="Calibri" w:cs="Times New Roman"/>
          <w:lang w:eastAsia="zh-CN"/>
        </w:rPr>
        <w:t>—</w:t>
      </w:r>
      <w:r w:rsidRPr="001E60C7">
        <w:rPr>
          <w:rFonts w:eastAsia="Calibri" w:cs="Times New Roman"/>
          <w:lang w:eastAsia="zh-CN"/>
        </w:rPr>
        <w:t>over 800</w:t>
      </w:r>
      <w:r w:rsidR="00716CD3">
        <w:rPr>
          <w:rFonts w:eastAsia="Calibri" w:cs="Times New Roman"/>
          <w:lang w:eastAsia="zh-CN"/>
        </w:rPr>
        <w:t>—</w:t>
      </w:r>
      <w:r w:rsidR="00DC38E2" w:rsidRPr="001E60C7">
        <w:rPr>
          <w:rFonts w:eastAsia="Calibri" w:cs="Times New Roman"/>
          <w:lang w:eastAsia="zh-CN"/>
        </w:rPr>
        <w:t>and there is an expectation of continued growth</w:t>
      </w:r>
      <w:r w:rsidRPr="001E60C7">
        <w:rPr>
          <w:rFonts w:eastAsia="Calibri" w:cs="Times New Roman"/>
          <w:lang w:eastAsia="zh-CN"/>
        </w:rPr>
        <w:t>.</w:t>
      </w:r>
      <w:r w:rsidR="00205532" w:rsidRPr="001E60C7">
        <w:rPr>
          <w:rStyle w:val="FootnoteReference"/>
          <w:rFonts w:eastAsia="Calibri" w:cs="Times New Roman"/>
          <w:lang w:eastAsia="zh-CN"/>
        </w:rPr>
        <w:footnoteReference w:id="24"/>
      </w:r>
      <w:r w:rsidRPr="001E60C7">
        <w:rPr>
          <w:rFonts w:eastAsia="Calibri" w:cs="Times New Roman"/>
          <w:lang w:eastAsia="zh-CN"/>
        </w:rPr>
        <w:t xml:space="preserve"> </w:t>
      </w:r>
      <w:r w:rsidR="00DC38E2" w:rsidRPr="001E60C7">
        <w:rPr>
          <w:rFonts w:eastAsia="Calibri" w:cs="Times New Roman"/>
          <w:lang w:eastAsia="zh-CN"/>
        </w:rPr>
        <w:t>As outlined in a report by NSW Government’s Education Standards Authority (</w:t>
      </w:r>
      <w:r w:rsidR="00FB23F4" w:rsidRPr="001E60C7">
        <w:rPr>
          <w:rFonts w:eastAsia="Calibri" w:cs="Times New Roman"/>
          <w:lang w:eastAsia="zh-CN"/>
        </w:rPr>
        <w:t>N</w:t>
      </w:r>
      <w:r w:rsidR="00DC38E2" w:rsidRPr="001E60C7">
        <w:rPr>
          <w:rFonts w:eastAsia="Calibri" w:cs="Times New Roman"/>
          <w:lang w:eastAsia="zh-CN"/>
        </w:rPr>
        <w:t xml:space="preserve">ESA) and Nous Group, </w:t>
      </w:r>
      <w:r w:rsidR="00DC38E2" w:rsidRPr="001E60C7">
        <w:t>t</w:t>
      </w:r>
      <w:r w:rsidRPr="001E60C7">
        <w:t>he</w:t>
      </w:r>
      <w:r w:rsidRPr="001E60C7">
        <w:rPr>
          <w:rFonts w:eastAsia="Calibri" w:cs="Times New Roman"/>
          <w:lang w:eastAsia="zh-CN"/>
        </w:rPr>
        <w:t xml:space="preserve"> delivery of Australian school education in China operates on several levels, including partnerships with Chinese government schools or private providers to deliver Year 12 certificate education.</w:t>
      </w:r>
      <w:r w:rsidR="00DC38E2" w:rsidRPr="001E60C7">
        <w:rPr>
          <w:rStyle w:val="FootnoteReference"/>
          <w:rFonts w:eastAsia="Calibri" w:cs="Times New Roman"/>
          <w:lang w:eastAsia="zh-CN"/>
        </w:rPr>
        <w:footnoteReference w:id="25"/>
      </w:r>
      <w:r w:rsidRPr="001E60C7">
        <w:rPr>
          <w:rFonts w:eastAsia="Calibri" w:cs="Times New Roman"/>
          <w:lang w:eastAsia="zh-CN"/>
        </w:rPr>
        <w:t xml:space="preserve"> </w:t>
      </w:r>
    </w:p>
    <w:p w14:paraId="2F8EC4D8" w14:textId="40335069" w:rsidR="00C87D33" w:rsidRPr="001E60C7" w:rsidRDefault="00C87D33" w:rsidP="00026B03">
      <w:pPr>
        <w:spacing w:after="160" w:line="259" w:lineRule="auto"/>
        <w:rPr>
          <w:rFonts w:eastAsia="Calibri" w:cs="Times New Roman"/>
          <w:lang w:eastAsia="zh-CN"/>
        </w:rPr>
      </w:pPr>
      <w:r w:rsidRPr="001E60C7">
        <w:rPr>
          <w:rFonts w:eastAsia="Calibri" w:cs="Times New Roman"/>
          <w:lang w:eastAsia="zh-CN"/>
        </w:rPr>
        <w:t xml:space="preserve">Australian school education </w:t>
      </w:r>
      <w:r w:rsidR="00DC38E2" w:rsidRPr="001E60C7">
        <w:rPr>
          <w:rFonts w:eastAsia="Calibri" w:cs="Times New Roman"/>
          <w:lang w:eastAsia="zh-CN"/>
        </w:rPr>
        <w:t xml:space="preserve">has a </w:t>
      </w:r>
      <w:r w:rsidR="00B35482" w:rsidRPr="001E60C7">
        <w:rPr>
          <w:rFonts w:eastAsia="Calibri" w:cs="Times New Roman"/>
          <w:lang w:eastAsia="zh-CN"/>
        </w:rPr>
        <w:t xml:space="preserve">growing </w:t>
      </w:r>
      <w:r w:rsidR="00CC1E96" w:rsidRPr="001E60C7">
        <w:rPr>
          <w:rFonts w:eastAsia="Calibri" w:cs="Times New Roman"/>
          <w:lang w:eastAsia="zh-CN"/>
        </w:rPr>
        <w:t>presence</w:t>
      </w:r>
      <w:r w:rsidR="006D52A4" w:rsidRPr="001E60C7">
        <w:rPr>
          <w:rFonts w:eastAsia="Calibri" w:cs="Times New Roman"/>
          <w:lang w:eastAsia="zh-CN"/>
        </w:rPr>
        <w:t xml:space="preserve"> in China</w:t>
      </w:r>
      <w:r w:rsidR="00CC1E96" w:rsidRPr="001E60C7">
        <w:rPr>
          <w:rFonts w:eastAsia="Calibri" w:cs="Times New Roman"/>
          <w:lang w:eastAsia="zh-CN"/>
        </w:rPr>
        <w:t>, including a range</w:t>
      </w:r>
      <w:r w:rsidR="00DC38E2" w:rsidRPr="001E60C7">
        <w:rPr>
          <w:rFonts w:eastAsia="Calibri" w:cs="Times New Roman"/>
          <w:lang w:eastAsia="zh-CN"/>
        </w:rPr>
        <w:t xml:space="preserve"> </w:t>
      </w:r>
      <w:r w:rsidRPr="001E60C7">
        <w:rPr>
          <w:rFonts w:eastAsia="Calibri" w:cs="Times New Roman"/>
          <w:lang w:eastAsia="zh-CN"/>
        </w:rPr>
        <w:t>of</w:t>
      </w:r>
      <w:r w:rsidR="006D52A4" w:rsidRPr="001E60C7">
        <w:rPr>
          <w:rFonts w:eastAsia="Calibri" w:cs="Times New Roman"/>
          <w:lang w:eastAsia="zh-CN"/>
        </w:rPr>
        <w:t xml:space="preserve"> state and territory engagement. For example:</w:t>
      </w:r>
      <w:r w:rsidRPr="001E60C7">
        <w:rPr>
          <w:rFonts w:eastAsia="Calibri" w:cs="Times New Roman"/>
          <w:lang w:eastAsia="zh-CN"/>
        </w:rPr>
        <w:t xml:space="preserve"> </w:t>
      </w:r>
    </w:p>
    <w:p w14:paraId="1322609F" w14:textId="2D9389A6" w:rsidR="00C87D33" w:rsidRPr="001E60C7" w:rsidRDefault="00C87D33" w:rsidP="00D5191F">
      <w:pPr>
        <w:numPr>
          <w:ilvl w:val="0"/>
          <w:numId w:val="8"/>
        </w:numPr>
        <w:spacing w:after="200" w:line="275" w:lineRule="auto"/>
        <w:contextualSpacing/>
        <w:jc w:val="left"/>
        <w:rPr>
          <w:rFonts w:eastAsia="Calibri" w:cs="Times New Roman"/>
          <w:lang w:eastAsia="zh-CN"/>
        </w:rPr>
      </w:pPr>
      <w:r w:rsidRPr="001E60C7">
        <w:rPr>
          <w:rFonts w:eastAsia="Calibri" w:cs="Times New Roman"/>
          <w:lang w:eastAsia="zh-CN"/>
        </w:rPr>
        <w:t>Victoria is the largest Australian provider</w:t>
      </w:r>
      <w:r w:rsidR="00FB23F4" w:rsidRPr="001E60C7">
        <w:rPr>
          <w:rFonts w:eastAsia="Calibri" w:cs="Times New Roman"/>
          <w:lang w:eastAsia="zh-CN"/>
        </w:rPr>
        <w:t xml:space="preserve"> of secondary school</w:t>
      </w:r>
      <w:r w:rsidRPr="001E60C7">
        <w:rPr>
          <w:rFonts w:eastAsia="Calibri" w:cs="Times New Roman"/>
          <w:lang w:eastAsia="zh-CN"/>
        </w:rPr>
        <w:t xml:space="preserve"> </w:t>
      </w:r>
      <w:r w:rsidR="00FB23F4" w:rsidRPr="001E60C7">
        <w:rPr>
          <w:rFonts w:eastAsia="Calibri" w:cs="Times New Roman"/>
          <w:lang w:eastAsia="zh-CN"/>
        </w:rPr>
        <w:t xml:space="preserve">education </w:t>
      </w:r>
      <w:r w:rsidRPr="001E60C7">
        <w:rPr>
          <w:rFonts w:eastAsia="Calibri" w:cs="Times New Roman"/>
          <w:lang w:eastAsia="zh-CN"/>
        </w:rPr>
        <w:t>involved in offshore delivery</w:t>
      </w:r>
      <w:r w:rsidR="00C03968" w:rsidRPr="001E60C7">
        <w:rPr>
          <w:rFonts w:eastAsia="Calibri" w:cs="Times New Roman"/>
          <w:lang w:eastAsia="zh-CN"/>
        </w:rPr>
        <w:t>,</w:t>
      </w:r>
      <w:r w:rsidRPr="001E60C7">
        <w:rPr>
          <w:rFonts w:eastAsia="Calibri" w:cs="Times New Roman"/>
          <w:lang w:eastAsia="zh-CN"/>
        </w:rPr>
        <w:t xml:space="preserve"> with </w:t>
      </w:r>
      <w:r w:rsidR="00FB23F4" w:rsidRPr="001E60C7">
        <w:rPr>
          <w:rFonts w:eastAsia="Calibri" w:cs="Times New Roman"/>
          <w:lang w:eastAsia="zh-CN"/>
        </w:rPr>
        <w:t>9</w:t>
      </w:r>
      <w:r w:rsidRPr="001E60C7">
        <w:rPr>
          <w:rFonts w:eastAsia="Calibri" w:cs="Times New Roman"/>
          <w:lang w:eastAsia="zh-CN"/>
        </w:rPr>
        <w:t xml:space="preserve"> Victorian schools delive</w:t>
      </w:r>
      <w:r w:rsidR="00C03968" w:rsidRPr="001E60C7">
        <w:rPr>
          <w:rFonts w:eastAsia="Calibri" w:cs="Times New Roman"/>
          <w:lang w:eastAsia="zh-CN"/>
        </w:rPr>
        <w:t>ring 27 VCE programs in China,</w:t>
      </w:r>
      <w:r w:rsidR="00DC38E2" w:rsidRPr="001E60C7">
        <w:rPr>
          <w:rStyle w:val="FootnoteReference"/>
          <w:rFonts w:eastAsia="Calibri" w:cs="Times New Roman"/>
          <w:lang w:eastAsia="zh-CN"/>
        </w:rPr>
        <w:footnoteReference w:id="26"/>
      </w:r>
      <w:r w:rsidRPr="001E60C7">
        <w:rPr>
          <w:rFonts w:eastAsia="Calibri" w:cs="Times New Roman"/>
          <w:lang w:eastAsia="zh-CN"/>
        </w:rPr>
        <w:t xml:space="preserve">  </w:t>
      </w:r>
    </w:p>
    <w:p w14:paraId="28E1788C" w14:textId="4DFC6C14" w:rsidR="00C87D33" w:rsidRPr="001E60C7" w:rsidRDefault="00C87D33" w:rsidP="00D5191F">
      <w:pPr>
        <w:numPr>
          <w:ilvl w:val="0"/>
          <w:numId w:val="8"/>
        </w:numPr>
        <w:spacing w:after="200" w:line="275" w:lineRule="auto"/>
        <w:contextualSpacing/>
        <w:jc w:val="left"/>
        <w:rPr>
          <w:rFonts w:eastAsia="Calibri" w:cs="Times New Roman"/>
          <w:lang w:eastAsia="zh-CN"/>
        </w:rPr>
      </w:pPr>
      <w:r w:rsidRPr="001E60C7">
        <w:rPr>
          <w:rFonts w:eastAsia="Calibri" w:cs="Times New Roman"/>
          <w:lang w:eastAsia="zh-CN"/>
        </w:rPr>
        <w:t>South Australian delivery of the South Australian Certificate of Education (SACE) represents the second largest program, with seven partnerships delivering the SACE Internati</w:t>
      </w:r>
      <w:r w:rsidR="00DC38E2" w:rsidRPr="001E60C7">
        <w:rPr>
          <w:rFonts w:eastAsia="Calibri" w:cs="Times New Roman"/>
          <w:lang w:eastAsia="zh-CN"/>
        </w:rPr>
        <w:t xml:space="preserve">onal. Both the VCE and SACE are </w:t>
      </w:r>
      <w:r w:rsidR="00A04FB8" w:rsidRPr="001E60C7">
        <w:rPr>
          <w:rFonts w:eastAsia="Calibri" w:cs="Times New Roman"/>
          <w:lang w:eastAsia="zh-CN"/>
        </w:rPr>
        <w:t>offered in a northern h</w:t>
      </w:r>
      <w:r w:rsidRPr="001E60C7">
        <w:rPr>
          <w:rFonts w:eastAsia="Calibri" w:cs="Times New Roman"/>
          <w:lang w:eastAsia="zh-CN"/>
        </w:rPr>
        <w:t xml:space="preserve">emisphere timetable </w:t>
      </w:r>
      <w:r w:rsidR="002E04FA" w:rsidRPr="001E60C7">
        <w:rPr>
          <w:rFonts w:eastAsia="Calibri" w:cs="Times New Roman"/>
          <w:lang w:eastAsia="zh-CN"/>
        </w:rPr>
        <w:t>model to suit Chinese schooling,</w:t>
      </w:r>
    </w:p>
    <w:p w14:paraId="6CDA62F5" w14:textId="776C4E55" w:rsidR="00C87D33" w:rsidRPr="001E60C7" w:rsidRDefault="00C87D33" w:rsidP="00D5191F">
      <w:pPr>
        <w:numPr>
          <w:ilvl w:val="0"/>
          <w:numId w:val="8"/>
        </w:numPr>
        <w:spacing w:after="200" w:line="275" w:lineRule="auto"/>
        <w:contextualSpacing/>
        <w:jc w:val="left"/>
        <w:rPr>
          <w:rFonts w:eastAsia="Calibri" w:cs="Times New Roman"/>
          <w:lang w:eastAsia="zh-CN"/>
        </w:rPr>
      </w:pPr>
      <w:r w:rsidRPr="001E60C7">
        <w:rPr>
          <w:rFonts w:eastAsia="Calibri" w:cs="Times New Roman"/>
          <w:lang w:eastAsia="zh-CN"/>
        </w:rPr>
        <w:t>The Western Australian Certificate of Education (WA</w:t>
      </w:r>
      <w:r w:rsidR="002E04FA" w:rsidRPr="001E60C7">
        <w:rPr>
          <w:rFonts w:eastAsia="Calibri" w:cs="Times New Roman"/>
          <w:lang w:eastAsia="zh-CN"/>
        </w:rPr>
        <w:t>CE) has three programs in China,</w:t>
      </w:r>
      <w:r w:rsidR="00CC1E96" w:rsidRPr="001E60C7">
        <w:rPr>
          <w:rFonts w:eastAsia="Calibri" w:cs="Times New Roman"/>
          <w:lang w:eastAsia="zh-CN"/>
        </w:rPr>
        <w:t xml:space="preserve"> and</w:t>
      </w:r>
      <w:r w:rsidRPr="001E60C7">
        <w:rPr>
          <w:rFonts w:eastAsia="Calibri" w:cs="Times New Roman"/>
          <w:lang w:eastAsia="zh-CN"/>
        </w:rPr>
        <w:t xml:space="preserve"> </w:t>
      </w:r>
    </w:p>
    <w:p w14:paraId="11133184" w14:textId="77777777" w:rsidR="000B5400" w:rsidRPr="001E60C7" w:rsidRDefault="00C87D33" w:rsidP="00D5191F">
      <w:pPr>
        <w:numPr>
          <w:ilvl w:val="0"/>
          <w:numId w:val="8"/>
        </w:numPr>
        <w:spacing w:after="200" w:line="275" w:lineRule="auto"/>
        <w:contextualSpacing/>
        <w:jc w:val="left"/>
        <w:rPr>
          <w:rFonts w:eastAsia="Calibri" w:cs="Times New Roman"/>
          <w:lang w:eastAsia="zh-CN"/>
        </w:rPr>
      </w:pPr>
      <w:r w:rsidRPr="001E60C7">
        <w:rPr>
          <w:rFonts w:eastAsia="Calibri" w:cs="Times New Roman"/>
          <w:lang w:eastAsia="zh-CN"/>
        </w:rPr>
        <w:t>The Australian Capital Territory’s Education Certificate is delivered in one program in Shanghai.</w:t>
      </w:r>
    </w:p>
    <w:p w14:paraId="285F46A2" w14:textId="77777777" w:rsidR="000B5400" w:rsidRPr="001E60C7" w:rsidRDefault="000B5400" w:rsidP="000B5400">
      <w:pPr>
        <w:spacing w:after="200" w:line="275" w:lineRule="auto"/>
        <w:ind w:left="360"/>
        <w:contextualSpacing/>
        <w:rPr>
          <w:rFonts w:eastAsia="Calibri" w:cs="Times New Roman"/>
          <w:lang w:eastAsia="zh-CN"/>
        </w:rPr>
      </w:pPr>
    </w:p>
    <w:p w14:paraId="39CA75D4" w14:textId="4F2DC81C" w:rsidR="00CC1E96" w:rsidRPr="001E60C7" w:rsidRDefault="00C87D33" w:rsidP="00CC1E96">
      <w:pPr>
        <w:spacing w:after="160" w:line="259" w:lineRule="auto"/>
        <w:rPr>
          <w:rFonts w:eastAsia="Calibri" w:cs="Times New Roman"/>
          <w:lang w:eastAsia="zh-CN"/>
        </w:rPr>
      </w:pPr>
      <w:r w:rsidRPr="001E60C7">
        <w:rPr>
          <w:rFonts w:eastAsia="Calibri" w:cs="Times New Roman"/>
          <w:lang w:eastAsia="zh-CN"/>
        </w:rPr>
        <w:t xml:space="preserve">There are key market opportunities in China that offer particularly strong potential for Australian school agencies and providers seeking to export school curriculum, assessment and regulatory products. </w:t>
      </w:r>
    </w:p>
    <w:p w14:paraId="15CFD45C" w14:textId="77777777" w:rsidR="00373F1E" w:rsidRPr="001E60C7" w:rsidRDefault="00CC1E96" w:rsidP="00C74F38">
      <w:pPr>
        <w:suppressAutoHyphens/>
        <w:autoSpaceDE w:val="0"/>
        <w:autoSpaceDN w:val="0"/>
        <w:adjustRightInd w:val="0"/>
        <w:spacing w:after="120" w:line="288" w:lineRule="auto"/>
        <w:textAlignment w:val="center"/>
        <w:rPr>
          <w:rFonts w:cstheme="minorHAnsi"/>
          <w:b/>
          <w:bCs/>
          <w:color w:val="246EB9"/>
        </w:rPr>
      </w:pPr>
      <w:r w:rsidRPr="001E60C7">
        <w:rPr>
          <w:rFonts w:cstheme="minorHAnsi"/>
          <w:b/>
          <w:bCs/>
          <w:color w:val="246EB9"/>
        </w:rPr>
        <w:t>English Language Intensive Courses for Overseas Students</w:t>
      </w:r>
    </w:p>
    <w:p w14:paraId="1C2210E2" w14:textId="4C13015F" w:rsidR="00287EAE" w:rsidRPr="001E60C7" w:rsidRDefault="0084732F" w:rsidP="00D54079">
      <w:pPr>
        <w:suppressAutoHyphens/>
        <w:autoSpaceDE w:val="0"/>
        <w:autoSpaceDN w:val="0"/>
        <w:adjustRightInd w:val="0"/>
        <w:spacing w:after="120" w:line="288" w:lineRule="auto"/>
        <w:textAlignment w:val="center"/>
      </w:pPr>
      <w:r w:rsidRPr="001E60C7">
        <w:rPr>
          <w:rFonts w:eastAsia="Calibri" w:cs="Times New Roman"/>
          <w:lang w:eastAsia="zh-CN"/>
        </w:rPr>
        <w:t>In 2018, ELICOS experienced 5 per cent growth in onshore en</w:t>
      </w:r>
      <w:r w:rsidR="00BB5375" w:rsidRPr="001E60C7">
        <w:rPr>
          <w:rFonts w:eastAsia="Calibri" w:cs="Times New Roman"/>
          <w:lang w:eastAsia="zh-CN"/>
        </w:rPr>
        <w:t>rolments from China (to 47,716)</w:t>
      </w:r>
      <w:r w:rsidRPr="001E60C7">
        <w:rPr>
          <w:rFonts w:eastAsia="Calibri" w:cs="Times New Roman"/>
          <w:lang w:eastAsia="zh-CN"/>
        </w:rPr>
        <w:t xml:space="preserve">. Almost 145,000 Chinese students pursued an English language course in one of </w:t>
      </w:r>
      <w:r w:rsidR="00351559" w:rsidRPr="001E60C7">
        <w:rPr>
          <w:rFonts w:eastAsia="Calibri" w:cs="Times New Roman"/>
          <w:lang w:eastAsia="zh-CN"/>
        </w:rPr>
        <w:t>eight</w:t>
      </w:r>
      <w:r w:rsidRPr="001E60C7">
        <w:rPr>
          <w:rFonts w:eastAsia="Calibri" w:cs="Times New Roman"/>
          <w:lang w:eastAsia="zh-CN"/>
        </w:rPr>
        <w:t xml:space="preserve"> major English </w:t>
      </w:r>
      <w:r w:rsidRPr="001E60C7">
        <w:rPr>
          <w:rFonts w:eastAsia="Calibri" w:cs="Times New Roman"/>
          <w:lang w:eastAsia="zh-CN"/>
        </w:rPr>
        <w:lastRenderedPageBreak/>
        <w:t xml:space="preserve">Language Teaching (ELT) destinations, and in </w:t>
      </w:r>
      <w:r w:rsidR="00BB5375" w:rsidRPr="001E60C7">
        <w:rPr>
          <w:rFonts w:eastAsia="Calibri" w:cs="Times New Roman"/>
          <w:lang w:eastAsia="zh-CN"/>
        </w:rPr>
        <w:t>2018,</w:t>
      </w:r>
      <w:r w:rsidRPr="001E60C7">
        <w:rPr>
          <w:rFonts w:eastAsia="Calibri" w:cs="Times New Roman"/>
          <w:lang w:eastAsia="zh-CN"/>
        </w:rPr>
        <w:t xml:space="preserve"> Australia had the second highest number of student weeks</w:t>
      </w:r>
      <w:r w:rsidR="00BB5375" w:rsidRPr="001E60C7">
        <w:rPr>
          <w:rFonts w:eastAsia="Calibri" w:cs="Times New Roman"/>
          <w:lang w:eastAsia="zh-CN"/>
        </w:rPr>
        <w:t xml:space="preserve"> in ELICOS from these students</w:t>
      </w:r>
      <w:r w:rsidR="00287EAE" w:rsidRPr="001E60C7">
        <w:t>.</w:t>
      </w:r>
      <w:r w:rsidR="003E4E5D" w:rsidRPr="001E60C7">
        <w:rPr>
          <w:rStyle w:val="FootnoteReference"/>
        </w:rPr>
        <w:footnoteReference w:id="27"/>
      </w:r>
    </w:p>
    <w:p w14:paraId="70380374" w14:textId="6943DF74" w:rsidR="007701CC" w:rsidRPr="001E60C7" w:rsidRDefault="00005655" w:rsidP="007701CC">
      <w:pPr>
        <w:spacing w:after="160" w:line="259" w:lineRule="auto"/>
      </w:pPr>
      <w:r w:rsidRPr="001E60C7">
        <w:t>Parallel to t</w:t>
      </w:r>
      <w:r w:rsidR="00BB5375" w:rsidRPr="001E60C7">
        <w:t xml:space="preserve">he </w:t>
      </w:r>
      <w:r w:rsidR="0084732F" w:rsidRPr="001E60C7">
        <w:t xml:space="preserve">growth in onshore ELICOS enrolments </w:t>
      </w:r>
      <w:r w:rsidR="008816B6" w:rsidRPr="001E60C7">
        <w:t>is</w:t>
      </w:r>
      <w:r w:rsidR="00BB5375" w:rsidRPr="001E60C7">
        <w:t xml:space="preserve"> </w:t>
      </w:r>
      <w:r w:rsidR="0084732F" w:rsidRPr="001E60C7">
        <w:t xml:space="preserve">the growth in </w:t>
      </w:r>
      <w:r w:rsidRPr="001E60C7">
        <w:t xml:space="preserve">competitor </w:t>
      </w:r>
      <w:r w:rsidR="0084732F" w:rsidRPr="001E60C7">
        <w:t>bilingual schools and foundation course offerings in China. Students undertaking such courses are less likely to require enrolment in ELICOS programs prior to commencing their university or higher education studies in Australia. In addition, Chinese students generally prefer to opt for traditional, in-country and in-classroom tuition. In-country delivery has developed over the past decade to offer a competitive and convenient choice</w:t>
      </w:r>
      <w:r w:rsidR="00C87D33" w:rsidRPr="001E60C7">
        <w:t xml:space="preserve">. </w:t>
      </w:r>
    </w:p>
    <w:p w14:paraId="5CA2DA46" w14:textId="3BC14CCB" w:rsidR="00C74FA8" w:rsidRPr="001E60C7" w:rsidRDefault="0084732F" w:rsidP="0084732F">
      <w:r w:rsidRPr="001E60C7">
        <w:t xml:space="preserve">Online learning of English has also been steadily growing in China, despite the fact that it does not deliver formal qualifications. According to a recent report by English Australia, </w:t>
      </w:r>
      <w:r w:rsidR="0023795A" w:rsidRPr="001E60C7">
        <w:t>in 2017 approximately 25.8 million Chinese had learned English online</w:t>
      </w:r>
      <w:r w:rsidRPr="001E60C7">
        <w:t>, with the market growing at an average annual rate of 20 per cent in the last decade</w:t>
      </w:r>
      <w:r w:rsidR="00C74FA8" w:rsidRPr="001E60C7">
        <w:t>.</w:t>
      </w:r>
      <w:r w:rsidR="00F45713" w:rsidRPr="001E60C7">
        <w:rPr>
          <w:rStyle w:val="FootnoteReference"/>
        </w:rPr>
        <w:footnoteReference w:id="28"/>
      </w:r>
    </w:p>
    <w:p w14:paraId="1E14D978" w14:textId="04E4BCF1" w:rsidR="00B53F0D" w:rsidRPr="001E60C7" w:rsidRDefault="00FF2513" w:rsidP="00632859">
      <w:pPr>
        <w:pStyle w:val="BasicParagraph"/>
        <w:numPr>
          <w:ilvl w:val="1"/>
          <w:numId w:val="2"/>
        </w:numPr>
        <w:spacing w:before="240" w:after="160"/>
        <w:textAlignment w:val="center"/>
        <w:rPr>
          <w:rFonts w:asciiTheme="minorHAnsi" w:hAnsiTheme="minorHAnsi" w:cstheme="minorHAnsi"/>
          <w:b/>
          <w:bCs/>
          <w:color w:val="246EB9"/>
          <w:sz w:val="32"/>
          <w:szCs w:val="32"/>
          <w:lang w:val="en-AU"/>
        </w:rPr>
      </w:pPr>
      <w:r w:rsidRPr="001E60C7">
        <w:rPr>
          <w:rFonts w:asciiTheme="minorHAnsi" w:hAnsiTheme="minorHAnsi" w:cstheme="minorHAnsi"/>
          <w:b/>
          <w:bCs/>
          <w:color w:val="246EB9"/>
          <w:sz w:val="32"/>
          <w:szCs w:val="32"/>
          <w:lang w:val="en-AU"/>
        </w:rPr>
        <w:t xml:space="preserve">Research </w:t>
      </w:r>
      <w:r w:rsidR="00CD6F6E" w:rsidRPr="001E60C7">
        <w:rPr>
          <w:rFonts w:asciiTheme="minorHAnsi" w:hAnsiTheme="minorHAnsi" w:cstheme="minorHAnsi"/>
          <w:b/>
          <w:bCs/>
          <w:color w:val="246EB9"/>
          <w:sz w:val="32"/>
          <w:szCs w:val="32"/>
          <w:lang w:val="en-AU"/>
        </w:rPr>
        <w:t>e</w:t>
      </w:r>
      <w:r w:rsidR="00FD1C4D" w:rsidRPr="001E60C7">
        <w:rPr>
          <w:rFonts w:asciiTheme="minorHAnsi" w:hAnsiTheme="minorHAnsi" w:cstheme="minorHAnsi"/>
          <w:b/>
          <w:bCs/>
          <w:color w:val="246EB9"/>
          <w:sz w:val="32"/>
          <w:szCs w:val="32"/>
          <w:lang w:val="en-AU"/>
        </w:rPr>
        <w:t>ngagement</w:t>
      </w:r>
      <w:r w:rsidR="00B53F0D" w:rsidRPr="001E60C7">
        <w:rPr>
          <w:rFonts w:asciiTheme="minorHAnsi" w:hAnsiTheme="minorHAnsi" w:cstheme="minorHAnsi"/>
          <w:b/>
          <w:bCs/>
          <w:color w:val="246EB9"/>
          <w:sz w:val="32"/>
          <w:szCs w:val="32"/>
          <w:lang w:val="en-AU"/>
        </w:rPr>
        <w:t xml:space="preserve"> with China</w:t>
      </w:r>
    </w:p>
    <w:p w14:paraId="7D4B6576" w14:textId="1B96DD73" w:rsidR="00FF188B" w:rsidRPr="001E60C7" w:rsidRDefault="004401C2" w:rsidP="00FF188B">
      <w:pPr>
        <w:spacing w:after="160" w:line="259" w:lineRule="auto"/>
      </w:pPr>
      <w:r w:rsidRPr="001E60C7">
        <w:t>China has been Australia’s key partner in research collaboration</w:t>
      </w:r>
      <w:r w:rsidR="001B6BCD" w:rsidRPr="001E60C7">
        <w:t xml:space="preserve"> in many areas of advanced technological development, innovation and commercialisation. Collaboration </w:t>
      </w:r>
      <w:r w:rsidR="007A21E9" w:rsidRPr="001E60C7">
        <w:t>occurs through</w:t>
      </w:r>
      <w:r w:rsidR="001B6BCD" w:rsidRPr="001E60C7">
        <w:t xml:space="preserve"> many forms including through indiv</w:t>
      </w:r>
      <w:r w:rsidR="00C03968" w:rsidRPr="001E60C7">
        <w:t>idual researchers, universities</w:t>
      </w:r>
      <w:r w:rsidR="0023795A" w:rsidRPr="001E60C7">
        <w:t>,</w:t>
      </w:r>
      <w:r w:rsidR="001B6BCD" w:rsidRPr="001E60C7">
        <w:t xml:space="preserve"> and industry and government research organisations. </w:t>
      </w:r>
    </w:p>
    <w:p w14:paraId="59ED2C97" w14:textId="7C0AFA83" w:rsidR="007A21E9" w:rsidRPr="001E60C7" w:rsidRDefault="00FF188B" w:rsidP="007A21E9">
      <w:pPr>
        <w:spacing w:after="160" w:line="259" w:lineRule="auto"/>
      </w:pPr>
      <w:r w:rsidRPr="001E60C7">
        <w:t xml:space="preserve">Research output is a key driver of international university rankings, which is an important component of Australian institutions’ attractiveness to potential international students and researchers. </w:t>
      </w:r>
      <w:r w:rsidR="007A21E9" w:rsidRPr="001E60C7">
        <w:rPr>
          <w:bCs/>
        </w:rPr>
        <w:t>Australian universities</w:t>
      </w:r>
      <w:r w:rsidR="007A21E9" w:rsidRPr="001E60C7">
        <w:t xml:space="preserve"> are ranked among the world’s best, </w:t>
      </w:r>
      <w:r w:rsidR="007A21E9" w:rsidRPr="001E60C7">
        <w:rPr>
          <w:bCs/>
        </w:rPr>
        <w:t xml:space="preserve">which </w:t>
      </w:r>
      <w:r w:rsidR="007A21E9" w:rsidRPr="001E60C7">
        <w:t xml:space="preserve">attracts high quality international PhD students, including those from China. </w:t>
      </w:r>
      <w:r w:rsidR="00EF4F37" w:rsidRPr="001E60C7">
        <w:t xml:space="preserve">This flow of </w:t>
      </w:r>
      <w:r w:rsidR="00A24843" w:rsidRPr="001E60C7">
        <w:t xml:space="preserve">Chinese </w:t>
      </w:r>
      <w:r w:rsidR="00EF4F37" w:rsidRPr="001E60C7">
        <w:t xml:space="preserve">postgraduates, as outlined earlier, increases </w:t>
      </w:r>
      <w:r w:rsidR="00A24843" w:rsidRPr="001E60C7">
        <w:t xml:space="preserve">Australia-China </w:t>
      </w:r>
      <w:r w:rsidR="00EF4F37" w:rsidRPr="001E60C7">
        <w:t>research collaboration and</w:t>
      </w:r>
      <w:r w:rsidR="00A24843" w:rsidRPr="001E60C7">
        <w:t xml:space="preserve"> taps into global Chinese academic networks</w:t>
      </w:r>
      <w:r w:rsidR="00EF4F37" w:rsidRPr="001E60C7">
        <w:t>.</w:t>
      </w:r>
    </w:p>
    <w:p w14:paraId="3F4634AD" w14:textId="53E476E8" w:rsidR="007A21E9" w:rsidRPr="001E60C7" w:rsidRDefault="007A21E9" w:rsidP="007A21E9">
      <w:pPr>
        <w:spacing w:after="160" w:line="259" w:lineRule="auto"/>
      </w:pPr>
      <w:r w:rsidRPr="001E60C7">
        <w:lastRenderedPageBreak/>
        <w:t xml:space="preserve">It is difficult to overstate the depth and speed of research engagement between Australian universities and their counterparts in China. This has skyrocketed from minimal engagement </w:t>
      </w:r>
      <w:r w:rsidR="00B7552F" w:rsidRPr="001E60C7">
        <w:t>20 </w:t>
      </w:r>
      <w:r w:rsidRPr="001E60C7">
        <w:t>years</w:t>
      </w:r>
      <w:r w:rsidR="00E953C0" w:rsidRPr="001E60C7">
        <w:t xml:space="preserve"> </w:t>
      </w:r>
      <w:r w:rsidR="00B7552F" w:rsidRPr="001E60C7">
        <w:t xml:space="preserve">ago </w:t>
      </w:r>
      <w:r w:rsidR="00E953C0" w:rsidRPr="001E60C7">
        <w:t>to</w:t>
      </w:r>
      <w:r w:rsidRPr="001E60C7">
        <w:t xml:space="preserve">, as </w:t>
      </w:r>
      <w:r w:rsidR="00C03968" w:rsidRPr="001E60C7">
        <w:t>shown in</w:t>
      </w:r>
      <w:r w:rsidR="00E953C0" w:rsidRPr="001E60C7">
        <w:t xml:space="preserve"> Table 2</w:t>
      </w:r>
      <w:r w:rsidR="0030543C" w:rsidRPr="001E60C7">
        <w:t>,</w:t>
      </w:r>
      <w:r w:rsidR="00E953C0" w:rsidRPr="001E60C7">
        <w:t xml:space="preserve"> China</w:t>
      </w:r>
      <w:r w:rsidRPr="001E60C7">
        <w:t xml:space="preserve"> </w:t>
      </w:r>
      <w:r w:rsidR="0023795A" w:rsidRPr="001E60C7">
        <w:t>becoming</w:t>
      </w:r>
      <w:r w:rsidR="00B7552F" w:rsidRPr="001E60C7">
        <w:t xml:space="preserve"> </w:t>
      </w:r>
      <w:r w:rsidRPr="001E60C7">
        <w:t>our second most important research partner b</w:t>
      </w:r>
      <w:r w:rsidR="00E953C0" w:rsidRPr="001E60C7">
        <w:t>ehind the US. Moreover,</w:t>
      </w:r>
      <w:r w:rsidRPr="001E60C7">
        <w:t xml:space="preserve"> </w:t>
      </w:r>
      <w:r w:rsidRPr="001E60C7">
        <w:rPr>
          <w:lang w:eastAsia="zh-TW"/>
        </w:rPr>
        <w:t xml:space="preserve">Australia is China’s third </w:t>
      </w:r>
      <w:r w:rsidR="00B7552F" w:rsidRPr="001E60C7">
        <w:rPr>
          <w:lang w:eastAsia="zh-TW"/>
        </w:rPr>
        <w:t>largest partner in research collaboration</w:t>
      </w:r>
      <w:r w:rsidR="0050718B">
        <w:rPr>
          <w:lang w:eastAsia="zh-TW"/>
        </w:rPr>
        <w:t xml:space="preserve"> between 2016–</w:t>
      </w:r>
      <w:r w:rsidR="00E953C0" w:rsidRPr="001E60C7">
        <w:rPr>
          <w:lang w:eastAsia="zh-TW"/>
        </w:rPr>
        <w:t xml:space="preserve">2018, </w:t>
      </w:r>
      <w:r w:rsidRPr="001E60C7">
        <w:t>measured in terms of num</w:t>
      </w:r>
      <w:r w:rsidR="00E953C0" w:rsidRPr="001E60C7">
        <w:t>ber of co-authored publications</w:t>
      </w:r>
      <w:r w:rsidRPr="001E60C7">
        <w:t xml:space="preserve">. </w:t>
      </w:r>
    </w:p>
    <w:p w14:paraId="15FC5155" w14:textId="5DF2103E" w:rsidR="001B6BCD" w:rsidRPr="001E60C7" w:rsidRDefault="001B6BCD" w:rsidP="001B6BCD">
      <w:pPr>
        <w:spacing w:line="259" w:lineRule="auto"/>
        <w:rPr>
          <w:b/>
          <w:lang w:val="en"/>
        </w:rPr>
      </w:pPr>
      <w:r w:rsidRPr="001E60C7">
        <w:rPr>
          <w:b/>
          <w:lang w:val="en"/>
        </w:rPr>
        <w:t>Table 2 –</w:t>
      </w:r>
      <w:r w:rsidR="00CF18E3" w:rsidRPr="001E60C7">
        <w:rPr>
          <w:b/>
          <w:lang w:val="en"/>
        </w:rPr>
        <w:t xml:space="preserve"> Australia-China </w:t>
      </w:r>
      <w:r w:rsidR="00A901A8">
        <w:rPr>
          <w:b/>
          <w:lang w:val="en"/>
        </w:rPr>
        <w:t>research collaboration (2016–</w:t>
      </w:r>
      <w:r w:rsidRPr="001E60C7">
        <w:rPr>
          <w:b/>
          <w:lang w:val="en"/>
        </w:rPr>
        <w:t>2018)</w:t>
      </w:r>
    </w:p>
    <w:tbl>
      <w:tblPr>
        <w:tblW w:w="4978" w:type="pct"/>
        <w:tblInd w:w="10" w:type="dxa"/>
        <w:tblLayout w:type="fixed"/>
        <w:tblCellMar>
          <w:left w:w="0" w:type="dxa"/>
          <w:right w:w="0" w:type="dxa"/>
        </w:tblCellMar>
        <w:tblLook w:val="01E0" w:firstRow="1" w:lastRow="1" w:firstColumn="1" w:lastColumn="1" w:noHBand="0" w:noVBand="0"/>
      </w:tblPr>
      <w:tblGrid>
        <w:gridCol w:w="1965"/>
        <w:gridCol w:w="2977"/>
        <w:gridCol w:w="1872"/>
        <w:gridCol w:w="2157"/>
      </w:tblGrid>
      <w:tr w:rsidR="007A21E9" w:rsidRPr="001E60C7" w14:paraId="7BFA89E5" w14:textId="77777777" w:rsidTr="00470FA9">
        <w:trPr>
          <w:trHeight w:hRule="exact" w:val="864"/>
        </w:trPr>
        <w:tc>
          <w:tcPr>
            <w:tcW w:w="1965" w:type="dxa"/>
            <w:tcBorders>
              <w:top w:val="single" w:sz="4" w:space="0" w:color="000000"/>
              <w:left w:val="single" w:sz="8" w:space="0" w:color="000000"/>
              <w:bottom w:val="single" w:sz="8" w:space="0" w:color="000000"/>
              <w:right w:val="single" w:sz="4" w:space="0" w:color="000000"/>
            </w:tcBorders>
            <w:shd w:val="clear" w:color="auto" w:fill="002060"/>
          </w:tcPr>
          <w:p w14:paraId="0BC8F1AA" w14:textId="1B5F20A3" w:rsidR="007A21E9" w:rsidRPr="001E60C7" w:rsidRDefault="007A21E9" w:rsidP="007A21E9">
            <w:pPr>
              <w:ind w:right="-20"/>
              <w:jc w:val="center"/>
              <w:rPr>
                <w:rFonts w:eastAsia="Calibri"/>
                <w:b/>
                <w:bCs/>
                <w:color w:val="FFFFFF"/>
                <w:spacing w:val="1"/>
                <w:szCs w:val="16"/>
                <w:lang w:eastAsia="zh-TW"/>
              </w:rPr>
            </w:pPr>
            <w:r w:rsidRPr="001E60C7">
              <w:rPr>
                <w:rFonts w:eastAsia="Calibri"/>
                <w:b/>
                <w:bCs/>
                <w:color w:val="FFFFFF"/>
                <w:spacing w:val="1"/>
                <w:szCs w:val="16"/>
                <w:lang w:eastAsia="zh-TW"/>
              </w:rPr>
              <w:t>Number of joint publications</w:t>
            </w:r>
          </w:p>
        </w:tc>
        <w:tc>
          <w:tcPr>
            <w:tcW w:w="2977" w:type="dxa"/>
            <w:tcBorders>
              <w:top w:val="single" w:sz="4" w:space="0" w:color="000000"/>
              <w:left w:val="single" w:sz="8" w:space="0" w:color="000000"/>
              <w:bottom w:val="single" w:sz="8" w:space="0" w:color="000000"/>
              <w:right w:val="single" w:sz="4" w:space="0" w:color="000000"/>
            </w:tcBorders>
            <w:shd w:val="clear" w:color="auto" w:fill="002060"/>
          </w:tcPr>
          <w:p w14:paraId="2E64B6E0" w14:textId="77777777" w:rsidR="007A21E9" w:rsidRPr="001E60C7" w:rsidRDefault="007A21E9" w:rsidP="007A21E9">
            <w:pPr>
              <w:ind w:left="2" w:right="-20"/>
              <w:jc w:val="center"/>
              <w:rPr>
                <w:rFonts w:eastAsia="Calibri"/>
                <w:b/>
                <w:bCs/>
                <w:color w:val="FFFFFF"/>
                <w:spacing w:val="1"/>
                <w:szCs w:val="16"/>
                <w:lang w:eastAsia="zh-TW"/>
              </w:rPr>
            </w:pPr>
            <w:r w:rsidRPr="001E60C7">
              <w:rPr>
                <w:rFonts w:eastAsia="Calibri"/>
                <w:b/>
                <w:bCs/>
                <w:color w:val="FFFFFF"/>
                <w:spacing w:val="1"/>
                <w:szCs w:val="16"/>
                <w:lang w:eastAsia="zh-TW"/>
              </w:rPr>
              <w:t xml:space="preserve">Top collaborating </w:t>
            </w:r>
          </w:p>
          <w:p w14:paraId="0C65A0B2" w14:textId="3DFD02E4" w:rsidR="007A21E9" w:rsidRPr="001E60C7" w:rsidRDefault="007A21E9" w:rsidP="007A21E9">
            <w:pPr>
              <w:ind w:left="2" w:right="-20"/>
              <w:jc w:val="center"/>
              <w:rPr>
                <w:rFonts w:eastAsia="Calibri"/>
                <w:b/>
                <w:bCs/>
                <w:color w:val="FFFFFF"/>
                <w:spacing w:val="1"/>
                <w:szCs w:val="16"/>
                <w:lang w:eastAsia="zh-TW"/>
              </w:rPr>
            </w:pPr>
            <w:r w:rsidRPr="001E60C7">
              <w:rPr>
                <w:rFonts w:eastAsia="Calibri"/>
                <w:b/>
                <w:bCs/>
                <w:color w:val="FFFFFF"/>
                <w:spacing w:val="1"/>
                <w:szCs w:val="16"/>
                <w:lang w:eastAsia="zh-TW"/>
              </w:rPr>
              <w:t>disciplines</w:t>
            </w:r>
          </w:p>
        </w:tc>
        <w:tc>
          <w:tcPr>
            <w:tcW w:w="1872" w:type="dxa"/>
            <w:tcBorders>
              <w:top w:val="single" w:sz="4" w:space="0" w:color="000000"/>
              <w:left w:val="single" w:sz="8" w:space="0" w:color="000000"/>
              <w:bottom w:val="single" w:sz="8" w:space="0" w:color="000000"/>
              <w:right w:val="single" w:sz="8" w:space="0" w:color="000000"/>
            </w:tcBorders>
            <w:shd w:val="clear" w:color="auto" w:fill="002060"/>
          </w:tcPr>
          <w:p w14:paraId="20922EAB" w14:textId="46A0208E" w:rsidR="007A21E9" w:rsidRPr="001E60C7" w:rsidRDefault="007A21E9" w:rsidP="007A21E9">
            <w:pPr>
              <w:ind w:right="23"/>
              <w:jc w:val="center"/>
              <w:rPr>
                <w:rFonts w:eastAsia="Calibri"/>
                <w:b/>
                <w:bCs/>
                <w:color w:val="FFFFFF"/>
                <w:spacing w:val="1"/>
                <w:szCs w:val="16"/>
                <w:lang w:eastAsia="zh-TW"/>
              </w:rPr>
            </w:pPr>
            <w:r w:rsidRPr="001E60C7">
              <w:rPr>
                <w:rFonts w:eastAsia="Calibri"/>
                <w:b/>
                <w:bCs/>
                <w:color w:val="FFFFFF"/>
                <w:spacing w:val="1"/>
                <w:szCs w:val="16"/>
                <w:lang w:eastAsia="zh-TW"/>
              </w:rPr>
              <w:t>Australia’s top collaborating countries</w:t>
            </w:r>
          </w:p>
        </w:tc>
        <w:tc>
          <w:tcPr>
            <w:tcW w:w="2157" w:type="dxa"/>
            <w:tcBorders>
              <w:top w:val="single" w:sz="4" w:space="0" w:color="000000"/>
              <w:left w:val="single" w:sz="8" w:space="0" w:color="000000"/>
              <w:bottom w:val="single" w:sz="8" w:space="0" w:color="000000"/>
              <w:right w:val="single" w:sz="4" w:space="0" w:color="000000"/>
            </w:tcBorders>
            <w:shd w:val="clear" w:color="auto" w:fill="002060"/>
          </w:tcPr>
          <w:p w14:paraId="75849FFC" w14:textId="77EB7FC9" w:rsidR="007A21E9" w:rsidRPr="001E60C7" w:rsidRDefault="007A21E9" w:rsidP="007A21E9">
            <w:pPr>
              <w:ind w:right="56"/>
              <w:jc w:val="center"/>
              <w:rPr>
                <w:rFonts w:eastAsia="Calibri"/>
                <w:b/>
                <w:bCs/>
                <w:color w:val="FFFFFF"/>
                <w:spacing w:val="1"/>
                <w:szCs w:val="16"/>
                <w:lang w:eastAsia="zh-TW"/>
              </w:rPr>
            </w:pPr>
            <w:r w:rsidRPr="001E60C7">
              <w:rPr>
                <w:rFonts w:eastAsia="Calibri"/>
                <w:b/>
                <w:bCs/>
                <w:color w:val="FFFFFF"/>
                <w:spacing w:val="1"/>
                <w:szCs w:val="16"/>
                <w:lang w:eastAsia="zh-TW"/>
              </w:rPr>
              <w:t>China’s top collaborating countries</w:t>
            </w:r>
          </w:p>
        </w:tc>
      </w:tr>
      <w:tr w:rsidR="007A21E9" w:rsidRPr="001E60C7" w14:paraId="48EEB9B2" w14:textId="77777777" w:rsidTr="00470FA9">
        <w:trPr>
          <w:trHeight w:hRule="exact" w:val="1142"/>
        </w:trPr>
        <w:tc>
          <w:tcPr>
            <w:tcW w:w="1965" w:type="dxa"/>
            <w:tcBorders>
              <w:top w:val="single" w:sz="8" w:space="0" w:color="000000"/>
              <w:left w:val="single" w:sz="8" w:space="0" w:color="000000"/>
              <w:bottom w:val="single" w:sz="4" w:space="0" w:color="000000"/>
              <w:right w:val="single" w:sz="4" w:space="0" w:color="000000"/>
            </w:tcBorders>
          </w:tcPr>
          <w:p w14:paraId="55890010" w14:textId="77777777" w:rsidR="007A21E9" w:rsidRPr="001E60C7" w:rsidRDefault="007A21E9" w:rsidP="007A21E9">
            <w:pPr>
              <w:keepNext/>
              <w:ind w:right="-23"/>
              <w:jc w:val="center"/>
              <w:rPr>
                <w:rFonts w:eastAsia="Calibri"/>
                <w:szCs w:val="18"/>
              </w:rPr>
            </w:pPr>
            <w:r w:rsidRPr="001E60C7">
              <w:rPr>
                <w:rFonts w:eastAsia="Calibri"/>
                <w:szCs w:val="18"/>
              </w:rPr>
              <w:t>34,137</w:t>
            </w:r>
          </w:p>
          <w:p w14:paraId="03D458FB" w14:textId="77777777" w:rsidR="007A21E9" w:rsidRPr="001E60C7" w:rsidRDefault="007A21E9" w:rsidP="007A21E9">
            <w:pPr>
              <w:keepNext/>
              <w:ind w:right="-23"/>
              <w:jc w:val="center"/>
              <w:rPr>
                <w:rFonts w:eastAsia="Calibri"/>
                <w:szCs w:val="18"/>
              </w:rPr>
            </w:pPr>
            <w:r w:rsidRPr="001E60C7">
              <w:rPr>
                <w:rFonts w:eastAsia="Calibri"/>
                <w:szCs w:val="18"/>
              </w:rPr>
              <w:t>(21%)</w:t>
            </w:r>
          </w:p>
          <w:p w14:paraId="04664FA2" w14:textId="77777777" w:rsidR="007A21E9" w:rsidRPr="001E60C7" w:rsidRDefault="007A21E9" w:rsidP="007A21E9">
            <w:pPr>
              <w:keepNext/>
              <w:ind w:right="-23"/>
              <w:jc w:val="center"/>
              <w:rPr>
                <w:rFonts w:eastAsia="Calibri"/>
                <w:szCs w:val="18"/>
              </w:rPr>
            </w:pPr>
            <w:r w:rsidRPr="001E60C7">
              <w:rPr>
                <w:rFonts w:eastAsia="Calibri"/>
                <w:szCs w:val="18"/>
              </w:rPr>
              <w:t>of 162,397</w:t>
            </w:r>
          </w:p>
          <w:p w14:paraId="6409A10A" w14:textId="77777777" w:rsidR="007A21E9" w:rsidRPr="001E60C7" w:rsidRDefault="007A21E9" w:rsidP="007A21E9">
            <w:pPr>
              <w:keepNext/>
              <w:ind w:right="-23"/>
              <w:jc w:val="center"/>
              <w:rPr>
                <w:rFonts w:eastAsia="Calibri"/>
                <w:szCs w:val="18"/>
              </w:rPr>
            </w:pPr>
            <w:r w:rsidRPr="001E60C7">
              <w:rPr>
                <w:rFonts w:eastAsia="Calibri"/>
                <w:szCs w:val="18"/>
              </w:rPr>
              <w:t xml:space="preserve"> joint publications</w:t>
            </w:r>
          </w:p>
        </w:tc>
        <w:tc>
          <w:tcPr>
            <w:tcW w:w="2977" w:type="dxa"/>
            <w:tcBorders>
              <w:top w:val="single" w:sz="8" w:space="0" w:color="000000"/>
              <w:left w:val="single" w:sz="4" w:space="0" w:color="000000"/>
              <w:bottom w:val="single" w:sz="4" w:space="0" w:color="000000"/>
              <w:right w:val="single" w:sz="4" w:space="0" w:color="000000"/>
            </w:tcBorders>
          </w:tcPr>
          <w:p w14:paraId="266DA3C3" w14:textId="2E1CD80C" w:rsidR="007A21E9" w:rsidRPr="001E60C7" w:rsidRDefault="007A21E9" w:rsidP="007A21E9">
            <w:pPr>
              <w:keepNext/>
              <w:spacing w:before="2"/>
              <w:ind w:left="2" w:right="144"/>
              <w:jc w:val="center"/>
              <w:rPr>
                <w:rFonts w:eastAsia="Calibri"/>
                <w:szCs w:val="18"/>
              </w:rPr>
            </w:pPr>
            <w:r w:rsidRPr="001E60C7">
              <w:rPr>
                <w:rFonts w:eastAsia="Calibri"/>
                <w:szCs w:val="18"/>
              </w:rPr>
              <w:t>Engineering (9,842)</w:t>
            </w:r>
          </w:p>
          <w:p w14:paraId="57303F1D" w14:textId="4DB2D5EC" w:rsidR="007A21E9" w:rsidRPr="001E60C7" w:rsidRDefault="007A21E9" w:rsidP="007A21E9">
            <w:pPr>
              <w:keepNext/>
              <w:spacing w:before="2"/>
              <w:ind w:left="2" w:right="144"/>
              <w:jc w:val="center"/>
              <w:rPr>
                <w:rFonts w:eastAsia="Calibri"/>
                <w:szCs w:val="18"/>
              </w:rPr>
            </w:pPr>
            <w:r w:rsidRPr="001E60C7">
              <w:rPr>
                <w:rFonts w:eastAsia="Calibri"/>
                <w:szCs w:val="18"/>
              </w:rPr>
              <w:t>Computer Science (6,443)</w:t>
            </w:r>
          </w:p>
          <w:p w14:paraId="1FC764F0" w14:textId="77777777" w:rsidR="007A21E9" w:rsidRPr="001E60C7" w:rsidRDefault="007A21E9" w:rsidP="007A21E9">
            <w:pPr>
              <w:keepNext/>
              <w:spacing w:before="2"/>
              <w:ind w:left="2" w:right="144"/>
              <w:jc w:val="center"/>
              <w:rPr>
                <w:rFonts w:eastAsia="Calibri"/>
                <w:szCs w:val="18"/>
              </w:rPr>
            </w:pPr>
            <w:r w:rsidRPr="001E60C7">
              <w:rPr>
                <w:rFonts w:eastAsia="Calibri"/>
                <w:szCs w:val="18"/>
              </w:rPr>
              <w:t>Material Science (6,008)</w:t>
            </w:r>
          </w:p>
          <w:p w14:paraId="132D89E9" w14:textId="335945C1" w:rsidR="007A21E9" w:rsidRPr="001E60C7" w:rsidRDefault="007A21E9" w:rsidP="007A21E9">
            <w:pPr>
              <w:keepNext/>
              <w:spacing w:before="2"/>
              <w:ind w:left="2" w:right="144"/>
              <w:jc w:val="center"/>
              <w:rPr>
                <w:rFonts w:eastAsia="Calibri"/>
                <w:szCs w:val="18"/>
              </w:rPr>
            </w:pPr>
            <w:r w:rsidRPr="001E60C7">
              <w:rPr>
                <w:rFonts w:eastAsia="Calibri"/>
                <w:szCs w:val="18"/>
              </w:rPr>
              <w:t>Physics and Astronomy (4,637)</w:t>
            </w:r>
          </w:p>
        </w:tc>
        <w:tc>
          <w:tcPr>
            <w:tcW w:w="1872" w:type="dxa"/>
            <w:tcBorders>
              <w:top w:val="single" w:sz="8" w:space="0" w:color="000000"/>
              <w:left w:val="single" w:sz="4" w:space="0" w:color="000000"/>
              <w:bottom w:val="single" w:sz="4" w:space="0" w:color="000000"/>
              <w:right w:val="single" w:sz="4" w:space="0" w:color="000000"/>
            </w:tcBorders>
          </w:tcPr>
          <w:p w14:paraId="080DBA76" w14:textId="77777777" w:rsidR="007A21E9" w:rsidRPr="001E60C7" w:rsidRDefault="007A21E9" w:rsidP="007A21E9">
            <w:pPr>
              <w:keepNext/>
              <w:spacing w:before="2" w:line="239" w:lineRule="auto"/>
              <w:ind w:left="1" w:right="49"/>
              <w:jc w:val="center"/>
              <w:rPr>
                <w:rFonts w:eastAsia="Calibri"/>
                <w:szCs w:val="18"/>
              </w:rPr>
            </w:pPr>
            <w:r w:rsidRPr="001E60C7">
              <w:rPr>
                <w:rFonts w:eastAsia="Calibri"/>
                <w:szCs w:val="18"/>
              </w:rPr>
              <w:t>US (45,578)</w:t>
            </w:r>
          </w:p>
          <w:p w14:paraId="11B6F04D" w14:textId="77777777" w:rsidR="007A21E9" w:rsidRPr="001E60C7" w:rsidRDefault="007A21E9" w:rsidP="007A21E9">
            <w:pPr>
              <w:keepNext/>
              <w:spacing w:before="2" w:line="239" w:lineRule="auto"/>
              <w:ind w:left="1" w:right="49"/>
              <w:jc w:val="center"/>
              <w:rPr>
                <w:rFonts w:eastAsia="Calibri"/>
                <w:szCs w:val="18"/>
              </w:rPr>
            </w:pPr>
            <w:r w:rsidRPr="001E60C7">
              <w:rPr>
                <w:rFonts w:eastAsia="Calibri"/>
                <w:szCs w:val="18"/>
              </w:rPr>
              <w:t>China (34,137)</w:t>
            </w:r>
          </w:p>
          <w:p w14:paraId="7B516AE7" w14:textId="322D6CA0" w:rsidR="007A21E9" w:rsidRPr="001E60C7" w:rsidRDefault="007A21E9" w:rsidP="007A21E9">
            <w:pPr>
              <w:keepNext/>
              <w:spacing w:before="2" w:line="239" w:lineRule="auto"/>
              <w:ind w:right="49"/>
              <w:jc w:val="center"/>
              <w:rPr>
                <w:rFonts w:eastAsia="Calibri"/>
                <w:szCs w:val="18"/>
              </w:rPr>
            </w:pPr>
            <w:r w:rsidRPr="001E60C7">
              <w:rPr>
                <w:rFonts w:eastAsia="Calibri"/>
                <w:szCs w:val="18"/>
              </w:rPr>
              <w:t>UK (33,535)</w:t>
            </w:r>
          </w:p>
        </w:tc>
        <w:tc>
          <w:tcPr>
            <w:tcW w:w="2157" w:type="dxa"/>
            <w:tcBorders>
              <w:top w:val="single" w:sz="8" w:space="0" w:color="000000"/>
              <w:left w:val="single" w:sz="4" w:space="0" w:color="000000"/>
              <w:bottom w:val="single" w:sz="4" w:space="0" w:color="000000"/>
              <w:right w:val="single" w:sz="4" w:space="0" w:color="000000"/>
            </w:tcBorders>
          </w:tcPr>
          <w:p w14:paraId="105FC48A" w14:textId="23151849" w:rsidR="007A21E9" w:rsidRPr="001E60C7" w:rsidRDefault="007A21E9" w:rsidP="007A21E9">
            <w:pPr>
              <w:keepNext/>
              <w:spacing w:before="2" w:line="239" w:lineRule="auto"/>
              <w:ind w:right="49"/>
              <w:jc w:val="center"/>
              <w:rPr>
                <w:rFonts w:eastAsia="Calibri"/>
                <w:szCs w:val="18"/>
              </w:rPr>
            </w:pPr>
            <w:r w:rsidRPr="001E60C7">
              <w:rPr>
                <w:rFonts w:eastAsia="Calibri"/>
                <w:szCs w:val="18"/>
              </w:rPr>
              <w:t>US (154,967)</w:t>
            </w:r>
          </w:p>
          <w:p w14:paraId="45038C78" w14:textId="77777777" w:rsidR="007A21E9" w:rsidRPr="001E60C7" w:rsidRDefault="007A21E9" w:rsidP="007A21E9">
            <w:pPr>
              <w:keepNext/>
              <w:spacing w:before="2" w:line="239" w:lineRule="auto"/>
              <w:ind w:right="49"/>
              <w:jc w:val="center"/>
              <w:rPr>
                <w:rFonts w:eastAsia="Calibri"/>
                <w:szCs w:val="18"/>
              </w:rPr>
            </w:pPr>
            <w:r w:rsidRPr="001E60C7">
              <w:rPr>
                <w:rFonts w:eastAsia="Calibri"/>
                <w:szCs w:val="18"/>
              </w:rPr>
              <w:t>UK (38,730)</w:t>
            </w:r>
          </w:p>
          <w:p w14:paraId="3430A31F" w14:textId="77777777" w:rsidR="007A21E9" w:rsidRPr="001E60C7" w:rsidRDefault="007A21E9" w:rsidP="007A21E9">
            <w:pPr>
              <w:keepNext/>
              <w:spacing w:before="2" w:line="239" w:lineRule="auto"/>
              <w:ind w:right="49"/>
              <w:jc w:val="center"/>
              <w:rPr>
                <w:rFonts w:eastAsia="Calibri"/>
                <w:szCs w:val="18"/>
              </w:rPr>
            </w:pPr>
            <w:r w:rsidRPr="001E60C7">
              <w:rPr>
                <w:rFonts w:eastAsia="Calibri"/>
                <w:szCs w:val="18"/>
              </w:rPr>
              <w:t>Australia (34,137)</w:t>
            </w:r>
          </w:p>
        </w:tc>
      </w:tr>
    </w:tbl>
    <w:p w14:paraId="0956CEEA" w14:textId="0BB6900C" w:rsidR="001B6BCD" w:rsidRPr="001E60C7" w:rsidRDefault="001B6BCD" w:rsidP="001B6BCD">
      <w:pPr>
        <w:spacing w:before="17" w:line="200" w:lineRule="exact"/>
        <w:rPr>
          <w:rFonts w:eastAsia="Calibri"/>
          <w:spacing w:val="1"/>
          <w:position w:val="1"/>
          <w:sz w:val="16"/>
          <w:szCs w:val="16"/>
          <w:lang w:eastAsia="zh-TW"/>
        </w:rPr>
      </w:pPr>
      <w:r w:rsidRPr="001E60C7">
        <w:rPr>
          <w:rFonts w:eastAsia="Calibri"/>
          <w:position w:val="1"/>
          <w:sz w:val="16"/>
          <w:szCs w:val="16"/>
          <w:lang w:eastAsia="zh-TW"/>
        </w:rPr>
        <w:t>S</w:t>
      </w:r>
      <w:r w:rsidRPr="001E60C7">
        <w:rPr>
          <w:rFonts w:eastAsia="Calibri"/>
          <w:spacing w:val="-1"/>
          <w:position w:val="1"/>
          <w:sz w:val="16"/>
          <w:szCs w:val="16"/>
          <w:lang w:eastAsia="zh-TW"/>
        </w:rPr>
        <w:t>o</w:t>
      </w:r>
      <w:r w:rsidRPr="001E60C7">
        <w:rPr>
          <w:rFonts w:eastAsia="Calibri"/>
          <w:position w:val="1"/>
          <w:sz w:val="16"/>
          <w:szCs w:val="16"/>
          <w:lang w:eastAsia="zh-TW"/>
        </w:rPr>
        <w:t>u</w:t>
      </w:r>
      <w:r w:rsidRPr="001E60C7">
        <w:rPr>
          <w:rFonts w:eastAsia="Calibri"/>
          <w:spacing w:val="-1"/>
          <w:position w:val="1"/>
          <w:sz w:val="16"/>
          <w:szCs w:val="16"/>
          <w:lang w:eastAsia="zh-TW"/>
        </w:rPr>
        <w:t>rce</w:t>
      </w:r>
      <w:r w:rsidRPr="001E60C7">
        <w:rPr>
          <w:rFonts w:eastAsia="Calibri"/>
          <w:position w:val="1"/>
          <w:sz w:val="16"/>
          <w:szCs w:val="16"/>
          <w:lang w:eastAsia="zh-TW"/>
        </w:rPr>
        <w:t xml:space="preserve">: </w:t>
      </w:r>
      <w:hyperlink r:id="rId11" w:history="1">
        <w:r w:rsidRPr="001E60C7">
          <w:rPr>
            <w:rFonts w:eastAsia="Calibri"/>
            <w:color w:val="0563C1" w:themeColor="hyperlink"/>
            <w:position w:val="1"/>
            <w:sz w:val="16"/>
            <w:szCs w:val="16"/>
            <w:u w:val="single"/>
            <w:lang w:eastAsia="zh-TW"/>
          </w:rPr>
          <w:t>www.</w:t>
        </w:r>
        <w:r w:rsidRPr="001E60C7">
          <w:rPr>
            <w:rFonts w:eastAsia="Calibri"/>
            <w:color w:val="0563C1" w:themeColor="hyperlink"/>
            <w:spacing w:val="1"/>
            <w:position w:val="1"/>
            <w:sz w:val="16"/>
            <w:szCs w:val="16"/>
            <w:u w:val="single"/>
            <w:lang w:eastAsia="zh-TW"/>
          </w:rPr>
          <w:t>SciVal.com</w:t>
        </w:r>
      </w:hyperlink>
      <w:r w:rsidRPr="001E60C7">
        <w:rPr>
          <w:rFonts w:eastAsia="Calibri"/>
          <w:spacing w:val="1"/>
          <w:position w:val="1"/>
          <w:sz w:val="16"/>
          <w:szCs w:val="16"/>
          <w:lang w:eastAsia="zh-TW"/>
        </w:rPr>
        <w:t xml:space="preserve"> – 19 June 2019</w:t>
      </w:r>
      <w:r w:rsidR="0057351B" w:rsidRPr="001E60C7">
        <w:rPr>
          <w:rFonts w:eastAsia="Calibri"/>
          <w:spacing w:val="1"/>
          <w:position w:val="1"/>
          <w:sz w:val="16"/>
          <w:szCs w:val="16"/>
          <w:lang w:eastAsia="zh-TW"/>
        </w:rPr>
        <w:t>.</w:t>
      </w:r>
    </w:p>
    <w:p w14:paraId="6C0CDE40" w14:textId="77777777" w:rsidR="007A21E9" w:rsidRPr="001E60C7" w:rsidRDefault="007A21E9" w:rsidP="001B6BCD">
      <w:pPr>
        <w:spacing w:before="17" w:line="200" w:lineRule="exact"/>
        <w:rPr>
          <w:rFonts w:eastAsia="Calibri"/>
          <w:spacing w:val="1"/>
          <w:position w:val="1"/>
          <w:sz w:val="16"/>
          <w:szCs w:val="16"/>
          <w:lang w:eastAsia="zh-TW"/>
        </w:rPr>
      </w:pPr>
    </w:p>
    <w:p w14:paraId="6F077E5C" w14:textId="3A429F93" w:rsidR="00857214" w:rsidRPr="001E60C7" w:rsidRDefault="00B50C12" w:rsidP="004401C2">
      <w:pPr>
        <w:spacing w:after="160" w:line="259" w:lineRule="auto"/>
      </w:pPr>
      <w:r w:rsidRPr="001E60C7">
        <w:t>In 2018, Australian universities had</w:t>
      </w:r>
      <w:r w:rsidR="004401C2" w:rsidRPr="001E60C7">
        <w:t xml:space="preserve"> </w:t>
      </w:r>
      <w:r w:rsidR="007A21E9" w:rsidRPr="001E60C7">
        <w:t xml:space="preserve">1,741 </w:t>
      </w:r>
      <w:r w:rsidR="004401C2" w:rsidRPr="001E60C7">
        <w:t>formal agreements with Chinese universities</w:t>
      </w:r>
      <w:r w:rsidR="0040447A" w:rsidRPr="001E60C7">
        <w:t xml:space="preserve">, which is </w:t>
      </w:r>
      <w:r w:rsidR="007A21E9" w:rsidRPr="001E60C7">
        <w:t>more</w:t>
      </w:r>
      <w:r w:rsidR="004401C2" w:rsidRPr="001E60C7">
        <w:t xml:space="preserve"> than with universities </w:t>
      </w:r>
      <w:r w:rsidR="00B7552F" w:rsidRPr="001E60C7">
        <w:t>in</w:t>
      </w:r>
      <w:r w:rsidR="004401C2" w:rsidRPr="001E60C7">
        <w:t xml:space="preserve"> any other country.</w:t>
      </w:r>
      <w:r w:rsidR="007A21E9" w:rsidRPr="001E60C7">
        <w:rPr>
          <w:rStyle w:val="FootnoteReference"/>
        </w:rPr>
        <w:footnoteReference w:id="29"/>
      </w:r>
      <w:r w:rsidR="004401C2" w:rsidRPr="001E60C7">
        <w:t xml:space="preserve"> The majority of these agreements </w:t>
      </w:r>
      <w:r w:rsidR="00B7552F" w:rsidRPr="001E60C7">
        <w:t xml:space="preserve">include </w:t>
      </w:r>
      <w:r w:rsidR="004401C2" w:rsidRPr="001E60C7">
        <w:t xml:space="preserve">academic or research collaboration, and the Chinese institutes with the most agreements with Australian universities include the Chinese Academy of Sciences, Fudan University, Shanghai Jiao Tong University and Tsinghua University. </w:t>
      </w:r>
    </w:p>
    <w:tbl>
      <w:tblPr>
        <w:tblStyle w:val="TableGrid"/>
        <w:tblpPr w:leftFromText="180" w:rightFromText="180" w:vertAnchor="text" w:horzAnchor="margin" w:tblpY="132"/>
        <w:tblW w:w="0" w:type="auto"/>
        <w:tblInd w:w="0" w:type="dxa"/>
        <w:shd w:val="clear" w:color="auto" w:fill="DEEAF6" w:themeFill="accent1" w:themeFillTint="33"/>
        <w:tblLook w:val="04A0" w:firstRow="1" w:lastRow="0" w:firstColumn="1" w:lastColumn="0" w:noHBand="0" w:noVBand="1"/>
      </w:tblPr>
      <w:tblGrid>
        <w:gridCol w:w="9016"/>
      </w:tblGrid>
      <w:tr w:rsidR="00D45192" w:rsidRPr="001E60C7" w14:paraId="5A486305" w14:textId="77777777" w:rsidTr="00D15984">
        <w:tc>
          <w:tcPr>
            <w:tcW w:w="9016" w:type="dxa"/>
            <w:shd w:val="clear" w:color="auto" w:fill="DEEAF6" w:themeFill="accent1" w:themeFillTint="33"/>
          </w:tcPr>
          <w:p w14:paraId="487B28B3" w14:textId="4828ADF0" w:rsidR="00D45192" w:rsidRPr="001E60C7" w:rsidRDefault="00D45192" w:rsidP="00D15984">
            <w:pPr>
              <w:shd w:val="clear" w:color="auto" w:fill="DEEAF6" w:themeFill="accent1" w:themeFillTint="33"/>
              <w:suppressAutoHyphens/>
              <w:autoSpaceDE w:val="0"/>
              <w:autoSpaceDN w:val="0"/>
              <w:adjustRightInd w:val="0"/>
              <w:spacing w:before="120" w:after="120" w:line="288" w:lineRule="auto"/>
              <w:textAlignment w:val="center"/>
              <w:rPr>
                <w:rFonts w:eastAsia="Calibri"/>
                <w:color w:val="000000"/>
                <w:sz w:val="18"/>
                <w:szCs w:val="18"/>
              </w:rPr>
            </w:pPr>
            <w:r w:rsidRPr="001E60C7">
              <w:rPr>
                <w:rFonts w:eastAsia="Calibri"/>
                <w:b/>
                <w:bCs/>
                <w:color w:val="246EB9"/>
                <w:sz w:val="18"/>
                <w:szCs w:val="18"/>
              </w:rPr>
              <w:t xml:space="preserve">Case </w:t>
            </w:r>
            <w:r w:rsidR="008E5815" w:rsidRPr="001E60C7">
              <w:rPr>
                <w:rFonts w:eastAsia="Calibri"/>
                <w:b/>
                <w:bCs/>
                <w:color w:val="246EB9"/>
                <w:sz w:val="18"/>
                <w:szCs w:val="18"/>
              </w:rPr>
              <w:t>Study 3</w:t>
            </w:r>
            <w:r w:rsidRPr="001E60C7">
              <w:rPr>
                <w:rFonts w:eastAsia="Calibri"/>
                <w:b/>
                <w:bCs/>
                <w:color w:val="246EB9"/>
                <w:sz w:val="18"/>
                <w:szCs w:val="18"/>
              </w:rPr>
              <w:t xml:space="preserve"> – ARC Research Hub for computational particle technology</w:t>
            </w:r>
          </w:p>
          <w:p w14:paraId="37D53145" w14:textId="77777777" w:rsidR="00D45192" w:rsidRPr="001E60C7" w:rsidRDefault="00D45192" w:rsidP="00D45192">
            <w:pPr>
              <w:spacing w:before="120" w:after="120"/>
              <w:rPr>
                <w:bCs/>
                <w:iCs/>
                <w:sz w:val="18"/>
                <w:szCs w:val="18"/>
                <w:lang w:val="en"/>
              </w:rPr>
            </w:pPr>
            <w:r w:rsidRPr="001E60C7">
              <w:rPr>
                <w:bCs/>
                <w:iCs/>
                <w:sz w:val="18"/>
                <w:szCs w:val="18"/>
                <w:lang w:val="en"/>
              </w:rPr>
              <w:t>The ARC Research Hub for Computational Particle Technology is an excellent example of bringing together world</w:t>
            </w:r>
            <w:r w:rsidRPr="001E60C7">
              <w:rPr>
                <w:bCs/>
                <w:iCs/>
                <w:sz w:val="18"/>
                <w:szCs w:val="18"/>
                <w:lang w:val="en"/>
              </w:rPr>
              <w:noBreakHyphen/>
              <w:t>class, multi</w:t>
            </w:r>
            <w:r w:rsidRPr="001E60C7">
              <w:rPr>
                <w:bCs/>
                <w:iCs/>
                <w:sz w:val="18"/>
                <w:szCs w:val="18"/>
                <w:lang w:val="en"/>
              </w:rPr>
              <w:noBreakHyphen/>
              <w:t xml:space="preserve">disciplinary teams of university scientists collaborating with many leading industry partners on research and development projects to drive industry growth, productivity and competitiveness. Headed up by Professor Aibing Yu and based at Monash University, the $12.9 million dollar research hub focuses on generating new theories, computer models and simulation techniques through close collaboration with four leading international companies, three of which are Chinese: Jiangsu Industrial Technology Research Institute (JITRI), Rio Tinto, Baosteel and Longking. </w:t>
            </w:r>
          </w:p>
          <w:p w14:paraId="2EB11A6E" w14:textId="77777777" w:rsidR="00D45192" w:rsidRPr="001E60C7" w:rsidRDefault="00D45192" w:rsidP="00D45192">
            <w:pPr>
              <w:spacing w:before="120" w:after="120"/>
              <w:rPr>
                <w:bCs/>
                <w:iCs/>
                <w:sz w:val="18"/>
                <w:szCs w:val="18"/>
                <w:lang w:val="en"/>
              </w:rPr>
            </w:pPr>
            <w:r w:rsidRPr="001E60C7">
              <w:rPr>
                <w:sz w:val="18"/>
                <w:szCs w:val="18"/>
                <w:lang w:val="en"/>
              </w:rPr>
              <w:t>T</w:t>
            </w:r>
            <w:r w:rsidRPr="001E60C7">
              <w:rPr>
                <w:bCs/>
                <w:iCs/>
                <w:sz w:val="18"/>
                <w:szCs w:val="18"/>
                <w:lang w:val="en"/>
              </w:rPr>
              <w:t>his research hub aims to develop and apply advanced theories and mathematical models to design and optimise processes that are widely used in the minerals and metallurgical industries. </w:t>
            </w:r>
            <w:r w:rsidRPr="001E60C7">
              <w:rPr>
                <w:sz w:val="18"/>
                <w:szCs w:val="18"/>
                <w:lang w:val="en"/>
              </w:rPr>
              <w:t xml:space="preserve">These will be achieved through detailed analysis of </w:t>
            </w:r>
            <w:r w:rsidRPr="001E60C7">
              <w:rPr>
                <w:bCs/>
                <w:iCs/>
                <w:sz w:val="18"/>
                <w:szCs w:val="18"/>
                <w:lang w:val="en"/>
              </w:rPr>
              <w:t>the</w:t>
            </w:r>
            <w:r w:rsidRPr="001E60C7">
              <w:rPr>
                <w:sz w:val="18"/>
                <w:szCs w:val="18"/>
                <w:lang w:val="en"/>
              </w:rPr>
              <w:t xml:space="preserve"> fundamentals governing fluid flow, heat and mass transfer at different time and length scales, facilitated by various novel research techniques. </w:t>
            </w:r>
            <w:r w:rsidRPr="001E60C7">
              <w:rPr>
                <w:bCs/>
                <w:iCs/>
                <w:sz w:val="18"/>
                <w:szCs w:val="18"/>
                <w:lang w:val="en"/>
              </w:rPr>
              <w:t xml:space="preserve">One of the examples is that the hub works to </w:t>
            </w:r>
            <w:r w:rsidRPr="001E60C7">
              <w:rPr>
                <w:sz w:val="18"/>
                <w:szCs w:val="18"/>
                <w:lang w:val="en"/>
              </w:rPr>
              <w:t>optimise the ironmaking process to reduce the energy inputs as well as reduce carbon dioxide emissions.</w:t>
            </w:r>
          </w:p>
          <w:p w14:paraId="1A41683B" w14:textId="77777777" w:rsidR="00D45192" w:rsidRPr="001E60C7" w:rsidRDefault="00D45192" w:rsidP="00D45192">
            <w:pPr>
              <w:spacing w:before="120" w:after="120"/>
              <w:rPr>
                <w:rFonts w:eastAsia="Calibri"/>
                <w:color w:val="000000"/>
              </w:rPr>
            </w:pPr>
            <w:r w:rsidRPr="001E60C7">
              <w:rPr>
                <w:bCs/>
                <w:iCs/>
                <w:sz w:val="18"/>
                <w:szCs w:val="18"/>
                <w:lang w:val="en"/>
              </w:rPr>
              <w:t>Through comprehensive collaborative efforts, t</w:t>
            </w:r>
            <w:r w:rsidRPr="001E60C7">
              <w:rPr>
                <w:sz w:val="18"/>
                <w:szCs w:val="18"/>
                <w:lang w:val="en"/>
              </w:rPr>
              <w:t xml:space="preserve">his research hub will provide significant economic and environmental benefits to </w:t>
            </w:r>
            <w:r w:rsidRPr="001E60C7">
              <w:rPr>
                <w:bCs/>
                <w:iCs/>
                <w:sz w:val="18"/>
                <w:szCs w:val="18"/>
                <w:lang w:val="en"/>
              </w:rPr>
              <w:t>industry</w:t>
            </w:r>
            <w:r w:rsidRPr="001E60C7">
              <w:rPr>
                <w:sz w:val="18"/>
                <w:szCs w:val="18"/>
                <w:lang w:val="en"/>
              </w:rPr>
              <w:t>, such as blast furnace ironmaking, the main process for producing iron ore for the steelmaking industry. It also aims to generate a significant impact across a range of emerging industries of vital importance to Australia’s economic and technological future.</w:t>
            </w:r>
          </w:p>
        </w:tc>
      </w:tr>
    </w:tbl>
    <w:p w14:paraId="20D84485" w14:textId="77777777" w:rsidR="00D45192" w:rsidRPr="001E60C7" w:rsidRDefault="00D45192" w:rsidP="004401C2">
      <w:pPr>
        <w:spacing w:after="160" w:line="259" w:lineRule="auto"/>
      </w:pPr>
    </w:p>
    <w:p w14:paraId="187BA5DB" w14:textId="031D76A5" w:rsidR="004401C2" w:rsidRPr="001E60C7" w:rsidRDefault="004401C2" w:rsidP="004401C2">
      <w:pPr>
        <w:spacing w:after="160" w:line="259" w:lineRule="auto"/>
        <w:rPr>
          <w:lang w:val="en"/>
        </w:rPr>
      </w:pPr>
      <w:r w:rsidRPr="001E60C7">
        <w:t>Outside of the university environment, Australian indus</w:t>
      </w:r>
      <w:r w:rsidR="008816B6" w:rsidRPr="001E60C7">
        <w:t>try partners and researchers</w:t>
      </w:r>
      <w:r w:rsidRPr="001E60C7">
        <w:t xml:space="preserve"> also collaborate with China on science, technology and innovation through the Australia-China Science and Research Fund </w:t>
      </w:r>
      <w:r w:rsidRPr="001E60C7">
        <w:lastRenderedPageBreak/>
        <w:t>(ACSRF).</w:t>
      </w:r>
      <w:r w:rsidRPr="001E60C7">
        <w:rPr>
          <w:rStyle w:val="FootnoteReference"/>
        </w:rPr>
        <w:footnoteReference w:id="30"/>
      </w:r>
      <w:r w:rsidR="00B50C12" w:rsidRPr="001E60C7">
        <w:t xml:space="preserve"> The ACSRF</w:t>
      </w:r>
      <w:r w:rsidRPr="001E60C7">
        <w:t xml:space="preserve"> is one of only two country-specific research funds support</w:t>
      </w:r>
      <w:r w:rsidR="00B50C12" w:rsidRPr="001E60C7">
        <w:t>ed by the Australian Government</w:t>
      </w:r>
      <w:r w:rsidR="00B50C12" w:rsidRPr="001E60C7">
        <w:rPr>
          <w:rStyle w:val="FootnoteReference"/>
        </w:rPr>
        <w:footnoteReference w:id="31"/>
      </w:r>
      <w:r w:rsidR="00B50C12" w:rsidRPr="001E60C7">
        <w:t>, and is jointly funded by the Australian Government Department of Industry, Innovation and Science and the Chinese Ministry of Science and Technology. The ACSRF</w:t>
      </w:r>
      <w:r w:rsidRPr="001E60C7">
        <w:t xml:space="preserve"> facilitates activities that </w:t>
      </w:r>
      <w:r w:rsidRPr="001E60C7">
        <w:rPr>
          <w:lang w:val="en"/>
        </w:rPr>
        <w:t xml:space="preserve">support enduring partnerships between researchers, encourages the application and commercialisation of research outcomes, and provides early career researchers the opportunity to gain relevant Australia-China research experience. It achieves this through three key elements: </w:t>
      </w:r>
    </w:p>
    <w:p w14:paraId="5A967A4E" w14:textId="4C803DFE" w:rsidR="004401C2" w:rsidRPr="001E60C7" w:rsidRDefault="004401C2" w:rsidP="004401C2">
      <w:pPr>
        <w:pStyle w:val="ListParagraph"/>
        <w:numPr>
          <w:ilvl w:val="0"/>
          <w:numId w:val="5"/>
        </w:numPr>
        <w:spacing w:line="259" w:lineRule="auto"/>
        <w:rPr>
          <w:lang w:val="en"/>
        </w:rPr>
      </w:pPr>
      <w:r w:rsidRPr="001E60C7">
        <w:rPr>
          <w:lang w:val="en"/>
        </w:rPr>
        <w:t>Joint Research Centres</w:t>
      </w:r>
      <w:r w:rsidR="00B50C12" w:rsidRPr="001E60C7">
        <w:rPr>
          <w:lang w:val="en"/>
        </w:rPr>
        <w:t>, which are virtual centres</w:t>
      </w:r>
      <w:r w:rsidRPr="001E60C7">
        <w:rPr>
          <w:lang w:val="en"/>
        </w:rPr>
        <w:t xml:space="preserve"> link</w:t>
      </w:r>
      <w:r w:rsidR="00B50C12" w:rsidRPr="001E60C7">
        <w:rPr>
          <w:lang w:val="en"/>
        </w:rPr>
        <w:t>ing</w:t>
      </w:r>
      <w:r w:rsidRPr="001E60C7">
        <w:rPr>
          <w:lang w:val="en"/>
        </w:rPr>
        <w:t xml:space="preserve"> Australian and Chinese research institutions conducting research-related activities identified as priority areas by the Aus</w:t>
      </w:r>
      <w:r w:rsidR="002E04FA" w:rsidRPr="001E60C7">
        <w:rPr>
          <w:lang w:val="en"/>
        </w:rPr>
        <w:t xml:space="preserve">tralian and Chinese </w:t>
      </w:r>
      <w:r w:rsidR="00C03968" w:rsidRPr="001E60C7">
        <w:rPr>
          <w:lang w:val="en"/>
        </w:rPr>
        <w:t>g</w:t>
      </w:r>
      <w:r w:rsidR="002E04FA" w:rsidRPr="001E60C7">
        <w:rPr>
          <w:lang w:val="en"/>
        </w:rPr>
        <w:t>overnments,</w:t>
      </w:r>
    </w:p>
    <w:p w14:paraId="59DEE192" w14:textId="6C45D31B" w:rsidR="004401C2" w:rsidRPr="001E60C7" w:rsidRDefault="004401C2" w:rsidP="004401C2">
      <w:pPr>
        <w:pStyle w:val="ListParagraph"/>
        <w:numPr>
          <w:ilvl w:val="0"/>
          <w:numId w:val="5"/>
        </w:numPr>
        <w:spacing w:line="259" w:lineRule="auto"/>
        <w:rPr>
          <w:lang w:val="en"/>
        </w:rPr>
      </w:pPr>
      <w:r w:rsidRPr="001E60C7">
        <w:rPr>
          <w:lang w:val="en"/>
        </w:rPr>
        <w:t>Thematic science workshops, seminars and symposia, including the long</w:t>
      </w:r>
      <w:r w:rsidR="009A40A0" w:rsidRPr="001E60C7">
        <w:rPr>
          <w:lang w:val="en"/>
        </w:rPr>
        <w:noBreakHyphen/>
      </w:r>
      <w:r w:rsidRPr="001E60C7">
        <w:rPr>
          <w:lang w:val="en"/>
        </w:rPr>
        <w:t>standing Aus</w:t>
      </w:r>
      <w:r w:rsidR="009A40A0" w:rsidRPr="001E60C7">
        <w:rPr>
          <w:lang w:val="en"/>
        </w:rPr>
        <w:t>tralia</w:t>
      </w:r>
      <w:r w:rsidR="009A40A0" w:rsidRPr="001E60C7">
        <w:rPr>
          <w:lang w:val="en"/>
        </w:rPr>
        <w:noBreakHyphen/>
      </w:r>
      <w:r w:rsidRPr="001E60C7">
        <w:rPr>
          <w:lang w:val="en"/>
        </w:rPr>
        <w:t>China Science Academies Symposia Series, which seek to strengthen cooperative research links between Australia and Ch</w:t>
      </w:r>
      <w:r w:rsidR="002E04FA" w:rsidRPr="001E60C7">
        <w:rPr>
          <w:lang w:val="en"/>
        </w:rPr>
        <w:t>ina in areas of mutual interest,</w:t>
      </w:r>
      <w:r w:rsidRPr="001E60C7">
        <w:rPr>
          <w:lang w:val="en"/>
        </w:rPr>
        <w:t xml:space="preserve"> and</w:t>
      </w:r>
    </w:p>
    <w:p w14:paraId="568072B5" w14:textId="472EBE31" w:rsidR="004401C2" w:rsidRPr="001E60C7" w:rsidRDefault="004401C2" w:rsidP="004401C2">
      <w:pPr>
        <w:pStyle w:val="ListParagraph"/>
        <w:numPr>
          <w:ilvl w:val="0"/>
          <w:numId w:val="5"/>
        </w:numPr>
        <w:spacing w:line="259" w:lineRule="auto"/>
        <w:rPr>
          <w:lang w:val="en"/>
        </w:rPr>
      </w:pPr>
      <w:r w:rsidRPr="001E60C7">
        <w:rPr>
          <w:lang w:val="en"/>
        </w:rPr>
        <w:t xml:space="preserve">Exchange programs, including the jointly funded Young Scientists Exchange Programme for early to mid-career researchers, which provide </w:t>
      </w:r>
      <w:r w:rsidR="009A40A0" w:rsidRPr="001E60C7">
        <w:rPr>
          <w:lang w:val="en"/>
        </w:rPr>
        <w:t>opportunities</w:t>
      </w:r>
      <w:r w:rsidRPr="001E60C7">
        <w:rPr>
          <w:lang w:val="en"/>
        </w:rPr>
        <w:t xml:space="preserve"> for researchers from Australia and China to undertake exchange to establish linkages with a range of research organisations and learn about the science and research environments of each country.</w:t>
      </w:r>
    </w:p>
    <w:p w14:paraId="4FC1C11C" w14:textId="69A81896" w:rsidR="00B66389" w:rsidRPr="001E60C7" w:rsidRDefault="00443FBB" w:rsidP="00B66389">
      <w:pPr>
        <w:spacing w:after="160" w:line="259" w:lineRule="auto"/>
      </w:pPr>
      <w:r w:rsidRPr="001E60C7">
        <w:t>In April 2019, the Au</w:t>
      </w:r>
      <w:r w:rsidR="00C03968" w:rsidRPr="001E60C7">
        <w:t xml:space="preserve">stralian Government announced </w:t>
      </w:r>
      <w:r w:rsidR="0023795A" w:rsidRPr="001E60C7">
        <w:t xml:space="preserve">a </w:t>
      </w:r>
      <w:r w:rsidRPr="001E60C7">
        <w:t xml:space="preserve">$4.7 million boost to the ACSRF. This will strengthen innovation and science links with China to help tackle challenges facing key industry sectors, with a focus on developing medical and alternative energy security technology. </w:t>
      </w:r>
      <w:r w:rsidR="009A40A0" w:rsidRPr="001E60C7">
        <w:t>In agreement with the Chinese Government, t</w:t>
      </w:r>
      <w:r w:rsidRPr="001E60C7">
        <w:t>he funding will support Joint Research Centres on priority areas</w:t>
      </w:r>
      <w:r w:rsidR="00473C70" w:rsidRPr="001E60C7">
        <w:t>,</w:t>
      </w:r>
      <w:r w:rsidRPr="001E60C7">
        <w:t xml:space="preserve"> and reflects both Australian and Chinese industry growth sectors, as well as science and research priorities.</w:t>
      </w:r>
    </w:p>
    <w:p w14:paraId="18BD6D56" w14:textId="7CA5CBBD" w:rsidR="004401C2" w:rsidRPr="001E60C7" w:rsidRDefault="004401C2" w:rsidP="004401C2">
      <w:pPr>
        <w:spacing w:after="160" w:line="259" w:lineRule="auto"/>
        <w:rPr>
          <w:lang w:val="en"/>
        </w:rPr>
      </w:pPr>
      <w:r w:rsidRPr="001E60C7">
        <w:rPr>
          <w:lang w:val="en"/>
        </w:rPr>
        <w:t>Government</w:t>
      </w:r>
      <w:r w:rsidRPr="001E60C7">
        <w:t xml:space="preserve">-to-government engagement on science stretches back almost four decades with a treaty on science and technology cooperation signed in 1980. Joint research funding arrangements between Australia and China have been in place since 2001. </w:t>
      </w:r>
      <w:r w:rsidRPr="001E60C7">
        <w:rPr>
          <w:lang w:val="en"/>
        </w:rPr>
        <w:t>The Australian Government’s Commonwealth Scientific and Industrial Research Organisation (CSIRO) has been working with China for</w:t>
      </w:r>
      <w:r w:rsidR="00C03968" w:rsidRPr="001E60C7">
        <w:rPr>
          <w:lang w:val="en"/>
        </w:rPr>
        <w:t xml:space="preserve"> over</w:t>
      </w:r>
      <w:r w:rsidRPr="001E60C7">
        <w:rPr>
          <w:lang w:val="en"/>
        </w:rPr>
        <w:t xml:space="preserve"> 40 years. The longest-standing partner in that time has been the Chinese Academy of Sciences (CAS), which first established relations with CSIRO in 1975. Since then there have been great benefits for </w:t>
      </w:r>
      <w:r w:rsidRPr="001E60C7">
        <w:rPr>
          <w:lang w:val="en"/>
        </w:rPr>
        <w:lastRenderedPageBreak/>
        <w:t xml:space="preserve">both countries through </w:t>
      </w:r>
      <w:r w:rsidRPr="001E60C7">
        <w:t>research</w:t>
      </w:r>
      <w:r w:rsidRPr="001E60C7">
        <w:rPr>
          <w:lang w:val="en"/>
        </w:rPr>
        <w:t xml:space="preserve"> collaborations, staff exchanges and new scientific and technological innovations. As well as CAS, CSIRO also works with many </w:t>
      </w:r>
      <w:r w:rsidRPr="001E60C7">
        <w:t>other</w:t>
      </w:r>
      <w:r w:rsidRPr="001E60C7">
        <w:rPr>
          <w:lang w:val="en"/>
        </w:rPr>
        <w:t xml:space="preserve"> partners in China, including government bodies and state-owned enterprises, universities and commercial companies.</w:t>
      </w:r>
    </w:p>
    <w:p w14:paraId="09BF2C48" w14:textId="735E4740" w:rsidR="007A21E9" w:rsidRPr="001E60C7" w:rsidRDefault="00C03968" w:rsidP="00FE2931">
      <w:pPr>
        <w:spacing w:after="160" w:line="259" w:lineRule="auto"/>
        <w:rPr>
          <w:rFonts w:cstheme="minorHAnsi"/>
        </w:rPr>
      </w:pPr>
      <w:r w:rsidRPr="001E60C7">
        <w:rPr>
          <w:lang w:val="en"/>
        </w:rPr>
        <w:t xml:space="preserve">Research collaboration benefits all </w:t>
      </w:r>
      <w:r w:rsidR="00FE2931" w:rsidRPr="001E60C7">
        <w:rPr>
          <w:lang w:val="en"/>
        </w:rPr>
        <w:t>participant</w:t>
      </w:r>
      <w:r w:rsidR="0040447A" w:rsidRPr="001E60C7">
        <w:rPr>
          <w:lang w:val="en"/>
        </w:rPr>
        <w:t>s</w:t>
      </w:r>
      <w:r w:rsidR="00FE2931" w:rsidRPr="001E60C7">
        <w:rPr>
          <w:lang w:val="en"/>
        </w:rPr>
        <w:t>. This is demonstrated through the SciVal Field</w:t>
      </w:r>
      <w:r w:rsidR="00FE2931" w:rsidRPr="001E60C7">
        <w:rPr>
          <w:lang w:val="en"/>
        </w:rPr>
        <w:noBreakHyphen/>
        <w:t xml:space="preserve">Weighted Citation Impact (FWCI), </w:t>
      </w:r>
      <w:r w:rsidRPr="001E60C7">
        <w:rPr>
          <w:lang w:val="en"/>
        </w:rPr>
        <w:t xml:space="preserve">which is a measurement of research impact. </w:t>
      </w:r>
      <w:r w:rsidR="00FE2931" w:rsidRPr="001E60C7">
        <w:rPr>
          <w:rFonts w:cstheme="minorHAnsi"/>
        </w:rPr>
        <w:t>China has a FWCI of 1.01 for research that is not co</w:t>
      </w:r>
      <w:r w:rsidR="00FE2931" w:rsidRPr="001E60C7">
        <w:rPr>
          <w:rFonts w:cstheme="minorHAnsi"/>
        </w:rPr>
        <w:noBreakHyphen/>
        <w:t>authored (meaning that it is cited 1 per cent more than world average), but 2.40 for joint publications with Australia (i.e. cited 140 per cent more than average for equivalent research).</w:t>
      </w:r>
      <w:r w:rsidR="00971B24" w:rsidRPr="001E60C7">
        <w:rPr>
          <w:rStyle w:val="FootnoteReference"/>
          <w:rFonts w:cstheme="minorHAnsi"/>
        </w:rPr>
        <w:footnoteReference w:id="32"/>
      </w:r>
      <w:r w:rsidR="00FE2931" w:rsidRPr="001E60C7">
        <w:rPr>
          <w:rFonts w:cstheme="minorHAnsi"/>
        </w:rPr>
        <w:t xml:space="preserve"> </w:t>
      </w:r>
      <w:r w:rsidR="00223464" w:rsidRPr="001E60C7">
        <w:rPr>
          <w:lang w:val="en"/>
        </w:rPr>
        <w:t xml:space="preserve">As shown in Table </w:t>
      </w:r>
      <w:r w:rsidR="007A21E9" w:rsidRPr="001E60C7">
        <w:rPr>
          <w:lang w:val="en"/>
        </w:rPr>
        <w:t>3</w:t>
      </w:r>
      <w:r w:rsidR="00223464" w:rsidRPr="001E60C7">
        <w:rPr>
          <w:lang w:val="en"/>
        </w:rPr>
        <w:t>, t</w:t>
      </w:r>
      <w:r w:rsidR="004401C2" w:rsidRPr="001E60C7">
        <w:rPr>
          <w:lang w:val="en"/>
        </w:rPr>
        <w:t xml:space="preserve">he FWCI of papers co-authored by Australia and </w:t>
      </w:r>
      <w:r w:rsidR="00FE2931" w:rsidRPr="001E60C7">
        <w:rPr>
          <w:lang w:val="en"/>
        </w:rPr>
        <w:t xml:space="preserve">its top collaborating countries </w:t>
      </w:r>
      <w:r w:rsidR="009A40A0" w:rsidRPr="001E60C7">
        <w:rPr>
          <w:lang w:val="en"/>
        </w:rPr>
        <w:t>is</w:t>
      </w:r>
      <w:r w:rsidR="004401C2" w:rsidRPr="001E60C7">
        <w:rPr>
          <w:lang w:val="en"/>
        </w:rPr>
        <w:t xml:space="preserve"> significantly higher than any of the </w:t>
      </w:r>
      <w:r w:rsidR="006030F5" w:rsidRPr="001E60C7">
        <w:rPr>
          <w:lang w:val="en"/>
        </w:rPr>
        <w:t xml:space="preserve">individual </w:t>
      </w:r>
      <w:r w:rsidR="004401C2" w:rsidRPr="001E60C7">
        <w:rPr>
          <w:lang w:val="en"/>
        </w:rPr>
        <w:t xml:space="preserve">countries. </w:t>
      </w:r>
    </w:p>
    <w:p w14:paraId="5B38BD01" w14:textId="0E9BFD5B" w:rsidR="004401C2" w:rsidRPr="001E60C7" w:rsidRDefault="001B6BCD" w:rsidP="004401C2">
      <w:pPr>
        <w:spacing w:line="259" w:lineRule="auto"/>
        <w:rPr>
          <w:b/>
        </w:rPr>
      </w:pPr>
      <w:r w:rsidRPr="001E60C7">
        <w:rPr>
          <w:b/>
          <w:lang w:val="en"/>
        </w:rPr>
        <w:t>Table 3</w:t>
      </w:r>
      <w:r w:rsidR="002E1A17" w:rsidRPr="001E60C7">
        <w:rPr>
          <w:b/>
          <w:lang w:val="en"/>
        </w:rPr>
        <w:t xml:space="preserve"> – Field Weighted C</w:t>
      </w:r>
      <w:r w:rsidR="004401C2" w:rsidRPr="001E60C7">
        <w:rPr>
          <w:b/>
          <w:lang w:val="en"/>
        </w:rPr>
        <w:t xml:space="preserve">itation Impact </w:t>
      </w:r>
      <w:r w:rsidR="002E1A17" w:rsidRPr="001E60C7">
        <w:rPr>
          <w:b/>
          <w:lang w:val="en"/>
        </w:rPr>
        <w:t xml:space="preserve">(FWCI) </w:t>
      </w:r>
      <w:r w:rsidR="004401C2" w:rsidRPr="001E60C7">
        <w:rPr>
          <w:b/>
          <w:lang w:val="en"/>
        </w:rPr>
        <w:t>for Australia’s three major collaboration partners</w:t>
      </w:r>
    </w:p>
    <w:tbl>
      <w:tblPr>
        <w:tblStyle w:val="TableGrid"/>
        <w:tblW w:w="0" w:type="auto"/>
        <w:tblInd w:w="0" w:type="dxa"/>
        <w:tblLook w:val="04A0" w:firstRow="1" w:lastRow="0" w:firstColumn="1" w:lastColumn="0" w:noHBand="0" w:noVBand="1"/>
      </w:tblPr>
      <w:tblGrid>
        <w:gridCol w:w="1696"/>
        <w:gridCol w:w="2552"/>
        <w:gridCol w:w="1843"/>
        <w:gridCol w:w="2693"/>
      </w:tblGrid>
      <w:tr w:rsidR="004401C2" w:rsidRPr="001E60C7" w14:paraId="152B10E2" w14:textId="77777777" w:rsidTr="00373F1E">
        <w:tc>
          <w:tcPr>
            <w:tcW w:w="1696" w:type="dxa"/>
            <w:shd w:val="clear" w:color="auto" w:fill="002060"/>
          </w:tcPr>
          <w:p w14:paraId="2AB7A7EE" w14:textId="77777777" w:rsidR="004401C2" w:rsidRPr="001E60C7" w:rsidRDefault="004401C2" w:rsidP="00373F1E">
            <w:pPr>
              <w:rPr>
                <w:rFonts w:cstheme="minorHAnsi"/>
                <w:b/>
              </w:rPr>
            </w:pPr>
            <w:r w:rsidRPr="001E60C7">
              <w:rPr>
                <w:rFonts w:cstheme="minorHAnsi"/>
                <w:b/>
              </w:rPr>
              <w:t>Country</w:t>
            </w:r>
          </w:p>
        </w:tc>
        <w:tc>
          <w:tcPr>
            <w:tcW w:w="2552" w:type="dxa"/>
            <w:shd w:val="clear" w:color="auto" w:fill="002060"/>
          </w:tcPr>
          <w:p w14:paraId="62B223C2" w14:textId="3123E884" w:rsidR="004401C2" w:rsidRPr="001E60C7" w:rsidRDefault="00CD6F6E" w:rsidP="00981273">
            <w:pPr>
              <w:rPr>
                <w:rFonts w:cstheme="minorHAnsi"/>
                <w:b/>
              </w:rPr>
            </w:pPr>
            <w:r w:rsidRPr="001E60C7">
              <w:rPr>
                <w:rFonts w:cstheme="minorHAnsi"/>
                <w:b/>
              </w:rPr>
              <w:t>Joint p</w:t>
            </w:r>
            <w:r w:rsidR="004401C2" w:rsidRPr="001E60C7">
              <w:rPr>
                <w:rFonts w:cstheme="minorHAnsi"/>
                <w:b/>
              </w:rPr>
              <w:t>ublications with Australia (2016</w:t>
            </w:r>
            <w:r w:rsidR="00981273">
              <w:rPr>
                <w:rFonts w:cstheme="minorHAnsi"/>
                <w:b/>
              </w:rPr>
              <w:t>–</w:t>
            </w:r>
            <w:r w:rsidR="004401C2" w:rsidRPr="001E60C7">
              <w:rPr>
                <w:rFonts w:cstheme="minorHAnsi"/>
                <w:b/>
              </w:rPr>
              <w:t>2018)</w:t>
            </w:r>
          </w:p>
        </w:tc>
        <w:tc>
          <w:tcPr>
            <w:tcW w:w="1843" w:type="dxa"/>
            <w:shd w:val="clear" w:color="auto" w:fill="002060"/>
          </w:tcPr>
          <w:p w14:paraId="6712C28F" w14:textId="41CED174" w:rsidR="004401C2" w:rsidRPr="001E60C7" w:rsidRDefault="004401C2" w:rsidP="00373F1E">
            <w:pPr>
              <w:rPr>
                <w:rFonts w:cstheme="minorHAnsi"/>
                <w:b/>
              </w:rPr>
            </w:pPr>
            <w:r w:rsidRPr="001E60C7">
              <w:rPr>
                <w:rFonts w:cstheme="minorHAnsi"/>
                <w:b/>
              </w:rPr>
              <w:t>Individual FWCI</w:t>
            </w:r>
            <w:r w:rsidR="007A21E9" w:rsidRPr="001E60C7">
              <w:rPr>
                <w:rFonts w:cstheme="minorHAnsi"/>
                <w:b/>
              </w:rPr>
              <w:t>*</w:t>
            </w:r>
          </w:p>
        </w:tc>
        <w:tc>
          <w:tcPr>
            <w:tcW w:w="2693" w:type="dxa"/>
            <w:shd w:val="clear" w:color="auto" w:fill="002060"/>
          </w:tcPr>
          <w:p w14:paraId="55BED62B" w14:textId="77777777" w:rsidR="004401C2" w:rsidRPr="001E60C7" w:rsidRDefault="004401C2" w:rsidP="00373F1E">
            <w:pPr>
              <w:rPr>
                <w:rFonts w:cstheme="minorHAnsi"/>
                <w:b/>
              </w:rPr>
            </w:pPr>
            <w:r w:rsidRPr="001E60C7">
              <w:rPr>
                <w:rFonts w:cstheme="minorHAnsi"/>
                <w:b/>
              </w:rPr>
              <w:t>FWCI for collaborations with Australia</w:t>
            </w:r>
          </w:p>
        </w:tc>
      </w:tr>
      <w:tr w:rsidR="004401C2" w:rsidRPr="001E60C7" w14:paraId="74E63F22" w14:textId="77777777" w:rsidTr="00373F1E">
        <w:trPr>
          <w:trHeight w:val="340"/>
        </w:trPr>
        <w:tc>
          <w:tcPr>
            <w:tcW w:w="1696" w:type="dxa"/>
          </w:tcPr>
          <w:p w14:paraId="303358BD" w14:textId="77777777" w:rsidR="004401C2" w:rsidRPr="001E60C7" w:rsidRDefault="004401C2" w:rsidP="00373F1E">
            <w:pPr>
              <w:rPr>
                <w:rFonts w:cstheme="minorHAnsi"/>
              </w:rPr>
            </w:pPr>
            <w:r w:rsidRPr="001E60C7">
              <w:rPr>
                <w:rFonts w:cstheme="minorHAnsi"/>
              </w:rPr>
              <w:t>USA</w:t>
            </w:r>
          </w:p>
        </w:tc>
        <w:tc>
          <w:tcPr>
            <w:tcW w:w="2552" w:type="dxa"/>
          </w:tcPr>
          <w:p w14:paraId="3CE00BB3" w14:textId="77777777" w:rsidR="004401C2" w:rsidRPr="001E60C7" w:rsidRDefault="004401C2" w:rsidP="00373F1E">
            <w:pPr>
              <w:jc w:val="center"/>
              <w:rPr>
                <w:rFonts w:cstheme="minorHAnsi"/>
              </w:rPr>
            </w:pPr>
            <w:r w:rsidRPr="001E60C7">
              <w:rPr>
                <w:rFonts w:cstheme="minorHAnsi"/>
              </w:rPr>
              <w:t>45,578</w:t>
            </w:r>
          </w:p>
        </w:tc>
        <w:tc>
          <w:tcPr>
            <w:tcW w:w="1843" w:type="dxa"/>
          </w:tcPr>
          <w:p w14:paraId="7A2D9EFA" w14:textId="77777777" w:rsidR="004401C2" w:rsidRPr="001E60C7" w:rsidRDefault="004401C2" w:rsidP="00373F1E">
            <w:pPr>
              <w:jc w:val="center"/>
              <w:rPr>
                <w:rFonts w:cstheme="minorHAnsi"/>
              </w:rPr>
            </w:pPr>
            <w:r w:rsidRPr="001E60C7">
              <w:rPr>
                <w:rFonts w:cstheme="minorHAnsi"/>
              </w:rPr>
              <w:t>1.41</w:t>
            </w:r>
          </w:p>
        </w:tc>
        <w:tc>
          <w:tcPr>
            <w:tcW w:w="2693" w:type="dxa"/>
          </w:tcPr>
          <w:p w14:paraId="4338CB91" w14:textId="77777777" w:rsidR="004401C2" w:rsidRPr="001E60C7" w:rsidRDefault="004401C2" w:rsidP="00373F1E">
            <w:pPr>
              <w:jc w:val="center"/>
              <w:rPr>
                <w:rFonts w:cstheme="minorHAnsi"/>
              </w:rPr>
            </w:pPr>
            <w:r w:rsidRPr="001E60C7">
              <w:rPr>
                <w:rFonts w:cstheme="minorHAnsi"/>
              </w:rPr>
              <w:t>2.96</w:t>
            </w:r>
          </w:p>
        </w:tc>
      </w:tr>
      <w:tr w:rsidR="004401C2" w:rsidRPr="001E60C7" w14:paraId="1D95C010" w14:textId="77777777" w:rsidTr="00373F1E">
        <w:trPr>
          <w:trHeight w:val="340"/>
        </w:trPr>
        <w:tc>
          <w:tcPr>
            <w:tcW w:w="1696" w:type="dxa"/>
          </w:tcPr>
          <w:p w14:paraId="4010E3CD" w14:textId="77777777" w:rsidR="004401C2" w:rsidRPr="001E60C7" w:rsidRDefault="004401C2" w:rsidP="00373F1E">
            <w:pPr>
              <w:rPr>
                <w:rFonts w:cstheme="minorHAnsi"/>
              </w:rPr>
            </w:pPr>
            <w:r w:rsidRPr="001E60C7">
              <w:rPr>
                <w:rFonts w:cstheme="minorHAnsi"/>
              </w:rPr>
              <w:t>China</w:t>
            </w:r>
          </w:p>
        </w:tc>
        <w:tc>
          <w:tcPr>
            <w:tcW w:w="2552" w:type="dxa"/>
          </w:tcPr>
          <w:p w14:paraId="63001167" w14:textId="77777777" w:rsidR="004401C2" w:rsidRPr="001E60C7" w:rsidRDefault="004401C2" w:rsidP="00373F1E">
            <w:pPr>
              <w:jc w:val="center"/>
              <w:rPr>
                <w:rFonts w:cstheme="minorHAnsi"/>
              </w:rPr>
            </w:pPr>
            <w:r w:rsidRPr="001E60C7">
              <w:rPr>
                <w:rFonts w:cstheme="minorHAnsi"/>
              </w:rPr>
              <w:t>34,137</w:t>
            </w:r>
          </w:p>
        </w:tc>
        <w:tc>
          <w:tcPr>
            <w:tcW w:w="1843" w:type="dxa"/>
          </w:tcPr>
          <w:p w14:paraId="14A885C5" w14:textId="77777777" w:rsidR="004401C2" w:rsidRPr="001E60C7" w:rsidRDefault="004401C2" w:rsidP="00373F1E">
            <w:pPr>
              <w:jc w:val="center"/>
              <w:rPr>
                <w:rFonts w:cstheme="minorHAnsi"/>
              </w:rPr>
            </w:pPr>
            <w:r w:rsidRPr="001E60C7">
              <w:rPr>
                <w:rFonts w:cstheme="minorHAnsi"/>
              </w:rPr>
              <w:t>1.01</w:t>
            </w:r>
          </w:p>
        </w:tc>
        <w:tc>
          <w:tcPr>
            <w:tcW w:w="2693" w:type="dxa"/>
          </w:tcPr>
          <w:p w14:paraId="202098E1" w14:textId="77777777" w:rsidR="004401C2" w:rsidRPr="001E60C7" w:rsidRDefault="004401C2" w:rsidP="00373F1E">
            <w:pPr>
              <w:jc w:val="center"/>
              <w:rPr>
                <w:rFonts w:cstheme="minorHAnsi"/>
              </w:rPr>
            </w:pPr>
            <w:r w:rsidRPr="001E60C7">
              <w:rPr>
                <w:rFonts w:cstheme="minorHAnsi"/>
              </w:rPr>
              <w:t>2.40</w:t>
            </w:r>
          </w:p>
        </w:tc>
      </w:tr>
      <w:tr w:rsidR="004401C2" w:rsidRPr="001E60C7" w14:paraId="6CED11E6" w14:textId="77777777" w:rsidTr="00373F1E">
        <w:trPr>
          <w:trHeight w:val="340"/>
        </w:trPr>
        <w:tc>
          <w:tcPr>
            <w:tcW w:w="1696" w:type="dxa"/>
          </w:tcPr>
          <w:p w14:paraId="14F5F4DD" w14:textId="77777777" w:rsidR="004401C2" w:rsidRPr="001E60C7" w:rsidRDefault="004401C2" w:rsidP="00373F1E">
            <w:pPr>
              <w:rPr>
                <w:rFonts w:cstheme="minorHAnsi"/>
              </w:rPr>
            </w:pPr>
            <w:r w:rsidRPr="001E60C7">
              <w:rPr>
                <w:rFonts w:cstheme="minorHAnsi"/>
              </w:rPr>
              <w:t>UK</w:t>
            </w:r>
          </w:p>
        </w:tc>
        <w:tc>
          <w:tcPr>
            <w:tcW w:w="2552" w:type="dxa"/>
          </w:tcPr>
          <w:p w14:paraId="3ABF8DF7" w14:textId="77777777" w:rsidR="004401C2" w:rsidRPr="001E60C7" w:rsidRDefault="004401C2" w:rsidP="00373F1E">
            <w:pPr>
              <w:jc w:val="center"/>
              <w:rPr>
                <w:rFonts w:cstheme="minorHAnsi"/>
              </w:rPr>
            </w:pPr>
            <w:r w:rsidRPr="001E60C7">
              <w:rPr>
                <w:rFonts w:cstheme="minorHAnsi"/>
              </w:rPr>
              <w:t>33,535</w:t>
            </w:r>
          </w:p>
        </w:tc>
        <w:tc>
          <w:tcPr>
            <w:tcW w:w="1843" w:type="dxa"/>
          </w:tcPr>
          <w:p w14:paraId="61B601BD" w14:textId="77777777" w:rsidR="004401C2" w:rsidRPr="001E60C7" w:rsidRDefault="004401C2" w:rsidP="00373F1E">
            <w:pPr>
              <w:jc w:val="center"/>
              <w:rPr>
                <w:rFonts w:cstheme="minorHAnsi"/>
              </w:rPr>
            </w:pPr>
            <w:r w:rsidRPr="001E60C7">
              <w:rPr>
                <w:rFonts w:cstheme="minorHAnsi"/>
              </w:rPr>
              <w:t>1.58</w:t>
            </w:r>
          </w:p>
        </w:tc>
        <w:tc>
          <w:tcPr>
            <w:tcW w:w="2693" w:type="dxa"/>
          </w:tcPr>
          <w:p w14:paraId="1E6D94AA" w14:textId="77777777" w:rsidR="004401C2" w:rsidRPr="001E60C7" w:rsidRDefault="004401C2" w:rsidP="00373F1E">
            <w:pPr>
              <w:jc w:val="center"/>
              <w:rPr>
                <w:rFonts w:cstheme="minorHAnsi"/>
              </w:rPr>
            </w:pPr>
            <w:r w:rsidRPr="001E60C7">
              <w:rPr>
                <w:rFonts w:cstheme="minorHAnsi"/>
              </w:rPr>
              <w:t>3.12</w:t>
            </w:r>
          </w:p>
        </w:tc>
      </w:tr>
    </w:tbl>
    <w:p w14:paraId="5DD4A415" w14:textId="189A057C" w:rsidR="004401C2" w:rsidRPr="001E60C7" w:rsidRDefault="004401C2" w:rsidP="004401C2">
      <w:pPr>
        <w:spacing w:before="17" w:line="200" w:lineRule="exact"/>
        <w:rPr>
          <w:rFonts w:eastAsia="Calibri"/>
          <w:spacing w:val="1"/>
          <w:position w:val="1"/>
          <w:sz w:val="16"/>
          <w:szCs w:val="16"/>
        </w:rPr>
      </w:pPr>
      <w:r w:rsidRPr="001E60C7">
        <w:rPr>
          <w:rFonts w:eastAsia="Calibri"/>
          <w:position w:val="1"/>
          <w:sz w:val="16"/>
          <w:szCs w:val="16"/>
        </w:rPr>
        <w:t>S</w:t>
      </w:r>
      <w:r w:rsidRPr="001E60C7">
        <w:rPr>
          <w:rFonts w:eastAsia="Calibri"/>
          <w:spacing w:val="-1"/>
          <w:position w:val="1"/>
          <w:sz w:val="16"/>
          <w:szCs w:val="16"/>
        </w:rPr>
        <w:t>o</w:t>
      </w:r>
      <w:r w:rsidRPr="001E60C7">
        <w:rPr>
          <w:rFonts w:eastAsia="Calibri"/>
          <w:position w:val="1"/>
          <w:sz w:val="16"/>
          <w:szCs w:val="16"/>
        </w:rPr>
        <w:t>u</w:t>
      </w:r>
      <w:r w:rsidRPr="001E60C7">
        <w:rPr>
          <w:rFonts w:eastAsia="Calibri"/>
          <w:spacing w:val="-1"/>
          <w:position w:val="1"/>
          <w:sz w:val="16"/>
          <w:szCs w:val="16"/>
        </w:rPr>
        <w:t>rce</w:t>
      </w:r>
      <w:r w:rsidRPr="001E60C7">
        <w:rPr>
          <w:rFonts w:eastAsia="Calibri"/>
          <w:position w:val="1"/>
          <w:sz w:val="16"/>
          <w:szCs w:val="16"/>
        </w:rPr>
        <w:t xml:space="preserve">: </w:t>
      </w:r>
      <w:r w:rsidR="00971B24" w:rsidRPr="001E60C7">
        <w:rPr>
          <w:rFonts w:eastAsia="Calibri"/>
          <w:position w:val="1"/>
          <w:sz w:val="16"/>
          <w:szCs w:val="16"/>
        </w:rPr>
        <w:t xml:space="preserve">SciVal </w:t>
      </w:r>
      <w:r w:rsidRPr="001E60C7">
        <w:rPr>
          <w:rFonts w:eastAsia="Calibri"/>
          <w:spacing w:val="1"/>
          <w:position w:val="1"/>
          <w:sz w:val="16"/>
          <w:szCs w:val="16"/>
        </w:rPr>
        <w:t>– 19 June 2019</w:t>
      </w:r>
      <w:r w:rsidR="00971B24" w:rsidRPr="001E60C7">
        <w:rPr>
          <w:rFonts w:eastAsia="Calibri"/>
          <w:spacing w:val="1"/>
          <w:position w:val="1"/>
          <w:sz w:val="16"/>
          <w:szCs w:val="16"/>
        </w:rPr>
        <w:t>.</w:t>
      </w:r>
    </w:p>
    <w:p w14:paraId="41A79976" w14:textId="77777777" w:rsidR="004401C2" w:rsidRPr="001E60C7" w:rsidRDefault="004401C2" w:rsidP="004401C2">
      <w:pPr>
        <w:spacing w:before="17" w:line="200" w:lineRule="exact"/>
        <w:rPr>
          <w:rFonts w:eastAsia="Calibri"/>
          <w:spacing w:val="1"/>
          <w:position w:val="1"/>
          <w:sz w:val="16"/>
          <w:szCs w:val="16"/>
        </w:rPr>
      </w:pPr>
    </w:p>
    <w:p w14:paraId="7CC5FFA2" w14:textId="25C5D913" w:rsidR="00B66389" w:rsidRPr="001E60C7" w:rsidRDefault="004401C2" w:rsidP="00B66389">
      <w:pPr>
        <w:spacing w:after="160" w:line="259" w:lineRule="auto"/>
        <w:rPr>
          <w:lang w:val="en"/>
        </w:rPr>
      </w:pPr>
      <w:r w:rsidRPr="001E60C7">
        <w:rPr>
          <w:lang w:val="en"/>
        </w:rPr>
        <w:t xml:space="preserve">Notwithstanding the reciprocal benefits </w:t>
      </w:r>
      <w:r w:rsidR="009A40A0" w:rsidRPr="001E60C7">
        <w:rPr>
          <w:lang w:val="en"/>
        </w:rPr>
        <w:t xml:space="preserve">of </w:t>
      </w:r>
      <w:r w:rsidRPr="001E60C7">
        <w:rPr>
          <w:lang w:val="en"/>
        </w:rPr>
        <w:t xml:space="preserve">research collaboration, there has been </w:t>
      </w:r>
      <w:r w:rsidR="00223464" w:rsidRPr="001E60C7">
        <w:rPr>
          <w:lang w:val="en"/>
        </w:rPr>
        <w:t xml:space="preserve">media and other </w:t>
      </w:r>
      <w:r w:rsidRPr="001E60C7">
        <w:rPr>
          <w:lang w:val="en"/>
        </w:rPr>
        <w:t xml:space="preserve">public commentary </w:t>
      </w:r>
      <w:r w:rsidR="008816B6" w:rsidRPr="001E60C7">
        <w:rPr>
          <w:lang w:val="en"/>
        </w:rPr>
        <w:t xml:space="preserve">suggesting </w:t>
      </w:r>
      <w:r w:rsidR="00F64C3B" w:rsidRPr="001E60C7">
        <w:rPr>
          <w:lang w:val="en"/>
        </w:rPr>
        <w:t>the</w:t>
      </w:r>
      <w:r w:rsidR="00473C70" w:rsidRPr="001E60C7">
        <w:rPr>
          <w:lang w:val="en"/>
        </w:rPr>
        <w:t>re are</w:t>
      </w:r>
      <w:r w:rsidR="00F64C3B" w:rsidRPr="001E60C7">
        <w:rPr>
          <w:lang w:val="en"/>
        </w:rPr>
        <w:t xml:space="preserve"> security risks arising from collaboration between university researchers in Australia and Chinese scientists affiliated with</w:t>
      </w:r>
      <w:r w:rsidRPr="001E60C7">
        <w:rPr>
          <w:lang w:val="en"/>
        </w:rPr>
        <w:t xml:space="preserve"> </w:t>
      </w:r>
      <w:r w:rsidR="00E953C0" w:rsidRPr="001E60C7">
        <w:rPr>
          <w:lang w:val="en"/>
        </w:rPr>
        <w:t>the</w:t>
      </w:r>
      <w:r w:rsidR="00F64C3B" w:rsidRPr="001E60C7">
        <w:rPr>
          <w:lang w:val="en"/>
        </w:rPr>
        <w:t xml:space="preserve"> </w:t>
      </w:r>
      <w:r w:rsidRPr="001E60C7">
        <w:rPr>
          <w:lang w:val="en"/>
        </w:rPr>
        <w:t xml:space="preserve">People’s Liberation Army. </w:t>
      </w:r>
      <w:r w:rsidR="006A7B26" w:rsidRPr="001E60C7">
        <w:rPr>
          <w:lang w:val="en"/>
        </w:rPr>
        <w:t xml:space="preserve">It is </w:t>
      </w:r>
      <w:r w:rsidR="008816B6" w:rsidRPr="001E60C7">
        <w:rPr>
          <w:lang w:val="en"/>
        </w:rPr>
        <w:t>argued t</w:t>
      </w:r>
      <w:r w:rsidRPr="001E60C7">
        <w:rPr>
          <w:lang w:val="en"/>
        </w:rPr>
        <w:t xml:space="preserve">hese </w:t>
      </w:r>
      <w:r w:rsidR="00F64C3B" w:rsidRPr="001E60C7">
        <w:rPr>
          <w:lang w:val="en"/>
        </w:rPr>
        <w:t>col</w:t>
      </w:r>
      <w:r w:rsidR="008816B6" w:rsidRPr="001E60C7">
        <w:rPr>
          <w:lang w:val="en"/>
        </w:rPr>
        <w:t xml:space="preserve">laborative research activities </w:t>
      </w:r>
      <w:r w:rsidRPr="001E60C7">
        <w:rPr>
          <w:lang w:val="en"/>
        </w:rPr>
        <w:t xml:space="preserve">may facilitate technology transfer in the </w:t>
      </w:r>
      <w:r w:rsidR="00B50C12" w:rsidRPr="001E60C7">
        <w:rPr>
          <w:lang w:val="en"/>
        </w:rPr>
        <w:t xml:space="preserve">security and </w:t>
      </w:r>
      <w:r w:rsidRPr="001E60C7">
        <w:rPr>
          <w:lang w:val="en"/>
        </w:rPr>
        <w:t>military sphere.</w:t>
      </w:r>
      <w:r w:rsidR="004D7C6B" w:rsidRPr="001E60C7">
        <w:rPr>
          <w:rStyle w:val="FootnoteReference"/>
          <w:lang w:val="en"/>
        </w:rPr>
        <w:footnoteReference w:id="33"/>
      </w:r>
      <w:r w:rsidRPr="001E60C7">
        <w:rPr>
          <w:lang w:val="en"/>
        </w:rPr>
        <w:t xml:space="preserve"> </w:t>
      </w:r>
      <w:r w:rsidR="009A40A0" w:rsidRPr="001E60C7">
        <w:rPr>
          <w:lang w:val="en"/>
        </w:rPr>
        <w:t>W</w:t>
      </w:r>
      <w:r w:rsidRPr="001E60C7">
        <w:rPr>
          <w:lang w:val="en"/>
        </w:rPr>
        <w:t xml:space="preserve">hile it is important to continue to encourage more research collaboration between universities and academics, </w:t>
      </w:r>
      <w:r w:rsidR="0040447A" w:rsidRPr="001E60C7">
        <w:rPr>
          <w:lang w:val="en"/>
        </w:rPr>
        <w:t xml:space="preserve">Australia should also </w:t>
      </w:r>
      <w:r w:rsidRPr="001E60C7">
        <w:rPr>
          <w:lang w:val="en"/>
        </w:rPr>
        <w:t>establish rules and mechanisms to safeguard academic values and integrity</w:t>
      </w:r>
      <w:r w:rsidR="00F64C3B" w:rsidRPr="001E60C7">
        <w:rPr>
          <w:lang w:val="en"/>
        </w:rPr>
        <w:t xml:space="preserve"> in areas of research that may present </w:t>
      </w:r>
      <w:r w:rsidR="00FF188B" w:rsidRPr="001E60C7">
        <w:rPr>
          <w:lang w:val="en"/>
        </w:rPr>
        <w:t xml:space="preserve">risks to Australia’s </w:t>
      </w:r>
      <w:r w:rsidR="00F64C3B" w:rsidRPr="001E60C7">
        <w:rPr>
          <w:lang w:val="en"/>
        </w:rPr>
        <w:t xml:space="preserve">national </w:t>
      </w:r>
      <w:r w:rsidR="00FF188B" w:rsidRPr="001E60C7">
        <w:rPr>
          <w:lang w:val="en"/>
        </w:rPr>
        <w:t>interests</w:t>
      </w:r>
      <w:r w:rsidR="00F64C3B" w:rsidRPr="001E60C7">
        <w:rPr>
          <w:lang w:val="en"/>
        </w:rPr>
        <w:t>, as</w:t>
      </w:r>
      <w:r w:rsidRPr="001E60C7">
        <w:rPr>
          <w:lang w:val="en"/>
        </w:rPr>
        <w:t xml:space="preserve"> identified by </w:t>
      </w:r>
      <w:r w:rsidR="00F64C3B" w:rsidRPr="001E60C7">
        <w:rPr>
          <w:lang w:val="en"/>
        </w:rPr>
        <w:t>Australia’s intelligence agencies.</w:t>
      </w:r>
    </w:p>
    <w:p w14:paraId="7EF45B9B" w14:textId="0AEC0893" w:rsidR="00373F1E" w:rsidRPr="001E60C7" w:rsidRDefault="00CD6F6E" w:rsidP="009A40A0">
      <w:pPr>
        <w:pStyle w:val="BasicParagraph"/>
        <w:numPr>
          <w:ilvl w:val="1"/>
          <w:numId w:val="2"/>
        </w:numPr>
        <w:spacing w:before="240" w:after="160"/>
        <w:textAlignment w:val="center"/>
        <w:rPr>
          <w:rFonts w:asciiTheme="minorHAnsi" w:hAnsiTheme="minorHAnsi" w:cstheme="minorHAnsi"/>
          <w:b/>
          <w:bCs/>
          <w:color w:val="246EB9"/>
          <w:sz w:val="32"/>
          <w:szCs w:val="32"/>
        </w:rPr>
      </w:pPr>
      <w:r w:rsidRPr="001E60C7">
        <w:rPr>
          <w:rFonts w:asciiTheme="minorHAnsi" w:hAnsiTheme="minorHAnsi" w:cstheme="minorHAnsi"/>
          <w:b/>
          <w:bCs/>
          <w:color w:val="4472C4" w:themeColor="accent5"/>
          <w:sz w:val="32"/>
          <w:szCs w:val="32"/>
          <w:lang w:val="en-AU"/>
        </w:rPr>
        <w:t>Trends</w:t>
      </w:r>
      <w:r w:rsidRPr="001E60C7">
        <w:rPr>
          <w:rFonts w:asciiTheme="minorHAnsi" w:hAnsiTheme="minorHAnsi" w:cstheme="minorHAnsi"/>
          <w:b/>
          <w:bCs/>
          <w:color w:val="246EB9"/>
          <w:sz w:val="32"/>
          <w:szCs w:val="32"/>
        </w:rPr>
        <w:t xml:space="preserve"> in student m</w:t>
      </w:r>
      <w:r w:rsidR="00373F1E" w:rsidRPr="001E60C7">
        <w:rPr>
          <w:rFonts w:asciiTheme="minorHAnsi" w:hAnsiTheme="minorHAnsi" w:cstheme="minorHAnsi"/>
          <w:b/>
          <w:bCs/>
          <w:color w:val="246EB9"/>
          <w:sz w:val="32"/>
          <w:szCs w:val="32"/>
        </w:rPr>
        <w:t>obility: Australia to China</w:t>
      </w:r>
    </w:p>
    <w:p w14:paraId="7F6B3474" w14:textId="42C4906A" w:rsidR="00373F1E" w:rsidRPr="001E60C7" w:rsidRDefault="00373F1E" w:rsidP="00373F1E">
      <w:pPr>
        <w:spacing w:after="160" w:line="259" w:lineRule="auto"/>
      </w:pPr>
      <w:r w:rsidRPr="001E60C7">
        <w:lastRenderedPageBreak/>
        <w:t>The Australian Government</w:t>
      </w:r>
      <w:r w:rsidR="00E953C0" w:rsidRPr="001E60C7">
        <w:t xml:space="preserve"> </w:t>
      </w:r>
      <w:r w:rsidRPr="001E60C7">
        <w:t>is committed to supporting international student mobility through a range of scholarships, fellowships and grants, including the New Colombo Plan, where China</w:t>
      </w:r>
      <w:r w:rsidRPr="001E60C7">
        <w:rPr>
          <w:lang w:val="en-US"/>
        </w:rPr>
        <w:t xml:space="preserve"> has been a key destination. These and other initiatives are helping to lift knowledge of China in Australia and strengthen people-to-people and institutional relationships, through study and work integrated learning </w:t>
      </w:r>
      <w:r w:rsidRPr="001E60C7">
        <w:t>undertaken</w:t>
      </w:r>
      <w:r w:rsidRPr="001E60C7">
        <w:rPr>
          <w:lang w:val="en-US"/>
        </w:rPr>
        <w:t xml:space="preserve"> by Australian undergraduate students.</w:t>
      </w:r>
    </w:p>
    <w:p w14:paraId="4EC83CC0" w14:textId="524A82D4" w:rsidR="00373F1E" w:rsidRPr="001E60C7" w:rsidRDefault="00373F1E" w:rsidP="00373F1E">
      <w:pPr>
        <w:spacing w:after="160" w:line="259" w:lineRule="auto"/>
      </w:pPr>
      <w:r w:rsidRPr="001E60C7">
        <w:t xml:space="preserve">According to the most recent available data from the MoE, 5,070 Australian students were studying in China in 2017. The latest </w:t>
      </w:r>
      <w:r w:rsidRPr="001E60C7">
        <w:rPr>
          <w:iCs/>
        </w:rPr>
        <w:t>Australian Universities Student Mobility</w:t>
      </w:r>
      <w:r w:rsidRPr="001E60C7">
        <w:rPr>
          <w:i/>
          <w:iCs/>
        </w:rPr>
        <w:t xml:space="preserve"> </w:t>
      </w:r>
      <w:r w:rsidRPr="001E60C7">
        <w:t>survey (undertaken by the Australian Universities International Directors’ Forum) shows that in 2016 China was the most popular Asian destination and the second most popular study abroad destination globally, after the United States.</w:t>
      </w:r>
      <w:r w:rsidRPr="001E60C7">
        <w:rPr>
          <w:rStyle w:val="FootnoteReference"/>
        </w:rPr>
        <w:footnoteReference w:id="34"/>
      </w:r>
      <w:r w:rsidR="00755589" w:rsidRPr="001E60C7">
        <w:t xml:space="preserve"> </w:t>
      </w:r>
    </w:p>
    <w:p w14:paraId="72CF8044" w14:textId="581ED599" w:rsidR="00373F1E" w:rsidRPr="001E60C7" w:rsidRDefault="00373F1E" w:rsidP="00373F1E">
      <w:pPr>
        <w:rPr>
          <w:b/>
          <w:lang w:eastAsia="zh-TW"/>
        </w:rPr>
      </w:pPr>
      <w:r w:rsidRPr="001E60C7">
        <w:rPr>
          <w:b/>
          <w:lang w:eastAsia="zh-TW"/>
        </w:rPr>
        <w:t xml:space="preserve">Table </w:t>
      </w:r>
      <w:r w:rsidR="00FF188B" w:rsidRPr="001E60C7">
        <w:rPr>
          <w:b/>
          <w:lang w:eastAsia="zh-TW"/>
        </w:rPr>
        <w:t>4</w:t>
      </w:r>
      <w:r w:rsidRPr="001E60C7">
        <w:rPr>
          <w:b/>
          <w:lang w:eastAsia="zh-TW"/>
        </w:rPr>
        <w:t xml:space="preserve"> – </w:t>
      </w:r>
      <w:r w:rsidR="008816B6" w:rsidRPr="001E60C7">
        <w:rPr>
          <w:b/>
          <w:lang w:eastAsia="zh-TW"/>
        </w:rPr>
        <w:t xml:space="preserve">Australia to China </w:t>
      </w:r>
      <w:r w:rsidR="00CD6F6E" w:rsidRPr="001E60C7">
        <w:rPr>
          <w:b/>
          <w:lang w:eastAsia="zh-TW"/>
        </w:rPr>
        <w:t>s</w:t>
      </w:r>
      <w:r w:rsidRPr="001E60C7">
        <w:rPr>
          <w:b/>
          <w:lang w:eastAsia="zh-TW"/>
        </w:rPr>
        <w:t xml:space="preserve">tudent mobility </w:t>
      </w:r>
      <w:r w:rsidR="008816B6" w:rsidRPr="001E60C7">
        <w:rPr>
          <w:b/>
          <w:lang w:eastAsia="zh-TW"/>
        </w:rPr>
        <w:t>supported by Australian Government scholarships</w:t>
      </w:r>
    </w:p>
    <w:tbl>
      <w:tblPr>
        <w:tblW w:w="8349" w:type="dxa"/>
        <w:tblInd w:w="5" w:type="dxa"/>
        <w:tblCellMar>
          <w:left w:w="0" w:type="dxa"/>
          <w:right w:w="0" w:type="dxa"/>
        </w:tblCellMar>
        <w:tblLook w:val="04A0" w:firstRow="1" w:lastRow="0" w:firstColumn="1" w:lastColumn="0" w:noHBand="0" w:noVBand="1"/>
      </w:tblPr>
      <w:tblGrid>
        <w:gridCol w:w="4380"/>
        <w:gridCol w:w="2126"/>
        <w:gridCol w:w="1843"/>
      </w:tblGrid>
      <w:tr w:rsidR="00373F1E" w:rsidRPr="001E60C7" w14:paraId="39B1AB68" w14:textId="77777777" w:rsidTr="00373F1E">
        <w:trPr>
          <w:trHeight w:val="336"/>
        </w:trPr>
        <w:tc>
          <w:tcPr>
            <w:tcW w:w="8349" w:type="dxa"/>
            <w:gridSpan w:val="3"/>
            <w:tcBorders>
              <w:top w:val="single" w:sz="8" w:space="0" w:color="000000"/>
              <w:left w:val="single" w:sz="8" w:space="0" w:color="000000"/>
              <w:bottom w:val="single" w:sz="8" w:space="0" w:color="000000"/>
              <w:right w:val="single" w:sz="8" w:space="0" w:color="000000"/>
            </w:tcBorders>
            <w:shd w:val="clear" w:color="auto" w:fill="17365D"/>
            <w:hideMark/>
          </w:tcPr>
          <w:p w14:paraId="1D78ADD6" w14:textId="23D3921F" w:rsidR="00373F1E" w:rsidRPr="001E60C7" w:rsidRDefault="00373F1E" w:rsidP="00373F1E">
            <w:pPr>
              <w:ind w:left="188" w:right="-20"/>
            </w:pPr>
            <w:r w:rsidRPr="001E60C7">
              <w:rPr>
                <w:b/>
                <w:bCs/>
                <w:color w:val="FFFFFF"/>
                <w:spacing w:val="-1"/>
              </w:rPr>
              <w:t>S</w:t>
            </w:r>
            <w:r w:rsidRPr="001E60C7">
              <w:rPr>
                <w:b/>
                <w:bCs/>
                <w:color w:val="FFFFFF"/>
              </w:rPr>
              <w:t>t</w:t>
            </w:r>
            <w:r w:rsidRPr="001E60C7">
              <w:rPr>
                <w:b/>
                <w:bCs/>
                <w:color w:val="FFFFFF"/>
                <w:spacing w:val="-1"/>
              </w:rPr>
              <w:t>uden</w:t>
            </w:r>
            <w:r w:rsidRPr="001E60C7">
              <w:rPr>
                <w:b/>
                <w:bCs/>
                <w:color w:val="FFFFFF"/>
              </w:rPr>
              <w:t>t</w:t>
            </w:r>
            <w:r w:rsidRPr="001E60C7">
              <w:rPr>
                <w:b/>
                <w:bCs/>
                <w:color w:val="FFFFFF"/>
                <w:spacing w:val="1"/>
              </w:rPr>
              <w:t xml:space="preserve"> </w:t>
            </w:r>
            <w:r w:rsidRPr="001E60C7">
              <w:rPr>
                <w:b/>
                <w:bCs/>
                <w:color w:val="FFFFFF"/>
              </w:rPr>
              <w:t>m</w:t>
            </w:r>
            <w:r w:rsidRPr="001E60C7">
              <w:rPr>
                <w:b/>
                <w:bCs/>
                <w:color w:val="FFFFFF"/>
                <w:spacing w:val="-1"/>
              </w:rPr>
              <w:t>ob</w:t>
            </w:r>
            <w:r w:rsidRPr="001E60C7">
              <w:rPr>
                <w:b/>
                <w:bCs/>
                <w:color w:val="FFFFFF"/>
                <w:spacing w:val="1"/>
              </w:rPr>
              <w:t>ili</w:t>
            </w:r>
            <w:r w:rsidRPr="001E60C7">
              <w:rPr>
                <w:b/>
                <w:bCs/>
                <w:color w:val="FFFFFF"/>
                <w:spacing w:val="-2"/>
              </w:rPr>
              <w:t>t</w:t>
            </w:r>
            <w:r w:rsidRPr="001E60C7">
              <w:rPr>
                <w:b/>
                <w:bCs/>
                <w:color w:val="FFFFFF"/>
              </w:rPr>
              <w:t>y</w:t>
            </w:r>
            <w:r w:rsidRPr="001E60C7">
              <w:rPr>
                <w:b/>
                <w:bCs/>
                <w:color w:val="FFFFFF"/>
                <w:spacing w:val="1"/>
              </w:rPr>
              <w:t xml:space="preserve"> programs – Australia to China</w:t>
            </w:r>
          </w:p>
        </w:tc>
      </w:tr>
      <w:tr w:rsidR="00373F1E" w:rsidRPr="001E60C7" w14:paraId="2DA0F846" w14:textId="77777777" w:rsidTr="00373F1E">
        <w:trPr>
          <w:trHeight w:hRule="exact" w:val="278"/>
        </w:trPr>
        <w:tc>
          <w:tcPr>
            <w:tcW w:w="4380" w:type="dxa"/>
            <w:tcBorders>
              <w:top w:val="nil"/>
              <w:left w:val="single" w:sz="8" w:space="0" w:color="000000"/>
              <w:bottom w:val="single" w:sz="8" w:space="0" w:color="000000"/>
              <w:right w:val="single" w:sz="8" w:space="0" w:color="000000"/>
            </w:tcBorders>
            <w:vAlign w:val="center"/>
            <w:hideMark/>
          </w:tcPr>
          <w:p w14:paraId="70098540" w14:textId="79789928" w:rsidR="00373F1E" w:rsidRPr="001E60C7" w:rsidRDefault="00373F1E" w:rsidP="00373F1E">
            <w:pPr>
              <w:rPr>
                <w:rFonts w:eastAsiaTheme="minorHAnsi"/>
                <w:lang w:eastAsia="zh-TW"/>
              </w:rPr>
            </w:pPr>
            <w:r w:rsidRPr="001E60C7">
              <w:rPr>
                <w:rFonts w:eastAsiaTheme="minorHAnsi"/>
                <w:bCs/>
                <w:lang w:eastAsia="zh-TW"/>
              </w:rPr>
              <w:t xml:space="preserve"> Endeavour Scholarships and Fellowships</w:t>
            </w:r>
          </w:p>
        </w:tc>
        <w:tc>
          <w:tcPr>
            <w:tcW w:w="2126" w:type="dxa"/>
            <w:tcBorders>
              <w:top w:val="nil"/>
              <w:left w:val="nil"/>
              <w:bottom w:val="single" w:sz="8" w:space="0" w:color="000000"/>
              <w:right w:val="single" w:sz="8" w:space="0" w:color="000000"/>
            </w:tcBorders>
            <w:hideMark/>
          </w:tcPr>
          <w:p w14:paraId="06E03676" w14:textId="09DC5EEA" w:rsidR="00373F1E" w:rsidRPr="001E60C7" w:rsidRDefault="00373F1E" w:rsidP="00373F1E">
            <w:pPr>
              <w:ind w:left="142" w:right="142"/>
              <w:jc w:val="right"/>
              <w:rPr>
                <w:lang w:eastAsia="zh-TW"/>
              </w:rPr>
            </w:pPr>
            <w:r w:rsidRPr="001E60C7">
              <w:rPr>
                <w:spacing w:val="1"/>
              </w:rPr>
              <w:t>2</w:t>
            </w:r>
            <w:r w:rsidRPr="001E60C7">
              <w:rPr>
                <w:spacing w:val="-2"/>
              </w:rPr>
              <w:t>0</w:t>
            </w:r>
            <w:r w:rsidRPr="001E60C7">
              <w:rPr>
                <w:spacing w:val="1"/>
              </w:rPr>
              <w:t>07</w:t>
            </w:r>
            <w:r w:rsidR="00716CD3">
              <w:rPr>
                <w:spacing w:val="-3"/>
              </w:rPr>
              <w:t>–</w:t>
            </w:r>
            <w:r w:rsidRPr="001E60C7">
              <w:rPr>
                <w:spacing w:val="1"/>
              </w:rPr>
              <w:t>2</w:t>
            </w:r>
            <w:r w:rsidRPr="001E60C7">
              <w:rPr>
                <w:spacing w:val="-2"/>
              </w:rPr>
              <w:t>0</w:t>
            </w:r>
            <w:r w:rsidRPr="001E60C7">
              <w:rPr>
                <w:spacing w:val="1"/>
              </w:rPr>
              <w:t>1</w:t>
            </w:r>
            <w:r w:rsidRPr="001E60C7">
              <w:t>8</w:t>
            </w:r>
          </w:p>
        </w:tc>
        <w:tc>
          <w:tcPr>
            <w:tcW w:w="1843" w:type="dxa"/>
            <w:tcBorders>
              <w:top w:val="nil"/>
              <w:left w:val="nil"/>
              <w:bottom w:val="single" w:sz="8" w:space="0" w:color="000000"/>
              <w:right w:val="single" w:sz="8" w:space="0" w:color="000000"/>
            </w:tcBorders>
            <w:vAlign w:val="center"/>
            <w:hideMark/>
          </w:tcPr>
          <w:p w14:paraId="6295F33B" w14:textId="77777777" w:rsidR="00373F1E" w:rsidRPr="001E60C7" w:rsidRDefault="00373F1E" w:rsidP="00373F1E">
            <w:pPr>
              <w:ind w:right="142"/>
              <w:jc w:val="right"/>
              <w:rPr>
                <w:lang w:eastAsia="en-AU"/>
              </w:rPr>
            </w:pPr>
            <w:r w:rsidRPr="001E60C7">
              <w:rPr>
                <w:lang w:eastAsia="en-AU"/>
              </w:rPr>
              <w:t>171</w:t>
            </w:r>
          </w:p>
        </w:tc>
      </w:tr>
      <w:tr w:rsidR="00373F1E" w:rsidRPr="001E60C7" w14:paraId="574935CF" w14:textId="77777777" w:rsidTr="00373F1E">
        <w:trPr>
          <w:trHeight w:hRule="exact" w:val="278"/>
        </w:trPr>
        <w:tc>
          <w:tcPr>
            <w:tcW w:w="4380" w:type="dxa"/>
            <w:tcBorders>
              <w:top w:val="nil"/>
              <w:left w:val="single" w:sz="8" w:space="0" w:color="000000"/>
              <w:bottom w:val="single" w:sz="8" w:space="0" w:color="auto"/>
              <w:right w:val="single" w:sz="8" w:space="0" w:color="000000"/>
            </w:tcBorders>
            <w:hideMark/>
          </w:tcPr>
          <w:p w14:paraId="1361671B" w14:textId="777F99FC" w:rsidR="00373F1E" w:rsidRPr="001E60C7" w:rsidRDefault="00373F1E" w:rsidP="00373F1E">
            <w:pPr>
              <w:ind w:right="141"/>
            </w:pPr>
            <w:r w:rsidRPr="001E60C7">
              <w:rPr>
                <w:bCs/>
              </w:rPr>
              <w:t xml:space="preserve"> New Colombo Plan Scholarships</w:t>
            </w:r>
          </w:p>
        </w:tc>
        <w:tc>
          <w:tcPr>
            <w:tcW w:w="2126" w:type="dxa"/>
            <w:tcBorders>
              <w:top w:val="nil"/>
              <w:left w:val="nil"/>
              <w:bottom w:val="single" w:sz="8" w:space="0" w:color="000000"/>
              <w:right w:val="single" w:sz="8" w:space="0" w:color="000000"/>
            </w:tcBorders>
            <w:hideMark/>
          </w:tcPr>
          <w:p w14:paraId="65FAC4F7" w14:textId="0CC4FC15" w:rsidR="00373F1E" w:rsidRPr="001E60C7" w:rsidRDefault="00716CD3" w:rsidP="00373F1E">
            <w:pPr>
              <w:ind w:left="142" w:right="142"/>
              <w:jc w:val="right"/>
              <w:rPr>
                <w:spacing w:val="1"/>
              </w:rPr>
            </w:pPr>
            <w:r>
              <w:rPr>
                <w:spacing w:val="1"/>
              </w:rPr>
              <w:t>2014–</w:t>
            </w:r>
            <w:r w:rsidR="00373F1E" w:rsidRPr="001E60C7">
              <w:rPr>
                <w:spacing w:val="1"/>
              </w:rPr>
              <w:t>2018</w:t>
            </w:r>
          </w:p>
        </w:tc>
        <w:tc>
          <w:tcPr>
            <w:tcW w:w="1843" w:type="dxa"/>
            <w:tcBorders>
              <w:top w:val="nil"/>
              <w:left w:val="nil"/>
              <w:bottom w:val="single" w:sz="8" w:space="0" w:color="000000"/>
              <w:right w:val="single" w:sz="8" w:space="0" w:color="000000"/>
            </w:tcBorders>
            <w:vAlign w:val="center"/>
            <w:hideMark/>
          </w:tcPr>
          <w:p w14:paraId="606329D8" w14:textId="77777777" w:rsidR="00373F1E" w:rsidRPr="001E60C7" w:rsidRDefault="00373F1E" w:rsidP="00373F1E">
            <w:pPr>
              <w:ind w:right="142"/>
              <w:jc w:val="right"/>
              <w:rPr>
                <w:color w:val="000000"/>
              </w:rPr>
            </w:pPr>
            <w:r w:rsidRPr="001E60C7">
              <w:rPr>
                <w:lang w:eastAsia="en-AU"/>
              </w:rPr>
              <w:t>49</w:t>
            </w:r>
          </w:p>
        </w:tc>
      </w:tr>
      <w:tr w:rsidR="00373F1E" w:rsidRPr="001E60C7" w14:paraId="52E3918C" w14:textId="77777777" w:rsidTr="00373F1E">
        <w:trPr>
          <w:trHeight w:hRule="exact" w:val="278"/>
        </w:trPr>
        <w:tc>
          <w:tcPr>
            <w:tcW w:w="4380" w:type="dxa"/>
            <w:tcBorders>
              <w:top w:val="nil"/>
              <w:left w:val="single" w:sz="8" w:space="0" w:color="000000"/>
              <w:bottom w:val="single" w:sz="8" w:space="0" w:color="000000"/>
              <w:right w:val="single" w:sz="8" w:space="0" w:color="000000"/>
            </w:tcBorders>
            <w:vAlign w:val="center"/>
            <w:hideMark/>
          </w:tcPr>
          <w:p w14:paraId="2EA22715" w14:textId="755CC143" w:rsidR="00373F1E" w:rsidRPr="001E60C7" w:rsidRDefault="00373F1E" w:rsidP="00373F1E">
            <w:pPr>
              <w:rPr>
                <w:rFonts w:eastAsiaTheme="minorHAnsi"/>
                <w:lang w:eastAsia="zh-TW"/>
              </w:rPr>
            </w:pPr>
            <w:r w:rsidRPr="001E60C7">
              <w:rPr>
                <w:rFonts w:eastAsiaTheme="minorHAnsi"/>
                <w:bCs/>
                <w:lang w:eastAsia="zh-TW"/>
              </w:rPr>
              <w:t xml:space="preserve"> Endeavour Mobility Grants</w:t>
            </w:r>
          </w:p>
        </w:tc>
        <w:tc>
          <w:tcPr>
            <w:tcW w:w="2126" w:type="dxa"/>
            <w:tcBorders>
              <w:top w:val="nil"/>
              <w:left w:val="nil"/>
              <w:bottom w:val="single" w:sz="8" w:space="0" w:color="000000"/>
              <w:right w:val="single" w:sz="8" w:space="0" w:color="000000"/>
            </w:tcBorders>
            <w:hideMark/>
          </w:tcPr>
          <w:p w14:paraId="3C17F873" w14:textId="1E5A47D1" w:rsidR="00373F1E" w:rsidRPr="001E60C7" w:rsidRDefault="00716CD3" w:rsidP="00373F1E">
            <w:pPr>
              <w:ind w:left="142" w:right="142"/>
              <w:jc w:val="right"/>
              <w:rPr>
                <w:spacing w:val="1"/>
              </w:rPr>
            </w:pPr>
            <w:r>
              <w:rPr>
                <w:spacing w:val="1"/>
              </w:rPr>
              <w:t>2008–</w:t>
            </w:r>
            <w:r w:rsidR="00373F1E" w:rsidRPr="001E60C7">
              <w:rPr>
                <w:spacing w:val="1"/>
              </w:rPr>
              <w:t>2018</w:t>
            </w:r>
          </w:p>
        </w:tc>
        <w:tc>
          <w:tcPr>
            <w:tcW w:w="1843" w:type="dxa"/>
            <w:tcBorders>
              <w:top w:val="nil"/>
              <w:left w:val="nil"/>
              <w:bottom w:val="single" w:sz="8" w:space="0" w:color="000000"/>
              <w:right w:val="single" w:sz="8" w:space="0" w:color="000000"/>
            </w:tcBorders>
            <w:vAlign w:val="center"/>
            <w:hideMark/>
          </w:tcPr>
          <w:p w14:paraId="7EA31EDA" w14:textId="77777777" w:rsidR="00373F1E" w:rsidRPr="001E60C7" w:rsidRDefault="00373F1E" w:rsidP="00373F1E">
            <w:pPr>
              <w:ind w:right="142"/>
              <w:jc w:val="right"/>
            </w:pPr>
            <w:r w:rsidRPr="001E60C7">
              <w:t>3,760</w:t>
            </w:r>
          </w:p>
        </w:tc>
      </w:tr>
      <w:tr w:rsidR="00373F1E" w:rsidRPr="001E60C7" w14:paraId="0991D59F" w14:textId="77777777" w:rsidTr="00373F1E">
        <w:trPr>
          <w:trHeight w:hRule="exact" w:val="278"/>
        </w:trPr>
        <w:tc>
          <w:tcPr>
            <w:tcW w:w="4380" w:type="dxa"/>
            <w:tcBorders>
              <w:top w:val="nil"/>
              <w:left w:val="single" w:sz="8" w:space="0" w:color="000000"/>
              <w:bottom w:val="single" w:sz="8" w:space="0" w:color="000000"/>
              <w:right w:val="single" w:sz="8" w:space="0" w:color="000000"/>
            </w:tcBorders>
            <w:hideMark/>
          </w:tcPr>
          <w:p w14:paraId="7F53878A" w14:textId="33BED159" w:rsidR="00373F1E" w:rsidRPr="001E60C7" w:rsidRDefault="00373F1E" w:rsidP="00373F1E">
            <w:pPr>
              <w:ind w:right="141"/>
            </w:pPr>
            <w:r w:rsidRPr="001E60C7">
              <w:rPr>
                <w:bCs/>
              </w:rPr>
              <w:t xml:space="preserve"> New Colombo Plan Mobility Grants</w:t>
            </w:r>
          </w:p>
        </w:tc>
        <w:tc>
          <w:tcPr>
            <w:tcW w:w="2126" w:type="dxa"/>
            <w:tcBorders>
              <w:top w:val="nil"/>
              <w:left w:val="nil"/>
              <w:bottom w:val="single" w:sz="8" w:space="0" w:color="000000"/>
              <w:right w:val="single" w:sz="8" w:space="0" w:color="000000"/>
            </w:tcBorders>
            <w:hideMark/>
          </w:tcPr>
          <w:p w14:paraId="5227CCE3" w14:textId="1885A9AB" w:rsidR="00373F1E" w:rsidRPr="001E60C7" w:rsidRDefault="00716CD3" w:rsidP="00373F1E">
            <w:pPr>
              <w:ind w:left="142" w:right="142"/>
              <w:jc w:val="right"/>
              <w:rPr>
                <w:spacing w:val="1"/>
              </w:rPr>
            </w:pPr>
            <w:r>
              <w:rPr>
                <w:spacing w:val="1"/>
              </w:rPr>
              <w:t>2014–</w:t>
            </w:r>
            <w:r w:rsidR="00373F1E" w:rsidRPr="001E60C7">
              <w:rPr>
                <w:spacing w:val="1"/>
              </w:rPr>
              <w:t>2018</w:t>
            </w:r>
          </w:p>
        </w:tc>
        <w:tc>
          <w:tcPr>
            <w:tcW w:w="1843" w:type="dxa"/>
            <w:tcBorders>
              <w:top w:val="nil"/>
              <w:left w:val="nil"/>
              <w:bottom w:val="single" w:sz="8" w:space="0" w:color="000000"/>
              <w:right w:val="single" w:sz="8" w:space="0" w:color="000000"/>
            </w:tcBorders>
            <w:vAlign w:val="center"/>
            <w:hideMark/>
          </w:tcPr>
          <w:p w14:paraId="5BEC0BE9" w14:textId="77777777" w:rsidR="00373F1E" w:rsidRPr="001E60C7" w:rsidRDefault="00373F1E" w:rsidP="00373F1E">
            <w:pPr>
              <w:ind w:right="142"/>
              <w:jc w:val="right"/>
              <w:rPr>
                <w:color w:val="000000"/>
              </w:rPr>
            </w:pPr>
            <w:r w:rsidRPr="001E60C7">
              <w:t>4,674</w:t>
            </w:r>
          </w:p>
        </w:tc>
      </w:tr>
    </w:tbl>
    <w:p w14:paraId="3ABCDE6C" w14:textId="3314D314" w:rsidR="00373F1E" w:rsidRPr="001E60C7" w:rsidRDefault="00373F1E" w:rsidP="00373F1E">
      <w:pPr>
        <w:rPr>
          <w:rFonts w:eastAsiaTheme="minorHAnsi"/>
          <w:position w:val="1"/>
          <w:sz w:val="16"/>
          <w:szCs w:val="16"/>
          <w:lang w:val="en-US"/>
        </w:rPr>
      </w:pPr>
      <w:r w:rsidRPr="001E60C7">
        <w:rPr>
          <w:position w:val="1"/>
          <w:sz w:val="16"/>
          <w:szCs w:val="16"/>
        </w:rPr>
        <w:t>Sources: Department of Foreign Affairs and Trade, and Department of Education.</w:t>
      </w:r>
    </w:p>
    <w:p w14:paraId="7AADAEC5" w14:textId="46A9B1F4" w:rsidR="00373F1E" w:rsidRPr="001E60C7" w:rsidRDefault="000F3B18" w:rsidP="00373F1E">
      <w:pPr>
        <w:spacing w:line="161" w:lineRule="exact"/>
        <w:rPr>
          <w:position w:val="1"/>
          <w:sz w:val="16"/>
          <w:szCs w:val="16"/>
        </w:rPr>
      </w:pPr>
      <w:r w:rsidRPr="001E60C7">
        <w:rPr>
          <w:position w:val="1"/>
          <w:sz w:val="16"/>
          <w:szCs w:val="16"/>
        </w:rPr>
        <w:t xml:space="preserve">Note: </w:t>
      </w:r>
      <w:r w:rsidR="00373F1E" w:rsidRPr="001E60C7">
        <w:rPr>
          <w:position w:val="1"/>
          <w:sz w:val="16"/>
          <w:szCs w:val="16"/>
        </w:rPr>
        <w:t>Scholarships and Fellowsh</w:t>
      </w:r>
      <w:r w:rsidRPr="001E60C7">
        <w:rPr>
          <w:position w:val="1"/>
          <w:sz w:val="16"/>
          <w:szCs w:val="16"/>
        </w:rPr>
        <w:t xml:space="preserve">ips are awarded to individuals, and </w:t>
      </w:r>
      <w:r w:rsidR="00373F1E" w:rsidRPr="001E60C7">
        <w:rPr>
          <w:position w:val="1"/>
          <w:sz w:val="16"/>
          <w:szCs w:val="16"/>
        </w:rPr>
        <w:t>Mobility Grants are awarded to institutions/universities.</w:t>
      </w:r>
    </w:p>
    <w:p w14:paraId="32ED18F7" w14:textId="2956C9EA" w:rsidR="00B53F0D" w:rsidRPr="001E60C7" w:rsidRDefault="00B53F0D" w:rsidP="00632859">
      <w:pPr>
        <w:pStyle w:val="BasicParagraph"/>
        <w:numPr>
          <w:ilvl w:val="1"/>
          <w:numId w:val="2"/>
        </w:numPr>
        <w:spacing w:before="240" w:after="160"/>
        <w:textAlignment w:val="center"/>
        <w:rPr>
          <w:rFonts w:asciiTheme="minorHAnsi" w:hAnsiTheme="minorHAnsi" w:cstheme="minorHAnsi"/>
          <w:sz w:val="32"/>
          <w:szCs w:val="32"/>
          <w:lang w:val="en-AU"/>
        </w:rPr>
      </w:pPr>
      <w:r w:rsidRPr="001E60C7">
        <w:rPr>
          <w:rFonts w:asciiTheme="minorHAnsi" w:hAnsiTheme="minorHAnsi" w:cstheme="minorHAnsi"/>
          <w:b/>
          <w:bCs/>
          <w:color w:val="4472C4" w:themeColor="accent5"/>
          <w:sz w:val="32"/>
          <w:szCs w:val="32"/>
          <w:lang w:val="en-AU"/>
        </w:rPr>
        <w:t>Federal</w:t>
      </w:r>
      <w:r w:rsidRPr="001E60C7">
        <w:rPr>
          <w:rFonts w:asciiTheme="minorHAnsi" w:hAnsiTheme="minorHAnsi" w:cstheme="minorHAnsi"/>
          <w:b/>
          <w:bCs/>
          <w:color w:val="246EB9"/>
          <w:sz w:val="32"/>
          <w:szCs w:val="32"/>
          <w:lang w:val="en-AU"/>
        </w:rPr>
        <w:t xml:space="preserve"> and State and Territory Gove</w:t>
      </w:r>
      <w:r w:rsidR="00CD6F6E" w:rsidRPr="001E60C7">
        <w:rPr>
          <w:rFonts w:asciiTheme="minorHAnsi" w:hAnsiTheme="minorHAnsi" w:cstheme="minorHAnsi"/>
          <w:b/>
          <w:bCs/>
          <w:color w:val="246EB9"/>
          <w:sz w:val="32"/>
          <w:szCs w:val="32"/>
          <w:lang w:val="en-AU"/>
        </w:rPr>
        <w:t>rnment e</w:t>
      </w:r>
      <w:r w:rsidRPr="001E60C7">
        <w:rPr>
          <w:rFonts w:asciiTheme="minorHAnsi" w:hAnsiTheme="minorHAnsi" w:cstheme="minorHAnsi"/>
          <w:b/>
          <w:bCs/>
          <w:color w:val="246EB9"/>
          <w:sz w:val="32"/>
          <w:szCs w:val="32"/>
          <w:lang w:val="en-AU"/>
        </w:rPr>
        <w:t xml:space="preserve">ngagement </w:t>
      </w:r>
    </w:p>
    <w:p w14:paraId="4CE39C2A" w14:textId="2027F802" w:rsidR="00B53F0D" w:rsidRPr="001E60C7" w:rsidRDefault="00B53F0D" w:rsidP="00026B03">
      <w:pPr>
        <w:spacing w:after="160" w:line="259" w:lineRule="auto"/>
      </w:pPr>
      <w:r w:rsidRPr="001E60C7">
        <w:rPr>
          <w:lang w:val="en"/>
        </w:rPr>
        <w:t>While China is the biggest market for Aus</w:t>
      </w:r>
      <w:r w:rsidR="00E75F2D" w:rsidRPr="001E60C7">
        <w:rPr>
          <w:lang w:val="en"/>
        </w:rPr>
        <w:t xml:space="preserve">tralian education services, there is comparatively </w:t>
      </w:r>
      <w:r w:rsidRPr="001E60C7">
        <w:rPr>
          <w:lang w:val="en"/>
        </w:rPr>
        <w:t xml:space="preserve">limited awareness of </w:t>
      </w:r>
      <w:r w:rsidR="00E75F2D" w:rsidRPr="001E60C7">
        <w:rPr>
          <w:lang w:val="en"/>
        </w:rPr>
        <w:t xml:space="preserve">the extensive Australian </w:t>
      </w:r>
      <w:r w:rsidRPr="001E60C7">
        <w:rPr>
          <w:rFonts w:cstheme="minorHAnsi"/>
          <w:color w:val="000000"/>
          <w:spacing w:val="-1"/>
        </w:rPr>
        <w:t>government</w:t>
      </w:r>
      <w:r w:rsidR="00E75F2D" w:rsidRPr="001E60C7">
        <w:rPr>
          <w:rFonts w:cstheme="minorHAnsi"/>
          <w:color w:val="000000"/>
          <w:spacing w:val="-1"/>
        </w:rPr>
        <w:t>al</w:t>
      </w:r>
      <w:r w:rsidRPr="001E60C7">
        <w:rPr>
          <w:rFonts w:cstheme="minorHAnsi"/>
          <w:color w:val="000000"/>
          <w:spacing w:val="-1"/>
        </w:rPr>
        <w:t xml:space="preserve"> activities in China. In an effort to improve coordination between government and the </w:t>
      </w:r>
      <w:r w:rsidR="009A40A0" w:rsidRPr="001E60C7">
        <w:rPr>
          <w:rFonts w:cstheme="minorHAnsi"/>
          <w:color w:val="000000"/>
          <w:spacing w:val="-1"/>
        </w:rPr>
        <w:t xml:space="preserve">education services </w:t>
      </w:r>
      <w:r w:rsidRPr="001E60C7">
        <w:rPr>
          <w:rFonts w:cstheme="minorHAnsi"/>
          <w:color w:val="000000"/>
          <w:spacing w:val="-1"/>
        </w:rPr>
        <w:t xml:space="preserve">sector, the Department of Education, as Secretariat for the Working Group, </w:t>
      </w:r>
      <w:r w:rsidR="00C8290D" w:rsidRPr="001E60C7">
        <w:rPr>
          <w:rFonts w:cstheme="minorHAnsi"/>
          <w:color w:val="000000"/>
          <w:spacing w:val="-1"/>
        </w:rPr>
        <w:t xml:space="preserve">conducted a </w:t>
      </w:r>
      <w:r w:rsidR="00C8290D" w:rsidRPr="001E60C7">
        <w:t>stocktake</w:t>
      </w:r>
      <w:r w:rsidR="00C8290D" w:rsidRPr="001E60C7">
        <w:rPr>
          <w:rFonts w:cstheme="minorHAnsi"/>
          <w:color w:val="000000"/>
          <w:spacing w:val="-1"/>
        </w:rPr>
        <w:t xml:space="preserve"> on </w:t>
      </w:r>
      <w:r w:rsidRPr="001E60C7">
        <w:rPr>
          <w:rFonts w:cstheme="minorHAnsi"/>
          <w:color w:val="000000"/>
          <w:spacing w:val="-1"/>
        </w:rPr>
        <w:t xml:space="preserve">relevant </w:t>
      </w:r>
      <w:r w:rsidR="00A92F9E" w:rsidRPr="001E60C7">
        <w:rPr>
          <w:rFonts w:cstheme="minorHAnsi"/>
          <w:color w:val="000000"/>
          <w:spacing w:val="-1"/>
        </w:rPr>
        <w:t>federal, state</w:t>
      </w:r>
      <w:r w:rsidR="00C03968" w:rsidRPr="001E60C7">
        <w:rPr>
          <w:rFonts w:cstheme="minorHAnsi"/>
          <w:color w:val="000000"/>
          <w:spacing w:val="-1"/>
        </w:rPr>
        <w:t xml:space="preserve"> and territory governments’</w:t>
      </w:r>
      <w:r w:rsidR="008816B6" w:rsidRPr="001E60C7">
        <w:rPr>
          <w:rFonts w:cstheme="minorHAnsi"/>
          <w:color w:val="000000"/>
          <w:spacing w:val="-1"/>
        </w:rPr>
        <w:t xml:space="preserve"> engagement </w:t>
      </w:r>
      <w:r w:rsidR="00201C8D" w:rsidRPr="001E60C7">
        <w:rPr>
          <w:rFonts w:cstheme="minorHAnsi"/>
          <w:color w:val="000000"/>
          <w:spacing w:val="-1"/>
        </w:rPr>
        <w:t>with C</w:t>
      </w:r>
      <w:r w:rsidR="008816B6" w:rsidRPr="001E60C7">
        <w:rPr>
          <w:rFonts w:cstheme="minorHAnsi"/>
          <w:color w:val="000000"/>
          <w:spacing w:val="-1"/>
        </w:rPr>
        <w:t>hina. The results are</w:t>
      </w:r>
      <w:r w:rsidR="00201C8D" w:rsidRPr="001E60C7">
        <w:rPr>
          <w:rFonts w:cstheme="minorHAnsi"/>
          <w:color w:val="000000"/>
          <w:spacing w:val="-1"/>
        </w:rPr>
        <w:t xml:space="preserve"> reflected in the sections below.</w:t>
      </w:r>
    </w:p>
    <w:p w14:paraId="52EAC854" w14:textId="77777777" w:rsidR="00B53F0D" w:rsidRPr="001E60C7" w:rsidRDefault="00B53F0D" w:rsidP="0030543C">
      <w:pPr>
        <w:suppressAutoHyphens/>
        <w:autoSpaceDE w:val="0"/>
        <w:autoSpaceDN w:val="0"/>
        <w:adjustRightInd w:val="0"/>
        <w:spacing w:after="120" w:line="288" w:lineRule="auto"/>
        <w:textAlignment w:val="center"/>
        <w:rPr>
          <w:rFonts w:cstheme="minorHAnsi"/>
          <w:b/>
          <w:bCs/>
          <w:color w:val="246EB9"/>
        </w:rPr>
      </w:pPr>
      <w:r w:rsidRPr="001E60C7">
        <w:rPr>
          <w:rFonts w:cstheme="minorHAnsi"/>
          <w:b/>
          <w:bCs/>
          <w:color w:val="246EB9"/>
        </w:rPr>
        <w:t xml:space="preserve">Formal agreements </w:t>
      </w:r>
    </w:p>
    <w:p w14:paraId="5140128C" w14:textId="101F2F37" w:rsidR="009F36CA" w:rsidRPr="001E60C7" w:rsidRDefault="0022051D" w:rsidP="00026B03">
      <w:pPr>
        <w:spacing w:after="160" w:line="259" w:lineRule="auto"/>
        <w:rPr>
          <w:rFonts w:cstheme="minorHAnsi"/>
          <w:color w:val="000000"/>
          <w:spacing w:val="-1"/>
        </w:rPr>
      </w:pPr>
      <w:r w:rsidRPr="001E60C7">
        <w:rPr>
          <w:rFonts w:cstheme="minorHAnsi"/>
          <w:color w:val="000000"/>
          <w:spacing w:val="-1"/>
        </w:rPr>
        <w:t xml:space="preserve">There </w:t>
      </w:r>
      <w:r w:rsidR="009A40A0" w:rsidRPr="001E60C7">
        <w:rPr>
          <w:rFonts w:cstheme="minorHAnsi"/>
          <w:color w:val="000000"/>
          <w:spacing w:val="-1"/>
        </w:rPr>
        <w:t>is</w:t>
      </w:r>
      <w:r w:rsidR="00B53F0D" w:rsidRPr="001E60C7">
        <w:rPr>
          <w:rFonts w:cstheme="minorHAnsi"/>
          <w:color w:val="000000"/>
          <w:spacing w:val="-1"/>
        </w:rPr>
        <w:t xml:space="preserve"> a broad range of agreements between Australian Government agencies and federal and provincial governments across China. Federally, the Department of Education has a number of formal MoUs with the </w:t>
      </w:r>
      <w:r w:rsidR="00A73235" w:rsidRPr="001E60C7">
        <w:rPr>
          <w:rFonts w:cstheme="minorHAnsi"/>
          <w:color w:val="000000"/>
          <w:spacing w:val="-1"/>
        </w:rPr>
        <w:t xml:space="preserve">Chinese </w:t>
      </w:r>
      <w:r w:rsidR="00755589" w:rsidRPr="001E60C7">
        <w:rPr>
          <w:lang w:val="en"/>
        </w:rPr>
        <w:t>MoE</w:t>
      </w:r>
      <w:r w:rsidR="00B53F0D" w:rsidRPr="001E60C7">
        <w:rPr>
          <w:rFonts w:cstheme="minorHAnsi"/>
          <w:color w:val="000000"/>
          <w:spacing w:val="-1"/>
        </w:rPr>
        <w:t xml:space="preserve">, including MoUs in vocational education and training, student mobility, </w:t>
      </w:r>
      <w:r w:rsidR="00B53F0D" w:rsidRPr="001E60C7">
        <w:rPr>
          <w:rFonts w:cstheme="minorHAnsi"/>
          <w:color w:val="000000"/>
          <w:spacing w:val="-1"/>
        </w:rPr>
        <w:lastRenderedPageBreak/>
        <w:t xml:space="preserve">and qualifications recognition. </w:t>
      </w:r>
      <w:r w:rsidR="00A92F9E" w:rsidRPr="001E60C7">
        <w:rPr>
          <w:rFonts w:cstheme="minorHAnsi"/>
          <w:color w:val="000000"/>
          <w:spacing w:val="-1"/>
        </w:rPr>
        <w:t>Each MoU ha</w:t>
      </w:r>
      <w:r w:rsidR="009A40A0" w:rsidRPr="001E60C7">
        <w:rPr>
          <w:rFonts w:cstheme="minorHAnsi"/>
          <w:color w:val="000000"/>
          <w:spacing w:val="-1"/>
        </w:rPr>
        <w:t>s</w:t>
      </w:r>
      <w:r w:rsidR="00A92F9E" w:rsidRPr="001E60C7">
        <w:rPr>
          <w:rFonts w:cstheme="minorHAnsi"/>
          <w:color w:val="000000"/>
          <w:spacing w:val="-1"/>
        </w:rPr>
        <w:t xml:space="preserve"> strong joint working group </w:t>
      </w:r>
      <w:r w:rsidR="009F36CA" w:rsidRPr="001E60C7">
        <w:rPr>
          <w:rFonts w:cstheme="minorHAnsi"/>
          <w:color w:val="000000"/>
          <w:spacing w:val="-1"/>
        </w:rPr>
        <w:t xml:space="preserve">(JWG) </w:t>
      </w:r>
      <w:r w:rsidR="00A92F9E" w:rsidRPr="001E60C7">
        <w:rPr>
          <w:rFonts w:cstheme="minorHAnsi"/>
          <w:color w:val="000000"/>
          <w:spacing w:val="-1"/>
        </w:rPr>
        <w:t>processes in place with China, which</w:t>
      </w:r>
      <w:r w:rsidR="009A40A0" w:rsidRPr="001E60C7">
        <w:rPr>
          <w:rFonts w:cstheme="minorHAnsi"/>
          <w:color w:val="000000"/>
          <w:spacing w:val="-1"/>
        </w:rPr>
        <w:t xml:space="preserve"> will be elevated </w:t>
      </w:r>
      <w:r w:rsidR="00A92F9E" w:rsidRPr="001E60C7">
        <w:rPr>
          <w:rFonts w:cstheme="minorHAnsi"/>
          <w:color w:val="000000"/>
          <w:spacing w:val="-1"/>
        </w:rPr>
        <w:t xml:space="preserve">as part of a new MoU in Strategic Collaboration </w:t>
      </w:r>
      <w:r w:rsidR="00473C70" w:rsidRPr="001E60C7">
        <w:rPr>
          <w:rFonts w:cstheme="minorHAnsi"/>
          <w:color w:val="000000"/>
          <w:spacing w:val="-1"/>
        </w:rPr>
        <w:t xml:space="preserve">currently under negotiation </w:t>
      </w:r>
      <w:r w:rsidR="009A40A0" w:rsidRPr="001E60C7">
        <w:rPr>
          <w:rFonts w:cstheme="minorHAnsi"/>
          <w:color w:val="000000"/>
          <w:spacing w:val="-1"/>
        </w:rPr>
        <w:t>between</w:t>
      </w:r>
      <w:r w:rsidR="00473C70" w:rsidRPr="001E60C7">
        <w:rPr>
          <w:rFonts w:cstheme="minorHAnsi"/>
          <w:color w:val="000000"/>
          <w:spacing w:val="-1"/>
        </w:rPr>
        <w:t xml:space="preserve"> </w:t>
      </w:r>
      <w:r w:rsidR="00A92F9E" w:rsidRPr="001E60C7">
        <w:rPr>
          <w:rFonts w:cstheme="minorHAnsi"/>
          <w:color w:val="000000"/>
          <w:spacing w:val="-1"/>
        </w:rPr>
        <w:t>the Department of Education and the Chinese MoE</w:t>
      </w:r>
      <w:r w:rsidR="00BF6619" w:rsidRPr="001E60C7">
        <w:rPr>
          <w:rFonts w:cstheme="minorHAnsi"/>
          <w:color w:val="000000"/>
          <w:spacing w:val="-1"/>
        </w:rPr>
        <w:t>.</w:t>
      </w:r>
    </w:p>
    <w:p w14:paraId="14142CE3" w14:textId="2596FDCB" w:rsidR="00B53F0D" w:rsidRPr="001E60C7" w:rsidRDefault="00C31A87" w:rsidP="00026B03">
      <w:pPr>
        <w:spacing w:after="160" w:line="259" w:lineRule="auto"/>
        <w:rPr>
          <w:rFonts w:cstheme="minorHAnsi"/>
          <w:color w:val="000000"/>
          <w:spacing w:val="-1"/>
        </w:rPr>
      </w:pPr>
      <w:r w:rsidRPr="001E60C7">
        <w:rPr>
          <w:rFonts w:cstheme="minorHAnsi"/>
          <w:color w:val="000000"/>
          <w:spacing w:val="-1"/>
        </w:rPr>
        <w:t>Underpinning t</w:t>
      </w:r>
      <w:r w:rsidR="009F36CA" w:rsidRPr="001E60C7">
        <w:rPr>
          <w:rFonts w:cstheme="minorHAnsi"/>
          <w:color w:val="000000"/>
          <w:spacing w:val="-1"/>
        </w:rPr>
        <w:t xml:space="preserve">he formal agreements and associated JWGs in education </w:t>
      </w:r>
      <w:r w:rsidRPr="001E60C7">
        <w:rPr>
          <w:rFonts w:cstheme="minorHAnsi"/>
          <w:color w:val="000000"/>
          <w:spacing w:val="-1"/>
        </w:rPr>
        <w:t xml:space="preserve">is </w:t>
      </w:r>
      <w:r w:rsidR="009F36CA" w:rsidRPr="001E60C7">
        <w:rPr>
          <w:rFonts w:cstheme="minorHAnsi"/>
          <w:color w:val="000000"/>
          <w:spacing w:val="-1"/>
        </w:rPr>
        <w:t>the Department of Education’s strong, regular and close engagement with t</w:t>
      </w:r>
      <w:r w:rsidR="006030F5" w:rsidRPr="001E60C7">
        <w:rPr>
          <w:rFonts w:cstheme="minorHAnsi"/>
          <w:color w:val="000000"/>
          <w:spacing w:val="-1"/>
        </w:rPr>
        <w:t>he Chinese E</w:t>
      </w:r>
      <w:r w:rsidR="00BF6619" w:rsidRPr="001E60C7">
        <w:rPr>
          <w:rFonts w:cstheme="minorHAnsi"/>
          <w:color w:val="000000"/>
          <w:spacing w:val="-1"/>
        </w:rPr>
        <w:t>mbassy in Canberra and</w:t>
      </w:r>
      <w:r w:rsidR="009F36CA" w:rsidRPr="001E60C7">
        <w:rPr>
          <w:rFonts w:cstheme="minorHAnsi"/>
          <w:color w:val="000000"/>
          <w:spacing w:val="-1"/>
        </w:rPr>
        <w:t xml:space="preserve"> the</w:t>
      </w:r>
      <w:r w:rsidR="00BF6619" w:rsidRPr="001E60C7">
        <w:rPr>
          <w:rFonts w:cstheme="minorHAnsi"/>
          <w:color w:val="000000"/>
          <w:spacing w:val="-1"/>
        </w:rPr>
        <w:t xml:space="preserve"> MoE</w:t>
      </w:r>
      <w:r w:rsidR="009F36CA" w:rsidRPr="001E60C7">
        <w:rPr>
          <w:rFonts w:cstheme="minorHAnsi"/>
          <w:color w:val="000000"/>
          <w:spacing w:val="-1"/>
        </w:rPr>
        <w:t>, through the Australian Embas</w:t>
      </w:r>
      <w:r w:rsidR="00473C70" w:rsidRPr="001E60C7">
        <w:rPr>
          <w:rFonts w:cstheme="minorHAnsi"/>
          <w:color w:val="000000"/>
          <w:spacing w:val="-1"/>
        </w:rPr>
        <w:t>sy in Beijing</w:t>
      </w:r>
      <w:r w:rsidR="009F36CA" w:rsidRPr="001E60C7">
        <w:rPr>
          <w:rFonts w:cstheme="minorHAnsi"/>
          <w:color w:val="000000"/>
          <w:spacing w:val="-1"/>
        </w:rPr>
        <w:t xml:space="preserve">. </w:t>
      </w:r>
      <w:r w:rsidR="00BF6619" w:rsidRPr="001E60C7">
        <w:rPr>
          <w:rFonts w:cstheme="minorHAnsi"/>
          <w:color w:val="000000"/>
          <w:spacing w:val="-1"/>
        </w:rPr>
        <w:t>The Department of Education also enjoys a strong and mutually beneficial relationship with other Chinese agencies</w:t>
      </w:r>
      <w:r w:rsidR="009A40A0" w:rsidRPr="001E60C7">
        <w:rPr>
          <w:rFonts w:cstheme="minorHAnsi"/>
          <w:color w:val="000000"/>
          <w:spacing w:val="-1"/>
        </w:rPr>
        <w:t>,</w:t>
      </w:r>
      <w:r w:rsidR="00BF6619" w:rsidRPr="001E60C7">
        <w:rPr>
          <w:rFonts w:cstheme="minorHAnsi"/>
          <w:color w:val="000000"/>
          <w:spacing w:val="-1"/>
        </w:rPr>
        <w:t xml:space="preserve"> including the Ministry of Human Resourc</w:t>
      </w:r>
      <w:r w:rsidR="006030F5" w:rsidRPr="001E60C7">
        <w:rPr>
          <w:rFonts w:cstheme="minorHAnsi"/>
          <w:color w:val="000000"/>
          <w:spacing w:val="-1"/>
        </w:rPr>
        <w:t xml:space="preserve">es and Social Security (MOHRSS), the Ministry of Science and Technology, </w:t>
      </w:r>
      <w:r w:rsidR="00B807D2" w:rsidRPr="001E60C7">
        <w:rPr>
          <w:rFonts w:cstheme="minorHAnsi"/>
          <w:color w:val="000000"/>
          <w:spacing w:val="-1"/>
        </w:rPr>
        <w:t xml:space="preserve">and </w:t>
      </w:r>
      <w:r w:rsidR="006030F5" w:rsidRPr="001E60C7">
        <w:rPr>
          <w:rFonts w:cstheme="minorHAnsi"/>
          <w:color w:val="000000"/>
          <w:spacing w:val="-1"/>
        </w:rPr>
        <w:t>the China Education Association for International Exchange (CEAIE)</w:t>
      </w:r>
      <w:r w:rsidR="00BF6619" w:rsidRPr="001E60C7">
        <w:rPr>
          <w:rFonts w:cstheme="minorHAnsi"/>
          <w:color w:val="000000"/>
          <w:spacing w:val="-1"/>
        </w:rPr>
        <w:t xml:space="preserve">, </w:t>
      </w:r>
      <w:r w:rsidR="009A40A0" w:rsidRPr="001E60C7">
        <w:rPr>
          <w:rFonts w:cstheme="minorHAnsi"/>
          <w:color w:val="000000"/>
          <w:spacing w:val="-1"/>
        </w:rPr>
        <w:t>as well as</w:t>
      </w:r>
      <w:r w:rsidR="00BF6619" w:rsidRPr="001E60C7">
        <w:rPr>
          <w:rFonts w:cstheme="minorHAnsi"/>
          <w:color w:val="000000"/>
          <w:spacing w:val="-1"/>
        </w:rPr>
        <w:t xml:space="preserve"> through bilateral and multilateral fora. </w:t>
      </w:r>
      <w:r w:rsidR="00B53F0D" w:rsidRPr="001E60C7">
        <w:rPr>
          <w:rFonts w:cstheme="minorHAnsi"/>
          <w:color w:val="000000"/>
          <w:spacing w:val="-1"/>
        </w:rPr>
        <w:t xml:space="preserve">At the state and territory level, there are </w:t>
      </w:r>
      <w:r w:rsidR="009A40A0" w:rsidRPr="001E60C7">
        <w:rPr>
          <w:rFonts w:cstheme="minorHAnsi"/>
          <w:color w:val="000000"/>
          <w:spacing w:val="-1"/>
        </w:rPr>
        <w:t>several</w:t>
      </w:r>
      <w:r w:rsidR="00B53F0D" w:rsidRPr="001E60C7">
        <w:rPr>
          <w:rFonts w:cstheme="minorHAnsi"/>
          <w:color w:val="000000"/>
          <w:spacing w:val="-1"/>
        </w:rPr>
        <w:t xml:space="preserve"> broader bilateral agreements signed with both national and state government counterparts in China </w:t>
      </w:r>
      <w:r w:rsidR="00A73235" w:rsidRPr="001E60C7">
        <w:rPr>
          <w:rFonts w:cstheme="minorHAnsi"/>
          <w:color w:val="000000"/>
          <w:spacing w:val="-1"/>
        </w:rPr>
        <w:t xml:space="preserve">that </w:t>
      </w:r>
      <w:r w:rsidR="00B53F0D" w:rsidRPr="001E60C7">
        <w:rPr>
          <w:rFonts w:cstheme="minorHAnsi"/>
          <w:color w:val="000000"/>
          <w:spacing w:val="-1"/>
        </w:rPr>
        <w:t xml:space="preserve">incorporate education, training and research elements. </w:t>
      </w:r>
      <w:r w:rsidR="009F36CA" w:rsidRPr="001E60C7">
        <w:rPr>
          <w:rFonts w:cstheme="minorHAnsi"/>
          <w:color w:val="000000"/>
          <w:spacing w:val="-1"/>
        </w:rPr>
        <w:t>These agreements involve close liaison with counte</w:t>
      </w:r>
      <w:r w:rsidR="00BF6619" w:rsidRPr="001E60C7">
        <w:rPr>
          <w:rFonts w:cstheme="minorHAnsi"/>
          <w:color w:val="000000"/>
          <w:spacing w:val="-1"/>
        </w:rPr>
        <w:t>rpart Chinese agencies and</w:t>
      </w:r>
      <w:r w:rsidR="009F36CA" w:rsidRPr="001E60C7">
        <w:rPr>
          <w:rFonts w:cstheme="minorHAnsi"/>
          <w:color w:val="000000"/>
          <w:spacing w:val="-1"/>
        </w:rPr>
        <w:t xml:space="preserve"> Consul-Generals</w:t>
      </w:r>
      <w:r w:rsidR="00BF6619" w:rsidRPr="001E60C7">
        <w:rPr>
          <w:rFonts w:cstheme="minorHAnsi"/>
          <w:color w:val="000000"/>
          <w:spacing w:val="-1"/>
        </w:rPr>
        <w:t>, as well as education industry stakeholders,</w:t>
      </w:r>
      <w:r w:rsidR="009F36CA" w:rsidRPr="001E60C7">
        <w:rPr>
          <w:rFonts w:cstheme="minorHAnsi"/>
          <w:color w:val="000000"/>
          <w:spacing w:val="-1"/>
        </w:rPr>
        <w:t xml:space="preserve"> in the relevant states and territories.</w:t>
      </w:r>
    </w:p>
    <w:p w14:paraId="650AC94B" w14:textId="77777777" w:rsidR="00B53F0D" w:rsidRPr="001E60C7" w:rsidRDefault="00B53F0D" w:rsidP="0030543C">
      <w:pPr>
        <w:suppressAutoHyphens/>
        <w:autoSpaceDE w:val="0"/>
        <w:autoSpaceDN w:val="0"/>
        <w:adjustRightInd w:val="0"/>
        <w:spacing w:after="120" w:line="288" w:lineRule="auto"/>
        <w:textAlignment w:val="center"/>
        <w:rPr>
          <w:rFonts w:cstheme="minorHAnsi"/>
          <w:b/>
          <w:bCs/>
          <w:color w:val="246EB9"/>
        </w:rPr>
      </w:pPr>
      <w:r w:rsidRPr="001E60C7">
        <w:rPr>
          <w:rFonts w:cstheme="minorHAnsi"/>
          <w:b/>
          <w:bCs/>
          <w:color w:val="246EB9"/>
        </w:rPr>
        <w:t>Current strategic frameworks</w:t>
      </w:r>
    </w:p>
    <w:p w14:paraId="4C47A4EF" w14:textId="55F0A321" w:rsidR="00B53F0D" w:rsidRPr="001E60C7" w:rsidRDefault="009A40A0" w:rsidP="00026B03">
      <w:pPr>
        <w:spacing w:after="160" w:line="259" w:lineRule="auto"/>
      </w:pPr>
      <w:r w:rsidRPr="001E60C7">
        <w:t>At the</w:t>
      </w:r>
      <w:r w:rsidR="00B53F0D" w:rsidRPr="001E60C7">
        <w:t xml:space="preserve"> federal level, strategies </w:t>
      </w:r>
      <w:r w:rsidR="00B53F0D" w:rsidRPr="001E60C7">
        <w:rPr>
          <w:rFonts w:cstheme="minorHAnsi"/>
          <w:color w:val="000000"/>
          <w:spacing w:val="-1"/>
        </w:rPr>
        <w:t>that</w:t>
      </w:r>
      <w:r w:rsidR="00B53F0D" w:rsidRPr="001E60C7">
        <w:t xml:space="preserve"> provide overarching guidance for </w:t>
      </w:r>
      <w:r w:rsidR="00201C8D" w:rsidRPr="001E60C7">
        <w:t xml:space="preserve">education, training and research </w:t>
      </w:r>
      <w:r w:rsidR="00201C8D" w:rsidRPr="001E60C7">
        <w:rPr>
          <w:rFonts w:cstheme="minorHAnsi"/>
          <w:color w:val="000000"/>
          <w:spacing w:val="-1"/>
        </w:rPr>
        <w:t>engagement</w:t>
      </w:r>
      <w:r w:rsidR="00201C8D" w:rsidRPr="001E60C7">
        <w:t xml:space="preserve"> with China </w:t>
      </w:r>
      <w:r w:rsidR="00B53F0D" w:rsidRPr="001E60C7">
        <w:t xml:space="preserve">include the Department of Education’s </w:t>
      </w:r>
      <w:r w:rsidR="00B53F0D" w:rsidRPr="001E60C7">
        <w:rPr>
          <w:i/>
        </w:rPr>
        <w:t>National Strategy for International Education 2025</w:t>
      </w:r>
      <w:r w:rsidR="00194BFD" w:rsidRPr="001E60C7">
        <w:rPr>
          <w:i/>
        </w:rPr>
        <w:t>;</w:t>
      </w:r>
      <w:r w:rsidR="00B53F0D" w:rsidRPr="001E60C7">
        <w:t xml:space="preserve"> Austrade’s </w:t>
      </w:r>
      <w:r w:rsidR="00B53F0D" w:rsidRPr="001E60C7">
        <w:rPr>
          <w:i/>
        </w:rPr>
        <w:t>Australian International Education 2025 Roadmap</w:t>
      </w:r>
      <w:r w:rsidR="00B53F0D" w:rsidRPr="001E60C7">
        <w:t xml:space="preserve"> (AIE2025)</w:t>
      </w:r>
      <w:r w:rsidR="00194BFD" w:rsidRPr="001E60C7">
        <w:t>;</w:t>
      </w:r>
      <w:r w:rsidR="00B53F0D" w:rsidRPr="001E60C7">
        <w:t xml:space="preserve"> DFAT’s </w:t>
      </w:r>
      <w:r w:rsidR="00B53F0D" w:rsidRPr="001E60C7">
        <w:rPr>
          <w:i/>
        </w:rPr>
        <w:t>Australian Global Alumni Engagement Strategy</w:t>
      </w:r>
      <w:r w:rsidR="00194BFD" w:rsidRPr="001E60C7">
        <w:rPr>
          <w:i/>
        </w:rPr>
        <w:t>;</w:t>
      </w:r>
      <w:r w:rsidR="00B53F0D" w:rsidRPr="001E60C7">
        <w:t xml:space="preserve"> and the Department of Industry, Innovation and Science’s </w:t>
      </w:r>
      <w:r w:rsidR="00B53F0D" w:rsidRPr="001E60C7">
        <w:rPr>
          <w:i/>
        </w:rPr>
        <w:t>Global Innovation Strategy</w:t>
      </w:r>
      <w:r w:rsidR="00B53F0D" w:rsidRPr="001E60C7">
        <w:t xml:space="preserve">. </w:t>
      </w:r>
      <w:r w:rsidR="009C6D93" w:rsidRPr="001E60C7">
        <w:t xml:space="preserve">The </w:t>
      </w:r>
      <w:r w:rsidR="009C6D93" w:rsidRPr="001E60C7">
        <w:rPr>
          <w:i/>
        </w:rPr>
        <w:t>2016 Defence White Paper</w:t>
      </w:r>
      <w:r w:rsidR="009C6D93" w:rsidRPr="001E60C7">
        <w:t xml:space="preserve"> examines Australia’s engage</w:t>
      </w:r>
      <w:r w:rsidR="004B1318" w:rsidRPr="001E60C7">
        <w:t>ment with China and seeks to</w:t>
      </w:r>
      <w:r w:rsidR="009C6D93" w:rsidRPr="001E60C7">
        <w:t xml:space="preserve"> deepen and broaden </w:t>
      </w:r>
      <w:r w:rsidR="00864376" w:rsidRPr="001E60C7">
        <w:t>the</w:t>
      </w:r>
      <w:r w:rsidR="009C6D93" w:rsidRPr="001E60C7">
        <w:t xml:space="preserve"> defence relationship, while recognising that </w:t>
      </w:r>
      <w:r w:rsidR="009C6D93" w:rsidRPr="001E60C7">
        <w:rPr>
          <w:lang w:val="en"/>
        </w:rPr>
        <w:t>strategic</w:t>
      </w:r>
      <w:r w:rsidR="009C6D93" w:rsidRPr="001E60C7">
        <w:t xml:space="preserve"> interests may differ in relation to some regional and global security issues.</w:t>
      </w:r>
      <w:r w:rsidR="00B53F0D" w:rsidRPr="001E60C7">
        <w:t xml:space="preserve"> </w:t>
      </w:r>
    </w:p>
    <w:p w14:paraId="738F5118" w14:textId="7D507D7F" w:rsidR="00B53F0D" w:rsidRPr="001E60C7" w:rsidRDefault="00B53F0D" w:rsidP="00026B03">
      <w:pPr>
        <w:spacing w:after="160" w:line="259" w:lineRule="auto"/>
      </w:pPr>
      <w:r w:rsidRPr="001E60C7">
        <w:rPr>
          <w:rFonts w:cstheme="minorHAnsi"/>
          <w:color w:val="000000"/>
          <w:spacing w:val="-1"/>
        </w:rPr>
        <w:t>States</w:t>
      </w:r>
      <w:r w:rsidRPr="001E60C7">
        <w:t xml:space="preserve"> and territories </w:t>
      </w:r>
      <w:r w:rsidRPr="001E60C7">
        <w:rPr>
          <w:rFonts w:cstheme="minorHAnsi"/>
          <w:color w:val="000000"/>
          <w:spacing w:val="-1"/>
        </w:rPr>
        <w:t>also</w:t>
      </w:r>
      <w:r w:rsidRPr="001E60C7">
        <w:t xml:space="preserve"> have their own overarching strategies for international education, or are in the process of developing these strategies, which inform their approach to education, training and research engagement with China. Queensland’s </w:t>
      </w:r>
      <w:r w:rsidRPr="001E60C7">
        <w:rPr>
          <w:i/>
        </w:rPr>
        <w:t>International Education and Training Stra</w:t>
      </w:r>
      <w:r w:rsidR="00C03968" w:rsidRPr="001E60C7">
        <w:rPr>
          <w:i/>
        </w:rPr>
        <w:t>tegy to Advance Queensland 2016</w:t>
      </w:r>
      <w:r w:rsidR="00716CD3">
        <w:rPr>
          <w:i/>
        </w:rPr>
        <w:t>–</w:t>
      </w:r>
      <w:r w:rsidRPr="001E60C7">
        <w:rPr>
          <w:i/>
        </w:rPr>
        <w:t>2026</w:t>
      </w:r>
      <w:r w:rsidRPr="001E60C7">
        <w:t xml:space="preserve"> acknowledges China represents a high proportion of Queensland’s international students, and broadly identifies China as a priority location for the state’s offshore</w:t>
      </w:r>
      <w:r w:rsidR="00C03968" w:rsidRPr="001E60C7">
        <w:t xml:space="preserve"> education</w:t>
      </w:r>
      <w:r w:rsidRPr="001E60C7">
        <w:t xml:space="preserve"> network. Likewise, one of the th</w:t>
      </w:r>
      <w:r w:rsidR="00D96004" w:rsidRPr="001E60C7">
        <w:t>r</w:t>
      </w:r>
      <w:r w:rsidR="002D63E3" w:rsidRPr="001E60C7">
        <w:t>ee enabling initiatives of Queensland’s s</w:t>
      </w:r>
      <w:r w:rsidRPr="001E60C7">
        <w:t xml:space="preserve">trategy, </w:t>
      </w:r>
      <w:r w:rsidR="002D63E3" w:rsidRPr="001E60C7">
        <w:t xml:space="preserve">the </w:t>
      </w:r>
      <w:r w:rsidR="00716CD3">
        <w:rPr>
          <w:i/>
        </w:rPr>
        <w:t>2018–</w:t>
      </w:r>
      <w:r w:rsidRPr="001E60C7">
        <w:rPr>
          <w:i/>
        </w:rPr>
        <w:t>19 Global Partnership Plan</w:t>
      </w:r>
      <w:r w:rsidRPr="001E60C7">
        <w:t xml:space="preserve">, identifies China as a high priority market. The </w:t>
      </w:r>
      <w:r w:rsidRPr="001E60C7">
        <w:rPr>
          <w:i/>
        </w:rPr>
        <w:t xml:space="preserve">Partnership Plan </w:t>
      </w:r>
      <w:r w:rsidRPr="001E60C7">
        <w:t>also prioriti</w:t>
      </w:r>
      <w:r w:rsidR="00DB2995" w:rsidRPr="001E60C7">
        <w:t>s</w:t>
      </w:r>
      <w:r w:rsidRPr="001E60C7">
        <w:t>es a focus</w:t>
      </w:r>
      <w:r w:rsidR="00DB2995" w:rsidRPr="001E60C7">
        <w:t xml:space="preserve"> on strategic </w:t>
      </w:r>
      <w:r w:rsidR="00864376" w:rsidRPr="001E60C7">
        <w:t xml:space="preserve">cities and </w:t>
      </w:r>
      <w:r w:rsidR="00DB2995" w:rsidRPr="001E60C7">
        <w:t xml:space="preserve">regions </w:t>
      </w:r>
      <w:r w:rsidRPr="001E60C7">
        <w:t>including Shanghai, Chengdu, Chongqing and Guangdong.</w:t>
      </w:r>
    </w:p>
    <w:p w14:paraId="5C26F19D" w14:textId="0A506FC9" w:rsidR="00B53F0D" w:rsidRPr="001E60C7" w:rsidRDefault="00B53F0D" w:rsidP="00026B03">
      <w:pPr>
        <w:spacing w:after="160" w:line="259" w:lineRule="auto"/>
      </w:pPr>
      <w:r w:rsidRPr="001E60C7">
        <w:lastRenderedPageBreak/>
        <w:t xml:space="preserve">In </w:t>
      </w:r>
      <w:r w:rsidRPr="001E60C7">
        <w:rPr>
          <w:rFonts w:cstheme="minorHAnsi"/>
          <w:color w:val="000000"/>
          <w:spacing w:val="-1"/>
        </w:rPr>
        <w:t>2016</w:t>
      </w:r>
      <w:r w:rsidRPr="001E60C7">
        <w:t>, Victoria launched its</w:t>
      </w:r>
      <w:r w:rsidRPr="001E60C7">
        <w:rPr>
          <w:i/>
        </w:rPr>
        <w:t xml:space="preserve"> China Strategy</w:t>
      </w:r>
      <w:r w:rsidRPr="001E60C7">
        <w:t xml:space="preserve">, in tandem with its </w:t>
      </w:r>
      <w:r w:rsidRPr="001E60C7">
        <w:rPr>
          <w:i/>
        </w:rPr>
        <w:t>International Education Sector Strategy</w:t>
      </w:r>
      <w:r w:rsidRPr="001E60C7">
        <w:t xml:space="preserve">. The </w:t>
      </w:r>
      <w:r w:rsidRPr="001E60C7">
        <w:rPr>
          <w:i/>
        </w:rPr>
        <w:t>China Strategy</w:t>
      </w:r>
      <w:r w:rsidRPr="001E60C7">
        <w:t xml:space="preserve"> has a stron</w:t>
      </w:r>
      <w:r w:rsidR="00331A33" w:rsidRPr="001E60C7">
        <w:t>g international education focus</w:t>
      </w:r>
      <w:r w:rsidRPr="001E60C7">
        <w:t xml:space="preserve"> and includes supporting Victorian providers to build new research collaborations and to deliver courses in China, including the Victorian Certificate of Education (VCE). The latest </w:t>
      </w:r>
      <w:r w:rsidR="00DB2995" w:rsidRPr="001E60C7">
        <w:rPr>
          <w:i/>
        </w:rPr>
        <w:t>China Strategy</w:t>
      </w:r>
      <w:r w:rsidR="00DB2995" w:rsidRPr="001E60C7">
        <w:t xml:space="preserve"> p</w:t>
      </w:r>
      <w:r w:rsidRPr="001E60C7">
        <w:t>r</w:t>
      </w:r>
      <w:r w:rsidR="00DB2995" w:rsidRPr="001E60C7">
        <w:t>ogress r</w:t>
      </w:r>
      <w:r w:rsidRPr="001E60C7">
        <w:t xml:space="preserve">eport, released in 2018, states there has been a 38 per cent increase in </w:t>
      </w:r>
      <w:r w:rsidRPr="001E60C7">
        <w:rPr>
          <w:rFonts w:cstheme="minorHAnsi"/>
          <w:color w:val="000000"/>
          <w:spacing w:val="-1"/>
        </w:rPr>
        <w:t>enrolments</w:t>
      </w:r>
      <w:r w:rsidRPr="001E60C7">
        <w:t xml:space="preserve"> in Victorian classes and courses fro</w:t>
      </w:r>
      <w:r w:rsidR="00C03968" w:rsidRPr="001E60C7">
        <w:t>m Chinese students between 2016 and 20</w:t>
      </w:r>
      <w:r w:rsidRPr="001E60C7">
        <w:t>18, with over 77,000 students studying Chinese across Victorian Government Schools, representing a 21 per cent increase.</w:t>
      </w:r>
      <w:r w:rsidR="00192DB6" w:rsidRPr="001E60C7">
        <w:rPr>
          <w:rStyle w:val="FootnoteReference"/>
        </w:rPr>
        <w:footnoteReference w:id="35"/>
      </w:r>
      <w:r w:rsidRPr="001E60C7">
        <w:t xml:space="preserve"> The progress report also states 27</w:t>
      </w:r>
      <w:r w:rsidR="00654679" w:rsidRPr="001E60C7">
        <w:t> </w:t>
      </w:r>
      <w:r w:rsidRPr="001E60C7">
        <w:t>schools in China are delivering the VCE in partnership with seven Victorian schools, across 15</w:t>
      </w:r>
      <w:r w:rsidR="00654679" w:rsidRPr="001E60C7">
        <w:t> </w:t>
      </w:r>
      <w:r w:rsidRPr="001E60C7">
        <w:t>Chinese provinces and municipalities.</w:t>
      </w:r>
      <w:r w:rsidR="00192DB6" w:rsidRPr="001E60C7">
        <w:rPr>
          <w:rStyle w:val="FootnoteReference"/>
        </w:rPr>
        <w:footnoteReference w:id="36"/>
      </w:r>
    </w:p>
    <w:p w14:paraId="5D100374" w14:textId="52EDD349" w:rsidR="00B53F0D" w:rsidRPr="001E60C7" w:rsidRDefault="00473C70" w:rsidP="00026B03">
      <w:pPr>
        <w:spacing w:after="160" w:line="259" w:lineRule="auto"/>
      </w:pPr>
      <w:r w:rsidRPr="001E60C7">
        <w:t xml:space="preserve">The </w:t>
      </w:r>
      <w:r w:rsidR="00107547" w:rsidRPr="001E60C7">
        <w:t>New South Wales Government’s</w:t>
      </w:r>
      <w:r w:rsidR="00DB2995" w:rsidRPr="001E60C7">
        <w:t xml:space="preserve"> </w:t>
      </w:r>
      <w:r w:rsidR="00B53F0D" w:rsidRPr="001E60C7">
        <w:rPr>
          <w:i/>
        </w:rPr>
        <w:t>China Strategy</w:t>
      </w:r>
      <w:r w:rsidR="00B53F0D" w:rsidRPr="001E60C7">
        <w:t xml:space="preserve">, which is a priority action under the </w:t>
      </w:r>
      <w:r w:rsidR="00B53F0D" w:rsidRPr="001E60C7">
        <w:rPr>
          <w:i/>
        </w:rPr>
        <w:t>NSW International Engagement Strategy</w:t>
      </w:r>
      <w:r w:rsidR="00B53F0D" w:rsidRPr="001E60C7">
        <w:t xml:space="preserve"> (2013), has a specific focus on education.</w:t>
      </w:r>
      <w:r w:rsidR="00107547" w:rsidRPr="001E60C7">
        <w:rPr>
          <w:rStyle w:val="FootnoteReference"/>
        </w:rPr>
        <w:footnoteReference w:id="37"/>
      </w:r>
      <w:r w:rsidR="00B53F0D" w:rsidRPr="001E60C7">
        <w:rPr>
          <w:rFonts w:cs="Gotham Book"/>
          <w:color w:val="000000"/>
        </w:rPr>
        <w:t xml:space="preserve"> </w:t>
      </w:r>
      <w:r w:rsidR="00B53F0D" w:rsidRPr="001E60C7">
        <w:t xml:space="preserve">Recognising education services are a mainstay of the economic relationship between China and NSW, the </w:t>
      </w:r>
      <w:r w:rsidRPr="001E60C7">
        <w:t>s</w:t>
      </w:r>
      <w:r w:rsidR="00B53F0D" w:rsidRPr="001E60C7">
        <w:t xml:space="preserve">trategy notes NSW has </w:t>
      </w:r>
      <w:r w:rsidR="00B53F0D" w:rsidRPr="001E60C7">
        <w:rPr>
          <w:rFonts w:cstheme="minorHAnsi"/>
          <w:color w:val="000000"/>
          <w:spacing w:val="-1"/>
        </w:rPr>
        <w:t>the</w:t>
      </w:r>
      <w:r w:rsidR="00B53F0D" w:rsidRPr="001E60C7">
        <w:t xml:space="preserve"> largest share of the Australian international education </w:t>
      </w:r>
      <w:r w:rsidR="00B53F0D" w:rsidRPr="001E60C7">
        <w:rPr>
          <w:rFonts w:cstheme="minorHAnsi"/>
          <w:color w:val="000000"/>
          <w:spacing w:val="-1"/>
        </w:rPr>
        <w:t>market</w:t>
      </w:r>
      <w:r w:rsidR="00B53F0D" w:rsidRPr="001E60C7">
        <w:t>, with strong growth in student enrolments from China, in all sectors. Recognising there is growing competition from tertiary inst</w:t>
      </w:r>
      <w:r w:rsidRPr="001E60C7">
        <w:t>itutions around the world, the s</w:t>
      </w:r>
      <w:r w:rsidR="00B53F0D" w:rsidRPr="001E60C7">
        <w:t>trategy</w:t>
      </w:r>
      <w:r w:rsidR="00DB2995" w:rsidRPr="001E60C7">
        <w:t xml:space="preserve"> confirms that</w:t>
      </w:r>
      <w:r w:rsidR="00B53F0D" w:rsidRPr="001E60C7">
        <w:t xml:space="preserve"> the NSW Government is currently investigating options t</w:t>
      </w:r>
      <w:r w:rsidR="000E21A6" w:rsidRPr="001E60C7">
        <w:t>o continue to support engagement with China</w:t>
      </w:r>
      <w:r w:rsidR="00B50C12" w:rsidRPr="001E60C7">
        <w:t>, including opening</w:t>
      </w:r>
      <w:r w:rsidR="002861F5" w:rsidRPr="001E60C7">
        <w:t xml:space="preserve"> on</w:t>
      </w:r>
      <w:r w:rsidR="00B53F0D" w:rsidRPr="001E60C7">
        <w:t>shore campuses in China and targeting students seeking specialised training at centres of excellence.</w:t>
      </w:r>
    </w:p>
    <w:p w14:paraId="4A6156CD" w14:textId="579793B8" w:rsidR="00B53F0D" w:rsidRPr="001E60C7" w:rsidRDefault="00B53F0D" w:rsidP="00026B03">
      <w:pPr>
        <w:spacing w:after="160" w:line="259" w:lineRule="auto"/>
      </w:pPr>
      <w:r w:rsidRPr="001E60C7">
        <w:rPr>
          <w:rFonts w:cstheme="minorHAnsi"/>
          <w:color w:val="000000"/>
          <w:spacing w:val="-1"/>
        </w:rPr>
        <w:t>Other</w:t>
      </w:r>
      <w:r w:rsidRPr="001E60C7">
        <w:t xml:space="preserve"> states and territories have strategy documents refer</w:t>
      </w:r>
      <w:r w:rsidR="007B3CD4" w:rsidRPr="001E60C7">
        <w:t>ring</w:t>
      </w:r>
      <w:r w:rsidRPr="001E60C7">
        <w:t xml:space="preserve"> to China, though there is less focus on the ed</w:t>
      </w:r>
      <w:r w:rsidR="00473C70" w:rsidRPr="001E60C7">
        <w:t>ucation market in China. The Australian Capital Territory</w:t>
      </w:r>
      <w:r w:rsidRPr="001E60C7">
        <w:t xml:space="preserve"> Government’s </w:t>
      </w:r>
      <w:r w:rsidRPr="001E60C7">
        <w:rPr>
          <w:rFonts w:cstheme="minorHAnsi"/>
          <w:color w:val="000000"/>
          <w:spacing w:val="-1"/>
        </w:rPr>
        <w:t>international</w:t>
      </w:r>
      <w:r w:rsidRPr="001E60C7">
        <w:t xml:space="preserve"> education strategy, </w:t>
      </w:r>
      <w:r w:rsidRPr="001E60C7">
        <w:rPr>
          <w:i/>
        </w:rPr>
        <w:t>Canberra: Australia’s Education Capital</w:t>
      </w:r>
      <w:r w:rsidR="00DB2995" w:rsidRPr="001E60C7">
        <w:t xml:space="preserve"> (2016),</w:t>
      </w:r>
      <w:r w:rsidRPr="001E60C7">
        <w:rPr>
          <w:i/>
        </w:rPr>
        <w:t xml:space="preserve"> </w:t>
      </w:r>
      <w:r w:rsidRPr="001E60C7">
        <w:t>notes the ACT has a number of sister city relationships with key cities</w:t>
      </w:r>
      <w:r w:rsidR="000E21A6" w:rsidRPr="001E60C7">
        <w:t xml:space="preserve"> in China</w:t>
      </w:r>
      <w:r w:rsidRPr="001E60C7">
        <w:t xml:space="preserve">, including </w:t>
      </w:r>
      <w:r w:rsidRPr="001E60C7">
        <w:rPr>
          <w:lang w:val="en"/>
        </w:rPr>
        <w:t>Beijing and Shenzhen</w:t>
      </w:r>
      <w:r w:rsidR="000E21A6" w:rsidRPr="001E60C7">
        <w:rPr>
          <w:lang w:val="en"/>
        </w:rPr>
        <w:t>, and a close relationship with Hangzhou</w:t>
      </w:r>
      <w:r w:rsidR="000E21A6" w:rsidRPr="001E60C7">
        <w:t>.</w:t>
      </w:r>
      <w:r w:rsidR="00107547" w:rsidRPr="001E60C7">
        <w:rPr>
          <w:rStyle w:val="FootnoteReference"/>
        </w:rPr>
        <w:footnoteReference w:id="38"/>
      </w:r>
      <w:r w:rsidR="00473C70" w:rsidRPr="001E60C7">
        <w:t xml:space="preserve"> The ACT s</w:t>
      </w:r>
      <w:r w:rsidR="00B50C12" w:rsidRPr="001E60C7">
        <w:t>trategy also observes</w:t>
      </w:r>
      <w:r w:rsidRPr="001E60C7">
        <w:t xml:space="preserve"> while China is the top source country for onshore international students in Canberra, the scale of this opportunity will change, as the population of Chinese </w:t>
      </w:r>
      <w:r w:rsidRPr="001E60C7">
        <w:lastRenderedPageBreak/>
        <w:t>15</w:t>
      </w:r>
      <w:r w:rsidR="00C03968" w:rsidRPr="001E60C7">
        <w:t xml:space="preserve"> to </w:t>
      </w:r>
      <w:r w:rsidRPr="001E60C7">
        <w:t xml:space="preserve">19 year olds is </w:t>
      </w:r>
      <w:r w:rsidR="00C8290D" w:rsidRPr="001E60C7">
        <w:t xml:space="preserve">expected </w:t>
      </w:r>
      <w:r w:rsidRPr="001E60C7">
        <w:t xml:space="preserve">to </w:t>
      </w:r>
      <w:r w:rsidR="00C8290D" w:rsidRPr="001E60C7">
        <w:t xml:space="preserve">decline </w:t>
      </w:r>
      <w:r w:rsidRPr="001E60C7">
        <w:t>over the next ten years</w:t>
      </w:r>
      <w:r w:rsidR="00D04EA3" w:rsidRPr="001E60C7">
        <w:t xml:space="preserve">, and </w:t>
      </w:r>
      <w:r w:rsidR="00B50C12" w:rsidRPr="001E60C7">
        <w:t xml:space="preserve">as </w:t>
      </w:r>
      <w:r w:rsidR="00D04EA3" w:rsidRPr="001E60C7">
        <w:t>China is now offering its own English language programs in-country</w:t>
      </w:r>
      <w:r w:rsidRPr="001E60C7">
        <w:t>.</w:t>
      </w:r>
      <w:r w:rsidR="00DB2995" w:rsidRPr="001E60C7">
        <w:rPr>
          <w:rStyle w:val="FootnoteReference"/>
        </w:rPr>
        <w:footnoteReference w:id="39"/>
      </w:r>
    </w:p>
    <w:p w14:paraId="134BD243" w14:textId="54F32D37" w:rsidR="00B53F0D" w:rsidRPr="001E60C7" w:rsidRDefault="00B53F0D" w:rsidP="00026B03">
      <w:pPr>
        <w:spacing w:after="160" w:line="259" w:lineRule="auto"/>
      </w:pPr>
      <w:r w:rsidRPr="001E60C7">
        <w:t xml:space="preserve">The </w:t>
      </w:r>
      <w:r w:rsidRPr="001E60C7">
        <w:rPr>
          <w:rFonts w:cstheme="minorHAnsi"/>
          <w:color w:val="000000"/>
          <w:spacing w:val="-1"/>
        </w:rPr>
        <w:t>South</w:t>
      </w:r>
      <w:r w:rsidRPr="001E60C7">
        <w:t xml:space="preserve"> Australian Tourism Commission launched a China engagement strategy in 2013, </w:t>
      </w:r>
      <w:r w:rsidRPr="001E60C7">
        <w:rPr>
          <w:i/>
        </w:rPr>
        <w:t>Activating China 2020</w:t>
      </w:r>
      <w:r w:rsidR="000E21A6" w:rsidRPr="001E60C7">
        <w:t>, which looks</w:t>
      </w:r>
      <w:r w:rsidRPr="001E60C7">
        <w:t xml:space="preserve"> to deepen economic and cultural </w:t>
      </w:r>
      <w:r w:rsidRPr="001E60C7">
        <w:rPr>
          <w:rFonts w:cstheme="minorHAnsi"/>
          <w:color w:val="000000"/>
          <w:spacing w:val="-1"/>
        </w:rPr>
        <w:t>engagement</w:t>
      </w:r>
      <w:r w:rsidRPr="001E60C7">
        <w:t>.</w:t>
      </w:r>
      <w:r w:rsidR="00107547" w:rsidRPr="001E60C7">
        <w:rPr>
          <w:rStyle w:val="FootnoteReference"/>
        </w:rPr>
        <w:footnoteReference w:id="40"/>
      </w:r>
      <w:r w:rsidRPr="001E60C7">
        <w:t xml:space="preserve"> While education is not a key focus of the strategy, it notes a large proportion of visitors from China</w:t>
      </w:r>
      <w:r w:rsidR="0023795A" w:rsidRPr="001E60C7">
        <w:t xml:space="preserve"> arrive here</w:t>
      </w:r>
      <w:r w:rsidR="00B772EF" w:rsidRPr="001E60C7">
        <w:t xml:space="preserve"> for education purposes</w:t>
      </w:r>
      <w:r w:rsidRPr="001E60C7">
        <w:t xml:space="preserve">. A China Strategy Team within the Department of Premier and Cabinet, providing a </w:t>
      </w:r>
      <w:r w:rsidRPr="001E60C7">
        <w:rPr>
          <w:lang w:val="en"/>
        </w:rPr>
        <w:t>centralised approach to maximise South Australia’s engagement with China,</w:t>
      </w:r>
      <w:r w:rsidRPr="001E60C7">
        <w:t xml:space="preserve"> reflects </w:t>
      </w:r>
      <w:r w:rsidRPr="001E60C7">
        <w:rPr>
          <w:lang w:val="en"/>
        </w:rPr>
        <w:t>China’s position as South Australia’s largest trading partner and top export market for international education.</w:t>
      </w:r>
    </w:p>
    <w:p w14:paraId="23FCECD8" w14:textId="5E482FB8" w:rsidR="00B53F0D" w:rsidRPr="001E60C7" w:rsidRDefault="00B53F0D" w:rsidP="00632859">
      <w:pPr>
        <w:pStyle w:val="ListParagraph"/>
        <w:numPr>
          <w:ilvl w:val="1"/>
          <w:numId w:val="2"/>
        </w:numPr>
        <w:spacing w:before="240" w:line="276" w:lineRule="auto"/>
        <w:rPr>
          <w:b/>
          <w:color w:val="0070C0"/>
          <w:sz w:val="32"/>
          <w:szCs w:val="32"/>
        </w:rPr>
      </w:pPr>
      <w:r w:rsidRPr="001E60C7">
        <w:rPr>
          <w:b/>
          <w:color w:val="0070C0"/>
          <w:sz w:val="32"/>
          <w:szCs w:val="32"/>
        </w:rPr>
        <w:t xml:space="preserve">Key </w:t>
      </w:r>
      <w:r w:rsidR="00CD6F6E" w:rsidRPr="001E60C7">
        <w:rPr>
          <w:b/>
          <w:color w:val="0070C0"/>
          <w:sz w:val="32"/>
          <w:szCs w:val="32"/>
        </w:rPr>
        <w:t>c</w:t>
      </w:r>
      <w:r w:rsidR="00145FC9" w:rsidRPr="001E60C7">
        <w:rPr>
          <w:b/>
          <w:color w:val="0070C0"/>
          <w:sz w:val="32"/>
          <w:szCs w:val="32"/>
        </w:rPr>
        <w:t>ompetitors</w:t>
      </w:r>
    </w:p>
    <w:p w14:paraId="5A8C1AB7" w14:textId="77777777" w:rsidR="00B772EF" w:rsidRPr="001E60C7" w:rsidRDefault="004B1318" w:rsidP="00B72624">
      <w:pPr>
        <w:spacing w:after="160" w:line="259" w:lineRule="auto"/>
      </w:pPr>
      <w:r w:rsidRPr="001E60C7">
        <w:t>A number of countries are pursuing increas</w:t>
      </w:r>
      <w:r w:rsidR="00860059" w:rsidRPr="001E60C7">
        <w:t>e</w:t>
      </w:r>
      <w:r w:rsidR="00B772EF" w:rsidRPr="001E60C7">
        <w:t xml:space="preserve">d engagement with China, </w:t>
      </w:r>
      <w:r w:rsidR="003E7E6A" w:rsidRPr="001E60C7">
        <w:t xml:space="preserve">as </w:t>
      </w:r>
      <w:r w:rsidR="00B772EF" w:rsidRPr="001E60C7">
        <w:t xml:space="preserve">it is </w:t>
      </w:r>
      <w:r w:rsidR="003E7E6A" w:rsidRPr="001E60C7">
        <w:t>one of the largest source countries for international students</w:t>
      </w:r>
      <w:r w:rsidR="00B772EF" w:rsidRPr="001E60C7">
        <w:t>.</w:t>
      </w:r>
      <w:r w:rsidR="00B72624" w:rsidRPr="001E60C7">
        <w:t xml:space="preserve"> </w:t>
      </w:r>
      <w:r w:rsidR="00B772EF" w:rsidRPr="001E60C7">
        <w:t xml:space="preserve">China </w:t>
      </w:r>
      <w:r w:rsidRPr="001E60C7">
        <w:t>is identified as a market of focus in the international education strategies of</w:t>
      </w:r>
      <w:r w:rsidR="00860059" w:rsidRPr="001E60C7">
        <w:t xml:space="preserve"> </w:t>
      </w:r>
      <w:r w:rsidR="003E7E6A" w:rsidRPr="001E60C7">
        <w:t>the UK</w:t>
      </w:r>
      <w:r w:rsidR="00F32B13" w:rsidRPr="001E60C7">
        <w:t>, Canada</w:t>
      </w:r>
      <w:r w:rsidR="00646DFA" w:rsidRPr="001E60C7">
        <w:t>, Germany</w:t>
      </w:r>
      <w:r w:rsidR="003E7E6A" w:rsidRPr="001E60C7">
        <w:t xml:space="preserve"> and New Zealand</w:t>
      </w:r>
      <w:r w:rsidR="00860059" w:rsidRPr="001E60C7">
        <w:t xml:space="preserve">. </w:t>
      </w:r>
      <w:r w:rsidR="00B772EF" w:rsidRPr="001E60C7">
        <w:t xml:space="preserve">Chart 1 shows the distribution of Chinese international students among the top five destination countries. </w:t>
      </w:r>
    </w:p>
    <w:p w14:paraId="3916F26F" w14:textId="0E0C6109" w:rsidR="00380C96" w:rsidRPr="001E60C7" w:rsidRDefault="00B72624" w:rsidP="00B72624">
      <w:pPr>
        <w:spacing w:after="160" w:line="259" w:lineRule="auto"/>
      </w:pPr>
      <w:r w:rsidRPr="001E60C7">
        <w:t xml:space="preserve">To support and grow engagement with China, many countries also have </w:t>
      </w:r>
      <w:r w:rsidR="006029DE" w:rsidRPr="001E60C7">
        <w:t>high-level</w:t>
      </w:r>
      <w:r w:rsidRPr="001E60C7">
        <w:t xml:space="preserve"> dialogue mechanisms in place on education, which provide a strong platform for advancing the cooper</w:t>
      </w:r>
      <w:r w:rsidR="00716CD3">
        <w:t xml:space="preserve">ation and level of engagement. </w:t>
      </w:r>
      <w:r w:rsidRPr="001E60C7">
        <w:t xml:space="preserve">They also have significant government-to-government bilateral agreements and programs </w:t>
      </w:r>
      <w:r w:rsidR="006D0800" w:rsidRPr="001E60C7">
        <w:t xml:space="preserve">vis-à-vis </w:t>
      </w:r>
      <w:r w:rsidRPr="001E60C7">
        <w:t>China, and these support institutional partnerships and projects, of which there are many.</w:t>
      </w:r>
      <w:r w:rsidR="004D7C6B" w:rsidRPr="001E60C7">
        <w:t xml:space="preserve"> </w:t>
      </w:r>
      <w:r w:rsidRPr="001E60C7">
        <w:t>Governments of other competitor countries engage with China education at very elevated levels of seniority and invest large amounts in promoting their national education brand in China.</w:t>
      </w:r>
    </w:p>
    <w:p w14:paraId="1E26CCFF" w14:textId="77777777" w:rsidR="00716CD3" w:rsidRDefault="00716CD3">
      <w:pPr>
        <w:spacing w:after="160" w:line="259" w:lineRule="auto"/>
        <w:rPr>
          <w:b/>
          <w:lang w:eastAsia="zh-TW"/>
        </w:rPr>
      </w:pPr>
      <w:r>
        <w:rPr>
          <w:b/>
          <w:lang w:eastAsia="zh-TW"/>
        </w:rPr>
        <w:br w:type="page"/>
      </w:r>
    </w:p>
    <w:p w14:paraId="0C011E77" w14:textId="32DE887C" w:rsidR="00B72624" w:rsidRPr="001E60C7" w:rsidRDefault="00B72624" w:rsidP="00B72624">
      <w:pPr>
        <w:spacing w:after="160" w:line="259" w:lineRule="auto"/>
        <w:rPr>
          <w:b/>
          <w:lang w:eastAsia="zh-TW"/>
        </w:rPr>
      </w:pPr>
      <w:r w:rsidRPr="001E60C7">
        <w:rPr>
          <w:b/>
          <w:lang w:eastAsia="zh-TW"/>
        </w:rPr>
        <w:lastRenderedPageBreak/>
        <w:t xml:space="preserve">Chart 1 – Top five destination countries of Chinese students studying abroad, 2017 </w:t>
      </w:r>
    </w:p>
    <w:p w14:paraId="21FA84BD" w14:textId="77777777" w:rsidR="00B72624" w:rsidRPr="001E60C7" w:rsidRDefault="00B72624" w:rsidP="00B72624">
      <w:r w:rsidRPr="001E60C7">
        <w:rPr>
          <w:noProof/>
          <w:lang w:eastAsia="en-AU"/>
        </w:rPr>
        <mc:AlternateContent>
          <mc:Choice Requires="wps">
            <w:drawing>
              <wp:anchor distT="45720" distB="45720" distL="114300" distR="114300" simplePos="0" relativeHeight="251659264" behindDoc="0" locked="0" layoutInCell="1" allowOverlap="1" wp14:anchorId="2E19B5D8" wp14:editId="2B61E8C0">
                <wp:simplePos x="0" y="0"/>
                <wp:positionH relativeFrom="column">
                  <wp:posOffset>1943100</wp:posOffset>
                </wp:positionH>
                <wp:positionV relativeFrom="paragraph">
                  <wp:posOffset>25400</wp:posOffset>
                </wp:positionV>
                <wp:extent cx="2569633" cy="237067"/>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633" cy="237067"/>
                        </a:xfrm>
                        <a:prstGeom prst="rect">
                          <a:avLst/>
                        </a:prstGeom>
                        <a:solidFill>
                          <a:srgbClr val="FFFFFF"/>
                        </a:solidFill>
                        <a:ln w="9525">
                          <a:noFill/>
                          <a:miter lim="800000"/>
                          <a:headEnd/>
                          <a:tailEnd/>
                        </a:ln>
                      </wps:spPr>
                      <wps:txbx>
                        <w:txbxContent>
                          <w:p w14:paraId="30C83760" w14:textId="77777777" w:rsidR="0050718B" w:rsidRDefault="0050718B" w:rsidP="00B72624">
                            <w:r w:rsidRPr="00850B72">
                              <w:t>Total Chinese students abroad</w:t>
                            </w:r>
                            <w:r>
                              <w:t>: 869,387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9B5D8" id="_x0000_t202" coordsize="21600,21600" o:spt="202" path="m,l,21600r21600,l21600,xe">
                <v:stroke joinstyle="miter"/>
                <v:path gradientshapeok="t" o:connecttype="rect"/>
              </v:shapetype>
              <v:shape id="Text Box 2" o:spid="_x0000_s1026" type="#_x0000_t202" style="position:absolute;margin-left:153pt;margin-top:2pt;width:202.3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" stroked="f">
                <v:textbox>
                  <w:txbxContent>
                    <w:p w14:paraId="30C83760" w14:textId="77777777" w:rsidR="0050718B" w:rsidRDefault="0050718B" w:rsidP="00B72624">
                      <w:r w:rsidRPr="00850B72">
                        <w:t>Total Chinese students abroad</w:t>
                      </w:r>
                      <w:r>
                        <w:t>: 869,387</w:t>
                      </w:r>
                    </w:p>
                  </w:txbxContent>
                </v:textbox>
              </v:shape>
            </w:pict>
          </mc:Fallback>
        </mc:AlternateContent>
      </w:r>
      <w:r w:rsidRPr="001E60C7">
        <w:rPr>
          <w:noProof/>
          <w:lang w:eastAsia="en-AU"/>
        </w:rPr>
        <w:drawing>
          <wp:inline distT="0" distB="0" distL="0" distR="0" wp14:anchorId="662AD9F3" wp14:editId="4EECFE7F">
            <wp:extent cx="4288367" cy="2383367"/>
            <wp:effectExtent l="0" t="0" r="0" b="0"/>
            <wp:docPr id="1" name="Chart 1" descr="Chart 1 is a pie chart of the distribution of the 869,387 Chinese international students in 2017 among the top five destination countries. 36% went to the US, 15% to Australia, 10% to UK, 9% to Japan, 7% to Canada and 23% to all other countries. " title="Chart 1 – Top five destination countries of Chinese students studying abroad in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C30168" w14:textId="77777777" w:rsidR="00B72624" w:rsidRPr="001E60C7" w:rsidRDefault="00B72624" w:rsidP="00B72624">
      <w:pPr>
        <w:rPr>
          <w:sz w:val="16"/>
          <w:szCs w:val="16"/>
        </w:rPr>
      </w:pPr>
      <w:r w:rsidRPr="001E60C7">
        <w:rPr>
          <w:sz w:val="16"/>
          <w:szCs w:val="16"/>
        </w:rPr>
        <w:t xml:space="preserve">Source: </w:t>
      </w:r>
      <w:hyperlink r:id="rId13" w:history="1">
        <w:r w:rsidRPr="001E60C7">
          <w:rPr>
            <w:rStyle w:val="Hyperlink"/>
            <w:sz w:val="16"/>
            <w:szCs w:val="16"/>
          </w:rPr>
          <w:t>http://uis.unesco.org/en/uis-student-flow</w:t>
        </w:r>
      </w:hyperlink>
    </w:p>
    <w:p w14:paraId="40C23CD0" w14:textId="77777777" w:rsidR="00B72624" w:rsidRPr="001E60C7" w:rsidRDefault="00B72624" w:rsidP="00B72624">
      <w:pPr>
        <w:spacing w:after="160" w:line="259" w:lineRule="auto"/>
      </w:pPr>
    </w:p>
    <w:p w14:paraId="6B763CE5" w14:textId="3879E4CB" w:rsidR="00B72624" w:rsidRPr="001E60C7" w:rsidRDefault="004200B5" w:rsidP="004200B5">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United Kingdom</w:t>
      </w:r>
    </w:p>
    <w:p w14:paraId="051BF7AD" w14:textId="567B8588" w:rsidR="00253D15" w:rsidRPr="001E60C7" w:rsidRDefault="0023795A" w:rsidP="00253D15">
      <w:pPr>
        <w:spacing w:after="160" w:line="256" w:lineRule="auto"/>
        <w:rPr>
          <w:rFonts w:cstheme="minorHAnsi"/>
          <w:iCs/>
          <w:lang w:val="en-GB"/>
        </w:rPr>
      </w:pPr>
      <w:r w:rsidRPr="001E60C7">
        <w:rPr>
          <w:rFonts w:asciiTheme="minorHAnsi" w:hAnsiTheme="minorHAnsi" w:cstheme="minorHAnsi"/>
        </w:rPr>
        <w:t>In 2019, t</w:t>
      </w:r>
      <w:r w:rsidR="00253D15" w:rsidRPr="001E60C7">
        <w:rPr>
          <w:rFonts w:asciiTheme="minorHAnsi" w:hAnsiTheme="minorHAnsi" w:cstheme="minorHAnsi"/>
        </w:rPr>
        <w:t>he UK released a new international education strategy</w:t>
      </w:r>
      <w:r w:rsidR="00FF6ED6" w:rsidRPr="001E60C7">
        <w:rPr>
          <w:rFonts w:asciiTheme="minorHAnsi" w:hAnsiTheme="minorHAnsi" w:cstheme="minorHAnsi"/>
        </w:rPr>
        <w:t>,</w:t>
      </w:r>
      <w:r w:rsidR="00FF6ED6" w:rsidRPr="001E60C7">
        <w:rPr>
          <w:rFonts w:asciiTheme="minorHAnsi" w:hAnsiTheme="minorHAnsi" w:cstheme="minorHAnsi"/>
          <w:lang w:val="en-GB"/>
        </w:rPr>
        <w:t xml:space="preserve"> which regards China as a very important market for international education and prioritises it as one of the four ‘high-value’ regions to focus recruitment campaigns.</w:t>
      </w:r>
      <w:r w:rsidR="00253D15" w:rsidRPr="001E60C7">
        <w:rPr>
          <w:rStyle w:val="FootnoteReference"/>
          <w:rFonts w:asciiTheme="minorHAnsi" w:hAnsiTheme="minorHAnsi" w:cstheme="minorHAnsi"/>
        </w:rPr>
        <w:footnoteReference w:id="41"/>
      </w:r>
      <w:r w:rsidR="00253D15" w:rsidRPr="001E60C7">
        <w:rPr>
          <w:rFonts w:asciiTheme="minorHAnsi" w:hAnsiTheme="minorHAnsi" w:cstheme="minorHAnsi"/>
        </w:rPr>
        <w:t xml:space="preserve"> </w:t>
      </w:r>
      <w:r w:rsidR="008F0886" w:rsidRPr="001E60C7">
        <w:rPr>
          <w:rFonts w:asciiTheme="minorHAnsi" w:hAnsiTheme="minorHAnsi" w:cstheme="minorHAnsi"/>
          <w:iCs/>
          <w:lang w:val="en-GB"/>
        </w:rPr>
        <w:t>I</w:t>
      </w:r>
      <w:r w:rsidR="00253D15" w:rsidRPr="001E60C7">
        <w:rPr>
          <w:rFonts w:asciiTheme="minorHAnsi" w:hAnsiTheme="minorHAnsi" w:cstheme="minorHAnsi"/>
          <w:iCs/>
          <w:lang w:val="en-GB"/>
        </w:rPr>
        <w:t>n terms of partnerships with China on education, the UK government has increased its activity and investment significantly over the past decade.</w:t>
      </w:r>
      <w:r w:rsidR="00014D86" w:rsidRPr="001E60C7">
        <w:rPr>
          <w:rStyle w:val="FootnoteReference"/>
          <w:rFonts w:asciiTheme="minorHAnsi" w:hAnsiTheme="minorHAnsi" w:cstheme="minorHAnsi"/>
          <w:iCs/>
          <w:lang w:val="en-GB"/>
        </w:rPr>
        <w:footnoteReference w:id="42"/>
      </w:r>
      <w:r w:rsidR="00473C70" w:rsidRPr="001E60C7">
        <w:rPr>
          <w:rFonts w:asciiTheme="minorHAnsi" w:hAnsiTheme="minorHAnsi" w:cstheme="minorHAnsi"/>
          <w:iCs/>
          <w:lang w:val="en-GB"/>
        </w:rPr>
        <w:t xml:space="preserve"> The UK has a people</w:t>
      </w:r>
      <w:r w:rsidR="008F0886" w:rsidRPr="001E60C7">
        <w:rPr>
          <w:rFonts w:asciiTheme="minorHAnsi" w:hAnsiTheme="minorHAnsi" w:cstheme="minorHAnsi"/>
          <w:iCs/>
          <w:lang w:val="en-GB"/>
        </w:rPr>
        <w:noBreakHyphen/>
      </w:r>
      <w:r w:rsidR="00473C70" w:rsidRPr="001E60C7">
        <w:rPr>
          <w:rFonts w:asciiTheme="minorHAnsi" w:hAnsiTheme="minorHAnsi" w:cstheme="minorHAnsi"/>
          <w:iCs/>
          <w:lang w:val="en-GB"/>
        </w:rPr>
        <w:t>to</w:t>
      </w:r>
      <w:r w:rsidR="008F0886" w:rsidRPr="001E60C7">
        <w:rPr>
          <w:rFonts w:asciiTheme="minorHAnsi" w:hAnsiTheme="minorHAnsi" w:cstheme="minorHAnsi"/>
          <w:iCs/>
          <w:lang w:val="en-GB"/>
        </w:rPr>
        <w:noBreakHyphen/>
      </w:r>
      <w:r w:rsidR="00253D15" w:rsidRPr="001E60C7">
        <w:rPr>
          <w:rFonts w:asciiTheme="minorHAnsi" w:hAnsiTheme="minorHAnsi" w:cstheme="minorHAnsi"/>
          <w:iCs/>
          <w:lang w:val="en-GB"/>
        </w:rPr>
        <w:t>people dialogue with China (the China-UK High-Level People</w:t>
      </w:r>
      <w:r w:rsidR="00DC3F36" w:rsidRPr="001E60C7">
        <w:rPr>
          <w:rFonts w:asciiTheme="minorHAnsi" w:hAnsiTheme="minorHAnsi" w:cstheme="minorHAnsi"/>
          <w:iCs/>
          <w:lang w:val="en-GB"/>
        </w:rPr>
        <w:noBreakHyphen/>
      </w:r>
      <w:r w:rsidR="00253D15" w:rsidRPr="001E60C7">
        <w:rPr>
          <w:rFonts w:asciiTheme="minorHAnsi" w:hAnsiTheme="minorHAnsi" w:cstheme="minorHAnsi"/>
          <w:iCs/>
          <w:lang w:val="en-GB"/>
        </w:rPr>
        <w:t>to</w:t>
      </w:r>
      <w:r w:rsidR="00DC3F36" w:rsidRPr="001E60C7">
        <w:rPr>
          <w:rFonts w:asciiTheme="minorHAnsi" w:hAnsiTheme="minorHAnsi" w:cstheme="minorHAnsi"/>
          <w:iCs/>
          <w:lang w:val="en-GB"/>
        </w:rPr>
        <w:noBreakHyphen/>
      </w:r>
      <w:r w:rsidR="00253D15" w:rsidRPr="001E60C7">
        <w:rPr>
          <w:rFonts w:asciiTheme="minorHAnsi" w:hAnsiTheme="minorHAnsi" w:cstheme="minorHAnsi"/>
          <w:iCs/>
          <w:lang w:val="en-GB"/>
        </w:rPr>
        <w:t>People Exchange Mechanism)</w:t>
      </w:r>
      <w:r w:rsidR="00253D15" w:rsidRPr="001E60C7">
        <w:rPr>
          <w:rStyle w:val="FootnoteReference"/>
          <w:rFonts w:asciiTheme="minorHAnsi" w:hAnsiTheme="minorHAnsi" w:cstheme="minorHAnsi"/>
          <w:iCs/>
          <w:lang w:val="en-GB"/>
        </w:rPr>
        <w:footnoteReference w:id="43"/>
      </w:r>
      <w:r w:rsidR="00253D15" w:rsidRPr="001E60C7">
        <w:rPr>
          <w:rFonts w:asciiTheme="minorHAnsi" w:hAnsiTheme="minorHAnsi" w:cstheme="minorHAnsi"/>
          <w:iCs/>
          <w:lang w:val="en-GB"/>
        </w:rPr>
        <w:t>, which has incorporated a</w:t>
      </w:r>
      <w:r w:rsidR="00014D86" w:rsidRPr="001E60C7">
        <w:rPr>
          <w:rFonts w:asciiTheme="minorHAnsi" w:hAnsiTheme="minorHAnsi" w:cstheme="minorHAnsi"/>
          <w:iCs/>
          <w:lang w:val="en-GB"/>
        </w:rPr>
        <w:t>n irregular</w:t>
      </w:r>
      <w:r w:rsidR="00253D15" w:rsidRPr="001E60C7">
        <w:rPr>
          <w:rFonts w:asciiTheme="minorHAnsi" w:hAnsiTheme="minorHAnsi" w:cstheme="minorHAnsi"/>
          <w:iCs/>
          <w:lang w:val="en-GB"/>
        </w:rPr>
        <w:t xml:space="preserve"> ministerial level China-UK Education Summit</w:t>
      </w:r>
      <w:r w:rsidR="00014D86" w:rsidRPr="001E60C7">
        <w:rPr>
          <w:rFonts w:asciiTheme="minorHAnsi" w:hAnsiTheme="minorHAnsi" w:cstheme="minorHAnsi"/>
          <w:iCs/>
          <w:lang w:val="en-GB"/>
        </w:rPr>
        <w:t>,</w:t>
      </w:r>
      <w:r w:rsidR="00253D15" w:rsidRPr="001E60C7">
        <w:rPr>
          <w:rFonts w:asciiTheme="minorHAnsi" w:hAnsiTheme="minorHAnsi" w:cstheme="minorHAnsi"/>
          <w:iCs/>
          <w:lang w:val="en-GB"/>
        </w:rPr>
        <w:t xml:space="preserve"> aimed at </w:t>
      </w:r>
      <w:r w:rsidR="00253D15" w:rsidRPr="001E60C7">
        <w:rPr>
          <w:rFonts w:asciiTheme="minorHAnsi" w:hAnsiTheme="minorHAnsi" w:cstheme="minorHAnsi"/>
          <w:iCs/>
          <w:lang w:val="en-GB"/>
        </w:rPr>
        <w:lastRenderedPageBreak/>
        <w:t>boosting student mobility and research exchange.</w:t>
      </w:r>
      <w:r w:rsidR="00253D15" w:rsidRPr="001E60C7">
        <w:rPr>
          <w:rStyle w:val="FootnoteReference"/>
          <w:rFonts w:asciiTheme="minorHAnsi" w:hAnsiTheme="minorHAnsi" w:cstheme="minorHAnsi"/>
          <w:iCs/>
          <w:lang w:val="en-GB"/>
        </w:rPr>
        <w:footnoteReference w:id="44"/>
      </w:r>
      <w:r w:rsidR="00253D15" w:rsidRPr="001E60C7">
        <w:rPr>
          <w:rFonts w:asciiTheme="minorHAnsi" w:hAnsiTheme="minorHAnsi" w:cstheme="minorHAnsi"/>
          <w:iCs/>
          <w:lang w:val="en-GB"/>
        </w:rPr>
        <w:t xml:space="preserve"> </w:t>
      </w:r>
      <w:r w:rsidR="009C3AD4" w:rsidRPr="001E60C7">
        <w:rPr>
          <w:rFonts w:asciiTheme="minorHAnsi" w:hAnsiTheme="minorHAnsi" w:cstheme="minorHAnsi"/>
          <w:iCs/>
          <w:lang w:val="en-GB"/>
        </w:rPr>
        <w:t xml:space="preserve">In addition, </w:t>
      </w:r>
      <w:r w:rsidR="00253D15" w:rsidRPr="001E60C7">
        <w:rPr>
          <w:rFonts w:cstheme="minorHAnsi"/>
          <w:iCs/>
          <w:lang w:val="en-GB"/>
        </w:rPr>
        <w:t>UK</w:t>
      </w:r>
      <w:r w:rsidR="00FF6ED6" w:rsidRPr="001E60C7">
        <w:rPr>
          <w:rFonts w:cstheme="minorHAnsi"/>
          <w:iCs/>
          <w:lang w:val="en-GB"/>
        </w:rPr>
        <w:noBreakHyphen/>
      </w:r>
      <w:r w:rsidR="00253D15" w:rsidRPr="001E60C7">
        <w:rPr>
          <w:rFonts w:cstheme="minorHAnsi"/>
          <w:iCs/>
          <w:lang w:val="en-GB"/>
        </w:rPr>
        <w:t>China Regional Lead</w:t>
      </w:r>
      <w:r w:rsidR="004D7C6B" w:rsidRPr="001E60C7">
        <w:rPr>
          <w:rFonts w:cstheme="minorHAnsi"/>
          <w:iCs/>
          <w:lang w:val="en-GB"/>
        </w:rPr>
        <w:t>ers</w:t>
      </w:r>
      <w:r w:rsidR="00A95C92" w:rsidRPr="001E60C7">
        <w:rPr>
          <w:rFonts w:cstheme="minorHAnsi"/>
          <w:iCs/>
          <w:lang w:val="en-GB"/>
        </w:rPr>
        <w:t>’</w:t>
      </w:r>
      <w:r w:rsidR="004D7C6B" w:rsidRPr="001E60C7">
        <w:rPr>
          <w:rFonts w:cstheme="minorHAnsi"/>
          <w:iCs/>
          <w:lang w:val="en-GB"/>
        </w:rPr>
        <w:t xml:space="preserve"> Summits </w:t>
      </w:r>
      <w:r w:rsidR="009C3AD4" w:rsidRPr="001E60C7">
        <w:rPr>
          <w:rFonts w:cstheme="minorHAnsi"/>
          <w:iCs/>
          <w:lang w:val="en-GB"/>
        </w:rPr>
        <w:t xml:space="preserve">are </w:t>
      </w:r>
      <w:r w:rsidR="004D7C6B" w:rsidRPr="001E60C7">
        <w:rPr>
          <w:rFonts w:cstheme="minorHAnsi"/>
          <w:iCs/>
          <w:lang w:val="en-GB"/>
        </w:rPr>
        <w:t>held</w:t>
      </w:r>
      <w:r w:rsidR="00253D15" w:rsidRPr="001E60C7">
        <w:rPr>
          <w:rFonts w:cstheme="minorHAnsi"/>
          <w:iCs/>
          <w:lang w:val="en-GB"/>
        </w:rPr>
        <w:t xml:space="preserve"> to boost cooperation, including on education,</w:t>
      </w:r>
      <w:r w:rsidR="008F0886" w:rsidRPr="001E60C7">
        <w:rPr>
          <w:rFonts w:cstheme="minorHAnsi"/>
          <w:iCs/>
          <w:lang w:val="en-GB"/>
        </w:rPr>
        <w:t xml:space="preserve"> </w:t>
      </w:r>
      <w:r w:rsidR="00014D86" w:rsidRPr="001E60C7">
        <w:rPr>
          <w:rFonts w:cstheme="minorHAnsi"/>
          <w:iCs/>
          <w:lang w:val="en-GB"/>
        </w:rPr>
        <w:t>compris</w:t>
      </w:r>
      <w:r w:rsidR="008F0886" w:rsidRPr="001E60C7">
        <w:rPr>
          <w:rFonts w:cstheme="minorHAnsi"/>
          <w:iCs/>
          <w:lang w:val="en-GB"/>
        </w:rPr>
        <w:t>ing delegations of government leaders, senior academics and business executives from both</w:t>
      </w:r>
      <w:r w:rsidR="00014D86" w:rsidRPr="001E60C7">
        <w:rPr>
          <w:rFonts w:cstheme="minorHAnsi"/>
          <w:iCs/>
          <w:lang w:val="en-GB"/>
        </w:rPr>
        <w:t xml:space="preserve"> </w:t>
      </w:r>
      <w:r w:rsidR="008F0886" w:rsidRPr="001E60C7">
        <w:rPr>
          <w:rFonts w:cstheme="minorHAnsi"/>
          <w:iCs/>
          <w:lang w:val="en-GB"/>
        </w:rPr>
        <w:t>countries and between different regions and cities in China and the UK</w:t>
      </w:r>
      <w:r w:rsidR="00253D15" w:rsidRPr="001E60C7">
        <w:rPr>
          <w:rFonts w:cstheme="minorHAnsi"/>
          <w:iCs/>
          <w:lang w:val="en-GB"/>
        </w:rPr>
        <w:t>.</w:t>
      </w:r>
      <w:r w:rsidR="00253D15" w:rsidRPr="001E60C7">
        <w:rPr>
          <w:rStyle w:val="FootnoteReference"/>
          <w:rFonts w:cstheme="minorHAnsi"/>
          <w:iCs/>
          <w:lang w:val="en-GB"/>
        </w:rPr>
        <w:footnoteReference w:id="45"/>
      </w:r>
    </w:p>
    <w:p w14:paraId="5A821597" w14:textId="0B4C27D3" w:rsidR="00253D15" w:rsidRPr="001E60C7" w:rsidRDefault="00253D15" w:rsidP="00253D15">
      <w:pPr>
        <w:rPr>
          <w:rFonts w:asciiTheme="minorHAnsi" w:hAnsiTheme="minorHAnsi" w:cstheme="minorHAnsi"/>
          <w:iCs/>
          <w:lang w:val="en-GB"/>
        </w:rPr>
      </w:pPr>
      <w:r w:rsidRPr="001E60C7">
        <w:rPr>
          <w:rFonts w:asciiTheme="minorHAnsi" w:hAnsiTheme="minorHAnsi" w:cstheme="minorHAnsi"/>
          <w:iCs/>
          <w:lang w:val="en-GB"/>
        </w:rPr>
        <w:t>In higher education, there has been a rapid expansi</w:t>
      </w:r>
      <w:r w:rsidR="00473C70" w:rsidRPr="001E60C7">
        <w:rPr>
          <w:rFonts w:asciiTheme="minorHAnsi" w:hAnsiTheme="minorHAnsi" w:cstheme="minorHAnsi"/>
          <w:iCs/>
          <w:lang w:val="en-GB"/>
        </w:rPr>
        <w:t>on of Chinese-UK joint program</w:t>
      </w:r>
      <w:r w:rsidRPr="001E60C7">
        <w:rPr>
          <w:rFonts w:asciiTheme="minorHAnsi" w:hAnsiTheme="minorHAnsi" w:cstheme="minorHAnsi"/>
          <w:iCs/>
          <w:lang w:val="en-GB"/>
        </w:rPr>
        <w:t>s and instit</w:t>
      </w:r>
      <w:r w:rsidR="00D6706B" w:rsidRPr="001E60C7">
        <w:rPr>
          <w:rFonts w:asciiTheme="minorHAnsi" w:hAnsiTheme="minorHAnsi" w:cstheme="minorHAnsi"/>
          <w:iCs/>
          <w:lang w:val="en-GB"/>
        </w:rPr>
        <w:t>utes over the last two decades.</w:t>
      </w:r>
      <w:r w:rsidRPr="001E60C7">
        <w:rPr>
          <w:rFonts w:asciiTheme="minorHAnsi" w:hAnsiTheme="minorHAnsi" w:cstheme="minorHAnsi"/>
          <w:iCs/>
          <w:lang w:val="en-GB"/>
        </w:rPr>
        <w:t xml:space="preserve"> In 2017, it was reported that cooperation with UK partners makes up more than one fifth of all</w:t>
      </w:r>
      <w:r w:rsidR="00473C70" w:rsidRPr="001E60C7">
        <w:rPr>
          <w:rFonts w:asciiTheme="minorHAnsi" w:hAnsiTheme="minorHAnsi" w:cstheme="minorHAnsi"/>
          <w:iCs/>
          <w:lang w:val="en-GB"/>
        </w:rPr>
        <w:t xml:space="preserve"> Chinese-foreign joint program</w:t>
      </w:r>
      <w:r w:rsidRPr="001E60C7">
        <w:rPr>
          <w:rFonts w:asciiTheme="minorHAnsi" w:hAnsiTheme="minorHAnsi" w:cstheme="minorHAnsi"/>
          <w:iCs/>
          <w:lang w:val="en-GB"/>
        </w:rPr>
        <w:t>s and institutes at bachelor’s degree level and above.</w:t>
      </w:r>
      <w:r w:rsidRPr="001E60C7">
        <w:rPr>
          <w:rStyle w:val="FootnoteReference"/>
          <w:rFonts w:asciiTheme="minorHAnsi" w:hAnsiTheme="minorHAnsi" w:cstheme="minorHAnsi"/>
          <w:iCs/>
          <w:lang w:val="en-GB"/>
        </w:rPr>
        <w:footnoteReference w:id="46"/>
      </w:r>
      <w:r w:rsidR="00D6706B" w:rsidRPr="001E60C7">
        <w:rPr>
          <w:rFonts w:asciiTheme="minorHAnsi" w:hAnsiTheme="minorHAnsi" w:cstheme="minorHAnsi"/>
          <w:iCs/>
          <w:lang w:val="en-GB"/>
        </w:rPr>
        <w:t xml:space="preserve"> </w:t>
      </w:r>
      <w:r w:rsidRPr="001E60C7">
        <w:rPr>
          <w:rFonts w:asciiTheme="minorHAnsi" w:hAnsiTheme="minorHAnsi" w:cstheme="minorHAnsi"/>
          <w:iCs/>
          <w:lang w:val="en-GB"/>
        </w:rPr>
        <w:t>In VET, Sino-</w:t>
      </w:r>
      <w:r w:rsidR="00646DFA" w:rsidRPr="001E60C7">
        <w:rPr>
          <w:rFonts w:asciiTheme="minorHAnsi" w:hAnsiTheme="minorHAnsi" w:cstheme="minorHAnsi"/>
          <w:iCs/>
          <w:lang w:val="en-GB"/>
        </w:rPr>
        <w:t xml:space="preserve">UK cooperation is on the rise. </w:t>
      </w:r>
      <w:r w:rsidRPr="001E60C7">
        <w:rPr>
          <w:rFonts w:asciiTheme="minorHAnsi" w:hAnsiTheme="minorHAnsi" w:cstheme="minorHAnsi"/>
          <w:iCs/>
          <w:lang w:val="en-GB"/>
        </w:rPr>
        <w:t xml:space="preserve">For example, </w:t>
      </w:r>
      <w:r w:rsidR="00D6706B" w:rsidRPr="001E60C7">
        <w:rPr>
          <w:rFonts w:asciiTheme="minorHAnsi" w:hAnsiTheme="minorHAnsi" w:cstheme="minorHAnsi"/>
          <w:iCs/>
          <w:lang w:val="en-GB"/>
        </w:rPr>
        <w:t xml:space="preserve">a </w:t>
      </w:r>
      <w:r w:rsidRPr="001E60C7">
        <w:rPr>
          <w:rFonts w:asciiTheme="minorHAnsi" w:hAnsiTheme="minorHAnsi" w:cstheme="minorHAnsi"/>
          <w:iCs/>
          <w:lang w:val="en-GB"/>
        </w:rPr>
        <w:t>‘China-UK Forum on Vocational Skills Development’ was held</w:t>
      </w:r>
      <w:r w:rsidR="00D6706B" w:rsidRPr="001E60C7">
        <w:rPr>
          <w:rFonts w:asciiTheme="minorHAnsi" w:hAnsiTheme="minorHAnsi" w:cstheme="minorHAnsi"/>
          <w:iCs/>
          <w:lang w:val="en-GB"/>
        </w:rPr>
        <w:t xml:space="preserve"> in 2017,</w:t>
      </w:r>
      <w:r w:rsidRPr="001E60C7">
        <w:rPr>
          <w:rFonts w:asciiTheme="minorHAnsi" w:hAnsiTheme="minorHAnsi" w:cstheme="minorHAnsi"/>
          <w:iCs/>
          <w:lang w:val="en-GB"/>
        </w:rPr>
        <w:t xml:space="preserve"> bringing together </w:t>
      </w:r>
      <w:r w:rsidR="00646DFA" w:rsidRPr="001E60C7">
        <w:rPr>
          <w:rFonts w:asciiTheme="minorHAnsi" w:hAnsiTheme="minorHAnsi" w:cstheme="minorHAnsi"/>
          <w:iCs/>
          <w:lang w:val="en-GB"/>
        </w:rPr>
        <w:t>representatives from government</w:t>
      </w:r>
      <w:r w:rsidRPr="001E60C7">
        <w:rPr>
          <w:rFonts w:asciiTheme="minorHAnsi" w:hAnsiTheme="minorHAnsi" w:cstheme="minorHAnsi"/>
          <w:iCs/>
          <w:lang w:val="en-GB"/>
        </w:rPr>
        <w:t xml:space="preserve">, industry bodies, businesses and vocational colleges in China and UK.  </w:t>
      </w:r>
    </w:p>
    <w:p w14:paraId="4B8337DE" w14:textId="77777777" w:rsidR="00253D15" w:rsidRPr="001E60C7" w:rsidRDefault="00253D15" w:rsidP="00253D15">
      <w:pPr>
        <w:rPr>
          <w:rFonts w:asciiTheme="minorHAnsi" w:hAnsiTheme="minorHAnsi" w:cstheme="minorHAnsi"/>
          <w:iCs/>
          <w:color w:val="2D2319"/>
          <w:lang w:val="en-GB"/>
        </w:rPr>
      </w:pPr>
    </w:p>
    <w:p w14:paraId="04031CB7" w14:textId="00F7DCC8" w:rsidR="00253D15" w:rsidRPr="001E60C7" w:rsidRDefault="00253D15" w:rsidP="00253D15">
      <w:r w:rsidRPr="001E60C7">
        <w:t>At</w:t>
      </w:r>
      <w:r w:rsidR="00B772EF" w:rsidRPr="001E60C7">
        <w:t xml:space="preserve"> the</w:t>
      </w:r>
      <w:r w:rsidRPr="001E60C7">
        <w:t xml:space="preserve"> schools level, both the UK curriculum and British schools have a significant presence in China. According to</w:t>
      </w:r>
      <w:r w:rsidR="00646DFA" w:rsidRPr="001E60C7">
        <w:t xml:space="preserve"> a 2018 report</w:t>
      </w:r>
      <w:r w:rsidRPr="001E60C7">
        <w:t xml:space="preserve">, </w:t>
      </w:r>
      <w:r w:rsidR="006B19AB" w:rsidRPr="001E60C7">
        <w:t xml:space="preserve">of the </w:t>
      </w:r>
      <w:r w:rsidRPr="001E60C7">
        <w:t>1028 international schools in China</w:t>
      </w:r>
      <w:r w:rsidR="006B19AB" w:rsidRPr="001E60C7">
        <w:t>, 54 per cent are private schools that are using British courses</w:t>
      </w:r>
      <w:r w:rsidRPr="001E60C7">
        <w:t>.</w:t>
      </w:r>
      <w:r w:rsidRPr="001E60C7">
        <w:rPr>
          <w:rStyle w:val="FootnoteReference"/>
          <w:rFonts w:asciiTheme="minorHAnsi" w:eastAsiaTheme="minorHAnsi" w:hAnsiTheme="minorHAnsi" w:cstheme="minorBidi"/>
          <w:sz w:val="20"/>
          <w:szCs w:val="20"/>
        </w:rPr>
        <w:footnoteReference w:id="47"/>
      </w:r>
      <w:r w:rsidRPr="001E60C7">
        <w:rPr>
          <w:rStyle w:val="FootnoteReference"/>
          <w:rFonts w:asciiTheme="minorHAnsi" w:eastAsiaTheme="minorHAnsi" w:hAnsiTheme="minorHAnsi" w:cstheme="minorBidi"/>
          <w:sz w:val="20"/>
          <w:szCs w:val="20"/>
        </w:rPr>
        <w:t xml:space="preserve"> </w:t>
      </w:r>
      <w:r w:rsidRPr="001E60C7">
        <w:rPr>
          <w:rFonts w:asciiTheme="minorHAnsi" w:eastAsiaTheme="minorHAnsi" w:hAnsiTheme="minorHAnsi" w:cstheme="minorBidi"/>
          <w:sz w:val="20"/>
          <w:szCs w:val="20"/>
        </w:rPr>
        <w:t xml:space="preserve"> </w:t>
      </w:r>
      <w:r w:rsidRPr="001E60C7">
        <w:t xml:space="preserve">The British Council is </w:t>
      </w:r>
      <w:r w:rsidR="00A95C92" w:rsidRPr="001E60C7">
        <w:t xml:space="preserve">working hard to create </w:t>
      </w:r>
      <w:r w:rsidRPr="001E60C7">
        <w:t>a strong positive per</w:t>
      </w:r>
      <w:r w:rsidR="00A95C92" w:rsidRPr="001E60C7">
        <w:t>ception of British education, with</w:t>
      </w:r>
      <w:r w:rsidRPr="001E60C7">
        <w:t xml:space="preserve"> high brand awareness. </w:t>
      </w:r>
    </w:p>
    <w:p w14:paraId="06713C86" w14:textId="77777777" w:rsidR="00253D15" w:rsidRPr="001E60C7" w:rsidRDefault="00253D15" w:rsidP="00253D15"/>
    <w:p w14:paraId="41FEDBC3" w14:textId="0BCD7870" w:rsidR="00253D15" w:rsidRPr="001E60C7" w:rsidRDefault="009C3AD4" w:rsidP="00632859">
      <w:pPr>
        <w:spacing w:after="160" w:line="256" w:lineRule="auto"/>
        <w:rPr>
          <w:rFonts w:eastAsiaTheme="minorHAnsi" w:cstheme="minorBidi"/>
          <w:sz w:val="20"/>
          <w:szCs w:val="20"/>
        </w:rPr>
      </w:pPr>
      <w:r w:rsidRPr="001E60C7">
        <w:rPr>
          <w:rFonts w:asciiTheme="minorHAnsi" w:hAnsiTheme="minorHAnsi" w:cstheme="minorHAnsi"/>
          <w:iCs/>
          <w:lang w:val="en-GB"/>
        </w:rPr>
        <w:lastRenderedPageBreak/>
        <w:t>The UK also has initiatives focussed on increasing the number of UK citizens with China literacy and Mandarin language skills.</w:t>
      </w:r>
      <w:r w:rsidRPr="001E60C7">
        <w:rPr>
          <w:rStyle w:val="FootnoteReference"/>
          <w:rFonts w:asciiTheme="minorHAnsi" w:eastAsiaTheme="minorHAnsi" w:hAnsiTheme="minorHAnsi" w:cstheme="minorBidi"/>
          <w:sz w:val="20"/>
          <w:szCs w:val="20"/>
        </w:rPr>
        <w:footnoteReference w:id="48"/>
      </w:r>
      <w:r w:rsidRPr="001E60C7">
        <w:rPr>
          <w:rStyle w:val="FootnoteReference"/>
          <w:rFonts w:eastAsiaTheme="minorHAnsi" w:cstheme="minorBidi"/>
          <w:sz w:val="20"/>
          <w:szCs w:val="20"/>
        </w:rPr>
        <w:t xml:space="preserve"> </w:t>
      </w:r>
      <w:r w:rsidRPr="001E60C7">
        <w:rPr>
          <w:rFonts w:asciiTheme="minorHAnsi" w:hAnsiTheme="minorHAnsi" w:cstheme="minorHAnsi"/>
          <w:iCs/>
          <w:lang w:val="en-GB"/>
        </w:rPr>
        <w:t>For instance, t</w:t>
      </w:r>
      <w:r w:rsidR="00253D15" w:rsidRPr="001E60C7">
        <w:rPr>
          <w:rFonts w:asciiTheme="minorHAnsi" w:hAnsiTheme="minorHAnsi" w:cstheme="minorHAnsi"/>
          <w:iCs/>
          <w:lang w:val="en-GB"/>
        </w:rPr>
        <w:t>he UK-Mandarin Excellence Program, which was launched in 2016</w:t>
      </w:r>
      <w:r w:rsidR="006664C2" w:rsidRPr="001E60C7">
        <w:rPr>
          <w:rFonts w:asciiTheme="minorHAnsi" w:hAnsiTheme="minorHAnsi" w:cstheme="minorHAnsi"/>
          <w:iCs/>
          <w:lang w:val="en-GB"/>
        </w:rPr>
        <w:t>, a</w:t>
      </w:r>
      <w:r w:rsidR="00253D15" w:rsidRPr="001E60C7">
        <w:rPr>
          <w:rFonts w:asciiTheme="minorHAnsi" w:hAnsiTheme="minorHAnsi" w:cstheme="minorHAnsi"/>
          <w:iCs/>
          <w:lang w:val="en-GB"/>
        </w:rPr>
        <w:t xml:space="preserve">ims to </w:t>
      </w:r>
      <w:r w:rsidRPr="001E60C7">
        <w:rPr>
          <w:rFonts w:asciiTheme="minorHAnsi" w:hAnsiTheme="minorHAnsi" w:cstheme="minorHAnsi"/>
          <w:iCs/>
          <w:lang w:val="en-GB"/>
        </w:rPr>
        <w:t>increase the number of</w:t>
      </w:r>
      <w:r w:rsidR="006664C2" w:rsidRPr="001E60C7">
        <w:rPr>
          <w:rFonts w:asciiTheme="minorHAnsi" w:hAnsiTheme="minorHAnsi" w:cstheme="minorHAnsi"/>
          <w:iCs/>
          <w:lang w:val="en-GB"/>
        </w:rPr>
        <w:t xml:space="preserve"> </w:t>
      </w:r>
      <w:r w:rsidR="00253D15" w:rsidRPr="001E60C7">
        <w:rPr>
          <w:rFonts w:asciiTheme="minorHAnsi" w:hAnsiTheme="minorHAnsi" w:cstheme="minorHAnsi"/>
          <w:iCs/>
          <w:lang w:val="en-GB"/>
        </w:rPr>
        <w:t xml:space="preserve">secondary school pupils in the UK </w:t>
      </w:r>
      <w:r w:rsidRPr="001E60C7">
        <w:rPr>
          <w:rFonts w:asciiTheme="minorHAnsi" w:hAnsiTheme="minorHAnsi" w:cstheme="minorHAnsi"/>
          <w:iCs/>
          <w:lang w:val="en-GB"/>
        </w:rPr>
        <w:t>with fluency in Mandarin</w:t>
      </w:r>
      <w:r w:rsidR="00D6706B" w:rsidRPr="001E60C7">
        <w:rPr>
          <w:rFonts w:asciiTheme="minorHAnsi" w:hAnsiTheme="minorHAnsi" w:cstheme="minorHAnsi"/>
          <w:iCs/>
          <w:lang w:val="en-GB"/>
        </w:rPr>
        <w:t>.</w:t>
      </w:r>
      <w:r w:rsidR="00253D15" w:rsidRPr="001E60C7">
        <w:rPr>
          <w:rFonts w:asciiTheme="minorHAnsi" w:hAnsiTheme="minorHAnsi" w:cstheme="minorHAnsi"/>
          <w:iCs/>
          <w:lang w:val="en-GB"/>
        </w:rPr>
        <w:t xml:space="preserve"> </w:t>
      </w:r>
    </w:p>
    <w:p w14:paraId="6941959D" w14:textId="562DBE1D" w:rsidR="00253D15" w:rsidRPr="001E60C7" w:rsidRDefault="004200B5" w:rsidP="004200B5">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United States</w:t>
      </w:r>
    </w:p>
    <w:p w14:paraId="0D552A4A" w14:textId="1E66B113" w:rsidR="006664C2" w:rsidRPr="001E60C7" w:rsidRDefault="00253D15" w:rsidP="00253D15">
      <w:pPr>
        <w:spacing w:after="160" w:line="256" w:lineRule="auto"/>
      </w:pPr>
      <w:r w:rsidRPr="001E60C7">
        <w:t xml:space="preserve">The </w:t>
      </w:r>
      <w:r w:rsidR="006B19AB" w:rsidRPr="001E60C7">
        <w:t>US</w:t>
      </w:r>
      <w:r w:rsidRPr="001E60C7">
        <w:t xml:space="preserve"> has the China-US Social and People-to-People Dialogue, the first of which was held in September 2017, co-chaired by a Chinese Vice Premier and </w:t>
      </w:r>
      <w:r w:rsidR="00C254CD" w:rsidRPr="001E60C7">
        <w:t xml:space="preserve">the </w:t>
      </w:r>
      <w:r w:rsidRPr="001E60C7">
        <w:t>US Secretary</w:t>
      </w:r>
      <w:r w:rsidR="00CA3AFA" w:rsidRPr="001E60C7">
        <w:t xml:space="preserve"> of State. </w:t>
      </w:r>
      <w:r w:rsidRPr="001E60C7">
        <w:t>This first meeting resulted in a joint statement and action plan with over 130 outcomes, which included an education focus.</w:t>
      </w:r>
      <w:r w:rsidRPr="001E60C7">
        <w:rPr>
          <w:rStyle w:val="FootnoteReference"/>
        </w:rPr>
        <w:footnoteReference w:id="49"/>
      </w:r>
      <w:r w:rsidR="00646DFA" w:rsidRPr="001E60C7">
        <w:t xml:space="preserve"> </w:t>
      </w:r>
    </w:p>
    <w:p w14:paraId="0230E35B" w14:textId="6CF6684D" w:rsidR="00253D15" w:rsidRPr="001E60C7" w:rsidRDefault="00253D15" w:rsidP="00253D15">
      <w:pPr>
        <w:spacing w:after="160" w:line="256" w:lineRule="auto"/>
      </w:pPr>
      <w:r w:rsidRPr="001E60C7">
        <w:t>In higher education, the US has around 321 active joint programs and 25 joint institutes with China, among other partnerships. According to the Cross-Border Education Research Team (C-BERT), there were 14 US foreign branch campuses in China in 2017.</w:t>
      </w:r>
      <w:r w:rsidRPr="001E60C7">
        <w:rPr>
          <w:rStyle w:val="FootnoteReference"/>
        </w:rPr>
        <w:footnoteReference w:id="50"/>
      </w:r>
      <w:r w:rsidRPr="001E60C7">
        <w:t xml:space="preserve"> </w:t>
      </w:r>
      <w:r w:rsidR="0040447A" w:rsidRPr="001E60C7">
        <w:t>There is also the US-China Fulbright program, which is the main international education exchange program sponsored by the US government designed to enhance understanding between the US and China.</w:t>
      </w:r>
      <w:r w:rsidR="0040447A" w:rsidRPr="001E60C7">
        <w:rPr>
          <w:vertAlign w:val="superscript"/>
        </w:rPr>
        <w:footnoteReference w:id="51"/>
      </w:r>
      <w:r w:rsidR="0040447A" w:rsidRPr="001E60C7">
        <w:t xml:space="preserve"> </w:t>
      </w:r>
    </w:p>
    <w:p w14:paraId="17B76233" w14:textId="2FC15F87" w:rsidR="006664C2" w:rsidRPr="001E60C7" w:rsidRDefault="006B19AB" w:rsidP="006664C2">
      <w:pPr>
        <w:spacing w:after="160" w:line="256" w:lineRule="auto"/>
      </w:pPr>
      <w:r w:rsidRPr="001E60C7">
        <w:t>In s</w:t>
      </w:r>
      <w:r w:rsidR="00253D15" w:rsidRPr="001E60C7">
        <w:t xml:space="preserve">tudent </w:t>
      </w:r>
      <w:r w:rsidR="008816B6" w:rsidRPr="001E60C7">
        <w:t>mobility</w:t>
      </w:r>
      <w:r w:rsidRPr="001E60C7">
        <w:t>,</w:t>
      </w:r>
      <w:r w:rsidR="008816B6" w:rsidRPr="001E60C7">
        <w:t xml:space="preserve"> </w:t>
      </w:r>
      <w:r w:rsidR="00253D15" w:rsidRPr="001E60C7">
        <w:t xml:space="preserve">the US government launched the </w:t>
      </w:r>
      <w:r w:rsidR="00646DFA" w:rsidRPr="001E60C7">
        <w:t>‘</w:t>
      </w:r>
      <w:r w:rsidR="00253D15" w:rsidRPr="001E60C7">
        <w:t>100,000 Strong Initiative</w:t>
      </w:r>
      <w:r w:rsidR="00646DFA" w:rsidRPr="001E60C7">
        <w:t>’</w:t>
      </w:r>
      <w:r w:rsidR="00253D15" w:rsidRPr="001E60C7">
        <w:t xml:space="preserve"> </w:t>
      </w:r>
      <w:r w:rsidR="006664C2" w:rsidRPr="001E60C7">
        <w:t xml:space="preserve">in 2010, </w:t>
      </w:r>
      <w:r w:rsidR="00253D15" w:rsidRPr="001E60C7">
        <w:t>to offer scholarships to Americans to study in China, w</w:t>
      </w:r>
      <w:r w:rsidR="00F20873" w:rsidRPr="001E60C7">
        <w:t>ith Chinese government support.</w:t>
      </w:r>
      <w:r w:rsidR="00253D15" w:rsidRPr="001E60C7">
        <w:rPr>
          <w:rStyle w:val="FootnoteReference"/>
        </w:rPr>
        <w:footnoteReference w:id="52"/>
      </w:r>
      <w:r w:rsidR="00646DFA" w:rsidRPr="001E60C7">
        <w:t xml:space="preserve"> </w:t>
      </w:r>
      <w:r w:rsidR="006664C2" w:rsidRPr="001E60C7">
        <w:t>There is also the US-China Fulbright program, which is the main international education exchange program sponsored by the US government designed to enhance understanding between the US and China.</w:t>
      </w:r>
      <w:r w:rsidR="006664C2" w:rsidRPr="001E60C7">
        <w:rPr>
          <w:rStyle w:val="FootnoteReference"/>
        </w:rPr>
        <w:footnoteReference w:id="53"/>
      </w:r>
      <w:r w:rsidR="006664C2" w:rsidRPr="001E60C7">
        <w:t xml:space="preserve"> </w:t>
      </w:r>
    </w:p>
    <w:p w14:paraId="288EDD59" w14:textId="1227B0D4" w:rsidR="00253D15" w:rsidRPr="001E60C7" w:rsidRDefault="006664C2" w:rsidP="006664C2">
      <w:pPr>
        <w:spacing w:after="160" w:line="256" w:lineRule="auto"/>
      </w:pPr>
      <w:r w:rsidRPr="001E60C7">
        <w:lastRenderedPageBreak/>
        <w:t>In 2012, the third China-US High-Level Consultation on People-to-People Exchange launched the Fulbright Foreign Language Teaching Assistance Program, sponsored by the US Government and enabling students in the US to learn Chinese from Chinese instructors.</w:t>
      </w:r>
    </w:p>
    <w:p w14:paraId="0BCE5729" w14:textId="01C2AF0C" w:rsidR="00253D15" w:rsidRPr="001E60C7" w:rsidRDefault="00253D15" w:rsidP="00253D15">
      <w:pPr>
        <w:spacing w:after="160" w:line="256" w:lineRule="auto"/>
      </w:pPr>
      <w:r w:rsidRPr="001E60C7">
        <w:t>In schools, the US is making significant inroads into the Chinese market through private service providers, Advanced Placement (AP), American Colle</w:t>
      </w:r>
      <w:r w:rsidR="006214F6" w:rsidRPr="001E60C7">
        <w:t xml:space="preserve">ge Test (ACT) and SAT systems. According to a 2018 report, </w:t>
      </w:r>
      <w:r w:rsidRPr="001E60C7">
        <w:t>the AP is the most popular type of international curriculum in China, with 355 schools in China adopting this curriculum, including 156 private international schools and 145 international departments of public schools.</w:t>
      </w:r>
      <w:r w:rsidR="006214F6" w:rsidRPr="001E60C7">
        <w:rPr>
          <w:rStyle w:val="FootnoteReference"/>
        </w:rPr>
        <w:footnoteReference w:id="54"/>
      </w:r>
      <w:r w:rsidR="006214F6" w:rsidRPr="001E60C7">
        <w:t xml:space="preserve"> </w:t>
      </w:r>
    </w:p>
    <w:p w14:paraId="343EB9D7" w14:textId="57E06327" w:rsidR="00253D15" w:rsidRPr="001E60C7" w:rsidRDefault="00380D81" w:rsidP="00632859">
      <w:pPr>
        <w:spacing w:after="160" w:line="256" w:lineRule="auto"/>
      </w:pPr>
      <w:r w:rsidRPr="001E60C7">
        <w:t>Finally, it is significant that US institutions are</w:t>
      </w:r>
      <w:r w:rsidR="006214F6" w:rsidRPr="001E60C7">
        <w:t xml:space="preserve"> </w:t>
      </w:r>
      <w:r w:rsidR="00253D15" w:rsidRPr="001E60C7">
        <w:t xml:space="preserve">increasingly </w:t>
      </w:r>
      <w:r w:rsidR="008816B6" w:rsidRPr="001E60C7">
        <w:t>willing to use</w:t>
      </w:r>
      <w:r w:rsidR="00253D15" w:rsidRPr="001E60C7">
        <w:t xml:space="preserve"> age</w:t>
      </w:r>
      <w:r w:rsidR="008816B6" w:rsidRPr="001E60C7">
        <w:t xml:space="preserve">nts to secure student numbers, which is a practice pioneered by Australia and historically shunned by US institutions. </w:t>
      </w:r>
      <w:r w:rsidR="00253D15" w:rsidRPr="001E60C7">
        <w:t>Acco</w:t>
      </w:r>
      <w:r w:rsidR="00711765" w:rsidRPr="001E60C7">
        <w:t>rding to the American Council on</w:t>
      </w:r>
      <w:r w:rsidR="00253D15" w:rsidRPr="001E60C7">
        <w:t xml:space="preserve"> Educat</w:t>
      </w:r>
      <w:r w:rsidR="001852F1" w:rsidRPr="001E60C7">
        <w:t>ion</w:t>
      </w:r>
      <w:r w:rsidR="006214F6" w:rsidRPr="001E60C7">
        <w:t>, this went from 17 per cent of US providers in 2011 to 45 per cent</w:t>
      </w:r>
      <w:r w:rsidR="00253D15" w:rsidRPr="001E60C7">
        <w:t xml:space="preserve"> in 2016.</w:t>
      </w:r>
      <w:r w:rsidR="006214F6" w:rsidRPr="001E60C7">
        <w:rPr>
          <w:rStyle w:val="FootnoteReference"/>
        </w:rPr>
        <w:footnoteReference w:id="55"/>
      </w:r>
      <w:r w:rsidR="006214F6" w:rsidRPr="001E60C7">
        <w:t xml:space="preserve"> </w:t>
      </w:r>
      <w:r w:rsidR="00253D15" w:rsidRPr="001E60C7">
        <w:t xml:space="preserve">With more US client providers to service, agents are in a position to present more US institutions to prospective students, which may </w:t>
      </w:r>
      <w:r w:rsidRPr="001E60C7">
        <w:t>affect</w:t>
      </w:r>
      <w:r w:rsidR="00253D15" w:rsidRPr="001E60C7">
        <w:t xml:space="preserve"> Australian providers who also large</w:t>
      </w:r>
      <w:r w:rsidR="006214F6" w:rsidRPr="001E60C7">
        <w:t xml:space="preserve">ly rely on agents. </w:t>
      </w:r>
    </w:p>
    <w:p w14:paraId="01EE1180" w14:textId="5DFC1BD6" w:rsidR="00253D15" w:rsidRPr="001E60C7" w:rsidRDefault="004200B5" w:rsidP="004200B5">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Canada</w:t>
      </w:r>
    </w:p>
    <w:p w14:paraId="252213B3" w14:textId="24C200EE" w:rsidR="00253D15" w:rsidRPr="001E60C7" w:rsidRDefault="00253D15" w:rsidP="00253D15">
      <w:pPr>
        <w:spacing w:after="160" w:line="256" w:lineRule="auto"/>
      </w:pPr>
      <w:r w:rsidRPr="001E60C7">
        <w:t>In 2019, Canada launched its new international education strategy, which includes China as a focus. While Chinese student enrolments are flattening out in Canada after a period of growth, China remains a dominant source country for overseas students.</w:t>
      </w:r>
      <w:r w:rsidRPr="001E60C7">
        <w:rPr>
          <w:rStyle w:val="FootnoteReference"/>
        </w:rPr>
        <w:footnoteReference w:id="56"/>
      </w:r>
      <w:r w:rsidRPr="001E60C7">
        <w:t xml:space="preserve">  </w:t>
      </w:r>
    </w:p>
    <w:p w14:paraId="275A7659" w14:textId="77777777" w:rsidR="00253D15" w:rsidRPr="001E60C7" w:rsidRDefault="00253D15" w:rsidP="00253D15">
      <w:pPr>
        <w:spacing w:after="160" w:line="256" w:lineRule="auto"/>
      </w:pPr>
      <w:r w:rsidRPr="001E60C7">
        <w:t>In transnational education, Canada has four key joint education programs with China:</w:t>
      </w:r>
    </w:p>
    <w:p w14:paraId="547B0747" w14:textId="40E7D559" w:rsidR="00253D15" w:rsidRPr="001E60C7" w:rsidRDefault="00253D15" w:rsidP="00253D15">
      <w:pPr>
        <w:pStyle w:val="ListParagraph"/>
        <w:numPr>
          <w:ilvl w:val="0"/>
          <w:numId w:val="19"/>
        </w:numPr>
      </w:pPr>
      <w:r w:rsidRPr="001E60C7">
        <w:t>Banting Postdoctoral Fellowships, providing funding for postdoctoral study, both nationally and internationally</w:t>
      </w:r>
      <w:r w:rsidR="002E04FA" w:rsidRPr="001E60C7">
        <w:t>,</w:t>
      </w:r>
      <w:r w:rsidRPr="001E60C7">
        <w:t xml:space="preserve"> </w:t>
      </w:r>
    </w:p>
    <w:p w14:paraId="0ED30B8F" w14:textId="075EDC01" w:rsidR="00253D15" w:rsidRPr="001E60C7" w:rsidRDefault="00253D15" w:rsidP="00253D15">
      <w:pPr>
        <w:pStyle w:val="ListParagraph"/>
        <w:numPr>
          <w:ilvl w:val="0"/>
          <w:numId w:val="19"/>
        </w:numPr>
      </w:pPr>
      <w:r w:rsidRPr="001E60C7">
        <w:t xml:space="preserve">Canada-China Scholars Exchange Program, </w:t>
      </w:r>
      <w:r w:rsidR="00380D81" w:rsidRPr="001E60C7">
        <w:t xml:space="preserve">which comprises </w:t>
      </w:r>
      <w:r w:rsidRPr="001E60C7">
        <w:t>scholarships for Canadians to study in China</w:t>
      </w:r>
      <w:r w:rsidR="002E04FA" w:rsidRPr="001E60C7">
        <w:t>,</w:t>
      </w:r>
    </w:p>
    <w:p w14:paraId="516F1B7B" w14:textId="7C48DB85" w:rsidR="00253D15" w:rsidRPr="001E60C7" w:rsidRDefault="00253D15" w:rsidP="00253D15">
      <w:pPr>
        <w:pStyle w:val="ListParagraph"/>
        <w:numPr>
          <w:ilvl w:val="0"/>
          <w:numId w:val="19"/>
        </w:numPr>
      </w:pPr>
      <w:r w:rsidRPr="001E60C7">
        <w:t>Mitacs Globalink, providing</w:t>
      </w:r>
      <w:r w:rsidR="00380D81" w:rsidRPr="001E60C7">
        <w:t xml:space="preserve"> travel funding between Can</w:t>
      </w:r>
      <w:r w:rsidR="002E04FA" w:rsidRPr="001E60C7">
        <w:t>ada, China and other countries,</w:t>
      </w:r>
      <w:r w:rsidRPr="001E60C7">
        <w:t xml:space="preserve"> and</w:t>
      </w:r>
    </w:p>
    <w:p w14:paraId="2E7E0FCE" w14:textId="77777777" w:rsidR="00253D15" w:rsidRPr="001E60C7" w:rsidRDefault="00253D15" w:rsidP="00253D15">
      <w:pPr>
        <w:pStyle w:val="ListParagraph"/>
        <w:numPr>
          <w:ilvl w:val="0"/>
          <w:numId w:val="19"/>
        </w:numPr>
      </w:pPr>
      <w:r w:rsidRPr="001E60C7">
        <w:lastRenderedPageBreak/>
        <w:t>Vanier Canada Graduate Scholarships program, to attract highly qualified doctoral students.</w:t>
      </w:r>
    </w:p>
    <w:p w14:paraId="69C5C616" w14:textId="1D8DF29F" w:rsidR="00253D15" w:rsidRPr="001E60C7" w:rsidRDefault="006664C2" w:rsidP="00B66389">
      <w:pPr>
        <w:spacing w:after="160" w:line="256" w:lineRule="auto"/>
      </w:pPr>
      <w:r w:rsidRPr="001E60C7">
        <w:t xml:space="preserve">Canada </w:t>
      </w:r>
      <w:r w:rsidR="00253D15" w:rsidRPr="001E60C7">
        <w:t>has two major education and exchange agreements</w:t>
      </w:r>
      <w:r w:rsidRPr="001E60C7">
        <w:t xml:space="preserve">, which are </w:t>
      </w:r>
      <w:r w:rsidR="00253D15" w:rsidRPr="001E60C7">
        <w:t>Canada-China Science and Technology Agreement for cooperation in scientific and technological research</w:t>
      </w:r>
      <w:r w:rsidR="002E04FA" w:rsidRPr="001E60C7">
        <w:t>,</w:t>
      </w:r>
      <w:r w:rsidR="00253D15" w:rsidRPr="001E60C7">
        <w:t xml:space="preserve"> and</w:t>
      </w:r>
      <w:r w:rsidRPr="001E60C7">
        <w:t xml:space="preserve"> </w:t>
      </w:r>
      <w:r w:rsidR="00253D15" w:rsidRPr="001E60C7">
        <w:t>Canada-China Scholars’ Exchange Program.</w:t>
      </w:r>
      <w:r w:rsidRPr="001E60C7">
        <w:t xml:space="preserve"> There is also </w:t>
      </w:r>
      <w:r w:rsidR="00253D15" w:rsidRPr="001E60C7">
        <w:t>the Canadian International Innovation Program supporting collaborative industrial research and development projects with commercialisation potential between Canada and partner countries, of which China is one.</w:t>
      </w:r>
      <w:r w:rsidR="00253D15" w:rsidRPr="001E60C7">
        <w:rPr>
          <w:rStyle w:val="FootnoteReference"/>
        </w:rPr>
        <w:footnoteReference w:id="57"/>
      </w:r>
      <w:r w:rsidR="00253D15" w:rsidRPr="001E60C7">
        <w:t xml:space="preserve"> </w:t>
      </w:r>
    </w:p>
    <w:p w14:paraId="29662A86" w14:textId="0641467A" w:rsidR="00253D15" w:rsidRPr="001E60C7" w:rsidRDefault="003342A6" w:rsidP="00632859">
      <w:pPr>
        <w:spacing w:after="160" w:line="256" w:lineRule="auto"/>
      </w:pPr>
      <w:r w:rsidRPr="001E60C7">
        <w:t xml:space="preserve">In </w:t>
      </w:r>
      <w:r w:rsidR="006664C2" w:rsidRPr="001E60C7">
        <w:t>h</w:t>
      </w:r>
      <w:r w:rsidRPr="001E60C7">
        <w:t xml:space="preserve">igher </w:t>
      </w:r>
      <w:r w:rsidR="006664C2" w:rsidRPr="001E60C7">
        <w:t>e</w:t>
      </w:r>
      <w:r w:rsidR="00253D15" w:rsidRPr="001E60C7">
        <w:t xml:space="preserve">ducation, Canadian and Chinese universities </w:t>
      </w:r>
      <w:r w:rsidR="008816B6" w:rsidRPr="001E60C7">
        <w:t xml:space="preserve">have forged many partnerships, with </w:t>
      </w:r>
      <w:r w:rsidR="00716CD3">
        <w:t>8</w:t>
      </w:r>
      <w:r w:rsidR="00A95C92" w:rsidRPr="001E60C7">
        <w:t xml:space="preserve"> </w:t>
      </w:r>
      <w:r w:rsidR="00253D15" w:rsidRPr="001E60C7">
        <w:t>active joint institutes</w:t>
      </w:r>
      <w:r w:rsidR="008816B6" w:rsidRPr="001E60C7">
        <w:t xml:space="preserve"> and 122 active joint programs. In the Schools sector, </w:t>
      </w:r>
      <w:r w:rsidR="00A1561D" w:rsidRPr="001E60C7">
        <w:t>Canada has over 160</w:t>
      </w:r>
      <w:r w:rsidR="00253D15" w:rsidRPr="001E60C7">
        <w:t xml:space="preserve"> international schools (including private international schools and public schools with international departments) offering a Canadian curriculum in 28 provinces and municipal cities </w:t>
      </w:r>
      <w:r w:rsidR="00A1561D" w:rsidRPr="001E60C7">
        <w:t>across China.</w:t>
      </w:r>
      <w:r w:rsidR="00A1561D" w:rsidRPr="001E60C7">
        <w:rPr>
          <w:rStyle w:val="FootnoteReference"/>
        </w:rPr>
        <w:footnoteReference w:id="58"/>
      </w:r>
      <w:r w:rsidR="00A1561D" w:rsidRPr="001E60C7">
        <w:t xml:space="preserve"> </w:t>
      </w:r>
      <w:r w:rsidR="00253D15" w:rsidRPr="001E60C7">
        <w:t xml:space="preserve">Canadian offshore schools are considered </w:t>
      </w:r>
      <w:r w:rsidR="00A1561D" w:rsidRPr="001E60C7">
        <w:t xml:space="preserve">as </w:t>
      </w:r>
      <w:r w:rsidR="00253D15" w:rsidRPr="001E60C7">
        <w:t>a source for jobs for certified Canadian teachers and prospective students for Canadian universities and colleges.</w:t>
      </w:r>
      <w:r w:rsidR="00253D15" w:rsidRPr="001E60C7">
        <w:rPr>
          <w:rStyle w:val="FootnoteReference"/>
        </w:rPr>
        <w:footnoteReference w:id="59"/>
      </w:r>
    </w:p>
    <w:p w14:paraId="1A96532B" w14:textId="40D121D7" w:rsidR="00253D15" w:rsidRPr="001E60C7" w:rsidRDefault="004200B5" w:rsidP="004200B5">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Germany</w:t>
      </w:r>
    </w:p>
    <w:p w14:paraId="1401540B" w14:textId="6989EEC4" w:rsidR="00253D15" w:rsidRPr="001E60C7" w:rsidRDefault="00253D15" w:rsidP="00253D15">
      <w:pPr>
        <w:spacing w:after="160" w:line="256" w:lineRule="auto"/>
      </w:pPr>
      <w:r w:rsidRPr="001E60C7">
        <w:t>Germany</w:t>
      </w:r>
      <w:r w:rsidR="002E04FA" w:rsidRPr="001E60C7">
        <w:t>, with</w:t>
      </w:r>
      <w:r w:rsidRPr="001E60C7">
        <w:t xml:space="preserve"> </w:t>
      </w:r>
      <w:r w:rsidR="002E04FA" w:rsidRPr="001E60C7">
        <w:t xml:space="preserve">its </w:t>
      </w:r>
      <w:r w:rsidR="002E04FA" w:rsidRPr="001E60C7">
        <w:rPr>
          <w:i/>
        </w:rPr>
        <w:t>China Strategy 2015</w:t>
      </w:r>
      <w:r w:rsidR="00716CD3">
        <w:rPr>
          <w:i/>
        </w:rPr>
        <w:t>–</w:t>
      </w:r>
      <w:r w:rsidR="002E04FA" w:rsidRPr="001E60C7">
        <w:rPr>
          <w:i/>
        </w:rPr>
        <w:t>20: Strategic Framework for Cooperation with China in Research, Science and Education</w:t>
      </w:r>
      <w:r w:rsidR="002E04FA" w:rsidRPr="001E60C7">
        <w:t xml:space="preserve">, </w:t>
      </w:r>
      <w:r w:rsidRPr="001E60C7">
        <w:t>is another strong competitor in international education cooperation with China, particularly in</w:t>
      </w:r>
      <w:r w:rsidR="00473C70" w:rsidRPr="001E60C7">
        <w:t xml:space="preserve"> VET</w:t>
      </w:r>
      <w:r w:rsidR="002E04FA" w:rsidRPr="001E60C7">
        <w:t>, and science and research.</w:t>
      </w:r>
      <w:r w:rsidR="00994FF6" w:rsidRPr="001E60C7">
        <w:rPr>
          <w:rStyle w:val="FootnoteReference"/>
        </w:rPr>
        <w:footnoteReference w:id="60"/>
      </w:r>
      <w:r w:rsidR="002E04FA" w:rsidRPr="001E60C7">
        <w:t xml:space="preserve"> For example, </w:t>
      </w:r>
      <w:r w:rsidRPr="001E60C7">
        <w:t>Germany established a High-Level People-to-People Exchange Dialogue Mechanism,</w:t>
      </w:r>
      <w:r w:rsidR="003342A6" w:rsidRPr="001E60C7">
        <w:t xml:space="preserve"> at Chinese Vice Premier level </w:t>
      </w:r>
      <w:r w:rsidRPr="001E60C7">
        <w:t>in 2017</w:t>
      </w:r>
      <w:r w:rsidR="002E04FA" w:rsidRPr="001E60C7">
        <w:t>,</w:t>
      </w:r>
      <w:r w:rsidRPr="001E60C7">
        <w:t xml:space="preserve"> </w:t>
      </w:r>
      <w:r w:rsidR="003342A6" w:rsidRPr="001E60C7">
        <w:t xml:space="preserve">covering </w:t>
      </w:r>
      <w:r w:rsidR="002E04FA" w:rsidRPr="001E60C7">
        <w:t>five portfolios including</w:t>
      </w:r>
      <w:r w:rsidRPr="001E60C7">
        <w:t xml:space="preserve"> e</w:t>
      </w:r>
      <w:r w:rsidR="00C254CD" w:rsidRPr="001E60C7">
        <w:t>ducation, culture, media, sport</w:t>
      </w:r>
      <w:r w:rsidRPr="001E60C7">
        <w:t xml:space="preserve"> and youth.</w:t>
      </w:r>
    </w:p>
    <w:p w14:paraId="1201DF0C" w14:textId="7C39522F" w:rsidR="00253D15" w:rsidRPr="001E60C7" w:rsidRDefault="00473C70" w:rsidP="00CA3AFA">
      <w:pPr>
        <w:spacing w:after="160" w:line="256" w:lineRule="auto"/>
      </w:pPr>
      <w:r w:rsidRPr="001E60C7">
        <w:t>Since 2004, there has</w:t>
      </w:r>
      <w:r w:rsidR="00253D15" w:rsidRPr="001E60C7">
        <w:t xml:space="preserve"> been a Strate</w:t>
      </w:r>
      <w:r w:rsidR="00CA3AFA" w:rsidRPr="001E60C7">
        <w:t>gy Dialogue on Education Policy</w:t>
      </w:r>
      <w:r w:rsidR="00253D15" w:rsidRPr="001E60C7">
        <w:t xml:space="preserve"> and</w:t>
      </w:r>
      <w:r w:rsidR="00CA3AFA" w:rsidRPr="001E60C7">
        <w:t>,</w:t>
      </w:r>
      <w:r w:rsidR="00253D15" w:rsidRPr="001E60C7">
        <w:t xml:space="preserve"> since 2011, a German</w:t>
      </w:r>
      <w:r w:rsidR="006664C2" w:rsidRPr="001E60C7">
        <w:noBreakHyphen/>
      </w:r>
      <w:r w:rsidR="00253D15" w:rsidRPr="001E60C7">
        <w:t xml:space="preserve">Chinese Alliance for </w:t>
      </w:r>
      <w:r w:rsidR="006664C2" w:rsidRPr="001E60C7">
        <w:t>VET</w:t>
      </w:r>
      <w:r w:rsidR="00253D15" w:rsidRPr="001E60C7">
        <w:t>.</w:t>
      </w:r>
      <w:r w:rsidR="00253D15" w:rsidRPr="001E60C7">
        <w:rPr>
          <w:rStyle w:val="FootnoteReference"/>
        </w:rPr>
        <w:footnoteReference w:id="61"/>
      </w:r>
      <w:r w:rsidR="00253D15" w:rsidRPr="001E60C7">
        <w:t xml:space="preserve"> </w:t>
      </w:r>
      <w:r w:rsidR="00CA3AFA" w:rsidRPr="001E60C7">
        <w:t>German</w:t>
      </w:r>
      <w:r w:rsidR="00093436" w:rsidRPr="001E60C7">
        <w:t>y’s</w:t>
      </w:r>
      <w:r w:rsidR="00CA3AFA" w:rsidRPr="001E60C7">
        <w:t xml:space="preserve"> ‘dual-system’</w:t>
      </w:r>
      <w:r w:rsidR="00093436" w:rsidRPr="001E60C7">
        <w:t>,</w:t>
      </w:r>
      <w:r w:rsidR="00CA3AFA" w:rsidRPr="001E60C7">
        <w:t xml:space="preserve"> that combines classroom-based learning in state-run vocational schools with practical experience acquired through an apprenticeship system in which </w:t>
      </w:r>
      <w:r w:rsidR="00CA3AFA" w:rsidRPr="001E60C7">
        <w:lastRenderedPageBreak/>
        <w:t>companies agree to train inexperienced workers on</w:t>
      </w:r>
      <w:r w:rsidR="00C254CD" w:rsidRPr="001E60C7">
        <w:t xml:space="preserve"> the</w:t>
      </w:r>
      <w:r w:rsidR="00CA3AFA" w:rsidRPr="001E60C7">
        <w:t xml:space="preserve"> job</w:t>
      </w:r>
      <w:r w:rsidR="00093436" w:rsidRPr="001E60C7">
        <w:t>, has an excellent reputation in China</w:t>
      </w:r>
      <w:r w:rsidR="00CA3AFA" w:rsidRPr="001E60C7">
        <w:t xml:space="preserve">. </w:t>
      </w:r>
      <w:r w:rsidR="00093436" w:rsidRPr="001E60C7">
        <w:t>Leveraging off this, t</w:t>
      </w:r>
      <w:r w:rsidR="00253D15" w:rsidRPr="001E60C7">
        <w:t>he German Federal Min</w:t>
      </w:r>
      <w:r w:rsidR="00CA3AFA" w:rsidRPr="001E60C7">
        <w:t>istry of Education and Research</w:t>
      </w:r>
      <w:r w:rsidR="00093436" w:rsidRPr="001E60C7">
        <w:t>, which</w:t>
      </w:r>
      <w:r w:rsidR="00253D15" w:rsidRPr="001E60C7">
        <w:t xml:space="preserve"> supports Chinese government and industry partners in the reform of the Chinese VET system</w:t>
      </w:r>
      <w:r w:rsidR="00093436" w:rsidRPr="001E60C7">
        <w:t>, is elevating its cooperation with China and is actively providing</w:t>
      </w:r>
      <w:r w:rsidR="00253D15" w:rsidRPr="001E60C7">
        <w:t xml:space="preserve"> significant opportunities for German institutes to c</w:t>
      </w:r>
      <w:r w:rsidR="00CA3AFA" w:rsidRPr="001E60C7">
        <w:t xml:space="preserve">ontribute to China’s ambitious </w:t>
      </w:r>
      <w:r w:rsidR="00253D15" w:rsidRPr="001E60C7">
        <w:t xml:space="preserve">VET reform agenda.    </w:t>
      </w:r>
    </w:p>
    <w:p w14:paraId="13893E49" w14:textId="6101B2EA" w:rsidR="00632859" w:rsidRPr="001E60C7" w:rsidRDefault="00473C70" w:rsidP="00632859">
      <w:pPr>
        <w:spacing w:after="160" w:line="256" w:lineRule="auto"/>
      </w:pPr>
      <w:r w:rsidRPr="001E60C7">
        <w:t>Germany and China regularly</w:t>
      </w:r>
      <w:r w:rsidR="00253D15" w:rsidRPr="001E60C7">
        <w:t xml:space="preserve"> hold </w:t>
      </w:r>
      <w:r w:rsidRPr="001E60C7">
        <w:t>bilateral intergovernmental consultations</w:t>
      </w:r>
      <w:r w:rsidR="00253D15" w:rsidRPr="001E60C7">
        <w:t>, during which a number of joint declarations have been sign</w:t>
      </w:r>
      <w:r w:rsidR="002E04FA" w:rsidRPr="001E60C7">
        <w:t xml:space="preserve">ed between partner ministries. </w:t>
      </w:r>
      <w:r w:rsidRPr="001E60C7">
        <w:t>For instance, i</w:t>
      </w:r>
      <w:r w:rsidR="00253D15" w:rsidRPr="001E60C7">
        <w:t>n 2011, the two countries agreed to establish the Sino-German Innovation Platform to facilitate dialogue on current developments in innovation systems and discuss innovation policy.</w:t>
      </w:r>
      <w:r w:rsidR="00253D15" w:rsidRPr="001E60C7">
        <w:rPr>
          <w:rStyle w:val="FootnoteReference"/>
        </w:rPr>
        <w:footnoteReference w:id="62"/>
      </w:r>
    </w:p>
    <w:p w14:paraId="213AAB60" w14:textId="678FC7BE" w:rsidR="00253D15" w:rsidRPr="001E60C7" w:rsidRDefault="004200B5" w:rsidP="00632859">
      <w:pPr>
        <w:spacing w:after="160" w:line="256" w:lineRule="auto"/>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New Zealand</w:t>
      </w:r>
    </w:p>
    <w:p w14:paraId="62CD380C" w14:textId="77777777" w:rsidR="00253D15" w:rsidRPr="001E60C7" w:rsidRDefault="00253D15" w:rsidP="00253D15">
      <w:pPr>
        <w:spacing w:after="160" w:line="256" w:lineRule="auto"/>
      </w:pPr>
      <w:r w:rsidRPr="001E60C7">
        <w:t>New Zealand, which has experienced unprecedented growth in international students over the last five years, is expecting further growth. However, according to New Zealand’s international education strategy, the number of Chinese students is expected to decline after 2025.</w:t>
      </w:r>
      <w:r w:rsidRPr="001E60C7">
        <w:rPr>
          <w:rStyle w:val="FootnoteReference"/>
        </w:rPr>
        <w:footnoteReference w:id="63"/>
      </w:r>
      <w:r w:rsidRPr="001E60C7">
        <w:rPr>
          <w:rFonts w:cs="Jigsaw Regular"/>
          <w:color w:val="000000"/>
          <w:sz w:val="20"/>
          <w:szCs w:val="20"/>
        </w:rPr>
        <w:t xml:space="preserve"> </w:t>
      </w:r>
      <w:r w:rsidRPr="001E60C7">
        <w:t>Given this scenario, New Zealand remains alert to attracting students from a range of other markets, including both new and established markets.</w:t>
      </w:r>
    </w:p>
    <w:p w14:paraId="75EC0AB5" w14:textId="7B203FA6" w:rsidR="00253D15" w:rsidRPr="001E60C7" w:rsidRDefault="00253D15" w:rsidP="00253D15">
      <w:pPr>
        <w:spacing w:after="160" w:line="256" w:lineRule="auto"/>
      </w:pPr>
      <w:r w:rsidRPr="001E60C7">
        <w:t xml:space="preserve">Regarding transnational education, New Zealand has been </w:t>
      </w:r>
      <w:r w:rsidR="00473C70" w:rsidRPr="001E60C7">
        <w:t xml:space="preserve">escalating </w:t>
      </w:r>
      <w:r w:rsidR="00994FF6" w:rsidRPr="001E60C7">
        <w:t>its efforts with China. New Zealand</w:t>
      </w:r>
      <w:r w:rsidRPr="001E60C7">
        <w:t xml:space="preserve"> and China are part of a Strategic Education Partnership </w:t>
      </w:r>
      <w:r w:rsidR="00994FF6" w:rsidRPr="001E60C7">
        <w:t>Agreement, which</w:t>
      </w:r>
      <w:r w:rsidRPr="001E60C7">
        <w:t xml:space="preserve"> </w:t>
      </w:r>
      <w:r w:rsidR="00994FF6" w:rsidRPr="001E60C7">
        <w:t xml:space="preserve">is </w:t>
      </w:r>
      <w:r w:rsidRPr="001E60C7">
        <w:t>a platform for deeper and broader collaboration between the professional and education and training sectors</w:t>
      </w:r>
      <w:r w:rsidR="00473C70" w:rsidRPr="001E60C7">
        <w:t xml:space="preserve"> of both countries</w:t>
      </w:r>
      <w:r w:rsidRPr="001E60C7">
        <w:t xml:space="preserve">. In </w:t>
      </w:r>
      <w:r w:rsidR="00994FF6" w:rsidRPr="001E60C7">
        <w:t>October 2018, New Zealand</w:t>
      </w:r>
      <w:r w:rsidRPr="001E60C7">
        <w:t xml:space="preserve"> hosted the </w:t>
      </w:r>
      <w:r w:rsidR="00A95C92" w:rsidRPr="001E60C7">
        <w:t xml:space="preserve">sixth Annual Sino </w:t>
      </w:r>
      <w:r w:rsidRPr="001E60C7">
        <w:t>New Zealand Model Programme Symposium to share research and discuss collaboration in vocational education.</w:t>
      </w:r>
      <w:r w:rsidRPr="001E60C7">
        <w:rPr>
          <w:rStyle w:val="FootnoteReference"/>
        </w:rPr>
        <w:footnoteReference w:id="64"/>
      </w:r>
    </w:p>
    <w:p w14:paraId="1628BF18" w14:textId="065E3FF2" w:rsidR="004200B5" w:rsidRPr="001E60C7" w:rsidRDefault="00253D15" w:rsidP="004200B5">
      <w:pPr>
        <w:spacing w:after="160" w:line="256" w:lineRule="auto"/>
      </w:pPr>
      <w:r w:rsidRPr="001E60C7">
        <w:t xml:space="preserve">Since 2005, New Zealand has had a Tripartite Fund in support of development of strategic research relationships between New Zealand and China in a wide range of subjects including the arts, humanities, social sciences, sciences and applied sciences </w:t>
      </w:r>
      <w:r w:rsidR="00C254CD" w:rsidRPr="001E60C7">
        <w:t>(</w:t>
      </w:r>
      <w:r w:rsidRPr="001E60C7">
        <w:t>including agriculture, food safety, conservation, forestry, advanced materials enginee</w:t>
      </w:r>
      <w:r w:rsidR="004200B5" w:rsidRPr="001E60C7">
        <w:t>ring and environmental science</w:t>
      </w:r>
      <w:r w:rsidR="00C254CD" w:rsidRPr="001E60C7">
        <w:t>)</w:t>
      </w:r>
      <w:r w:rsidR="004200B5" w:rsidRPr="001E60C7">
        <w:t>.</w:t>
      </w:r>
    </w:p>
    <w:p w14:paraId="780E743B" w14:textId="077993CF" w:rsidR="00BD7723" w:rsidRPr="001E60C7" w:rsidRDefault="00896379" w:rsidP="00632859">
      <w:pPr>
        <w:pStyle w:val="BasicParagraph"/>
        <w:numPr>
          <w:ilvl w:val="1"/>
          <w:numId w:val="2"/>
        </w:numPr>
        <w:spacing w:before="240" w:after="120"/>
        <w:textAlignment w:val="center"/>
        <w:rPr>
          <w:rFonts w:asciiTheme="minorHAnsi" w:hAnsiTheme="minorHAnsi" w:cstheme="minorHAnsi"/>
          <w:b/>
          <w:bCs/>
          <w:color w:val="246EB9"/>
          <w:sz w:val="32"/>
          <w:szCs w:val="32"/>
          <w:lang w:val="en-AU"/>
        </w:rPr>
      </w:pPr>
      <w:r w:rsidRPr="001E60C7">
        <w:rPr>
          <w:rFonts w:asciiTheme="minorHAnsi" w:hAnsiTheme="minorHAnsi" w:cstheme="minorHAnsi"/>
          <w:b/>
          <w:bCs/>
          <w:color w:val="246EB9"/>
          <w:sz w:val="32"/>
          <w:szCs w:val="32"/>
          <w:lang w:val="en-AU"/>
        </w:rPr>
        <w:lastRenderedPageBreak/>
        <w:t>Summary</w:t>
      </w:r>
    </w:p>
    <w:p w14:paraId="42D4523C" w14:textId="2D7966AB" w:rsidR="00BD7723" w:rsidRPr="001E60C7" w:rsidRDefault="00B824A7" w:rsidP="00513170">
      <w:pPr>
        <w:spacing w:after="160" w:line="259" w:lineRule="auto"/>
        <w:rPr>
          <w:szCs w:val="24"/>
          <w:lang w:val="en-US"/>
        </w:rPr>
      </w:pPr>
      <w:r w:rsidRPr="001E60C7">
        <w:rPr>
          <w:szCs w:val="24"/>
          <w:lang w:val="en-US"/>
        </w:rPr>
        <w:t xml:space="preserve">The Australia-China education </w:t>
      </w:r>
      <w:r w:rsidR="002C7BA5" w:rsidRPr="001E60C7">
        <w:rPr>
          <w:szCs w:val="24"/>
          <w:lang w:val="en-US"/>
        </w:rPr>
        <w:t xml:space="preserve">relationship can boast a broad </w:t>
      </w:r>
      <w:r w:rsidRPr="001E60C7">
        <w:rPr>
          <w:szCs w:val="24"/>
          <w:lang w:val="en-US"/>
        </w:rPr>
        <w:t>and sustained engagement and, in recent years, has showed resilience despite tensions in the broader bilateral relationship. Engagements at all levels of the education sector, as well as the government-to-government level, have been generally positive and fruitful. Australia has become a key partner for China in terms of research collaboration</w:t>
      </w:r>
      <w:r w:rsidR="00D63B88" w:rsidRPr="001E60C7">
        <w:rPr>
          <w:szCs w:val="24"/>
          <w:lang w:val="en-US"/>
        </w:rPr>
        <w:t>. F</w:t>
      </w:r>
      <w:r w:rsidRPr="001E60C7">
        <w:rPr>
          <w:szCs w:val="24"/>
          <w:lang w:val="en-US"/>
        </w:rPr>
        <w:t xml:space="preserve">rom a very low base 20 years ago, China is now our second most important research partner. </w:t>
      </w:r>
      <w:r w:rsidR="00D63B88" w:rsidRPr="001E60C7">
        <w:rPr>
          <w:szCs w:val="24"/>
          <w:lang w:val="en-US"/>
        </w:rPr>
        <w:t>In VET and the S</w:t>
      </w:r>
      <w:r w:rsidRPr="001E60C7">
        <w:rPr>
          <w:szCs w:val="24"/>
          <w:lang w:val="en-US"/>
        </w:rPr>
        <w:t xml:space="preserve">chools sector, Australian providers have been </w:t>
      </w:r>
      <w:r w:rsidR="00D63B88" w:rsidRPr="001E60C7">
        <w:rPr>
          <w:szCs w:val="24"/>
          <w:lang w:val="en-US"/>
        </w:rPr>
        <w:t xml:space="preserve">collaborating </w:t>
      </w:r>
      <w:r w:rsidRPr="001E60C7">
        <w:rPr>
          <w:szCs w:val="24"/>
          <w:lang w:val="en-US"/>
        </w:rPr>
        <w:t>with Chinese institutions to deliver education training in China. In Australia, student numbers from China have grown dramatically since 2014, especially for onshore higher education and school-aged students. However</w:t>
      </w:r>
      <w:r w:rsidR="00D63B88" w:rsidRPr="001E60C7">
        <w:rPr>
          <w:szCs w:val="24"/>
          <w:lang w:val="en-US"/>
        </w:rPr>
        <w:t>,</w:t>
      </w:r>
      <w:r w:rsidRPr="001E60C7">
        <w:rPr>
          <w:szCs w:val="24"/>
          <w:lang w:val="en-US"/>
        </w:rPr>
        <w:t xml:space="preserve"> as China seeks to lift its domestic education capacity to match </w:t>
      </w:r>
      <w:r w:rsidR="00D63B88" w:rsidRPr="001E60C7">
        <w:rPr>
          <w:szCs w:val="24"/>
          <w:lang w:val="en-US"/>
        </w:rPr>
        <w:t xml:space="preserve">increasing </w:t>
      </w:r>
      <w:r w:rsidRPr="001E60C7">
        <w:rPr>
          <w:szCs w:val="24"/>
          <w:lang w:val="en-US"/>
        </w:rPr>
        <w:t xml:space="preserve">demand, and become an international education destination in its own right, Australia will need to </w:t>
      </w:r>
      <w:r w:rsidR="003342A6" w:rsidRPr="001E60C7">
        <w:rPr>
          <w:szCs w:val="24"/>
          <w:lang w:val="en-US"/>
        </w:rPr>
        <w:t>focus on</w:t>
      </w:r>
      <w:r w:rsidRPr="001E60C7">
        <w:rPr>
          <w:szCs w:val="24"/>
          <w:lang w:val="en-US"/>
        </w:rPr>
        <w:t xml:space="preserve"> </w:t>
      </w:r>
      <w:r w:rsidR="00D63B88" w:rsidRPr="001E60C7">
        <w:rPr>
          <w:szCs w:val="24"/>
          <w:lang w:val="en-US"/>
        </w:rPr>
        <w:t>a stronger strategic</w:t>
      </w:r>
      <w:r w:rsidRPr="001E60C7">
        <w:rPr>
          <w:szCs w:val="24"/>
          <w:lang w:val="en-US"/>
        </w:rPr>
        <w:t xml:space="preserve"> contribution to China’s program of building capacity across its education sectors. </w:t>
      </w:r>
    </w:p>
    <w:p w14:paraId="1DF37E72" w14:textId="7F876648" w:rsidR="00BD7723" w:rsidRPr="001E60C7" w:rsidRDefault="00B824A7" w:rsidP="00BD7723">
      <w:pPr>
        <w:spacing w:after="160" w:line="259" w:lineRule="auto"/>
        <w:rPr>
          <w:szCs w:val="24"/>
          <w:lang w:val="en-US"/>
        </w:rPr>
      </w:pPr>
      <w:r w:rsidRPr="001E60C7">
        <w:rPr>
          <w:szCs w:val="24"/>
          <w:lang w:val="en-US"/>
        </w:rPr>
        <w:t>There is</w:t>
      </w:r>
      <w:r w:rsidR="00C254CD" w:rsidRPr="001E60C7">
        <w:rPr>
          <w:szCs w:val="24"/>
          <w:lang w:val="en-US"/>
        </w:rPr>
        <w:t xml:space="preserve"> an</w:t>
      </w:r>
      <w:r w:rsidRPr="001E60C7">
        <w:rPr>
          <w:szCs w:val="24"/>
          <w:lang w:val="en-US"/>
        </w:rPr>
        <w:t xml:space="preserve"> imperative to act quickly on this opportunity, as key competitors are actively engaging to play this role. </w:t>
      </w:r>
      <w:r w:rsidR="00BD7723" w:rsidRPr="001E60C7">
        <w:rPr>
          <w:szCs w:val="24"/>
        </w:rPr>
        <w:t>Education is a priority in the bilateral relationships between our competitors and China, and is often backed by high</w:t>
      </w:r>
      <w:r w:rsidR="00DC3F36" w:rsidRPr="001E60C7">
        <w:rPr>
          <w:szCs w:val="24"/>
        </w:rPr>
        <w:t>-</w:t>
      </w:r>
      <w:r w:rsidR="00BD7723" w:rsidRPr="001E60C7">
        <w:rPr>
          <w:szCs w:val="24"/>
        </w:rPr>
        <w:t>level government representation and associated dialogue mechanisms. In addition, many are advancing their bilateral engagement by focussing their efforts on China’s key education priorities including the development of regional institut</w:t>
      </w:r>
      <w:r w:rsidR="00C254CD" w:rsidRPr="001E60C7">
        <w:rPr>
          <w:szCs w:val="24"/>
        </w:rPr>
        <w:t>ions, significant reform of VET</w:t>
      </w:r>
      <w:r w:rsidR="00BD7723" w:rsidRPr="001E60C7">
        <w:rPr>
          <w:szCs w:val="24"/>
        </w:rPr>
        <w:t xml:space="preserve"> and desire for deepened research.  </w:t>
      </w:r>
    </w:p>
    <w:p w14:paraId="21469AA8" w14:textId="624EB546" w:rsidR="00BD7723" w:rsidRPr="001E60C7" w:rsidRDefault="00BD7723" w:rsidP="00BD7723">
      <w:pPr>
        <w:spacing w:after="160" w:line="259" w:lineRule="auto"/>
        <w:rPr>
          <w:szCs w:val="24"/>
        </w:rPr>
      </w:pPr>
      <w:r w:rsidRPr="001E60C7">
        <w:rPr>
          <w:szCs w:val="24"/>
        </w:rPr>
        <w:t xml:space="preserve">This level of government involvement in cooperative education activities with China is a key difference </w:t>
      </w:r>
      <w:r w:rsidR="00331A33" w:rsidRPr="001E60C7">
        <w:rPr>
          <w:szCs w:val="24"/>
        </w:rPr>
        <w:t xml:space="preserve">from that of </w:t>
      </w:r>
      <w:r w:rsidRPr="001E60C7">
        <w:rPr>
          <w:szCs w:val="24"/>
        </w:rPr>
        <w:t>Australia. To ensure it can compete, Australia should consider increasing government engagement with Chinese counterparts, and ensure greater coherence between federal, state and territory government activity with China occurring concurrently. Australia should also consider establishing a high-level people-to-people (P2P) dialogue to encourage greater cooperation between government an</w:t>
      </w:r>
      <w:r w:rsidR="00473C70" w:rsidRPr="001E60C7">
        <w:rPr>
          <w:szCs w:val="24"/>
        </w:rPr>
        <w:t xml:space="preserve">d non-government stakeholders. </w:t>
      </w:r>
      <w:r w:rsidR="003342A6" w:rsidRPr="001E60C7">
        <w:rPr>
          <w:szCs w:val="24"/>
        </w:rPr>
        <w:t xml:space="preserve">This has clearly delivered benefits to the education relationships of other countries that have pursued P2P dialogues with China, and </w:t>
      </w:r>
      <w:r w:rsidR="0005675E" w:rsidRPr="001E60C7">
        <w:rPr>
          <w:szCs w:val="24"/>
        </w:rPr>
        <w:t xml:space="preserve">a similar approach </w:t>
      </w:r>
      <w:r w:rsidR="003342A6" w:rsidRPr="001E60C7">
        <w:rPr>
          <w:szCs w:val="24"/>
        </w:rPr>
        <w:t xml:space="preserve">would demonstrate the </w:t>
      </w:r>
      <w:r w:rsidR="0005675E" w:rsidRPr="001E60C7">
        <w:rPr>
          <w:szCs w:val="24"/>
        </w:rPr>
        <w:t xml:space="preserve">strength of the </w:t>
      </w:r>
      <w:r w:rsidR="003342A6" w:rsidRPr="001E60C7">
        <w:rPr>
          <w:szCs w:val="24"/>
        </w:rPr>
        <w:t>Australia-China education relationship.</w:t>
      </w:r>
    </w:p>
    <w:p w14:paraId="5760BAF5" w14:textId="77777777" w:rsidR="00B53F0D" w:rsidRPr="001E60C7" w:rsidRDefault="00B53F0D" w:rsidP="00755589">
      <w:pPr>
        <w:rPr>
          <w:rFonts w:cstheme="minorHAnsi"/>
        </w:rPr>
      </w:pPr>
      <w:r w:rsidRPr="001E60C7">
        <w:rPr>
          <w:rFonts w:eastAsia="Calibri"/>
          <w:b/>
          <w:sz w:val="32"/>
        </w:rPr>
        <w:br w:type="page"/>
      </w:r>
      <w:r w:rsidRPr="001E60C7">
        <w:rPr>
          <w:rFonts w:cstheme="minorHAnsi"/>
          <w:b/>
          <w:sz w:val="32"/>
        </w:rPr>
        <w:lastRenderedPageBreak/>
        <w:t>2 Diversification of education ties between Australia and China</w:t>
      </w:r>
    </w:p>
    <w:p w14:paraId="62B5848A" w14:textId="77777777" w:rsidR="00373F1E" w:rsidRPr="001E60C7" w:rsidRDefault="00373F1E" w:rsidP="00513170">
      <w:pPr>
        <w:spacing w:line="259" w:lineRule="auto"/>
        <w:rPr>
          <w:rFonts w:asciiTheme="minorHAnsi" w:hAnsiTheme="minorHAnsi" w:cstheme="minorHAnsi"/>
          <w:spacing w:val="-2"/>
        </w:rPr>
      </w:pPr>
    </w:p>
    <w:p w14:paraId="791554A8" w14:textId="2F804F0F" w:rsidR="00513170" w:rsidRPr="001E60C7" w:rsidRDefault="0052324A" w:rsidP="00A64B41">
      <w:pPr>
        <w:spacing w:after="200" w:line="276" w:lineRule="auto"/>
        <w:rPr>
          <w:lang w:val="en"/>
        </w:rPr>
      </w:pPr>
      <w:r w:rsidRPr="001E60C7">
        <w:rPr>
          <w:lang w:val="en"/>
        </w:rPr>
        <w:t xml:space="preserve">While international education is primarily about changing lives and providing opportunities, as well as enhancing the local learning environment, its scale and scope can also be understood in economic terms. </w:t>
      </w:r>
      <w:r w:rsidR="00513170" w:rsidRPr="001E60C7">
        <w:rPr>
          <w:lang w:val="en"/>
        </w:rPr>
        <w:t>In 2018, the Australian international education sector was worth $35 billion to the Australian economy, an increase of 16 per cent on 2017, making it Australia’s third largest export industry. As the largest economy in Asia and the second largest in the world in terms of GDP, China is Australia’s largest source country for onshore higher educ</w:t>
      </w:r>
      <w:r w:rsidR="009D776B" w:rsidRPr="001E60C7">
        <w:rPr>
          <w:lang w:val="en"/>
        </w:rPr>
        <w:t>ation and school-aged students.</w:t>
      </w:r>
    </w:p>
    <w:p w14:paraId="2630B7D6" w14:textId="376A70C6" w:rsidR="00B53F0D" w:rsidRPr="001E60C7" w:rsidRDefault="00513170" w:rsidP="00513170">
      <w:pPr>
        <w:spacing w:after="200" w:line="276" w:lineRule="auto"/>
        <w:rPr>
          <w:rFonts w:asciiTheme="minorHAnsi" w:hAnsiTheme="minorHAnsi" w:cstheme="minorHAnsi"/>
          <w:spacing w:val="-2"/>
        </w:rPr>
      </w:pPr>
      <w:r w:rsidRPr="001E60C7">
        <w:rPr>
          <w:rFonts w:asciiTheme="minorHAnsi" w:hAnsiTheme="minorHAnsi" w:cstheme="minorHAnsi"/>
          <w:spacing w:val="-2"/>
        </w:rPr>
        <w:t>Given the importance of</w:t>
      </w:r>
      <w:r w:rsidR="0052324A" w:rsidRPr="001E60C7">
        <w:rPr>
          <w:rFonts w:asciiTheme="minorHAnsi" w:hAnsiTheme="minorHAnsi" w:cstheme="minorHAnsi"/>
          <w:spacing w:val="-2"/>
        </w:rPr>
        <w:t xml:space="preserve"> China</w:t>
      </w:r>
      <w:r w:rsidRPr="001E60C7">
        <w:rPr>
          <w:rFonts w:asciiTheme="minorHAnsi" w:hAnsiTheme="minorHAnsi" w:cstheme="minorHAnsi"/>
          <w:spacing w:val="-2"/>
        </w:rPr>
        <w:t>, a</w:t>
      </w:r>
      <w:r w:rsidR="00B53F0D" w:rsidRPr="001E60C7">
        <w:rPr>
          <w:rFonts w:asciiTheme="minorHAnsi" w:hAnsiTheme="minorHAnsi" w:cstheme="minorHAnsi"/>
          <w:spacing w:val="-2"/>
        </w:rPr>
        <w:t xml:space="preserve"> </w:t>
      </w:r>
      <w:r w:rsidR="00B53F0D" w:rsidRPr="001E60C7">
        <w:rPr>
          <w:lang w:val="en"/>
        </w:rPr>
        <w:t>key</w:t>
      </w:r>
      <w:r w:rsidR="00B53F0D" w:rsidRPr="001E60C7">
        <w:rPr>
          <w:rFonts w:asciiTheme="minorHAnsi" w:hAnsiTheme="minorHAnsi" w:cstheme="minorHAnsi"/>
          <w:spacing w:val="-2"/>
        </w:rPr>
        <w:t xml:space="preserve"> focus of the Working Group’s research and deliberation process was to identify the most significant opportunities for increased </w:t>
      </w:r>
      <w:r w:rsidR="00086090" w:rsidRPr="001E60C7">
        <w:rPr>
          <w:rFonts w:asciiTheme="minorHAnsi" w:hAnsiTheme="minorHAnsi" w:cstheme="minorHAnsi"/>
          <w:spacing w:val="-2"/>
        </w:rPr>
        <w:t xml:space="preserve">and diversified </w:t>
      </w:r>
      <w:r w:rsidR="00B53F0D" w:rsidRPr="001E60C7">
        <w:rPr>
          <w:rFonts w:asciiTheme="minorHAnsi" w:hAnsiTheme="minorHAnsi" w:cstheme="minorHAnsi"/>
          <w:spacing w:val="-2"/>
        </w:rPr>
        <w:t>engagement with China. T</w:t>
      </w:r>
      <w:r w:rsidR="00B50C12" w:rsidRPr="001E60C7">
        <w:rPr>
          <w:rFonts w:asciiTheme="minorHAnsi" w:hAnsiTheme="minorHAnsi" w:cstheme="minorHAnsi"/>
          <w:spacing w:val="-2"/>
        </w:rPr>
        <w:t>he aim of this is to emphasise</w:t>
      </w:r>
      <w:r w:rsidR="00B53F0D" w:rsidRPr="001E60C7">
        <w:rPr>
          <w:rFonts w:asciiTheme="minorHAnsi" w:hAnsiTheme="minorHAnsi" w:cstheme="minorHAnsi"/>
          <w:spacing w:val="-2"/>
        </w:rPr>
        <w:t xml:space="preserve"> where Australia could most effectively and sustainably diversify its education, training and research engagement with China. </w:t>
      </w:r>
    </w:p>
    <w:p w14:paraId="360947F0" w14:textId="6BAE6F08" w:rsidR="00B53F0D" w:rsidRPr="001E60C7" w:rsidRDefault="00B53F0D" w:rsidP="00513170">
      <w:pPr>
        <w:spacing w:after="200" w:line="276" w:lineRule="auto"/>
        <w:rPr>
          <w:rFonts w:asciiTheme="minorHAnsi" w:hAnsiTheme="minorHAnsi" w:cstheme="minorHAnsi"/>
          <w:spacing w:val="-2"/>
        </w:rPr>
      </w:pPr>
      <w:r w:rsidRPr="001E60C7">
        <w:rPr>
          <w:rFonts w:asciiTheme="minorHAnsi" w:hAnsiTheme="minorHAnsi" w:cstheme="minorHAnsi"/>
        </w:rPr>
        <w:t xml:space="preserve">As a first </w:t>
      </w:r>
      <w:r w:rsidRPr="001E60C7">
        <w:rPr>
          <w:lang w:val="en"/>
        </w:rPr>
        <w:t>step</w:t>
      </w:r>
      <w:r w:rsidRPr="001E60C7">
        <w:rPr>
          <w:rFonts w:asciiTheme="minorHAnsi" w:hAnsiTheme="minorHAnsi" w:cstheme="minorHAnsi"/>
        </w:rPr>
        <w:t>, the Working Group</w:t>
      </w:r>
      <w:r w:rsidR="002D63E3" w:rsidRPr="001E60C7">
        <w:rPr>
          <w:rFonts w:asciiTheme="minorHAnsi" w:hAnsiTheme="minorHAnsi" w:cstheme="minorHAnsi"/>
        </w:rPr>
        <w:t xml:space="preserve"> drew on the</w:t>
      </w:r>
      <w:r w:rsidR="00847847" w:rsidRPr="001E60C7">
        <w:rPr>
          <w:rFonts w:asciiTheme="minorHAnsi" w:hAnsiTheme="minorHAnsi" w:cstheme="minorHAnsi"/>
        </w:rPr>
        <w:t xml:space="preserve"> sectoral engagement survey and </w:t>
      </w:r>
      <w:r w:rsidR="003B305B" w:rsidRPr="001E60C7">
        <w:rPr>
          <w:rFonts w:asciiTheme="minorHAnsi" w:hAnsiTheme="minorHAnsi" w:cstheme="minorHAnsi"/>
        </w:rPr>
        <w:t xml:space="preserve">an </w:t>
      </w:r>
      <w:r w:rsidR="00847847" w:rsidRPr="001E60C7">
        <w:rPr>
          <w:rFonts w:asciiTheme="minorHAnsi" w:hAnsiTheme="minorHAnsi" w:cstheme="minorHAnsi"/>
        </w:rPr>
        <w:t xml:space="preserve">Austrade </w:t>
      </w:r>
      <w:r w:rsidR="00C512C5" w:rsidRPr="001E60C7">
        <w:rPr>
          <w:rFonts w:asciiTheme="minorHAnsi" w:hAnsiTheme="minorHAnsi" w:cstheme="minorHAnsi"/>
        </w:rPr>
        <w:t>survey</w:t>
      </w:r>
      <w:r w:rsidR="00847847" w:rsidRPr="001E60C7">
        <w:rPr>
          <w:rFonts w:asciiTheme="minorHAnsi" w:hAnsiTheme="minorHAnsi" w:cstheme="minorHAnsi"/>
        </w:rPr>
        <w:t xml:space="preserve"> of </w:t>
      </w:r>
      <w:r w:rsidR="00C512C5" w:rsidRPr="001E60C7">
        <w:rPr>
          <w:rFonts w:asciiTheme="minorHAnsi" w:hAnsiTheme="minorHAnsi" w:cstheme="minorHAnsi"/>
        </w:rPr>
        <w:t xml:space="preserve">education </w:t>
      </w:r>
      <w:r w:rsidR="00C512C5" w:rsidRPr="001E60C7">
        <w:rPr>
          <w:rFonts w:cstheme="minorHAnsi"/>
        </w:rPr>
        <w:t>agents</w:t>
      </w:r>
      <w:r w:rsidR="00C512C5" w:rsidRPr="001E60C7">
        <w:rPr>
          <w:rFonts w:asciiTheme="minorHAnsi" w:hAnsiTheme="minorHAnsi" w:cstheme="minorHAnsi"/>
        </w:rPr>
        <w:t xml:space="preserve"> based in China to highlight</w:t>
      </w:r>
      <w:r w:rsidRPr="001E60C7">
        <w:rPr>
          <w:rFonts w:asciiTheme="minorHAnsi" w:hAnsiTheme="minorHAnsi" w:cstheme="minorHAnsi"/>
        </w:rPr>
        <w:t xml:space="preserve"> the following issues and opportunities in relat</w:t>
      </w:r>
      <w:r w:rsidR="00BE4774" w:rsidRPr="001E60C7">
        <w:rPr>
          <w:rFonts w:asciiTheme="minorHAnsi" w:hAnsiTheme="minorHAnsi" w:cstheme="minorHAnsi"/>
        </w:rPr>
        <w:t>ion to the sustainability of</w:t>
      </w:r>
      <w:r w:rsidRPr="001E60C7">
        <w:rPr>
          <w:rFonts w:asciiTheme="minorHAnsi" w:hAnsiTheme="minorHAnsi" w:cstheme="minorHAnsi"/>
        </w:rPr>
        <w:t xml:space="preserve"> </w:t>
      </w:r>
      <w:r w:rsidR="00B25F57" w:rsidRPr="001E60C7">
        <w:rPr>
          <w:rFonts w:asciiTheme="minorHAnsi" w:hAnsiTheme="minorHAnsi" w:cstheme="minorHAnsi"/>
        </w:rPr>
        <w:t xml:space="preserve">international education engagement with </w:t>
      </w:r>
      <w:r w:rsidRPr="001E60C7">
        <w:rPr>
          <w:rFonts w:asciiTheme="minorHAnsi" w:hAnsiTheme="minorHAnsi" w:cstheme="minorHAnsi"/>
        </w:rPr>
        <w:t>China:</w:t>
      </w:r>
    </w:p>
    <w:p w14:paraId="1D1988B3" w14:textId="39BC9F9C" w:rsidR="00B53F0D" w:rsidRPr="001E60C7" w:rsidRDefault="00B53F0D" w:rsidP="00D5191F">
      <w:pPr>
        <w:pStyle w:val="ListParagraph"/>
        <w:numPr>
          <w:ilvl w:val="0"/>
          <w:numId w:val="4"/>
        </w:numPr>
        <w:spacing w:after="200" w:line="276" w:lineRule="auto"/>
        <w:rPr>
          <w:rFonts w:cstheme="minorHAnsi"/>
        </w:rPr>
      </w:pPr>
      <w:r w:rsidRPr="001E60C7">
        <w:rPr>
          <w:rFonts w:cstheme="minorHAnsi"/>
        </w:rPr>
        <w:t>The high concentration of Chinese students in the higher education sector and in a small number of Australia</w:t>
      </w:r>
      <w:r w:rsidR="002E04FA" w:rsidRPr="001E60C7">
        <w:rPr>
          <w:rFonts w:cstheme="minorHAnsi"/>
        </w:rPr>
        <w:t>n higher education institutions,</w:t>
      </w:r>
    </w:p>
    <w:p w14:paraId="779DEB94" w14:textId="684A1187" w:rsidR="00B53F0D" w:rsidRPr="001E60C7" w:rsidRDefault="00B53F0D" w:rsidP="00D5191F">
      <w:pPr>
        <w:pStyle w:val="ListParagraph"/>
        <w:numPr>
          <w:ilvl w:val="0"/>
          <w:numId w:val="4"/>
        </w:numPr>
        <w:spacing w:after="200" w:line="276" w:lineRule="auto"/>
        <w:rPr>
          <w:rFonts w:cstheme="minorHAnsi"/>
        </w:rPr>
      </w:pPr>
      <w:r w:rsidRPr="001E60C7">
        <w:rPr>
          <w:rFonts w:cstheme="minorHAnsi"/>
        </w:rPr>
        <w:t xml:space="preserve">The high concentration of Chinese students in a </w:t>
      </w:r>
      <w:r w:rsidR="002E04FA" w:rsidRPr="001E60C7">
        <w:rPr>
          <w:rFonts w:cstheme="minorHAnsi"/>
        </w:rPr>
        <w:t>small number of fields of study,</w:t>
      </w:r>
    </w:p>
    <w:p w14:paraId="00638195" w14:textId="6E424A46" w:rsidR="003A71D7" w:rsidRPr="001E60C7" w:rsidRDefault="003A71D7" w:rsidP="00D5191F">
      <w:pPr>
        <w:pStyle w:val="ListParagraph"/>
        <w:numPr>
          <w:ilvl w:val="0"/>
          <w:numId w:val="4"/>
        </w:numPr>
        <w:spacing w:after="200" w:line="276" w:lineRule="auto"/>
        <w:rPr>
          <w:rFonts w:cstheme="minorHAnsi"/>
        </w:rPr>
      </w:pPr>
      <w:r w:rsidRPr="001E60C7">
        <w:rPr>
          <w:rFonts w:cstheme="minorHAnsi"/>
        </w:rPr>
        <w:t>T</w:t>
      </w:r>
      <w:r w:rsidR="002E04FA" w:rsidRPr="001E60C7">
        <w:rPr>
          <w:rFonts w:cstheme="minorHAnsi"/>
        </w:rPr>
        <w:t>he key role of education agents,</w:t>
      </w:r>
      <w:r w:rsidR="00A03949" w:rsidRPr="001E60C7">
        <w:rPr>
          <w:rFonts w:cstheme="minorHAnsi"/>
        </w:rPr>
        <w:t xml:space="preserve"> and</w:t>
      </w:r>
    </w:p>
    <w:p w14:paraId="046EEB81" w14:textId="77777777" w:rsidR="003A71D7" w:rsidRPr="001E60C7" w:rsidRDefault="003A71D7" w:rsidP="00D5191F">
      <w:pPr>
        <w:pStyle w:val="ListParagraph"/>
        <w:numPr>
          <w:ilvl w:val="0"/>
          <w:numId w:val="4"/>
        </w:numPr>
        <w:spacing w:after="200" w:line="276" w:lineRule="auto"/>
        <w:rPr>
          <w:rFonts w:cstheme="minorHAnsi"/>
        </w:rPr>
      </w:pPr>
      <w:r w:rsidRPr="001E60C7">
        <w:rPr>
          <w:rFonts w:cstheme="minorHAnsi"/>
        </w:rPr>
        <w:t>Marketing and promotion of Australian international education.</w:t>
      </w:r>
    </w:p>
    <w:p w14:paraId="2E4D5416" w14:textId="3D2CE0A4" w:rsidR="00C512C5" w:rsidRPr="001E60C7" w:rsidRDefault="002D63E3" w:rsidP="00C512C5">
      <w:pPr>
        <w:spacing w:after="200" w:line="276" w:lineRule="auto"/>
        <w:rPr>
          <w:rFonts w:cstheme="minorHAnsi"/>
        </w:rPr>
      </w:pPr>
      <w:r w:rsidRPr="001E60C7">
        <w:rPr>
          <w:rFonts w:cstheme="minorHAnsi"/>
        </w:rPr>
        <w:t>Additionally, to</w:t>
      </w:r>
      <w:r w:rsidR="00C512C5" w:rsidRPr="001E60C7">
        <w:rPr>
          <w:rFonts w:cstheme="minorHAnsi"/>
        </w:rPr>
        <w:t xml:space="preserve"> understand Australia’s current position on these issues, the Working Group also sought perspectives from </w:t>
      </w:r>
      <w:r w:rsidR="006030F5" w:rsidRPr="001E60C7">
        <w:rPr>
          <w:rFonts w:cstheme="minorHAnsi"/>
        </w:rPr>
        <w:t>critical</w:t>
      </w:r>
      <w:r w:rsidRPr="001E60C7">
        <w:rPr>
          <w:rFonts w:cstheme="minorHAnsi"/>
        </w:rPr>
        <w:t xml:space="preserve"> informants from within the Australian education sector, </w:t>
      </w:r>
      <w:r w:rsidR="00C512C5" w:rsidRPr="001E60C7">
        <w:rPr>
          <w:rFonts w:cstheme="minorHAnsi"/>
        </w:rPr>
        <w:t xml:space="preserve">peak </w:t>
      </w:r>
      <w:r w:rsidRPr="001E60C7">
        <w:rPr>
          <w:rFonts w:cstheme="minorHAnsi"/>
        </w:rPr>
        <w:t xml:space="preserve">industry </w:t>
      </w:r>
      <w:r w:rsidR="00C512C5" w:rsidRPr="001E60C7">
        <w:rPr>
          <w:rFonts w:cstheme="minorHAnsi"/>
        </w:rPr>
        <w:t>bodies</w:t>
      </w:r>
      <w:r w:rsidRPr="001E60C7">
        <w:rPr>
          <w:rFonts w:cstheme="minorHAnsi"/>
        </w:rPr>
        <w:t>,</w:t>
      </w:r>
      <w:r w:rsidR="00C512C5" w:rsidRPr="001E60C7">
        <w:rPr>
          <w:rFonts w:cstheme="minorHAnsi"/>
        </w:rPr>
        <w:t xml:space="preserve"> and other</w:t>
      </w:r>
      <w:r w:rsidRPr="001E60C7">
        <w:rPr>
          <w:rFonts w:cstheme="minorHAnsi"/>
        </w:rPr>
        <w:t xml:space="preserve"> key stakeholders</w:t>
      </w:r>
      <w:r w:rsidR="00A03949" w:rsidRPr="001E60C7">
        <w:rPr>
          <w:rFonts w:cstheme="minorHAnsi"/>
        </w:rPr>
        <w:t xml:space="preserve"> including</w:t>
      </w:r>
      <w:r w:rsidR="00C512C5" w:rsidRPr="001E60C7">
        <w:rPr>
          <w:rFonts w:cstheme="minorHAnsi"/>
        </w:rPr>
        <w:t xml:space="preserve"> Department of Education </w:t>
      </w:r>
      <w:r w:rsidR="00A03949" w:rsidRPr="001E60C7">
        <w:rPr>
          <w:rFonts w:cstheme="minorHAnsi"/>
        </w:rPr>
        <w:t xml:space="preserve">staff </w:t>
      </w:r>
      <w:r w:rsidR="00C512C5" w:rsidRPr="001E60C7">
        <w:rPr>
          <w:rFonts w:cstheme="minorHAnsi"/>
        </w:rPr>
        <w:t>at the Australian Embassy in Beijing</w:t>
      </w:r>
      <w:r w:rsidR="00B50C12" w:rsidRPr="001E60C7">
        <w:rPr>
          <w:rFonts w:cstheme="minorHAnsi"/>
        </w:rPr>
        <w:t xml:space="preserve"> and Austrade</w:t>
      </w:r>
      <w:r w:rsidR="00A20EC9" w:rsidRPr="001E60C7">
        <w:rPr>
          <w:rFonts w:cstheme="minorHAnsi"/>
        </w:rPr>
        <w:t xml:space="preserve"> staff in </w:t>
      </w:r>
      <w:r w:rsidRPr="001E60C7">
        <w:rPr>
          <w:rFonts w:cstheme="minorHAnsi"/>
        </w:rPr>
        <w:t>Canberra and Shanghai</w:t>
      </w:r>
      <w:r w:rsidR="00C512C5" w:rsidRPr="001E60C7">
        <w:rPr>
          <w:rFonts w:cstheme="minorHAnsi"/>
        </w:rPr>
        <w:t>.</w:t>
      </w:r>
    </w:p>
    <w:p w14:paraId="679F95E2" w14:textId="77777777" w:rsidR="00B53F0D" w:rsidRPr="001E60C7" w:rsidRDefault="00B53F0D" w:rsidP="00632859">
      <w:pPr>
        <w:spacing w:before="240" w:after="160"/>
        <w:rPr>
          <w:rFonts w:asciiTheme="minorHAnsi" w:hAnsiTheme="minorHAnsi" w:cstheme="minorHAnsi"/>
          <w:b/>
          <w:color w:val="0070C0"/>
          <w:sz w:val="32"/>
          <w:szCs w:val="32"/>
        </w:rPr>
      </w:pPr>
      <w:r w:rsidRPr="001E60C7">
        <w:rPr>
          <w:rFonts w:asciiTheme="minorHAnsi" w:hAnsiTheme="minorHAnsi" w:cstheme="minorHAnsi"/>
          <w:b/>
          <w:color w:val="0070C0"/>
          <w:sz w:val="32"/>
          <w:szCs w:val="32"/>
        </w:rPr>
        <w:t xml:space="preserve">2.1 Current </w:t>
      </w:r>
      <w:r w:rsidRPr="001E60C7">
        <w:rPr>
          <w:rFonts w:asciiTheme="minorHAnsi" w:hAnsiTheme="minorHAnsi" w:cstheme="minorHAnsi"/>
          <w:b/>
          <w:bCs/>
          <w:color w:val="246EB9"/>
          <w:sz w:val="32"/>
          <w:szCs w:val="32"/>
        </w:rPr>
        <w:t>market</w:t>
      </w:r>
      <w:r w:rsidRPr="001E60C7">
        <w:rPr>
          <w:rFonts w:asciiTheme="minorHAnsi" w:hAnsiTheme="minorHAnsi" w:cstheme="minorHAnsi"/>
          <w:b/>
          <w:color w:val="0070C0"/>
          <w:sz w:val="32"/>
          <w:szCs w:val="32"/>
        </w:rPr>
        <w:t xml:space="preserve"> concentration</w:t>
      </w:r>
    </w:p>
    <w:p w14:paraId="4C354EC9" w14:textId="5713480E" w:rsidR="00755589" w:rsidRPr="001E60C7" w:rsidRDefault="00B53F0D" w:rsidP="00A64B41">
      <w:pPr>
        <w:spacing w:after="200" w:line="276" w:lineRule="auto"/>
      </w:pPr>
      <w:r w:rsidRPr="001E60C7">
        <w:rPr>
          <w:rFonts w:cstheme="minorHAnsi"/>
        </w:rPr>
        <w:lastRenderedPageBreak/>
        <w:t xml:space="preserve">In </w:t>
      </w:r>
      <w:r w:rsidRPr="001E60C7">
        <w:rPr>
          <w:rFonts w:asciiTheme="minorHAnsi" w:hAnsiTheme="minorHAnsi" w:cstheme="minorHAnsi"/>
          <w:spacing w:val="-2"/>
        </w:rPr>
        <w:t>2018</w:t>
      </w:r>
      <w:r w:rsidRPr="001E60C7">
        <w:rPr>
          <w:rFonts w:cstheme="minorHAnsi"/>
        </w:rPr>
        <w:t xml:space="preserve">, </w:t>
      </w:r>
      <w:r w:rsidR="002D63E3" w:rsidRPr="001E60C7">
        <w:t>h</w:t>
      </w:r>
      <w:r w:rsidR="00755589" w:rsidRPr="001E60C7">
        <w:t xml:space="preserve">igher </w:t>
      </w:r>
      <w:r w:rsidR="002D63E3" w:rsidRPr="001E60C7">
        <w:t>e</w:t>
      </w:r>
      <w:r w:rsidR="00755589" w:rsidRPr="001E60C7">
        <w:t xml:space="preserve">ducation </w:t>
      </w:r>
      <w:r w:rsidR="00331A33" w:rsidRPr="001E60C7">
        <w:t>was</w:t>
      </w:r>
      <w:r w:rsidR="00755589" w:rsidRPr="001E60C7">
        <w:t xml:space="preserve"> the largest sector for Chinese enrolments</w:t>
      </w:r>
      <w:r w:rsidR="003B305B" w:rsidRPr="001E60C7">
        <w:t xml:space="preserve"> (152,712)</w:t>
      </w:r>
      <w:r w:rsidR="00331A33" w:rsidRPr="001E60C7">
        <w:t>, comprising 60 </w:t>
      </w:r>
      <w:r w:rsidR="00755589" w:rsidRPr="001E60C7">
        <w:t>per</w:t>
      </w:r>
      <w:r w:rsidR="00331A33" w:rsidRPr="001E60C7">
        <w:t> </w:t>
      </w:r>
      <w:r w:rsidR="00755589" w:rsidRPr="001E60C7">
        <w:t xml:space="preserve">cent of the total. Many Australian universities have scaled-up operations to capitalise on </w:t>
      </w:r>
      <w:r w:rsidR="00755589" w:rsidRPr="001E60C7">
        <w:rPr>
          <w:lang w:val="en"/>
        </w:rPr>
        <w:t xml:space="preserve">increased demand from China over a relatively short timeframe. However, the growth and coverage across universities is not even. For example, </w:t>
      </w:r>
      <w:r w:rsidR="00755589" w:rsidRPr="001E60C7">
        <w:t>the Group of Eight (Go8) universities accounted for 58 per cent of total Chinese enrolments in the higher education sector, while the Regional Universities Network (RUN) universities</w:t>
      </w:r>
      <w:r w:rsidR="00C254CD" w:rsidRPr="001E60C7">
        <w:rPr>
          <w:rStyle w:val="FootnoteReference"/>
        </w:rPr>
        <w:footnoteReference w:id="65"/>
      </w:r>
      <w:r w:rsidR="00755589" w:rsidRPr="001E60C7">
        <w:t xml:space="preserve"> accounted for only 1 per cent of the enrolments.</w:t>
      </w:r>
    </w:p>
    <w:p w14:paraId="341C46FE" w14:textId="0CF5B19A" w:rsidR="00755589" w:rsidRPr="001E60C7" w:rsidRDefault="00755589" w:rsidP="00A64B41">
      <w:pPr>
        <w:spacing w:after="200" w:line="276" w:lineRule="auto"/>
      </w:pPr>
      <w:r w:rsidRPr="001E60C7">
        <w:rPr>
          <w:lang w:val="en"/>
        </w:rPr>
        <w:t>After higher education, ELICOS is the largest sector for Chinese enrolments. ELICOS accounted for almost 20 per cent of total Chinese enrolments in 2018</w:t>
      </w:r>
      <w:r w:rsidRPr="001E60C7">
        <w:t>. Almost one in three ELICOS students in Australia is from China. Australia is the second most preferred destination to study English language courses after the USA, and has experienced modest growth since 2013. It is important to note that while some ELICOS students are studying English as a standalone course, a high proportion of these students are on pathways to higher education.</w:t>
      </w:r>
    </w:p>
    <w:p w14:paraId="7E1146EF" w14:textId="444D6BB1" w:rsidR="00755589" w:rsidRPr="001E60C7" w:rsidRDefault="002D63E3" w:rsidP="00755589">
      <w:pPr>
        <w:spacing w:after="160" w:line="259" w:lineRule="auto"/>
      </w:pPr>
      <w:r w:rsidRPr="001E60C7">
        <w:t>In terms of growth in Chinese student enrolments, o</w:t>
      </w:r>
      <w:r w:rsidR="00755589" w:rsidRPr="001E60C7">
        <w:t>nshore VET has been the fastest growing sector, with 21 per cent gro</w:t>
      </w:r>
      <w:r w:rsidRPr="001E60C7">
        <w:t>wth on 2017 (as shown in Table 5)</w:t>
      </w:r>
      <w:r w:rsidR="00755589" w:rsidRPr="001E60C7">
        <w:t>. Chinese enrolments</w:t>
      </w:r>
      <w:r w:rsidR="00AB1372" w:rsidRPr="001E60C7">
        <w:t>, however,</w:t>
      </w:r>
      <w:r w:rsidR="00755589" w:rsidRPr="001E60C7">
        <w:t xml:space="preserve"> accounted for relatively less than 10 per cent of the total international enrolments in VET in 2018</w:t>
      </w:r>
      <w:r w:rsidR="00AB1372" w:rsidRPr="001E60C7">
        <w:t>, which is a relatively small country share</w:t>
      </w:r>
      <w:r w:rsidR="00755589" w:rsidRPr="001E60C7">
        <w:t xml:space="preserve">. </w:t>
      </w:r>
    </w:p>
    <w:p w14:paraId="77DB3BA7" w14:textId="482E4BFC" w:rsidR="00755589" w:rsidRPr="001E60C7" w:rsidRDefault="00755589" w:rsidP="00755589">
      <w:pPr>
        <w:spacing w:after="160" w:line="259" w:lineRule="auto"/>
      </w:pPr>
      <w:r w:rsidRPr="001E60C7">
        <w:t>China is Australia’s biggest provider of international students fo</w:t>
      </w:r>
      <w:r w:rsidR="00A64B41" w:rsidRPr="001E60C7">
        <w:t>r Australian schools education as m</w:t>
      </w:r>
      <w:r w:rsidRPr="001E60C7">
        <w:t>ore than half (51 per cent) of all international enrolments in the schools sector came from China</w:t>
      </w:r>
      <w:r w:rsidR="0077438D" w:rsidRPr="001E60C7">
        <w:t xml:space="preserve"> in 2018</w:t>
      </w:r>
      <w:r w:rsidRPr="001E60C7">
        <w:t>. However, the sector is relatively under-developed in Australia compared to competitors such as New Zealand, and represents the smallest proportion of total Chinese enrolments and growth in 2018.</w:t>
      </w:r>
    </w:p>
    <w:p w14:paraId="7182B150" w14:textId="3AA58A4F" w:rsidR="00755589" w:rsidRPr="001E60C7" w:rsidRDefault="00755589" w:rsidP="00755589">
      <w:pPr>
        <w:ind w:right="-20"/>
        <w:rPr>
          <w:rFonts w:eastAsia="Calibri"/>
          <w:b/>
          <w:position w:val="1"/>
        </w:rPr>
      </w:pPr>
      <w:r w:rsidRPr="001E60C7">
        <w:rPr>
          <w:rFonts w:eastAsia="Calibri"/>
          <w:b/>
          <w:position w:val="1"/>
        </w:rPr>
        <w:t>Table 5</w:t>
      </w:r>
      <w:r w:rsidR="00CD6F6E" w:rsidRPr="001E60C7">
        <w:rPr>
          <w:rFonts w:eastAsia="Calibri"/>
          <w:b/>
          <w:position w:val="1"/>
        </w:rPr>
        <w:t xml:space="preserve"> – Chinese e</w:t>
      </w:r>
      <w:r w:rsidRPr="001E60C7">
        <w:rPr>
          <w:rFonts w:eastAsia="Calibri"/>
          <w:b/>
          <w:position w:val="1"/>
        </w:rPr>
        <w:t>nrolments in Australia by Sector in 2018</w:t>
      </w:r>
    </w:p>
    <w:tbl>
      <w:tblPr>
        <w:tblW w:w="877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1559"/>
        <w:gridCol w:w="1276"/>
        <w:gridCol w:w="1842"/>
        <w:gridCol w:w="1985"/>
      </w:tblGrid>
      <w:tr w:rsidR="00755589" w:rsidRPr="001E60C7" w14:paraId="02F4F7E7" w14:textId="77777777" w:rsidTr="00253D15">
        <w:trPr>
          <w:trHeight w:hRule="exact" w:val="673"/>
        </w:trPr>
        <w:tc>
          <w:tcPr>
            <w:tcW w:w="2112" w:type="dxa"/>
            <w:shd w:val="clear" w:color="auto" w:fill="002060"/>
          </w:tcPr>
          <w:p w14:paraId="3DD94386" w14:textId="77777777" w:rsidR="00755589" w:rsidRPr="001E60C7" w:rsidRDefault="00755589" w:rsidP="00E169D1">
            <w:pPr>
              <w:spacing w:before="24"/>
              <w:ind w:left="142" w:right="88"/>
              <w:rPr>
                <w:color w:val="FFFFFF" w:themeColor="background1"/>
              </w:rPr>
            </w:pPr>
            <w:r w:rsidRPr="001E60C7">
              <w:rPr>
                <w:b/>
                <w:color w:val="FFFFFF" w:themeColor="background1"/>
                <w:spacing w:val="1"/>
              </w:rPr>
              <w:t>Sector</w:t>
            </w:r>
          </w:p>
        </w:tc>
        <w:tc>
          <w:tcPr>
            <w:tcW w:w="1559" w:type="dxa"/>
            <w:shd w:val="clear" w:color="auto" w:fill="002060"/>
          </w:tcPr>
          <w:p w14:paraId="53003017" w14:textId="77777777" w:rsidR="00755589" w:rsidRPr="001E60C7" w:rsidRDefault="00755589" w:rsidP="00E169D1">
            <w:pPr>
              <w:spacing w:before="24"/>
              <w:ind w:right="142"/>
              <w:jc w:val="center"/>
              <w:rPr>
                <w:b/>
                <w:color w:val="FFFFFF" w:themeColor="background1"/>
              </w:rPr>
            </w:pPr>
            <w:r w:rsidRPr="001E60C7">
              <w:rPr>
                <w:b/>
                <w:color w:val="FFFFFF" w:themeColor="background1"/>
              </w:rPr>
              <w:t>Enrolments</w:t>
            </w:r>
          </w:p>
        </w:tc>
        <w:tc>
          <w:tcPr>
            <w:tcW w:w="1276" w:type="dxa"/>
            <w:shd w:val="clear" w:color="auto" w:fill="002060"/>
          </w:tcPr>
          <w:p w14:paraId="4941B5FA" w14:textId="77777777" w:rsidR="00755589" w:rsidRPr="001E60C7" w:rsidRDefault="00755589" w:rsidP="00E169D1">
            <w:pPr>
              <w:spacing w:before="24"/>
              <w:ind w:right="142"/>
              <w:jc w:val="center"/>
              <w:rPr>
                <w:b/>
                <w:color w:val="FFFFFF" w:themeColor="background1"/>
              </w:rPr>
            </w:pPr>
            <w:r w:rsidRPr="001E60C7">
              <w:rPr>
                <w:b/>
                <w:color w:val="FFFFFF" w:themeColor="background1"/>
              </w:rPr>
              <w:t>Growth Rate</w:t>
            </w:r>
          </w:p>
        </w:tc>
        <w:tc>
          <w:tcPr>
            <w:tcW w:w="1842" w:type="dxa"/>
            <w:shd w:val="clear" w:color="auto" w:fill="002060"/>
          </w:tcPr>
          <w:p w14:paraId="78EF0691" w14:textId="77777777" w:rsidR="00755589" w:rsidRPr="001E60C7" w:rsidRDefault="00755589" w:rsidP="00E169D1">
            <w:pPr>
              <w:spacing w:before="24"/>
              <w:ind w:right="142"/>
              <w:jc w:val="right"/>
              <w:rPr>
                <w:b/>
                <w:color w:val="FFFFFF" w:themeColor="background1"/>
              </w:rPr>
            </w:pPr>
            <w:r w:rsidRPr="001E60C7">
              <w:rPr>
                <w:b/>
                <w:color w:val="FFFFFF" w:themeColor="background1"/>
              </w:rPr>
              <w:t>% of total Chinese students</w:t>
            </w:r>
          </w:p>
        </w:tc>
        <w:tc>
          <w:tcPr>
            <w:tcW w:w="1985" w:type="dxa"/>
            <w:shd w:val="clear" w:color="auto" w:fill="002060"/>
          </w:tcPr>
          <w:p w14:paraId="04DBE536" w14:textId="77777777" w:rsidR="00755589" w:rsidRPr="001E60C7" w:rsidRDefault="00755589" w:rsidP="00E169D1">
            <w:pPr>
              <w:spacing w:before="24"/>
              <w:ind w:right="142"/>
              <w:jc w:val="right"/>
              <w:rPr>
                <w:b/>
                <w:color w:val="FFFFFF" w:themeColor="background1"/>
              </w:rPr>
            </w:pPr>
            <w:r w:rsidRPr="001E60C7">
              <w:rPr>
                <w:b/>
                <w:color w:val="FFFFFF" w:themeColor="background1"/>
              </w:rPr>
              <w:t xml:space="preserve">% of international students </w:t>
            </w:r>
          </w:p>
        </w:tc>
      </w:tr>
      <w:tr w:rsidR="00755589" w:rsidRPr="001E60C7" w14:paraId="178AA44B" w14:textId="77777777" w:rsidTr="00E169D1">
        <w:trPr>
          <w:trHeight w:hRule="exact" w:val="336"/>
        </w:trPr>
        <w:tc>
          <w:tcPr>
            <w:tcW w:w="2112" w:type="dxa"/>
            <w:vAlign w:val="center"/>
          </w:tcPr>
          <w:p w14:paraId="0AD6FDA3" w14:textId="77777777" w:rsidR="00755589" w:rsidRPr="001E60C7" w:rsidRDefault="00755589" w:rsidP="00E169D1">
            <w:pPr>
              <w:spacing w:before="24"/>
              <w:ind w:left="142" w:right="85"/>
            </w:pPr>
            <w:r w:rsidRPr="001E60C7">
              <w:t>Higher Education</w:t>
            </w:r>
          </w:p>
        </w:tc>
        <w:tc>
          <w:tcPr>
            <w:tcW w:w="1559" w:type="dxa"/>
            <w:shd w:val="clear" w:color="000000" w:fill="auto"/>
          </w:tcPr>
          <w:p w14:paraId="74CD09D7" w14:textId="77777777" w:rsidR="00755589" w:rsidRPr="001E60C7" w:rsidRDefault="00755589" w:rsidP="00E169D1">
            <w:pPr>
              <w:ind w:right="141"/>
              <w:jc w:val="right"/>
              <w:rPr>
                <w:color w:val="000000"/>
              </w:rPr>
            </w:pPr>
            <w:r w:rsidRPr="001E60C7">
              <w:t xml:space="preserve"> 152,712 </w:t>
            </w:r>
          </w:p>
        </w:tc>
        <w:tc>
          <w:tcPr>
            <w:tcW w:w="1276" w:type="dxa"/>
          </w:tcPr>
          <w:p w14:paraId="78FF73B4" w14:textId="77777777" w:rsidR="00755589" w:rsidRPr="001E60C7" w:rsidRDefault="00755589" w:rsidP="00E169D1">
            <w:pPr>
              <w:ind w:right="141"/>
              <w:jc w:val="right"/>
            </w:pPr>
            <w:r w:rsidRPr="001E60C7">
              <w:t>14%</w:t>
            </w:r>
          </w:p>
        </w:tc>
        <w:tc>
          <w:tcPr>
            <w:tcW w:w="1842" w:type="dxa"/>
          </w:tcPr>
          <w:p w14:paraId="7B06C5FC" w14:textId="77777777" w:rsidR="00755589" w:rsidRPr="001E60C7" w:rsidRDefault="00755589" w:rsidP="00E169D1">
            <w:pPr>
              <w:ind w:right="141"/>
              <w:jc w:val="right"/>
            </w:pPr>
            <w:r w:rsidRPr="001E60C7">
              <w:t>60%</w:t>
            </w:r>
          </w:p>
        </w:tc>
        <w:tc>
          <w:tcPr>
            <w:tcW w:w="1985" w:type="dxa"/>
          </w:tcPr>
          <w:p w14:paraId="4DE64FA7" w14:textId="77777777" w:rsidR="00755589" w:rsidRPr="001E60C7" w:rsidRDefault="00755589" w:rsidP="00E169D1">
            <w:pPr>
              <w:ind w:right="141"/>
              <w:jc w:val="right"/>
            </w:pPr>
            <w:r w:rsidRPr="001E60C7">
              <w:t>38%</w:t>
            </w:r>
          </w:p>
        </w:tc>
      </w:tr>
      <w:tr w:rsidR="00755589" w:rsidRPr="001E60C7" w14:paraId="7CE73289" w14:textId="77777777" w:rsidTr="00E169D1">
        <w:trPr>
          <w:trHeight w:hRule="exact" w:val="336"/>
        </w:trPr>
        <w:tc>
          <w:tcPr>
            <w:tcW w:w="2112" w:type="dxa"/>
            <w:vAlign w:val="center"/>
          </w:tcPr>
          <w:p w14:paraId="3CCD96EE" w14:textId="77777777" w:rsidR="00755589" w:rsidRPr="001E60C7" w:rsidRDefault="00755589" w:rsidP="00E169D1">
            <w:pPr>
              <w:spacing w:before="24"/>
              <w:ind w:left="413" w:right="85"/>
              <w:rPr>
                <w:i/>
                <w:color w:val="2F5496" w:themeColor="accent5" w:themeShade="BF"/>
              </w:rPr>
            </w:pPr>
            <w:r w:rsidRPr="001E60C7">
              <w:rPr>
                <w:i/>
                <w:color w:val="2F5496" w:themeColor="accent5" w:themeShade="BF"/>
              </w:rPr>
              <w:t>Undergraduate</w:t>
            </w:r>
          </w:p>
        </w:tc>
        <w:tc>
          <w:tcPr>
            <w:tcW w:w="1559" w:type="dxa"/>
            <w:shd w:val="clear" w:color="000000" w:fill="auto"/>
          </w:tcPr>
          <w:p w14:paraId="3623FF74" w14:textId="77777777" w:rsidR="00755589" w:rsidRPr="001E60C7" w:rsidRDefault="00755589" w:rsidP="00E169D1">
            <w:pPr>
              <w:ind w:right="141"/>
              <w:jc w:val="right"/>
              <w:rPr>
                <w:i/>
                <w:color w:val="2F5496" w:themeColor="accent5" w:themeShade="BF"/>
              </w:rPr>
            </w:pPr>
            <w:r w:rsidRPr="001E60C7">
              <w:rPr>
                <w:i/>
                <w:color w:val="2F5496" w:themeColor="accent5" w:themeShade="BF"/>
              </w:rPr>
              <w:t>76,487</w:t>
            </w:r>
          </w:p>
        </w:tc>
        <w:tc>
          <w:tcPr>
            <w:tcW w:w="1276" w:type="dxa"/>
          </w:tcPr>
          <w:p w14:paraId="1E0BDA90" w14:textId="77777777" w:rsidR="00755589" w:rsidRPr="001E60C7" w:rsidRDefault="00755589" w:rsidP="00E169D1">
            <w:pPr>
              <w:ind w:right="141"/>
              <w:jc w:val="right"/>
              <w:rPr>
                <w:i/>
                <w:color w:val="2F5496" w:themeColor="accent5" w:themeShade="BF"/>
              </w:rPr>
            </w:pPr>
            <w:r w:rsidRPr="001E60C7">
              <w:rPr>
                <w:i/>
                <w:color w:val="2F5496" w:themeColor="accent5" w:themeShade="BF"/>
              </w:rPr>
              <w:t>12%</w:t>
            </w:r>
          </w:p>
        </w:tc>
        <w:tc>
          <w:tcPr>
            <w:tcW w:w="1842" w:type="dxa"/>
          </w:tcPr>
          <w:p w14:paraId="47CC7C7C" w14:textId="77777777" w:rsidR="00755589" w:rsidRPr="001E60C7" w:rsidRDefault="00755589" w:rsidP="00E169D1">
            <w:pPr>
              <w:ind w:right="141"/>
              <w:jc w:val="right"/>
              <w:rPr>
                <w:i/>
                <w:color w:val="2F5496" w:themeColor="accent5" w:themeShade="BF"/>
              </w:rPr>
            </w:pPr>
            <w:r w:rsidRPr="001E60C7">
              <w:rPr>
                <w:i/>
                <w:color w:val="2F5496" w:themeColor="accent5" w:themeShade="BF"/>
              </w:rPr>
              <w:t>30%</w:t>
            </w:r>
          </w:p>
        </w:tc>
        <w:tc>
          <w:tcPr>
            <w:tcW w:w="1985" w:type="dxa"/>
          </w:tcPr>
          <w:p w14:paraId="0AD08767" w14:textId="77777777" w:rsidR="00755589" w:rsidRPr="001E60C7" w:rsidRDefault="00755589" w:rsidP="00E169D1">
            <w:pPr>
              <w:ind w:right="141"/>
              <w:jc w:val="right"/>
              <w:rPr>
                <w:i/>
                <w:color w:val="2F5496" w:themeColor="accent5" w:themeShade="BF"/>
              </w:rPr>
            </w:pPr>
            <w:r w:rsidRPr="001E60C7">
              <w:rPr>
                <w:i/>
                <w:color w:val="2F5496" w:themeColor="accent5" w:themeShade="BF"/>
              </w:rPr>
              <w:t>39%</w:t>
            </w:r>
          </w:p>
        </w:tc>
      </w:tr>
      <w:tr w:rsidR="00755589" w:rsidRPr="001E60C7" w14:paraId="58D8045A" w14:textId="77777777" w:rsidTr="00E169D1">
        <w:trPr>
          <w:trHeight w:hRule="exact" w:val="336"/>
        </w:trPr>
        <w:tc>
          <w:tcPr>
            <w:tcW w:w="2112" w:type="dxa"/>
            <w:vAlign w:val="center"/>
          </w:tcPr>
          <w:p w14:paraId="4C8AB3D8" w14:textId="77777777" w:rsidR="00755589" w:rsidRPr="001E60C7" w:rsidRDefault="00755589" w:rsidP="00E169D1">
            <w:pPr>
              <w:spacing w:before="24"/>
              <w:ind w:left="413" w:right="85"/>
              <w:rPr>
                <w:i/>
                <w:color w:val="2F5496" w:themeColor="accent5" w:themeShade="BF"/>
              </w:rPr>
            </w:pPr>
            <w:r w:rsidRPr="001E60C7">
              <w:rPr>
                <w:i/>
                <w:color w:val="2F5496" w:themeColor="accent5" w:themeShade="BF"/>
              </w:rPr>
              <w:lastRenderedPageBreak/>
              <w:t>Postgraduate</w:t>
            </w:r>
          </w:p>
        </w:tc>
        <w:tc>
          <w:tcPr>
            <w:tcW w:w="1559" w:type="dxa"/>
            <w:shd w:val="clear" w:color="000000" w:fill="auto"/>
          </w:tcPr>
          <w:p w14:paraId="00224BE6" w14:textId="77777777" w:rsidR="00755589" w:rsidRPr="001E60C7" w:rsidRDefault="00755589" w:rsidP="00E169D1">
            <w:pPr>
              <w:ind w:right="141"/>
              <w:jc w:val="right"/>
              <w:rPr>
                <w:i/>
                <w:color w:val="2F5496" w:themeColor="accent5" w:themeShade="BF"/>
              </w:rPr>
            </w:pPr>
            <w:r w:rsidRPr="001E60C7">
              <w:rPr>
                <w:i/>
                <w:color w:val="2F5496" w:themeColor="accent5" w:themeShade="BF"/>
              </w:rPr>
              <w:t>76,225</w:t>
            </w:r>
          </w:p>
        </w:tc>
        <w:tc>
          <w:tcPr>
            <w:tcW w:w="1276" w:type="dxa"/>
          </w:tcPr>
          <w:p w14:paraId="3EC675A5" w14:textId="77777777" w:rsidR="00755589" w:rsidRPr="001E60C7" w:rsidRDefault="00755589" w:rsidP="00E169D1">
            <w:pPr>
              <w:ind w:right="141"/>
              <w:jc w:val="right"/>
              <w:rPr>
                <w:i/>
                <w:color w:val="2F5496" w:themeColor="accent5" w:themeShade="BF"/>
              </w:rPr>
            </w:pPr>
            <w:r w:rsidRPr="001E60C7">
              <w:rPr>
                <w:i/>
                <w:color w:val="2F5496" w:themeColor="accent5" w:themeShade="BF"/>
              </w:rPr>
              <w:t>16%</w:t>
            </w:r>
          </w:p>
        </w:tc>
        <w:tc>
          <w:tcPr>
            <w:tcW w:w="1842" w:type="dxa"/>
          </w:tcPr>
          <w:p w14:paraId="5E9C1288" w14:textId="77777777" w:rsidR="00755589" w:rsidRPr="001E60C7" w:rsidRDefault="00755589" w:rsidP="00E169D1">
            <w:pPr>
              <w:ind w:right="141"/>
              <w:jc w:val="right"/>
              <w:rPr>
                <w:i/>
                <w:color w:val="2F5496" w:themeColor="accent5" w:themeShade="BF"/>
              </w:rPr>
            </w:pPr>
            <w:r w:rsidRPr="001E60C7">
              <w:rPr>
                <w:i/>
                <w:color w:val="2F5496" w:themeColor="accent5" w:themeShade="BF"/>
              </w:rPr>
              <w:t>30%</w:t>
            </w:r>
          </w:p>
        </w:tc>
        <w:tc>
          <w:tcPr>
            <w:tcW w:w="1985" w:type="dxa"/>
          </w:tcPr>
          <w:p w14:paraId="247FE099" w14:textId="77777777" w:rsidR="00755589" w:rsidRPr="001E60C7" w:rsidRDefault="00755589" w:rsidP="00E169D1">
            <w:pPr>
              <w:ind w:right="141"/>
              <w:jc w:val="right"/>
              <w:rPr>
                <w:i/>
                <w:color w:val="2F5496" w:themeColor="accent5" w:themeShade="BF"/>
              </w:rPr>
            </w:pPr>
            <w:r w:rsidRPr="001E60C7">
              <w:rPr>
                <w:i/>
                <w:color w:val="2F5496" w:themeColor="accent5" w:themeShade="BF"/>
              </w:rPr>
              <w:t>37%</w:t>
            </w:r>
          </w:p>
        </w:tc>
      </w:tr>
      <w:tr w:rsidR="00755589" w:rsidRPr="001E60C7" w14:paraId="056FA9B7" w14:textId="77777777" w:rsidTr="00E169D1">
        <w:trPr>
          <w:trHeight w:hRule="exact" w:val="334"/>
        </w:trPr>
        <w:tc>
          <w:tcPr>
            <w:tcW w:w="2112" w:type="dxa"/>
            <w:vAlign w:val="center"/>
          </w:tcPr>
          <w:p w14:paraId="722BE86E" w14:textId="77777777" w:rsidR="00755589" w:rsidRPr="001E60C7" w:rsidRDefault="00755589" w:rsidP="00E169D1">
            <w:pPr>
              <w:spacing w:before="24"/>
              <w:ind w:left="142" w:right="85"/>
            </w:pPr>
            <w:r w:rsidRPr="001E60C7">
              <w:t>VET</w:t>
            </w:r>
          </w:p>
        </w:tc>
        <w:tc>
          <w:tcPr>
            <w:tcW w:w="1559" w:type="dxa"/>
            <w:shd w:val="clear" w:color="000000" w:fill="auto"/>
          </w:tcPr>
          <w:p w14:paraId="1980A7D8" w14:textId="77777777" w:rsidR="00755589" w:rsidRPr="001E60C7" w:rsidRDefault="00755589" w:rsidP="00E169D1">
            <w:pPr>
              <w:ind w:right="141"/>
              <w:jc w:val="right"/>
              <w:rPr>
                <w:color w:val="000000"/>
              </w:rPr>
            </w:pPr>
            <w:r w:rsidRPr="001E60C7">
              <w:t xml:space="preserve"> 22,341 </w:t>
            </w:r>
          </w:p>
        </w:tc>
        <w:tc>
          <w:tcPr>
            <w:tcW w:w="1276" w:type="dxa"/>
          </w:tcPr>
          <w:p w14:paraId="77B3C1E3" w14:textId="77777777" w:rsidR="00755589" w:rsidRPr="001E60C7" w:rsidRDefault="00755589" w:rsidP="00E169D1">
            <w:pPr>
              <w:ind w:right="141"/>
              <w:jc w:val="right"/>
            </w:pPr>
            <w:r w:rsidRPr="001E60C7">
              <w:t>21%</w:t>
            </w:r>
          </w:p>
        </w:tc>
        <w:tc>
          <w:tcPr>
            <w:tcW w:w="1842" w:type="dxa"/>
          </w:tcPr>
          <w:p w14:paraId="4622190D" w14:textId="77777777" w:rsidR="00755589" w:rsidRPr="001E60C7" w:rsidRDefault="00755589" w:rsidP="00E169D1">
            <w:pPr>
              <w:ind w:right="141"/>
              <w:jc w:val="right"/>
            </w:pPr>
            <w:r w:rsidRPr="001E60C7">
              <w:t>9%</w:t>
            </w:r>
          </w:p>
        </w:tc>
        <w:tc>
          <w:tcPr>
            <w:tcW w:w="1985" w:type="dxa"/>
          </w:tcPr>
          <w:p w14:paraId="2527DDAB" w14:textId="77777777" w:rsidR="00755589" w:rsidRPr="001E60C7" w:rsidRDefault="00755589" w:rsidP="00E169D1">
            <w:pPr>
              <w:ind w:right="141"/>
              <w:jc w:val="right"/>
            </w:pPr>
            <w:r w:rsidRPr="001E60C7">
              <w:t>9%</w:t>
            </w:r>
          </w:p>
        </w:tc>
      </w:tr>
      <w:tr w:rsidR="00755589" w:rsidRPr="001E60C7" w14:paraId="4DA1FE37" w14:textId="77777777" w:rsidTr="00E169D1">
        <w:trPr>
          <w:trHeight w:hRule="exact" w:val="336"/>
        </w:trPr>
        <w:tc>
          <w:tcPr>
            <w:tcW w:w="2112" w:type="dxa"/>
            <w:vAlign w:val="center"/>
          </w:tcPr>
          <w:p w14:paraId="27CE74A0" w14:textId="77777777" w:rsidR="00755589" w:rsidRPr="001E60C7" w:rsidRDefault="00755589" w:rsidP="00E169D1">
            <w:pPr>
              <w:spacing w:before="24"/>
              <w:ind w:left="142" w:right="85"/>
            </w:pPr>
            <w:r w:rsidRPr="001E60C7">
              <w:t>Sc</w:t>
            </w:r>
            <w:r w:rsidRPr="001E60C7">
              <w:rPr>
                <w:spacing w:val="-1"/>
              </w:rPr>
              <w:t>h</w:t>
            </w:r>
            <w:r w:rsidRPr="001E60C7">
              <w:rPr>
                <w:spacing w:val="1"/>
              </w:rPr>
              <w:t>oo</w:t>
            </w:r>
            <w:r w:rsidRPr="001E60C7">
              <w:t>ls</w:t>
            </w:r>
          </w:p>
        </w:tc>
        <w:tc>
          <w:tcPr>
            <w:tcW w:w="1559" w:type="dxa"/>
            <w:shd w:val="clear" w:color="000000" w:fill="auto"/>
          </w:tcPr>
          <w:p w14:paraId="365CD8DF" w14:textId="77777777" w:rsidR="00755589" w:rsidRPr="001E60C7" w:rsidRDefault="00755589" w:rsidP="00E169D1">
            <w:pPr>
              <w:ind w:right="141"/>
              <w:jc w:val="right"/>
              <w:rPr>
                <w:color w:val="000000"/>
              </w:rPr>
            </w:pPr>
            <w:r w:rsidRPr="001E60C7">
              <w:t xml:space="preserve"> 13,662 </w:t>
            </w:r>
          </w:p>
        </w:tc>
        <w:tc>
          <w:tcPr>
            <w:tcW w:w="1276" w:type="dxa"/>
          </w:tcPr>
          <w:p w14:paraId="22F8A613" w14:textId="77777777" w:rsidR="00755589" w:rsidRPr="001E60C7" w:rsidRDefault="00755589" w:rsidP="00E169D1">
            <w:pPr>
              <w:ind w:right="141"/>
              <w:jc w:val="right"/>
              <w:rPr>
                <w:color w:val="FF0000"/>
              </w:rPr>
            </w:pPr>
            <w:r w:rsidRPr="001E60C7">
              <w:t>1%</w:t>
            </w:r>
          </w:p>
        </w:tc>
        <w:tc>
          <w:tcPr>
            <w:tcW w:w="1842" w:type="dxa"/>
          </w:tcPr>
          <w:p w14:paraId="3807F02F" w14:textId="77777777" w:rsidR="00755589" w:rsidRPr="001E60C7" w:rsidRDefault="00755589" w:rsidP="00E169D1">
            <w:pPr>
              <w:ind w:right="141"/>
              <w:jc w:val="right"/>
            </w:pPr>
            <w:r w:rsidRPr="001E60C7">
              <w:t>5%</w:t>
            </w:r>
          </w:p>
        </w:tc>
        <w:tc>
          <w:tcPr>
            <w:tcW w:w="1985" w:type="dxa"/>
          </w:tcPr>
          <w:p w14:paraId="23960747" w14:textId="77777777" w:rsidR="00755589" w:rsidRPr="001E60C7" w:rsidRDefault="00755589" w:rsidP="00E169D1">
            <w:pPr>
              <w:ind w:right="141"/>
              <w:jc w:val="right"/>
            </w:pPr>
            <w:r w:rsidRPr="001E60C7">
              <w:t>51%</w:t>
            </w:r>
          </w:p>
        </w:tc>
      </w:tr>
      <w:tr w:rsidR="00755589" w:rsidRPr="001E60C7" w14:paraId="278F2A99" w14:textId="77777777" w:rsidTr="00E169D1">
        <w:trPr>
          <w:trHeight w:hRule="exact" w:val="336"/>
        </w:trPr>
        <w:tc>
          <w:tcPr>
            <w:tcW w:w="2112" w:type="dxa"/>
            <w:vAlign w:val="center"/>
          </w:tcPr>
          <w:p w14:paraId="5AA27280" w14:textId="77777777" w:rsidR="00755589" w:rsidRPr="001E60C7" w:rsidRDefault="00755589" w:rsidP="00E169D1">
            <w:pPr>
              <w:ind w:left="142" w:right="85"/>
              <w:rPr>
                <w:sz w:val="14"/>
                <w:szCs w:val="14"/>
              </w:rPr>
            </w:pPr>
            <w:r w:rsidRPr="001E60C7">
              <w:t>E</w:t>
            </w:r>
            <w:r w:rsidRPr="001E60C7">
              <w:rPr>
                <w:spacing w:val="1"/>
              </w:rPr>
              <w:t>L</w:t>
            </w:r>
            <w:r w:rsidRPr="001E60C7">
              <w:t>ICO</w:t>
            </w:r>
            <w:r w:rsidRPr="001E60C7">
              <w:rPr>
                <w:spacing w:val="-1"/>
              </w:rPr>
              <w:t>S</w:t>
            </w:r>
          </w:p>
        </w:tc>
        <w:tc>
          <w:tcPr>
            <w:tcW w:w="1559" w:type="dxa"/>
            <w:shd w:val="clear" w:color="000000" w:fill="auto"/>
          </w:tcPr>
          <w:p w14:paraId="250F6F45" w14:textId="77777777" w:rsidR="00755589" w:rsidRPr="001E60C7" w:rsidRDefault="00755589" w:rsidP="00E169D1">
            <w:pPr>
              <w:ind w:right="141"/>
              <w:jc w:val="right"/>
              <w:rPr>
                <w:color w:val="000000"/>
              </w:rPr>
            </w:pPr>
            <w:r w:rsidRPr="001E60C7">
              <w:t xml:space="preserve"> 47,762 </w:t>
            </w:r>
          </w:p>
        </w:tc>
        <w:tc>
          <w:tcPr>
            <w:tcW w:w="1276" w:type="dxa"/>
          </w:tcPr>
          <w:p w14:paraId="5C2C6A94" w14:textId="77777777" w:rsidR="00755589" w:rsidRPr="001E60C7" w:rsidRDefault="00755589" w:rsidP="00E169D1">
            <w:pPr>
              <w:ind w:right="141"/>
              <w:jc w:val="right"/>
              <w:rPr>
                <w:color w:val="FF0000"/>
              </w:rPr>
            </w:pPr>
            <w:r w:rsidRPr="001E60C7">
              <w:t>5%</w:t>
            </w:r>
          </w:p>
        </w:tc>
        <w:tc>
          <w:tcPr>
            <w:tcW w:w="1842" w:type="dxa"/>
          </w:tcPr>
          <w:p w14:paraId="2F0198AB" w14:textId="77777777" w:rsidR="00755589" w:rsidRPr="001E60C7" w:rsidRDefault="00755589" w:rsidP="00E169D1">
            <w:pPr>
              <w:ind w:right="141"/>
              <w:jc w:val="right"/>
            </w:pPr>
            <w:r w:rsidRPr="001E60C7">
              <w:t>19%</w:t>
            </w:r>
          </w:p>
        </w:tc>
        <w:tc>
          <w:tcPr>
            <w:tcW w:w="1985" w:type="dxa"/>
          </w:tcPr>
          <w:p w14:paraId="6B4A96FC" w14:textId="77777777" w:rsidR="00755589" w:rsidRPr="001E60C7" w:rsidRDefault="00755589" w:rsidP="00E169D1">
            <w:pPr>
              <w:ind w:right="141"/>
              <w:jc w:val="right"/>
            </w:pPr>
            <w:r w:rsidRPr="001E60C7">
              <w:t>31%</w:t>
            </w:r>
          </w:p>
        </w:tc>
      </w:tr>
      <w:tr w:rsidR="00755589" w:rsidRPr="001E60C7" w14:paraId="17BD0A16" w14:textId="77777777" w:rsidTr="00E169D1">
        <w:trPr>
          <w:trHeight w:hRule="exact" w:val="334"/>
        </w:trPr>
        <w:tc>
          <w:tcPr>
            <w:tcW w:w="2112" w:type="dxa"/>
            <w:vAlign w:val="center"/>
          </w:tcPr>
          <w:p w14:paraId="3A61FC89" w14:textId="77777777" w:rsidR="00755589" w:rsidRPr="001E60C7" w:rsidRDefault="00755589" w:rsidP="00E169D1">
            <w:pPr>
              <w:spacing w:before="24"/>
              <w:ind w:left="142" w:right="85"/>
            </w:pPr>
            <w:r w:rsidRPr="001E60C7">
              <w:t>Ot</w:t>
            </w:r>
            <w:r w:rsidRPr="001E60C7">
              <w:rPr>
                <w:spacing w:val="-1"/>
              </w:rPr>
              <w:t>h</w:t>
            </w:r>
            <w:r w:rsidRPr="001E60C7">
              <w:t>e</w:t>
            </w:r>
            <w:r w:rsidRPr="001E60C7">
              <w:rPr>
                <w:spacing w:val="1"/>
              </w:rPr>
              <w:t>r</w:t>
            </w:r>
            <w:r w:rsidRPr="001E60C7">
              <w:t>*</w:t>
            </w:r>
          </w:p>
        </w:tc>
        <w:tc>
          <w:tcPr>
            <w:tcW w:w="1559" w:type="dxa"/>
            <w:shd w:val="clear" w:color="000000" w:fill="auto"/>
          </w:tcPr>
          <w:p w14:paraId="5C21DC26" w14:textId="77777777" w:rsidR="00755589" w:rsidRPr="001E60C7" w:rsidRDefault="00755589" w:rsidP="00E169D1">
            <w:pPr>
              <w:ind w:right="141"/>
              <w:jc w:val="right"/>
              <w:rPr>
                <w:color w:val="000000"/>
              </w:rPr>
            </w:pPr>
            <w:r w:rsidRPr="001E60C7">
              <w:t xml:space="preserve"> 19,419 </w:t>
            </w:r>
          </w:p>
        </w:tc>
        <w:tc>
          <w:tcPr>
            <w:tcW w:w="1276" w:type="dxa"/>
          </w:tcPr>
          <w:p w14:paraId="1A07897B" w14:textId="77777777" w:rsidR="00755589" w:rsidRPr="001E60C7" w:rsidRDefault="00755589" w:rsidP="00E169D1">
            <w:pPr>
              <w:ind w:right="141"/>
              <w:jc w:val="right"/>
              <w:rPr>
                <w:color w:val="FF0000"/>
              </w:rPr>
            </w:pPr>
            <w:r w:rsidRPr="001E60C7">
              <w:t>-1%</w:t>
            </w:r>
          </w:p>
        </w:tc>
        <w:tc>
          <w:tcPr>
            <w:tcW w:w="1842" w:type="dxa"/>
          </w:tcPr>
          <w:p w14:paraId="2E31E7D6" w14:textId="4D43CA11" w:rsidR="00755589" w:rsidRPr="001E60C7" w:rsidRDefault="0077438D" w:rsidP="00E169D1">
            <w:pPr>
              <w:ind w:right="141"/>
              <w:jc w:val="right"/>
            </w:pPr>
            <w:r w:rsidRPr="001E60C7">
              <w:t>7</w:t>
            </w:r>
            <w:r w:rsidR="00755589" w:rsidRPr="001E60C7">
              <w:t>%</w:t>
            </w:r>
          </w:p>
        </w:tc>
        <w:tc>
          <w:tcPr>
            <w:tcW w:w="1985" w:type="dxa"/>
          </w:tcPr>
          <w:p w14:paraId="4B97C067" w14:textId="77777777" w:rsidR="00755589" w:rsidRPr="001E60C7" w:rsidRDefault="00755589" w:rsidP="00E169D1">
            <w:pPr>
              <w:ind w:right="141"/>
              <w:jc w:val="right"/>
            </w:pPr>
            <w:r w:rsidRPr="001E60C7">
              <w:t>39%</w:t>
            </w:r>
          </w:p>
        </w:tc>
      </w:tr>
      <w:tr w:rsidR="00755589" w:rsidRPr="001E60C7" w14:paraId="34433B48" w14:textId="77777777" w:rsidTr="00E169D1">
        <w:trPr>
          <w:trHeight w:hRule="exact" w:val="336"/>
        </w:trPr>
        <w:tc>
          <w:tcPr>
            <w:tcW w:w="2112" w:type="dxa"/>
            <w:vAlign w:val="center"/>
          </w:tcPr>
          <w:p w14:paraId="4A38993A" w14:textId="77777777" w:rsidR="00755589" w:rsidRPr="001E60C7" w:rsidRDefault="00755589" w:rsidP="00E169D1">
            <w:pPr>
              <w:spacing w:before="24"/>
              <w:ind w:left="142" w:right="86"/>
            </w:pPr>
            <w:r w:rsidRPr="001E60C7">
              <w:rPr>
                <w:b/>
                <w:spacing w:val="1"/>
              </w:rPr>
              <w:t>T</w:t>
            </w:r>
            <w:r w:rsidRPr="001E60C7">
              <w:rPr>
                <w:b/>
                <w:spacing w:val="-1"/>
              </w:rPr>
              <w:t>o</w:t>
            </w:r>
            <w:r w:rsidRPr="001E60C7">
              <w:rPr>
                <w:b/>
              </w:rPr>
              <w:t>t</w:t>
            </w:r>
            <w:r w:rsidRPr="001E60C7">
              <w:rPr>
                <w:b/>
                <w:spacing w:val="-1"/>
              </w:rPr>
              <w:t>a</w:t>
            </w:r>
            <w:r w:rsidRPr="001E60C7">
              <w:rPr>
                <w:b/>
              </w:rPr>
              <w:t>l</w:t>
            </w:r>
          </w:p>
        </w:tc>
        <w:tc>
          <w:tcPr>
            <w:tcW w:w="1559" w:type="dxa"/>
            <w:shd w:val="clear" w:color="000000" w:fill="auto"/>
          </w:tcPr>
          <w:p w14:paraId="785B187D" w14:textId="77777777" w:rsidR="00755589" w:rsidRPr="001E60C7" w:rsidRDefault="00755589" w:rsidP="00E169D1">
            <w:pPr>
              <w:ind w:right="141"/>
              <w:jc w:val="right"/>
              <w:rPr>
                <w:b/>
                <w:color w:val="000000"/>
              </w:rPr>
            </w:pPr>
            <w:r w:rsidRPr="001E60C7">
              <w:rPr>
                <w:b/>
              </w:rPr>
              <w:t xml:space="preserve"> 255,896 </w:t>
            </w:r>
          </w:p>
        </w:tc>
        <w:tc>
          <w:tcPr>
            <w:tcW w:w="1276" w:type="dxa"/>
          </w:tcPr>
          <w:p w14:paraId="59C76C1E" w14:textId="77777777" w:rsidR="00755589" w:rsidRPr="001E60C7" w:rsidRDefault="00755589" w:rsidP="00E169D1">
            <w:pPr>
              <w:ind w:right="141"/>
              <w:jc w:val="right"/>
              <w:rPr>
                <w:b/>
              </w:rPr>
            </w:pPr>
            <w:r w:rsidRPr="001E60C7">
              <w:rPr>
                <w:b/>
              </w:rPr>
              <w:t>11%</w:t>
            </w:r>
          </w:p>
        </w:tc>
        <w:tc>
          <w:tcPr>
            <w:tcW w:w="1842" w:type="dxa"/>
          </w:tcPr>
          <w:p w14:paraId="528BACB7" w14:textId="77777777" w:rsidR="00755589" w:rsidRPr="001E60C7" w:rsidRDefault="00755589" w:rsidP="00E169D1">
            <w:pPr>
              <w:ind w:right="141"/>
              <w:jc w:val="right"/>
              <w:rPr>
                <w:b/>
              </w:rPr>
            </w:pPr>
            <w:r w:rsidRPr="001E60C7">
              <w:rPr>
                <w:b/>
              </w:rPr>
              <w:t>100%</w:t>
            </w:r>
          </w:p>
        </w:tc>
        <w:tc>
          <w:tcPr>
            <w:tcW w:w="1985" w:type="dxa"/>
          </w:tcPr>
          <w:p w14:paraId="536DBEF2" w14:textId="77777777" w:rsidR="00755589" w:rsidRPr="001E60C7" w:rsidRDefault="00755589" w:rsidP="00E169D1">
            <w:pPr>
              <w:ind w:right="141"/>
              <w:jc w:val="right"/>
              <w:rPr>
                <w:b/>
              </w:rPr>
            </w:pPr>
            <w:r w:rsidRPr="001E60C7">
              <w:rPr>
                <w:b/>
              </w:rPr>
              <w:t>29%</w:t>
            </w:r>
          </w:p>
        </w:tc>
      </w:tr>
    </w:tbl>
    <w:p w14:paraId="12460C2E" w14:textId="77777777" w:rsidR="00755589" w:rsidRPr="001E60C7" w:rsidRDefault="00755589" w:rsidP="00755589">
      <w:pPr>
        <w:ind w:right="-23"/>
        <w:rPr>
          <w:rFonts w:eastAsia="Calibri"/>
          <w:spacing w:val="-1"/>
          <w:position w:val="1"/>
          <w:sz w:val="16"/>
          <w:szCs w:val="16"/>
        </w:rPr>
      </w:pPr>
      <w:r w:rsidRPr="001E60C7">
        <w:rPr>
          <w:rFonts w:eastAsia="Calibri"/>
          <w:position w:val="1"/>
          <w:sz w:val="16"/>
          <w:szCs w:val="16"/>
        </w:rPr>
        <w:t>S</w:t>
      </w:r>
      <w:r w:rsidRPr="001E60C7">
        <w:rPr>
          <w:rFonts w:eastAsia="Calibri"/>
          <w:spacing w:val="-1"/>
          <w:position w:val="1"/>
          <w:sz w:val="16"/>
          <w:szCs w:val="16"/>
        </w:rPr>
        <w:t>o</w:t>
      </w:r>
      <w:r w:rsidRPr="001E60C7">
        <w:rPr>
          <w:rFonts w:eastAsia="Calibri"/>
          <w:position w:val="1"/>
          <w:sz w:val="16"/>
          <w:szCs w:val="16"/>
        </w:rPr>
        <w:t>u</w:t>
      </w:r>
      <w:r w:rsidRPr="001E60C7">
        <w:rPr>
          <w:rFonts w:eastAsia="Calibri"/>
          <w:spacing w:val="-1"/>
          <w:position w:val="1"/>
          <w:sz w:val="16"/>
          <w:szCs w:val="16"/>
        </w:rPr>
        <w:t>rce</w:t>
      </w:r>
      <w:r w:rsidRPr="001E60C7">
        <w:rPr>
          <w:rFonts w:eastAsia="Calibri"/>
          <w:position w:val="1"/>
          <w:sz w:val="16"/>
          <w:szCs w:val="16"/>
        </w:rPr>
        <w:t xml:space="preserve">: </w:t>
      </w:r>
      <w:r w:rsidRPr="001E60C7">
        <w:rPr>
          <w:rFonts w:eastAsia="Calibri"/>
          <w:spacing w:val="-1"/>
          <w:position w:val="1"/>
          <w:sz w:val="16"/>
          <w:szCs w:val="16"/>
        </w:rPr>
        <w:t>De</w:t>
      </w:r>
      <w:r w:rsidRPr="001E60C7">
        <w:rPr>
          <w:rFonts w:eastAsia="Calibri"/>
          <w:position w:val="1"/>
          <w:sz w:val="16"/>
          <w:szCs w:val="16"/>
        </w:rPr>
        <w:t>p</w:t>
      </w:r>
      <w:r w:rsidRPr="001E60C7">
        <w:rPr>
          <w:rFonts w:eastAsia="Calibri"/>
          <w:spacing w:val="-1"/>
          <w:position w:val="1"/>
          <w:sz w:val="16"/>
          <w:szCs w:val="16"/>
        </w:rPr>
        <w:t>art</w:t>
      </w:r>
      <w:r w:rsidRPr="001E60C7">
        <w:rPr>
          <w:rFonts w:eastAsia="Calibri"/>
          <w:spacing w:val="1"/>
          <w:position w:val="1"/>
          <w:sz w:val="16"/>
          <w:szCs w:val="16"/>
        </w:rPr>
        <w:t>m</w:t>
      </w:r>
      <w:r w:rsidRPr="001E60C7">
        <w:rPr>
          <w:rFonts w:eastAsia="Calibri"/>
          <w:spacing w:val="-1"/>
          <w:position w:val="1"/>
          <w:sz w:val="16"/>
          <w:szCs w:val="16"/>
        </w:rPr>
        <w:t>e</w:t>
      </w:r>
      <w:r w:rsidRPr="001E60C7">
        <w:rPr>
          <w:rFonts w:eastAsia="Calibri"/>
          <w:position w:val="1"/>
          <w:sz w:val="16"/>
          <w:szCs w:val="16"/>
        </w:rPr>
        <w:t>nt</w:t>
      </w:r>
      <w:r w:rsidRPr="001E60C7">
        <w:rPr>
          <w:rFonts w:eastAsia="Calibri"/>
          <w:spacing w:val="-1"/>
          <w:position w:val="1"/>
          <w:sz w:val="16"/>
          <w:szCs w:val="16"/>
        </w:rPr>
        <w:t xml:space="preserve"> o</w:t>
      </w:r>
      <w:r w:rsidRPr="001E60C7">
        <w:rPr>
          <w:rFonts w:eastAsia="Calibri"/>
          <w:position w:val="1"/>
          <w:sz w:val="16"/>
          <w:szCs w:val="16"/>
        </w:rPr>
        <w:t>f</w:t>
      </w:r>
      <w:r w:rsidRPr="001E60C7">
        <w:rPr>
          <w:rFonts w:eastAsia="Calibri"/>
          <w:spacing w:val="1"/>
          <w:position w:val="1"/>
          <w:sz w:val="16"/>
          <w:szCs w:val="16"/>
        </w:rPr>
        <w:t xml:space="preserve"> </w:t>
      </w:r>
      <w:r w:rsidRPr="001E60C7">
        <w:rPr>
          <w:rFonts w:eastAsia="Calibri"/>
          <w:position w:val="1"/>
          <w:sz w:val="16"/>
          <w:szCs w:val="16"/>
        </w:rPr>
        <w:t>Edu</w:t>
      </w:r>
      <w:r w:rsidRPr="001E60C7">
        <w:rPr>
          <w:rFonts w:eastAsia="Calibri"/>
          <w:spacing w:val="-1"/>
          <w:position w:val="1"/>
          <w:sz w:val="16"/>
          <w:szCs w:val="16"/>
        </w:rPr>
        <w:t>c</w:t>
      </w:r>
      <w:r w:rsidRPr="001E60C7">
        <w:rPr>
          <w:rFonts w:eastAsia="Calibri"/>
          <w:position w:val="1"/>
          <w:sz w:val="16"/>
          <w:szCs w:val="16"/>
        </w:rPr>
        <w:t>a</w:t>
      </w:r>
      <w:r w:rsidRPr="001E60C7">
        <w:rPr>
          <w:rFonts w:eastAsia="Calibri"/>
          <w:spacing w:val="-1"/>
          <w:position w:val="1"/>
          <w:sz w:val="16"/>
          <w:szCs w:val="16"/>
        </w:rPr>
        <w:t>tio</w:t>
      </w:r>
      <w:r w:rsidRPr="001E60C7">
        <w:rPr>
          <w:rFonts w:eastAsia="Calibri"/>
          <w:position w:val="1"/>
          <w:sz w:val="16"/>
          <w:szCs w:val="16"/>
        </w:rPr>
        <w:t>n and Training</w:t>
      </w:r>
      <w:r w:rsidRPr="001E60C7">
        <w:rPr>
          <w:rFonts w:eastAsia="Calibri"/>
          <w:spacing w:val="-1"/>
          <w:position w:val="1"/>
          <w:sz w:val="16"/>
          <w:szCs w:val="16"/>
        </w:rPr>
        <w:t xml:space="preserve"> </w:t>
      </w:r>
      <w:r w:rsidRPr="001E60C7">
        <w:rPr>
          <w:rFonts w:eastAsia="Calibri"/>
          <w:position w:val="1"/>
          <w:sz w:val="16"/>
          <w:szCs w:val="16"/>
        </w:rPr>
        <w:t>In</w:t>
      </w:r>
      <w:r w:rsidRPr="001E60C7">
        <w:rPr>
          <w:rFonts w:eastAsia="Calibri"/>
          <w:spacing w:val="-1"/>
          <w:position w:val="1"/>
          <w:sz w:val="16"/>
          <w:szCs w:val="16"/>
        </w:rPr>
        <w:t>ter</w:t>
      </w:r>
      <w:r w:rsidRPr="001E60C7">
        <w:rPr>
          <w:rFonts w:eastAsia="Calibri"/>
          <w:position w:val="1"/>
          <w:sz w:val="16"/>
          <w:szCs w:val="16"/>
        </w:rPr>
        <w:t>n</w:t>
      </w:r>
      <w:r w:rsidRPr="001E60C7">
        <w:rPr>
          <w:rFonts w:eastAsia="Calibri"/>
          <w:spacing w:val="-1"/>
          <w:position w:val="1"/>
          <w:sz w:val="16"/>
          <w:szCs w:val="16"/>
        </w:rPr>
        <w:t>atio</w:t>
      </w:r>
      <w:r w:rsidRPr="001E60C7">
        <w:rPr>
          <w:rFonts w:eastAsia="Calibri"/>
          <w:position w:val="1"/>
          <w:sz w:val="16"/>
          <w:szCs w:val="16"/>
        </w:rPr>
        <w:t>n</w:t>
      </w:r>
      <w:r w:rsidRPr="001E60C7">
        <w:rPr>
          <w:rFonts w:eastAsia="Calibri"/>
          <w:spacing w:val="-1"/>
          <w:position w:val="1"/>
          <w:sz w:val="16"/>
          <w:szCs w:val="16"/>
        </w:rPr>
        <w:t>a</w:t>
      </w:r>
      <w:r w:rsidRPr="001E60C7">
        <w:rPr>
          <w:rFonts w:eastAsia="Calibri"/>
          <w:position w:val="1"/>
          <w:sz w:val="16"/>
          <w:szCs w:val="16"/>
        </w:rPr>
        <w:t>l</w:t>
      </w:r>
      <w:r w:rsidRPr="001E60C7">
        <w:rPr>
          <w:rFonts w:eastAsia="Calibri"/>
          <w:spacing w:val="1"/>
          <w:position w:val="1"/>
          <w:sz w:val="16"/>
          <w:szCs w:val="16"/>
        </w:rPr>
        <w:t xml:space="preserve"> </w:t>
      </w:r>
      <w:r w:rsidRPr="001E60C7">
        <w:rPr>
          <w:rFonts w:eastAsia="Calibri"/>
          <w:position w:val="1"/>
          <w:sz w:val="16"/>
          <w:szCs w:val="16"/>
        </w:rPr>
        <w:t>S</w:t>
      </w:r>
      <w:r w:rsidRPr="001E60C7">
        <w:rPr>
          <w:rFonts w:eastAsia="Calibri"/>
          <w:spacing w:val="-1"/>
          <w:position w:val="1"/>
          <w:sz w:val="16"/>
          <w:szCs w:val="16"/>
        </w:rPr>
        <w:t>t</w:t>
      </w:r>
      <w:r w:rsidRPr="001E60C7">
        <w:rPr>
          <w:rFonts w:eastAsia="Calibri"/>
          <w:position w:val="1"/>
          <w:sz w:val="16"/>
          <w:szCs w:val="16"/>
        </w:rPr>
        <w:t>u</w:t>
      </w:r>
      <w:r w:rsidRPr="001E60C7">
        <w:rPr>
          <w:rFonts w:eastAsia="Calibri"/>
          <w:spacing w:val="-1"/>
          <w:position w:val="1"/>
          <w:sz w:val="16"/>
          <w:szCs w:val="16"/>
        </w:rPr>
        <w:t>de</w:t>
      </w:r>
      <w:r w:rsidRPr="001E60C7">
        <w:rPr>
          <w:rFonts w:eastAsia="Calibri"/>
          <w:position w:val="1"/>
          <w:sz w:val="16"/>
          <w:szCs w:val="16"/>
        </w:rPr>
        <w:t>nt</w:t>
      </w:r>
      <w:r w:rsidRPr="001E60C7">
        <w:rPr>
          <w:rFonts w:eastAsia="Calibri"/>
          <w:spacing w:val="-1"/>
          <w:position w:val="1"/>
          <w:sz w:val="16"/>
          <w:szCs w:val="16"/>
        </w:rPr>
        <w:t xml:space="preserve"> d</w:t>
      </w:r>
      <w:r w:rsidRPr="001E60C7">
        <w:rPr>
          <w:rFonts w:eastAsia="Calibri"/>
          <w:position w:val="1"/>
          <w:sz w:val="16"/>
          <w:szCs w:val="16"/>
        </w:rPr>
        <w:t>a</w:t>
      </w:r>
      <w:r w:rsidRPr="001E60C7">
        <w:rPr>
          <w:rFonts w:eastAsia="Calibri"/>
          <w:spacing w:val="-1"/>
          <w:position w:val="1"/>
          <w:sz w:val="16"/>
          <w:szCs w:val="16"/>
        </w:rPr>
        <w:t>t</w:t>
      </w:r>
      <w:r w:rsidRPr="001E60C7">
        <w:rPr>
          <w:rFonts w:eastAsia="Calibri"/>
          <w:position w:val="1"/>
          <w:sz w:val="16"/>
          <w:szCs w:val="16"/>
        </w:rPr>
        <w:t>a</w:t>
      </w:r>
      <w:r w:rsidRPr="001E60C7">
        <w:rPr>
          <w:rFonts w:eastAsia="Calibri"/>
          <w:spacing w:val="2"/>
          <w:position w:val="1"/>
          <w:sz w:val="16"/>
          <w:szCs w:val="16"/>
        </w:rPr>
        <w:t xml:space="preserve"> </w:t>
      </w:r>
      <w:r w:rsidRPr="001E60C7">
        <w:rPr>
          <w:rFonts w:eastAsia="Calibri"/>
          <w:spacing w:val="1"/>
          <w:position w:val="1"/>
          <w:sz w:val="16"/>
          <w:szCs w:val="16"/>
        </w:rPr>
        <w:t>r</w:t>
      </w:r>
      <w:r w:rsidRPr="001E60C7">
        <w:rPr>
          <w:rFonts w:eastAsia="Calibri"/>
          <w:spacing w:val="-1"/>
          <w:position w:val="1"/>
          <w:sz w:val="16"/>
          <w:szCs w:val="16"/>
        </w:rPr>
        <w:t>e</w:t>
      </w:r>
      <w:r w:rsidRPr="001E60C7">
        <w:rPr>
          <w:rFonts w:eastAsia="Calibri"/>
          <w:position w:val="1"/>
          <w:sz w:val="16"/>
          <w:szCs w:val="16"/>
        </w:rPr>
        <w:t>p</w:t>
      </w:r>
      <w:r w:rsidRPr="001E60C7">
        <w:rPr>
          <w:rFonts w:eastAsia="Calibri"/>
          <w:spacing w:val="-1"/>
          <w:position w:val="1"/>
          <w:sz w:val="16"/>
          <w:szCs w:val="16"/>
        </w:rPr>
        <w:t>ort</w:t>
      </w:r>
      <w:r w:rsidRPr="001E60C7">
        <w:rPr>
          <w:rFonts w:eastAsia="Calibri"/>
          <w:position w:val="1"/>
          <w:sz w:val="16"/>
          <w:szCs w:val="16"/>
        </w:rPr>
        <w:t>s Year-to-date December</w:t>
      </w:r>
      <w:r w:rsidRPr="001E60C7">
        <w:rPr>
          <w:rFonts w:eastAsia="Calibri"/>
          <w:spacing w:val="-1"/>
          <w:position w:val="1"/>
          <w:sz w:val="16"/>
          <w:szCs w:val="16"/>
        </w:rPr>
        <w:t xml:space="preserve"> 2018.</w:t>
      </w:r>
    </w:p>
    <w:p w14:paraId="244DFE14" w14:textId="77777777" w:rsidR="00755589" w:rsidRPr="001E60C7" w:rsidRDefault="00755589" w:rsidP="00755589">
      <w:pPr>
        <w:ind w:right="-23"/>
        <w:rPr>
          <w:rFonts w:eastAsia="Calibri"/>
          <w:sz w:val="16"/>
          <w:szCs w:val="16"/>
        </w:rPr>
      </w:pPr>
      <w:r w:rsidRPr="001E60C7">
        <w:rPr>
          <w:rFonts w:eastAsia="Calibri"/>
          <w:spacing w:val="-1"/>
          <w:position w:val="1"/>
          <w:sz w:val="16"/>
          <w:szCs w:val="16"/>
        </w:rPr>
        <w:t>^The international student enrolment data generally does not represent the number of overseas students in Australia rather counts actual course enrolments.</w:t>
      </w:r>
    </w:p>
    <w:p w14:paraId="5F191609" w14:textId="77777777" w:rsidR="00755589" w:rsidRPr="001E60C7" w:rsidRDefault="00755589" w:rsidP="00755589">
      <w:pPr>
        <w:ind w:right="-23"/>
        <w:rPr>
          <w:rFonts w:eastAsia="Calibri"/>
          <w:spacing w:val="-3"/>
          <w:sz w:val="16"/>
          <w:szCs w:val="16"/>
        </w:rPr>
      </w:pPr>
      <w:r w:rsidRPr="001E60C7">
        <w:rPr>
          <w:rFonts w:eastAsia="Calibri"/>
          <w:sz w:val="16"/>
          <w:szCs w:val="16"/>
        </w:rPr>
        <w:t>*The</w:t>
      </w:r>
      <w:r w:rsidRPr="001E60C7">
        <w:rPr>
          <w:rFonts w:eastAsia="Calibri"/>
          <w:spacing w:val="-2"/>
          <w:sz w:val="16"/>
          <w:szCs w:val="16"/>
        </w:rPr>
        <w:t xml:space="preserve"> </w:t>
      </w:r>
      <w:r w:rsidRPr="001E60C7">
        <w:rPr>
          <w:rFonts w:eastAsia="Calibri"/>
          <w:spacing w:val="-1"/>
          <w:sz w:val="16"/>
          <w:szCs w:val="16"/>
        </w:rPr>
        <w:t>‘</w:t>
      </w:r>
      <w:r w:rsidRPr="001E60C7">
        <w:rPr>
          <w:rFonts w:eastAsia="Calibri"/>
          <w:spacing w:val="2"/>
          <w:sz w:val="16"/>
          <w:szCs w:val="16"/>
        </w:rPr>
        <w:t>O</w:t>
      </w:r>
      <w:r w:rsidRPr="001E60C7">
        <w:rPr>
          <w:rFonts w:eastAsia="Calibri"/>
          <w:spacing w:val="-1"/>
          <w:sz w:val="16"/>
          <w:szCs w:val="16"/>
        </w:rPr>
        <w:t>t</w:t>
      </w:r>
      <w:r w:rsidRPr="001E60C7">
        <w:rPr>
          <w:rFonts w:eastAsia="Calibri"/>
          <w:sz w:val="16"/>
          <w:szCs w:val="16"/>
        </w:rPr>
        <w:t>h</w:t>
      </w:r>
      <w:r w:rsidRPr="001E60C7">
        <w:rPr>
          <w:rFonts w:eastAsia="Calibri"/>
          <w:spacing w:val="1"/>
          <w:sz w:val="16"/>
          <w:szCs w:val="16"/>
        </w:rPr>
        <w:t>e</w:t>
      </w:r>
      <w:r w:rsidRPr="001E60C7">
        <w:rPr>
          <w:rFonts w:eastAsia="Calibri"/>
          <w:sz w:val="16"/>
          <w:szCs w:val="16"/>
        </w:rPr>
        <w:t>r’</w:t>
      </w:r>
      <w:r w:rsidRPr="001E60C7">
        <w:rPr>
          <w:rFonts w:eastAsia="Calibri"/>
          <w:spacing w:val="-3"/>
          <w:sz w:val="16"/>
          <w:szCs w:val="16"/>
        </w:rPr>
        <w:t xml:space="preserve"> </w:t>
      </w:r>
      <w:r w:rsidRPr="001E60C7">
        <w:rPr>
          <w:rFonts w:eastAsia="Calibri"/>
          <w:sz w:val="16"/>
          <w:szCs w:val="16"/>
        </w:rPr>
        <w:t>ca</w:t>
      </w:r>
      <w:r w:rsidRPr="001E60C7">
        <w:rPr>
          <w:rFonts w:eastAsia="Calibri"/>
          <w:spacing w:val="-1"/>
          <w:sz w:val="16"/>
          <w:szCs w:val="16"/>
        </w:rPr>
        <w:t>t</w:t>
      </w:r>
      <w:r w:rsidRPr="001E60C7">
        <w:rPr>
          <w:rFonts w:eastAsia="Calibri"/>
          <w:spacing w:val="1"/>
          <w:sz w:val="16"/>
          <w:szCs w:val="16"/>
        </w:rPr>
        <w:t>e</w:t>
      </w:r>
      <w:r w:rsidRPr="001E60C7">
        <w:rPr>
          <w:rFonts w:eastAsia="Calibri"/>
          <w:sz w:val="16"/>
          <w:szCs w:val="16"/>
        </w:rPr>
        <w:t>gory</w:t>
      </w:r>
      <w:r w:rsidRPr="001E60C7">
        <w:rPr>
          <w:rFonts w:eastAsia="Calibri"/>
          <w:spacing w:val="-3"/>
          <w:sz w:val="16"/>
          <w:szCs w:val="16"/>
        </w:rPr>
        <w:t xml:space="preserve"> </w:t>
      </w:r>
      <w:r w:rsidRPr="001E60C7">
        <w:rPr>
          <w:rFonts w:eastAsia="Calibri"/>
          <w:sz w:val="16"/>
          <w:szCs w:val="16"/>
        </w:rPr>
        <w:t>cov</w:t>
      </w:r>
      <w:r w:rsidRPr="001E60C7">
        <w:rPr>
          <w:rFonts w:eastAsia="Calibri"/>
          <w:spacing w:val="1"/>
          <w:sz w:val="16"/>
          <w:szCs w:val="16"/>
        </w:rPr>
        <w:t>e</w:t>
      </w:r>
      <w:r w:rsidRPr="001E60C7">
        <w:rPr>
          <w:rFonts w:eastAsia="Calibri"/>
          <w:sz w:val="16"/>
          <w:szCs w:val="16"/>
        </w:rPr>
        <w:t>rs</w:t>
      </w:r>
      <w:r w:rsidRPr="001E60C7">
        <w:rPr>
          <w:rFonts w:eastAsia="Calibri"/>
          <w:spacing w:val="-3"/>
          <w:sz w:val="16"/>
          <w:szCs w:val="16"/>
        </w:rPr>
        <w:t xml:space="preserve"> </w:t>
      </w:r>
      <w:r w:rsidRPr="001E60C7">
        <w:rPr>
          <w:rFonts w:eastAsia="Calibri"/>
          <w:spacing w:val="1"/>
          <w:sz w:val="16"/>
          <w:szCs w:val="16"/>
        </w:rPr>
        <w:t>e</w:t>
      </w:r>
      <w:r w:rsidRPr="001E60C7">
        <w:rPr>
          <w:rFonts w:eastAsia="Calibri"/>
          <w:spacing w:val="3"/>
          <w:sz w:val="16"/>
          <w:szCs w:val="16"/>
        </w:rPr>
        <w:t>n</w:t>
      </w:r>
      <w:r w:rsidRPr="001E60C7">
        <w:rPr>
          <w:rFonts w:eastAsia="Calibri"/>
          <w:sz w:val="16"/>
          <w:szCs w:val="16"/>
        </w:rPr>
        <w:t>r</w:t>
      </w:r>
      <w:r w:rsidRPr="001E60C7">
        <w:rPr>
          <w:rFonts w:eastAsia="Calibri"/>
          <w:spacing w:val="1"/>
          <w:sz w:val="16"/>
          <w:szCs w:val="16"/>
        </w:rPr>
        <w:t>o</w:t>
      </w:r>
      <w:r w:rsidRPr="001E60C7">
        <w:rPr>
          <w:rFonts w:eastAsia="Calibri"/>
          <w:spacing w:val="-1"/>
          <w:sz w:val="16"/>
          <w:szCs w:val="16"/>
        </w:rPr>
        <w:t>l</w:t>
      </w:r>
      <w:r w:rsidRPr="001E60C7">
        <w:rPr>
          <w:rFonts w:eastAsia="Calibri"/>
          <w:sz w:val="16"/>
          <w:szCs w:val="16"/>
        </w:rPr>
        <w:t>m</w:t>
      </w:r>
      <w:r w:rsidRPr="001E60C7">
        <w:rPr>
          <w:rFonts w:eastAsia="Calibri"/>
          <w:spacing w:val="1"/>
          <w:sz w:val="16"/>
          <w:szCs w:val="16"/>
        </w:rPr>
        <w:t>e</w:t>
      </w:r>
      <w:r w:rsidRPr="001E60C7">
        <w:rPr>
          <w:rFonts w:eastAsia="Calibri"/>
          <w:sz w:val="16"/>
          <w:szCs w:val="16"/>
        </w:rPr>
        <w:t>n</w:t>
      </w:r>
      <w:r w:rsidRPr="001E60C7">
        <w:rPr>
          <w:rFonts w:eastAsia="Calibri"/>
          <w:spacing w:val="-1"/>
          <w:sz w:val="16"/>
          <w:szCs w:val="16"/>
        </w:rPr>
        <w:t>t</w:t>
      </w:r>
      <w:r w:rsidRPr="001E60C7">
        <w:rPr>
          <w:rFonts w:eastAsia="Calibri"/>
          <w:sz w:val="16"/>
          <w:szCs w:val="16"/>
        </w:rPr>
        <w:t>s</w:t>
      </w:r>
      <w:r w:rsidRPr="001E60C7">
        <w:rPr>
          <w:rFonts w:eastAsia="Calibri"/>
          <w:spacing w:val="-5"/>
          <w:sz w:val="16"/>
          <w:szCs w:val="16"/>
        </w:rPr>
        <w:t xml:space="preserve"> </w:t>
      </w:r>
      <w:r w:rsidRPr="001E60C7">
        <w:rPr>
          <w:rFonts w:eastAsia="Calibri"/>
          <w:spacing w:val="-1"/>
          <w:sz w:val="16"/>
          <w:szCs w:val="16"/>
        </w:rPr>
        <w:t>i</w:t>
      </w:r>
      <w:r w:rsidRPr="001E60C7">
        <w:rPr>
          <w:rFonts w:eastAsia="Calibri"/>
          <w:sz w:val="16"/>
          <w:szCs w:val="16"/>
        </w:rPr>
        <w:t>n</w:t>
      </w:r>
      <w:r w:rsidRPr="001E60C7">
        <w:rPr>
          <w:rFonts w:eastAsia="Calibri"/>
          <w:spacing w:val="2"/>
          <w:sz w:val="16"/>
          <w:szCs w:val="16"/>
        </w:rPr>
        <w:t>c</w:t>
      </w:r>
      <w:r w:rsidRPr="001E60C7">
        <w:rPr>
          <w:rFonts w:eastAsia="Calibri"/>
          <w:spacing w:val="-1"/>
          <w:sz w:val="16"/>
          <w:szCs w:val="16"/>
        </w:rPr>
        <w:t>l</w:t>
      </w:r>
      <w:r w:rsidRPr="001E60C7">
        <w:rPr>
          <w:rFonts w:eastAsia="Calibri"/>
          <w:sz w:val="16"/>
          <w:szCs w:val="16"/>
        </w:rPr>
        <w:t>ud</w:t>
      </w:r>
      <w:r w:rsidRPr="001E60C7">
        <w:rPr>
          <w:rFonts w:eastAsia="Calibri"/>
          <w:spacing w:val="-1"/>
          <w:sz w:val="16"/>
          <w:szCs w:val="16"/>
        </w:rPr>
        <w:t>i</w:t>
      </w:r>
      <w:r w:rsidRPr="001E60C7">
        <w:rPr>
          <w:rFonts w:eastAsia="Calibri"/>
          <w:sz w:val="16"/>
          <w:szCs w:val="16"/>
        </w:rPr>
        <w:t>ng</w:t>
      </w:r>
      <w:r w:rsidRPr="001E60C7">
        <w:rPr>
          <w:rFonts w:eastAsia="Calibri"/>
          <w:spacing w:val="-3"/>
          <w:sz w:val="16"/>
          <w:szCs w:val="16"/>
        </w:rPr>
        <w:t xml:space="preserve"> </w:t>
      </w:r>
      <w:r w:rsidRPr="001E60C7">
        <w:rPr>
          <w:rFonts w:eastAsia="Calibri"/>
          <w:spacing w:val="1"/>
          <w:sz w:val="16"/>
          <w:szCs w:val="16"/>
        </w:rPr>
        <w:t>e</w:t>
      </w:r>
      <w:r w:rsidRPr="001E60C7">
        <w:rPr>
          <w:rFonts w:eastAsia="Calibri"/>
          <w:spacing w:val="2"/>
          <w:sz w:val="16"/>
          <w:szCs w:val="16"/>
        </w:rPr>
        <w:t>x</w:t>
      </w:r>
      <w:r w:rsidRPr="001E60C7">
        <w:rPr>
          <w:rFonts w:eastAsia="Calibri"/>
          <w:sz w:val="16"/>
          <w:szCs w:val="16"/>
        </w:rPr>
        <w:t>chang</w:t>
      </w:r>
      <w:r w:rsidRPr="001E60C7">
        <w:rPr>
          <w:rFonts w:eastAsia="Calibri"/>
          <w:spacing w:val="1"/>
          <w:sz w:val="16"/>
          <w:szCs w:val="16"/>
        </w:rPr>
        <w:t>e</w:t>
      </w:r>
      <w:r w:rsidRPr="001E60C7">
        <w:rPr>
          <w:rFonts w:eastAsia="Calibri"/>
          <w:sz w:val="16"/>
          <w:szCs w:val="16"/>
        </w:rPr>
        <w:t>s</w:t>
      </w:r>
      <w:r w:rsidRPr="001E60C7">
        <w:rPr>
          <w:rFonts w:eastAsia="Calibri"/>
          <w:spacing w:val="-5"/>
          <w:sz w:val="16"/>
          <w:szCs w:val="16"/>
        </w:rPr>
        <w:t xml:space="preserve"> </w:t>
      </w:r>
      <w:r w:rsidRPr="001E60C7">
        <w:rPr>
          <w:rFonts w:eastAsia="Calibri"/>
          <w:sz w:val="16"/>
          <w:szCs w:val="16"/>
        </w:rPr>
        <w:t>a</w:t>
      </w:r>
      <w:r w:rsidRPr="001E60C7">
        <w:rPr>
          <w:rFonts w:eastAsia="Calibri"/>
          <w:spacing w:val="1"/>
          <w:sz w:val="16"/>
          <w:szCs w:val="16"/>
        </w:rPr>
        <w:t>n</w:t>
      </w:r>
      <w:r w:rsidRPr="001E60C7">
        <w:rPr>
          <w:rFonts w:eastAsia="Calibri"/>
          <w:sz w:val="16"/>
          <w:szCs w:val="16"/>
        </w:rPr>
        <w:t>d</w:t>
      </w:r>
      <w:r w:rsidRPr="001E60C7">
        <w:rPr>
          <w:rFonts w:eastAsia="Calibri"/>
          <w:spacing w:val="-2"/>
          <w:sz w:val="16"/>
          <w:szCs w:val="16"/>
        </w:rPr>
        <w:t xml:space="preserve"> </w:t>
      </w:r>
      <w:r w:rsidRPr="001E60C7">
        <w:rPr>
          <w:rFonts w:eastAsia="Calibri"/>
          <w:spacing w:val="1"/>
          <w:sz w:val="16"/>
          <w:szCs w:val="16"/>
        </w:rPr>
        <w:t>s</w:t>
      </w:r>
      <w:r w:rsidRPr="001E60C7">
        <w:rPr>
          <w:rFonts w:eastAsia="Calibri"/>
          <w:sz w:val="16"/>
          <w:szCs w:val="16"/>
        </w:rPr>
        <w:t>hor</w:t>
      </w:r>
      <w:r w:rsidRPr="001E60C7">
        <w:rPr>
          <w:rFonts w:eastAsia="Calibri"/>
          <w:spacing w:val="1"/>
          <w:sz w:val="16"/>
          <w:szCs w:val="16"/>
        </w:rPr>
        <w:t>t-</w:t>
      </w:r>
      <w:r w:rsidRPr="001E60C7">
        <w:rPr>
          <w:rFonts w:eastAsia="Calibri"/>
          <w:spacing w:val="-1"/>
          <w:sz w:val="16"/>
          <w:szCs w:val="16"/>
        </w:rPr>
        <w:t>t</w:t>
      </w:r>
      <w:r w:rsidRPr="001E60C7">
        <w:rPr>
          <w:rFonts w:eastAsia="Calibri"/>
          <w:spacing w:val="1"/>
          <w:sz w:val="16"/>
          <w:szCs w:val="16"/>
        </w:rPr>
        <w:t>e</w:t>
      </w:r>
      <w:r w:rsidRPr="001E60C7">
        <w:rPr>
          <w:rFonts w:eastAsia="Calibri"/>
          <w:spacing w:val="3"/>
          <w:sz w:val="16"/>
          <w:szCs w:val="16"/>
        </w:rPr>
        <w:t>r</w:t>
      </w:r>
      <w:r w:rsidRPr="001E60C7">
        <w:rPr>
          <w:rFonts w:eastAsia="Calibri"/>
          <w:sz w:val="16"/>
          <w:szCs w:val="16"/>
        </w:rPr>
        <w:t>m</w:t>
      </w:r>
      <w:r w:rsidRPr="001E60C7">
        <w:rPr>
          <w:rFonts w:eastAsia="Calibri"/>
          <w:spacing w:val="-6"/>
          <w:sz w:val="16"/>
          <w:szCs w:val="16"/>
        </w:rPr>
        <w:t xml:space="preserve"> </w:t>
      </w:r>
      <w:r w:rsidRPr="001E60C7">
        <w:rPr>
          <w:rFonts w:eastAsia="Calibri"/>
          <w:spacing w:val="1"/>
          <w:sz w:val="16"/>
          <w:szCs w:val="16"/>
        </w:rPr>
        <w:t>s</w:t>
      </w:r>
      <w:r w:rsidRPr="001E60C7">
        <w:rPr>
          <w:rFonts w:eastAsia="Calibri"/>
          <w:spacing w:val="-1"/>
          <w:sz w:val="16"/>
          <w:szCs w:val="16"/>
        </w:rPr>
        <w:t>t</w:t>
      </w:r>
      <w:r w:rsidRPr="001E60C7">
        <w:rPr>
          <w:rFonts w:eastAsia="Calibri"/>
          <w:sz w:val="16"/>
          <w:szCs w:val="16"/>
        </w:rPr>
        <w:t>udy</w:t>
      </w:r>
      <w:r w:rsidRPr="001E60C7">
        <w:rPr>
          <w:rFonts w:eastAsia="Calibri"/>
          <w:spacing w:val="-3"/>
          <w:sz w:val="16"/>
          <w:szCs w:val="16"/>
        </w:rPr>
        <w:t xml:space="preserve"> </w:t>
      </w:r>
      <w:r w:rsidRPr="001E60C7">
        <w:rPr>
          <w:rFonts w:eastAsia="Calibri"/>
          <w:sz w:val="16"/>
          <w:szCs w:val="16"/>
        </w:rPr>
        <w:t>progr</w:t>
      </w:r>
      <w:r w:rsidRPr="001E60C7">
        <w:rPr>
          <w:rFonts w:eastAsia="Calibri"/>
          <w:spacing w:val="1"/>
          <w:sz w:val="16"/>
          <w:szCs w:val="16"/>
        </w:rPr>
        <w:t>a</w:t>
      </w:r>
      <w:r w:rsidRPr="001E60C7">
        <w:rPr>
          <w:rFonts w:eastAsia="Calibri"/>
          <w:sz w:val="16"/>
          <w:szCs w:val="16"/>
        </w:rPr>
        <w:t>ms that do not lead to an a</w:t>
      </w:r>
      <w:r w:rsidRPr="001E60C7">
        <w:rPr>
          <w:rFonts w:eastAsia="Calibri"/>
          <w:spacing w:val="-1"/>
          <w:sz w:val="16"/>
          <w:szCs w:val="16"/>
        </w:rPr>
        <w:t>w</w:t>
      </w:r>
      <w:r w:rsidRPr="001E60C7">
        <w:rPr>
          <w:rFonts w:eastAsia="Calibri"/>
          <w:sz w:val="16"/>
          <w:szCs w:val="16"/>
        </w:rPr>
        <w:t>ard.</w:t>
      </w:r>
    </w:p>
    <w:p w14:paraId="606F5021" w14:textId="77777777" w:rsidR="00755589" w:rsidRPr="001E60C7" w:rsidRDefault="00755589" w:rsidP="00755589"/>
    <w:p w14:paraId="47A6BD63" w14:textId="6217037A" w:rsidR="00B53F0D" w:rsidRPr="001E60C7" w:rsidRDefault="00B53F0D" w:rsidP="00B95323">
      <w:pPr>
        <w:spacing w:after="160" w:line="259" w:lineRule="auto"/>
      </w:pPr>
      <w:r w:rsidRPr="001E60C7">
        <w:rPr>
          <w:rFonts w:cstheme="minorHAnsi"/>
        </w:rPr>
        <w:t xml:space="preserve">In the higher education sector, </w:t>
      </w:r>
      <w:r w:rsidRPr="001E60C7">
        <w:t>Chinese enrolments</w:t>
      </w:r>
      <w:r w:rsidRPr="001E60C7">
        <w:rPr>
          <w:rFonts w:cstheme="minorHAnsi"/>
        </w:rPr>
        <w:t xml:space="preserve"> made up about </w:t>
      </w:r>
      <w:r w:rsidR="00C155B7" w:rsidRPr="001E60C7">
        <w:rPr>
          <w:rFonts w:cstheme="minorHAnsi"/>
        </w:rPr>
        <w:t>63</w:t>
      </w:r>
      <w:r w:rsidRPr="001E60C7">
        <w:rPr>
          <w:rFonts w:cstheme="minorHAnsi"/>
        </w:rPr>
        <w:t xml:space="preserve"> per cent of all international student enrolments in </w:t>
      </w:r>
      <w:r w:rsidR="00345B6B" w:rsidRPr="001E60C7">
        <w:rPr>
          <w:rFonts w:cstheme="minorHAnsi"/>
        </w:rPr>
        <w:t xml:space="preserve">Australia’s prestigious research-intensive </w:t>
      </w:r>
      <w:r w:rsidR="000711E4" w:rsidRPr="001E60C7">
        <w:t xml:space="preserve">Go8 </w:t>
      </w:r>
      <w:r w:rsidRPr="001E60C7">
        <w:t>universities</w:t>
      </w:r>
      <w:r w:rsidR="00A64B41" w:rsidRPr="001E60C7">
        <w:t xml:space="preserve"> in 2018</w:t>
      </w:r>
      <w:r w:rsidRPr="001E60C7">
        <w:t>.</w:t>
      </w:r>
      <w:r w:rsidRPr="001E60C7">
        <w:rPr>
          <w:rStyle w:val="FootnoteReference"/>
        </w:rPr>
        <w:footnoteReference w:id="66"/>
      </w:r>
      <w:r w:rsidRPr="001E60C7">
        <w:t xml:space="preserve"> Chinese enrolments were particularly concentrated in four of these universities (University of Sydney, University of Melbourne, UNS</w:t>
      </w:r>
      <w:r w:rsidR="00AB1372" w:rsidRPr="001E60C7">
        <w:t>W and Monash University). Collectively, these four account</w:t>
      </w:r>
      <w:r w:rsidR="00331A33" w:rsidRPr="001E60C7">
        <w:t>ed</w:t>
      </w:r>
      <w:r w:rsidRPr="001E60C7">
        <w:t xml:space="preserve"> for about 43 per cent of all Chinese enrolments in the higher education sector.</w:t>
      </w:r>
      <w:r w:rsidR="00B95323" w:rsidRPr="001E60C7">
        <w:t xml:space="preserve"> Other leading </w:t>
      </w:r>
      <w:r w:rsidR="000711E4" w:rsidRPr="001E60C7">
        <w:t xml:space="preserve">Go8 </w:t>
      </w:r>
      <w:r w:rsidR="00EE28CA" w:rsidRPr="001E60C7">
        <w:t xml:space="preserve">universities, including the ANU and </w:t>
      </w:r>
      <w:r w:rsidR="00B95323" w:rsidRPr="001E60C7">
        <w:t>University of Queensland</w:t>
      </w:r>
      <w:r w:rsidR="00345B6B" w:rsidRPr="001E60C7">
        <w:t>,</w:t>
      </w:r>
      <w:r w:rsidR="00B95323" w:rsidRPr="001E60C7">
        <w:t xml:space="preserve"> also have a high concentration of international students, </w:t>
      </w:r>
      <w:r w:rsidR="0052324A" w:rsidRPr="001E60C7">
        <w:t xml:space="preserve">predominantly </w:t>
      </w:r>
      <w:r w:rsidR="00BA0331" w:rsidRPr="001E60C7">
        <w:t>Chinese</w:t>
      </w:r>
      <w:r w:rsidR="0052324A" w:rsidRPr="001E60C7">
        <w:t xml:space="preserve"> students</w:t>
      </w:r>
      <w:r w:rsidR="002300D4" w:rsidRPr="001E60C7">
        <w:t>.</w:t>
      </w:r>
    </w:p>
    <w:p w14:paraId="62BC591A" w14:textId="78E9618B" w:rsidR="00E07642" w:rsidRPr="001E60C7" w:rsidRDefault="00E07642" w:rsidP="00B95323">
      <w:pPr>
        <w:spacing w:after="160" w:line="259" w:lineRule="auto"/>
      </w:pPr>
      <w:r w:rsidRPr="001E60C7">
        <w:t xml:space="preserve">In terms of diversifying the narrow </w:t>
      </w:r>
      <w:r w:rsidR="00AB1372" w:rsidRPr="001E60C7">
        <w:t xml:space="preserve">country </w:t>
      </w:r>
      <w:r w:rsidRPr="001E60C7">
        <w:t>concentration away from China to other s</w:t>
      </w:r>
      <w:r w:rsidR="006826C7" w:rsidRPr="001E60C7">
        <w:t>ource countries, a report by</w:t>
      </w:r>
      <w:r w:rsidRPr="001E60C7">
        <w:t xml:space="preserve"> former Deputy Vice-Chancellor of the University of Melbourne, Frank Larkins, argues eight of the top twenty international student source </w:t>
      </w:r>
      <w:r w:rsidR="00BE4774" w:rsidRPr="001E60C7">
        <w:t xml:space="preserve">markets </w:t>
      </w:r>
      <w:r w:rsidRPr="001E60C7">
        <w:t>in 2017 had a lower proportion of enrolments in 2017 compared with 2002.</w:t>
      </w:r>
      <w:r w:rsidR="000406D8" w:rsidRPr="001E60C7">
        <w:rPr>
          <w:rStyle w:val="FootnoteReference"/>
        </w:rPr>
        <w:footnoteReference w:id="67"/>
      </w:r>
      <w:r w:rsidR="00BE4774" w:rsidRPr="001E60C7">
        <w:t xml:space="preserve"> This follows automatically from the rise in China’s proportion of enrolments. Significantly, four of these sources</w:t>
      </w:r>
      <w:r w:rsidRPr="001E60C7">
        <w:t xml:space="preserve"> </w:t>
      </w:r>
      <w:r w:rsidR="00C138B8">
        <w:t>—</w:t>
      </w:r>
      <w:r w:rsidRPr="001E60C7">
        <w:t xml:space="preserve"> Indonesia, </w:t>
      </w:r>
      <w:r w:rsidR="00C138B8">
        <w:t>Hong Kong, Japan and Singapore —</w:t>
      </w:r>
      <w:r w:rsidRPr="001E60C7">
        <w:t xml:space="preserve"> actually had fewer students enrolled in Australian educational institutions in 2017 compared with </w:t>
      </w:r>
      <w:r w:rsidRPr="001E60C7">
        <w:lastRenderedPageBreak/>
        <w:t xml:space="preserve">2002. The narrowing of the </w:t>
      </w:r>
      <w:r w:rsidR="00AB1372" w:rsidRPr="001E60C7">
        <w:t xml:space="preserve">source country </w:t>
      </w:r>
      <w:r w:rsidRPr="001E60C7">
        <w:t xml:space="preserve">profile of international students in Australia, according to Larkins, represents a strategic risk. </w:t>
      </w:r>
    </w:p>
    <w:p w14:paraId="04D062C1" w14:textId="281083DE" w:rsidR="00DE7B11" w:rsidRPr="001E60C7" w:rsidRDefault="00DF0E0B" w:rsidP="007218C4">
      <w:pPr>
        <w:spacing w:after="160" w:line="259" w:lineRule="auto"/>
      </w:pPr>
      <w:r w:rsidRPr="001E60C7">
        <w:t>The universities most dependent on revenue from Chinese overseas students are most at risk of a plateauing or flattening of enrolments.</w:t>
      </w:r>
      <w:r w:rsidRPr="001E60C7">
        <w:rPr>
          <w:rStyle w:val="FootnoteReference"/>
        </w:rPr>
        <w:footnoteReference w:id="68"/>
      </w:r>
      <w:r w:rsidRPr="001E60C7">
        <w:t xml:space="preserve"> </w:t>
      </w:r>
      <w:r w:rsidR="0077438D" w:rsidRPr="001E60C7">
        <w:t xml:space="preserve">A </w:t>
      </w:r>
      <w:r w:rsidR="003448A7" w:rsidRPr="001E60C7">
        <w:t xml:space="preserve">2019 </w:t>
      </w:r>
      <w:r w:rsidRPr="001E60C7">
        <w:t>report by the NSW Audit Office</w:t>
      </w:r>
      <w:r w:rsidR="0077438D" w:rsidRPr="001E60C7">
        <w:t xml:space="preserve"> suggests</w:t>
      </w:r>
      <w:r w:rsidRPr="001E60C7">
        <w:t xml:space="preserve"> </w:t>
      </w:r>
      <w:r w:rsidR="003448A7" w:rsidRPr="001E60C7">
        <w:t xml:space="preserve">a concentration risk remains for </w:t>
      </w:r>
      <w:r w:rsidRPr="001E60C7">
        <w:t xml:space="preserve">universities that rely on </w:t>
      </w:r>
      <w:r w:rsidR="003448A7" w:rsidRPr="001E60C7">
        <w:t xml:space="preserve">just the one source market, </w:t>
      </w:r>
      <w:r w:rsidR="0077438D" w:rsidRPr="001E60C7">
        <w:t xml:space="preserve">especially when demand shifts, which </w:t>
      </w:r>
      <w:r w:rsidR="003448A7" w:rsidRPr="001E60C7">
        <w:t>can</w:t>
      </w:r>
      <w:r w:rsidRPr="001E60C7">
        <w:t xml:space="preserve"> occur </w:t>
      </w:r>
      <w:r w:rsidR="003448A7" w:rsidRPr="001E60C7">
        <w:t xml:space="preserve">unexpectedly </w:t>
      </w:r>
      <w:r w:rsidRPr="001E60C7">
        <w:t>for any number of reasons, including changes in policy, economic conditions or visa requirements.</w:t>
      </w:r>
      <w:r w:rsidR="003448A7" w:rsidRPr="001E60C7">
        <w:rPr>
          <w:rStyle w:val="FootnoteReference"/>
        </w:rPr>
        <w:footnoteReference w:id="69"/>
      </w:r>
      <w:r w:rsidRPr="001E60C7">
        <w:t xml:space="preserve"> </w:t>
      </w:r>
      <w:r w:rsidR="003448A7" w:rsidRPr="001E60C7">
        <w:rPr>
          <w:rFonts w:asciiTheme="minorHAnsi" w:hAnsiTheme="minorHAnsi" w:cstheme="minorHAnsi"/>
          <w:spacing w:val="-2"/>
        </w:rPr>
        <w:t>Moreover, a</w:t>
      </w:r>
      <w:r w:rsidRPr="001E60C7">
        <w:rPr>
          <w:rFonts w:asciiTheme="minorHAnsi" w:hAnsiTheme="minorHAnsi" w:cstheme="minorHAnsi"/>
          <w:spacing w:val="-2"/>
        </w:rPr>
        <w:t xml:space="preserve"> </w:t>
      </w:r>
      <w:r w:rsidR="000F5038" w:rsidRPr="001E60C7">
        <w:rPr>
          <w:rFonts w:asciiTheme="minorHAnsi" w:hAnsiTheme="minorHAnsi" w:cstheme="minorHAnsi"/>
          <w:spacing w:val="-2"/>
        </w:rPr>
        <w:t xml:space="preserve">2018 </w:t>
      </w:r>
      <w:r w:rsidR="000F5038" w:rsidRPr="001E60C7">
        <w:t>report</w:t>
      </w:r>
      <w:r w:rsidR="00B53F0D" w:rsidRPr="001E60C7">
        <w:t xml:space="preserve"> </w:t>
      </w:r>
      <w:r w:rsidR="00345B6B" w:rsidRPr="001E60C7">
        <w:t xml:space="preserve">suggests </w:t>
      </w:r>
      <w:r w:rsidR="00B53F0D" w:rsidRPr="001E60C7">
        <w:t xml:space="preserve">the concentration </w:t>
      </w:r>
      <w:r w:rsidR="00956E07" w:rsidRPr="001E60C7">
        <w:t xml:space="preserve">of Chinese enrolments </w:t>
      </w:r>
      <w:r w:rsidR="00B53F0D" w:rsidRPr="001E60C7">
        <w:t xml:space="preserve">in </w:t>
      </w:r>
      <w:r w:rsidR="00BA0331" w:rsidRPr="001E60C7">
        <w:t xml:space="preserve">the </w:t>
      </w:r>
      <w:r w:rsidR="000711E4" w:rsidRPr="001E60C7">
        <w:t xml:space="preserve">Go8 </w:t>
      </w:r>
      <w:r w:rsidR="00BA0331" w:rsidRPr="001E60C7">
        <w:t>universities</w:t>
      </w:r>
      <w:r w:rsidR="000711E4" w:rsidRPr="001E60C7">
        <w:t>, particularly</w:t>
      </w:r>
      <w:r w:rsidR="00E07642" w:rsidRPr="001E60C7">
        <w:t xml:space="preserve"> </w:t>
      </w:r>
      <w:r w:rsidR="00BA0331" w:rsidRPr="001E60C7">
        <w:t xml:space="preserve">in </w:t>
      </w:r>
      <w:r w:rsidR="0077438D" w:rsidRPr="001E60C7">
        <w:t>Sydney and Melbourne</w:t>
      </w:r>
      <w:r w:rsidR="000711E4" w:rsidRPr="001E60C7">
        <w:t>,</w:t>
      </w:r>
      <w:r w:rsidR="00C0221E" w:rsidRPr="001E60C7">
        <w:t xml:space="preserve"> </w:t>
      </w:r>
      <w:r w:rsidR="00B53F0D" w:rsidRPr="001E60C7">
        <w:t>represents an uneven distribution of the broader economic benefits</w:t>
      </w:r>
      <w:r w:rsidR="00B95323" w:rsidRPr="001E60C7">
        <w:t xml:space="preserve"> of Chinese international students</w:t>
      </w:r>
      <w:r w:rsidR="00B53F0D" w:rsidRPr="001E60C7">
        <w:t>.</w:t>
      </w:r>
      <w:r w:rsidR="00B53F0D" w:rsidRPr="001E60C7">
        <w:rPr>
          <w:rStyle w:val="FootnoteReference"/>
        </w:rPr>
        <w:footnoteReference w:id="70"/>
      </w:r>
    </w:p>
    <w:p w14:paraId="6A12042D" w14:textId="576D2A8F" w:rsidR="00065938" w:rsidRPr="001E60C7" w:rsidRDefault="0090205A" w:rsidP="00F5355B">
      <w:pPr>
        <w:spacing w:after="160" w:line="259" w:lineRule="auto"/>
      </w:pPr>
      <w:r w:rsidRPr="001E60C7">
        <w:t>While weakening demand from China is a concern for some of our sectoral s</w:t>
      </w:r>
      <w:r w:rsidR="00065938" w:rsidRPr="001E60C7">
        <w:t>urvey respondents</w:t>
      </w:r>
      <w:r w:rsidRPr="001E60C7">
        <w:t xml:space="preserve">, </w:t>
      </w:r>
      <w:r w:rsidR="00065938" w:rsidRPr="001E60C7">
        <w:t xml:space="preserve">the </w:t>
      </w:r>
      <w:r w:rsidR="00004CF3" w:rsidRPr="001E60C7">
        <w:t>growth i</w:t>
      </w:r>
      <w:r w:rsidR="00065938" w:rsidRPr="001E60C7">
        <w:t>n</w:t>
      </w:r>
      <w:r w:rsidR="00004CF3" w:rsidRPr="001E60C7">
        <w:t xml:space="preserve"> Chinese international student numbers</w:t>
      </w:r>
      <w:r w:rsidR="00065938" w:rsidRPr="001E60C7">
        <w:t xml:space="preserve"> </w:t>
      </w:r>
      <w:r w:rsidR="00004CF3" w:rsidRPr="001E60C7">
        <w:t xml:space="preserve">over recent years </w:t>
      </w:r>
      <w:r w:rsidR="00933854" w:rsidRPr="001E60C7">
        <w:t xml:space="preserve">may have </w:t>
      </w:r>
      <w:r w:rsidR="0005675E" w:rsidRPr="001E60C7">
        <w:t xml:space="preserve">led some institutions to develop </w:t>
      </w:r>
      <w:r w:rsidRPr="001E60C7">
        <w:t>country diversification strategies</w:t>
      </w:r>
      <w:r w:rsidR="00933854" w:rsidRPr="001E60C7">
        <w:t xml:space="preserve">. </w:t>
      </w:r>
      <w:r w:rsidR="00FA154B" w:rsidRPr="001E60C7">
        <w:t xml:space="preserve">Diversification strategies aim to address the strategic risk of a narrow market source, while also investigating mechanisms to reduce </w:t>
      </w:r>
      <w:r w:rsidR="00CE03C5" w:rsidRPr="001E60C7">
        <w:t>the risk of demand shifting unexpectedly</w:t>
      </w:r>
      <w:r w:rsidR="00FA154B" w:rsidRPr="001E60C7">
        <w:t xml:space="preserve">. </w:t>
      </w:r>
      <w:r w:rsidR="006F299C" w:rsidRPr="001E60C7">
        <w:t>As a</w:t>
      </w:r>
      <w:r w:rsidR="00FA154B" w:rsidRPr="001E60C7">
        <w:t xml:space="preserve"> flip</w:t>
      </w:r>
      <w:r w:rsidR="006F299C" w:rsidRPr="001E60C7">
        <w:t>side to this,</w:t>
      </w:r>
      <w:r w:rsidR="00FA154B" w:rsidRPr="001E60C7">
        <w:t xml:space="preserve"> these strategies also have </w:t>
      </w:r>
      <w:r w:rsidR="00933854" w:rsidRPr="001E60C7">
        <w:t>the potential to channel</w:t>
      </w:r>
      <w:r w:rsidR="00004CF3" w:rsidRPr="001E60C7">
        <w:t xml:space="preserve"> </w:t>
      </w:r>
      <w:r w:rsidR="00933854" w:rsidRPr="001E60C7">
        <w:t xml:space="preserve">university student recruitment marketing activities </w:t>
      </w:r>
      <w:r w:rsidR="00004CF3" w:rsidRPr="001E60C7">
        <w:t>away from China</w:t>
      </w:r>
      <w:r w:rsidRPr="001E60C7">
        <w:t xml:space="preserve">. According to one survey respondent, </w:t>
      </w:r>
      <w:r w:rsidR="00FA154B" w:rsidRPr="001E60C7">
        <w:t>the emergence of country diversification strategies ‘</w:t>
      </w:r>
      <w:r w:rsidRPr="001E60C7">
        <w:t>has risks given that China will remain the strongest market for years to come.’</w:t>
      </w:r>
      <w:r w:rsidR="0052324A" w:rsidRPr="001E60C7">
        <w:t xml:space="preserve"> This is significant, especially when Australia’s competitor countries are ramping up their focus on China.</w:t>
      </w:r>
    </w:p>
    <w:p w14:paraId="50372882" w14:textId="77777777" w:rsidR="00B53F0D" w:rsidRPr="001E60C7" w:rsidRDefault="00B53F0D" w:rsidP="00632859">
      <w:pPr>
        <w:spacing w:before="240" w:after="160"/>
        <w:rPr>
          <w:rFonts w:cstheme="minorHAnsi"/>
          <w:b/>
          <w:color w:val="0070C0"/>
          <w:sz w:val="32"/>
          <w:szCs w:val="32"/>
        </w:rPr>
      </w:pPr>
      <w:r w:rsidRPr="001E60C7">
        <w:rPr>
          <w:rFonts w:cstheme="minorHAnsi"/>
          <w:b/>
          <w:color w:val="0070C0"/>
          <w:sz w:val="32"/>
          <w:szCs w:val="32"/>
        </w:rPr>
        <w:t>2.2 What is driving this market concentration?</w:t>
      </w:r>
    </w:p>
    <w:p w14:paraId="6F19EE39" w14:textId="36EA017B" w:rsidR="00B53F0D" w:rsidRPr="001E60C7" w:rsidRDefault="00B53F0D" w:rsidP="00B53F0D">
      <w:pPr>
        <w:spacing w:after="160" w:line="259" w:lineRule="auto"/>
      </w:pPr>
      <w:r w:rsidRPr="001E60C7">
        <w:t xml:space="preserve">A key part of addressing the concentration question lies in understanding the reasons Chinese </w:t>
      </w:r>
      <w:r w:rsidRPr="001E60C7">
        <w:rPr>
          <w:rFonts w:asciiTheme="minorHAnsi" w:hAnsiTheme="minorHAnsi" w:cstheme="minorHAnsi"/>
          <w:spacing w:val="-2"/>
        </w:rPr>
        <w:t>students</w:t>
      </w:r>
      <w:r w:rsidRPr="001E60C7">
        <w:t xml:space="preserve"> favour </w:t>
      </w:r>
      <w:r w:rsidR="00EB48E9" w:rsidRPr="001E60C7">
        <w:t xml:space="preserve">certain </w:t>
      </w:r>
      <w:r w:rsidRPr="001E60C7">
        <w:t xml:space="preserve">universities, with a particular focus on the Sydney and Melbourne-based </w:t>
      </w:r>
      <w:r w:rsidR="00BA0331" w:rsidRPr="001E60C7">
        <w:t xml:space="preserve">research-intensive </w:t>
      </w:r>
      <w:r w:rsidRPr="001E60C7">
        <w:t>universities.</w:t>
      </w:r>
    </w:p>
    <w:p w14:paraId="50D4E93B" w14:textId="7C9FD463" w:rsidR="00B53F0D" w:rsidRPr="001E60C7" w:rsidRDefault="00572226" w:rsidP="00B53F0D">
      <w:pPr>
        <w:spacing w:after="160" w:line="259" w:lineRule="auto"/>
      </w:pPr>
      <w:r w:rsidRPr="001E60C7">
        <w:t xml:space="preserve">Anecdotally, </w:t>
      </w:r>
      <w:r w:rsidR="00B53F0D" w:rsidRPr="001E60C7">
        <w:t xml:space="preserve">Chinese households tend to select an overseas education provider based on the global ranking of the prospective university. The most widely used international university rating tables include the Times Higher Education World University Rankings and the QS World University Rankings. </w:t>
      </w:r>
      <w:r w:rsidR="00B53F0D" w:rsidRPr="001E60C7">
        <w:lastRenderedPageBreak/>
        <w:t xml:space="preserve">The </w:t>
      </w:r>
      <w:r w:rsidR="000711E4" w:rsidRPr="001E60C7">
        <w:t xml:space="preserve">Go8 </w:t>
      </w:r>
      <w:r w:rsidR="00B53F0D" w:rsidRPr="001E60C7">
        <w:t xml:space="preserve">universities feature highly in these rankings. According to the 2019 Times Higher Education World University Rankings, six </w:t>
      </w:r>
      <w:r w:rsidR="000711E4" w:rsidRPr="001E60C7">
        <w:t xml:space="preserve">Go8 </w:t>
      </w:r>
      <w:r w:rsidR="00B53F0D" w:rsidRPr="001E60C7">
        <w:t>universities are listed in the top 100, with all eight in the top 200.</w:t>
      </w:r>
      <w:r w:rsidR="00D93721" w:rsidRPr="001E60C7">
        <w:rPr>
          <w:rStyle w:val="FootnoteReference"/>
        </w:rPr>
        <w:footnoteReference w:id="71"/>
      </w:r>
      <w:r w:rsidR="00B53F0D" w:rsidRPr="001E60C7">
        <w:t xml:space="preserve"> There are similar results in the 2019 QS rankings, with seven of the </w:t>
      </w:r>
      <w:r w:rsidR="000711E4" w:rsidRPr="001E60C7">
        <w:t xml:space="preserve">Go8 </w:t>
      </w:r>
      <w:r w:rsidR="00B53F0D" w:rsidRPr="001E60C7">
        <w:t>in the top 100.</w:t>
      </w:r>
      <w:r w:rsidR="00D93721" w:rsidRPr="001E60C7">
        <w:rPr>
          <w:rStyle w:val="FootnoteReference"/>
        </w:rPr>
        <w:footnoteReference w:id="72"/>
      </w:r>
    </w:p>
    <w:p w14:paraId="13046543" w14:textId="4DE907F7" w:rsidR="00B53F0D" w:rsidRPr="001E60C7" w:rsidRDefault="00572226" w:rsidP="008F41CA">
      <w:pPr>
        <w:spacing w:after="160" w:line="259" w:lineRule="auto"/>
      </w:pPr>
      <w:r w:rsidRPr="001E60C7">
        <w:t xml:space="preserve">The major capitals where the </w:t>
      </w:r>
      <w:r w:rsidR="00BA0331" w:rsidRPr="001E60C7">
        <w:t xml:space="preserve">research-intensive universities </w:t>
      </w:r>
      <w:r w:rsidRPr="001E60C7">
        <w:t xml:space="preserve">are located </w:t>
      </w:r>
      <w:r w:rsidR="00B53F0D" w:rsidRPr="001E60C7">
        <w:t>also have the supporting infrastructure required for large numbers of international students, including adequate accommodation, health and transport services, work integrated learning opportunities, and proximity to major international airports.</w:t>
      </w:r>
      <w:r w:rsidR="008F41CA" w:rsidRPr="001E60C7">
        <w:t xml:space="preserve"> </w:t>
      </w:r>
      <w:r w:rsidR="00D91F1C" w:rsidRPr="001E60C7">
        <w:t xml:space="preserve">Given the </w:t>
      </w:r>
      <w:r w:rsidR="008F41CA" w:rsidRPr="001E60C7">
        <w:t>importance that Chinese students place on socialising with net</w:t>
      </w:r>
      <w:r w:rsidR="00D91F1C" w:rsidRPr="001E60C7">
        <w:t xml:space="preserve">works of other Chinese, the large number of Chinese students is a valuable </w:t>
      </w:r>
      <w:r w:rsidR="00F608FE" w:rsidRPr="001E60C7">
        <w:t xml:space="preserve">drawcard </w:t>
      </w:r>
      <w:r w:rsidR="00D91F1C" w:rsidRPr="001E60C7">
        <w:t>in its own right.</w:t>
      </w:r>
    </w:p>
    <w:p w14:paraId="5B2AB1F7" w14:textId="5DB63CEC" w:rsidR="00EB1100" w:rsidRPr="001E60C7" w:rsidRDefault="00B53F0D" w:rsidP="00B53F0D">
      <w:pPr>
        <w:spacing w:after="160" w:line="259" w:lineRule="auto"/>
      </w:pPr>
      <w:r w:rsidRPr="001E60C7">
        <w:t xml:space="preserve">While Sydney and Melbourne are increasingly popular with Chinese students, </w:t>
      </w:r>
      <w:r w:rsidR="00CD6F6E" w:rsidRPr="001E60C7">
        <w:t xml:space="preserve">in 2018, </w:t>
      </w:r>
      <w:r w:rsidR="007477E4" w:rsidRPr="001E60C7">
        <w:t>just 3 </w:t>
      </w:r>
      <w:r w:rsidRPr="001E60C7">
        <w:t>per</w:t>
      </w:r>
      <w:r w:rsidR="007477E4" w:rsidRPr="001E60C7">
        <w:t> </w:t>
      </w:r>
      <w:r w:rsidRPr="001E60C7">
        <w:t>cent of all Chinese students were st</w:t>
      </w:r>
      <w:r w:rsidR="006030F5" w:rsidRPr="001E60C7">
        <w:t>udying in regional areas</w:t>
      </w:r>
      <w:r w:rsidRPr="001E60C7">
        <w:t>.</w:t>
      </w:r>
      <w:r w:rsidR="003D6DAE" w:rsidRPr="001E60C7">
        <w:rPr>
          <w:rStyle w:val="FootnoteReference"/>
        </w:rPr>
        <w:footnoteReference w:id="73"/>
      </w:r>
      <w:r w:rsidR="003D6DAE" w:rsidRPr="001E60C7">
        <w:t xml:space="preserve"> However, </w:t>
      </w:r>
      <w:r w:rsidR="00F608FE" w:rsidRPr="001E60C7">
        <w:t xml:space="preserve">there </w:t>
      </w:r>
      <w:r w:rsidRPr="001E60C7">
        <w:t>are numerous advantages associated wi</w:t>
      </w:r>
      <w:r w:rsidR="0030543C" w:rsidRPr="001E60C7">
        <w:t xml:space="preserve">th study in regional Australia, </w:t>
      </w:r>
      <w:r w:rsidR="00983B86" w:rsidRPr="001E60C7">
        <w:t xml:space="preserve">including </w:t>
      </w:r>
      <w:r w:rsidRPr="001E60C7">
        <w:t xml:space="preserve">lower cost of living, cheaper course offerings, and higher levels of acceptance into local communities. The smaller class sizes of regional universities also provide international students with more opportunity to interact and network with domestic students, lecturers and tutors, as well as local communities. </w:t>
      </w:r>
      <w:r w:rsidR="008F41CA" w:rsidRPr="001E60C7">
        <w:t xml:space="preserve">Despite these advantages, social isolation is a major barrier for many international students, including Chinese students </w:t>
      </w:r>
      <w:r w:rsidR="00AF6F6E" w:rsidRPr="001E60C7">
        <w:t xml:space="preserve">who choose </w:t>
      </w:r>
      <w:r w:rsidR="008F41CA" w:rsidRPr="001E60C7">
        <w:t xml:space="preserve">to study outside of capital cities. </w:t>
      </w:r>
    </w:p>
    <w:p w14:paraId="07F3D699" w14:textId="663DD9CC" w:rsidR="009C3AD4" w:rsidRPr="001E60C7" w:rsidRDefault="00B53F0D" w:rsidP="009C3AD4">
      <w:pPr>
        <w:spacing w:after="160" w:line="259" w:lineRule="auto"/>
      </w:pPr>
      <w:r w:rsidRPr="001E60C7">
        <w:t>The economic benefits to re</w:t>
      </w:r>
      <w:r w:rsidR="005C2FFE" w:rsidRPr="001E60C7">
        <w:t>gions can be significant. A</w:t>
      </w:r>
      <w:r w:rsidR="00107547" w:rsidRPr="001E60C7">
        <w:t xml:space="preserve"> report by </w:t>
      </w:r>
      <w:r w:rsidR="005328E4" w:rsidRPr="001E60C7">
        <w:t>Deloitte Access Economics</w:t>
      </w:r>
      <w:r w:rsidR="00107547" w:rsidRPr="001E60C7">
        <w:t xml:space="preserve"> </w:t>
      </w:r>
      <w:r w:rsidRPr="001E60C7">
        <w:t xml:space="preserve">estimated onshore international students studying </w:t>
      </w:r>
      <w:r w:rsidR="005C2FFE" w:rsidRPr="001E60C7">
        <w:t xml:space="preserve">at the University of New England in Armidale (NSW) </w:t>
      </w:r>
      <w:r w:rsidRPr="001E60C7">
        <w:t>contributed $33 million to</w:t>
      </w:r>
      <w:r w:rsidR="005328E4" w:rsidRPr="001E60C7">
        <w:t xml:space="preserve"> the local economy</w:t>
      </w:r>
      <w:r w:rsidR="00AC5AEF" w:rsidRPr="001E60C7">
        <w:t xml:space="preserve"> in 2014—</w:t>
      </w:r>
      <w:r w:rsidR="005C2FFE" w:rsidRPr="001E60C7">
        <w:t>15</w:t>
      </w:r>
      <w:r w:rsidR="005328E4" w:rsidRPr="001E60C7">
        <w:t>,</w:t>
      </w:r>
      <w:r w:rsidR="005C2FFE" w:rsidRPr="001E60C7">
        <w:t xml:space="preserve"> </w:t>
      </w:r>
      <w:r w:rsidR="00A70FD2" w:rsidRPr="001E60C7">
        <w:t>equivalent to 2.5 per cent</w:t>
      </w:r>
      <w:r w:rsidR="005C2FFE" w:rsidRPr="001E60C7">
        <w:t xml:space="preserve"> of gross regional product</w:t>
      </w:r>
      <w:r w:rsidR="00B56CB4" w:rsidRPr="001E60C7">
        <w:t>, supporting 243 FTE jobs in the Armidale region</w:t>
      </w:r>
      <w:r w:rsidRPr="001E60C7">
        <w:t>.</w:t>
      </w:r>
      <w:r w:rsidRPr="001E60C7">
        <w:rPr>
          <w:rStyle w:val="FootnoteReference"/>
        </w:rPr>
        <w:footnoteReference w:id="74"/>
      </w:r>
      <w:r w:rsidR="00B56CB4" w:rsidRPr="001E60C7">
        <w:t xml:space="preserve"> These</w:t>
      </w:r>
      <w:r w:rsidRPr="001E60C7">
        <w:t xml:space="preserve"> figure</w:t>
      </w:r>
      <w:r w:rsidR="00B56CB4" w:rsidRPr="001E60C7">
        <w:t>s</w:t>
      </w:r>
      <w:r w:rsidRPr="001E60C7">
        <w:t xml:space="preserve"> could be higher when non-student visa holders, such as working holidaymakers studying English, are </w:t>
      </w:r>
      <w:r w:rsidR="00983B86" w:rsidRPr="001E60C7">
        <w:t>taken into account</w:t>
      </w:r>
      <w:r w:rsidRPr="001E60C7">
        <w:t>.</w:t>
      </w:r>
      <w:r w:rsidR="008E6951" w:rsidRPr="001E60C7">
        <w:t xml:space="preserve"> Increased numbers of international students in the regions could also benefit regional economies in other </w:t>
      </w:r>
      <w:r w:rsidR="008E6951" w:rsidRPr="001E60C7">
        <w:lastRenderedPageBreak/>
        <w:t>ways, including through the ongoing bonds between alumni and the regions in which they lived and studied, which helps to build sustainable economic and trade relationships.</w:t>
      </w:r>
    </w:p>
    <w:p w14:paraId="0EFD29A6" w14:textId="6D99ADC1" w:rsidR="00695A96" w:rsidRPr="001E60C7" w:rsidRDefault="00695A96" w:rsidP="00336E65">
      <w:pPr>
        <w:spacing w:after="160" w:line="259" w:lineRule="auto"/>
      </w:pPr>
      <w:r w:rsidRPr="001E60C7">
        <w:t>Our sectoral survey suggests China poses a unique challenge for regional universities. Given Chinese students’ sensitivity to university rankings,</w:t>
      </w:r>
      <w:r w:rsidR="00D35EFA" w:rsidRPr="001E60C7">
        <w:t xml:space="preserve"> relatively lower-ranked</w:t>
      </w:r>
      <w:r w:rsidRPr="001E60C7">
        <w:t xml:space="preserve"> regional universities may</w:t>
      </w:r>
      <w:r w:rsidR="00D35EFA" w:rsidRPr="001E60C7">
        <w:t xml:space="preserve"> need to </w:t>
      </w:r>
      <w:r w:rsidR="00336E65" w:rsidRPr="001E60C7">
        <w:t xml:space="preserve">market </w:t>
      </w:r>
      <w:r w:rsidR="00AB1372" w:rsidRPr="001E60C7">
        <w:t xml:space="preserve">their </w:t>
      </w:r>
      <w:r w:rsidR="00D35EFA" w:rsidRPr="001E60C7">
        <w:t xml:space="preserve">particular disciplinary </w:t>
      </w:r>
      <w:r w:rsidR="00276450" w:rsidRPr="001E60C7">
        <w:t xml:space="preserve">or research </w:t>
      </w:r>
      <w:r w:rsidR="00D35EFA" w:rsidRPr="001E60C7">
        <w:t>strengths</w:t>
      </w:r>
      <w:r w:rsidRPr="001E60C7">
        <w:t>. A respondent from a regional university described the challenge in the following way: ‘[Our university’s] decision at present is no</w:t>
      </w:r>
      <w:r w:rsidR="00D35EFA" w:rsidRPr="001E60C7">
        <w:t>t to participate in the</w:t>
      </w:r>
      <w:r w:rsidRPr="001E60C7">
        <w:t xml:space="preserve"> rankings game. With China very interest</w:t>
      </w:r>
      <w:r w:rsidR="00D35EFA" w:rsidRPr="001E60C7">
        <w:t>ed in rankings of institutions, [our university] does find it difficult to engage further in China except in the areas of, say, Agriculture’.</w:t>
      </w:r>
      <w:r w:rsidR="003B305B" w:rsidRPr="001E60C7">
        <w:t xml:space="preserve"> In such a context</w:t>
      </w:r>
      <w:r w:rsidR="00B64A05" w:rsidRPr="001E60C7">
        <w:t xml:space="preserve">, regional universities should consider developing </w:t>
      </w:r>
      <w:r w:rsidR="00AC5AEF" w:rsidRPr="001E60C7">
        <w:t>better articulated</w:t>
      </w:r>
      <w:r w:rsidR="00B64A05" w:rsidRPr="001E60C7">
        <w:t xml:space="preserve"> </w:t>
      </w:r>
      <w:r w:rsidR="00020F94" w:rsidRPr="001E60C7">
        <w:t xml:space="preserve">study </w:t>
      </w:r>
      <w:r w:rsidR="00B64A05" w:rsidRPr="001E60C7">
        <w:t>pathways, coupled with committed marketing and promotion campaigns, as a means of increasing enrolments from Chinese students.</w:t>
      </w:r>
    </w:p>
    <w:p w14:paraId="3D29F3C5" w14:textId="71A4426A" w:rsidR="009C6D93" w:rsidRPr="001E60C7" w:rsidRDefault="001F2809" w:rsidP="009C3AD4">
      <w:pPr>
        <w:spacing w:after="160" w:line="259" w:lineRule="auto"/>
      </w:pPr>
      <w:r w:rsidRPr="001E60C7">
        <w:t xml:space="preserve">The Australian Government is facilitating a number of actions or incentives to </w:t>
      </w:r>
      <w:r w:rsidRPr="001E60C7">
        <w:rPr>
          <w:iCs/>
        </w:rPr>
        <w:t xml:space="preserve">attract more international students </w:t>
      </w:r>
      <w:r w:rsidRPr="001E60C7">
        <w:t xml:space="preserve">to regional Australia, in recognition of the significant value international students bring to </w:t>
      </w:r>
      <w:r w:rsidR="00020F94" w:rsidRPr="001E60C7">
        <w:t>regional</w:t>
      </w:r>
      <w:r w:rsidRPr="001E60C7">
        <w:t xml:space="preserve"> institutions and communities.</w:t>
      </w:r>
      <w:r w:rsidRPr="001E60C7">
        <w:rPr>
          <w:rStyle w:val="FootnoteReference"/>
        </w:rPr>
        <w:footnoteReference w:id="75"/>
      </w:r>
      <w:r w:rsidRPr="001E60C7">
        <w:t xml:space="preserve"> These cover structural and funding incentives, destination marketing and branding and community incentives.</w:t>
      </w:r>
      <w:r w:rsidR="001372FE" w:rsidRPr="001E60C7">
        <w:rPr>
          <w:rStyle w:val="FootnoteReference"/>
          <w:lang w:val="en"/>
        </w:rPr>
        <w:t xml:space="preserve"> </w:t>
      </w:r>
      <w:r w:rsidR="001372FE" w:rsidRPr="001E60C7">
        <w:rPr>
          <w:rStyle w:val="FootnoteReference"/>
          <w:lang w:val="en"/>
        </w:rPr>
        <w:footnoteReference w:id="76"/>
      </w:r>
      <w:r w:rsidR="00336E65" w:rsidRPr="001E60C7">
        <w:t xml:space="preserve"> </w:t>
      </w:r>
    </w:p>
    <w:p w14:paraId="27475535" w14:textId="5221C027" w:rsidR="00D33D77" w:rsidRPr="001E60C7" w:rsidRDefault="00D33D77">
      <w:pPr>
        <w:spacing w:after="160" w:line="259" w:lineRule="auto"/>
        <w:rPr>
          <w:b/>
          <w:color w:val="0070C0"/>
          <w:sz w:val="32"/>
          <w:szCs w:val="32"/>
        </w:rPr>
      </w:pPr>
    </w:p>
    <w:p w14:paraId="4EDCB740" w14:textId="6F68EC8A" w:rsidR="00B53F0D" w:rsidRPr="001E60C7" w:rsidRDefault="00B53F0D">
      <w:pPr>
        <w:spacing w:before="240" w:after="160"/>
        <w:rPr>
          <w:b/>
          <w:color w:val="0070C0"/>
          <w:sz w:val="32"/>
          <w:szCs w:val="32"/>
        </w:rPr>
      </w:pPr>
      <w:r w:rsidRPr="001E60C7">
        <w:rPr>
          <w:b/>
          <w:color w:val="0070C0"/>
          <w:sz w:val="32"/>
          <w:szCs w:val="32"/>
        </w:rPr>
        <w:t xml:space="preserve">2.3 </w:t>
      </w:r>
      <w:r w:rsidRPr="001E60C7">
        <w:rPr>
          <w:rFonts w:cstheme="minorHAnsi"/>
          <w:b/>
          <w:color w:val="0070C0"/>
          <w:sz w:val="32"/>
          <w:szCs w:val="32"/>
        </w:rPr>
        <w:t>Disciplinary</w:t>
      </w:r>
      <w:r w:rsidRPr="001E60C7">
        <w:rPr>
          <w:b/>
          <w:color w:val="0070C0"/>
          <w:sz w:val="32"/>
          <w:szCs w:val="32"/>
        </w:rPr>
        <w:t xml:space="preserve"> concentration</w:t>
      </w:r>
    </w:p>
    <w:p w14:paraId="046F044C" w14:textId="0A2A211E" w:rsidR="00B53F0D" w:rsidRPr="001E60C7" w:rsidRDefault="00983B86" w:rsidP="00B53F0D">
      <w:pPr>
        <w:spacing w:after="160" w:line="259" w:lineRule="auto"/>
      </w:pPr>
      <w:r w:rsidRPr="001E60C7">
        <w:t xml:space="preserve">At least half of all </w:t>
      </w:r>
      <w:r w:rsidR="00EC180F" w:rsidRPr="001E60C7">
        <w:t xml:space="preserve">Chinese </w:t>
      </w:r>
      <w:r w:rsidR="00B53F0D" w:rsidRPr="001E60C7">
        <w:t xml:space="preserve">students in the Australian higher education </w:t>
      </w:r>
      <w:r w:rsidR="00944B95" w:rsidRPr="001E60C7">
        <w:t xml:space="preserve">sector </w:t>
      </w:r>
      <w:r w:rsidR="00EC180F" w:rsidRPr="001E60C7">
        <w:t>enrol in M</w:t>
      </w:r>
      <w:r w:rsidRPr="001E60C7">
        <w:t>anagement and Commerce</w:t>
      </w:r>
      <w:r w:rsidR="007D68F8" w:rsidRPr="001E60C7">
        <w:t xml:space="preserve"> (as shown in</w:t>
      </w:r>
      <w:r w:rsidR="00944B95" w:rsidRPr="001E60C7">
        <w:t xml:space="preserve"> Chart 2), with a similar disciplinary proportion in the VET sector</w:t>
      </w:r>
      <w:r w:rsidR="00A06B2C" w:rsidRPr="001E60C7">
        <w:t xml:space="preserve"> (</w:t>
      </w:r>
      <w:r w:rsidR="00944B95" w:rsidRPr="001E60C7">
        <w:t>as shown in Chart 3</w:t>
      </w:r>
      <w:r w:rsidR="00A06B2C" w:rsidRPr="001E60C7">
        <w:t>)</w:t>
      </w:r>
      <w:r w:rsidR="00A45552" w:rsidRPr="001E60C7">
        <w:t xml:space="preserve"> in 2018</w:t>
      </w:r>
      <w:r w:rsidR="00B53F0D" w:rsidRPr="001E60C7">
        <w:t xml:space="preserve">. </w:t>
      </w:r>
    </w:p>
    <w:p w14:paraId="32048D42" w14:textId="162A4A17" w:rsidR="00EB48E9" w:rsidRPr="001E60C7" w:rsidRDefault="0002265B" w:rsidP="0047786B">
      <w:pPr>
        <w:spacing w:line="259" w:lineRule="auto"/>
        <w:rPr>
          <w:b/>
        </w:rPr>
      </w:pPr>
      <w:r w:rsidRPr="001E60C7">
        <w:rPr>
          <w:b/>
        </w:rPr>
        <w:lastRenderedPageBreak/>
        <w:t>Chart 2</w:t>
      </w:r>
      <w:r w:rsidR="00D659C5" w:rsidRPr="001E60C7">
        <w:rPr>
          <w:b/>
        </w:rPr>
        <w:t xml:space="preserve"> –</w:t>
      </w:r>
      <w:r w:rsidRPr="001E60C7">
        <w:rPr>
          <w:b/>
        </w:rPr>
        <w:t xml:space="preserve"> </w:t>
      </w:r>
      <w:r w:rsidR="00800856" w:rsidRPr="001E60C7">
        <w:rPr>
          <w:b/>
        </w:rPr>
        <w:t>Concentration</w:t>
      </w:r>
      <w:r w:rsidR="00D659C5" w:rsidRPr="001E60C7">
        <w:rPr>
          <w:b/>
        </w:rPr>
        <w:t xml:space="preserve"> </w:t>
      </w:r>
      <w:r w:rsidR="00800856" w:rsidRPr="001E60C7">
        <w:rPr>
          <w:b/>
        </w:rPr>
        <w:t xml:space="preserve">of </w:t>
      </w:r>
      <w:r w:rsidRPr="001E60C7">
        <w:rPr>
          <w:b/>
        </w:rPr>
        <w:t xml:space="preserve">Chinese enrolments </w:t>
      </w:r>
      <w:r w:rsidR="00020F94" w:rsidRPr="001E60C7">
        <w:rPr>
          <w:b/>
        </w:rPr>
        <w:t xml:space="preserve">in </w:t>
      </w:r>
      <w:r w:rsidRPr="001E60C7">
        <w:rPr>
          <w:b/>
        </w:rPr>
        <w:t>broad field of education in higher education, 2018</w:t>
      </w:r>
    </w:p>
    <w:p w14:paraId="5FB58EE5" w14:textId="7849181A" w:rsidR="0002265B" w:rsidRPr="001E60C7" w:rsidRDefault="0002265B" w:rsidP="0047786B">
      <w:pPr>
        <w:spacing w:line="259" w:lineRule="auto"/>
      </w:pPr>
      <w:r w:rsidRPr="001E60C7">
        <w:rPr>
          <w:noProof/>
          <w:lang w:eastAsia="en-AU"/>
        </w:rPr>
        <w:drawing>
          <wp:inline distT="0" distB="0" distL="0" distR="0" wp14:anchorId="272E87D9" wp14:editId="01ACE54A">
            <wp:extent cx="3784600" cy="2476500"/>
            <wp:effectExtent l="0" t="0" r="6350" b="0"/>
            <wp:docPr id="2" name="Chart 2" descr="Chart 2 is a pie chart showing the distribution of the Chinese enrolments in broad field of education in higher education. It shows 50% enrolments were in management and commerce, 12% in engineering and related technologies, 9% in information technology, 7% in society and culture, 5% in national and physical sciences, and 17% in all others.  " title="Chart 2 – Concentration of Chinese enrolments in broad field of education in higher education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2C1512" w14:textId="2FEA8EEC" w:rsidR="0002265B" w:rsidRPr="001E60C7" w:rsidRDefault="0002265B" w:rsidP="00B53F0D">
      <w:pPr>
        <w:spacing w:after="160" w:line="259" w:lineRule="auto"/>
        <w:rPr>
          <w:sz w:val="20"/>
        </w:rPr>
      </w:pPr>
      <w:r w:rsidRPr="001E60C7">
        <w:rPr>
          <w:sz w:val="16"/>
        </w:rPr>
        <w:t xml:space="preserve">Source: </w:t>
      </w:r>
      <w:r w:rsidRPr="001E60C7">
        <w:rPr>
          <w:rFonts w:eastAsia="Calibri"/>
          <w:spacing w:val="-1"/>
          <w:position w:val="1"/>
          <w:sz w:val="16"/>
          <w:szCs w:val="16"/>
        </w:rPr>
        <w:t>De</w:t>
      </w:r>
      <w:r w:rsidRPr="001E60C7">
        <w:rPr>
          <w:rFonts w:eastAsia="Calibri"/>
          <w:position w:val="1"/>
          <w:sz w:val="16"/>
          <w:szCs w:val="16"/>
        </w:rPr>
        <w:t>p</w:t>
      </w:r>
      <w:r w:rsidRPr="001E60C7">
        <w:rPr>
          <w:rFonts w:eastAsia="Calibri"/>
          <w:spacing w:val="-1"/>
          <w:position w:val="1"/>
          <w:sz w:val="16"/>
          <w:szCs w:val="16"/>
        </w:rPr>
        <w:t>art</w:t>
      </w:r>
      <w:r w:rsidRPr="001E60C7">
        <w:rPr>
          <w:rFonts w:eastAsia="Calibri"/>
          <w:spacing w:val="1"/>
          <w:position w:val="1"/>
          <w:sz w:val="16"/>
          <w:szCs w:val="16"/>
        </w:rPr>
        <w:t>m</w:t>
      </w:r>
      <w:r w:rsidRPr="001E60C7">
        <w:rPr>
          <w:rFonts w:eastAsia="Calibri"/>
          <w:spacing w:val="-1"/>
          <w:position w:val="1"/>
          <w:sz w:val="16"/>
          <w:szCs w:val="16"/>
        </w:rPr>
        <w:t>e</w:t>
      </w:r>
      <w:r w:rsidRPr="001E60C7">
        <w:rPr>
          <w:rFonts w:eastAsia="Calibri"/>
          <w:position w:val="1"/>
          <w:sz w:val="16"/>
          <w:szCs w:val="16"/>
        </w:rPr>
        <w:t>nt</w:t>
      </w:r>
      <w:r w:rsidRPr="001E60C7">
        <w:rPr>
          <w:rFonts w:eastAsia="Calibri"/>
          <w:spacing w:val="-1"/>
          <w:position w:val="1"/>
          <w:sz w:val="16"/>
          <w:szCs w:val="16"/>
        </w:rPr>
        <w:t xml:space="preserve"> o</w:t>
      </w:r>
      <w:r w:rsidRPr="001E60C7">
        <w:rPr>
          <w:rFonts w:eastAsia="Calibri"/>
          <w:position w:val="1"/>
          <w:sz w:val="16"/>
          <w:szCs w:val="16"/>
        </w:rPr>
        <w:t>f</w:t>
      </w:r>
      <w:r w:rsidRPr="001E60C7">
        <w:rPr>
          <w:rFonts w:eastAsia="Calibri"/>
          <w:spacing w:val="1"/>
          <w:position w:val="1"/>
          <w:sz w:val="16"/>
          <w:szCs w:val="16"/>
        </w:rPr>
        <w:t xml:space="preserve"> </w:t>
      </w:r>
      <w:r w:rsidRPr="001E60C7">
        <w:rPr>
          <w:rFonts w:eastAsia="Calibri"/>
          <w:position w:val="1"/>
          <w:sz w:val="16"/>
          <w:szCs w:val="16"/>
        </w:rPr>
        <w:t>Edu</w:t>
      </w:r>
      <w:r w:rsidRPr="001E60C7">
        <w:rPr>
          <w:rFonts w:eastAsia="Calibri"/>
          <w:spacing w:val="-1"/>
          <w:position w:val="1"/>
          <w:sz w:val="16"/>
          <w:szCs w:val="16"/>
        </w:rPr>
        <w:t>c</w:t>
      </w:r>
      <w:r w:rsidRPr="001E60C7">
        <w:rPr>
          <w:rFonts w:eastAsia="Calibri"/>
          <w:position w:val="1"/>
          <w:sz w:val="16"/>
          <w:szCs w:val="16"/>
        </w:rPr>
        <w:t>a</w:t>
      </w:r>
      <w:r w:rsidRPr="001E60C7">
        <w:rPr>
          <w:rFonts w:eastAsia="Calibri"/>
          <w:spacing w:val="-1"/>
          <w:position w:val="1"/>
          <w:sz w:val="16"/>
          <w:szCs w:val="16"/>
        </w:rPr>
        <w:t>tio</w:t>
      </w:r>
      <w:r w:rsidRPr="001E60C7">
        <w:rPr>
          <w:rFonts w:eastAsia="Calibri"/>
          <w:position w:val="1"/>
          <w:sz w:val="16"/>
          <w:szCs w:val="16"/>
        </w:rPr>
        <w:t>n In</w:t>
      </w:r>
      <w:r w:rsidRPr="001E60C7">
        <w:rPr>
          <w:rFonts w:eastAsia="Calibri"/>
          <w:spacing w:val="-1"/>
          <w:position w:val="1"/>
          <w:sz w:val="16"/>
          <w:szCs w:val="16"/>
        </w:rPr>
        <w:t>ter</w:t>
      </w:r>
      <w:r w:rsidRPr="001E60C7">
        <w:rPr>
          <w:rFonts w:eastAsia="Calibri"/>
          <w:position w:val="1"/>
          <w:sz w:val="16"/>
          <w:szCs w:val="16"/>
        </w:rPr>
        <w:t>n</w:t>
      </w:r>
      <w:r w:rsidRPr="001E60C7">
        <w:rPr>
          <w:rFonts w:eastAsia="Calibri"/>
          <w:spacing w:val="-1"/>
          <w:position w:val="1"/>
          <w:sz w:val="16"/>
          <w:szCs w:val="16"/>
        </w:rPr>
        <w:t>atio</w:t>
      </w:r>
      <w:r w:rsidRPr="001E60C7">
        <w:rPr>
          <w:rFonts w:eastAsia="Calibri"/>
          <w:position w:val="1"/>
          <w:sz w:val="16"/>
          <w:szCs w:val="16"/>
        </w:rPr>
        <w:t>n</w:t>
      </w:r>
      <w:r w:rsidRPr="001E60C7">
        <w:rPr>
          <w:rFonts w:eastAsia="Calibri"/>
          <w:spacing w:val="-1"/>
          <w:position w:val="1"/>
          <w:sz w:val="16"/>
          <w:szCs w:val="16"/>
        </w:rPr>
        <w:t>a</w:t>
      </w:r>
      <w:r w:rsidRPr="001E60C7">
        <w:rPr>
          <w:rFonts w:eastAsia="Calibri"/>
          <w:position w:val="1"/>
          <w:sz w:val="16"/>
          <w:szCs w:val="16"/>
        </w:rPr>
        <w:t>l</w:t>
      </w:r>
      <w:r w:rsidRPr="001E60C7">
        <w:rPr>
          <w:rFonts w:eastAsia="Calibri"/>
          <w:spacing w:val="1"/>
          <w:position w:val="1"/>
          <w:sz w:val="16"/>
          <w:szCs w:val="16"/>
        </w:rPr>
        <w:t xml:space="preserve"> </w:t>
      </w:r>
      <w:r w:rsidRPr="001E60C7">
        <w:rPr>
          <w:rFonts w:eastAsia="Calibri"/>
          <w:position w:val="1"/>
          <w:sz w:val="16"/>
          <w:szCs w:val="16"/>
        </w:rPr>
        <w:t>S</w:t>
      </w:r>
      <w:r w:rsidRPr="001E60C7">
        <w:rPr>
          <w:rFonts w:eastAsia="Calibri"/>
          <w:spacing w:val="-1"/>
          <w:position w:val="1"/>
          <w:sz w:val="16"/>
          <w:szCs w:val="16"/>
        </w:rPr>
        <w:t>t</w:t>
      </w:r>
      <w:r w:rsidRPr="001E60C7">
        <w:rPr>
          <w:rFonts w:eastAsia="Calibri"/>
          <w:position w:val="1"/>
          <w:sz w:val="16"/>
          <w:szCs w:val="16"/>
        </w:rPr>
        <w:t>u</w:t>
      </w:r>
      <w:r w:rsidRPr="001E60C7">
        <w:rPr>
          <w:rFonts w:eastAsia="Calibri"/>
          <w:spacing w:val="-1"/>
          <w:position w:val="1"/>
          <w:sz w:val="16"/>
          <w:szCs w:val="16"/>
        </w:rPr>
        <w:t>de</w:t>
      </w:r>
      <w:r w:rsidRPr="001E60C7">
        <w:rPr>
          <w:rFonts w:eastAsia="Calibri"/>
          <w:position w:val="1"/>
          <w:sz w:val="16"/>
          <w:szCs w:val="16"/>
        </w:rPr>
        <w:t>nt</w:t>
      </w:r>
      <w:r w:rsidRPr="001E60C7">
        <w:rPr>
          <w:rFonts w:eastAsia="Calibri"/>
          <w:spacing w:val="-1"/>
          <w:position w:val="1"/>
          <w:sz w:val="16"/>
          <w:szCs w:val="16"/>
        </w:rPr>
        <w:t xml:space="preserve"> d</w:t>
      </w:r>
      <w:r w:rsidRPr="001E60C7">
        <w:rPr>
          <w:rFonts w:eastAsia="Calibri"/>
          <w:position w:val="1"/>
          <w:sz w:val="16"/>
          <w:szCs w:val="16"/>
        </w:rPr>
        <w:t>a</w:t>
      </w:r>
      <w:r w:rsidRPr="001E60C7">
        <w:rPr>
          <w:rFonts w:eastAsia="Calibri"/>
          <w:spacing w:val="-1"/>
          <w:position w:val="1"/>
          <w:sz w:val="16"/>
          <w:szCs w:val="16"/>
        </w:rPr>
        <w:t>t</w:t>
      </w:r>
      <w:r w:rsidRPr="001E60C7">
        <w:rPr>
          <w:rFonts w:eastAsia="Calibri"/>
          <w:position w:val="1"/>
          <w:sz w:val="16"/>
          <w:szCs w:val="16"/>
        </w:rPr>
        <w:t>a</w:t>
      </w:r>
      <w:r w:rsidRPr="001E60C7">
        <w:rPr>
          <w:rFonts w:eastAsia="Calibri"/>
          <w:spacing w:val="2"/>
          <w:position w:val="1"/>
          <w:sz w:val="16"/>
          <w:szCs w:val="16"/>
        </w:rPr>
        <w:t xml:space="preserve"> </w:t>
      </w:r>
      <w:r w:rsidRPr="001E60C7">
        <w:rPr>
          <w:rFonts w:eastAsia="Calibri"/>
          <w:spacing w:val="1"/>
          <w:position w:val="1"/>
          <w:sz w:val="16"/>
          <w:szCs w:val="16"/>
        </w:rPr>
        <w:t>r</w:t>
      </w:r>
      <w:r w:rsidRPr="001E60C7">
        <w:rPr>
          <w:rFonts w:eastAsia="Calibri"/>
          <w:spacing w:val="-1"/>
          <w:position w:val="1"/>
          <w:sz w:val="16"/>
          <w:szCs w:val="16"/>
        </w:rPr>
        <w:t>e</w:t>
      </w:r>
      <w:r w:rsidRPr="001E60C7">
        <w:rPr>
          <w:rFonts w:eastAsia="Calibri"/>
          <w:position w:val="1"/>
          <w:sz w:val="16"/>
          <w:szCs w:val="16"/>
        </w:rPr>
        <w:t>p</w:t>
      </w:r>
      <w:r w:rsidRPr="001E60C7">
        <w:rPr>
          <w:rFonts w:eastAsia="Calibri"/>
          <w:spacing w:val="-1"/>
          <w:position w:val="1"/>
          <w:sz w:val="16"/>
          <w:szCs w:val="16"/>
        </w:rPr>
        <w:t>ort</w:t>
      </w:r>
      <w:r w:rsidRPr="001E60C7">
        <w:rPr>
          <w:rFonts w:eastAsia="Calibri"/>
          <w:position w:val="1"/>
          <w:sz w:val="16"/>
          <w:szCs w:val="16"/>
        </w:rPr>
        <w:t>s Year-to-date December</w:t>
      </w:r>
      <w:r w:rsidRPr="001E60C7">
        <w:rPr>
          <w:rFonts w:eastAsia="Calibri"/>
          <w:spacing w:val="-1"/>
          <w:position w:val="1"/>
          <w:sz w:val="16"/>
          <w:szCs w:val="16"/>
        </w:rPr>
        <w:t xml:space="preserve"> 2018.</w:t>
      </w:r>
    </w:p>
    <w:p w14:paraId="47C69DA6" w14:textId="459D0DF4" w:rsidR="0002265B" w:rsidRPr="001E60C7" w:rsidRDefault="0002265B" w:rsidP="0047786B">
      <w:pPr>
        <w:spacing w:line="259" w:lineRule="auto"/>
        <w:rPr>
          <w:b/>
        </w:rPr>
      </w:pPr>
      <w:r w:rsidRPr="001E60C7">
        <w:rPr>
          <w:b/>
        </w:rPr>
        <w:t>Chart 3</w:t>
      </w:r>
      <w:r w:rsidR="00D659C5" w:rsidRPr="001E60C7">
        <w:rPr>
          <w:b/>
        </w:rPr>
        <w:t xml:space="preserve"> –</w:t>
      </w:r>
      <w:r w:rsidRPr="001E60C7">
        <w:rPr>
          <w:b/>
        </w:rPr>
        <w:t xml:space="preserve"> </w:t>
      </w:r>
      <w:r w:rsidR="00800856" w:rsidRPr="001E60C7">
        <w:rPr>
          <w:b/>
        </w:rPr>
        <w:t>Concentration</w:t>
      </w:r>
      <w:r w:rsidR="00D659C5" w:rsidRPr="001E60C7">
        <w:rPr>
          <w:b/>
        </w:rPr>
        <w:t xml:space="preserve"> </w:t>
      </w:r>
      <w:r w:rsidR="00800856" w:rsidRPr="001E60C7">
        <w:rPr>
          <w:b/>
        </w:rPr>
        <w:t xml:space="preserve">of </w:t>
      </w:r>
      <w:r w:rsidRPr="001E60C7">
        <w:rPr>
          <w:b/>
        </w:rPr>
        <w:t xml:space="preserve">Chinese enrolments </w:t>
      </w:r>
      <w:r w:rsidR="00800856" w:rsidRPr="001E60C7">
        <w:rPr>
          <w:b/>
        </w:rPr>
        <w:t>in</w:t>
      </w:r>
      <w:r w:rsidRPr="001E60C7">
        <w:rPr>
          <w:b/>
        </w:rPr>
        <w:t xml:space="preserve"> broad field of education in VET, 2018</w:t>
      </w:r>
    </w:p>
    <w:p w14:paraId="45DF2360" w14:textId="7EBC0673" w:rsidR="0002265B" w:rsidRPr="001E60C7" w:rsidRDefault="0002265B" w:rsidP="0047786B">
      <w:pPr>
        <w:spacing w:line="259" w:lineRule="auto"/>
      </w:pPr>
      <w:r w:rsidRPr="001E60C7">
        <w:rPr>
          <w:noProof/>
          <w:lang w:eastAsia="en-AU"/>
        </w:rPr>
        <w:drawing>
          <wp:inline distT="0" distB="0" distL="0" distR="0" wp14:anchorId="0E505CCC" wp14:editId="4DC7FCD0">
            <wp:extent cx="3640455" cy="2459566"/>
            <wp:effectExtent l="0" t="0" r="0" b="0"/>
            <wp:docPr id="3" name="Chart 3" descr="Chart 3 is a pie chart showing the distribution of the Chinese enrolments in broad field of education in VET. It shows 54% enrolments were in management and commerce, 18% in society and culture, 9% in mixed field programs, 7% in food, hospitality and personal services, 3% in information technology, and 12% in all others.  " title="Chart 3 – Concentration of Chinese enrolments in broad field of education in VET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14292C" w14:textId="77777777" w:rsidR="0002265B" w:rsidRPr="001E60C7" w:rsidRDefault="0002265B" w:rsidP="0002265B">
      <w:pPr>
        <w:spacing w:after="160" w:line="259" w:lineRule="auto"/>
        <w:rPr>
          <w:sz w:val="20"/>
        </w:rPr>
      </w:pPr>
      <w:r w:rsidRPr="001E60C7">
        <w:rPr>
          <w:sz w:val="16"/>
        </w:rPr>
        <w:t xml:space="preserve">Source: </w:t>
      </w:r>
      <w:r w:rsidRPr="001E60C7">
        <w:rPr>
          <w:rFonts w:eastAsia="Calibri"/>
          <w:spacing w:val="-1"/>
          <w:position w:val="1"/>
          <w:sz w:val="16"/>
          <w:szCs w:val="16"/>
        </w:rPr>
        <w:t>De</w:t>
      </w:r>
      <w:r w:rsidRPr="001E60C7">
        <w:rPr>
          <w:rFonts w:eastAsia="Calibri"/>
          <w:position w:val="1"/>
          <w:sz w:val="16"/>
          <w:szCs w:val="16"/>
        </w:rPr>
        <w:t>p</w:t>
      </w:r>
      <w:r w:rsidRPr="001E60C7">
        <w:rPr>
          <w:rFonts w:eastAsia="Calibri"/>
          <w:spacing w:val="-1"/>
          <w:position w:val="1"/>
          <w:sz w:val="16"/>
          <w:szCs w:val="16"/>
        </w:rPr>
        <w:t>art</w:t>
      </w:r>
      <w:r w:rsidRPr="001E60C7">
        <w:rPr>
          <w:rFonts w:eastAsia="Calibri"/>
          <w:spacing w:val="1"/>
          <w:position w:val="1"/>
          <w:sz w:val="16"/>
          <w:szCs w:val="16"/>
        </w:rPr>
        <w:t>m</w:t>
      </w:r>
      <w:r w:rsidRPr="001E60C7">
        <w:rPr>
          <w:rFonts w:eastAsia="Calibri"/>
          <w:spacing w:val="-1"/>
          <w:position w:val="1"/>
          <w:sz w:val="16"/>
          <w:szCs w:val="16"/>
        </w:rPr>
        <w:t>e</w:t>
      </w:r>
      <w:r w:rsidRPr="001E60C7">
        <w:rPr>
          <w:rFonts w:eastAsia="Calibri"/>
          <w:position w:val="1"/>
          <w:sz w:val="16"/>
          <w:szCs w:val="16"/>
        </w:rPr>
        <w:t>nt</w:t>
      </w:r>
      <w:r w:rsidRPr="001E60C7">
        <w:rPr>
          <w:rFonts w:eastAsia="Calibri"/>
          <w:spacing w:val="-1"/>
          <w:position w:val="1"/>
          <w:sz w:val="16"/>
          <w:szCs w:val="16"/>
        </w:rPr>
        <w:t xml:space="preserve"> o</w:t>
      </w:r>
      <w:r w:rsidRPr="001E60C7">
        <w:rPr>
          <w:rFonts w:eastAsia="Calibri"/>
          <w:position w:val="1"/>
          <w:sz w:val="16"/>
          <w:szCs w:val="16"/>
        </w:rPr>
        <w:t>f</w:t>
      </w:r>
      <w:r w:rsidRPr="001E60C7">
        <w:rPr>
          <w:rFonts w:eastAsia="Calibri"/>
          <w:spacing w:val="1"/>
          <w:position w:val="1"/>
          <w:sz w:val="16"/>
          <w:szCs w:val="16"/>
        </w:rPr>
        <w:t xml:space="preserve"> </w:t>
      </w:r>
      <w:r w:rsidRPr="001E60C7">
        <w:rPr>
          <w:rFonts w:eastAsia="Calibri"/>
          <w:position w:val="1"/>
          <w:sz w:val="16"/>
          <w:szCs w:val="16"/>
        </w:rPr>
        <w:t>Edu</w:t>
      </w:r>
      <w:r w:rsidRPr="001E60C7">
        <w:rPr>
          <w:rFonts w:eastAsia="Calibri"/>
          <w:spacing w:val="-1"/>
          <w:position w:val="1"/>
          <w:sz w:val="16"/>
          <w:szCs w:val="16"/>
        </w:rPr>
        <w:t>c</w:t>
      </w:r>
      <w:r w:rsidRPr="001E60C7">
        <w:rPr>
          <w:rFonts w:eastAsia="Calibri"/>
          <w:position w:val="1"/>
          <w:sz w:val="16"/>
          <w:szCs w:val="16"/>
        </w:rPr>
        <w:t>a</w:t>
      </w:r>
      <w:r w:rsidRPr="001E60C7">
        <w:rPr>
          <w:rFonts w:eastAsia="Calibri"/>
          <w:spacing w:val="-1"/>
          <w:position w:val="1"/>
          <w:sz w:val="16"/>
          <w:szCs w:val="16"/>
        </w:rPr>
        <w:t>tio</w:t>
      </w:r>
      <w:r w:rsidRPr="001E60C7">
        <w:rPr>
          <w:rFonts w:eastAsia="Calibri"/>
          <w:position w:val="1"/>
          <w:sz w:val="16"/>
          <w:szCs w:val="16"/>
        </w:rPr>
        <w:t>n In</w:t>
      </w:r>
      <w:r w:rsidRPr="001E60C7">
        <w:rPr>
          <w:rFonts w:eastAsia="Calibri"/>
          <w:spacing w:val="-1"/>
          <w:position w:val="1"/>
          <w:sz w:val="16"/>
          <w:szCs w:val="16"/>
        </w:rPr>
        <w:t>ter</w:t>
      </w:r>
      <w:r w:rsidRPr="001E60C7">
        <w:rPr>
          <w:rFonts w:eastAsia="Calibri"/>
          <w:position w:val="1"/>
          <w:sz w:val="16"/>
          <w:szCs w:val="16"/>
        </w:rPr>
        <w:t>n</w:t>
      </w:r>
      <w:r w:rsidRPr="001E60C7">
        <w:rPr>
          <w:rFonts w:eastAsia="Calibri"/>
          <w:spacing w:val="-1"/>
          <w:position w:val="1"/>
          <w:sz w:val="16"/>
          <w:szCs w:val="16"/>
        </w:rPr>
        <w:t>atio</w:t>
      </w:r>
      <w:r w:rsidRPr="001E60C7">
        <w:rPr>
          <w:rFonts w:eastAsia="Calibri"/>
          <w:position w:val="1"/>
          <w:sz w:val="16"/>
          <w:szCs w:val="16"/>
        </w:rPr>
        <w:t>n</w:t>
      </w:r>
      <w:r w:rsidRPr="001E60C7">
        <w:rPr>
          <w:rFonts w:eastAsia="Calibri"/>
          <w:spacing w:val="-1"/>
          <w:position w:val="1"/>
          <w:sz w:val="16"/>
          <w:szCs w:val="16"/>
        </w:rPr>
        <w:t>a</w:t>
      </w:r>
      <w:r w:rsidRPr="001E60C7">
        <w:rPr>
          <w:rFonts w:eastAsia="Calibri"/>
          <w:position w:val="1"/>
          <w:sz w:val="16"/>
          <w:szCs w:val="16"/>
        </w:rPr>
        <w:t>l</w:t>
      </w:r>
      <w:r w:rsidRPr="001E60C7">
        <w:rPr>
          <w:rFonts w:eastAsia="Calibri"/>
          <w:spacing w:val="1"/>
          <w:position w:val="1"/>
          <w:sz w:val="16"/>
          <w:szCs w:val="16"/>
        </w:rPr>
        <w:t xml:space="preserve"> </w:t>
      </w:r>
      <w:r w:rsidRPr="001E60C7">
        <w:rPr>
          <w:rFonts w:eastAsia="Calibri"/>
          <w:position w:val="1"/>
          <w:sz w:val="16"/>
          <w:szCs w:val="16"/>
        </w:rPr>
        <w:t>S</w:t>
      </w:r>
      <w:r w:rsidRPr="001E60C7">
        <w:rPr>
          <w:rFonts w:eastAsia="Calibri"/>
          <w:spacing w:val="-1"/>
          <w:position w:val="1"/>
          <w:sz w:val="16"/>
          <w:szCs w:val="16"/>
        </w:rPr>
        <w:t>t</w:t>
      </w:r>
      <w:r w:rsidRPr="001E60C7">
        <w:rPr>
          <w:rFonts w:eastAsia="Calibri"/>
          <w:position w:val="1"/>
          <w:sz w:val="16"/>
          <w:szCs w:val="16"/>
        </w:rPr>
        <w:t>u</w:t>
      </w:r>
      <w:r w:rsidRPr="001E60C7">
        <w:rPr>
          <w:rFonts w:eastAsia="Calibri"/>
          <w:spacing w:val="-1"/>
          <w:position w:val="1"/>
          <w:sz w:val="16"/>
          <w:szCs w:val="16"/>
        </w:rPr>
        <w:t>de</w:t>
      </w:r>
      <w:r w:rsidRPr="001E60C7">
        <w:rPr>
          <w:rFonts w:eastAsia="Calibri"/>
          <w:position w:val="1"/>
          <w:sz w:val="16"/>
          <w:szCs w:val="16"/>
        </w:rPr>
        <w:t>nt</w:t>
      </w:r>
      <w:r w:rsidRPr="001E60C7">
        <w:rPr>
          <w:rFonts w:eastAsia="Calibri"/>
          <w:spacing w:val="-1"/>
          <w:position w:val="1"/>
          <w:sz w:val="16"/>
          <w:szCs w:val="16"/>
        </w:rPr>
        <w:t xml:space="preserve"> d</w:t>
      </w:r>
      <w:r w:rsidRPr="001E60C7">
        <w:rPr>
          <w:rFonts w:eastAsia="Calibri"/>
          <w:position w:val="1"/>
          <w:sz w:val="16"/>
          <w:szCs w:val="16"/>
        </w:rPr>
        <w:t>a</w:t>
      </w:r>
      <w:r w:rsidRPr="001E60C7">
        <w:rPr>
          <w:rFonts w:eastAsia="Calibri"/>
          <w:spacing w:val="-1"/>
          <w:position w:val="1"/>
          <w:sz w:val="16"/>
          <w:szCs w:val="16"/>
        </w:rPr>
        <w:t>t</w:t>
      </w:r>
      <w:r w:rsidRPr="001E60C7">
        <w:rPr>
          <w:rFonts w:eastAsia="Calibri"/>
          <w:position w:val="1"/>
          <w:sz w:val="16"/>
          <w:szCs w:val="16"/>
        </w:rPr>
        <w:t>a</w:t>
      </w:r>
      <w:r w:rsidRPr="001E60C7">
        <w:rPr>
          <w:rFonts w:eastAsia="Calibri"/>
          <w:spacing w:val="2"/>
          <w:position w:val="1"/>
          <w:sz w:val="16"/>
          <w:szCs w:val="16"/>
        </w:rPr>
        <w:t xml:space="preserve"> </w:t>
      </w:r>
      <w:r w:rsidRPr="001E60C7">
        <w:rPr>
          <w:rFonts w:eastAsia="Calibri"/>
          <w:spacing w:val="1"/>
          <w:position w:val="1"/>
          <w:sz w:val="16"/>
          <w:szCs w:val="16"/>
        </w:rPr>
        <w:t>r</w:t>
      </w:r>
      <w:r w:rsidRPr="001E60C7">
        <w:rPr>
          <w:rFonts w:eastAsia="Calibri"/>
          <w:spacing w:val="-1"/>
          <w:position w:val="1"/>
          <w:sz w:val="16"/>
          <w:szCs w:val="16"/>
        </w:rPr>
        <w:t>e</w:t>
      </w:r>
      <w:r w:rsidRPr="001E60C7">
        <w:rPr>
          <w:rFonts w:eastAsia="Calibri"/>
          <w:position w:val="1"/>
          <w:sz w:val="16"/>
          <w:szCs w:val="16"/>
        </w:rPr>
        <w:t>p</w:t>
      </w:r>
      <w:r w:rsidRPr="001E60C7">
        <w:rPr>
          <w:rFonts w:eastAsia="Calibri"/>
          <w:spacing w:val="-1"/>
          <w:position w:val="1"/>
          <w:sz w:val="16"/>
          <w:szCs w:val="16"/>
        </w:rPr>
        <w:t>ort</w:t>
      </w:r>
      <w:r w:rsidRPr="001E60C7">
        <w:rPr>
          <w:rFonts w:eastAsia="Calibri"/>
          <w:position w:val="1"/>
          <w:sz w:val="16"/>
          <w:szCs w:val="16"/>
        </w:rPr>
        <w:t>s Year-to-date December</w:t>
      </w:r>
      <w:r w:rsidRPr="001E60C7">
        <w:rPr>
          <w:rFonts w:eastAsia="Calibri"/>
          <w:spacing w:val="-1"/>
          <w:position w:val="1"/>
          <w:sz w:val="16"/>
          <w:szCs w:val="16"/>
        </w:rPr>
        <w:t xml:space="preserve"> 2018.</w:t>
      </w:r>
    </w:p>
    <w:p w14:paraId="73ABF8E9" w14:textId="73A00F42" w:rsidR="00EB48E9" w:rsidRPr="001E60C7" w:rsidRDefault="00EB48E9" w:rsidP="00EB48E9">
      <w:pPr>
        <w:spacing w:after="160" w:line="259" w:lineRule="auto"/>
      </w:pPr>
      <w:r w:rsidRPr="001E60C7">
        <w:t xml:space="preserve">This disciplinary concentration suggests Australia’s strengths in education and the humanities and, to a lesser extent, STEM, are </w:t>
      </w:r>
      <w:r w:rsidR="008466CB" w:rsidRPr="001E60C7">
        <w:t>under</w:t>
      </w:r>
      <w:r w:rsidR="008466CB" w:rsidRPr="001E60C7">
        <w:noBreakHyphen/>
      </w:r>
      <w:r w:rsidRPr="001E60C7">
        <w:t>utilised. Teaching and research in education institutions in regional Australia that typically offer specialised courses outside the broad fields of management, commerce and engineering are similarly under-utilised.</w:t>
      </w:r>
    </w:p>
    <w:p w14:paraId="2778FDFA" w14:textId="1426BE55" w:rsidR="00B53F0D" w:rsidRPr="001E60C7" w:rsidRDefault="00B53F0D" w:rsidP="00632859">
      <w:pPr>
        <w:spacing w:before="240" w:after="160"/>
        <w:rPr>
          <w:b/>
          <w:color w:val="0070C0"/>
          <w:sz w:val="32"/>
          <w:szCs w:val="32"/>
        </w:rPr>
      </w:pPr>
      <w:r w:rsidRPr="001E60C7">
        <w:rPr>
          <w:b/>
          <w:color w:val="0070C0"/>
          <w:sz w:val="32"/>
          <w:szCs w:val="32"/>
        </w:rPr>
        <w:t xml:space="preserve">2.4 </w:t>
      </w:r>
      <w:r w:rsidRPr="001E60C7">
        <w:rPr>
          <w:rFonts w:asciiTheme="minorHAnsi" w:eastAsiaTheme="majorEastAsia" w:hAnsiTheme="minorHAnsi" w:cstheme="minorHAnsi"/>
          <w:b/>
          <w:color w:val="2E74B5" w:themeColor="accent1" w:themeShade="BF"/>
          <w:sz w:val="32"/>
          <w:szCs w:val="32"/>
          <w:lang w:val="en-GB"/>
        </w:rPr>
        <w:t>Key</w:t>
      </w:r>
      <w:r w:rsidR="00AC5AEF" w:rsidRPr="001E60C7">
        <w:rPr>
          <w:b/>
          <w:color w:val="0070C0"/>
          <w:sz w:val="32"/>
          <w:szCs w:val="32"/>
        </w:rPr>
        <w:t xml:space="preserve"> role of a</w:t>
      </w:r>
      <w:r w:rsidRPr="001E60C7">
        <w:rPr>
          <w:b/>
          <w:color w:val="0070C0"/>
          <w:sz w:val="32"/>
          <w:szCs w:val="32"/>
        </w:rPr>
        <w:t>gents</w:t>
      </w:r>
    </w:p>
    <w:p w14:paraId="67B4390F" w14:textId="37D54086" w:rsidR="00C7403E" w:rsidRPr="001E60C7" w:rsidRDefault="00C7403E" w:rsidP="006432D5">
      <w:pPr>
        <w:spacing w:after="160" w:line="259" w:lineRule="auto"/>
      </w:pPr>
      <w:r w:rsidRPr="001E60C7">
        <w:lastRenderedPageBreak/>
        <w:t>Education agents are an integral part of Australia’s international education system, and they play a key role in promoting education institutions. They represent education providers to students and advise prospective students on courses of study available to them in all education sectors. Overseas students use the services of education agents for a range of reasons including their geographic distance from Australia, diffic</w:t>
      </w:r>
      <w:r w:rsidR="00AC5AEF" w:rsidRPr="001E60C7">
        <w:t>ulties communicating in English</w:t>
      </w:r>
      <w:r w:rsidRPr="001E60C7">
        <w:t xml:space="preserve"> and </w:t>
      </w:r>
      <w:r w:rsidR="000A1694" w:rsidRPr="001E60C7">
        <w:t xml:space="preserve">lack of </w:t>
      </w:r>
      <w:r w:rsidRPr="001E60C7">
        <w:t xml:space="preserve">understanding of cultural requirements.  </w:t>
      </w:r>
    </w:p>
    <w:p w14:paraId="07FDDB1B" w14:textId="7D4B7106" w:rsidR="00C7403E" w:rsidRPr="001E60C7" w:rsidRDefault="00C7403E" w:rsidP="006432D5">
      <w:pPr>
        <w:spacing w:after="160" w:line="259" w:lineRule="auto"/>
      </w:pPr>
      <w:r w:rsidRPr="001E60C7">
        <w:t>Operating in a global market, agents have a range of business models, ranging from sole operators to large companies with multinational offices. The vast majority of agents achieve good outco</w:t>
      </w:r>
      <w:r w:rsidR="006829BC" w:rsidRPr="001E60C7">
        <w:t xml:space="preserve">mes by recruiting high quality </w:t>
      </w:r>
      <w:r w:rsidRPr="001E60C7">
        <w:t>students who complete their courses and abide by their visa conditions. While there is no requirement for providers or students to engage an agent, most do. Department of Education data show</w:t>
      </w:r>
      <w:r w:rsidR="00851A7A" w:rsidRPr="001E60C7">
        <w:t>s that in 2018,</w:t>
      </w:r>
      <w:r w:rsidR="001E60C7">
        <w:t xml:space="preserve"> 75</w:t>
      </w:r>
      <w:r w:rsidRPr="001E60C7">
        <w:t xml:space="preserve"> per cent of international students come to Australia through an education agent.</w:t>
      </w:r>
      <w:r w:rsidR="00AA4D34">
        <w:rPr>
          <w:rStyle w:val="FootnoteReference"/>
        </w:rPr>
        <w:footnoteReference w:id="77"/>
      </w:r>
      <w:r w:rsidRPr="001E60C7">
        <w:t xml:space="preserve"> In China, the </w:t>
      </w:r>
      <w:r w:rsidR="00AC5AEF" w:rsidRPr="001E60C7">
        <w:t>proportion</w:t>
      </w:r>
      <w:r w:rsidR="001E60C7">
        <w:t xml:space="preserve"> was slightly below average at 74</w:t>
      </w:r>
      <w:r w:rsidRPr="001E60C7">
        <w:t xml:space="preserve"> per cent</w:t>
      </w:r>
      <w:r w:rsidR="001E60C7">
        <w:t>, down from 77 per cent in 2017</w:t>
      </w:r>
      <w:r w:rsidRPr="001E60C7">
        <w:t>.</w:t>
      </w:r>
      <w:r w:rsidR="00AA4D34">
        <w:rPr>
          <w:rStyle w:val="FootnoteReference"/>
        </w:rPr>
        <w:footnoteReference w:id="78"/>
      </w:r>
      <w:r w:rsidRPr="001E60C7">
        <w:t xml:space="preserve"> </w:t>
      </w:r>
    </w:p>
    <w:p w14:paraId="30CB4871" w14:textId="77777777" w:rsidR="00C7403E" w:rsidRPr="001E60C7" w:rsidRDefault="00C7403E" w:rsidP="006432D5">
      <w:pPr>
        <w:spacing w:after="160" w:line="259" w:lineRule="auto"/>
      </w:pPr>
      <w:r w:rsidRPr="001E60C7">
        <w:t xml:space="preserve">Austrade engages in agent education training in China, supported by the Department of Home Affairs. This is undertaken both in-person and online. States and territories also engage with education agents, including through providing product training and initiatives such as familiarisation tours. </w:t>
      </w:r>
    </w:p>
    <w:p w14:paraId="01A6E248" w14:textId="4A6A42E4" w:rsidR="00C7403E" w:rsidRPr="001E60C7" w:rsidRDefault="007A667D" w:rsidP="006432D5">
      <w:pPr>
        <w:spacing w:after="160" w:line="259" w:lineRule="auto"/>
      </w:pPr>
      <w:r w:rsidRPr="001E60C7">
        <w:t xml:space="preserve">In </w:t>
      </w:r>
      <w:r w:rsidR="00C7403E" w:rsidRPr="001E60C7">
        <w:t xml:space="preserve">2018, </w:t>
      </w:r>
      <w:r w:rsidR="008B4210" w:rsidRPr="001E60C7">
        <w:t xml:space="preserve">the </w:t>
      </w:r>
      <w:r w:rsidR="00C7403E" w:rsidRPr="001E60C7">
        <w:t xml:space="preserve">Australian </w:t>
      </w:r>
      <w:r w:rsidR="00D35904" w:rsidRPr="001E60C7">
        <w:t xml:space="preserve">Government </w:t>
      </w:r>
      <w:r w:rsidR="006829BC" w:rsidRPr="001E60C7">
        <w:t>committed to enhancing</w:t>
      </w:r>
      <w:r w:rsidR="00C7403E" w:rsidRPr="001E60C7">
        <w:t xml:space="preserve"> the transparency of education agent activities by publishing agent data. Increased transparency about education agents’ activities will help international students and education providers to work with quality education agents and assist agents to improve their services. The Government has already undertaken a range of reform activities relating to education agents, including giving education providers access to individualised performance reports on their education agents and visa outcomes for overseas students recruited by the agents.</w:t>
      </w:r>
    </w:p>
    <w:p w14:paraId="7A43A5B7" w14:textId="77777777" w:rsidR="00C7403E" w:rsidRPr="001E60C7" w:rsidRDefault="00B53F0D" w:rsidP="00632859">
      <w:pPr>
        <w:spacing w:before="240" w:after="160"/>
        <w:rPr>
          <w:b/>
          <w:color w:val="0070C0"/>
          <w:sz w:val="32"/>
          <w:szCs w:val="32"/>
        </w:rPr>
      </w:pPr>
      <w:r w:rsidRPr="001E60C7">
        <w:rPr>
          <w:b/>
          <w:color w:val="0070C0"/>
          <w:sz w:val="32"/>
          <w:szCs w:val="32"/>
        </w:rPr>
        <w:t xml:space="preserve">2.5 Marketing </w:t>
      </w:r>
      <w:r w:rsidRPr="001E60C7">
        <w:rPr>
          <w:rFonts w:asciiTheme="minorHAnsi" w:eastAsiaTheme="majorEastAsia" w:hAnsiTheme="minorHAnsi" w:cstheme="minorHAnsi"/>
          <w:b/>
          <w:color w:val="2E74B5" w:themeColor="accent1" w:themeShade="BF"/>
          <w:sz w:val="32"/>
          <w:szCs w:val="32"/>
          <w:lang w:val="en-GB"/>
        </w:rPr>
        <w:t>and</w:t>
      </w:r>
      <w:r w:rsidRPr="001E60C7">
        <w:rPr>
          <w:b/>
          <w:color w:val="0070C0"/>
          <w:sz w:val="32"/>
          <w:szCs w:val="32"/>
        </w:rPr>
        <w:t xml:space="preserve"> promotion </w:t>
      </w:r>
    </w:p>
    <w:p w14:paraId="10395B37" w14:textId="5D208D62" w:rsidR="00B53F0D" w:rsidRPr="001E60C7" w:rsidRDefault="00B86BD2" w:rsidP="00B53F0D">
      <w:pPr>
        <w:spacing w:after="160" w:line="259" w:lineRule="auto"/>
        <w:rPr>
          <w:spacing w:val="-1"/>
        </w:rPr>
      </w:pPr>
      <w:r w:rsidRPr="001E60C7">
        <w:rPr>
          <w:spacing w:val="-1"/>
        </w:rPr>
        <w:t>The majority of Australian education institutions engage</w:t>
      </w:r>
      <w:r w:rsidR="0099688F" w:rsidRPr="001E60C7">
        <w:rPr>
          <w:spacing w:val="-1"/>
        </w:rPr>
        <w:t>d in international education undertake</w:t>
      </w:r>
      <w:r w:rsidRPr="001E60C7">
        <w:rPr>
          <w:spacing w:val="-1"/>
        </w:rPr>
        <w:t xml:space="preserve"> some form of marketing and promotion</w:t>
      </w:r>
      <w:r w:rsidR="0099688F" w:rsidRPr="001E60C7">
        <w:rPr>
          <w:spacing w:val="-1"/>
        </w:rPr>
        <w:t xml:space="preserve"> of their education and training products</w:t>
      </w:r>
      <w:r w:rsidRPr="001E60C7">
        <w:rPr>
          <w:spacing w:val="-1"/>
        </w:rPr>
        <w:t>. A</w:t>
      </w:r>
      <w:r w:rsidRPr="001E60C7">
        <w:rPr>
          <w:spacing w:val="-1"/>
          <w:lang w:val="en"/>
        </w:rPr>
        <w:t xml:space="preserve">t </w:t>
      </w:r>
      <w:r w:rsidR="000A1694" w:rsidRPr="001E60C7">
        <w:rPr>
          <w:spacing w:val="-1"/>
          <w:lang w:val="en"/>
        </w:rPr>
        <w:t>the</w:t>
      </w:r>
      <w:r w:rsidRPr="001E60C7">
        <w:rPr>
          <w:spacing w:val="-1"/>
          <w:lang w:val="en"/>
        </w:rPr>
        <w:t xml:space="preserve"> state and territory </w:t>
      </w:r>
      <w:r w:rsidRPr="001E60C7">
        <w:rPr>
          <w:spacing w:val="-1"/>
          <w:lang w:val="en"/>
        </w:rPr>
        <w:lastRenderedPageBreak/>
        <w:t>government level</w:t>
      </w:r>
      <w:r w:rsidRPr="001E60C7">
        <w:rPr>
          <w:spacing w:val="-1"/>
        </w:rPr>
        <w:t xml:space="preserve">, there is a significant range of marketing and promotional activities in China, taking place both digitally and through on-the-ground activities and events such as education fairs across metropolitan and regional China. </w:t>
      </w:r>
      <w:r w:rsidR="00B53F0D" w:rsidRPr="001E60C7">
        <w:rPr>
          <w:spacing w:val="-1"/>
        </w:rPr>
        <w:t>Austrade</w:t>
      </w:r>
      <w:r w:rsidRPr="001E60C7">
        <w:rPr>
          <w:spacing w:val="-1"/>
        </w:rPr>
        <w:t>, meanwhile,</w:t>
      </w:r>
      <w:r w:rsidR="00B53F0D" w:rsidRPr="001E60C7">
        <w:rPr>
          <w:spacing w:val="-1"/>
        </w:rPr>
        <w:t xml:space="preserve"> is Australia’s lead agency for marketing and promoti</w:t>
      </w:r>
      <w:r w:rsidR="00F800CB" w:rsidRPr="001E60C7">
        <w:rPr>
          <w:spacing w:val="-1"/>
        </w:rPr>
        <w:t>ng</w:t>
      </w:r>
      <w:r w:rsidR="00B53F0D" w:rsidRPr="001E60C7">
        <w:rPr>
          <w:spacing w:val="-1"/>
        </w:rPr>
        <w:t xml:space="preserve"> of Australian international education.</w:t>
      </w:r>
      <w:r w:rsidR="001B0CCE" w:rsidRPr="001E60C7">
        <w:rPr>
          <w:spacing w:val="-1"/>
          <w:lang w:val="en"/>
        </w:rPr>
        <w:t xml:space="preserve"> </w:t>
      </w:r>
    </w:p>
    <w:p w14:paraId="036D040F" w14:textId="55120F18" w:rsidR="003A71D7" w:rsidRPr="001E60C7" w:rsidRDefault="00AB1372" w:rsidP="00B53F0D">
      <w:pPr>
        <w:spacing w:after="160" w:line="259" w:lineRule="auto"/>
        <w:rPr>
          <w:spacing w:val="-1"/>
        </w:rPr>
      </w:pPr>
      <w:r w:rsidRPr="001E60C7">
        <w:rPr>
          <w:spacing w:val="-1"/>
        </w:rPr>
        <w:t>Despite strong activity in marketing and promotion, s</w:t>
      </w:r>
      <w:r w:rsidR="003A71D7" w:rsidRPr="001E60C7">
        <w:rPr>
          <w:spacing w:val="-1"/>
        </w:rPr>
        <w:t>tudent visa data</w:t>
      </w:r>
      <w:r w:rsidRPr="001E60C7">
        <w:rPr>
          <w:spacing w:val="-1"/>
        </w:rPr>
        <w:t xml:space="preserve"> </w:t>
      </w:r>
      <w:r w:rsidR="001B0CCE" w:rsidRPr="001E60C7">
        <w:rPr>
          <w:spacing w:val="-1"/>
        </w:rPr>
        <w:t xml:space="preserve">shows a </w:t>
      </w:r>
      <w:r w:rsidR="006B68FB" w:rsidRPr="001E60C7">
        <w:rPr>
          <w:spacing w:val="-1"/>
        </w:rPr>
        <w:t xml:space="preserve">decline in </w:t>
      </w:r>
      <w:r w:rsidR="003A71D7" w:rsidRPr="001E60C7">
        <w:rPr>
          <w:spacing w:val="-1"/>
        </w:rPr>
        <w:t xml:space="preserve">growth in Chinese student </w:t>
      </w:r>
      <w:r w:rsidR="007219BA" w:rsidRPr="001E60C7">
        <w:rPr>
          <w:spacing w:val="-1"/>
        </w:rPr>
        <w:t xml:space="preserve">visa </w:t>
      </w:r>
      <w:r w:rsidR="007F0284" w:rsidRPr="001E60C7">
        <w:rPr>
          <w:spacing w:val="-1"/>
        </w:rPr>
        <w:t xml:space="preserve">grants </w:t>
      </w:r>
      <w:r w:rsidR="006B68FB" w:rsidRPr="001E60C7">
        <w:rPr>
          <w:spacing w:val="-1"/>
        </w:rPr>
        <w:t>across all sectors, except in postgraduate research</w:t>
      </w:r>
      <w:r w:rsidR="00883266" w:rsidRPr="001E60C7">
        <w:rPr>
          <w:spacing w:val="-1"/>
        </w:rPr>
        <w:t xml:space="preserve"> (see Table </w:t>
      </w:r>
      <w:r w:rsidR="00A64B41" w:rsidRPr="001E60C7">
        <w:rPr>
          <w:spacing w:val="-1"/>
        </w:rPr>
        <w:t>6</w:t>
      </w:r>
      <w:r w:rsidR="00883266" w:rsidRPr="001E60C7">
        <w:rPr>
          <w:spacing w:val="-1"/>
        </w:rPr>
        <w:t>).</w:t>
      </w:r>
      <w:r w:rsidR="003A71D7" w:rsidRPr="001E60C7">
        <w:rPr>
          <w:spacing w:val="-1"/>
        </w:rPr>
        <w:t xml:space="preserve"> </w:t>
      </w:r>
    </w:p>
    <w:p w14:paraId="0A67AF9F" w14:textId="62C72D8B" w:rsidR="008B7D85" w:rsidRPr="001E60C7" w:rsidRDefault="00B971A3" w:rsidP="006542B3">
      <w:pPr>
        <w:rPr>
          <w:b/>
        </w:rPr>
      </w:pPr>
      <w:r w:rsidRPr="001E60C7">
        <w:rPr>
          <w:b/>
        </w:rPr>
        <w:t xml:space="preserve">Table </w:t>
      </w:r>
      <w:r w:rsidR="0030543C" w:rsidRPr="001E60C7">
        <w:rPr>
          <w:b/>
        </w:rPr>
        <w:t>6</w:t>
      </w:r>
      <w:r w:rsidR="008B7D85" w:rsidRPr="001E60C7">
        <w:rPr>
          <w:b/>
        </w:rPr>
        <w:t xml:space="preserve"> – </w:t>
      </w:r>
      <w:r w:rsidR="00CD6F6E" w:rsidRPr="001E60C7">
        <w:rPr>
          <w:b/>
        </w:rPr>
        <w:t>China total visa g</w:t>
      </w:r>
      <w:r w:rsidR="007F0284" w:rsidRPr="001E60C7">
        <w:rPr>
          <w:b/>
        </w:rPr>
        <w:t>rants (Jul</w:t>
      </w:r>
      <w:r w:rsidR="00420E28">
        <w:rPr>
          <w:b/>
        </w:rPr>
        <w:t>y</w:t>
      </w:r>
      <w:r w:rsidR="007511AD">
        <w:rPr>
          <w:b/>
        </w:rPr>
        <w:t>–</w:t>
      </w:r>
      <w:r w:rsidR="007F0284" w:rsidRPr="001E60C7">
        <w:rPr>
          <w:b/>
        </w:rPr>
        <w:t>Ma</w:t>
      </w:r>
      <w:r w:rsidR="00040FED" w:rsidRPr="001E60C7">
        <w:rPr>
          <w:b/>
        </w:rPr>
        <w:t>y</w:t>
      </w:r>
      <w:r w:rsidR="007F0284" w:rsidRPr="001E60C7">
        <w:rPr>
          <w:b/>
        </w:rPr>
        <w:t>)</w:t>
      </w:r>
    </w:p>
    <w:tbl>
      <w:tblPr>
        <w:tblStyle w:val="TableGridLight"/>
        <w:tblW w:w="7226" w:type="dxa"/>
        <w:tblLayout w:type="fixed"/>
        <w:tblLook w:val="04A0" w:firstRow="1" w:lastRow="0" w:firstColumn="1" w:lastColumn="0" w:noHBand="0" w:noVBand="1"/>
      </w:tblPr>
      <w:tblGrid>
        <w:gridCol w:w="2263"/>
        <w:gridCol w:w="1229"/>
        <w:gridCol w:w="1229"/>
        <w:gridCol w:w="1229"/>
        <w:gridCol w:w="1276"/>
      </w:tblGrid>
      <w:tr w:rsidR="0021203D" w:rsidRPr="001E60C7" w14:paraId="7DE03A44" w14:textId="77777777" w:rsidTr="00EC1439">
        <w:trPr>
          <w:trHeight w:val="198"/>
        </w:trPr>
        <w:tc>
          <w:tcPr>
            <w:tcW w:w="2263" w:type="dxa"/>
            <w:tcBorders>
              <w:bottom w:val="single" w:sz="12" w:space="0" w:color="BFBFBF" w:themeColor="background1" w:themeShade="BF"/>
              <w:right w:val="single" w:sz="12" w:space="0" w:color="BFBFBF" w:themeColor="background1" w:themeShade="BF"/>
            </w:tcBorders>
            <w:shd w:val="clear" w:color="auto" w:fill="44546A" w:themeFill="text2"/>
            <w:hideMark/>
          </w:tcPr>
          <w:p w14:paraId="46C922EE" w14:textId="77777777" w:rsidR="0021203D" w:rsidRPr="001E60C7" w:rsidRDefault="0021203D" w:rsidP="0021203D">
            <w:pPr>
              <w:rPr>
                <w:rFonts w:asciiTheme="minorHAnsi" w:eastAsia="Times New Roman" w:hAnsiTheme="minorHAnsi" w:cstheme="minorHAnsi"/>
                <w:b/>
                <w:bCs/>
                <w:color w:val="FFFFFF" w:themeColor="background1"/>
                <w:lang w:eastAsia="zh-CN"/>
              </w:rPr>
            </w:pPr>
            <w:r w:rsidRPr="001E60C7">
              <w:rPr>
                <w:rFonts w:asciiTheme="minorHAnsi" w:eastAsia="Times New Roman" w:hAnsiTheme="minorHAnsi" w:cstheme="minorHAnsi"/>
                <w:b/>
                <w:bCs/>
                <w:color w:val="FFFFFF" w:themeColor="background1"/>
                <w:lang w:eastAsia="zh-CN"/>
              </w:rPr>
              <w:t>Sector</w:t>
            </w:r>
          </w:p>
        </w:tc>
        <w:tc>
          <w:tcPr>
            <w:tcW w:w="1229" w:type="dxa"/>
            <w:tcBorders>
              <w:top w:val="nil"/>
              <w:bottom w:val="single" w:sz="12" w:space="0" w:color="BFBFBF" w:themeColor="background1" w:themeShade="BF"/>
              <w:right w:val="single" w:sz="4" w:space="0" w:color="BFBFBF" w:themeColor="background1" w:themeShade="BF"/>
            </w:tcBorders>
            <w:shd w:val="clear" w:color="auto" w:fill="44546A" w:themeFill="text2"/>
            <w:noWrap/>
            <w:hideMark/>
          </w:tcPr>
          <w:p w14:paraId="1E842B16" w14:textId="33378FC0" w:rsidR="0021203D" w:rsidRPr="001E60C7" w:rsidRDefault="0021203D" w:rsidP="0021203D">
            <w:pPr>
              <w:jc w:val="center"/>
              <w:rPr>
                <w:rFonts w:asciiTheme="minorHAnsi" w:eastAsia="Times New Roman" w:hAnsiTheme="minorHAnsi" w:cstheme="minorHAnsi"/>
                <w:b/>
                <w:bCs/>
                <w:color w:val="FFFFFF" w:themeColor="background1"/>
                <w:lang w:eastAsia="zh-CN"/>
              </w:rPr>
            </w:pPr>
            <w:r>
              <w:rPr>
                <w:rFonts w:asciiTheme="minorHAnsi" w:eastAsia="Times New Roman" w:hAnsiTheme="minorHAnsi" w:cstheme="minorHAnsi"/>
                <w:b/>
                <w:bCs/>
                <w:color w:val="FFFFFF" w:themeColor="background1"/>
                <w:lang w:eastAsia="zh-CN"/>
              </w:rPr>
              <w:t>2017–</w:t>
            </w:r>
            <w:r w:rsidRPr="001E60C7">
              <w:rPr>
                <w:rFonts w:asciiTheme="minorHAnsi" w:eastAsia="Times New Roman" w:hAnsiTheme="minorHAnsi" w:cstheme="minorHAnsi"/>
                <w:b/>
                <w:bCs/>
                <w:color w:val="FFFFFF" w:themeColor="background1"/>
                <w:lang w:eastAsia="zh-CN"/>
              </w:rPr>
              <w:t>18</w:t>
            </w:r>
          </w:p>
        </w:tc>
        <w:tc>
          <w:tcPr>
            <w:tcW w:w="1229" w:type="dxa"/>
            <w:tcBorders>
              <w:top w:val="nil"/>
              <w:left w:val="single" w:sz="4" w:space="0" w:color="BFBFBF" w:themeColor="background1" w:themeShade="BF"/>
              <w:bottom w:val="single" w:sz="12" w:space="0" w:color="BFBFBF" w:themeColor="background1" w:themeShade="BF"/>
              <w:right w:val="single" w:sz="12" w:space="0" w:color="BFBFBF" w:themeColor="background1" w:themeShade="BF"/>
            </w:tcBorders>
            <w:shd w:val="clear" w:color="auto" w:fill="44546A" w:themeFill="text2"/>
          </w:tcPr>
          <w:p w14:paraId="79CE2087" w14:textId="0C8FCFF2" w:rsidR="0021203D" w:rsidRDefault="0021203D" w:rsidP="00EC1439">
            <w:pPr>
              <w:jc w:val="center"/>
              <w:rPr>
                <w:rFonts w:asciiTheme="minorHAnsi" w:eastAsia="Times New Roman" w:hAnsiTheme="minorHAnsi" w:cstheme="minorHAnsi"/>
                <w:b/>
                <w:bCs/>
                <w:color w:val="FFFFFF" w:themeColor="background1"/>
                <w:lang w:eastAsia="zh-CN"/>
              </w:rPr>
            </w:pPr>
            <w:r w:rsidRPr="001E60C7">
              <w:rPr>
                <w:rFonts w:asciiTheme="minorHAnsi" w:eastAsia="Times New Roman" w:hAnsiTheme="minorHAnsi" w:cstheme="minorHAnsi"/>
                <w:b/>
                <w:bCs/>
                <w:color w:val="FFFFFF" w:themeColor="background1"/>
                <w:lang w:eastAsia="zh-CN"/>
              </w:rPr>
              <w:t>2017</w:t>
            </w:r>
            <w:r>
              <w:rPr>
                <w:rFonts w:asciiTheme="minorHAnsi" w:eastAsia="Times New Roman" w:hAnsiTheme="minorHAnsi" w:cstheme="minorHAnsi"/>
                <w:b/>
                <w:bCs/>
                <w:color w:val="FFFFFF" w:themeColor="background1"/>
                <w:lang w:eastAsia="zh-CN"/>
              </w:rPr>
              <w:t>–</w:t>
            </w:r>
            <w:r w:rsidRPr="001E60C7">
              <w:rPr>
                <w:rFonts w:asciiTheme="minorHAnsi" w:eastAsia="Times New Roman" w:hAnsiTheme="minorHAnsi" w:cstheme="minorHAnsi"/>
                <w:b/>
                <w:bCs/>
                <w:color w:val="FFFFFF" w:themeColor="background1"/>
                <w:lang w:eastAsia="zh-CN"/>
              </w:rPr>
              <w:t>18 growth</w:t>
            </w:r>
          </w:p>
        </w:tc>
        <w:tc>
          <w:tcPr>
            <w:tcW w:w="1229" w:type="dxa"/>
            <w:tcBorders>
              <w:left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44546A" w:themeFill="text2"/>
            <w:hideMark/>
          </w:tcPr>
          <w:p w14:paraId="4F75BE50" w14:textId="7C91A0AE" w:rsidR="0021203D" w:rsidRPr="001E60C7" w:rsidRDefault="0021203D" w:rsidP="0021203D">
            <w:pPr>
              <w:jc w:val="center"/>
              <w:rPr>
                <w:rFonts w:asciiTheme="minorHAnsi" w:eastAsia="Times New Roman" w:hAnsiTheme="minorHAnsi" w:cstheme="minorHAnsi"/>
                <w:b/>
                <w:bCs/>
                <w:color w:val="FFFFFF" w:themeColor="background1"/>
                <w:lang w:eastAsia="zh-CN"/>
              </w:rPr>
            </w:pPr>
            <w:r>
              <w:rPr>
                <w:rFonts w:asciiTheme="minorHAnsi" w:eastAsia="Times New Roman" w:hAnsiTheme="minorHAnsi" w:cstheme="minorHAnsi"/>
                <w:b/>
                <w:bCs/>
                <w:color w:val="FFFFFF" w:themeColor="background1"/>
                <w:lang w:eastAsia="zh-CN"/>
              </w:rPr>
              <w:t>2018–</w:t>
            </w:r>
            <w:r w:rsidRPr="001E60C7">
              <w:rPr>
                <w:rFonts w:asciiTheme="minorHAnsi" w:eastAsia="Times New Roman" w:hAnsiTheme="minorHAnsi" w:cstheme="minorHAnsi"/>
                <w:b/>
                <w:bCs/>
                <w:color w:val="FFFFFF" w:themeColor="background1"/>
                <w:lang w:eastAsia="zh-CN"/>
              </w:rPr>
              <w:t xml:space="preserve">19 </w:t>
            </w:r>
          </w:p>
        </w:tc>
        <w:tc>
          <w:tcPr>
            <w:tcW w:w="1276" w:type="dxa"/>
            <w:tcBorders>
              <w:left w:val="single" w:sz="4" w:space="0" w:color="BFBFBF" w:themeColor="background1" w:themeShade="BF"/>
              <w:bottom w:val="single" w:sz="12" w:space="0" w:color="BFBFBF" w:themeColor="background1" w:themeShade="BF"/>
              <w:right w:val="single" w:sz="12" w:space="0" w:color="BFBFBF" w:themeColor="background1" w:themeShade="BF"/>
            </w:tcBorders>
            <w:shd w:val="clear" w:color="auto" w:fill="44546A" w:themeFill="text2"/>
            <w:hideMark/>
          </w:tcPr>
          <w:p w14:paraId="359A5CA0" w14:textId="5768AC0C" w:rsidR="0021203D" w:rsidRPr="001E60C7" w:rsidRDefault="0021203D" w:rsidP="00EC1439">
            <w:pPr>
              <w:jc w:val="center"/>
              <w:rPr>
                <w:rFonts w:asciiTheme="minorHAnsi" w:eastAsia="Times New Roman" w:hAnsiTheme="minorHAnsi" w:cstheme="minorHAnsi"/>
                <w:b/>
                <w:bCs/>
                <w:color w:val="FFFFFF" w:themeColor="background1"/>
                <w:lang w:eastAsia="zh-CN"/>
              </w:rPr>
            </w:pPr>
            <w:r w:rsidRPr="001E60C7">
              <w:rPr>
                <w:rFonts w:asciiTheme="minorHAnsi" w:eastAsia="Times New Roman" w:hAnsiTheme="minorHAnsi" w:cstheme="minorHAnsi"/>
                <w:b/>
                <w:bCs/>
                <w:color w:val="FFFFFF" w:themeColor="background1"/>
                <w:lang w:eastAsia="zh-CN"/>
              </w:rPr>
              <w:t>2</w:t>
            </w:r>
            <w:r>
              <w:rPr>
                <w:rFonts w:asciiTheme="minorHAnsi" w:eastAsia="Times New Roman" w:hAnsiTheme="minorHAnsi" w:cstheme="minorHAnsi"/>
                <w:b/>
                <w:bCs/>
                <w:color w:val="FFFFFF" w:themeColor="background1"/>
                <w:lang w:eastAsia="zh-CN"/>
              </w:rPr>
              <w:t>018–</w:t>
            </w:r>
            <w:r w:rsidRPr="001E60C7">
              <w:rPr>
                <w:rFonts w:asciiTheme="minorHAnsi" w:eastAsia="Times New Roman" w:hAnsiTheme="minorHAnsi" w:cstheme="minorHAnsi"/>
                <w:b/>
                <w:bCs/>
                <w:color w:val="FFFFFF" w:themeColor="background1"/>
                <w:lang w:eastAsia="zh-CN"/>
              </w:rPr>
              <w:t>19 growth</w:t>
            </w:r>
          </w:p>
        </w:tc>
      </w:tr>
      <w:tr w:rsidR="0021203D" w:rsidRPr="001E60C7" w14:paraId="33B7D553" w14:textId="77777777" w:rsidTr="00EC1439">
        <w:trPr>
          <w:trHeight w:val="287"/>
        </w:trPr>
        <w:tc>
          <w:tcPr>
            <w:tcW w:w="2263" w:type="dxa"/>
            <w:tcBorders>
              <w:top w:val="single" w:sz="12" w:space="0" w:color="BFBFBF" w:themeColor="background1" w:themeShade="BF"/>
              <w:right w:val="single" w:sz="12" w:space="0" w:color="BFBFBF" w:themeColor="background1" w:themeShade="BF"/>
            </w:tcBorders>
            <w:noWrap/>
            <w:hideMark/>
          </w:tcPr>
          <w:p w14:paraId="1E28423C" w14:textId="77777777"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Higher education</w:t>
            </w:r>
          </w:p>
        </w:tc>
        <w:tc>
          <w:tcPr>
            <w:tcW w:w="1229" w:type="dxa"/>
            <w:tcBorders>
              <w:top w:val="single" w:sz="12" w:space="0" w:color="BFBFBF" w:themeColor="background1" w:themeShade="BF"/>
              <w:right w:val="single" w:sz="4" w:space="0" w:color="BFBFBF" w:themeColor="background1" w:themeShade="BF"/>
            </w:tcBorders>
            <w:noWrap/>
            <w:hideMark/>
          </w:tcPr>
          <w:p w14:paraId="4F7A63C1" w14:textId="42383371" w:rsidR="0021203D" w:rsidRPr="001E60C7" w:rsidRDefault="0021203D" w:rsidP="0021203D">
            <w:pPr>
              <w:jc w:val="right"/>
              <w:rPr>
                <w:rFonts w:asciiTheme="minorHAnsi" w:eastAsia="Times New Roman" w:hAnsiTheme="minorHAnsi" w:cstheme="minorHAnsi"/>
                <w:color w:val="000000"/>
                <w:lang w:eastAsia="zh-CN"/>
              </w:rPr>
            </w:pPr>
            <w:r w:rsidRPr="001E60C7">
              <w:t xml:space="preserve"> 62,040 </w:t>
            </w:r>
          </w:p>
        </w:tc>
        <w:tc>
          <w:tcPr>
            <w:tcW w:w="1229" w:type="dxa"/>
            <w:tcBorders>
              <w:top w:val="single" w:sz="12" w:space="0" w:color="BFBFBF" w:themeColor="background1" w:themeShade="BF"/>
              <w:left w:val="single" w:sz="4" w:space="0" w:color="BFBFBF" w:themeColor="background1" w:themeShade="BF"/>
              <w:right w:val="single" w:sz="12" w:space="0" w:color="BFBFBF" w:themeColor="background1" w:themeShade="BF"/>
            </w:tcBorders>
          </w:tcPr>
          <w:p w14:paraId="1578D09A" w14:textId="04291EA1" w:rsidR="0021203D" w:rsidRPr="001E60C7" w:rsidRDefault="0021203D" w:rsidP="00EC1439">
            <w:pPr>
              <w:jc w:val="center"/>
            </w:pPr>
            <w:r w:rsidRPr="001E60C7">
              <w:t>8%</w:t>
            </w:r>
          </w:p>
        </w:tc>
        <w:tc>
          <w:tcPr>
            <w:tcW w:w="1229" w:type="dxa"/>
            <w:tcBorders>
              <w:top w:val="single" w:sz="12" w:space="0" w:color="BFBFBF" w:themeColor="background1" w:themeShade="BF"/>
              <w:left w:val="single" w:sz="12" w:space="0" w:color="BFBFBF" w:themeColor="background1" w:themeShade="BF"/>
              <w:right w:val="single" w:sz="4" w:space="0" w:color="BFBFBF" w:themeColor="background1" w:themeShade="BF"/>
            </w:tcBorders>
            <w:noWrap/>
            <w:hideMark/>
          </w:tcPr>
          <w:p w14:paraId="2551CC17" w14:textId="73C2DBD8" w:rsidR="0021203D" w:rsidRPr="001E60C7" w:rsidRDefault="0021203D" w:rsidP="0021203D">
            <w:pPr>
              <w:jc w:val="right"/>
              <w:rPr>
                <w:rFonts w:asciiTheme="minorHAnsi" w:eastAsia="Times New Roman" w:hAnsiTheme="minorHAnsi" w:cstheme="minorHAnsi"/>
                <w:color w:val="000000"/>
                <w:lang w:eastAsia="zh-CN"/>
              </w:rPr>
            </w:pPr>
            <w:r w:rsidRPr="001E60C7">
              <w:t xml:space="preserve"> 61,800 </w:t>
            </w:r>
          </w:p>
        </w:tc>
        <w:tc>
          <w:tcPr>
            <w:tcW w:w="1276" w:type="dxa"/>
            <w:tcBorders>
              <w:top w:val="single" w:sz="12" w:space="0" w:color="BFBFBF" w:themeColor="background1" w:themeShade="BF"/>
              <w:left w:val="single" w:sz="4" w:space="0" w:color="BFBFBF" w:themeColor="background1" w:themeShade="BF"/>
              <w:right w:val="single" w:sz="12" w:space="0" w:color="BFBFBF" w:themeColor="background1" w:themeShade="BF"/>
            </w:tcBorders>
            <w:noWrap/>
            <w:hideMark/>
          </w:tcPr>
          <w:p w14:paraId="3D1D9A5E" w14:textId="6B266DBE" w:rsidR="0021203D" w:rsidRPr="001E60C7" w:rsidRDefault="0021203D" w:rsidP="00EC1439">
            <w:pPr>
              <w:jc w:val="center"/>
              <w:rPr>
                <w:rFonts w:asciiTheme="minorHAnsi" w:hAnsiTheme="minorHAnsi" w:cstheme="minorHAnsi"/>
              </w:rPr>
            </w:pPr>
            <w:r w:rsidRPr="001E60C7">
              <w:t>0%</w:t>
            </w:r>
          </w:p>
        </w:tc>
      </w:tr>
      <w:tr w:rsidR="0021203D" w:rsidRPr="001E60C7" w14:paraId="3E7F3C1F" w14:textId="77777777" w:rsidTr="00EC1439">
        <w:trPr>
          <w:trHeight w:val="287"/>
        </w:trPr>
        <w:tc>
          <w:tcPr>
            <w:tcW w:w="2263" w:type="dxa"/>
            <w:tcBorders>
              <w:right w:val="single" w:sz="12" w:space="0" w:color="BFBFBF" w:themeColor="background1" w:themeShade="BF"/>
            </w:tcBorders>
            <w:noWrap/>
            <w:hideMark/>
          </w:tcPr>
          <w:p w14:paraId="2E7FAE71" w14:textId="77777777"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VET</w:t>
            </w:r>
          </w:p>
        </w:tc>
        <w:tc>
          <w:tcPr>
            <w:tcW w:w="1229" w:type="dxa"/>
            <w:tcBorders>
              <w:right w:val="single" w:sz="4" w:space="0" w:color="BFBFBF" w:themeColor="background1" w:themeShade="BF"/>
            </w:tcBorders>
            <w:noWrap/>
            <w:hideMark/>
          </w:tcPr>
          <w:p w14:paraId="73785B45" w14:textId="24D2B282" w:rsidR="0021203D" w:rsidRPr="001E60C7" w:rsidRDefault="0021203D" w:rsidP="0021203D">
            <w:pPr>
              <w:jc w:val="right"/>
              <w:rPr>
                <w:rFonts w:asciiTheme="minorHAnsi" w:hAnsiTheme="minorHAnsi" w:cstheme="minorHAnsi"/>
              </w:rPr>
            </w:pPr>
            <w:r w:rsidRPr="001E60C7">
              <w:t xml:space="preserve"> 7,708 </w:t>
            </w:r>
          </w:p>
        </w:tc>
        <w:tc>
          <w:tcPr>
            <w:tcW w:w="1229" w:type="dxa"/>
            <w:tcBorders>
              <w:left w:val="single" w:sz="4" w:space="0" w:color="BFBFBF" w:themeColor="background1" w:themeShade="BF"/>
              <w:right w:val="single" w:sz="12" w:space="0" w:color="BFBFBF" w:themeColor="background1" w:themeShade="BF"/>
            </w:tcBorders>
          </w:tcPr>
          <w:p w14:paraId="05DD8738" w14:textId="3888C44E" w:rsidR="0021203D" w:rsidRPr="001E60C7" w:rsidRDefault="0021203D" w:rsidP="00EC1439">
            <w:pPr>
              <w:jc w:val="center"/>
            </w:pPr>
            <w:r w:rsidRPr="001E60C7">
              <w:t>59%</w:t>
            </w:r>
          </w:p>
        </w:tc>
        <w:tc>
          <w:tcPr>
            <w:tcW w:w="1229" w:type="dxa"/>
            <w:tcBorders>
              <w:left w:val="single" w:sz="12" w:space="0" w:color="BFBFBF" w:themeColor="background1" w:themeShade="BF"/>
              <w:right w:val="single" w:sz="4" w:space="0" w:color="BFBFBF" w:themeColor="background1" w:themeShade="BF"/>
            </w:tcBorders>
            <w:noWrap/>
            <w:hideMark/>
          </w:tcPr>
          <w:p w14:paraId="6B526BF6" w14:textId="56E76369" w:rsidR="0021203D" w:rsidRPr="001E60C7" w:rsidRDefault="0021203D" w:rsidP="0021203D">
            <w:pPr>
              <w:jc w:val="right"/>
              <w:rPr>
                <w:rFonts w:asciiTheme="minorHAnsi" w:hAnsiTheme="minorHAnsi" w:cstheme="minorHAnsi"/>
              </w:rPr>
            </w:pPr>
            <w:r w:rsidRPr="001E60C7">
              <w:t xml:space="preserve"> 6,873 </w:t>
            </w:r>
          </w:p>
        </w:tc>
        <w:tc>
          <w:tcPr>
            <w:tcW w:w="1276" w:type="dxa"/>
            <w:tcBorders>
              <w:left w:val="single" w:sz="4" w:space="0" w:color="BFBFBF" w:themeColor="background1" w:themeShade="BF"/>
              <w:right w:val="single" w:sz="12" w:space="0" w:color="BFBFBF" w:themeColor="background1" w:themeShade="BF"/>
            </w:tcBorders>
            <w:noWrap/>
            <w:hideMark/>
          </w:tcPr>
          <w:p w14:paraId="526D19AF" w14:textId="0A15C038" w:rsidR="0021203D" w:rsidRPr="001E60C7" w:rsidRDefault="0021203D" w:rsidP="00EC1439">
            <w:pPr>
              <w:jc w:val="center"/>
              <w:rPr>
                <w:rFonts w:asciiTheme="minorHAnsi" w:hAnsiTheme="minorHAnsi" w:cstheme="minorHAnsi"/>
              </w:rPr>
            </w:pPr>
            <w:r w:rsidRPr="001E60C7">
              <w:t>-11%</w:t>
            </w:r>
          </w:p>
        </w:tc>
      </w:tr>
      <w:tr w:rsidR="0021203D" w:rsidRPr="001E60C7" w14:paraId="03F1DAE2" w14:textId="77777777" w:rsidTr="00EC1439">
        <w:trPr>
          <w:trHeight w:val="287"/>
        </w:trPr>
        <w:tc>
          <w:tcPr>
            <w:tcW w:w="2263" w:type="dxa"/>
            <w:tcBorders>
              <w:right w:val="single" w:sz="12" w:space="0" w:color="BFBFBF" w:themeColor="background1" w:themeShade="BF"/>
            </w:tcBorders>
            <w:noWrap/>
            <w:hideMark/>
          </w:tcPr>
          <w:p w14:paraId="32323A2B" w14:textId="77777777"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Schools</w:t>
            </w:r>
          </w:p>
        </w:tc>
        <w:tc>
          <w:tcPr>
            <w:tcW w:w="1229" w:type="dxa"/>
            <w:tcBorders>
              <w:right w:val="single" w:sz="4" w:space="0" w:color="BFBFBF" w:themeColor="background1" w:themeShade="BF"/>
            </w:tcBorders>
            <w:noWrap/>
            <w:hideMark/>
          </w:tcPr>
          <w:p w14:paraId="11003B00" w14:textId="6AC8001F" w:rsidR="0021203D" w:rsidRPr="001E60C7" w:rsidRDefault="0021203D" w:rsidP="0021203D">
            <w:pPr>
              <w:jc w:val="right"/>
              <w:rPr>
                <w:rFonts w:asciiTheme="minorHAnsi" w:hAnsiTheme="minorHAnsi" w:cstheme="minorHAnsi"/>
              </w:rPr>
            </w:pPr>
            <w:r w:rsidRPr="001E60C7">
              <w:t xml:space="preserve"> 4,106 </w:t>
            </w:r>
          </w:p>
        </w:tc>
        <w:tc>
          <w:tcPr>
            <w:tcW w:w="1229" w:type="dxa"/>
            <w:tcBorders>
              <w:left w:val="single" w:sz="4" w:space="0" w:color="BFBFBF" w:themeColor="background1" w:themeShade="BF"/>
              <w:right w:val="single" w:sz="12" w:space="0" w:color="BFBFBF" w:themeColor="background1" w:themeShade="BF"/>
            </w:tcBorders>
          </w:tcPr>
          <w:p w14:paraId="72B47126" w14:textId="71DFB88D" w:rsidR="0021203D" w:rsidRPr="001E60C7" w:rsidRDefault="0021203D" w:rsidP="00EC1439">
            <w:pPr>
              <w:jc w:val="center"/>
            </w:pPr>
            <w:r w:rsidRPr="001E60C7">
              <w:t>-15%</w:t>
            </w:r>
          </w:p>
        </w:tc>
        <w:tc>
          <w:tcPr>
            <w:tcW w:w="1229" w:type="dxa"/>
            <w:tcBorders>
              <w:left w:val="single" w:sz="12" w:space="0" w:color="BFBFBF" w:themeColor="background1" w:themeShade="BF"/>
              <w:right w:val="single" w:sz="4" w:space="0" w:color="BFBFBF" w:themeColor="background1" w:themeShade="BF"/>
            </w:tcBorders>
            <w:noWrap/>
            <w:hideMark/>
          </w:tcPr>
          <w:p w14:paraId="50E43548" w14:textId="1E991B2E" w:rsidR="0021203D" w:rsidRPr="001E60C7" w:rsidRDefault="0021203D" w:rsidP="0021203D">
            <w:pPr>
              <w:jc w:val="right"/>
              <w:rPr>
                <w:rFonts w:asciiTheme="minorHAnsi" w:hAnsiTheme="minorHAnsi" w:cstheme="minorHAnsi"/>
              </w:rPr>
            </w:pPr>
            <w:r w:rsidRPr="001E60C7">
              <w:t xml:space="preserve"> 3,046 </w:t>
            </w:r>
          </w:p>
        </w:tc>
        <w:tc>
          <w:tcPr>
            <w:tcW w:w="1276" w:type="dxa"/>
            <w:tcBorders>
              <w:left w:val="single" w:sz="4" w:space="0" w:color="BFBFBF" w:themeColor="background1" w:themeShade="BF"/>
              <w:right w:val="single" w:sz="12" w:space="0" w:color="BFBFBF" w:themeColor="background1" w:themeShade="BF"/>
            </w:tcBorders>
            <w:noWrap/>
            <w:hideMark/>
          </w:tcPr>
          <w:p w14:paraId="00778339" w14:textId="612F8EBE" w:rsidR="0021203D" w:rsidRPr="001E60C7" w:rsidRDefault="0021203D" w:rsidP="00EC1439">
            <w:pPr>
              <w:jc w:val="center"/>
              <w:rPr>
                <w:rFonts w:asciiTheme="minorHAnsi" w:hAnsiTheme="minorHAnsi" w:cstheme="minorHAnsi"/>
              </w:rPr>
            </w:pPr>
            <w:r w:rsidRPr="001E60C7">
              <w:t>-26%</w:t>
            </w:r>
          </w:p>
        </w:tc>
      </w:tr>
      <w:tr w:rsidR="0021203D" w:rsidRPr="001E60C7" w14:paraId="4235560C" w14:textId="77777777" w:rsidTr="00EC1439">
        <w:trPr>
          <w:trHeight w:val="287"/>
        </w:trPr>
        <w:tc>
          <w:tcPr>
            <w:tcW w:w="2263" w:type="dxa"/>
            <w:tcBorders>
              <w:right w:val="single" w:sz="12" w:space="0" w:color="BFBFBF" w:themeColor="background1" w:themeShade="BF"/>
            </w:tcBorders>
            <w:noWrap/>
            <w:hideMark/>
          </w:tcPr>
          <w:p w14:paraId="7066B3EA" w14:textId="68BFF1C0"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Postgraduate research</w:t>
            </w:r>
          </w:p>
        </w:tc>
        <w:tc>
          <w:tcPr>
            <w:tcW w:w="1229" w:type="dxa"/>
            <w:tcBorders>
              <w:right w:val="single" w:sz="4" w:space="0" w:color="BFBFBF" w:themeColor="background1" w:themeShade="BF"/>
            </w:tcBorders>
            <w:noWrap/>
            <w:hideMark/>
          </w:tcPr>
          <w:p w14:paraId="3E90FB2F" w14:textId="6F5F2263" w:rsidR="0021203D" w:rsidRPr="001E60C7" w:rsidRDefault="0021203D" w:rsidP="0021203D">
            <w:pPr>
              <w:jc w:val="right"/>
              <w:rPr>
                <w:rFonts w:asciiTheme="minorHAnsi" w:hAnsiTheme="minorHAnsi" w:cstheme="minorHAnsi"/>
              </w:rPr>
            </w:pPr>
            <w:r w:rsidRPr="001E60C7">
              <w:t xml:space="preserve"> 1,405 </w:t>
            </w:r>
          </w:p>
        </w:tc>
        <w:tc>
          <w:tcPr>
            <w:tcW w:w="1229" w:type="dxa"/>
            <w:tcBorders>
              <w:left w:val="single" w:sz="4" w:space="0" w:color="BFBFBF" w:themeColor="background1" w:themeShade="BF"/>
              <w:right w:val="single" w:sz="12" w:space="0" w:color="BFBFBF" w:themeColor="background1" w:themeShade="BF"/>
            </w:tcBorders>
          </w:tcPr>
          <w:p w14:paraId="4D0D0518" w14:textId="2EB7FFB8" w:rsidR="0021203D" w:rsidRPr="001E60C7" w:rsidRDefault="0021203D" w:rsidP="00EC1439">
            <w:pPr>
              <w:jc w:val="center"/>
            </w:pPr>
            <w:r w:rsidRPr="001E60C7">
              <w:t>-2%</w:t>
            </w:r>
          </w:p>
        </w:tc>
        <w:tc>
          <w:tcPr>
            <w:tcW w:w="1229" w:type="dxa"/>
            <w:tcBorders>
              <w:left w:val="single" w:sz="12" w:space="0" w:color="BFBFBF" w:themeColor="background1" w:themeShade="BF"/>
              <w:right w:val="single" w:sz="4" w:space="0" w:color="BFBFBF" w:themeColor="background1" w:themeShade="BF"/>
            </w:tcBorders>
            <w:noWrap/>
            <w:hideMark/>
          </w:tcPr>
          <w:p w14:paraId="5B01108A" w14:textId="0F65BCEA" w:rsidR="0021203D" w:rsidRPr="001E60C7" w:rsidRDefault="0021203D" w:rsidP="0021203D">
            <w:pPr>
              <w:jc w:val="right"/>
              <w:rPr>
                <w:rFonts w:asciiTheme="minorHAnsi" w:hAnsiTheme="minorHAnsi" w:cstheme="minorHAnsi"/>
              </w:rPr>
            </w:pPr>
            <w:r w:rsidRPr="001E60C7">
              <w:t xml:space="preserve"> 1,440 </w:t>
            </w:r>
          </w:p>
        </w:tc>
        <w:tc>
          <w:tcPr>
            <w:tcW w:w="1276" w:type="dxa"/>
            <w:tcBorders>
              <w:left w:val="single" w:sz="4" w:space="0" w:color="BFBFBF" w:themeColor="background1" w:themeShade="BF"/>
              <w:right w:val="single" w:sz="12" w:space="0" w:color="BFBFBF" w:themeColor="background1" w:themeShade="BF"/>
            </w:tcBorders>
            <w:noWrap/>
            <w:hideMark/>
          </w:tcPr>
          <w:p w14:paraId="20965486" w14:textId="405D35FE" w:rsidR="0021203D" w:rsidRPr="001E60C7" w:rsidRDefault="0021203D" w:rsidP="00EC1439">
            <w:pPr>
              <w:jc w:val="center"/>
              <w:rPr>
                <w:rFonts w:asciiTheme="minorHAnsi" w:hAnsiTheme="minorHAnsi" w:cstheme="minorHAnsi"/>
              </w:rPr>
            </w:pPr>
            <w:r w:rsidRPr="001E60C7">
              <w:t>2%</w:t>
            </w:r>
          </w:p>
        </w:tc>
      </w:tr>
      <w:tr w:rsidR="0021203D" w:rsidRPr="001E60C7" w14:paraId="6AE4EE89" w14:textId="77777777" w:rsidTr="00EC1439">
        <w:trPr>
          <w:trHeight w:val="287"/>
        </w:trPr>
        <w:tc>
          <w:tcPr>
            <w:tcW w:w="2263" w:type="dxa"/>
            <w:tcBorders>
              <w:right w:val="single" w:sz="12" w:space="0" w:color="BFBFBF" w:themeColor="background1" w:themeShade="BF"/>
            </w:tcBorders>
            <w:noWrap/>
            <w:hideMark/>
          </w:tcPr>
          <w:p w14:paraId="1332DB23" w14:textId="0D5D5D31"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 xml:space="preserve">ELICOS </w:t>
            </w:r>
          </w:p>
        </w:tc>
        <w:tc>
          <w:tcPr>
            <w:tcW w:w="1229" w:type="dxa"/>
            <w:tcBorders>
              <w:right w:val="single" w:sz="4" w:space="0" w:color="BFBFBF" w:themeColor="background1" w:themeShade="BF"/>
            </w:tcBorders>
            <w:noWrap/>
            <w:hideMark/>
          </w:tcPr>
          <w:p w14:paraId="1D085326" w14:textId="0E2A563F" w:rsidR="0021203D" w:rsidRPr="001E60C7" w:rsidRDefault="0021203D" w:rsidP="0021203D">
            <w:pPr>
              <w:jc w:val="right"/>
              <w:rPr>
                <w:rFonts w:asciiTheme="minorHAnsi" w:hAnsiTheme="minorHAnsi" w:cstheme="minorHAnsi"/>
              </w:rPr>
            </w:pPr>
            <w:r w:rsidRPr="001E60C7">
              <w:t xml:space="preserve"> 586 </w:t>
            </w:r>
          </w:p>
        </w:tc>
        <w:tc>
          <w:tcPr>
            <w:tcW w:w="1229" w:type="dxa"/>
            <w:tcBorders>
              <w:left w:val="single" w:sz="4" w:space="0" w:color="BFBFBF" w:themeColor="background1" w:themeShade="BF"/>
              <w:right w:val="single" w:sz="12" w:space="0" w:color="BFBFBF" w:themeColor="background1" w:themeShade="BF"/>
            </w:tcBorders>
          </w:tcPr>
          <w:p w14:paraId="38F72ADA" w14:textId="63DA117B" w:rsidR="0021203D" w:rsidRPr="001E60C7" w:rsidRDefault="0021203D" w:rsidP="00EC1439">
            <w:pPr>
              <w:jc w:val="center"/>
            </w:pPr>
            <w:r w:rsidRPr="001E60C7">
              <w:t>45%</w:t>
            </w:r>
          </w:p>
        </w:tc>
        <w:tc>
          <w:tcPr>
            <w:tcW w:w="1229" w:type="dxa"/>
            <w:tcBorders>
              <w:left w:val="single" w:sz="12" w:space="0" w:color="BFBFBF" w:themeColor="background1" w:themeShade="BF"/>
              <w:right w:val="single" w:sz="4" w:space="0" w:color="BFBFBF" w:themeColor="background1" w:themeShade="BF"/>
            </w:tcBorders>
            <w:noWrap/>
            <w:hideMark/>
          </w:tcPr>
          <w:p w14:paraId="636AA00F" w14:textId="07894A61" w:rsidR="0021203D" w:rsidRPr="001E60C7" w:rsidRDefault="0021203D" w:rsidP="0021203D">
            <w:pPr>
              <w:jc w:val="right"/>
              <w:rPr>
                <w:rFonts w:asciiTheme="minorHAnsi" w:hAnsiTheme="minorHAnsi" w:cstheme="minorHAnsi"/>
              </w:rPr>
            </w:pPr>
            <w:r w:rsidRPr="001E60C7">
              <w:t xml:space="preserve"> 471 </w:t>
            </w:r>
          </w:p>
        </w:tc>
        <w:tc>
          <w:tcPr>
            <w:tcW w:w="1276" w:type="dxa"/>
            <w:tcBorders>
              <w:left w:val="single" w:sz="4" w:space="0" w:color="BFBFBF" w:themeColor="background1" w:themeShade="BF"/>
              <w:right w:val="single" w:sz="12" w:space="0" w:color="BFBFBF" w:themeColor="background1" w:themeShade="BF"/>
            </w:tcBorders>
            <w:noWrap/>
            <w:hideMark/>
          </w:tcPr>
          <w:p w14:paraId="58630C8A" w14:textId="24958863" w:rsidR="0021203D" w:rsidRPr="001E60C7" w:rsidRDefault="0021203D" w:rsidP="00EC1439">
            <w:pPr>
              <w:jc w:val="center"/>
              <w:rPr>
                <w:rFonts w:asciiTheme="minorHAnsi" w:hAnsiTheme="minorHAnsi" w:cstheme="minorHAnsi"/>
              </w:rPr>
            </w:pPr>
            <w:r w:rsidRPr="001E60C7">
              <w:t>-20%</w:t>
            </w:r>
          </w:p>
        </w:tc>
      </w:tr>
      <w:tr w:rsidR="0021203D" w:rsidRPr="001E60C7" w14:paraId="48866078" w14:textId="77777777" w:rsidTr="00EC1439">
        <w:trPr>
          <w:trHeight w:val="287"/>
        </w:trPr>
        <w:tc>
          <w:tcPr>
            <w:tcW w:w="2263" w:type="dxa"/>
            <w:tcBorders>
              <w:right w:val="single" w:sz="12" w:space="0" w:color="BFBFBF" w:themeColor="background1" w:themeShade="BF"/>
            </w:tcBorders>
            <w:noWrap/>
            <w:hideMark/>
          </w:tcPr>
          <w:p w14:paraId="6B9FE6E4" w14:textId="77777777" w:rsidR="0021203D" w:rsidRPr="001E60C7" w:rsidRDefault="0021203D" w:rsidP="0021203D">
            <w:pPr>
              <w:rPr>
                <w:rFonts w:asciiTheme="minorHAnsi" w:eastAsia="Times New Roman" w:hAnsiTheme="minorHAnsi" w:cstheme="minorHAnsi"/>
                <w:color w:val="000000"/>
                <w:lang w:eastAsia="zh-CN"/>
              </w:rPr>
            </w:pPr>
            <w:r w:rsidRPr="001E60C7">
              <w:rPr>
                <w:rFonts w:asciiTheme="minorHAnsi" w:eastAsia="Times New Roman" w:hAnsiTheme="minorHAnsi" w:cstheme="minorHAnsi"/>
                <w:color w:val="000000"/>
                <w:lang w:eastAsia="zh-CN"/>
              </w:rPr>
              <w:t>Non-award</w:t>
            </w:r>
          </w:p>
        </w:tc>
        <w:tc>
          <w:tcPr>
            <w:tcW w:w="1229" w:type="dxa"/>
            <w:tcBorders>
              <w:right w:val="single" w:sz="4" w:space="0" w:color="BFBFBF" w:themeColor="background1" w:themeShade="BF"/>
            </w:tcBorders>
            <w:noWrap/>
            <w:hideMark/>
          </w:tcPr>
          <w:p w14:paraId="22064400" w14:textId="3DEF274A" w:rsidR="0021203D" w:rsidRPr="001E60C7" w:rsidRDefault="0021203D" w:rsidP="0021203D">
            <w:pPr>
              <w:jc w:val="right"/>
              <w:rPr>
                <w:rFonts w:asciiTheme="minorHAnsi" w:hAnsiTheme="minorHAnsi" w:cstheme="minorHAnsi"/>
              </w:rPr>
            </w:pPr>
            <w:r w:rsidRPr="001E60C7">
              <w:t xml:space="preserve"> 874 </w:t>
            </w:r>
          </w:p>
        </w:tc>
        <w:tc>
          <w:tcPr>
            <w:tcW w:w="1229" w:type="dxa"/>
            <w:tcBorders>
              <w:left w:val="single" w:sz="4" w:space="0" w:color="BFBFBF" w:themeColor="background1" w:themeShade="BF"/>
              <w:right w:val="single" w:sz="12" w:space="0" w:color="BFBFBF" w:themeColor="background1" w:themeShade="BF"/>
            </w:tcBorders>
          </w:tcPr>
          <w:p w14:paraId="47A0C7D8" w14:textId="3FDD7B24" w:rsidR="0021203D" w:rsidRPr="001E60C7" w:rsidRDefault="0021203D" w:rsidP="00EC1439">
            <w:pPr>
              <w:jc w:val="center"/>
            </w:pPr>
            <w:r w:rsidRPr="001E60C7">
              <w:t>7%</w:t>
            </w:r>
          </w:p>
        </w:tc>
        <w:tc>
          <w:tcPr>
            <w:tcW w:w="1229" w:type="dxa"/>
            <w:tcBorders>
              <w:left w:val="single" w:sz="12" w:space="0" w:color="BFBFBF" w:themeColor="background1" w:themeShade="BF"/>
              <w:right w:val="single" w:sz="4" w:space="0" w:color="BFBFBF" w:themeColor="background1" w:themeShade="BF"/>
            </w:tcBorders>
            <w:noWrap/>
            <w:hideMark/>
          </w:tcPr>
          <w:p w14:paraId="656B84D8" w14:textId="7D33CF33" w:rsidR="0021203D" w:rsidRPr="001E60C7" w:rsidRDefault="0021203D" w:rsidP="0021203D">
            <w:pPr>
              <w:jc w:val="right"/>
              <w:rPr>
                <w:rFonts w:asciiTheme="minorHAnsi" w:hAnsiTheme="minorHAnsi" w:cstheme="minorHAnsi"/>
              </w:rPr>
            </w:pPr>
            <w:r w:rsidRPr="001E60C7">
              <w:t xml:space="preserve"> 814 </w:t>
            </w:r>
          </w:p>
        </w:tc>
        <w:tc>
          <w:tcPr>
            <w:tcW w:w="1276" w:type="dxa"/>
            <w:tcBorders>
              <w:left w:val="single" w:sz="4" w:space="0" w:color="BFBFBF" w:themeColor="background1" w:themeShade="BF"/>
              <w:right w:val="single" w:sz="12" w:space="0" w:color="BFBFBF" w:themeColor="background1" w:themeShade="BF"/>
            </w:tcBorders>
            <w:noWrap/>
            <w:hideMark/>
          </w:tcPr>
          <w:p w14:paraId="346602CE" w14:textId="54738D9A" w:rsidR="0021203D" w:rsidRPr="001E60C7" w:rsidRDefault="0021203D" w:rsidP="00EC1439">
            <w:pPr>
              <w:jc w:val="center"/>
              <w:rPr>
                <w:rFonts w:asciiTheme="minorHAnsi" w:hAnsiTheme="minorHAnsi" w:cstheme="minorHAnsi"/>
              </w:rPr>
            </w:pPr>
            <w:r w:rsidRPr="001E60C7">
              <w:t>-7%</w:t>
            </w:r>
          </w:p>
        </w:tc>
      </w:tr>
      <w:tr w:rsidR="0021203D" w:rsidRPr="001E60C7" w14:paraId="15F9D449" w14:textId="77777777" w:rsidTr="00EC1439">
        <w:trPr>
          <w:trHeight w:val="287"/>
        </w:trPr>
        <w:tc>
          <w:tcPr>
            <w:tcW w:w="2263" w:type="dxa"/>
            <w:tcBorders>
              <w:right w:val="single" w:sz="12" w:space="0" w:color="BFBFBF" w:themeColor="background1" w:themeShade="BF"/>
            </w:tcBorders>
            <w:noWrap/>
            <w:hideMark/>
          </w:tcPr>
          <w:p w14:paraId="662FA7F2" w14:textId="77777777" w:rsidR="0021203D" w:rsidRPr="001E60C7" w:rsidRDefault="0021203D" w:rsidP="0021203D">
            <w:pPr>
              <w:rPr>
                <w:rFonts w:asciiTheme="minorHAnsi" w:eastAsia="Times New Roman" w:hAnsiTheme="minorHAnsi" w:cstheme="minorHAnsi"/>
                <w:b/>
                <w:bCs/>
                <w:color w:val="000000"/>
                <w:lang w:eastAsia="zh-CN"/>
              </w:rPr>
            </w:pPr>
            <w:r w:rsidRPr="001E60C7">
              <w:rPr>
                <w:rFonts w:asciiTheme="minorHAnsi" w:eastAsia="Times New Roman" w:hAnsiTheme="minorHAnsi" w:cstheme="minorHAnsi"/>
                <w:b/>
                <w:bCs/>
                <w:color w:val="000000"/>
                <w:lang w:eastAsia="zh-CN"/>
              </w:rPr>
              <w:t>Primary Total^</w:t>
            </w:r>
          </w:p>
        </w:tc>
        <w:tc>
          <w:tcPr>
            <w:tcW w:w="1229" w:type="dxa"/>
            <w:tcBorders>
              <w:right w:val="single" w:sz="4" w:space="0" w:color="BFBFBF" w:themeColor="background1" w:themeShade="BF"/>
            </w:tcBorders>
            <w:noWrap/>
            <w:hideMark/>
          </w:tcPr>
          <w:p w14:paraId="498B7FB5" w14:textId="2D7B31FB" w:rsidR="0021203D" w:rsidRPr="001E60C7" w:rsidRDefault="0021203D" w:rsidP="0021203D">
            <w:pPr>
              <w:jc w:val="right"/>
              <w:rPr>
                <w:rFonts w:asciiTheme="minorHAnsi" w:hAnsiTheme="minorHAnsi" w:cstheme="minorHAnsi"/>
                <w:b/>
              </w:rPr>
            </w:pPr>
            <w:r w:rsidRPr="001E60C7">
              <w:rPr>
                <w:b/>
              </w:rPr>
              <w:t xml:space="preserve"> 76,719 </w:t>
            </w:r>
          </w:p>
        </w:tc>
        <w:tc>
          <w:tcPr>
            <w:tcW w:w="1229" w:type="dxa"/>
            <w:tcBorders>
              <w:left w:val="single" w:sz="4" w:space="0" w:color="BFBFBF" w:themeColor="background1" w:themeShade="BF"/>
              <w:right w:val="single" w:sz="12" w:space="0" w:color="BFBFBF" w:themeColor="background1" w:themeShade="BF"/>
            </w:tcBorders>
          </w:tcPr>
          <w:p w14:paraId="1B9B2CC0" w14:textId="2EC9FDA7" w:rsidR="0021203D" w:rsidRPr="001E60C7" w:rsidRDefault="0021203D" w:rsidP="00EC1439">
            <w:pPr>
              <w:jc w:val="center"/>
              <w:rPr>
                <w:b/>
              </w:rPr>
            </w:pPr>
            <w:r w:rsidRPr="001E60C7">
              <w:rPr>
                <w:b/>
              </w:rPr>
              <w:t>10%</w:t>
            </w:r>
          </w:p>
        </w:tc>
        <w:tc>
          <w:tcPr>
            <w:tcW w:w="1229" w:type="dxa"/>
            <w:tcBorders>
              <w:left w:val="single" w:sz="12" w:space="0" w:color="BFBFBF" w:themeColor="background1" w:themeShade="BF"/>
              <w:right w:val="single" w:sz="4" w:space="0" w:color="BFBFBF" w:themeColor="background1" w:themeShade="BF"/>
            </w:tcBorders>
            <w:noWrap/>
            <w:hideMark/>
          </w:tcPr>
          <w:p w14:paraId="07AF1A46" w14:textId="7E1F8E18" w:rsidR="0021203D" w:rsidRPr="001E60C7" w:rsidRDefault="0021203D" w:rsidP="0021203D">
            <w:pPr>
              <w:jc w:val="right"/>
              <w:rPr>
                <w:rFonts w:asciiTheme="minorHAnsi" w:hAnsiTheme="minorHAnsi" w:cstheme="minorHAnsi"/>
                <w:b/>
              </w:rPr>
            </w:pPr>
            <w:r w:rsidRPr="001E60C7">
              <w:rPr>
                <w:b/>
              </w:rPr>
              <w:t xml:space="preserve"> 74,444 </w:t>
            </w:r>
          </w:p>
        </w:tc>
        <w:tc>
          <w:tcPr>
            <w:tcW w:w="1276" w:type="dxa"/>
            <w:tcBorders>
              <w:left w:val="single" w:sz="4" w:space="0" w:color="BFBFBF" w:themeColor="background1" w:themeShade="BF"/>
              <w:right w:val="single" w:sz="12" w:space="0" w:color="BFBFBF" w:themeColor="background1" w:themeShade="BF"/>
            </w:tcBorders>
            <w:noWrap/>
            <w:hideMark/>
          </w:tcPr>
          <w:p w14:paraId="194F659C" w14:textId="747AE77D" w:rsidR="0021203D" w:rsidRPr="001E60C7" w:rsidRDefault="0021203D" w:rsidP="00EC1439">
            <w:pPr>
              <w:jc w:val="center"/>
              <w:rPr>
                <w:rFonts w:asciiTheme="minorHAnsi" w:hAnsiTheme="minorHAnsi" w:cstheme="minorHAnsi"/>
                <w:b/>
              </w:rPr>
            </w:pPr>
            <w:r w:rsidRPr="001E60C7">
              <w:rPr>
                <w:b/>
              </w:rPr>
              <w:t>-3%</w:t>
            </w:r>
          </w:p>
        </w:tc>
      </w:tr>
    </w:tbl>
    <w:p w14:paraId="2C51BA5B" w14:textId="327F8A14" w:rsidR="007F0284" w:rsidRPr="001E60C7" w:rsidRDefault="007F0284" w:rsidP="007F0284">
      <w:pPr>
        <w:rPr>
          <w:sz w:val="16"/>
          <w:szCs w:val="16"/>
        </w:rPr>
      </w:pPr>
      <w:r w:rsidRPr="001E60C7">
        <w:rPr>
          <w:sz w:val="16"/>
          <w:szCs w:val="16"/>
        </w:rPr>
        <w:t>Source: Department of Home Affairs</w:t>
      </w:r>
      <w:r w:rsidR="00D35904" w:rsidRPr="001E60C7">
        <w:rPr>
          <w:sz w:val="16"/>
          <w:szCs w:val="16"/>
        </w:rPr>
        <w:t>.</w:t>
      </w:r>
      <w:r w:rsidR="00D35904" w:rsidRPr="001E60C7">
        <w:rPr>
          <w:rStyle w:val="FootnoteReference"/>
          <w:sz w:val="16"/>
          <w:szCs w:val="16"/>
        </w:rPr>
        <w:footnoteReference w:id="79"/>
      </w:r>
      <w:r w:rsidR="004A2F92" w:rsidRPr="001E60C7">
        <w:rPr>
          <w:sz w:val="16"/>
          <w:szCs w:val="16"/>
        </w:rPr>
        <w:t xml:space="preserve"> </w:t>
      </w:r>
      <w:r w:rsidRPr="001E60C7">
        <w:rPr>
          <w:sz w:val="16"/>
          <w:szCs w:val="16"/>
        </w:rPr>
        <w:t xml:space="preserve"> </w:t>
      </w:r>
    </w:p>
    <w:p w14:paraId="5666F39F" w14:textId="61446130" w:rsidR="007F0284" w:rsidRPr="001E60C7" w:rsidRDefault="007F0284" w:rsidP="007F0284">
      <w:pPr>
        <w:rPr>
          <w:sz w:val="16"/>
          <w:szCs w:val="16"/>
        </w:rPr>
      </w:pPr>
      <w:r w:rsidRPr="001E60C7">
        <w:rPr>
          <w:sz w:val="16"/>
          <w:szCs w:val="16"/>
        </w:rPr>
        <w:t>^This excludes DFAT officials</w:t>
      </w:r>
      <w:r w:rsidR="004A2F92" w:rsidRPr="001E60C7">
        <w:rPr>
          <w:sz w:val="16"/>
          <w:szCs w:val="16"/>
        </w:rPr>
        <w:t>.</w:t>
      </w:r>
    </w:p>
    <w:p w14:paraId="469D0E4D" w14:textId="77777777" w:rsidR="007F0284" w:rsidRPr="001E60C7" w:rsidRDefault="007F0284" w:rsidP="007F0284">
      <w:pPr>
        <w:rPr>
          <w:sz w:val="16"/>
          <w:szCs w:val="16"/>
        </w:rPr>
      </w:pPr>
    </w:p>
    <w:p w14:paraId="123A7D43" w14:textId="5E19574E" w:rsidR="00B53F0D" w:rsidRPr="001E60C7" w:rsidRDefault="003A71D7" w:rsidP="00B53F0D">
      <w:pPr>
        <w:spacing w:after="160" w:line="259" w:lineRule="auto"/>
        <w:rPr>
          <w:spacing w:val="-1"/>
        </w:rPr>
      </w:pPr>
      <w:r w:rsidRPr="001E60C7">
        <w:rPr>
          <w:spacing w:val="-1"/>
        </w:rPr>
        <w:t>As outlined earlier, i</w:t>
      </w:r>
      <w:r w:rsidR="00B53F0D" w:rsidRPr="001E60C7">
        <w:rPr>
          <w:spacing w:val="-1"/>
        </w:rPr>
        <w:t xml:space="preserve">t is not possible to determine </w:t>
      </w:r>
      <w:r w:rsidR="006829BC" w:rsidRPr="001E60C7">
        <w:rPr>
          <w:spacing w:val="-1"/>
        </w:rPr>
        <w:t>which factors are dominating</w:t>
      </w:r>
      <w:r w:rsidR="00B53F0D" w:rsidRPr="001E60C7">
        <w:rPr>
          <w:spacing w:val="-1"/>
        </w:rPr>
        <w:t xml:space="preserve"> the </w:t>
      </w:r>
      <w:r w:rsidR="005A58E7" w:rsidRPr="001E60C7">
        <w:rPr>
          <w:spacing w:val="-1"/>
        </w:rPr>
        <w:t xml:space="preserve">slowing </w:t>
      </w:r>
      <w:r w:rsidR="00B53F0D" w:rsidRPr="001E60C7">
        <w:rPr>
          <w:spacing w:val="-1"/>
        </w:rPr>
        <w:t xml:space="preserve">growth trend in Chinese student enrolments. It is equally difficult to determine the underlying causes of any change in the perception of the Australian brand in-market. However, </w:t>
      </w:r>
      <w:r w:rsidR="00883266" w:rsidRPr="001E60C7">
        <w:rPr>
          <w:spacing w:val="-1"/>
        </w:rPr>
        <w:t>the China Working G</w:t>
      </w:r>
      <w:r w:rsidR="005A58E7" w:rsidRPr="001E60C7">
        <w:rPr>
          <w:spacing w:val="-1"/>
        </w:rPr>
        <w:t xml:space="preserve">roup members were provided with advice from </w:t>
      </w:r>
      <w:r w:rsidR="00B53F0D" w:rsidRPr="001E60C7">
        <w:rPr>
          <w:spacing w:val="-1"/>
        </w:rPr>
        <w:t>agents and providers</w:t>
      </w:r>
      <w:r w:rsidR="005A58E7" w:rsidRPr="001E60C7">
        <w:rPr>
          <w:spacing w:val="-1"/>
        </w:rPr>
        <w:t>, who</w:t>
      </w:r>
      <w:r w:rsidR="00B53F0D" w:rsidRPr="001E60C7">
        <w:rPr>
          <w:spacing w:val="-1"/>
        </w:rPr>
        <w:t xml:space="preserve"> </w:t>
      </w:r>
      <w:r w:rsidR="005A58E7" w:rsidRPr="001E60C7">
        <w:rPr>
          <w:spacing w:val="-1"/>
        </w:rPr>
        <w:t xml:space="preserve">suggest there are several key </w:t>
      </w:r>
      <w:r w:rsidR="00B53F0D" w:rsidRPr="001E60C7">
        <w:rPr>
          <w:spacing w:val="-1"/>
        </w:rPr>
        <w:t>factors affecting the market and brand perception of the Australian internat</w:t>
      </w:r>
      <w:r w:rsidR="005A58E7" w:rsidRPr="001E60C7">
        <w:rPr>
          <w:spacing w:val="-1"/>
        </w:rPr>
        <w:t>ional education sector in China, including:</w:t>
      </w:r>
    </w:p>
    <w:p w14:paraId="68E42C48" w14:textId="00EF7DEA" w:rsidR="005A58E7" w:rsidRPr="001E60C7" w:rsidRDefault="005A58E7" w:rsidP="00D5191F">
      <w:pPr>
        <w:pStyle w:val="ListParagraph"/>
        <w:numPr>
          <w:ilvl w:val="0"/>
          <w:numId w:val="6"/>
        </w:numPr>
        <w:spacing w:line="259" w:lineRule="auto"/>
        <w:rPr>
          <w:spacing w:val="-1"/>
        </w:rPr>
      </w:pPr>
      <w:r w:rsidRPr="001E60C7">
        <w:rPr>
          <w:spacing w:val="-1"/>
        </w:rPr>
        <w:t xml:space="preserve">Cost of Australian education </w:t>
      </w:r>
      <w:r w:rsidR="00AB1372" w:rsidRPr="001E60C7">
        <w:rPr>
          <w:spacing w:val="-1"/>
        </w:rPr>
        <w:t>programs and associated tuition</w:t>
      </w:r>
      <w:r w:rsidR="00177613" w:rsidRPr="001E60C7">
        <w:rPr>
          <w:spacing w:val="-1"/>
        </w:rPr>
        <w:t>,</w:t>
      </w:r>
    </w:p>
    <w:p w14:paraId="1483C829" w14:textId="525D3769" w:rsidR="005A58E7" w:rsidRPr="001E60C7" w:rsidRDefault="005A58E7" w:rsidP="00D17E6B">
      <w:pPr>
        <w:pStyle w:val="ListParagraph"/>
        <w:numPr>
          <w:ilvl w:val="0"/>
          <w:numId w:val="6"/>
        </w:numPr>
        <w:spacing w:line="259" w:lineRule="auto"/>
        <w:rPr>
          <w:spacing w:val="-1"/>
        </w:rPr>
      </w:pPr>
      <w:r w:rsidRPr="001E60C7">
        <w:rPr>
          <w:spacing w:val="-1"/>
        </w:rPr>
        <w:t>Increased competition from Australia’s international education competitors</w:t>
      </w:r>
      <w:r w:rsidR="00AB1372" w:rsidRPr="001E60C7">
        <w:rPr>
          <w:spacing w:val="-1"/>
        </w:rPr>
        <w:t>,</w:t>
      </w:r>
      <w:r w:rsidR="00C9258E" w:rsidRPr="001E60C7">
        <w:rPr>
          <w:spacing w:val="-1"/>
        </w:rPr>
        <w:t xml:space="preserve"> and</w:t>
      </w:r>
    </w:p>
    <w:p w14:paraId="5B21AEA5" w14:textId="72FA6CDE" w:rsidR="00C9258E" w:rsidRPr="001E60C7" w:rsidRDefault="005A58E7" w:rsidP="00C9258E">
      <w:pPr>
        <w:pStyle w:val="ListParagraph"/>
        <w:numPr>
          <w:ilvl w:val="0"/>
          <w:numId w:val="6"/>
        </w:numPr>
        <w:spacing w:line="259" w:lineRule="auto"/>
        <w:rPr>
          <w:spacing w:val="-1"/>
        </w:rPr>
      </w:pPr>
      <w:r w:rsidRPr="001E60C7">
        <w:rPr>
          <w:spacing w:val="-1"/>
        </w:rPr>
        <w:t>Increased competition from domestic education providers, e</w:t>
      </w:r>
      <w:r w:rsidR="00D17E6B" w:rsidRPr="001E60C7">
        <w:rPr>
          <w:spacing w:val="-1"/>
        </w:rPr>
        <w:t>s</w:t>
      </w:r>
      <w:r w:rsidR="00C9258E" w:rsidRPr="001E60C7">
        <w:rPr>
          <w:spacing w:val="-1"/>
        </w:rPr>
        <w:t>pecially in the Schools sector.</w:t>
      </w:r>
    </w:p>
    <w:p w14:paraId="6977DA86" w14:textId="3300CA2B" w:rsidR="00373F1E" w:rsidRPr="001E60C7" w:rsidRDefault="00B53F0D" w:rsidP="00B53F0D">
      <w:pPr>
        <w:spacing w:after="160" w:line="259" w:lineRule="auto"/>
        <w:rPr>
          <w:rFonts w:asciiTheme="minorHAnsi" w:hAnsiTheme="minorHAnsi" w:cstheme="minorHAnsi"/>
          <w:spacing w:val="-2"/>
        </w:rPr>
      </w:pPr>
      <w:r w:rsidRPr="001E60C7">
        <w:rPr>
          <w:rFonts w:asciiTheme="minorHAnsi" w:hAnsiTheme="minorHAnsi" w:cstheme="minorHAnsi"/>
          <w:spacing w:val="-2"/>
        </w:rPr>
        <w:t xml:space="preserve">This is by no means a definitive list and it is important to note changes in market and brand perception do not necessarily directly translate into changes in market behaviour. Notwithstanding this, a broad </w:t>
      </w:r>
      <w:r w:rsidRPr="001E60C7">
        <w:rPr>
          <w:rFonts w:asciiTheme="minorHAnsi" w:hAnsiTheme="minorHAnsi" w:cstheme="minorHAnsi"/>
          <w:spacing w:val="-2"/>
        </w:rPr>
        <w:lastRenderedPageBreak/>
        <w:t xml:space="preserve">range of Australian providers and governments are deeply engaged in a comprehensive set of initiatives to promote Australia as a study destination in China. </w:t>
      </w:r>
    </w:p>
    <w:p w14:paraId="4CB38043" w14:textId="77777777" w:rsidR="00B53F0D" w:rsidRPr="001E60C7" w:rsidRDefault="00B53F0D" w:rsidP="008A7D19">
      <w:pPr>
        <w:spacing w:before="240" w:after="160"/>
        <w:rPr>
          <w:b/>
          <w:color w:val="0070C0"/>
          <w:sz w:val="32"/>
          <w:szCs w:val="32"/>
        </w:rPr>
      </w:pPr>
      <w:r w:rsidRPr="001E60C7">
        <w:rPr>
          <w:b/>
          <w:color w:val="0070C0"/>
          <w:sz w:val="32"/>
          <w:szCs w:val="32"/>
        </w:rPr>
        <w:t>2.6 Other issues</w:t>
      </w:r>
    </w:p>
    <w:p w14:paraId="360D9DDE" w14:textId="3DED58D3" w:rsidR="00C9258E" w:rsidRPr="001E60C7" w:rsidRDefault="00C9258E" w:rsidP="00C9258E">
      <w:pPr>
        <w:spacing w:after="160" w:line="259" w:lineRule="auto"/>
        <w:rPr>
          <w:rFonts w:asciiTheme="minorHAnsi" w:hAnsiTheme="minorHAnsi" w:cstheme="minorHAnsi"/>
          <w:spacing w:val="-2"/>
        </w:rPr>
      </w:pPr>
      <w:r w:rsidRPr="001E60C7">
        <w:rPr>
          <w:rFonts w:asciiTheme="minorHAnsi" w:hAnsiTheme="minorHAnsi" w:cstheme="minorHAnsi"/>
          <w:spacing w:val="-2"/>
        </w:rPr>
        <w:t>The issue of visa delays</w:t>
      </w:r>
      <w:r w:rsidR="001D7A20" w:rsidRPr="001E60C7">
        <w:rPr>
          <w:rFonts w:asciiTheme="minorHAnsi" w:hAnsiTheme="minorHAnsi" w:cstheme="minorHAnsi"/>
          <w:spacing w:val="-2"/>
        </w:rPr>
        <w:t>, particularly for the critical market of postgraduate students</w:t>
      </w:r>
      <w:r w:rsidRPr="001E60C7">
        <w:rPr>
          <w:rFonts w:asciiTheme="minorHAnsi" w:hAnsiTheme="minorHAnsi" w:cstheme="minorHAnsi"/>
          <w:spacing w:val="-2"/>
        </w:rPr>
        <w:t xml:space="preserve"> – often over a year in length – was a common theme in both the sectoral survey and feedback from critical informants. The Working Group noted that in recent times Australia has been experiencing increasing demand from Chinese </w:t>
      </w:r>
      <w:r w:rsidR="0079462D" w:rsidRPr="001E60C7">
        <w:rPr>
          <w:rFonts w:asciiTheme="minorHAnsi" w:hAnsiTheme="minorHAnsi" w:cstheme="minorHAnsi"/>
          <w:spacing w:val="-2"/>
        </w:rPr>
        <w:t xml:space="preserve">postgraduate </w:t>
      </w:r>
      <w:r w:rsidR="001D7A20" w:rsidRPr="001E60C7">
        <w:rPr>
          <w:rFonts w:asciiTheme="minorHAnsi" w:hAnsiTheme="minorHAnsi" w:cstheme="minorHAnsi"/>
          <w:spacing w:val="-2"/>
        </w:rPr>
        <w:t xml:space="preserve">coursework and higher degree research </w:t>
      </w:r>
      <w:r w:rsidR="0079462D" w:rsidRPr="001E60C7">
        <w:rPr>
          <w:rFonts w:asciiTheme="minorHAnsi" w:hAnsiTheme="minorHAnsi" w:cstheme="minorHAnsi"/>
          <w:spacing w:val="-2"/>
        </w:rPr>
        <w:t>students. While the</w:t>
      </w:r>
      <w:r w:rsidRPr="001E60C7">
        <w:rPr>
          <w:rFonts w:asciiTheme="minorHAnsi" w:hAnsiTheme="minorHAnsi" w:cstheme="minorHAnsi"/>
          <w:spacing w:val="-2"/>
        </w:rPr>
        <w:t xml:space="preserve"> Department of Home Affairs has confirmed that a very small number of these applicants face visa delays, </w:t>
      </w:r>
      <w:r w:rsidR="001D7A20" w:rsidRPr="001E60C7">
        <w:rPr>
          <w:rFonts w:asciiTheme="minorHAnsi" w:hAnsiTheme="minorHAnsi" w:cstheme="minorHAnsi"/>
          <w:spacing w:val="-2"/>
        </w:rPr>
        <w:t>v</w:t>
      </w:r>
      <w:r w:rsidRPr="001E60C7">
        <w:rPr>
          <w:rFonts w:asciiTheme="minorHAnsi" w:hAnsiTheme="minorHAnsi" w:cstheme="minorHAnsi"/>
          <w:spacing w:val="-2"/>
        </w:rPr>
        <w:t xml:space="preserve">isa policies for students from China, </w:t>
      </w:r>
      <w:r w:rsidR="00AC5AEF" w:rsidRPr="001E60C7">
        <w:rPr>
          <w:rFonts w:asciiTheme="minorHAnsi" w:hAnsiTheme="minorHAnsi" w:cstheme="minorHAnsi"/>
          <w:spacing w:val="-2"/>
        </w:rPr>
        <w:t xml:space="preserve">or </w:t>
      </w:r>
      <w:r w:rsidRPr="001E60C7">
        <w:rPr>
          <w:rFonts w:asciiTheme="minorHAnsi" w:hAnsiTheme="minorHAnsi" w:cstheme="minorHAnsi"/>
          <w:spacing w:val="-2"/>
        </w:rPr>
        <w:t xml:space="preserve">any other country, have not changed. </w:t>
      </w:r>
    </w:p>
    <w:p w14:paraId="2BCD9C13" w14:textId="3EA1EB08" w:rsidR="0005675E" w:rsidRPr="001E60C7" w:rsidRDefault="0005675E" w:rsidP="0005675E">
      <w:pPr>
        <w:spacing w:after="160" w:line="259" w:lineRule="auto"/>
        <w:rPr>
          <w:rFonts w:asciiTheme="minorHAnsi" w:hAnsiTheme="minorHAnsi" w:cstheme="minorHAnsi"/>
          <w:spacing w:val="-2"/>
        </w:rPr>
      </w:pPr>
      <w:r w:rsidRPr="001E60C7">
        <w:rPr>
          <w:rFonts w:asciiTheme="minorHAnsi" w:hAnsiTheme="minorHAnsi" w:cstheme="minorHAnsi"/>
          <w:spacing w:val="-2"/>
        </w:rPr>
        <w:t>According to the Department of Home Affairs, a student visa applicant must meet all the legislative criteria</w:t>
      </w:r>
      <w:r w:rsidR="000A1694" w:rsidRPr="001E60C7">
        <w:rPr>
          <w:rFonts w:asciiTheme="minorHAnsi" w:hAnsiTheme="minorHAnsi" w:cstheme="minorHAnsi"/>
          <w:spacing w:val="-2"/>
        </w:rPr>
        <w:t xml:space="preserve"> before a visa is granted. These </w:t>
      </w:r>
      <w:r w:rsidRPr="001E60C7">
        <w:rPr>
          <w:rFonts w:asciiTheme="minorHAnsi" w:hAnsiTheme="minorHAnsi" w:cstheme="minorHAnsi"/>
          <w:spacing w:val="-2"/>
        </w:rPr>
        <w:t>criteria include the genuine temporary entrant requirement, health checks and character and security checks. The timing for the completion of these checks varies from one case to another, depending on individual circumstances. While all visa applicants are subject to legislative criteria, these apply equally to all applicants, and application volumes, complex cases and incomplete applications impact processing times.</w:t>
      </w:r>
    </w:p>
    <w:p w14:paraId="574447BA" w14:textId="77777777" w:rsidR="00B53F0D" w:rsidRPr="001E60C7" w:rsidRDefault="00B53F0D" w:rsidP="00B53F0D">
      <w:pPr>
        <w:rPr>
          <w:rFonts w:eastAsia="Calibri" w:cs="Times New Roman"/>
        </w:rPr>
      </w:pPr>
    </w:p>
    <w:p w14:paraId="4E447714" w14:textId="77777777" w:rsidR="0030543C" w:rsidRPr="001E60C7" w:rsidRDefault="0030543C">
      <w:pPr>
        <w:spacing w:after="160" w:line="259" w:lineRule="auto"/>
        <w:rPr>
          <w:rFonts w:eastAsia="Calibri"/>
          <w:b/>
          <w:sz w:val="32"/>
        </w:rPr>
      </w:pPr>
      <w:r w:rsidRPr="001E60C7">
        <w:rPr>
          <w:rFonts w:eastAsia="Calibri"/>
          <w:b/>
          <w:sz w:val="32"/>
        </w:rPr>
        <w:br w:type="page"/>
      </w:r>
    </w:p>
    <w:p w14:paraId="2BAD6D20" w14:textId="77777777" w:rsidR="008A2949" w:rsidRPr="001E60C7" w:rsidRDefault="008A2949" w:rsidP="008A2949">
      <w:pPr>
        <w:spacing w:after="160" w:line="259" w:lineRule="auto"/>
        <w:jc w:val="center"/>
        <w:rPr>
          <w:rFonts w:eastAsia="Calibri"/>
        </w:rPr>
      </w:pPr>
      <w:r w:rsidRPr="001E60C7">
        <w:rPr>
          <w:rFonts w:eastAsia="Calibri"/>
          <w:b/>
          <w:sz w:val="32"/>
        </w:rPr>
        <w:lastRenderedPageBreak/>
        <w:t>3 Expanding engagement</w:t>
      </w:r>
    </w:p>
    <w:p w14:paraId="374023CA" w14:textId="75062B93" w:rsidR="008A2949" w:rsidRPr="001E60C7" w:rsidRDefault="00AB1372" w:rsidP="008A2949">
      <w:pPr>
        <w:spacing w:after="160" w:line="259" w:lineRule="auto"/>
        <w:rPr>
          <w:rFonts w:eastAsia="SimSun" w:cs="Times New Roman"/>
          <w:szCs w:val="24"/>
          <w:lang w:val="en-GB"/>
        </w:rPr>
      </w:pPr>
      <w:r w:rsidRPr="001E60C7">
        <w:rPr>
          <w:rFonts w:eastAsia="SimSun" w:cs="Times New Roman"/>
          <w:szCs w:val="24"/>
          <w:lang w:val="en-GB"/>
        </w:rPr>
        <w:t>The Working G</w:t>
      </w:r>
      <w:r w:rsidR="008A2949" w:rsidRPr="001E60C7">
        <w:rPr>
          <w:rFonts w:eastAsia="SimSun" w:cs="Times New Roman"/>
          <w:szCs w:val="24"/>
          <w:lang w:val="en-GB"/>
        </w:rPr>
        <w:t xml:space="preserve">roup has identified a number of ways to encourage diversification </w:t>
      </w:r>
      <w:r w:rsidRPr="001E60C7">
        <w:rPr>
          <w:rFonts w:eastAsia="SimSun" w:cs="Times New Roman"/>
          <w:szCs w:val="24"/>
          <w:lang w:val="en-GB"/>
        </w:rPr>
        <w:t>for Australian providers to</w:t>
      </w:r>
      <w:r w:rsidR="006B019A" w:rsidRPr="001E60C7">
        <w:rPr>
          <w:rFonts w:eastAsia="SimSun" w:cs="Times New Roman"/>
          <w:szCs w:val="24"/>
          <w:lang w:val="en-GB"/>
        </w:rPr>
        <w:t xml:space="preserve"> capitalise</w:t>
      </w:r>
      <w:r w:rsidR="008A2949" w:rsidRPr="001E60C7">
        <w:rPr>
          <w:rFonts w:eastAsia="SimSun" w:cs="Times New Roman"/>
          <w:szCs w:val="24"/>
          <w:lang w:val="en-GB"/>
        </w:rPr>
        <w:t xml:space="preserve"> </w:t>
      </w:r>
      <w:r w:rsidR="006B019A" w:rsidRPr="001E60C7">
        <w:rPr>
          <w:rFonts w:eastAsia="SimSun" w:cs="Times New Roman"/>
          <w:szCs w:val="24"/>
          <w:lang w:val="en-GB"/>
        </w:rPr>
        <w:t xml:space="preserve">on </w:t>
      </w:r>
      <w:r w:rsidR="008A2949" w:rsidRPr="001E60C7">
        <w:rPr>
          <w:rFonts w:eastAsia="SimSun" w:cs="Times New Roman"/>
          <w:szCs w:val="24"/>
          <w:lang w:val="en-GB"/>
        </w:rPr>
        <w:t>emerging opportunities, including encouraging them to take advantage of Au</w:t>
      </w:r>
      <w:r w:rsidR="00AC5AEF" w:rsidRPr="001E60C7">
        <w:rPr>
          <w:rFonts w:eastAsia="SimSun" w:cs="Times New Roman"/>
          <w:szCs w:val="24"/>
          <w:lang w:val="en-GB"/>
        </w:rPr>
        <w:t>stralia’s comparative strengths;</w:t>
      </w:r>
      <w:r w:rsidR="008A2949" w:rsidRPr="001E60C7">
        <w:rPr>
          <w:rFonts w:eastAsia="SimSun" w:cs="Times New Roman"/>
          <w:szCs w:val="24"/>
          <w:lang w:val="en-GB"/>
        </w:rPr>
        <w:t xml:space="preserve"> its </w:t>
      </w:r>
      <w:r w:rsidR="008A2949" w:rsidRPr="001E60C7">
        <w:rPr>
          <w:rFonts w:asciiTheme="minorHAnsi" w:eastAsiaTheme="minorHAnsi" w:hAnsiTheme="minorHAnsi" w:cstheme="minorHAnsi"/>
          <w:color w:val="000000"/>
          <w:spacing w:val="-1"/>
        </w:rPr>
        <w:t>reputation</w:t>
      </w:r>
      <w:r w:rsidR="008A2949" w:rsidRPr="001E60C7">
        <w:rPr>
          <w:rFonts w:eastAsia="SimSun" w:cs="Times New Roman"/>
          <w:szCs w:val="24"/>
          <w:lang w:val="en-GB"/>
        </w:rPr>
        <w:t xml:space="preserve"> for high quality education, training and research, geographical location in the heart of the Indo-Pacific</w:t>
      </w:r>
      <w:r w:rsidR="00AC5AEF" w:rsidRPr="001E60C7">
        <w:rPr>
          <w:rFonts w:eastAsia="SimSun" w:cs="Times New Roman"/>
          <w:szCs w:val="24"/>
          <w:lang w:val="en-GB"/>
        </w:rPr>
        <w:t>;</w:t>
      </w:r>
      <w:r w:rsidR="008A2949" w:rsidRPr="001E60C7">
        <w:rPr>
          <w:rFonts w:eastAsia="SimSun" w:cs="Times New Roman"/>
          <w:szCs w:val="24"/>
          <w:lang w:val="en-GB"/>
        </w:rPr>
        <w:t xml:space="preserve"> and its extensive experience as a world leader in education services exports. </w:t>
      </w:r>
    </w:p>
    <w:p w14:paraId="32A9DAF2" w14:textId="77777777" w:rsidR="008A2949" w:rsidRPr="001E60C7" w:rsidRDefault="008A2949" w:rsidP="008A2949">
      <w:pPr>
        <w:spacing w:after="160" w:line="259" w:lineRule="auto"/>
        <w:rPr>
          <w:rFonts w:eastAsia="SimSun" w:cs="Times New Roman"/>
          <w:szCs w:val="24"/>
          <w:lang w:val="en-GB"/>
        </w:rPr>
      </w:pPr>
      <w:r w:rsidRPr="001E60C7">
        <w:rPr>
          <w:rFonts w:eastAsia="SimSun" w:cs="Times New Roman"/>
          <w:szCs w:val="24"/>
          <w:lang w:val="en-GB"/>
        </w:rPr>
        <w:t xml:space="preserve">The </w:t>
      </w:r>
      <w:r w:rsidRPr="001E60C7">
        <w:rPr>
          <w:rFonts w:asciiTheme="minorHAnsi" w:eastAsiaTheme="minorHAnsi" w:hAnsiTheme="minorHAnsi" w:cstheme="minorHAnsi"/>
          <w:color w:val="000000"/>
          <w:spacing w:val="-1"/>
        </w:rPr>
        <w:t>growth</w:t>
      </w:r>
      <w:r w:rsidRPr="001E60C7">
        <w:rPr>
          <w:rFonts w:eastAsia="SimSun" w:cs="Times New Roman"/>
          <w:szCs w:val="24"/>
          <w:lang w:val="en-GB"/>
        </w:rPr>
        <w:t xml:space="preserve"> potential of the education sector may be compromised by regulatory limitations within China as well as the continued evolution of China’s own education system. In particular, Australia’s offshore provision of education services still faces many obstacles in the form of restrictions to establishing wholly owned or even joint venture Australian campuses abroad. Non-accreditation of qualifications delivered by Australian education providers overseas, and limitations to the international mobility of Australian academics, are also barriers.</w:t>
      </w:r>
    </w:p>
    <w:p w14:paraId="3941323B" w14:textId="77777777" w:rsidR="008A2949" w:rsidRPr="001E60C7" w:rsidRDefault="008A2949" w:rsidP="00632859">
      <w:pPr>
        <w:pStyle w:val="Heading1"/>
        <w:spacing w:after="160" w:line="257" w:lineRule="auto"/>
        <w:rPr>
          <w:rFonts w:asciiTheme="minorHAnsi" w:hAnsiTheme="minorHAnsi" w:cstheme="minorHAnsi"/>
          <w:b/>
          <w:lang w:val="en-GB"/>
        </w:rPr>
      </w:pPr>
      <w:r w:rsidRPr="001E60C7">
        <w:rPr>
          <w:rFonts w:asciiTheme="minorHAnsi" w:hAnsiTheme="minorHAnsi" w:cstheme="minorHAnsi"/>
          <w:b/>
          <w:lang w:val="en-GB"/>
        </w:rPr>
        <w:t>3.1 Limitations and barriers to expand engagement</w:t>
      </w:r>
    </w:p>
    <w:p w14:paraId="1530E3BE"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Australia-China bilateral relations</w:t>
      </w:r>
    </w:p>
    <w:p w14:paraId="0F9DAF7E" w14:textId="77777777" w:rsidR="008A2949" w:rsidRPr="001E60C7" w:rsidRDefault="008A2949" w:rsidP="008A2949">
      <w:pPr>
        <w:spacing w:after="160" w:line="256" w:lineRule="auto"/>
        <w:rPr>
          <w:rFonts w:eastAsia="Calibri" w:cs="Times New Roman"/>
          <w:lang w:eastAsia="zh-CN"/>
        </w:rPr>
      </w:pPr>
      <w:r w:rsidRPr="001E60C7">
        <w:rPr>
          <w:rFonts w:eastAsia="Calibri" w:cs="Times New Roman"/>
          <w:lang w:eastAsia="zh-CN"/>
        </w:rPr>
        <w:t xml:space="preserve">The political relationship between Australia and China has the potential to impact the demand for Australia’s education services and the willingness of Australian institutions to deepen their China engagement, as well as the willingness of Chinese institutions to deepen their engagement with Australian institutions. Tensions associated with perceptions of student safety in Australia, and warnings on Australian visa delays on Chinese government websites, for instance, may have had a negative influence on mobility of students. </w:t>
      </w:r>
    </w:p>
    <w:p w14:paraId="2F62227B" w14:textId="47C3CE6D" w:rsidR="008A2949" w:rsidRPr="001E60C7" w:rsidRDefault="008A2949" w:rsidP="008A2949">
      <w:pPr>
        <w:pStyle w:val="ListParagraph"/>
        <w:spacing w:line="257" w:lineRule="auto"/>
        <w:ind w:left="0"/>
        <w:contextualSpacing w:val="0"/>
        <w:rPr>
          <w:szCs w:val="24"/>
        </w:rPr>
      </w:pPr>
      <w:r w:rsidRPr="001E60C7">
        <w:rPr>
          <w:szCs w:val="24"/>
        </w:rPr>
        <w:t xml:space="preserve">In this context, improving the management of Australia’s relationship with China is a priority. The Australian Government is committed to expanding its Comprehensive Strategic Partnership with China and has recently established a $44 million </w:t>
      </w:r>
      <w:r w:rsidR="0079462D" w:rsidRPr="001E60C7">
        <w:rPr>
          <w:szCs w:val="24"/>
        </w:rPr>
        <w:t xml:space="preserve">National </w:t>
      </w:r>
      <w:r w:rsidRPr="001E60C7">
        <w:rPr>
          <w:szCs w:val="24"/>
        </w:rPr>
        <w:t>Foundation for Australia-China Relations. It is also significant</w:t>
      </w:r>
      <w:r w:rsidR="00AC5AEF" w:rsidRPr="001E60C7">
        <w:rPr>
          <w:szCs w:val="24"/>
        </w:rPr>
        <w:t xml:space="preserve"> that</w:t>
      </w:r>
      <w:r w:rsidRPr="001E60C7">
        <w:rPr>
          <w:szCs w:val="24"/>
        </w:rPr>
        <w:t xml:space="preserve"> the Department of Education and the Chinese MoE are increasing their efforts to realise the bilateral education relationship’s potential. In particular, both governments are negotiating the development of a new MoU on Strategic Collaboration in Educ</w:t>
      </w:r>
      <w:r w:rsidR="00177613" w:rsidRPr="001E60C7">
        <w:rPr>
          <w:szCs w:val="24"/>
        </w:rPr>
        <w:t>ation, as we</w:t>
      </w:r>
      <w:r w:rsidR="00DE3A2E" w:rsidRPr="001E60C7">
        <w:rPr>
          <w:szCs w:val="24"/>
        </w:rPr>
        <w:t xml:space="preserve">ll the design of a </w:t>
      </w:r>
      <w:r w:rsidR="00DE3A2E" w:rsidRPr="001E60C7">
        <w:rPr>
          <w:szCs w:val="24"/>
        </w:rPr>
        <w:lastRenderedPageBreak/>
        <w:t>joint work p</w:t>
      </w:r>
      <w:r w:rsidRPr="001E60C7">
        <w:rPr>
          <w:szCs w:val="24"/>
        </w:rPr>
        <w:t>lan to implement the MoU. This will send a strong message about Australia’s commitment to the education partnershi</w:t>
      </w:r>
      <w:r w:rsidR="00DE3A2E" w:rsidRPr="001E60C7">
        <w:rPr>
          <w:szCs w:val="24"/>
        </w:rPr>
        <w:t xml:space="preserve">p with China and reinforce it </w:t>
      </w:r>
      <w:r w:rsidRPr="001E60C7">
        <w:rPr>
          <w:szCs w:val="24"/>
        </w:rPr>
        <w:t>in light of other policy developments that may negatively impact our overall bilateral relationship.</w:t>
      </w:r>
    </w:p>
    <w:p w14:paraId="62D19AE1" w14:textId="77777777" w:rsidR="008A2949" w:rsidRPr="001E60C7" w:rsidRDefault="008A2949" w:rsidP="00632859">
      <w:pPr>
        <w:pStyle w:val="Heading1"/>
        <w:spacing w:after="160" w:line="257" w:lineRule="auto"/>
        <w:rPr>
          <w:rFonts w:asciiTheme="minorHAnsi" w:hAnsiTheme="minorHAnsi" w:cstheme="minorHAnsi"/>
          <w:b/>
          <w:lang w:val="en-GB"/>
        </w:rPr>
      </w:pPr>
      <w:r w:rsidRPr="001E60C7">
        <w:rPr>
          <w:rFonts w:asciiTheme="minorHAnsi" w:hAnsiTheme="minorHAnsi" w:cstheme="minorHAnsi"/>
          <w:b/>
          <w:lang w:val="en-GB"/>
        </w:rPr>
        <w:t>3.2 Opportunities to expand engagement</w:t>
      </w:r>
    </w:p>
    <w:p w14:paraId="1E2F8D8C"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Regional and discipline opportunities in higher education</w:t>
      </w:r>
    </w:p>
    <w:p w14:paraId="2155E53D" w14:textId="40057CF6" w:rsidR="008A2949" w:rsidRPr="001E60C7" w:rsidRDefault="008A2949" w:rsidP="008A2949">
      <w:pPr>
        <w:pStyle w:val="ListParagraph"/>
        <w:spacing w:after="0" w:line="257" w:lineRule="auto"/>
        <w:ind w:left="0"/>
        <w:contextualSpacing w:val="0"/>
      </w:pPr>
      <w:r w:rsidRPr="001E60C7">
        <w:t xml:space="preserve">China’s </w:t>
      </w:r>
      <w:r w:rsidRPr="001E60C7">
        <w:rPr>
          <w:i/>
        </w:rPr>
        <w:t>Education Development 13th Five</w:t>
      </w:r>
      <w:r w:rsidRPr="001E60C7">
        <w:rPr>
          <w:i/>
        </w:rPr>
        <w:noBreakHyphen/>
        <w:t>Year Plan</w:t>
      </w:r>
      <w:r w:rsidRPr="001E60C7">
        <w:t xml:space="preserve"> calls for greater investment in education in central and western China, which suggests Chinese and Australia institutions might focus their attention on the establishment of new joint ventures in these regions. China’s MoE is additionally encouraging continued and strengthened international engagement, particularly in four </w:t>
      </w:r>
      <w:r w:rsidR="00E169D1" w:rsidRPr="001E60C7">
        <w:t>priority areas</w:t>
      </w:r>
      <w:r w:rsidRPr="001E60C7">
        <w:t xml:space="preserve"> located on China’s eastern seaboard:</w:t>
      </w:r>
    </w:p>
    <w:p w14:paraId="77482388" w14:textId="77777777" w:rsidR="008A2949" w:rsidRPr="001E60C7" w:rsidRDefault="008A2949" w:rsidP="008A2949">
      <w:pPr>
        <w:pStyle w:val="ListParagraph"/>
        <w:numPr>
          <w:ilvl w:val="0"/>
          <w:numId w:val="7"/>
        </w:numPr>
        <w:spacing w:line="257" w:lineRule="auto"/>
      </w:pPr>
      <w:r w:rsidRPr="001E60C7">
        <w:rPr>
          <w:rFonts w:hint="eastAsia"/>
        </w:rPr>
        <w:t>Hainan Province</w:t>
      </w:r>
      <w:r w:rsidRPr="001E60C7">
        <w:t>;</w:t>
      </w:r>
    </w:p>
    <w:p w14:paraId="25881876" w14:textId="77777777" w:rsidR="008A2949" w:rsidRPr="001E60C7" w:rsidRDefault="008A2949" w:rsidP="008A2949">
      <w:pPr>
        <w:pStyle w:val="ListParagraph"/>
        <w:numPr>
          <w:ilvl w:val="0"/>
          <w:numId w:val="7"/>
        </w:numPr>
        <w:spacing w:line="257" w:lineRule="auto"/>
      </w:pPr>
      <w:r w:rsidRPr="001E60C7">
        <w:rPr>
          <w:rFonts w:hint="eastAsia"/>
        </w:rPr>
        <w:t>Yangtze River delta provinces (Jiangsu, Zhejiang and Shanghai)</w:t>
      </w:r>
      <w:r w:rsidRPr="001E60C7">
        <w:t>;</w:t>
      </w:r>
    </w:p>
    <w:p w14:paraId="711F2AAD" w14:textId="1E443B80" w:rsidR="008A2949" w:rsidRPr="001E60C7" w:rsidRDefault="008A2949" w:rsidP="008A2949">
      <w:pPr>
        <w:pStyle w:val="ListParagraph"/>
        <w:numPr>
          <w:ilvl w:val="0"/>
          <w:numId w:val="7"/>
        </w:numPr>
        <w:spacing w:line="257" w:lineRule="auto"/>
      </w:pPr>
      <w:r w:rsidRPr="001E60C7">
        <w:rPr>
          <w:rFonts w:hint="eastAsia"/>
        </w:rPr>
        <w:t>Greater Bay Area (Hong Kong, Macau</w:t>
      </w:r>
      <w:r w:rsidR="00C2078A" w:rsidRPr="001E60C7">
        <w:t>,</w:t>
      </w:r>
      <w:r w:rsidR="00DE3A2E" w:rsidRPr="001E60C7">
        <w:t xml:space="preserve"> and</w:t>
      </w:r>
      <w:r w:rsidRPr="001E60C7">
        <w:rPr>
          <w:rFonts w:hint="eastAsia"/>
        </w:rPr>
        <w:t xml:space="preserve"> Guangdong); and</w:t>
      </w:r>
    </w:p>
    <w:p w14:paraId="53B51772" w14:textId="77777777" w:rsidR="008A2949" w:rsidRPr="001E60C7" w:rsidRDefault="008A2949" w:rsidP="008A2949">
      <w:pPr>
        <w:pStyle w:val="ListParagraph"/>
        <w:numPr>
          <w:ilvl w:val="0"/>
          <w:numId w:val="7"/>
        </w:numPr>
        <w:spacing w:line="257" w:lineRule="auto"/>
      </w:pPr>
      <w:r w:rsidRPr="001E60C7">
        <w:t xml:space="preserve">The Jing Jin Ji Area </w:t>
      </w:r>
      <w:r w:rsidRPr="001E60C7">
        <w:rPr>
          <w:rFonts w:hint="eastAsia"/>
        </w:rPr>
        <w:t>(Beijing</w:t>
      </w:r>
      <w:r w:rsidRPr="001E60C7">
        <w:t>, Tianjing and Hebei</w:t>
      </w:r>
      <w:r w:rsidRPr="001E60C7">
        <w:rPr>
          <w:rFonts w:hint="eastAsia"/>
        </w:rPr>
        <w:t>).</w:t>
      </w:r>
    </w:p>
    <w:p w14:paraId="32B179CF" w14:textId="77777777" w:rsidR="00D33D77" w:rsidRPr="001E60C7" w:rsidRDefault="008A2949" w:rsidP="008A2949">
      <w:pPr>
        <w:pStyle w:val="ListParagraph"/>
        <w:spacing w:line="257" w:lineRule="auto"/>
        <w:ind w:left="0"/>
        <w:contextualSpacing w:val="0"/>
      </w:pPr>
      <w:r w:rsidRPr="001E60C7">
        <w:t xml:space="preserve">In addition to the priority areas, the MoE is keen to facilitate education exchanges in disciplines other than the current focus of Chinese international students (i.e. Commerce and Management). The MoE has recently announced increased funding for both inbound and outbound student mobility. </w:t>
      </w:r>
    </w:p>
    <w:tbl>
      <w:tblPr>
        <w:tblStyle w:val="TableGrid"/>
        <w:tblW w:w="0" w:type="auto"/>
        <w:tblInd w:w="0" w:type="dxa"/>
        <w:tblLook w:val="04A0" w:firstRow="1" w:lastRow="0" w:firstColumn="1" w:lastColumn="0" w:noHBand="0" w:noVBand="1"/>
      </w:tblPr>
      <w:tblGrid>
        <w:gridCol w:w="9016"/>
      </w:tblGrid>
      <w:tr w:rsidR="00D33D77" w:rsidRPr="001E60C7" w14:paraId="5C446875" w14:textId="77777777" w:rsidTr="00D15984">
        <w:tc>
          <w:tcPr>
            <w:tcW w:w="9016" w:type="dxa"/>
            <w:shd w:val="clear" w:color="auto" w:fill="BDD6EE" w:themeFill="accent1" w:themeFillTint="66"/>
          </w:tcPr>
          <w:p w14:paraId="5D9AC580" w14:textId="77777777" w:rsidR="00D33D77" w:rsidRPr="001E60C7" w:rsidRDefault="00D33D77" w:rsidP="00D15984">
            <w:pPr>
              <w:spacing w:before="120" w:after="120" w:line="259" w:lineRule="auto"/>
              <w:rPr>
                <w:rFonts w:eastAsiaTheme="minorEastAsia"/>
                <w:b/>
                <w:bCs/>
                <w:color w:val="2F5496" w:themeColor="accent5" w:themeShade="BF"/>
                <w:sz w:val="18"/>
              </w:rPr>
            </w:pPr>
            <w:r w:rsidRPr="001E60C7">
              <w:rPr>
                <w:rFonts w:eastAsiaTheme="minorEastAsia"/>
                <w:b/>
                <w:bCs/>
                <w:color w:val="2F5496" w:themeColor="accent5" w:themeShade="BF"/>
                <w:sz w:val="18"/>
              </w:rPr>
              <w:t xml:space="preserve">Case Study 4 – Universities Australia’s engagement with China </w:t>
            </w:r>
          </w:p>
          <w:p w14:paraId="1597AE66" w14:textId="77777777" w:rsidR="00D33D77" w:rsidRPr="001E60C7" w:rsidRDefault="00D33D77" w:rsidP="00D15984">
            <w:pPr>
              <w:spacing w:before="120" w:after="120" w:line="259" w:lineRule="auto"/>
              <w:rPr>
                <w:rFonts w:eastAsiaTheme="minorEastAsia"/>
                <w:bCs/>
                <w:sz w:val="18"/>
              </w:rPr>
            </w:pPr>
            <w:r w:rsidRPr="001E60C7">
              <w:rPr>
                <w:rFonts w:eastAsiaTheme="minorEastAsia"/>
                <w:bCs/>
                <w:sz w:val="18"/>
              </w:rPr>
              <w:t xml:space="preserve">Universities Australia (UA) has a long-standing close relationship with its counterpart organisation, the China Education Association for International Exchange (CEAIE). A major part of the program of activities run by UA and CEAIE is the China-Australia Higher Education Cooperation Program. Since its establishment in 1999, the program has supported more than 200 university leaders, from Vice-Presidents to Directors, from both Australia and China to travel to each other’s country for two to four weeks of training and mentoring. </w:t>
            </w:r>
          </w:p>
          <w:p w14:paraId="770A2BEF" w14:textId="77777777" w:rsidR="00D33D77" w:rsidRPr="001E60C7" w:rsidRDefault="00D33D77" w:rsidP="00D15984">
            <w:pPr>
              <w:spacing w:before="120" w:after="120" w:line="259" w:lineRule="auto"/>
              <w:rPr>
                <w:rFonts w:eastAsiaTheme="minorEastAsia"/>
                <w:bCs/>
                <w:sz w:val="18"/>
              </w:rPr>
            </w:pPr>
            <w:r w:rsidRPr="001E60C7">
              <w:rPr>
                <w:rFonts w:eastAsiaTheme="minorEastAsia"/>
                <w:bCs/>
                <w:sz w:val="18"/>
              </w:rPr>
              <w:t>The program has built opportunities for collaboration and deepened the relationship between the Chinese and Australian university sectors. The number of partnerships between Australian and Chinese universities has significantly increased because of this program. Following the priorities of the UA-CEAIE work plan, the latest version of the program targets participation by Australian regional universities, with a view to increasing linkages between Australian regional and Chinese universities in second and third-tier cities.</w:t>
            </w:r>
          </w:p>
        </w:tc>
      </w:tr>
    </w:tbl>
    <w:p w14:paraId="5DF6362A" w14:textId="77777777" w:rsidR="00D33D77" w:rsidRPr="001E60C7" w:rsidRDefault="00D33D77"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p>
    <w:p w14:paraId="1CAA9C62" w14:textId="12944A61"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Schools opportunities</w:t>
      </w:r>
    </w:p>
    <w:p w14:paraId="583E29C0" w14:textId="19546033" w:rsidR="008A2949" w:rsidRPr="001E60C7" w:rsidRDefault="008A2949" w:rsidP="008A2949">
      <w:pPr>
        <w:pStyle w:val="ListParagraph"/>
        <w:spacing w:line="257" w:lineRule="auto"/>
        <w:ind w:left="0"/>
        <w:contextualSpacing w:val="0"/>
      </w:pPr>
      <w:r w:rsidRPr="001E60C7">
        <w:t xml:space="preserve">In the Schools sector, </w:t>
      </w:r>
      <w:r w:rsidR="00D33D77" w:rsidRPr="001E60C7">
        <w:t xml:space="preserve">we </w:t>
      </w:r>
      <w:r w:rsidRPr="001E60C7">
        <w:t xml:space="preserve">examined the opportunities around eliciting state and territory government endorsement of a single senior school certificate brand to complement individual state and territory </w:t>
      </w:r>
      <w:r w:rsidRPr="001E60C7">
        <w:lastRenderedPageBreak/>
        <w:t xml:space="preserve">certificates for the purpose of marketing offshore delivery. Such an award could be provided to all international students who successfully complete a recognised senior secondary school qualification from an Australian state or territory (i.e. VCE, WACE, SACE, HSC, QCE, TCET, NTCET, and the ACTSSC). The effect of this would be to allow for the marketing and promotion of a single brand for onshore Australian school education. </w:t>
      </w:r>
    </w:p>
    <w:p w14:paraId="63D495E5" w14:textId="77777777" w:rsidR="008A2949" w:rsidRPr="001E60C7" w:rsidRDefault="008A2949" w:rsidP="008A2949">
      <w:pPr>
        <w:pStyle w:val="ListParagraph"/>
        <w:spacing w:line="257" w:lineRule="auto"/>
        <w:ind w:left="0"/>
        <w:contextualSpacing w:val="0"/>
        <w:rPr>
          <w:spacing w:val="-2"/>
        </w:rPr>
      </w:pPr>
      <w:r w:rsidRPr="001E60C7">
        <w:rPr>
          <w:spacing w:val="-2"/>
        </w:rPr>
        <w:t xml:space="preserve">Such an initiative would also provide Australia with a competitive advantage over key competitor markets that already possess high brand awareness such as the IB, the UK’s ‘A-levels’, and the USA’s AP, ACT and SAT test systems. Similarly, it would allow for better promotion and expansion of Australian TNE programs in the China market, with improved market recognition for the purposes of recruitment into programs. </w:t>
      </w:r>
    </w:p>
    <w:p w14:paraId="6D8768A7" w14:textId="36B8BC4F" w:rsidR="008A2949" w:rsidRPr="001E60C7" w:rsidRDefault="008A2949" w:rsidP="008A2949">
      <w:pPr>
        <w:pStyle w:val="ListParagraph"/>
        <w:spacing w:line="257" w:lineRule="auto"/>
        <w:ind w:left="0"/>
        <w:contextualSpacing w:val="0"/>
        <w:rPr>
          <w:rFonts w:ascii="Calibri" w:hAnsi="Calibri" w:cs="Calibri"/>
          <w:spacing w:val="-2"/>
          <w:lang w:eastAsia="en-US"/>
        </w:rPr>
      </w:pPr>
      <w:r w:rsidRPr="001E60C7">
        <w:rPr>
          <w:rFonts w:ascii="Calibri" w:hAnsi="Calibri" w:cs="Calibri"/>
          <w:spacing w:val="-2"/>
          <w:lang w:eastAsia="en-US"/>
        </w:rPr>
        <w:t xml:space="preserve">In relation to foundation studies programs, </w:t>
      </w:r>
      <w:r w:rsidR="00D33D77" w:rsidRPr="001E60C7">
        <w:rPr>
          <w:rFonts w:ascii="Calibri" w:hAnsi="Calibri" w:cs="Calibri"/>
          <w:spacing w:val="-2"/>
          <w:lang w:eastAsia="en-US"/>
        </w:rPr>
        <w:t xml:space="preserve">we </w:t>
      </w:r>
      <w:r w:rsidRPr="001E60C7">
        <w:rPr>
          <w:rFonts w:ascii="Calibri" w:hAnsi="Calibri" w:cs="Calibri"/>
          <w:spacing w:val="-2"/>
          <w:lang w:eastAsia="en-US"/>
        </w:rPr>
        <w:t xml:space="preserve">examined strategies to encourage an increase in the breadth of subject offerings, extracurricular activities and work experience programs. This could include performing arts programs, music and drama programs, as well as internship or entrepreneurship programs, in order to enhance the student experience and better compete with competitor school offerings. </w:t>
      </w:r>
    </w:p>
    <w:p w14:paraId="7EC6AF2C" w14:textId="0A37F361" w:rsidR="00D33D77" w:rsidRPr="001E60C7" w:rsidRDefault="008A2949" w:rsidP="008A2949">
      <w:pPr>
        <w:pStyle w:val="ListParagraph"/>
        <w:spacing w:line="257" w:lineRule="auto"/>
        <w:ind w:left="0"/>
        <w:contextualSpacing w:val="0"/>
      </w:pPr>
      <w:r w:rsidRPr="001E60C7">
        <w:rPr>
          <w:rFonts w:ascii="Calibri" w:hAnsi="Calibri" w:cs="Calibri"/>
          <w:spacing w:val="-2"/>
          <w:lang w:eastAsia="en-US"/>
        </w:rPr>
        <w:t xml:space="preserve">There is also a significant opportunity through facilitating greater connectivity between Australian high schools, universities and VET providers in the marketing and promotion of Australian international education in-market, which would co-exist with existing relationships with university-owned or affiliated foundation programs. This may include more joint marketing campaigns and joint events with schools and universities operating on a consortia basis, potentially by provider city or region. This could also be achieved through </w:t>
      </w:r>
      <w:r w:rsidRPr="001E60C7">
        <w:t>a schools symposium</w:t>
      </w:r>
      <w:r w:rsidRPr="001E60C7">
        <w:rPr>
          <w:b/>
        </w:rPr>
        <w:t xml:space="preserve"> </w:t>
      </w:r>
      <w:r w:rsidRPr="001E60C7">
        <w:t xml:space="preserve">held in a range of Chinese provinces with Australian and Chinese government and school </w:t>
      </w:r>
      <w:r w:rsidRPr="001E60C7">
        <w:rPr>
          <w:rFonts w:ascii="Calibri" w:hAnsi="Calibri" w:cs="Calibri"/>
          <w:spacing w:val="-2"/>
          <w:lang w:eastAsia="en-US"/>
        </w:rPr>
        <w:t>representation</w:t>
      </w:r>
      <w:r w:rsidRPr="001E60C7">
        <w:t xml:space="preserve"> to dis</w:t>
      </w:r>
      <w:r w:rsidR="00DE3A2E" w:rsidRPr="001E60C7">
        <w:t>cuss sister school arrangements,</w:t>
      </w:r>
      <w:r w:rsidRPr="001E60C7">
        <w:t xml:space="preserve"> international curricula and pathway opportunities to Australian higher education institutions.</w:t>
      </w:r>
    </w:p>
    <w:p w14:paraId="1F807E3F" w14:textId="77777777" w:rsidR="00D33D77" w:rsidRPr="001E60C7" w:rsidRDefault="00D33D77">
      <w:pPr>
        <w:spacing w:after="160" w:line="259" w:lineRule="auto"/>
        <w:rPr>
          <w:rFonts w:asciiTheme="minorHAnsi" w:hAnsiTheme="minorHAnsi" w:cstheme="minorBidi"/>
          <w:lang w:eastAsia="zh-TW"/>
        </w:rPr>
      </w:pPr>
      <w:r w:rsidRPr="001E60C7">
        <w:br w:type="page"/>
      </w:r>
    </w:p>
    <w:tbl>
      <w:tblPr>
        <w:tblStyle w:val="TableGrid"/>
        <w:tblW w:w="9918" w:type="dxa"/>
        <w:tblInd w:w="0" w:type="dxa"/>
        <w:tblLook w:val="04A0" w:firstRow="1" w:lastRow="0" w:firstColumn="1" w:lastColumn="0" w:noHBand="0" w:noVBand="1"/>
      </w:tblPr>
      <w:tblGrid>
        <w:gridCol w:w="9918"/>
      </w:tblGrid>
      <w:tr w:rsidR="00D33D77" w:rsidRPr="001E60C7" w14:paraId="1ADD3D79" w14:textId="77777777" w:rsidTr="0050718B">
        <w:trPr>
          <w:trHeight w:val="6936"/>
        </w:trPr>
        <w:tc>
          <w:tcPr>
            <w:tcW w:w="9918" w:type="dxa"/>
            <w:shd w:val="clear" w:color="auto" w:fill="BDD6EE" w:themeFill="accent1" w:themeFillTint="66"/>
          </w:tcPr>
          <w:p w14:paraId="11AC79F7" w14:textId="25D5B421" w:rsidR="00D33D77" w:rsidRPr="001E60C7" w:rsidRDefault="004A0C1B" w:rsidP="00D15984">
            <w:pPr>
              <w:spacing w:before="120" w:after="120"/>
              <w:rPr>
                <w:rFonts w:eastAsia="Calibri"/>
                <w:sz w:val="18"/>
              </w:rPr>
            </w:pPr>
            <w:r>
              <w:rPr>
                <w:rFonts w:eastAsia="Times New Roman"/>
                <w:b/>
                <w:bCs/>
                <w:color w:val="374C80"/>
                <w:sz w:val="18"/>
              </w:rPr>
              <w:lastRenderedPageBreak/>
              <w:t>Case Study 5 – School p</w:t>
            </w:r>
            <w:r w:rsidR="00D33D77" w:rsidRPr="001E60C7">
              <w:rPr>
                <w:rFonts w:eastAsia="Times New Roman"/>
                <w:b/>
                <w:bCs/>
                <w:color w:val="374C80"/>
                <w:sz w:val="18"/>
              </w:rPr>
              <w:t>artnerships</w:t>
            </w:r>
            <w:r w:rsidR="00D33D77" w:rsidRPr="001E60C7">
              <w:rPr>
                <w:rFonts w:eastAsia="Calibri"/>
                <w:sz w:val="18"/>
              </w:rPr>
              <w:t xml:space="preserve"> </w:t>
            </w:r>
          </w:p>
          <w:p w14:paraId="20CFB19A" w14:textId="77777777" w:rsidR="00D33D77" w:rsidRPr="001E60C7" w:rsidRDefault="00D33D77" w:rsidP="00D15984">
            <w:pPr>
              <w:spacing w:before="120" w:after="120"/>
              <w:rPr>
                <w:rFonts w:eastAsia="Calibri" w:cs="Times New Roman"/>
                <w:sz w:val="18"/>
                <w:szCs w:val="18"/>
              </w:rPr>
            </w:pPr>
            <w:r w:rsidRPr="001E60C7">
              <w:rPr>
                <w:rFonts w:eastAsia="Calibri" w:cs="Times New Roman"/>
                <w:sz w:val="18"/>
                <w:szCs w:val="18"/>
              </w:rPr>
              <w:t xml:space="preserve">Sister school partnerships are long-term, non-commercial partnerships between two schools, encompassing a range of student and teacher activities including two-way exchanges. These arrangements are generally organised at the school level, which means there is little data available. </w:t>
            </w:r>
          </w:p>
          <w:p w14:paraId="5ADD359D" w14:textId="059BBD51" w:rsidR="00D33D77" w:rsidRPr="001E60C7" w:rsidRDefault="00D33D77" w:rsidP="00D15984">
            <w:pPr>
              <w:spacing w:before="120" w:after="120"/>
              <w:rPr>
                <w:rFonts w:eastAsia="Calibri" w:cs="Times New Roman"/>
                <w:sz w:val="18"/>
                <w:szCs w:val="18"/>
              </w:rPr>
            </w:pPr>
            <w:r w:rsidRPr="001E60C7">
              <w:rPr>
                <w:rFonts w:eastAsia="Calibri" w:cs="Times New Roman"/>
                <w:sz w:val="18"/>
                <w:szCs w:val="18"/>
              </w:rPr>
              <w:t>The Asia Education Foundation’s flagship Building Relationships through Intercultural Dialogue and Growing Engagement (BRIDGE) Program establishes partnerships between Australian and international school communities, using online learning and teacher exchanges to grow relationships and b</w:t>
            </w:r>
            <w:r w:rsidR="0050718B">
              <w:rPr>
                <w:rFonts w:eastAsia="Calibri" w:cs="Times New Roman"/>
                <w:sz w:val="18"/>
                <w:szCs w:val="18"/>
              </w:rPr>
              <w:t>uild international perspectives.*</w:t>
            </w:r>
            <w:r w:rsidRPr="001E60C7">
              <w:rPr>
                <w:rFonts w:eastAsia="Calibri" w:cs="Times New Roman"/>
                <w:sz w:val="18"/>
                <w:szCs w:val="18"/>
              </w:rPr>
              <w:t xml:space="preserve"> Schools participating in the program have expanded intercultural learning opportunities, which leads to heightened student interest and engagement and broader community acceptance of internationalisation. Currently, all Australian states and territories have BRIDGE partnerships. </w:t>
            </w:r>
          </w:p>
          <w:p w14:paraId="735EAB9D" w14:textId="015A2F23" w:rsidR="00D33D77" w:rsidRDefault="00D33D77" w:rsidP="00D15984">
            <w:pPr>
              <w:spacing w:before="120" w:after="120"/>
              <w:rPr>
                <w:rFonts w:eastAsia="Calibri" w:cs="Times New Roman"/>
                <w:sz w:val="18"/>
                <w:szCs w:val="18"/>
              </w:rPr>
            </w:pPr>
            <w:r w:rsidRPr="001E60C7">
              <w:rPr>
                <w:rFonts w:eastAsia="Calibri" w:cs="Times New Roman"/>
                <w:sz w:val="18"/>
                <w:szCs w:val="18"/>
              </w:rPr>
              <w:t>The Australian Government is supporting the Pacific expansion of the BRIDGE program over the next two years to include 14 partnerships across Fiji, Nauru, Papua New Guinea, Solomon Islands, Tonga and Vanuatu. A primary aim of this expansion is to build capacity and improve teacher training in the Pacific.</w:t>
            </w:r>
          </w:p>
          <w:p w14:paraId="6A8FA68C" w14:textId="77777777" w:rsidR="009958AD" w:rsidRDefault="009958AD" w:rsidP="00D15984">
            <w:pPr>
              <w:spacing w:before="120" w:after="120"/>
              <w:rPr>
                <w:rFonts w:eastAsia="Calibri" w:cs="Times New Roman"/>
                <w:b/>
                <w:sz w:val="18"/>
                <w:szCs w:val="18"/>
              </w:rPr>
            </w:pPr>
          </w:p>
          <w:p w14:paraId="7BCF1479" w14:textId="6C9D5340" w:rsidR="009958AD" w:rsidRPr="009958AD" w:rsidRDefault="009958AD" w:rsidP="00D15984">
            <w:pPr>
              <w:spacing w:before="120" w:after="120"/>
              <w:rPr>
                <w:rFonts w:eastAsia="Calibri" w:cs="Times New Roman"/>
                <w:b/>
                <w:sz w:val="18"/>
                <w:szCs w:val="18"/>
              </w:rPr>
            </w:pPr>
            <w:r w:rsidRPr="009958AD">
              <w:rPr>
                <w:rFonts w:eastAsia="Calibri" w:cs="Times New Roman"/>
                <w:b/>
                <w:sz w:val="18"/>
                <w:szCs w:val="18"/>
              </w:rPr>
              <w:t>BRIDGE Partnerships by country and jurisdiction</w:t>
            </w:r>
          </w:p>
          <w:tbl>
            <w:tblPr>
              <w:tblStyle w:val="TableGrid3"/>
              <w:tblW w:w="9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892"/>
              <w:gridCol w:w="892"/>
              <w:gridCol w:w="892"/>
              <w:gridCol w:w="892"/>
              <w:gridCol w:w="892"/>
              <w:gridCol w:w="892"/>
              <w:gridCol w:w="892"/>
              <w:gridCol w:w="892"/>
              <w:gridCol w:w="892"/>
            </w:tblGrid>
            <w:tr w:rsidR="00D33D77" w:rsidRPr="001E60C7" w14:paraId="5C3F7804" w14:textId="77777777" w:rsidTr="009958AD">
              <w:trPr>
                <w:trHeight w:val="218"/>
              </w:trPr>
              <w:tc>
                <w:tcPr>
                  <w:tcW w:w="1478" w:type="dxa"/>
                  <w:tcBorders>
                    <w:top w:val="single" w:sz="4" w:space="0" w:color="auto"/>
                    <w:bottom w:val="single" w:sz="4" w:space="0" w:color="auto"/>
                  </w:tcBorders>
                  <w:shd w:val="clear" w:color="auto" w:fill="596984"/>
                </w:tcPr>
                <w:p w14:paraId="6D64F4B1" w14:textId="77777777" w:rsidR="00D33D77" w:rsidRPr="001E60C7" w:rsidRDefault="00D33D77" w:rsidP="00D15984">
                  <w:pPr>
                    <w:rPr>
                      <w:rFonts w:eastAsia="Times New Roman"/>
                      <w:sz w:val="18"/>
                      <w:szCs w:val="18"/>
                      <w:lang w:eastAsia="ja-JP"/>
                    </w:rPr>
                  </w:pPr>
                </w:p>
              </w:tc>
              <w:tc>
                <w:tcPr>
                  <w:tcW w:w="892" w:type="dxa"/>
                  <w:tcBorders>
                    <w:top w:val="single" w:sz="4" w:space="0" w:color="auto"/>
                    <w:bottom w:val="single" w:sz="4" w:space="0" w:color="auto"/>
                  </w:tcBorders>
                  <w:shd w:val="clear" w:color="auto" w:fill="596984"/>
                </w:tcPr>
                <w:p w14:paraId="550C0AF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NSW</w:t>
                  </w:r>
                </w:p>
              </w:tc>
              <w:tc>
                <w:tcPr>
                  <w:tcW w:w="892" w:type="dxa"/>
                  <w:tcBorders>
                    <w:top w:val="single" w:sz="4" w:space="0" w:color="auto"/>
                    <w:bottom w:val="single" w:sz="4" w:space="0" w:color="auto"/>
                  </w:tcBorders>
                  <w:shd w:val="clear" w:color="auto" w:fill="596984"/>
                </w:tcPr>
                <w:p w14:paraId="4A0D3F22"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Vic</w:t>
                  </w:r>
                </w:p>
              </w:tc>
              <w:tc>
                <w:tcPr>
                  <w:tcW w:w="892" w:type="dxa"/>
                  <w:tcBorders>
                    <w:top w:val="single" w:sz="4" w:space="0" w:color="auto"/>
                    <w:bottom w:val="single" w:sz="4" w:space="0" w:color="auto"/>
                  </w:tcBorders>
                  <w:shd w:val="clear" w:color="auto" w:fill="596984"/>
                </w:tcPr>
                <w:p w14:paraId="793BC4E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Qld</w:t>
                  </w:r>
                </w:p>
              </w:tc>
              <w:tc>
                <w:tcPr>
                  <w:tcW w:w="892" w:type="dxa"/>
                  <w:tcBorders>
                    <w:top w:val="single" w:sz="4" w:space="0" w:color="auto"/>
                    <w:bottom w:val="single" w:sz="4" w:space="0" w:color="auto"/>
                  </w:tcBorders>
                  <w:shd w:val="clear" w:color="auto" w:fill="596984"/>
                </w:tcPr>
                <w:p w14:paraId="04FEC68A"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SA</w:t>
                  </w:r>
                </w:p>
              </w:tc>
              <w:tc>
                <w:tcPr>
                  <w:tcW w:w="892" w:type="dxa"/>
                  <w:tcBorders>
                    <w:top w:val="single" w:sz="4" w:space="0" w:color="auto"/>
                    <w:bottom w:val="single" w:sz="4" w:space="0" w:color="auto"/>
                  </w:tcBorders>
                  <w:shd w:val="clear" w:color="auto" w:fill="596984"/>
                </w:tcPr>
                <w:p w14:paraId="3D135B2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WA</w:t>
                  </w:r>
                </w:p>
              </w:tc>
              <w:tc>
                <w:tcPr>
                  <w:tcW w:w="892" w:type="dxa"/>
                  <w:tcBorders>
                    <w:top w:val="single" w:sz="4" w:space="0" w:color="auto"/>
                    <w:bottom w:val="single" w:sz="4" w:space="0" w:color="auto"/>
                  </w:tcBorders>
                  <w:shd w:val="clear" w:color="auto" w:fill="596984"/>
                </w:tcPr>
                <w:p w14:paraId="2A9C916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TAS</w:t>
                  </w:r>
                </w:p>
              </w:tc>
              <w:tc>
                <w:tcPr>
                  <w:tcW w:w="892" w:type="dxa"/>
                  <w:tcBorders>
                    <w:top w:val="single" w:sz="4" w:space="0" w:color="auto"/>
                    <w:bottom w:val="single" w:sz="4" w:space="0" w:color="auto"/>
                  </w:tcBorders>
                  <w:shd w:val="clear" w:color="auto" w:fill="596984"/>
                </w:tcPr>
                <w:p w14:paraId="5383ED8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NT</w:t>
                  </w:r>
                </w:p>
              </w:tc>
              <w:tc>
                <w:tcPr>
                  <w:tcW w:w="892" w:type="dxa"/>
                  <w:tcBorders>
                    <w:top w:val="single" w:sz="4" w:space="0" w:color="auto"/>
                    <w:bottom w:val="single" w:sz="4" w:space="0" w:color="auto"/>
                  </w:tcBorders>
                  <w:shd w:val="clear" w:color="auto" w:fill="596984"/>
                </w:tcPr>
                <w:p w14:paraId="073BE8E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ACT</w:t>
                  </w:r>
                </w:p>
              </w:tc>
              <w:tc>
                <w:tcPr>
                  <w:tcW w:w="892" w:type="dxa"/>
                  <w:tcBorders>
                    <w:top w:val="single" w:sz="4" w:space="0" w:color="auto"/>
                    <w:bottom w:val="single" w:sz="4" w:space="0" w:color="auto"/>
                  </w:tcBorders>
                  <w:shd w:val="clear" w:color="auto" w:fill="596984"/>
                </w:tcPr>
                <w:p w14:paraId="20619FE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Total</w:t>
                  </w:r>
                </w:p>
              </w:tc>
            </w:tr>
            <w:tr w:rsidR="00D33D77" w:rsidRPr="001E60C7" w14:paraId="72359802" w14:textId="77777777" w:rsidTr="009958AD">
              <w:trPr>
                <w:trHeight w:val="218"/>
              </w:trPr>
              <w:tc>
                <w:tcPr>
                  <w:tcW w:w="1478" w:type="dxa"/>
                  <w:tcBorders>
                    <w:top w:val="single" w:sz="4" w:space="0" w:color="auto"/>
                  </w:tcBorders>
                </w:tcPr>
                <w:p w14:paraId="09EC2645"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China</w:t>
                  </w:r>
                </w:p>
              </w:tc>
              <w:tc>
                <w:tcPr>
                  <w:tcW w:w="892" w:type="dxa"/>
                  <w:tcBorders>
                    <w:top w:val="single" w:sz="4" w:space="0" w:color="auto"/>
                  </w:tcBorders>
                </w:tcPr>
                <w:p w14:paraId="4384DF5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w:t>
                  </w:r>
                </w:p>
              </w:tc>
              <w:tc>
                <w:tcPr>
                  <w:tcW w:w="892" w:type="dxa"/>
                  <w:tcBorders>
                    <w:top w:val="single" w:sz="4" w:space="0" w:color="auto"/>
                  </w:tcBorders>
                </w:tcPr>
                <w:p w14:paraId="5B79B26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12</w:t>
                  </w:r>
                </w:p>
              </w:tc>
              <w:tc>
                <w:tcPr>
                  <w:tcW w:w="892" w:type="dxa"/>
                  <w:tcBorders>
                    <w:top w:val="single" w:sz="4" w:space="0" w:color="auto"/>
                  </w:tcBorders>
                </w:tcPr>
                <w:p w14:paraId="66BDD50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w:t>
                  </w:r>
                </w:p>
              </w:tc>
              <w:tc>
                <w:tcPr>
                  <w:tcW w:w="892" w:type="dxa"/>
                  <w:tcBorders>
                    <w:top w:val="single" w:sz="4" w:space="0" w:color="auto"/>
                  </w:tcBorders>
                </w:tcPr>
                <w:p w14:paraId="1BA390C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16</w:t>
                  </w:r>
                </w:p>
              </w:tc>
              <w:tc>
                <w:tcPr>
                  <w:tcW w:w="892" w:type="dxa"/>
                  <w:tcBorders>
                    <w:top w:val="single" w:sz="4" w:space="0" w:color="auto"/>
                  </w:tcBorders>
                </w:tcPr>
                <w:p w14:paraId="6CF593C1"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w:t>
                  </w:r>
                </w:p>
              </w:tc>
              <w:tc>
                <w:tcPr>
                  <w:tcW w:w="892" w:type="dxa"/>
                  <w:tcBorders>
                    <w:top w:val="single" w:sz="4" w:space="0" w:color="auto"/>
                  </w:tcBorders>
                </w:tcPr>
                <w:p w14:paraId="24324A2D"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Borders>
                    <w:top w:val="single" w:sz="4" w:space="0" w:color="auto"/>
                  </w:tcBorders>
                </w:tcPr>
                <w:p w14:paraId="38546BF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Borders>
                    <w:top w:val="single" w:sz="4" w:space="0" w:color="auto"/>
                  </w:tcBorders>
                </w:tcPr>
                <w:p w14:paraId="19BE2DA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Borders>
                    <w:top w:val="single" w:sz="4" w:space="0" w:color="auto"/>
                  </w:tcBorders>
                </w:tcPr>
                <w:p w14:paraId="2FEB555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43</w:t>
                  </w:r>
                </w:p>
              </w:tc>
            </w:tr>
            <w:tr w:rsidR="00D33D77" w:rsidRPr="001E60C7" w14:paraId="2C6FBD2A" w14:textId="77777777" w:rsidTr="009958AD">
              <w:trPr>
                <w:trHeight w:val="211"/>
              </w:trPr>
              <w:tc>
                <w:tcPr>
                  <w:tcW w:w="1478" w:type="dxa"/>
                </w:tcPr>
                <w:p w14:paraId="0D1587C8"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India</w:t>
                  </w:r>
                </w:p>
              </w:tc>
              <w:tc>
                <w:tcPr>
                  <w:tcW w:w="892" w:type="dxa"/>
                </w:tcPr>
                <w:p w14:paraId="0E06AB4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w:t>
                  </w:r>
                </w:p>
              </w:tc>
              <w:tc>
                <w:tcPr>
                  <w:tcW w:w="892" w:type="dxa"/>
                </w:tcPr>
                <w:p w14:paraId="30E6397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w:t>
                  </w:r>
                </w:p>
              </w:tc>
              <w:tc>
                <w:tcPr>
                  <w:tcW w:w="892" w:type="dxa"/>
                </w:tcPr>
                <w:p w14:paraId="0B3715D9"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w:t>
                  </w:r>
                </w:p>
              </w:tc>
              <w:tc>
                <w:tcPr>
                  <w:tcW w:w="892" w:type="dxa"/>
                </w:tcPr>
                <w:p w14:paraId="5B4DDF3A"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5579932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340F2C44"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521F229"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253F758"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2A44CCC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15</w:t>
                  </w:r>
                </w:p>
              </w:tc>
            </w:tr>
            <w:tr w:rsidR="00D33D77" w:rsidRPr="001E60C7" w14:paraId="71FEA0D6" w14:textId="77777777" w:rsidTr="009958AD">
              <w:trPr>
                <w:trHeight w:val="218"/>
              </w:trPr>
              <w:tc>
                <w:tcPr>
                  <w:tcW w:w="1478" w:type="dxa"/>
                </w:tcPr>
                <w:p w14:paraId="55B8BECF"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Indonesia</w:t>
                  </w:r>
                </w:p>
              </w:tc>
              <w:tc>
                <w:tcPr>
                  <w:tcW w:w="892" w:type="dxa"/>
                </w:tcPr>
                <w:p w14:paraId="2B7D012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29</w:t>
                  </w:r>
                </w:p>
              </w:tc>
              <w:tc>
                <w:tcPr>
                  <w:tcW w:w="892" w:type="dxa"/>
                </w:tcPr>
                <w:p w14:paraId="75A171C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51</w:t>
                  </w:r>
                </w:p>
              </w:tc>
              <w:tc>
                <w:tcPr>
                  <w:tcW w:w="892" w:type="dxa"/>
                </w:tcPr>
                <w:p w14:paraId="4D97E0B9"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15</w:t>
                  </w:r>
                </w:p>
              </w:tc>
              <w:tc>
                <w:tcPr>
                  <w:tcW w:w="892" w:type="dxa"/>
                </w:tcPr>
                <w:p w14:paraId="569500D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21</w:t>
                  </w:r>
                </w:p>
              </w:tc>
              <w:tc>
                <w:tcPr>
                  <w:tcW w:w="892" w:type="dxa"/>
                </w:tcPr>
                <w:p w14:paraId="2D4DCD3D"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22</w:t>
                  </w:r>
                </w:p>
              </w:tc>
              <w:tc>
                <w:tcPr>
                  <w:tcW w:w="892" w:type="dxa"/>
                </w:tcPr>
                <w:p w14:paraId="1CC7592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12</w:t>
                  </w:r>
                </w:p>
              </w:tc>
              <w:tc>
                <w:tcPr>
                  <w:tcW w:w="892" w:type="dxa"/>
                </w:tcPr>
                <w:p w14:paraId="26B5002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w:t>
                  </w:r>
                </w:p>
              </w:tc>
              <w:tc>
                <w:tcPr>
                  <w:tcW w:w="892" w:type="dxa"/>
                </w:tcPr>
                <w:p w14:paraId="08D35B6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11</w:t>
                  </w:r>
                </w:p>
              </w:tc>
              <w:tc>
                <w:tcPr>
                  <w:tcW w:w="892" w:type="dxa"/>
                </w:tcPr>
                <w:p w14:paraId="2F65DDE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166</w:t>
                  </w:r>
                </w:p>
              </w:tc>
            </w:tr>
            <w:tr w:rsidR="00D33D77" w:rsidRPr="001E60C7" w14:paraId="3FBF244F" w14:textId="77777777" w:rsidTr="009958AD">
              <w:trPr>
                <w:trHeight w:val="211"/>
              </w:trPr>
              <w:tc>
                <w:tcPr>
                  <w:tcW w:w="1478" w:type="dxa"/>
                </w:tcPr>
                <w:p w14:paraId="506D1B3E"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Malaysia</w:t>
                  </w:r>
                </w:p>
              </w:tc>
              <w:tc>
                <w:tcPr>
                  <w:tcW w:w="892" w:type="dxa"/>
                </w:tcPr>
                <w:p w14:paraId="04BAE9C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11A71904"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9</w:t>
                  </w:r>
                </w:p>
              </w:tc>
              <w:tc>
                <w:tcPr>
                  <w:tcW w:w="892" w:type="dxa"/>
                </w:tcPr>
                <w:p w14:paraId="527757E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7738A7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3693B96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4</w:t>
                  </w:r>
                </w:p>
              </w:tc>
              <w:tc>
                <w:tcPr>
                  <w:tcW w:w="892" w:type="dxa"/>
                </w:tcPr>
                <w:p w14:paraId="5C3C1A14"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08C1489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7A0960E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54D663CA"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17</w:t>
                  </w:r>
                </w:p>
              </w:tc>
            </w:tr>
            <w:tr w:rsidR="00D33D77" w:rsidRPr="001E60C7" w14:paraId="14C6400A" w14:textId="77777777" w:rsidTr="009958AD">
              <w:trPr>
                <w:trHeight w:val="218"/>
              </w:trPr>
              <w:tc>
                <w:tcPr>
                  <w:tcW w:w="1478" w:type="dxa"/>
                </w:tcPr>
                <w:p w14:paraId="22E0C211"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Philippines</w:t>
                  </w:r>
                </w:p>
              </w:tc>
              <w:tc>
                <w:tcPr>
                  <w:tcW w:w="892" w:type="dxa"/>
                </w:tcPr>
                <w:p w14:paraId="2381D81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474B18D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27048B9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746C862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0264A0D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697B94B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5047823"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5781B0C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2567A8D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4</w:t>
                  </w:r>
                </w:p>
              </w:tc>
            </w:tr>
            <w:tr w:rsidR="00D33D77" w:rsidRPr="001E60C7" w14:paraId="44DBC3AE" w14:textId="77777777" w:rsidTr="009958AD">
              <w:trPr>
                <w:trHeight w:val="211"/>
              </w:trPr>
              <w:tc>
                <w:tcPr>
                  <w:tcW w:w="1478" w:type="dxa"/>
                </w:tcPr>
                <w:p w14:paraId="14938EFC"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Singapore</w:t>
                  </w:r>
                </w:p>
              </w:tc>
              <w:tc>
                <w:tcPr>
                  <w:tcW w:w="892" w:type="dxa"/>
                </w:tcPr>
                <w:p w14:paraId="7BE11AB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05CB793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69F4E6A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734161B1"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2E4DB904"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76BF8FB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2DF9415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E4C62C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63761A4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8</w:t>
                  </w:r>
                </w:p>
              </w:tc>
            </w:tr>
            <w:tr w:rsidR="00D33D77" w:rsidRPr="001E60C7" w14:paraId="4E876C0A" w14:textId="77777777" w:rsidTr="009958AD">
              <w:trPr>
                <w:trHeight w:val="218"/>
              </w:trPr>
              <w:tc>
                <w:tcPr>
                  <w:tcW w:w="1478" w:type="dxa"/>
                </w:tcPr>
                <w:p w14:paraId="3DEEBD88"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South Korea</w:t>
                  </w:r>
                </w:p>
              </w:tc>
              <w:tc>
                <w:tcPr>
                  <w:tcW w:w="892" w:type="dxa"/>
                </w:tcPr>
                <w:p w14:paraId="0AE9E3A6"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8</w:t>
                  </w:r>
                </w:p>
              </w:tc>
              <w:tc>
                <w:tcPr>
                  <w:tcW w:w="892" w:type="dxa"/>
                </w:tcPr>
                <w:p w14:paraId="49CF1798"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6</w:t>
                  </w:r>
                </w:p>
              </w:tc>
              <w:tc>
                <w:tcPr>
                  <w:tcW w:w="892" w:type="dxa"/>
                </w:tcPr>
                <w:p w14:paraId="28C8F63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12</w:t>
                  </w:r>
                </w:p>
              </w:tc>
              <w:tc>
                <w:tcPr>
                  <w:tcW w:w="892" w:type="dxa"/>
                </w:tcPr>
                <w:p w14:paraId="409A673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w:t>
                  </w:r>
                </w:p>
              </w:tc>
              <w:tc>
                <w:tcPr>
                  <w:tcW w:w="892" w:type="dxa"/>
                </w:tcPr>
                <w:p w14:paraId="7E76442D"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1A227014"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3632815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4A97AFE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Pr>
                <w:p w14:paraId="38451D72"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32</w:t>
                  </w:r>
                </w:p>
              </w:tc>
            </w:tr>
            <w:tr w:rsidR="00D33D77" w:rsidRPr="001E60C7" w14:paraId="5196712E" w14:textId="77777777" w:rsidTr="009958AD">
              <w:trPr>
                <w:trHeight w:val="218"/>
              </w:trPr>
              <w:tc>
                <w:tcPr>
                  <w:tcW w:w="1478" w:type="dxa"/>
                </w:tcPr>
                <w:p w14:paraId="3C489C5E"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Thailand</w:t>
                  </w:r>
                </w:p>
              </w:tc>
              <w:tc>
                <w:tcPr>
                  <w:tcW w:w="892" w:type="dxa"/>
                </w:tcPr>
                <w:p w14:paraId="48A388B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w:t>
                  </w:r>
                </w:p>
              </w:tc>
              <w:tc>
                <w:tcPr>
                  <w:tcW w:w="892" w:type="dxa"/>
                </w:tcPr>
                <w:p w14:paraId="44C14BD2"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11</w:t>
                  </w:r>
                </w:p>
              </w:tc>
              <w:tc>
                <w:tcPr>
                  <w:tcW w:w="892" w:type="dxa"/>
                </w:tcPr>
                <w:p w14:paraId="4686819E"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8</w:t>
                  </w:r>
                </w:p>
              </w:tc>
              <w:tc>
                <w:tcPr>
                  <w:tcW w:w="892" w:type="dxa"/>
                </w:tcPr>
                <w:p w14:paraId="31276B6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7</w:t>
                  </w:r>
                </w:p>
              </w:tc>
              <w:tc>
                <w:tcPr>
                  <w:tcW w:w="892" w:type="dxa"/>
                </w:tcPr>
                <w:p w14:paraId="50513D6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57ADFF4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4926EC42"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Pr>
                <w:p w14:paraId="754272EB"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2</w:t>
                  </w:r>
                </w:p>
              </w:tc>
              <w:tc>
                <w:tcPr>
                  <w:tcW w:w="892" w:type="dxa"/>
                </w:tcPr>
                <w:p w14:paraId="113FA48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34</w:t>
                  </w:r>
                </w:p>
              </w:tc>
            </w:tr>
            <w:tr w:rsidR="00D33D77" w:rsidRPr="001E60C7" w14:paraId="00AC518D" w14:textId="77777777" w:rsidTr="009958AD">
              <w:trPr>
                <w:trHeight w:val="211"/>
              </w:trPr>
              <w:tc>
                <w:tcPr>
                  <w:tcW w:w="1478" w:type="dxa"/>
                  <w:tcBorders>
                    <w:bottom w:val="single" w:sz="4" w:space="0" w:color="auto"/>
                  </w:tcBorders>
                </w:tcPr>
                <w:p w14:paraId="1380D1C6"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Vietnam</w:t>
                  </w:r>
                </w:p>
              </w:tc>
              <w:tc>
                <w:tcPr>
                  <w:tcW w:w="892" w:type="dxa"/>
                  <w:tcBorders>
                    <w:bottom w:val="single" w:sz="4" w:space="0" w:color="auto"/>
                  </w:tcBorders>
                </w:tcPr>
                <w:p w14:paraId="4FFC4729"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Borders>
                    <w:bottom w:val="single" w:sz="4" w:space="0" w:color="auto"/>
                  </w:tcBorders>
                </w:tcPr>
                <w:p w14:paraId="1C42CC82"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6</w:t>
                  </w:r>
                </w:p>
              </w:tc>
              <w:tc>
                <w:tcPr>
                  <w:tcW w:w="892" w:type="dxa"/>
                  <w:tcBorders>
                    <w:bottom w:val="single" w:sz="4" w:space="0" w:color="auto"/>
                  </w:tcBorders>
                </w:tcPr>
                <w:p w14:paraId="49AC5E2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Borders>
                    <w:bottom w:val="single" w:sz="4" w:space="0" w:color="auto"/>
                  </w:tcBorders>
                </w:tcPr>
                <w:p w14:paraId="74A60B6F"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Borders>
                    <w:bottom w:val="single" w:sz="4" w:space="0" w:color="auto"/>
                  </w:tcBorders>
                </w:tcPr>
                <w:p w14:paraId="2111A3C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Borders>
                    <w:bottom w:val="single" w:sz="4" w:space="0" w:color="auto"/>
                  </w:tcBorders>
                </w:tcPr>
                <w:p w14:paraId="3CC4C5E9"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Borders>
                    <w:bottom w:val="single" w:sz="4" w:space="0" w:color="auto"/>
                  </w:tcBorders>
                </w:tcPr>
                <w:p w14:paraId="63E9537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w:t>
                  </w:r>
                </w:p>
              </w:tc>
              <w:tc>
                <w:tcPr>
                  <w:tcW w:w="892" w:type="dxa"/>
                  <w:tcBorders>
                    <w:bottom w:val="single" w:sz="4" w:space="0" w:color="auto"/>
                  </w:tcBorders>
                </w:tcPr>
                <w:p w14:paraId="0933AB37"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w:t>
                  </w:r>
                </w:p>
              </w:tc>
              <w:tc>
                <w:tcPr>
                  <w:tcW w:w="892" w:type="dxa"/>
                  <w:tcBorders>
                    <w:bottom w:val="single" w:sz="4" w:space="0" w:color="auto"/>
                  </w:tcBorders>
                </w:tcPr>
                <w:p w14:paraId="1E3C0C30"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9</w:t>
                  </w:r>
                </w:p>
              </w:tc>
            </w:tr>
            <w:tr w:rsidR="00D33D77" w:rsidRPr="001E60C7" w14:paraId="443A1A6B" w14:textId="77777777" w:rsidTr="009958AD">
              <w:trPr>
                <w:trHeight w:val="104"/>
              </w:trPr>
              <w:tc>
                <w:tcPr>
                  <w:tcW w:w="1478" w:type="dxa"/>
                  <w:tcBorders>
                    <w:top w:val="single" w:sz="4" w:space="0" w:color="auto"/>
                    <w:bottom w:val="single" w:sz="4" w:space="0" w:color="auto"/>
                  </w:tcBorders>
                </w:tcPr>
                <w:p w14:paraId="6DC145F8" w14:textId="77777777" w:rsidR="00D33D77" w:rsidRPr="001E60C7" w:rsidRDefault="00D33D77" w:rsidP="00D15984">
                  <w:pPr>
                    <w:rPr>
                      <w:rFonts w:eastAsia="Times New Roman"/>
                      <w:sz w:val="18"/>
                      <w:szCs w:val="18"/>
                      <w:lang w:eastAsia="ja-JP"/>
                    </w:rPr>
                  </w:pPr>
                  <w:r w:rsidRPr="001E60C7">
                    <w:rPr>
                      <w:rFonts w:eastAsia="Times New Roman"/>
                      <w:sz w:val="18"/>
                      <w:szCs w:val="18"/>
                      <w:lang w:eastAsia="ja-JP"/>
                    </w:rPr>
                    <w:t>Total</w:t>
                  </w:r>
                </w:p>
              </w:tc>
              <w:tc>
                <w:tcPr>
                  <w:tcW w:w="892" w:type="dxa"/>
                  <w:tcBorders>
                    <w:top w:val="single" w:sz="4" w:space="0" w:color="auto"/>
                    <w:bottom w:val="single" w:sz="4" w:space="0" w:color="auto"/>
                  </w:tcBorders>
                </w:tcPr>
                <w:p w14:paraId="2AA61A5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51</w:t>
                  </w:r>
                </w:p>
              </w:tc>
              <w:tc>
                <w:tcPr>
                  <w:tcW w:w="892" w:type="dxa"/>
                  <w:tcBorders>
                    <w:top w:val="single" w:sz="4" w:space="0" w:color="auto"/>
                    <w:bottom w:val="single" w:sz="4" w:space="0" w:color="auto"/>
                  </w:tcBorders>
                </w:tcPr>
                <w:p w14:paraId="414CE8C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101</w:t>
                  </w:r>
                </w:p>
              </w:tc>
              <w:tc>
                <w:tcPr>
                  <w:tcW w:w="892" w:type="dxa"/>
                  <w:tcBorders>
                    <w:top w:val="single" w:sz="4" w:space="0" w:color="auto"/>
                    <w:bottom w:val="single" w:sz="4" w:space="0" w:color="auto"/>
                  </w:tcBorders>
                </w:tcPr>
                <w:p w14:paraId="3E8BC39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48</w:t>
                  </w:r>
                </w:p>
              </w:tc>
              <w:tc>
                <w:tcPr>
                  <w:tcW w:w="892" w:type="dxa"/>
                  <w:tcBorders>
                    <w:top w:val="single" w:sz="4" w:space="0" w:color="auto"/>
                    <w:bottom w:val="single" w:sz="4" w:space="0" w:color="auto"/>
                  </w:tcBorders>
                </w:tcPr>
                <w:p w14:paraId="12DC07EC"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48</w:t>
                  </w:r>
                </w:p>
              </w:tc>
              <w:tc>
                <w:tcPr>
                  <w:tcW w:w="892" w:type="dxa"/>
                  <w:tcBorders>
                    <w:top w:val="single" w:sz="4" w:space="0" w:color="auto"/>
                    <w:bottom w:val="single" w:sz="4" w:space="0" w:color="auto"/>
                  </w:tcBorders>
                </w:tcPr>
                <w:p w14:paraId="1E28B0D1"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39</w:t>
                  </w:r>
                </w:p>
              </w:tc>
              <w:tc>
                <w:tcPr>
                  <w:tcW w:w="892" w:type="dxa"/>
                  <w:tcBorders>
                    <w:top w:val="single" w:sz="4" w:space="0" w:color="auto"/>
                    <w:bottom w:val="single" w:sz="4" w:space="0" w:color="auto"/>
                  </w:tcBorders>
                </w:tcPr>
                <w:p w14:paraId="1A1411BA"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15</w:t>
                  </w:r>
                </w:p>
              </w:tc>
              <w:tc>
                <w:tcPr>
                  <w:tcW w:w="892" w:type="dxa"/>
                  <w:tcBorders>
                    <w:top w:val="single" w:sz="4" w:space="0" w:color="auto"/>
                    <w:bottom w:val="single" w:sz="4" w:space="0" w:color="auto"/>
                  </w:tcBorders>
                </w:tcPr>
                <w:p w14:paraId="0EF8D135"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9</w:t>
                  </w:r>
                </w:p>
              </w:tc>
              <w:tc>
                <w:tcPr>
                  <w:tcW w:w="892" w:type="dxa"/>
                  <w:tcBorders>
                    <w:top w:val="single" w:sz="4" w:space="0" w:color="auto"/>
                    <w:bottom w:val="single" w:sz="4" w:space="0" w:color="auto"/>
                  </w:tcBorders>
                </w:tcPr>
                <w:p w14:paraId="7A7EA06A"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17</w:t>
                  </w:r>
                </w:p>
              </w:tc>
              <w:tc>
                <w:tcPr>
                  <w:tcW w:w="892" w:type="dxa"/>
                  <w:tcBorders>
                    <w:top w:val="single" w:sz="4" w:space="0" w:color="auto"/>
                    <w:bottom w:val="single" w:sz="4" w:space="0" w:color="auto"/>
                  </w:tcBorders>
                </w:tcPr>
                <w:p w14:paraId="66DCEB41" w14:textId="77777777" w:rsidR="00D33D77" w:rsidRPr="001E60C7" w:rsidRDefault="00D33D77" w:rsidP="00D15984">
                  <w:pPr>
                    <w:jc w:val="center"/>
                    <w:rPr>
                      <w:rFonts w:eastAsia="Times New Roman"/>
                      <w:sz w:val="18"/>
                      <w:szCs w:val="18"/>
                      <w:lang w:eastAsia="ja-JP"/>
                    </w:rPr>
                  </w:pPr>
                  <w:r w:rsidRPr="001E60C7">
                    <w:rPr>
                      <w:rFonts w:eastAsia="Times New Roman"/>
                      <w:sz w:val="18"/>
                      <w:szCs w:val="18"/>
                      <w:lang w:eastAsia="ja-JP"/>
                    </w:rPr>
                    <w:t>328</w:t>
                  </w:r>
                </w:p>
              </w:tc>
            </w:tr>
          </w:tbl>
          <w:p w14:paraId="3A7A5E9B" w14:textId="77777777" w:rsidR="0050718B" w:rsidRDefault="0050718B" w:rsidP="00D15984">
            <w:pPr>
              <w:rPr>
                <w:sz w:val="18"/>
                <w:szCs w:val="18"/>
              </w:rPr>
            </w:pPr>
          </w:p>
          <w:p w14:paraId="041453BD" w14:textId="757DC43A" w:rsidR="00D33D77" w:rsidRPr="0050718B" w:rsidRDefault="0050718B" w:rsidP="00D15984">
            <w:pPr>
              <w:rPr>
                <w:rFonts w:eastAsia="Calibri"/>
                <w:sz w:val="18"/>
                <w:szCs w:val="18"/>
              </w:rPr>
            </w:pPr>
            <w:r>
              <w:rPr>
                <w:sz w:val="18"/>
                <w:szCs w:val="18"/>
              </w:rPr>
              <w:t>*</w:t>
            </w:r>
            <w:r w:rsidRPr="0050718B">
              <w:rPr>
                <w:sz w:val="18"/>
                <w:szCs w:val="18"/>
              </w:rPr>
              <w:t xml:space="preserve">More information is available at </w:t>
            </w:r>
            <w:hyperlink r:id="rId16" w:history="1">
              <w:r w:rsidRPr="0050718B">
                <w:rPr>
                  <w:rStyle w:val="Hyperlink"/>
                  <w:sz w:val="18"/>
                  <w:szCs w:val="18"/>
                </w:rPr>
                <w:t>http://www.asiaeducation.edu.au/programmes/school-partnerships</w:t>
              </w:r>
            </w:hyperlink>
            <w:r w:rsidRPr="0050718B">
              <w:rPr>
                <w:sz w:val="18"/>
                <w:szCs w:val="18"/>
              </w:rPr>
              <w:t>.</w:t>
            </w:r>
          </w:p>
        </w:tc>
      </w:tr>
    </w:tbl>
    <w:p w14:paraId="3BA59F9E" w14:textId="77777777" w:rsidR="00D33D77" w:rsidRPr="001E60C7" w:rsidRDefault="00D33D77" w:rsidP="008A2949">
      <w:pPr>
        <w:pStyle w:val="ListParagraph"/>
        <w:spacing w:line="257" w:lineRule="auto"/>
        <w:ind w:left="0"/>
        <w:contextualSpacing w:val="0"/>
        <w:rPr>
          <w:rFonts w:ascii="Calibri" w:hAnsi="Calibri" w:cs="Calibri"/>
          <w:spacing w:val="-2"/>
          <w:lang w:eastAsia="en-US"/>
        </w:rPr>
      </w:pPr>
    </w:p>
    <w:p w14:paraId="273B2964"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Vocational education and training opportunities</w:t>
      </w:r>
    </w:p>
    <w:p w14:paraId="09CE1BF6" w14:textId="13BFD660" w:rsidR="006B019A" w:rsidRPr="001E60C7" w:rsidRDefault="008A2949" w:rsidP="008A2949">
      <w:pPr>
        <w:spacing w:after="160" w:line="257" w:lineRule="auto"/>
        <w:rPr>
          <w:rFonts w:asciiTheme="minorHAnsi" w:hAnsiTheme="minorHAnsi" w:cstheme="minorBidi"/>
          <w:lang w:eastAsia="zh-TW"/>
        </w:rPr>
      </w:pPr>
      <w:r w:rsidRPr="001E60C7">
        <w:rPr>
          <w:rFonts w:asciiTheme="minorHAnsi" w:hAnsiTheme="minorHAnsi" w:cstheme="minorBidi"/>
          <w:lang w:eastAsia="zh-TW"/>
        </w:rPr>
        <w:t xml:space="preserve">With the release of China’s </w:t>
      </w:r>
      <w:r w:rsidRPr="001E60C7">
        <w:rPr>
          <w:rFonts w:asciiTheme="minorHAnsi" w:hAnsiTheme="minorHAnsi" w:cstheme="minorBidi"/>
          <w:i/>
          <w:lang w:eastAsia="zh-TW"/>
        </w:rPr>
        <w:t>2019 Implementation Plan of National VET Reform</w:t>
      </w:r>
      <w:r w:rsidRPr="001E60C7">
        <w:rPr>
          <w:rFonts w:asciiTheme="minorHAnsi" w:hAnsiTheme="minorHAnsi" w:cstheme="minorBidi"/>
          <w:lang w:eastAsia="zh-TW"/>
        </w:rPr>
        <w:t xml:space="preserve"> (the Plan)</w:t>
      </w:r>
      <w:r w:rsidRPr="001E60C7">
        <w:rPr>
          <w:rFonts w:asciiTheme="minorHAnsi" w:hAnsiTheme="minorHAnsi" w:cstheme="minorBidi"/>
          <w:i/>
          <w:lang w:eastAsia="zh-TW"/>
        </w:rPr>
        <w:t>,</w:t>
      </w:r>
      <w:r w:rsidRPr="001E60C7">
        <w:rPr>
          <w:rFonts w:asciiTheme="minorHAnsi" w:hAnsiTheme="minorHAnsi" w:cstheme="minorBidi"/>
          <w:lang w:eastAsia="zh-TW"/>
        </w:rPr>
        <w:t xml:space="preserve"> Australian providers are now in a stronger position to make better choices regarding the discipline-focus of brand campaigns and the development of partnerships, skills train</w:t>
      </w:r>
      <w:r w:rsidR="00D33D77" w:rsidRPr="001E60C7">
        <w:rPr>
          <w:rFonts w:asciiTheme="minorHAnsi" w:hAnsiTheme="minorHAnsi" w:cstheme="minorBidi"/>
          <w:lang w:eastAsia="zh-TW"/>
        </w:rPr>
        <w:t>ing and curriculum licensing in</w:t>
      </w:r>
      <w:r w:rsidR="00D33D77" w:rsidRPr="001E60C7">
        <w:rPr>
          <w:rFonts w:asciiTheme="minorHAnsi" w:hAnsiTheme="minorHAnsi" w:cstheme="minorBidi"/>
          <w:lang w:eastAsia="zh-TW"/>
        </w:rPr>
        <w:noBreakHyphen/>
      </w:r>
      <w:r w:rsidRPr="001E60C7">
        <w:rPr>
          <w:rFonts w:asciiTheme="minorHAnsi" w:hAnsiTheme="minorHAnsi" w:cstheme="minorBidi"/>
          <w:lang w:eastAsia="zh-TW"/>
        </w:rPr>
        <w:t>market.</w:t>
      </w:r>
      <w:r w:rsidRPr="001E60C7">
        <w:t xml:space="preserve"> </w:t>
      </w:r>
      <w:r w:rsidR="006B019A" w:rsidRPr="001E60C7">
        <w:rPr>
          <w:rFonts w:asciiTheme="minorHAnsi" w:hAnsiTheme="minorHAnsi" w:cstheme="minorBidi"/>
          <w:lang w:eastAsia="zh-TW"/>
        </w:rPr>
        <w:t>As outlined in the Plan, the</w:t>
      </w:r>
      <w:r w:rsidRPr="001E60C7">
        <w:rPr>
          <w:rFonts w:asciiTheme="minorHAnsi" w:hAnsiTheme="minorHAnsi" w:cstheme="minorBidi"/>
          <w:lang w:eastAsia="zh-TW"/>
        </w:rPr>
        <w:t xml:space="preserve"> Chinese Government is aiming to develop a world-class vocational education system by 2020. In particular, China is seeking to improve industry relevancy and connections, provide additional pathways to higher education, improve occupational standards and qualifications systems, enhance alignment between skills of graduates and employer requirements, and fill an expected talent gap in the manufacturing industry. </w:t>
      </w:r>
    </w:p>
    <w:p w14:paraId="2464D80F" w14:textId="6B5697C2" w:rsidR="008A2949" w:rsidRPr="001E60C7" w:rsidRDefault="006B019A" w:rsidP="008A2949">
      <w:pPr>
        <w:spacing w:after="160" w:line="257" w:lineRule="auto"/>
        <w:rPr>
          <w:rFonts w:asciiTheme="minorHAnsi" w:hAnsiTheme="minorHAnsi" w:cstheme="minorBidi"/>
          <w:lang w:eastAsia="zh-TW"/>
        </w:rPr>
      </w:pPr>
      <w:r w:rsidRPr="001E60C7">
        <w:rPr>
          <w:rFonts w:asciiTheme="minorHAnsi" w:hAnsiTheme="minorHAnsi" w:cstheme="minorBidi"/>
          <w:lang w:eastAsia="zh-TW"/>
        </w:rPr>
        <w:t>Given these aims</w:t>
      </w:r>
      <w:r w:rsidR="008A2949" w:rsidRPr="001E60C7">
        <w:rPr>
          <w:rFonts w:asciiTheme="minorHAnsi" w:hAnsiTheme="minorHAnsi" w:cstheme="minorBidi"/>
          <w:lang w:eastAsia="zh-TW"/>
        </w:rPr>
        <w:t>, there is demand from China for assistance in VET, particularly leadership and teacher training an</w:t>
      </w:r>
      <w:r w:rsidR="00DE3A2E" w:rsidRPr="001E60C7">
        <w:rPr>
          <w:rFonts w:asciiTheme="minorHAnsi" w:hAnsiTheme="minorHAnsi" w:cstheme="minorBidi"/>
          <w:lang w:eastAsia="zh-TW"/>
        </w:rPr>
        <w:t>d assessment, curriculum reform</w:t>
      </w:r>
      <w:r w:rsidR="008A2949" w:rsidRPr="001E60C7">
        <w:rPr>
          <w:rFonts w:asciiTheme="minorHAnsi" w:hAnsiTheme="minorHAnsi" w:cstheme="minorBidi"/>
          <w:lang w:eastAsia="zh-TW"/>
        </w:rPr>
        <w:t xml:space="preserve"> and forging industry links. However, this demand is far beyond what Australia can currently service. </w:t>
      </w:r>
      <w:r w:rsidR="00DE3A2E" w:rsidRPr="001E60C7">
        <w:rPr>
          <w:rFonts w:asciiTheme="minorHAnsi" w:hAnsiTheme="minorHAnsi" w:cstheme="minorBidi"/>
          <w:lang w:eastAsia="zh-TW"/>
        </w:rPr>
        <w:t xml:space="preserve">Provision of consultancy services, institutional support and short courses including Australian Government’s International Skills Training (IST) courses, seem an appropriate compromise. </w:t>
      </w:r>
      <w:r w:rsidR="008A2949" w:rsidRPr="001E60C7">
        <w:rPr>
          <w:rFonts w:asciiTheme="minorHAnsi" w:hAnsiTheme="minorHAnsi" w:cstheme="minorBidi"/>
          <w:lang w:eastAsia="zh-TW"/>
        </w:rPr>
        <w:t>Australian providers have also observed there are high expectations from within China, particularly for the provision of top quality teachers and trainers over a longer term. This is because they meet demand in short bursts by upskilling Chinese trainers in training and assessment</w:t>
      </w:r>
      <w:r w:rsidR="009D776B" w:rsidRPr="001E60C7">
        <w:rPr>
          <w:rFonts w:asciiTheme="minorHAnsi" w:hAnsiTheme="minorHAnsi" w:cstheme="minorBidi"/>
          <w:lang w:eastAsia="zh-TW"/>
        </w:rPr>
        <w:t>, or contribute to improvement of system or institutional performance</w:t>
      </w:r>
      <w:r w:rsidR="008A2949" w:rsidRPr="001E60C7">
        <w:rPr>
          <w:rFonts w:asciiTheme="minorHAnsi" w:hAnsiTheme="minorHAnsi" w:cstheme="minorBidi"/>
          <w:lang w:eastAsia="zh-TW"/>
        </w:rPr>
        <w:t xml:space="preserve">. Acknowledgement by the MoE of these and other innovative VET or professional development is no longer a great challenge. China is </w:t>
      </w:r>
      <w:r w:rsidR="009D776B" w:rsidRPr="001E60C7">
        <w:rPr>
          <w:rFonts w:asciiTheme="minorHAnsi" w:hAnsiTheme="minorHAnsi" w:cstheme="minorBidi"/>
          <w:lang w:eastAsia="zh-TW"/>
        </w:rPr>
        <w:t xml:space="preserve">seeking </w:t>
      </w:r>
      <w:r w:rsidR="008A2949" w:rsidRPr="001E60C7">
        <w:rPr>
          <w:rFonts w:asciiTheme="minorHAnsi" w:hAnsiTheme="minorHAnsi" w:cstheme="minorBidi"/>
          <w:lang w:eastAsia="zh-TW"/>
        </w:rPr>
        <w:t>vocational education and training support that is tailored and localised.</w:t>
      </w:r>
    </w:p>
    <w:p w14:paraId="4BC17890" w14:textId="649CF6B5" w:rsidR="008A2949" w:rsidRPr="001E60C7" w:rsidRDefault="006B019A" w:rsidP="00DE3A2E">
      <w:pPr>
        <w:spacing w:after="160" w:line="257" w:lineRule="auto"/>
        <w:rPr>
          <w:rFonts w:asciiTheme="minorHAnsi" w:hAnsiTheme="minorHAnsi" w:cstheme="minorBidi"/>
          <w:lang w:eastAsia="zh-TW"/>
        </w:rPr>
      </w:pPr>
      <w:r w:rsidRPr="001E60C7">
        <w:rPr>
          <w:rFonts w:asciiTheme="minorHAnsi" w:hAnsiTheme="minorHAnsi" w:cstheme="minorBidi"/>
          <w:lang w:eastAsia="zh-TW"/>
        </w:rPr>
        <w:t xml:space="preserve">It </w:t>
      </w:r>
      <w:r w:rsidR="008A2949" w:rsidRPr="001E60C7">
        <w:rPr>
          <w:rFonts w:asciiTheme="minorHAnsi" w:hAnsiTheme="minorHAnsi" w:cstheme="minorBidi"/>
          <w:lang w:eastAsia="zh-TW"/>
        </w:rPr>
        <w:t xml:space="preserve">is </w:t>
      </w:r>
      <w:r w:rsidRPr="001E60C7">
        <w:rPr>
          <w:rFonts w:asciiTheme="minorHAnsi" w:hAnsiTheme="minorHAnsi" w:cstheme="minorBidi"/>
          <w:lang w:eastAsia="zh-TW"/>
        </w:rPr>
        <w:t xml:space="preserve">also </w:t>
      </w:r>
      <w:r w:rsidR="008A2949" w:rsidRPr="001E60C7">
        <w:rPr>
          <w:rFonts w:asciiTheme="minorHAnsi" w:hAnsiTheme="minorHAnsi" w:cstheme="minorBidi"/>
          <w:lang w:eastAsia="zh-TW"/>
        </w:rPr>
        <w:t>important to improve our understanding of what VET graduates from China have achieved with their qualifications, both in terms of standalone study in specialised industry sectors and as pathways to higher education. Analysis of what VET graduates from China have done post-qualification could be performed in partnership with DFAT’s Australia Global Alumni Engagement Strategy, which</w:t>
      </w:r>
      <w:r w:rsidR="008A2949" w:rsidRPr="001E60C7">
        <w:rPr>
          <w:rFonts w:asciiTheme="minorHAnsi" w:hAnsiTheme="minorHAnsi" w:cstheme="minorBidi"/>
          <w:lang w:val="en-US" w:eastAsia="zh-TW"/>
        </w:rPr>
        <w:t xml:space="preserve"> seeks to leverage our global alumni, including VET alumni, to promote Australia’s diplomatic, trade and investment interests.</w:t>
      </w:r>
      <w:r w:rsidR="00DE3A2E" w:rsidRPr="001E60C7">
        <w:rPr>
          <w:rFonts w:asciiTheme="minorHAnsi" w:hAnsiTheme="minorHAnsi" w:cstheme="minorBidi"/>
          <w:lang w:eastAsia="zh-TW"/>
        </w:rPr>
        <w:t xml:space="preserve"> </w:t>
      </w:r>
    </w:p>
    <w:p w14:paraId="583B003B"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ELICOS opportunities</w:t>
      </w:r>
    </w:p>
    <w:p w14:paraId="02157F23" w14:textId="61816CF1" w:rsidR="008A2949" w:rsidRPr="001E60C7" w:rsidRDefault="008A2949" w:rsidP="008A2949">
      <w:pPr>
        <w:pStyle w:val="ListParagraph"/>
        <w:spacing w:line="257" w:lineRule="auto"/>
        <w:ind w:left="0"/>
        <w:contextualSpacing w:val="0"/>
        <w:rPr>
          <w:rFonts w:ascii="Calibri" w:hAnsi="Calibri" w:cs="Calibri"/>
        </w:rPr>
      </w:pPr>
      <w:r w:rsidRPr="001E60C7">
        <w:t>ELICOS forms a significant part of Australia’s international education sector. Students come from overseas to study the English language for a variety of reasons. Some need to improve their English for work or career purposes, some have a personal interest in becoming fluent in English, and some intend to travel. The majority, however, use their ELICOS studies as a pathway to higher education in Australia, and need to develop the language skills to undertake this further study.</w:t>
      </w:r>
      <w:r w:rsidR="00DE3A2E" w:rsidRPr="001E60C7">
        <w:t xml:space="preserve"> </w:t>
      </w:r>
      <w:r w:rsidRPr="001E60C7">
        <w:t xml:space="preserve">Given </w:t>
      </w:r>
      <w:r w:rsidR="00DE3A2E" w:rsidRPr="001E60C7">
        <w:t xml:space="preserve">this, </w:t>
      </w:r>
      <w:r w:rsidR="00C2078A" w:rsidRPr="001E60C7">
        <w:t xml:space="preserve">the Working Group </w:t>
      </w:r>
      <w:r w:rsidR="00DE3A2E" w:rsidRPr="001E60C7">
        <w:t>consider</w:t>
      </w:r>
      <w:r w:rsidR="00C2078A" w:rsidRPr="001E60C7">
        <w:t>ed</w:t>
      </w:r>
      <w:r w:rsidR="00DE3A2E" w:rsidRPr="001E60C7">
        <w:t xml:space="preserve"> </w:t>
      </w:r>
      <w:r w:rsidRPr="001E60C7">
        <w:rPr>
          <w:rFonts w:ascii="Calibri" w:hAnsi="Calibri" w:cs="Calibri"/>
        </w:rPr>
        <w:t>a proposal to implement an awareness campaign promoting the quality and benefits of studying ELICOS in Australia, specifically encourag</w:t>
      </w:r>
      <w:r w:rsidR="00E51905">
        <w:rPr>
          <w:rFonts w:ascii="Calibri" w:hAnsi="Calibri" w:cs="Calibri"/>
        </w:rPr>
        <w:t>ing specialised, packaged short</w:t>
      </w:r>
      <w:r w:rsidR="00E51905">
        <w:rPr>
          <w:rFonts w:ascii="Calibri" w:hAnsi="Calibri" w:cs="Calibri"/>
        </w:rPr>
        <w:noBreakHyphen/>
      </w:r>
      <w:r w:rsidRPr="001E60C7">
        <w:rPr>
          <w:rFonts w:ascii="Calibri" w:hAnsi="Calibri" w:cs="Calibri"/>
        </w:rPr>
        <w:t xml:space="preserve">term English language learning programs via online learning portals, education agents and local media. </w:t>
      </w:r>
    </w:p>
    <w:p w14:paraId="0DBB1259" w14:textId="77777777" w:rsidR="008A2949" w:rsidRPr="001E60C7" w:rsidRDefault="008A2949" w:rsidP="008A2949">
      <w:pPr>
        <w:pStyle w:val="ListParagraph"/>
        <w:spacing w:line="257" w:lineRule="auto"/>
        <w:ind w:left="0"/>
        <w:contextualSpacing w:val="0"/>
        <w:rPr>
          <w:rFonts w:ascii="Calibri" w:hAnsi="Calibri" w:cs="Calibri"/>
          <w:bCs/>
        </w:rPr>
      </w:pPr>
      <w:r w:rsidRPr="001E60C7">
        <w:rPr>
          <w:rFonts w:ascii="Calibri" w:hAnsi="Calibri" w:cs="Calibri"/>
        </w:rPr>
        <w:t>A</w:t>
      </w:r>
      <w:r w:rsidRPr="001E60C7">
        <w:t>s</w:t>
      </w:r>
      <w:r w:rsidRPr="001E60C7">
        <w:rPr>
          <w:rFonts w:ascii="Calibri" w:hAnsi="Calibri" w:cs="Calibri"/>
        </w:rPr>
        <w:t xml:space="preserve"> highlighted in a 2019 report by English Australia, potential opportunities may be found in teaching English to speakers of other languages (</w:t>
      </w:r>
      <w:r w:rsidRPr="001E60C7">
        <w:rPr>
          <w:rFonts w:ascii="Calibri" w:hAnsi="Calibri" w:cs="Calibri"/>
          <w:bCs/>
        </w:rPr>
        <w:t>TESOL) teacher training, culture and tourism related programs, transnational education (TNE) and industry</w:t>
      </w:r>
      <w:r w:rsidRPr="001E60C7">
        <w:rPr>
          <w:rFonts w:ascii="Calibri" w:hAnsi="Calibri" w:cs="Calibri"/>
          <w:bCs/>
        </w:rPr>
        <w:noBreakHyphen/>
        <w:t>related or specialist English.</w:t>
      </w:r>
      <w:r w:rsidRPr="001E60C7">
        <w:rPr>
          <w:rStyle w:val="FootnoteReference"/>
          <w:rFonts w:ascii="Calibri" w:hAnsi="Calibri" w:cs="Calibri"/>
          <w:iCs/>
        </w:rPr>
        <w:footnoteReference w:id="80"/>
      </w:r>
      <w:r w:rsidRPr="001E60C7">
        <w:rPr>
          <w:rFonts w:ascii="Calibri" w:hAnsi="Calibri" w:cs="Calibri"/>
        </w:rPr>
        <w:t xml:space="preserve"> </w:t>
      </w:r>
      <w:r w:rsidRPr="001E60C7">
        <w:rPr>
          <w:rFonts w:ascii="Calibri" w:hAnsi="Calibri" w:cs="Calibri"/>
          <w:bCs/>
        </w:rPr>
        <w:t xml:space="preserve"> </w:t>
      </w:r>
    </w:p>
    <w:p w14:paraId="5CBB8F63"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 xml:space="preserve">Transnational education opportunities </w:t>
      </w:r>
    </w:p>
    <w:p w14:paraId="2278BC82" w14:textId="5386A9C2" w:rsidR="008A2949" w:rsidRPr="001E60C7" w:rsidRDefault="008A2949" w:rsidP="008A2949">
      <w:pPr>
        <w:pStyle w:val="ListParagraph"/>
        <w:spacing w:line="257" w:lineRule="auto"/>
        <w:ind w:left="0"/>
        <w:contextualSpacing w:val="0"/>
      </w:pPr>
      <w:r w:rsidRPr="001E60C7">
        <w:t>TNE is a key dimension in the China-Australia education relationship. The Chinese MoE views Chinese-foreign cooperation in running joint schools or institutions as largely about capacity building for China’s education system. According to the MoE, this model of cooperation involves a systematic introduction of high quality educational resources from foreign universities and colleges, enabling Chinese students to access international education without leaving home. Australia currently has around 200 active joint education programs and 12 joint institutions established between Australian and Chinese education providers.</w:t>
      </w:r>
    </w:p>
    <w:p w14:paraId="0CE47E27" w14:textId="68BF286F" w:rsidR="008A2949" w:rsidRPr="001E60C7" w:rsidRDefault="00177613" w:rsidP="008A2949">
      <w:pPr>
        <w:pStyle w:val="ListParagraph"/>
        <w:spacing w:line="257" w:lineRule="auto"/>
        <w:ind w:left="0"/>
        <w:contextualSpacing w:val="0"/>
        <w:rPr>
          <w:rFonts w:ascii="Calibri" w:hAnsi="Calibri" w:cs="Calibri"/>
          <w:spacing w:val="-2"/>
        </w:rPr>
      </w:pPr>
      <w:r w:rsidRPr="001E60C7">
        <w:rPr>
          <w:rFonts w:ascii="Calibri" w:hAnsi="Calibri" w:cs="Calibri"/>
          <w:spacing w:val="-2"/>
        </w:rPr>
        <w:t xml:space="preserve">The </w:t>
      </w:r>
      <w:r w:rsidR="008A2949" w:rsidRPr="001E60C7">
        <w:rPr>
          <w:rFonts w:ascii="Calibri" w:hAnsi="Calibri" w:cs="Calibri"/>
          <w:spacing w:val="-2"/>
        </w:rPr>
        <w:t xml:space="preserve">Working Group examined the production of a ‘How-To Guide’ regarding the development of TNE schools in China. Such a guide would include advice regarding strategies for the promotion of TNE Australian school curricula in-market and, in particular, brand strategies to highlight a diversity of subject offerings to compete with the breadth of subject offerings contained in local competitor bilingual school curriculum offerings (i.e. IB, A-Levels, AP, ACT, SAT etc.). </w:t>
      </w:r>
      <w:r w:rsidR="006B019A" w:rsidRPr="001E60C7">
        <w:rPr>
          <w:rFonts w:ascii="Calibri" w:hAnsi="Calibri" w:cs="Calibri"/>
          <w:spacing w:val="-2"/>
        </w:rPr>
        <w:t>M</w:t>
      </w:r>
      <w:r w:rsidR="008A2949" w:rsidRPr="001E60C7">
        <w:t xml:space="preserve">ore Chinese schools are delivering the Australian school curriculum than in any other country outside Australia, and there is significant unmet demand from China for teacher exchange and professional development partnerships with Australian schools. </w:t>
      </w:r>
    </w:p>
    <w:p w14:paraId="34C8571D" w14:textId="71AC3E2C" w:rsidR="008A2949" w:rsidRPr="001E60C7" w:rsidRDefault="00691704" w:rsidP="008A2949">
      <w:pPr>
        <w:pStyle w:val="ListParagraph"/>
        <w:spacing w:line="257" w:lineRule="auto"/>
        <w:ind w:left="0"/>
        <w:contextualSpacing w:val="0"/>
      </w:pPr>
      <w:r>
        <w:t>While many Chinese cities—</w:t>
      </w:r>
      <w:r w:rsidR="008A2949" w:rsidRPr="001E60C7">
        <w:t>particularly Tier 2 and Tier 3 cities</w:t>
      </w:r>
      <w:r>
        <w:t>—</w:t>
      </w:r>
      <w:r w:rsidR="008A2949" w:rsidRPr="001E60C7">
        <w:t>have an under-developed internationalised schooling sector, there is growing demand and ability to pay for such products. However, the biggest challenge for Australian transnational education is regulatory. M</w:t>
      </w:r>
      <w:r w:rsidR="008A2949" w:rsidRPr="001E60C7">
        <w:rPr>
          <w:rFonts w:eastAsia="SimSun" w:cs="Times New Roman"/>
        </w:rPr>
        <w:t xml:space="preserve">ultiple layers of government govern the Chinese school system, making it difficult to identify the key stakeholders in progressing market entry and expansion. The propensity for sudden policy change in China, often exacerbated by broader international tensions between China and other countries, adds another element of uncertainty. Other challenges include concern of Australian providers around the financial sustainability of TNE and lack of communication around such engagement. Given this, increased officials-level policy dialogue between the two countries on TNE, coupled with joint research on particular aspects of TNE engagement, would help to alleviate these challenges.  </w:t>
      </w:r>
    </w:p>
    <w:p w14:paraId="04C2CF2D" w14:textId="77777777"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Online education</w:t>
      </w:r>
    </w:p>
    <w:p w14:paraId="4092AA71" w14:textId="35C8BA46" w:rsidR="008A2949" w:rsidRPr="001E60C7" w:rsidRDefault="008A2949" w:rsidP="008A2949">
      <w:pPr>
        <w:spacing w:after="160" w:line="257" w:lineRule="auto"/>
        <w:rPr>
          <w:rFonts w:asciiTheme="minorHAnsi" w:hAnsiTheme="minorHAnsi" w:cstheme="minorBidi"/>
          <w:lang w:eastAsia="zh-TW"/>
        </w:rPr>
      </w:pPr>
      <w:r w:rsidRPr="001E60C7">
        <w:rPr>
          <w:rFonts w:asciiTheme="minorHAnsi" w:hAnsiTheme="minorHAnsi" w:cstheme="minorBidi"/>
          <w:lang w:eastAsia="zh-TW"/>
        </w:rPr>
        <w:t>Since its introduction to China in 1994, the internet has grown in influence and penetration with China now home to the world’s largest number of internet users. While China’s online education market has grown substantially in scale and diversity, and demand has been growing for online offerings</w:t>
      </w:r>
      <w:r w:rsidRPr="001E60C7">
        <w:t xml:space="preserve">, there are restrictions on awarding degrees for online courses. </w:t>
      </w:r>
      <w:r w:rsidRPr="001E60C7">
        <w:rPr>
          <w:rFonts w:asciiTheme="minorHAnsi" w:hAnsiTheme="minorHAnsi" w:cstheme="minorBidi"/>
          <w:lang w:eastAsia="zh-TW"/>
        </w:rPr>
        <w:t>As outlined in a 2018 Austrade report, online education in China ‘has become an enormous industry’ that ‘promises to grow even further’, particularly in K</w:t>
      </w:r>
      <w:r w:rsidR="007511AD">
        <w:rPr>
          <w:rFonts w:asciiTheme="minorHAnsi" w:hAnsiTheme="minorHAnsi" w:cstheme="minorBidi"/>
          <w:lang w:eastAsia="zh-TW"/>
        </w:rPr>
        <w:t>–</w:t>
      </w:r>
      <w:r w:rsidRPr="001E60C7">
        <w:rPr>
          <w:rFonts w:asciiTheme="minorHAnsi" w:hAnsiTheme="minorHAnsi" w:cstheme="minorBidi"/>
          <w:lang w:eastAsia="zh-TW"/>
        </w:rPr>
        <w:t>12 and adult learning sectors.</w:t>
      </w:r>
      <w:r w:rsidRPr="001E60C7">
        <w:rPr>
          <w:rFonts w:asciiTheme="minorHAnsi" w:hAnsiTheme="minorHAnsi" w:cstheme="minorBidi"/>
          <w:vertAlign w:val="superscript"/>
          <w:lang w:eastAsia="zh-TW"/>
        </w:rPr>
        <w:footnoteReference w:id="81"/>
      </w:r>
      <w:r w:rsidRPr="001E60C7">
        <w:rPr>
          <w:rFonts w:asciiTheme="minorHAnsi" w:hAnsiTheme="minorHAnsi" w:cstheme="minorBidi"/>
          <w:lang w:eastAsia="zh-TW"/>
        </w:rPr>
        <w:t xml:space="preserve"> Adult learners make up the largest group of Chinese online education consumers, particularly in the corporate sector where there is a growing interest in corporate training and professional education for both employees and management staff. </w:t>
      </w:r>
    </w:p>
    <w:p w14:paraId="55A19AA0" w14:textId="31232A51" w:rsidR="008A2949" w:rsidRPr="001E60C7" w:rsidRDefault="008A2949" w:rsidP="008A2949">
      <w:pPr>
        <w:spacing w:after="160" w:line="257" w:lineRule="auto"/>
        <w:rPr>
          <w:rFonts w:asciiTheme="minorHAnsi" w:eastAsia="SimSun" w:hAnsiTheme="minorHAnsi" w:cs="Times New Roman"/>
          <w:lang w:val="en-GB" w:eastAsia="zh-TW"/>
        </w:rPr>
      </w:pPr>
      <w:r w:rsidRPr="001E60C7">
        <w:rPr>
          <w:rFonts w:asciiTheme="minorHAnsi" w:eastAsia="SimSun" w:hAnsiTheme="minorHAnsi" w:cs="Times New Roman"/>
          <w:lang w:val="en-GB" w:eastAsia="zh-TW"/>
        </w:rPr>
        <w:t xml:space="preserve">Despite the Chinese government’s encouragement to develop online education, China is yet to develop specific laws or regulations regarding online education, including a regulatory framework for the quality assurance of online education. Nevertheless, since 2000, China’s MoE </w:t>
      </w:r>
      <w:r w:rsidRPr="001E60C7">
        <w:rPr>
          <w:rFonts w:asciiTheme="minorHAnsi" w:hAnsiTheme="minorHAnsi" w:cstheme="minorBidi"/>
          <w:lang w:eastAsia="zh-TW"/>
        </w:rPr>
        <w:t>has approved 68 domestic higher education institutions to establish pilot distance or online education colleges, online and continuing education colleges, including Peking University, Tsinghua University, Renmin University of China, Shanghai Jiaotong University and Fudan University.</w:t>
      </w:r>
      <w:r w:rsidRPr="001E60C7">
        <w:rPr>
          <w:rFonts w:asciiTheme="minorHAnsi" w:hAnsiTheme="minorHAnsi" w:cstheme="minorBidi"/>
          <w:vertAlign w:val="superscript"/>
          <w:lang w:eastAsia="zh-TW"/>
        </w:rPr>
        <w:footnoteReference w:id="82"/>
      </w:r>
      <w:r w:rsidRPr="001E60C7">
        <w:rPr>
          <w:rFonts w:asciiTheme="minorHAnsi" w:hAnsiTheme="minorHAnsi" w:cstheme="minorBidi"/>
          <w:lang w:eastAsia="zh-TW"/>
        </w:rPr>
        <w:t xml:space="preserve"> No other Chinese providers are allowed to deliver online award</w:t>
      </w:r>
      <w:r w:rsidR="006B019A" w:rsidRPr="001E60C7">
        <w:rPr>
          <w:rFonts w:asciiTheme="minorHAnsi" w:hAnsiTheme="minorHAnsi" w:cstheme="minorBidi"/>
          <w:lang w:eastAsia="zh-TW"/>
        </w:rPr>
        <w:t xml:space="preserve"> and degree education in China, and t</w:t>
      </w:r>
      <w:r w:rsidRPr="001E60C7">
        <w:t xml:space="preserve">he situation </w:t>
      </w:r>
      <w:r w:rsidR="006B019A" w:rsidRPr="001E60C7">
        <w:t>is un</w:t>
      </w:r>
      <w:r w:rsidRPr="001E60C7">
        <w:t xml:space="preserve">clear for </w:t>
      </w:r>
      <w:r w:rsidR="00177613" w:rsidRPr="001E60C7">
        <w:t>Sino</w:t>
      </w:r>
      <w:r w:rsidRPr="001E60C7">
        <w:t xml:space="preserve">-foreign joint programs established under the </w:t>
      </w:r>
      <w:r w:rsidRPr="001E60C7">
        <w:rPr>
          <w:i/>
        </w:rPr>
        <w:t>Regulation of the PRC on Chinese-Foreign Cooperation in Running Schools</w:t>
      </w:r>
      <w:r w:rsidRPr="001E60C7">
        <w:t>.</w:t>
      </w:r>
      <w:r w:rsidRPr="001E60C7">
        <w:rPr>
          <w:rStyle w:val="FootnoteReference"/>
        </w:rPr>
        <w:footnoteReference w:id="83"/>
      </w:r>
      <w:r w:rsidRPr="001E60C7">
        <w:t xml:space="preserve"> Online education in those programs</w:t>
      </w:r>
      <w:r w:rsidR="006B019A" w:rsidRPr="001E60C7">
        <w:t xml:space="preserve"> is not an encouraged model, and</w:t>
      </w:r>
      <w:r w:rsidRPr="001E60C7">
        <w:t xml:space="preserve"> the regulation does not specify whether online education by foreign education providers is within regulatory scope.  </w:t>
      </w:r>
    </w:p>
    <w:p w14:paraId="33B5C358" w14:textId="4CA193DD" w:rsidR="008A2949" w:rsidRPr="001E60C7" w:rsidRDefault="008A2949" w:rsidP="008A2949">
      <w:pPr>
        <w:spacing w:after="160" w:line="257" w:lineRule="auto"/>
        <w:rPr>
          <w:rFonts w:asciiTheme="minorHAnsi" w:eastAsia="SimSun" w:hAnsiTheme="minorHAnsi" w:cs="Times New Roman"/>
          <w:lang w:eastAsia="zh-TW"/>
        </w:rPr>
      </w:pPr>
      <w:r w:rsidRPr="001E60C7">
        <w:rPr>
          <w:rFonts w:asciiTheme="minorHAnsi" w:eastAsia="SimSun" w:hAnsiTheme="minorHAnsi" w:cs="Times New Roman"/>
          <w:lang w:val="en-GB" w:eastAsia="zh-TW"/>
        </w:rPr>
        <w:t xml:space="preserve">In the Australian context, according to the Australian Government’s </w:t>
      </w:r>
      <w:r w:rsidRPr="001E60C7">
        <w:rPr>
          <w:rFonts w:asciiTheme="minorHAnsi" w:eastAsia="SimSun" w:hAnsiTheme="minorHAnsi" w:cs="Times New Roman"/>
          <w:i/>
          <w:lang w:eastAsia="zh-TW"/>
        </w:rPr>
        <w:t>National Code of Practice for Providers of Education and Training 2018</w:t>
      </w:r>
      <w:r w:rsidRPr="001E60C7">
        <w:rPr>
          <w:rFonts w:asciiTheme="minorHAnsi" w:eastAsia="SimSun" w:hAnsiTheme="minorHAnsi" w:cs="Times New Roman"/>
          <w:lang w:val="en-GB" w:eastAsia="zh-TW"/>
        </w:rPr>
        <w:t>, there is a provision that prevents exclusive online or distance learning for an international student on a student visa.</w:t>
      </w:r>
      <w:r w:rsidRPr="001E60C7">
        <w:rPr>
          <w:rStyle w:val="FootnoteReference"/>
          <w:rFonts w:asciiTheme="minorHAnsi" w:eastAsia="SimSun" w:hAnsiTheme="minorHAnsi" w:cs="Times New Roman"/>
          <w:lang w:val="en-GB" w:eastAsia="zh-TW"/>
        </w:rPr>
        <w:footnoteReference w:id="84"/>
      </w:r>
      <w:r w:rsidRPr="001E60C7">
        <w:rPr>
          <w:rFonts w:asciiTheme="minorHAnsi" w:eastAsia="SimSun" w:hAnsiTheme="minorHAnsi" w:cs="Times New Roman"/>
          <w:lang w:val="en-GB" w:eastAsia="zh-TW"/>
        </w:rPr>
        <w:t xml:space="preserve"> Only one-third of a course may be undertaken online by higher education and VET students on a student visa, which is a slight increase on the previous 25 per cent. Providers must ensure that international students undertake at least one face-to-face unit in each compulsory study period. </w:t>
      </w:r>
      <w:r w:rsidRPr="001E60C7">
        <w:rPr>
          <w:rFonts w:asciiTheme="minorHAnsi" w:eastAsia="SimSun" w:hAnsiTheme="minorHAnsi" w:cs="Times New Roman"/>
          <w:lang w:eastAsia="zh-TW"/>
        </w:rPr>
        <w:t xml:space="preserve">For schools, ELICOS or foundation programs, any online or distance learning must be in addition to the minimum required face-to-face teaching. </w:t>
      </w:r>
    </w:p>
    <w:p w14:paraId="5F13CAED" w14:textId="4F4F2E7B" w:rsidR="008A2949" w:rsidRPr="001E60C7" w:rsidRDefault="008A2949" w:rsidP="008A2949">
      <w:pPr>
        <w:spacing w:after="160" w:line="257" w:lineRule="auto"/>
        <w:rPr>
          <w:rFonts w:asciiTheme="minorHAnsi" w:eastAsia="Arial Unicode MS" w:hAnsiTheme="minorHAnsi" w:cs="Times New Roman"/>
          <w:lang w:val="en-GB" w:eastAsia="zh-TW"/>
        </w:rPr>
      </w:pPr>
      <w:r w:rsidRPr="001E60C7">
        <w:rPr>
          <w:rFonts w:asciiTheme="minorHAnsi" w:eastAsia="Arial Unicode MS" w:hAnsiTheme="minorHAnsi" w:cs="Times New Roman"/>
          <w:lang w:val="en-GB" w:eastAsia="zh-TW"/>
        </w:rPr>
        <w:t xml:space="preserve">Austrade has stressed the importance for Australia’s competitiveness to cater for learner and employer demands for ‘borderless’ learning in its </w:t>
      </w:r>
      <w:r w:rsidRPr="001E60C7">
        <w:rPr>
          <w:rFonts w:asciiTheme="minorHAnsi" w:eastAsia="Arial Unicode MS" w:hAnsiTheme="minorHAnsi" w:cs="Times New Roman"/>
          <w:i/>
          <w:lang w:val="en-GB" w:eastAsia="zh-TW"/>
        </w:rPr>
        <w:t xml:space="preserve">Australian International Education 2025 Market Development Roadmap </w:t>
      </w:r>
      <w:r w:rsidR="006B019A" w:rsidRPr="001E60C7">
        <w:rPr>
          <w:rFonts w:asciiTheme="minorHAnsi" w:eastAsia="Arial Unicode MS" w:hAnsiTheme="minorHAnsi" w:cs="Times New Roman"/>
          <w:lang w:val="en-GB" w:eastAsia="zh-TW"/>
        </w:rPr>
        <w:t>(the ‘</w:t>
      </w:r>
      <w:r w:rsidRPr="001E60C7">
        <w:rPr>
          <w:rFonts w:asciiTheme="minorHAnsi" w:eastAsia="Arial Unicode MS" w:hAnsiTheme="minorHAnsi" w:cs="Times New Roman"/>
          <w:lang w:val="en-GB" w:eastAsia="zh-TW"/>
        </w:rPr>
        <w:t>Roadmap’).</w:t>
      </w:r>
      <w:r w:rsidRPr="001E60C7">
        <w:rPr>
          <w:rFonts w:asciiTheme="minorHAnsi" w:eastAsia="Arial Unicode MS" w:hAnsiTheme="minorHAnsi" w:cs="Times New Roman"/>
          <w:vertAlign w:val="superscript"/>
          <w:lang w:val="en-GB" w:eastAsia="zh-TW"/>
        </w:rPr>
        <w:footnoteReference w:id="85"/>
      </w:r>
      <w:r w:rsidRPr="001E60C7">
        <w:rPr>
          <w:rFonts w:asciiTheme="minorHAnsi" w:eastAsia="Arial Unicode MS" w:hAnsiTheme="minorHAnsi" w:cs="Times New Roman"/>
          <w:lang w:val="en-GB" w:eastAsia="zh-TW"/>
        </w:rPr>
        <w:t xml:space="preserve"> The Roadmap recognises the changing preferences of students towards a more flexible and borderless delivery of education services, including through blends of online, onshore and offshore or transnational education experiences. The Roadmap also challenges providers to harness technology application in learning delivery, as well as in promotional and marketing activities.</w:t>
      </w:r>
    </w:p>
    <w:p w14:paraId="155CDCA3" w14:textId="0B6FC160" w:rsidR="008A2949" w:rsidRPr="001E60C7" w:rsidRDefault="008A2949" w:rsidP="008A2949">
      <w:pPr>
        <w:suppressAutoHyphens/>
        <w:autoSpaceDE w:val="0"/>
        <w:autoSpaceDN w:val="0"/>
        <w:adjustRightInd w:val="0"/>
        <w:spacing w:after="120" w:line="288" w:lineRule="auto"/>
        <w:textAlignment w:val="center"/>
        <w:rPr>
          <w:rFonts w:asciiTheme="minorHAnsi" w:eastAsiaTheme="minorHAnsi" w:hAnsiTheme="minorHAnsi" w:cstheme="minorHAnsi"/>
          <w:b/>
          <w:bCs/>
          <w:color w:val="246EB9"/>
        </w:rPr>
      </w:pPr>
      <w:r w:rsidRPr="001E60C7">
        <w:rPr>
          <w:rFonts w:asciiTheme="minorHAnsi" w:eastAsiaTheme="minorHAnsi" w:hAnsiTheme="minorHAnsi" w:cstheme="minorHAnsi"/>
          <w:b/>
          <w:bCs/>
          <w:color w:val="246EB9"/>
        </w:rPr>
        <w:t xml:space="preserve">Cooperation in </w:t>
      </w:r>
      <w:r w:rsidR="002E1A17" w:rsidRPr="001E60C7">
        <w:rPr>
          <w:rFonts w:asciiTheme="minorHAnsi" w:eastAsiaTheme="minorHAnsi" w:hAnsiTheme="minorHAnsi" w:cstheme="minorHAnsi"/>
          <w:b/>
          <w:bCs/>
          <w:color w:val="246EB9"/>
        </w:rPr>
        <w:t>recognition of Australian skills and qualifications</w:t>
      </w:r>
    </w:p>
    <w:p w14:paraId="57A6FF43" w14:textId="758EA098" w:rsidR="006A6CB5" w:rsidRPr="001E60C7" w:rsidRDefault="006A6CB5" w:rsidP="006A6CB5">
      <w:r w:rsidRPr="001E60C7">
        <w:t xml:space="preserve">Recognition of Australian skills and qualifications improves education and employment participation of graduates and facilitates internationalisation of Australia’s education, research and workforce. Australia and China have a strong record of accomplishment in cooperation on recognition in higher education qualifications, and the Department of Education regularly exchanges information with the Chinese Service Center for Scholarly Exchange. In multilateral fora, Australia and China have fostered positive productive working relationship under the UNESCO Asia-Pacific Regional Convention on Recognition of Qualifications in Higher Education. As both Australia and China aim to play a leadership role in the Asia-Pacific region, there are opportunities for increased collaboration and partnership with China on qualification recognition. </w:t>
      </w:r>
    </w:p>
    <w:p w14:paraId="3C9B8DC6" w14:textId="77777777" w:rsidR="006A6CB5" w:rsidRPr="001E60C7" w:rsidRDefault="006A6CB5" w:rsidP="006A6CB5"/>
    <w:p w14:paraId="63C4A310" w14:textId="37E5FFBE" w:rsidR="006A6CB5" w:rsidRPr="001E60C7" w:rsidRDefault="006A6CB5" w:rsidP="006A6CB5">
      <w:r w:rsidRPr="001E60C7">
        <w:t>There is more work to be done on skills recognition by industry in China to ease existing barriers to interaction and mobility of VET graduates. As training and labour market differ from country to country, recognition of VET qualifications can be challenging. However, improved recognition of skills for specific occupations could be achieved through benchmarking skills and the development of occupational standards, particularly for specific occupations in demand in China. This would facilitate improved skills recognition between Australia and China.</w:t>
      </w:r>
    </w:p>
    <w:p w14:paraId="54750DD7" w14:textId="77777777" w:rsidR="006A6CB5" w:rsidRPr="001E60C7" w:rsidRDefault="006A6CB5" w:rsidP="006A6CB5"/>
    <w:p w14:paraId="369AB601" w14:textId="42258E99" w:rsidR="006A6CB5" w:rsidRPr="009D776B" w:rsidRDefault="006A6CB5" w:rsidP="006A6CB5">
      <w:r w:rsidRPr="001E60C7">
        <w:t xml:space="preserve">The Department of Education should work with the Chinese Ministry of Human Resources and Social Security (MOHRSS) and State Administration of Foreign Experts Affairs (SAFEA) to scope opportunities for benchmarking skills and improving skills recognition. This could be achieved through the existing </w:t>
      </w:r>
      <w:r w:rsidRPr="001E60C7">
        <w:rPr>
          <w:i/>
          <w:iCs/>
        </w:rPr>
        <w:t>MoU on Cooperation in Vocational Education and Training</w:t>
      </w:r>
      <w:r w:rsidRPr="001E60C7">
        <w:t xml:space="preserve"> between the Department of Education and the Ch</w:t>
      </w:r>
      <w:r w:rsidR="00DE3A2E" w:rsidRPr="001E60C7">
        <w:t xml:space="preserve">inese MOE, which encourages identifying </w:t>
      </w:r>
      <w:r w:rsidRPr="001E60C7">
        <w:t>further priority areas for cooperation.</w:t>
      </w:r>
    </w:p>
    <w:p w14:paraId="18EC78F3" w14:textId="77777777" w:rsidR="008A2949" w:rsidRPr="009D776B" w:rsidRDefault="008A2949" w:rsidP="008A2949"/>
    <w:p w14:paraId="540E26C7" w14:textId="1EAE2EA3" w:rsidR="00042EF7" w:rsidRPr="009D776B" w:rsidRDefault="00042EF7">
      <w:pPr>
        <w:spacing w:after="160" w:line="259" w:lineRule="auto"/>
        <w:rPr>
          <w:rFonts w:asciiTheme="minorHAnsi" w:hAnsiTheme="minorHAnsi" w:cstheme="minorBidi"/>
          <w:lang w:eastAsia="zh-TW"/>
        </w:rPr>
      </w:pPr>
    </w:p>
    <w:sectPr w:rsidR="00042EF7" w:rsidRPr="009D776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84FD0" w14:textId="77777777" w:rsidR="0050718B" w:rsidRDefault="0050718B" w:rsidP="00F939EE">
      <w:r>
        <w:separator/>
      </w:r>
    </w:p>
  </w:endnote>
  <w:endnote w:type="continuationSeparator" w:id="0">
    <w:p w14:paraId="4C047B7D" w14:textId="77777777" w:rsidR="0050718B" w:rsidRDefault="0050718B" w:rsidP="00F9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porateSBQ">
    <w:altName w:val="MV Boli"/>
    <w:charset w:val="00"/>
    <w:family w:val="auto"/>
    <w:pitch w:val="default"/>
  </w:font>
  <w:font w:name="News Gothic Com Black">
    <w:altName w:val="Arial"/>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Jigsaw Regular">
    <w:altName w:val="Jigsaw 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022671"/>
      <w:docPartObj>
        <w:docPartGallery w:val="Page Numbers (Bottom of Page)"/>
        <w:docPartUnique/>
      </w:docPartObj>
    </w:sdtPr>
    <w:sdtEndPr>
      <w:rPr>
        <w:noProof/>
      </w:rPr>
    </w:sdtEndPr>
    <w:sdtContent>
      <w:p w14:paraId="31CA0B20" w14:textId="24E19734" w:rsidR="0050718B" w:rsidRDefault="0050718B">
        <w:pPr>
          <w:pStyle w:val="Footer"/>
          <w:jc w:val="center"/>
        </w:pPr>
        <w:r w:rsidRPr="002F442E">
          <w:rPr>
            <w:rFonts w:ascii="Calibri" w:hAnsi="Calibri" w:cs="Calibri"/>
          </w:rPr>
          <w:fldChar w:fldCharType="begin"/>
        </w:r>
        <w:r w:rsidRPr="002F442E">
          <w:rPr>
            <w:rFonts w:ascii="Calibri" w:hAnsi="Calibri" w:cs="Calibri"/>
          </w:rPr>
          <w:instrText xml:space="preserve"> PAGE   \* MERGEFORMAT </w:instrText>
        </w:r>
        <w:r w:rsidRPr="002F442E">
          <w:rPr>
            <w:rFonts w:ascii="Calibri" w:hAnsi="Calibri" w:cs="Calibri"/>
          </w:rPr>
          <w:fldChar w:fldCharType="separate"/>
        </w:r>
        <w:r w:rsidR="006D1E62">
          <w:rPr>
            <w:rFonts w:ascii="Calibri" w:hAnsi="Calibri" w:cs="Calibri"/>
            <w:noProof/>
          </w:rPr>
          <w:t>4</w:t>
        </w:r>
        <w:r w:rsidRPr="002F442E">
          <w:rPr>
            <w:rFonts w:ascii="Calibri" w:hAnsi="Calibri" w:cs="Calibri"/>
            <w:noProof/>
          </w:rPr>
          <w:fldChar w:fldCharType="end"/>
        </w:r>
      </w:p>
    </w:sdtContent>
  </w:sdt>
  <w:p w14:paraId="2F1991F5" w14:textId="77777777" w:rsidR="0050718B" w:rsidRDefault="0050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3FA5F" w14:textId="77777777" w:rsidR="0050718B" w:rsidRDefault="0050718B" w:rsidP="00F939EE">
      <w:r>
        <w:separator/>
      </w:r>
    </w:p>
  </w:footnote>
  <w:footnote w:type="continuationSeparator" w:id="0">
    <w:p w14:paraId="531D14B4" w14:textId="77777777" w:rsidR="0050718B" w:rsidRDefault="0050718B" w:rsidP="00F939EE">
      <w:r>
        <w:continuationSeparator/>
      </w:r>
    </w:p>
  </w:footnote>
  <w:footnote w:id="1">
    <w:p w14:paraId="6D506704" w14:textId="15905BAF" w:rsidR="0050718B" w:rsidRPr="00C81A8B" w:rsidRDefault="0050718B" w:rsidP="00BB5375">
      <w:pPr>
        <w:pStyle w:val="FootnoteText"/>
      </w:pPr>
      <w:r w:rsidRPr="00C81A8B">
        <w:rPr>
          <w:rStyle w:val="FootnoteReference"/>
        </w:rPr>
        <w:footnoteRef/>
      </w:r>
      <w:r w:rsidRPr="00C81A8B">
        <w:t xml:space="preserve"> See Bob Birrell and Katherine Betts (2018), </w:t>
      </w:r>
      <w:r w:rsidRPr="00C81A8B">
        <w:rPr>
          <w:i/>
        </w:rPr>
        <w:t>Australia’s higher education overseas student industry: In a precarious state</w:t>
      </w:r>
      <w:r w:rsidRPr="00C81A8B">
        <w:t xml:space="preserve">, available at </w:t>
      </w:r>
      <w:hyperlink r:id="rId1" w:history="1">
        <w:r w:rsidRPr="00C81A8B">
          <w:rPr>
            <w:rStyle w:val="Hyperlink"/>
          </w:rPr>
          <w:t>https://tapri.org.au/wp-content/uploads/2016/04/final-report-overseas-student-industryV2.pdf</w:t>
        </w:r>
      </w:hyperlink>
      <w:r w:rsidRPr="00C81A8B">
        <w:t xml:space="preserve">; and Jonathan Chew and Ethan Fogarty (2018), </w:t>
      </w:r>
      <w:r w:rsidRPr="00C81A8B">
        <w:rPr>
          <w:i/>
        </w:rPr>
        <w:t>Sustainable growth in international higher education</w:t>
      </w:r>
      <w:r w:rsidRPr="00C81A8B">
        <w:t xml:space="preserve">, available at </w:t>
      </w:r>
      <w:hyperlink r:id="rId2" w:history="1">
        <w:r w:rsidRPr="00C81A8B">
          <w:rPr>
            <w:rStyle w:val="Hyperlink"/>
          </w:rPr>
          <w:t>http://unbouncepages.com/sustainable-growth-international-higher-education/</w:t>
        </w:r>
      </w:hyperlink>
      <w:r w:rsidRPr="00C81A8B">
        <w:t>.</w:t>
      </w:r>
    </w:p>
  </w:footnote>
  <w:footnote w:id="2">
    <w:p w14:paraId="5542EC59" w14:textId="481E58C7" w:rsidR="0050718B" w:rsidRPr="00C81A8B" w:rsidRDefault="0050718B" w:rsidP="0087342A">
      <w:pPr>
        <w:pStyle w:val="FootnoteText"/>
      </w:pPr>
      <w:r w:rsidRPr="00C81A8B">
        <w:rPr>
          <w:rStyle w:val="FootnoteReference"/>
        </w:rPr>
        <w:footnoteRef/>
      </w:r>
      <w:r w:rsidRPr="00C81A8B">
        <w:t xml:space="preserve"> See ‘Number of student returnees on the rise’, </w:t>
      </w:r>
      <w:r w:rsidRPr="00C81A8B">
        <w:rPr>
          <w:i/>
        </w:rPr>
        <w:t>China Daily</w:t>
      </w:r>
      <w:r w:rsidRPr="00C81A8B">
        <w:t xml:space="preserve">, 15 January 2019, available at </w:t>
      </w:r>
      <w:hyperlink r:id="rId3" w:history="1">
        <w:r w:rsidRPr="00C81A8B">
          <w:rPr>
            <w:rStyle w:val="Hyperlink"/>
          </w:rPr>
          <w:t>http://www.chinadaily.com.cn/a/201901/15/WS5c3d48bca3106c65c34e4851.html</w:t>
        </w:r>
      </w:hyperlink>
      <w:r w:rsidRPr="00C81A8B">
        <w:t>.</w:t>
      </w:r>
    </w:p>
  </w:footnote>
  <w:footnote w:id="3">
    <w:p w14:paraId="7D208402" w14:textId="6765978C" w:rsidR="0050718B" w:rsidRPr="00C81A8B" w:rsidRDefault="0050718B">
      <w:pPr>
        <w:pStyle w:val="FootnoteText"/>
      </w:pPr>
      <w:r w:rsidRPr="00C81A8B">
        <w:rPr>
          <w:rStyle w:val="FootnoteReference"/>
        </w:rPr>
        <w:footnoteRef/>
      </w:r>
      <w:r w:rsidRPr="00C81A8B">
        <w:t xml:space="preserve"> See Marijk van der Wende (2017), </w:t>
      </w:r>
      <w:r w:rsidRPr="00C81A8B">
        <w:rPr>
          <w:i/>
        </w:rPr>
        <w:t>Opening up: Higher education systems in global perspective</w:t>
      </w:r>
      <w:r w:rsidRPr="00C81A8B">
        <w:t xml:space="preserve">, available at </w:t>
      </w:r>
      <w:hyperlink r:id="rId4" w:history="1">
        <w:r w:rsidRPr="00C81A8B">
          <w:rPr>
            <w:rStyle w:val="Hyperlink"/>
          </w:rPr>
          <w:t>https://www.researchcghe.org/perch/resources/publications/wp22.pdf</w:t>
        </w:r>
      </w:hyperlink>
      <w:r w:rsidRPr="00C81A8B">
        <w:t xml:space="preserve">. </w:t>
      </w:r>
    </w:p>
  </w:footnote>
  <w:footnote w:id="4">
    <w:p w14:paraId="49DF25B6" w14:textId="2F484741" w:rsidR="0050718B" w:rsidRPr="00C81A8B" w:rsidRDefault="0050718B" w:rsidP="003F4136">
      <w:pPr>
        <w:pStyle w:val="FootnoteText"/>
      </w:pPr>
      <w:r w:rsidRPr="00C81A8B">
        <w:rPr>
          <w:rStyle w:val="FootnoteReference"/>
        </w:rPr>
        <w:footnoteRef/>
      </w:r>
      <w:r w:rsidRPr="00C81A8B">
        <w:t xml:space="preserve"> Of the academics born overseas who gained permanent positions in the Australian higher education sector from 1993-2010, 7,606 were from the UK, with China accounting for 7,266. See Graeme Hugo (2014), ‘The role of international migration in Australia’s research workforce’, </w:t>
      </w:r>
      <w:r w:rsidRPr="00C81A8B">
        <w:rPr>
          <w:i/>
        </w:rPr>
        <w:t>Asian and Pacific Migration Journal</w:t>
      </w:r>
      <w:r w:rsidRPr="00C81A8B">
        <w:t>, 23 (1): 27–54.</w:t>
      </w:r>
    </w:p>
  </w:footnote>
  <w:footnote w:id="5">
    <w:p w14:paraId="6251ABFA" w14:textId="1D302E68" w:rsidR="0050718B" w:rsidRPr="00C81A8B" w:rsidRDefault="0050718B">
      <w:pPr>
        <w:pStyle w:val="FootnoteText"/>
      </w:pPr>
      <w:r w:rsidRPr="00C81A8B">
        <w:rPr>
          <w:rStyle w:val="FootnoteReference"/>
        </w:rPr>
        <w:footnoteRef/>
      </w:r>
      <w:r w:rsidRPr="00C81A8B">
        <w:t xml:space="preserve"> See </w:t>
      </w:r>
      <w:hyperlink r:id="rId5" w:history="1">
        <w:r w:rsidRPr="00C81A8B">
          <w:rPr>
            <w:rStyle w:val="Hyperlink"/>
          </w:rPr>
          <w:t>https://www.abs.gov.au/ausstats/abs@.nsf/Latestproducts/2071.0Main%20Features602016?opendocument&amp;tabname=Summary&amp;prodno=2071.0&amp;issue=2016&amp;num=&amp;view=</w:t>
        </w:r>
      </w:hyperlink>
      <w:r w:rsidRPr="00C81A8B">
        <w:rPr>
          <w:rStyle w:val="Hyperlink"/>
          <w:color w:val="auto"/>
          <w:u w:val="none"/>
        </w:rPr>
        <w:t>.</w:t>
      </w:r>
    </w:p>
  </w:footnote>
  <w:footnote w:id="6">
    <w:p w14:paraId="4FCF3877" w14:textId="32F54342" w:rsidR="0050718B" w:rsidRPr="00C81A8B" w:rsidRDefault="0050718B">
      <w:pPr>
        <w:pStyle w:val="FootnoteText"/>
      </w:pPr>
      <w:r w:rsidRPr="00C81A8B">
        <w:rPr>
          <w:rStyle w:val="FootnoteReference"/>
        </w:rPr>
        <w:footnoteRef/>
      </w:r>
      <w:r w:rsidRPr="00C81A8B">
        <w:t xml:space="preserve"> See </w:t>
      </w:r>
      <w:hyperlink r:id="rId6" w:history="1">
        <w:r w:rsidRPr="00C81A8B">
          <w:rPr>
            <w:rStyle w:val="Hyperlink"/>
          </w:rPr>
          <w:t>https://www.abs.gov.au/AUSSTATS/abs@.nsf/mediareleasesbytitle/D8CAE4F74B82D446CA258235000F2BDE?OpenDocument</w:t>
        </w:r>
      </w:hyperlink>
      <w:r w:rsidRPr="00C81A8B">
        <w:rPr>
          <w:rStyle w:val="Hyperlink"/>
          <w:color w:val="auto"/>
          <w:u w:val="none"/>
        </w:rPr>
        <w:t>.</w:t>
      </w:r>
    </w:p>
  </w:footnote>
  <w:footnote w:id="7">
    <w:p w14:paraId="5587A78F" w14:textId="77777777" w:rsidR="0050718B" w:rsidRPr="00C81A8B" w:rsidRDefault="0050718B" w:rsidP="008E5815">
      <w:pPr>
        <w:pStyle w:val="FootnoteText"/>
      </w:pPr>
      <w:r w:rsidRPr="00C81A8B">
        <w:rPr>
          <w:rStyle w:val="FootnoteReference"/>
        </w:rPr>
        <w:footnoteRef/>
      </w:r>
      <w:r w:rsidRPr="00C81A8B">
        <w:t xml:space="preserve"> Deloitte Access Economics (2015), ‘The value of international education to Australia’, available at </w:t>
      </w:r>
      <w:hyperlink r:id="rId7" w:history="1">
        <w:r w:rsidRPr="00C81A8B">
          <w:rPr>
            <w:rStyle w:val="Hyperlink"/>
          </w:rPr>
          <w:t>https://internationaleducation.gov.au/research/research-papers/Documents/ValueInternationalEd.pdf</w:t>
        </w:r>
      </w:hyperlink>
      <w:r w:rsidRPr="00C81A8B">
        <w:t>.</w:t>
      </w:r>
    </w:p>
  </w:footnote>
  <w:footnote w:id="8">
    <w:p w14:paraId="0371F2EB" w14:textId="77777777" w:rsidR="0050718B" w:rsidRPr="00C81A8B" w:rsidRDefault="0050718B" w:rsidP="0087342A">
      <w:pPr>
        <w:pStyle w:val="FootnoteText"/>
      </w:pPr>
      <w:r w:rsidRPr="00C81A8B">
        <w:rPr>
          <w:rStyle w:val="FootnoteReference"/>
        </w:rPr>
        <w:footnoteRef/>
      </w:r>
      <w:r w:rsidRPr="00C81A8B">
        <w:t xml:space="preserve"> See </w:t>
      </w:r>
      <w:hyperlink r:id="rId8" w:anchor=".XQg7I2wUlfw" w:history="1">
        <w:r w:rsidRPr="00C81A8B">
          <w:rPr>
            <w:rStyle w:val="Hyperlink"/>
          </w:rPr>
          <w:t>https://www.universitiesaustralia.edu.au/Media-and-Events/media-releases/Australia-s-international-student-numbers-continue-to-grow#.XQg7I2wUlfw</w:t>
        </w:r>
      </w:hyperlink>
      <w:r w:rsidRPr="00C81A8B">
        <w:t xml:space="preserve">. </w:t>
      </w:r>
    </w:p>
  </w:footnote>
  <w:footnote w:id="9">
    <w:p w14:paraId="59A3BDD2" w14:textId="36A1847C" w:rsidR="0050718B" w:rsidRPr="00C81A8B" w:rsidRDefault="0050718B">
      <w:pPr>
        <w:pStyle w:val="FootnoteText"/>
      </w:pPr>
      <w:r w:rsidRPr="00C81A8B">
        <w:rPr>
          <w:rStyle w:val="FootnoteReference"/>
        </w:rPr>
        <w:footnoteRef/>
      </w:r>
      <w:r w:rsidRPr="00C81A8B">
        <w:t xml:space="preserve"> See </w:t>
      </w:r>
      <w:hyperlink r:id="rId9" w:history="1">
        <w:r w:rsidRPr="00C81A8B">
          <w:rPr>
            <w:rStyle w:val="Hyperlink"/>
          </w:rPr>
          <w:t>http://uis.unesco.org/en/uis-student-flow</w:t>
        </w:r>
      </w:hyperlink>
      <w:r w:rsidRPr="00C81A8B">
        <w:t xml:space="preserve">. </w:t>
      </w:r>
    </w:p>
  </w:footnote>
  <w:footnote w:id="10">
    <w:p w14:paraId="4899B2BF" w14:textId="3125DEBE" w:rsidR="0050718B" w:rsidRPr="00C81A8B" w:rsidRDefault="0050718B">
      <w:pPr>
        <w:pStyle w:val="FootnoteText"/>
      </w:pPr>
      <w:r w:rsidRPr="00C81A8B">
        <w:rPr>
          <w:rStyle w:val="FootnoteReference"/>
        </w:rPr>
        <w:footnoteRef/>
      </w:r>
      <w:r w:rsidRPr="00C81A8B">
        <w:t xml:space="preserve"> See </w:t>
      </w:r>
      <w:hyperlink r:id="rId10" w:anchor="Pivot_Table" w:history="1">
        <w:r w:rsidRPr="00C81A8B">
          <w:rPr>
            <w:rStyle w:val="Hyperlink"/>
          </w:rPr>
          <w:t>https://internationaleducation.gov.au/research/International-Student-Data/Pages/InternationalStudentData2018.aspx#Pivot_Table</w:t>
        </w:r>
      </w:hyperlink>
      <w:r w:rsidRPr="00C81A8B">
        <w:t>.</w:t>
      </w:r>
    </w:p>
  </w:footnote>
  <w:footnote w:id="11">
    <w:p w14:paraId="4508C981" w14:textId="5DB313EC" w:rsidR="0050718B" w:rsidRPr="00C81A8B" w:rsidRDefault="0050718B">
      <w:pPr>
        <w:pStyle w:val="FootnoteText"/>
      </w:pPr>
      <w:r w:rsidRPr="00C81A8B">
        <w:rPr>
          <w:rStyle w:val="FootnoteReference"/>
        </w:rPr>
        <w:footnoteRef/>
      </w:r>
      <w:r w:rsidRPr="00C81A8B">
        <w:t xml:space="preserve"> Sian Powell (2019), ‘Chinese interest wanes amid changing priorities’, </w:t>
      </w:r>
      <w:r w:rsidRPr="00C81A8B">
        <w:rPr>
          <w:i/>
        </w:rPr>
        <w:t>The Australian</w:t>
      </w:r>
      <w:r w:rsidRPr="00C81A8B">
        <w:t>, 6 March, p. 26.</w:t>
      </w:r>
    </w:p>
  </w:footnote>
  <w:footnote w:id="12">
    <w:p w14:paraId="1BB72FCB" w14:textId="2749C5AB" w:rsidR="0050718B" w:rsidRPr="00C81A8B" w:rsidRDefault="0050718B" w:rsidP="00C76E6D">
      <w:pPr>
        <w:pStyle w:val="FootnoteText"/>
      </w:pPr>
      <w:r w:rsidRPr="00C81A8B">
        <w:rPr>
          <w:rStyle w:val="FootnoteReference"/>
        </w:rPr>
        <w:footnoteRef/>
      </w:r>
      <w:r w:rsidRPr="00C81A8B">
        <w:t xml:space="preserve"> More information is available in Ross Garnaut (2018), ‘40 years of Chinese economic reform and development and the challenge of 50’ in Ross Garnaut, Ligang Song and Cai Fang (eds.), </w:t>
      </w:r>
      <w:r w:rsidRPr="00C81A8B">
        <w:rPr>
          <w:i/>
        </w:rPr>
        <w:t>China’s 40 Years of Reform and Development: 1978–2018</w:t>
      </w:r>
      <w:r w:rsidRPr="00C81A8B">
        <w:t xml:space="preserve">, pp. 29-51, available at </w:t>
      </w:r>
      <w:hyperlink r:id="rId11" w:history="1">
        <w:r w:rsidRPr="00C81A8B">
          <w:rPr>
            <w:rStyle w:val="Hyperlink"/>
          </w:rPr>
          <w:t>https://press-files.anu.edu.au/downloads/press/n4267/pdf/book.pdf</w:t>
        </w:r>
      </w:hyperlink>
      <w:r w:rsidRPr="00C81A8B">
        <w:t xml:space="preserve">. </w:t>
      </w:r>
    </w:p>
  </w:footnote>
  <w:footnote w:id="13">
    <w:p w14:paraId="085257E5" w14:textId="620AE35D" w:rsidR="0050718B" w:rsidRPr="00C81A8B" w:rsidRDefault="0050718B">
      <w:pPr>
        <w:pStyle w:val="FootnoteText"/>
      </w:pPr>
      <w:r w:rsidRPr="00C81A8B">
        <w:rPr>
          <w:rStyle w:val="FootnoteReference"/>
        </w:rPr>
        <w:footnoteRef/>
      </w:r>
      <w:r w:rsidRPr="00C81A8B">
        <w:t xml:space="preserve"> See </w:t>
      </w:r>
      <w:hyperlink r:id="rId12" w:anchor="!/page/0/length/25/locations/CN/sort_by/rank/sort_order/asc/cols/stats" w:history="1">
        <w:r w:rsidRPr="00C81A8B">
          <w:rPr>
            <w:rStyle w:val="Hyperlink"/>
          </w:rPr>
          <w:t>https://www.timeshighereducation.com/world-university-rankings/2019/world-ranking#!/page/0/length/25/locations/CN/sort_by/rank/sort_order/asc/cols/stats</w:t>
        </w:r>
      </w:hyperlink>
      <w:r w:rsidRPr="00C81A8B">
        <w:t xml:space="preserve">. </w:t>
      </w:r>
    </w:p>
  </w:footnote>
  <w:footnote w:id="14">
    <w:p w14:paraId="7BCDCEC1" w14:textId="53C2FCF4" w:rsidR="0050718B" w:rsidRPr="00C81A8B" w:rsidRDefault="0050718B">
      <w:pPr>
        <w:pStyle w:val="FootnoteText"/>
      </w:pPr>
      <w:r w:rsidRPr="00C81A8B">
        <w:rPr>
          <w:rStyle w:val="FootnoteReference"/>
        </w:rPr>
        <w:footnoteRef/>
      </w:r>
      <w:r w:rsidRPr="00C81A8B">
        <w:t xml:space="preserve"> See </w:t>
      </w:r>
      <w:hyperlink r:id="rId13" w:history="1">
        <w:r w:rsidRPr="00C81A8B">
          <w:rPr>
            <w:rStyle w:val="Hyperlink"/>
          </w:rPr>
          <w:t>https://www.topuniversities.com/university-rankings/world-university-rankings/2019</w:t>
        </w:r>
      </w:hyperlink>
      <w:r w:rsidRPr="00C81A8B">
        <w:t xml:space="preserve">. </w:t>
      </w:r>
    </w:p>
  </w:footnote>
  <w:footnote w:id="15">
    <w:p w14:paraId="794D52A8" w14:textId="02D77E64" w:rsidR="0050718B" w:rsidRPr="00C81A8B" w:rsidRDefault="0050718B">
      <w:pPr>
        <w:pStyle w:val="FootnoteText"/>
      </w:pPr>
      <w:r w:rsidRPr="00C81A8B">
        <w:rPr>
          <w:rStyle w:val="FootnoteReference"/>
        </w:rPr>
        <w:footnoteRef/>
      </w:r>
      <w:r w:rsidRPr="00C81A8B">
        <w:t xml:space="preserve"> See </w:t>
      </w:r>
      <w:hyperlink r:id="rId14" w:history="1">
        <w:r w:rsidRPr="00C81A8B">
          <w:rPr>
            <w:rStyle w:val="Hyperlink"/>
          </w:rPr>
          <w:t>http://www.shanghairanking.com/ARWU2018.html</w:t>
        </w:r>
      </w:hyperlink>
      <w:r w:rsidRPr="00C81A8B">
        <w:t xml:space="preserve">. </w:t>
      </w:r>
    </w:p>
  </w:footnote>
  <w:footnote w:id="16">
    <w:p w14:paraId="5E335E4C" w14:textId="6ACB0E5A" w:rsidR="0050718B" w:rsidRPr="00C81A8B" w:rsidRDefault="0050718B" w:rsidP="00B53F0D">
      <w:pPr>
        <w:pStyle w:val="FootnoteText"/>
      </w:pPr>
      <w:r w:rsidRPr="00C81A8B">
        <w:rPr>
          <w:rStyle w:val="FootnoteReference"/>
        </w:rPr>
        <w:footnoteRef/>
      </w:r>
      <w:r w:rsidRPr="00C81A8B">
        <w:t xml:space="preserve"> Peter Varghese (2018), ‘The China balancing act for university prosperity’, </w:t>
      </w:r>
      <w:r w:rsidRPr="00C81A8B">
        <w:rPr>
          <w:i/>
        </w:rPr>
        <w:t>The Australian</w:t>
      </w:r>
      <w:r w:rsidRPr="00C81A8B">
        <w:t>, 10 October, p. 28.</w:t>
      </w:r>
    </w:p>
  </w:footnote>
  <w:footnote w:id="17">
    <w:p w14:paraId="7237142B" w14:textId="3A76DA9C" w:rsidR="0050718B" w:rsidRPr="00C81A8B" w:rsidRDefault="0050718B">
      <w:pPr>
        <w:pStyle w:val="FootnoteText"/>
      </w:pPr>
      <w:r w:rsidRPr="00C81A8B">
        <w:rPr>
          <w:rStyle w:val="FootnoteReference"/>
        </w:rPr>
        <w:footnoteRef/>
      </w:r>
      <w:r w:rsidRPr="00C81A8B">
        <w:t xml:space="preserve"> Hang Gao and Hans de Wit (2017), ‘China and international student mobility’, </w:t>
      </w:r>
      <w:r w:rsidRPr="00C81A8B">
        <w:rPr>
          <w:i/>
        </w:rPr>
        <w:t>International Higher Education</w:t>
      </w:r>
      <w:r w:rsidRPr="00C81A8B">
        <w:t xml:space="preserve">, 90, available at </w:t>
      </w:r>
      <w:hyperlink r:id="rId15" w:history="1">
        <w:r w:rsidRPr="00C81A8B">
          <w:rPr>
            <w:rStyle w:val="Hyperlink"/>
          </w:rPr>
          <w:t>https://ejournals.bc.edu/index.php/ihe/article/view/9992/8676</w:t>
        </w:r>
      </w:hyperlink>
      <w:r w:rsidRPr="00C81A8B">
        <w:t xml:space="preserve">. </w:t>
      </w:r>
    </w:p>
  </w:footnote>
  <w:footnote w:id="18">
    <w:p w14:paraId="73B57A39" w14:textId="0FEA2F0B" w:rsidR="0050718B" w:rsidRPr="00C81A8B" w:rsidRDefault="0050718B" w:rsidP="00B53F0D">
      <w:pPr>
        <w:pStyle w:val="FootnoteText"/>
      </w:pPr>
      <w:r w:rsidRPr="00C81A8B">
        <w:rPr>
          <w:rStyle w:val="FootnoteReference"/>
        </w:rPr>
        <w:footnoteRef/>
      </w:r>
      <w:r w:rsidRPr="00C81A8B">
        <w:t xml:space="preserve"> Jordan Baker (2019), ‘A knowledge race: Australian universities set to suffer drop in students from China’, </w:t>
      </w:r>
      <w:r w:rsidRPr="00C81A8B">
        <w:rPr>
          <w:i/>
        </w:rPr>
        <w:t>The Sydney Morning Herald</w:t>
      </w:r>
      <w:r w:rsidRPr="00C81A8B">
        <w:t xml:space="preserve">, available at </w:t>
      </w:r>
      <w:hyperlink r:id="rId16" w:history="1">
        <w:r w:rsidRPr="00C81A8B">
          <w:rPr>
            <w:rStyle w:val="Hyperlink"/>
            <w:lang w:val="en-GB"/>
          </w:rPr>
          <w:t>https://www.smh.com.au/education/a-knowledge-race-australian-universities-set-to-suffer-drop-in-students-from-china-20190301-p5113e.html</w:t>
        </w:r>
      </w:hyperlink>
      <w:r w:rsidRPr="00C81A8B">
        <w:rPr>
          <w:rStyle w:val="Hyperlink"/>
          <w:color w:val="auto"/>
          <w:u w:val="none"/>
          <w:lang w:val="en-GB"/>
        </w:rPr>
        <w:t>.</w:t>
      </w:r>
    </w:p>
  </w:footnote>
  <w:footnote w:id="19">
    <w:p w14:paraId="141EDD23" w14:textId="45AC5A5D" w:rsidR="0050718B" w:rsidRPr="00C81A8B" w:rsidRDefault="0050718B" w:rsidP="00912B48">
      <w:pPr>
        <w:pStyle w:val="FootnoteText"/>
      </w:pPr>
      <w:r w:rsidRPr="00C81A8B">
        <w:rPr>
          <w:rStyle w:val="FootnoteReference"/>
        </w:rPr>
        <w:footnoteRef/>
      </w:r>
      <w:r w:rsidRPr="00C81A8B">
        <w:t xml:space="preserve"> Deloitte Access Economics (2015), </w:t>
      </w:r>
      <w:r w:rsidRPr="00C81A8B">
        <w:rPr>
          <w:i/>
        </w:rPr>
        <w:t>Growth and opportunity in Australian international education</w:t>
      </w:r>
      <w:r w:rsidRPr="00C81A8B">
        <w:t xml:space="preserve">, available at </w:t>
      </w:r>
      <w:hyperlink r:id="rId17" w:history="1">
        <w:r w:rsidRPr="00C81A8B">
          <w:rPr>
            <w:rStyle w:val="Hyperlink"/>
          </w:rPr>
          <w:t>https://www2.deloitte.com/content/dam/Deloitte/au/Documents/Economics/deloitte-au-economics-growth-opportunity-australian-international-education-011215.pdf</w:t>
        </w:r>
      </w:hyperlink>
      <w:r w:rsidRPr="00C81A8B">
        <w:t xml:space="preserve">. </w:t>
      </w:r>
    </w:p>
  </w:footnote>
  <w:footnote w:id="20">
    <w:p w14:paraId="7F164813" w14:textId="77777777" w:rsidR="0050718B" w:rsidRPr="00C81A8B" w:rsidRDefault="0050718B">
      <w:pPr>
        <w:pStyle w:val="FootnoteText"/>
      </w:pPr>
      <w:r w:rsidRPr="00C81A8B">
        <w:rPr>
          <w:rStyle w:val="FootnoteReference"/>
        </w:rPr>
        <w:footnoteRef/>
      </w:r>
      <w:r w:rsidRPr="00C81A8B">
        <w:t xml:space="preserve"> </w:t>
      </w:r>
      <w:r w:rsidRPr="00C81A8B">
        <w:rPr>
          <w:lang w:val="en-GB"/>
        </w:rPr>
        <w:t>‘A knowledge race’.</w:t>
      </w:r>
    </w:p>
  </w:footnote>
  <w:footnote w:id="21">
    <w:p w14:paraId="3DDA58B1" w14:textId="2BA6D1A1" w:rsidR="0050718B" w:rsidRPr="00C81A8B" w:rsidRDefault="0050718B" w:rsidP="00912B48">
      <w:pPr>
        <w:pStyle w:val="FootnoteText"/>
      </w:pPr>
      <w:r w:rsidRPr="00C81A8B">
        <w:rPr>
          <w:rStyle w:val="FootnoteReference"/>
        </w:rPr>
        <w:footnoteRef/>
      </w:r>
      <w:r w:rsidRPr="00C81A8B">
        <w:t xml:space="preserve"> See, for example, Philip G Altbach (2019), ‘The coming ‘China crisis’ in global higher education’, </w:t>
      </w:r>
      <w:r w:rsidRPr="00C81A8B">
        <w:rPr>
          <w:i/>
        </w:rPr>
        <w:t>University World News</w:t>
      </w:r>
      <w:r w:rsidRPr="00C81A8B">
        <w:t xml:space="preserve">, 6 April, available at </w:t>
      </w:r>
      <w:hyperlink r:id="rId18">
        <w:r w:rsidRPr="00C81A8B">
          <w:rPr>
            <w:rStyle w:val="Hyperlink"/>
          </w:rPr>
          <w:t>https://www.universityworldnews.com/post.php?story=20190403104242366</w:t>
        </w:r>
      </w:hyperlink>
      <w:r w:rsidRPr="00C81A8B">
        <w:t>.</w:t>
      </w:r>
    </w:p>
  </w:footnote>
  <w:footnote w:id="22">
    <w:p w14:paraId="5AE3B5D6" w14:textId="77777777" w:rsidR="0050718B" w:rsidRPr="00C81A8B" w:rsidRDefault="0050718B" w:rsidP="00145FC9">
      <w:pPr>
        <w:pStyle w:val="FootnoteText"/>
      </w:pPr>
      <w:r w:rsidRPr="00C81A8B">
        <w:rPr>
          <w:rStyle w:val="FootnoteReference"/>
        </w:rPr>
        <w:footnoteRef/>
      </w:r>
      <w:r w:rsidRPr="00C81A8B">
        <w:t xml:space="preserve"> ‘The China balancing act’.</w:t>
      </w:r>
    </w:p>
  </w:footnote>
  <w:footnote w:id="23">
    <w:p w14:paraId="3C772949" w14:textId="77777777" w:rsidR="0050718B" w:rsidRPr="00C81A8B" w:rsidRDefault="0050718B" w:rsidP="00145FC9">
      <w:pPr>
        <w:pStyle w:val="FootnoteText"/>
      </w:pPr>
      <w:r w:rsidRPr="00C81A8B">
        <w:rPr>
          <w:rStyle w:val="FootnoteReference"/>
        </w:rPr>
        <w:footnoteRef/>
      </w:r>
      <w:r w:rsidRPr="00C81A8B">
        <w:t xml:space="preserve"> This is available at </w:t>
      </w:r>
      <w:hyperlink r:id="rId19" w:history="1">
        <w:r w:rsidRPr="00C81A8B">
          <w:rPr>
            <w:rStyle w:val="Hyperlink"/>
          </w:rPr>
          <w:t>http://www.jsj.edu.cn/</w:t>
        </w:r>
      </w:hyperlink>
      <w:r w:rsidRPr="00C81A8B">
        <w:t xml:space="preserve">. </w:t>
      </w:r>
    </w:p>
  </w:footnote>
  <w:footnote w:id="24">
    <w:p w14:paraId="77E08BFA" w14:textId="29FF4388" w:rsidR="0050718B" w:rsidRPr="00C81A8B" w:rsidRDefault="0050718B">
      <w:pPr>
        <w:pStyle w:val="FootnoteText"/>
      </w:pPr>
      <w:r w:rsidRPr="00C81A8B">
        <w:rPr>
          <w:rStyle w:val="FootnoteReference"/>
        </w:rPr>
        <w:footnoteRef/>
      </w:r>
      <w:r w:rsidRPr="00C81A8B">
        <w:t xml:space="preserve"> This figure includes bilingual schools. See ISC Research (2018), </w:t>
      </w:r>
      <w:r w:rsidRPr="00C81A8B">
        <w:rPr>
          <w:i/>
        </w:rPr>
        <w:t>ISC market research data</w:t>
      </w:r>
      <w:r w:rsidRPr="00C81A8B">
        <w:t xml:space="preserve">, available at </w:t>
      </w:r>
      <w:hyperlink r:id="rId20" w:history="1">
        <w:r w:rsidRPr="00C81A8B">
          <w:rPr>
            <w:rStyle w:val="Hyperlink"/>
          </w:rPr>
          <w:t>https://www.iscresearch.com/data</w:t>
        </w:r>
      </w:hyperlink>
      <w:r w:rsidRPr="00C81A8B">
        <w:t xml:space="preserve">. </w:t>
      </w:r>
    </w:p>
  </w:footnote>
  <w:footnote w:id="25">
    <w:p w14:paraId="7C66E696" w14:textId="7BEAEF36" w:rsidR="0050718B" w:rsidRPr="00C81A8B" w:rsidRDefault="0050718B">
      <w:pPr>
        <w:pStyle w:val="FootnoteText"/>
      </w:pPr>
      <w:r w:rsidRPr="00C81A8B">
        <w:rPr>
          <w:rStyle w:val="FootnoteReference"/>
        </w:rPr>
        <w:footnoteRef/>
      </w:r>
      <w:r w:rsidRPr="00C81A8B">
        <w:t xml:space="preserve"> NSW Government Education Standards Authority and Nous Group (2019), </w:t>
      </w:r>
      <w:r w:rsidRPr="00C81A8B">
        <w:rPr>
          <w:i/>
        </w:rPr>
        <w:t>Final report: International opportunities for Australian school curriculum, assessment and regulatory products</w:t>
      </w:r>
      <w:r w:rsidRPr="00C81A8B">
        <w:t xml:space="preserve">, available at </w:t>
      </w:r>
      <w:hyperlink r:id="rId21" w:history="1">
        <w:r w:rsidRPr="00C81A8B">
          <w:rPr>
            <w:rStyle w:val="Hyperlink"/>
          </w:rPr>
          <w:t>https://internationaleducation.gov.au/International-network/Australia/InternationalStrategy/EGIProjects/Documents/Final%20report_International%20opportunities%20for%20Australian%20schooling_Nous_2019.pdf</w:t>
        </w:r>
      </w:hyperlink>
      <w:r w:rsidRPr="00C81A8B">
        <w:t xml:space="preserve">. </w:t>
      </w:r>
    </w:p>
  </w:footnote>
  <w:footnote w:id="26">
    <w:p w14:paraId="12A90780" w14:textId="735E0E3E" w:rsidR="0050718B" w:rsidRPr="00C81A8B" w:rsidRDefault="0050718B">
      <w:pPr>
        <w:pStyle w:val="FootnoteText"/>
      </w:pPr>
      <w:r w:rsidRPr="00C81A8B">
        <w:rPr>
          <w:rStyle w:val="FootnoteReference"/>
        </w:rPr>
        <w:footnoteRef/>
      </w:r>
      <w:r w:rsidRPr="00C81A8B">
        <w:t xml:space="preserve"> Victoria State Government (2018), </w:t>
      </w:r>
      <w:r w:rsidRPr="00C81A8B">
        <w:rPr>
          <w:i/>
        </w:rPr>
        <w:t>Victoria’s China strategy: Progress report 2018</w:t>
      </w:r>
      <w:r w:rsidRPr="00C81A8B">
        <w:t xml:space="preserve">, available at </w:t>
      </w:r>
      <w:hyperlink r:id="rId22" w:history="1">
        <w:r w:rsidRPr="00C81A8B">
          <w:rPr>
            <w:rStyle w:val="Hyperlink"/>
          </w:rPr>
          <w:t>https://www.vic.gov.au/sites/default/files/2019-01/Victorias-China-strategy-progress-report.pdf</w:t>
        </w:r>
      </w:hyperlink>
      <w:r w:rsidRPr="00C81A8B">
        <w:t xml:space="preserve">. </w:t>
      </w:r>
    </w:p>
  </w:footnote>
  <w:footnote w:id="27">
    <w:p w14:paraId="5A620C40" w14:textId="2FB0F687" w:rsidR="0050718B" w:rsidRPr="00C81A8B" w:rsidRDefault="0050718B" w:rsidP="00D35904">
      <w:pPr>
        <w:pStyle w:val="FootnoteText"/>
      </w:pPr>
      <w:r w:rsidRPr="00C81A8B">
        <w:rPr>
          <w:rStyle w:val="FootnoteReference"/>
        </w:rPr>
        <w:footnoteRef/>
      </w:r>
      <w:r w:rsidRPr="00C81A8B">
        <w:t xml:space="preserve"> More information is available at </w:t>
      </w:r>
      <w:hyperlink r:id="rId23" w:history="1">
        <w:r w:rsidRPr="00C81A8B">
          <w:rPr>
            <w:rStyle w:val="Hyperlink"/>
          </w:rPr>
          <w:t>https://www.englishaustralia.com.au/market-intelligence/monthly-market-reports</w:t>
        </w:r>
      </w:hyperlink>
      <w:r w:rsidRPr="00C81A8B">
        <w:t xml:space="preserve">; English Australia (2018), ‘Raising the profile in China of Australia’s excellence in the delivery of English language training’, available at </w:t>
      </w:r>
      <w:hyperlink r:id="rId24" w:history="1">
        <w:r w:rsidRPr="00C81A8B">
          <w:rPr>
            <w:rStyle w:val="Hyperlink"/>
          </w:rPr>
          <w:t>https://internationaleducation.gov.au/International-network/Australia/InternationalStrategy/EGIProjects/Documents/Raising%20the%20Profile%20in%20China%20in%20English%20Language%20Training%20FINAL.pdf</w:t>
        </w:r>
      </w:hyperlink>
      <w:r w:rsidRPr="00C81A8B">
        <w:t>.</w:t>
      </w:r>
    </w:p>
  </w:footnote>
  <w:footnote w:id="28">
    <w:p w14:paraId="3E013697" w14:textId="77777777" w:rsidR="0050718B" w:rsidRPr="00C81A8B" w:rsidRDefault="0050718B" w:rsidP="00F45713">
      <w:pPr>
        <w:pStyle w:val="FootnoteText"/>
      </w:pPr>
      <w:r w:rsidRPr="00C81A8B">
        <w:rPr>
          <w:rStyle w:val="FootnoteReference"/>
        </w:rPr>
        <w:footnoteRef/>
      </w:r>
      <w:r w:rsidRPr="00C81A8B">
        <w:t xml:space="preserve"> Ibid.</w:t>
      </w:r>
    </w:p>
  </w:footnote>
  <w:footnote w:id="29">
    <w:p w14:paraId="2854213C" w14:textId="3A277237" w:rsidR="0050718B" w:rsidRPr="00C81A8B" w:rsidRDefault="0050718B">
      <w:pPr>
        <w:pStyle w:val="FootnoteText"/>
      </w:pPr>
      <w:r w:rsidRPr="00C81A8B">
        <w:rPr>
          <w:rStyle w:val="FootnoteReference"/>
        </w:rPr>
        <w:footnoteRef/>
      </w:r>
      <w:r w:rsidRPr="00C81A8B">
        <w:t xml:space="preserve"> See </w:t>
      </w:r>
      <w:hyperlink r:id="rId25" w:history="1">
        <w:r w:rsidRPr="00C81A8B">
          <w:rPr>
            <w:rStyle w:val="Hyperlink"/>
          </w:rPr>
          <w:t>https://www.universitiesaustralia.edu.au/policy-submissions/international/international-links-member-universities/</w:t>
        </w:r>
      </w:hyperlink>
      <w:r w:rsidRPr="00C81A8B">
        <w:t>.</w:t>
      </w:r>
    </w:p>
  </w:footnote>
  <w:footnote w:id="30">
    <w:p w14:paraId="70D5FB51" w14:textId="22E4C3E1" w:rsidR="0050718B" w:rsidRPr="00C81A8B" w:rsidRDefault="0050718B" w:rsidP="004401C2">
      <w:pPr>
        <w:pStyle w:val="FootnoteText"/>
      </w:pPr>
      <w:r w:rsidRPr="00C81A8B">
        <w:rPr>
          <w:rStyle w:val="FootnoteReference"/>
        </w:rPr>
        <w:footnoteRef/>
      </w:r>
      <w:r w:rsidRPr="00C81A8B">
        <w:t xml:space="preserve"> Further information on the ACSRF is available at </w:t>
      </w:r>
      <w:hyperlink r:id="rId26" w:history="1">
        <w:r w:rsidRPr="00C81A8B">
          <w:rPr>
            <w:rStyle w:val="Hyperlink"/>
          </w:rPr>
          <w:t>http://www.science.gov.au/acsrf</w:t>
        </w:r>
      </w:hyperlink>
      <w:r w:rsidRPr="00C81A8B">
        <w:t xml:space="preserve">. </w:t>
      </w:r>
    </w:p>
  </w:footnote>
  <w:footnote w:id="31">
    <w:p w14:paraId="47AC5A36" w14:textId="77777777" w:rsidR="0050718B" w:rsidRPr="00C81A8B" w:rsidRDefault="0050718B" w:rsidP="00B50C12">
      <w:pPr>
        <w:pStyle w:val="FootnoteText"/>
      </w:pPr>
      <w:r w:rsidRPr="00C81A8B">
        <w:rPr>
          <w:rStyle w:val="FootnoteReference"/>
        </w:rPr>
        <w:footnoteRef/>
      </w:r>
      <w:r w:rsidRPr="00C81A8B">
        <w:t xml:space="preserve"> The other country-specific research fund is the Australia-India Strategic Research fund (AISRF).</w:t>
      </w:r>
    </w:p>
  </w:footnote>
  <w:footnote w:id="32">
    <w:p w14:paraId="215AB39F" w14:textId="0BBE3928" w:rsidR="0050718B" w:rsidRPr="00C81A8B" w:rsidRDefault="0050718B">
      <w:pPr>
        <w:pStyle w:val="FootnoteText"/>
      </w:pPr>
      <w:r w:rsidRPr="00C81A8B">
        <w:rPr>
          <w:rStyle w:val="FootnoteReference"/>
        </w:rPr>
        <w:footnoteRef/>
      </w:r>
      <w:r w:rsidRPr="00C81A8B">
        <w:t xml:space="preserve"> See </w:t>
      </w:r>
      <w:hyperlink r:id="rId27" w:history="1">
        <w:r w:rsidRPr="00C81A8B">
          <w:rPr>
            <w:rStyle w:val="Hyperlink"/>
          </w:rPr>
          <w:t>https://www.scival.com/</w:t>
        </w:r>
      </w:hyperlink>
      <w:r w:rsidRPr="00C81A8B">
        <w:t xml:space="preserve">. </w:t>
      </w:r>
    </w:p>
  </w:footnote>
  <w:footnote w:id="33">
    <w:p w14:paraId="116C9A20" w14:textId="44593415" w:rsidR="0050718B" w:rsidRPr="00C81A8B" w:rsidRDefault="0050718B" w:rsidP="004D7C6B">
      <w:pPr>
        <w:pStyle w:val="FootnoteText"/>
      </w:pPr>
      <w:r w:rsidRPr="00C81A8B">
        <w:rPr>
          <w:rStyle w:val="FootnoteReference"/>
        </w:rPr>
        <w:footnoteRef/>
      </w:r>
      <w:r w:rsidRPr="00C81A8B">
        <w:t xml:space="preserve"> See, for example, Alex Joske (2018), </w:t>
      </w:r>
      <w:r w:rsidRPr="00C81A8B">
        <w:rPr>
          <w:i/>
        </w:rPr>
        <w:t>Picking flowers, making honey: The Chinese military’s collaboration with foreign universities</w:t>
      </w:r>
      <w:r w:rsidRPr="00C81A8B">
        <w:rPr>
          <w:lang w:val="en"/>
        </w:rPr>
        <w:t xml:space="preserve">, </w:t>
      </w:r>
      <w:r w:rsidRPr="00C81A8B">
        <w:t xml:space="preserve">available at </w:t>
      </w:r>
      <w:hyperlink r:id="rId28" w:history="1">
        <w:r w:rsidRPr="00C81A8B">
          <w:rPr>
            <w:rStyle w:val="Hyperlink"/>
          </w:rPr>
          <w:t>https://www.aspi.org.au/report/picking-flowers-making-honey</w:t>
        </w:r>
      </w:hyperlink>
      <w:r w:rsidRPr="00C81A8B">
        <w:t>.</w:t>
      </w:r>
    </w:p>
  </w:footnote>
  <w:footnote w:id="34">
    <w:p w14:paraId="7416BE17" w14:textId="65EF17CA" w:rsidR="0050718B" w:rsidRPr="00C81A8B" w:rsidRDefault="0050718B" w:rsidP="00373F1E">
      <w:pPr>
        <w:pStyle w:val="FootnoteText"/>
      </w:pPr>
      <w:r w:rsidRPr="00C81A8B">
        <w:rPr>
          <w:rStyle w:val="FootnoteReference"/>
        </w:rPr>
        <w:footnoteRef/>
      </w:r>
      <w:r w:rsidRPr="00C81A8B">
        <w:t xml:space="preserve"> See </w:t>
      </w:r>
      <w:hyperlink r:id="rId29" w:history="1">
        <w:r w:rsidRPr="00C81A8B">
          <w:rPr>
            <w:rStyle w:val="Hyperlink"/>
          </w:rPr>
          <w:t>https://internationaleducation.gov.au/International-network/china/publications/Documents/China%20Country%20Brief%20-%20September%202018.pdf</w:t>
        </w:r>
      </w:hyperlink>
      <w:r w:rsidRPr="00C81A8B">
        <w:t xml:space="preserve">. </w:t>
      </w:r>
    </w:p>
  </w:footnote>
  <w:footnote w:id="35">
    <w:p w14:paraId="4183653F" w14:textId="77777777" w:rsidR="0050718B" w:rsidRPr="00C81A8B" w:rsidRDefault="0050718B">
      <w:pPr>
        <w:pStyle w:val="FootnoteText"/>
      </w:pPr>
      <w:r w:rsidRPr="00C81A8B">
        <w:rPr>
          <w:rStyle w:val="FootnoteReference"/>
        </w:rPr>
        <w:footnoteRef/>
      </w:r>
      <w:r w:rsidRPr="00C81A8B">
        <w:t xml:space="preserve"> More information is available at </w:t>
      </w:r>
      <w:hyperlink r:id="rId30" w:history="1">
        <w:r w:rsidRPr="00C81A8B">
          <w:rPr>
            <w:rStyle w:val="Hyperlink"/>
          </w:rPr>
          <w:t>https://www.vic.gov.au/sites/default/files/2019-01/Victorias-China-strategy-progress-report.pdf</w:t>
        </w:r>
      </w:hyperlink>
      <w:r w:rsidRPr="00C81A8B">
        <w:t>.</w:t>
      </w:r>
    </w:p>
  </w:footnote>
  <w:footnote w:id="36">
    <w:p w14:paraId="68CFEB3D" w14:textId="09B058CD" w:rsidR="0050718B" w:rsidRPr="00C81A8B" w:rsidRDefault="0050718B">
      <w:pPr>
        <w:pStyle w:val="FootnoteText"/>
      </w:pPr>
      <w:r w:rsidRPr="00C81A8B">
        <w:rPr>
          <w:rStyle w:val="FootnoteReference"/>
        </w:rPr>
        <w:footnoteRef/>
      </w:r>
      <w:r w:rsidRPr="00C81A8B">
        <w:t xml:space="preserve"> Ibid, p.7.</w:t>
      </w:r>
    </w:p>
  </w:footnote>
  <w:footnote w:id="37">
    <w:p w14:paraId="1DEEB31F" w14:textId="0A70109D" w:rsidR="0050718B" w:rsidRPr="00C81A8B" w:rsidRDefault="0050718B">
      <w:pPr>
        <w:pStyle w:val="FootnoteText"/>
      </w:pPr>
      <w:r w:rsidRPr="00C81A8B">
        <w:rPr>
          <w:rStyle w:val="FootnoteReference"/>
        </w:rPr>
        <w:footnoteRef/>
      </w:r>
      <w:r w:rsidRPr="00C81A8B">
        <w:t xml:space="preserve"> NSW Government (2013), </w:t>
      </w:r>
      <w:r w:rsidRPr="00C81A8B">
        <w:rPr>
          <w:i/>
        </w:rPr>
        <w:t>China strategy: NSW international engagement strategy</w:t>
      </w:r>
      <w:r w:rsidRPr="00C81A8B">
        <w:t xml:space="preserve">, available at </w:t>
      </w:r>
      <w:hyperlink r:id="rId31" w:history="1">
        <w:r w:rsidRPr="00C81A8B">
          <w:rPr>
            <w:rStyle w:val="Hyperlink"/>
          </w:rPr>
          <w:t>https://www.industry.nsw.gov.au/__data/assets/pdf_file/0005/106187/NSW-China-Strategy.pdf</w:t>
        </w:r>
      </w:hyperlink>
      <w:r w:rsidRPr="00C81A8B">
        <w:t xml:space="preserve">. </w:t>
      </w:r>
    </w:p>
  </w:footnote>
  <w:footnote w:id="38">
    <w:p w14:paraId="3DD48EE0" w14:textId="00D8BE59" w:rsidR="0050718B" w:rsidRPr="00C81A8B" w:rsidRDefault="0050718B">
      <w:pPr>
        <w:pStyle w:val="FootnoteText"/>
      </w:pPr>
      <w:r w:rsidRPr="00C81A8B">
        <w:rPr>
          <w:rStyle w:val="FootnoteReference"/>
        </w:rPr>
        <w:footnoteRef/>
      </w:r>
      <w:r w:rsidRPr="00C81A8B">
        <w:t xml:space="preserve"> ACT Government (2016), </w:t>
      </w:r>
      <w:r w:rsidRPr="00C81A8B">
        <w:rPr>
          <w:i/>
        </w:rPr>
        <w:t>Canberra: Australia’s education capital</w:t>
      </w:r>
      <w:r w:rsidRPr="00C81A8B">
        <w:t xml:space="preserve">, available at </w:t>
      </w:r>
      <w:hyperlink r:id="rId32" w:history="1">
        <w:r w:rsidRPr="00C81A8B">
          <w:rPr>
            <w:rStyle w:val="Hyperlink"/>
          </w:rPr>
          <w:t>https://www.business.act.gov.au/__data/assets/pdf_file/0006/980529/160830_International_Education_Strategy_WEB.pdf</w:t>
        </w:r>
      </w:hyperlink>
      <w:r w:rsidRPr="00C81A8B">
        <w:t>.</w:t>
      </w:r>
    </w:p>
  </w:footnote>
  <w:footnote w:id="39">
    <w:p w14:paraId="28E79908" w14:textId="326790C4" w:rsidR="0050718B" w:rsidRPr="00C81A8B" w:rsidRDefault="0050718B">
      <w:pPr>
        <w:pStyle w:val="FootnoteText"/>
      </w:pPr>
      <w:r w:rsidRPr="00C81A8B">
        <w:rPr>
          <w:rStyle w:val="FootnoteReference"/>
        </w:rPr>
        <w:footnoteRef/>
      </w:r>
      <w:r w:rsidRPr="00C81A8B">
        <w:t xml:space="preserve"> Ibid, p. 17.</w:t>
      </w:r>
    </w:p>
  </w:footnote>
  <w:footnote w:id="40">
    <w:p w14:paraId="4A762399" w14:textId="2FC70C14" w:rsidR="0050718B" w:rsidRPr="00C81A8B" w:rsidRDefault="0050718B" w:rsidP="00107547">
      <w:pPr>
        <w:pStyle w:val="FootnoteText"/>
      </w:pPr>
      <w:r w:rsidRPr="00C81A8B">
        <w:rPr>
          <w:rStyle w:val="FootnoteReference"/>
        </w:rPr>
        <w:footnoteRef/>
      </w:r>
      <w:r w:rsidRPr="00C81A8B">
        <w:t xml:space="preserve"> More information is available at </w:t>
      </w:r>
      <w:hyperlink r:id="rId33" w:history="1">
        <w:r w:rsidRPr="00C81A8B">
          <w:rPr>
            <w:rStyle w:val="Hyperlink"/>
          </w:rPr>
          <w:t>https://tourism.sa.gov.au/documents/CORP/documentMedia.ashx?A=%7B3DEDBF6D-F230-420A-B805-A97F3E2346D9%7D&amp;B=True</w:t>
        </w:r>
      </w:hyperlink>
      <w:r w:rsidRPr="00C81A8B">
        <w:t>.</w:t>
      </w:r>
    </w:p>
  </w:footnote>
  <w:footnote w:id="41">
    <w:p w14:paraId="75EEBA73" w14:textId="77777777" w:rsidR="0050718B" w:rsidRPr="00C81A8B" w:rsidRDefault="0050718B" w:rsidP="00253D15">
      <w:pPr>
        <w:pStyle w:val="FootnoteText"/>
      </w:pPr>
      <w:r w:rsidRPr="00C81A8B">
        <w:rPr>
          <w:rStyle w:val="FootnoteReference"/>
        </w:rPr>
        <w:footnoteRef/>
      </w:r>
      <w:r w:rsidRPr="00C81A8B">
        <w:t xml:space="preserve"> HM Government (2019), </w:t>
      </w:r>
      <w:r w:rsidRPr="00C81A8B">
        <w:rPr>
          <w:i/>
        </w:rPr>
        <w:t>International education strategy: Global potential, global growth</w:t>
      </w:r>
      <w:r w:rsidRPr="00C81A8B">
        <w:t xml:space="preserve">, available at </w:t>
      </w:r>
      <w:hyperlink r:id="rId34" w:history="1">
        <w:r w:rsidRPr="00C81A8B">
          <w:rPr>
            <w:rStyle w:val="Hyperlink"/>
          </w:rPr>
          <w:t>https://assets.publishing.service.gov.uk/government/uploads/system/uploads/attachment_data/file/799349/International_Education_Strategy_Accessible.pdf</w:t>
        </w:r>
      </w:hyperlink>
      <w:r w:rsidRPr="00C81A8B">
        <w:t xml:space="preserve">. </w:t>
      </w:r>
    </w:p>
  </w:footnote>
  <w:footnote w:id="42">
    <w:p w14:paraId="136D3091" w14:textId="35BBC590" w:rsidR="0050718B" w:rsidRPr="00C81A8B" w:rsidRDefault="0050718B">
      <w:pPr>
        <w:pStyle w:val="FootnoteText"/>
      </w:pPr>
      <w:r w:rsidRPr="00C81A8B">
        <w:rPr>
          <w:rStyle w:val="FootnoteReference"/>
        </w:rPr>
        <w:footnoteRef/>
      </w:r>
      <w:r w:rsidRPr="00C81A8B">
        <w:t xml:space="preserve"> See Cecily Liu (2018), ‘Chinese and British university heads urge further collaboration’</w:t>
      </w:r>
      <w:r w:rsidRPr="00C81A8B">
        <w:rPr>
          <w:i/>
        </w:rPr>
        <w:t>,</w:t>
      </w:r>
      <w:r w:rsidRPr="00C81A8B">
        <w:t xml:space="preserve"> </w:t>
      </w:r>
      <w:r w:rsidRPr="00C81A8B">
        <w:rPr>
          <w:i/>
        </w:rPr>
        <w:t>China Daily</w:t>
      </w:r>
      <w:r w:rsidRPr="00C81A8B">
        <w:t xml:space="preserve">, 4 June, available at </w:t>
      </w:r>
      <w:hyperlink r:id="rId35" w:history="1">
        <w:r w:rsidRPr="00C81A8B">
          <w:rPr>
            <w:rStyle w:val="Hyperlink"/>
          </w:rPr>
          <w:t>http://europe.chinadaily.com.cn/a/201806/04/WS5b150243a31001b82571e0de.html</w:t>
        </w:r>
      </w:hyperlink>
      <w:r w:rsidRPr="00C81A8B">
        <w:t xml:space="preserve">; Mark Boylan, Bronwen Maxwell, Claire Wolstenholme, Tim Jay, and Sean Demack (2018), ‘The Mathematics Teacher Exchange and ‘mastery’ in England: The evidence for the efficacy of component practices’, </w:t>
      </w:r>
      <w:r w:rsidRPr="00C81A8B">
        <w:rPr>
          <w:i/>
        </w:rPr>
        <w:t>Education Sciences</w:t>
      </w:r>
      <w:r w:rsidRPr="00C81A8B">
        <w:t xml:space="preserve"> 8 (4), 202, available at</w:t>
      </w:r>
      <w:r w:rsidRPr="00C81A8B">
        <w:rPr>
          <w:i/>
        </w:rPr>
        <w:t xml:space="preserve"> </w:t>
      </w:r>
      <w:hyperlink r:id="rId36" w:history="1">
        <w:r w:rsidRPr="00C81A8B">
          <w:rPr>
            <w:rStyle w:val="Hyperlink"/>
          </w:rPr>
          <w:t>https://www.mdpi.com/2227-7102/8/4/202/htm</w:t>
        </w:r>
      </w:hyperlink>
      <w:r w:rsidRPr="00C81A8B">
        <w:t>; British Council (2016), ‘UK and China agree long-term ambitions for education plans’, 7 December, available at</w:t>
      </w:r>
      <w:r w:rsidRPr="00C81A8B">
        <w:rPr>
          <w:i/>
        </w:rPr>
        <w:t xml:space="preserve"> </w:t>
      </w:r>
      <w:hyperlink r:id="rId37" w:history="1">
        <w:r w:rsidRPr="00C81A8B">
          <w:rPr>
            <w:rStyle w:val="Hyperlink"/>
          </w:rPr>
          <w:t>https://www.britishcouncil.org/contact/press/uk-and-china-agree-long-term-ambitions-education-plans</w:t>
        </w:r>
      </w:hyperlink>
      <w:r w:rsidRPr="00C81A8B">
        <w:t>.</w:t>
      </w:r>
    </w:p>
  </w:footnote>
  <w:footnote w:id="43">
    <w:p w14:paraId="292CC7F8" w14:textId="02E5078E" w:rsidR="0050718B" w:rsidRPr="00C81A8B" w:rsidRDefault="0050718B" w:rsidP="00253D15">
      <w:pPr>
        <w:pStyle w:val="FootnoteText"/>
      </w:pPr>
      <w:r w:rsidRPr="00C81A8B">
        <w:rPr>
          <w:rStyle w:val="FootnoteReference"/>
        </w:rPr>
        <w:footnoteRef/>
      </w:r>
      <w:r w:rsidRPr="00C81A8B">
        <w:t xml:space="preserve"> This dialogue mechanism is one of the UK’s three major ministerial dialogues with China, along with the Economic and Financial Dialogue, and Strategic Dialogue. It covers 10 policy strands including education, science, health, tourism, sport, culture and creative industries, youth, regional cooperation, social equity and women’s equality. See UK Government Press Release ‘Joint UK-China strategy for science, technology and innovation cooperation sets new horizons for closer international collaborations’, available at </w:t>
      </w:r>
      <w:hyperlink r:id="rId38" w:history="1">
        <w:r w:rsidRPr="00C81A8B">
          <w:rPr>
            <w:rStyle w:val="Hyperlink"/>
          </w:rPr>
          <w:t>https://www.gov.uk/government/news/joint-uk-china-strategy-for-science-technology-and-innovation-cooperation-sets-new-horizons-for-closer-international-collaborations</w:t>
        </w:r>
      </w:hyperlink>
      <w:r w:rsidRPr="00C81A8B">
        <w:t>.</w:t>
      </w:r>
    </w:p>
  </w:footnote>
  <w:footnote w:id="44">
    <w:p w14:paraId="3600384E" w14:textId="4A85F71D" w:rsidR="0050718B" w:rsidRPr="00C81A8B" w:rsidRDefault="0050718B" w:rsidP="00253D15">
      <w:pPr>
        <w:pStyle w:val="FootnoteText"/>
      </w:pPr>
      <w:r w:rsidRPr="00C81A8B">
        <w:rPr>
          <w:rStyle w:val="FootnoteReference"/>
        </w:rPr>
        <w:footnoteRef/>
      </w:r>
      <w:r w:rsidRPr="00C81A8B">
        <w:t xml:space="preserve"> Beckie Smith (2015), ‘UK-China agreements signal ‘new phase of education collaboration’’, </w:t>
      </w:r>
      <w:r w:rsidRPr="00C81A8B">
        <w:rPr>
          <w:i/>
        </w:rPr>
        <w:t>The Pie News</w:t>
      </w:r>
      <w:r w:rsidRPr="00C81A8B">
        <w:t xml:space="preserve">, available at </w:t>
      </w:r>
      <w:hyperlink r:id="rId39" w:history="1">
        <w:r w:rsidRPr="00C81A8B">
          <w:rPr>
            <w:rStyle w:val="Hyperlink"/>
          </w:rPr>
          <w:t>https://thepienews.com/news/uk-china-agreements-signal-new-phase-of-education-collaboration/</w:t>
        </w:r>
      </w:hyperlink>
      <w:r w:rsidRPr="00C81A8B">
        <w:t>.</w:t>
      </w:r>
    </w:p>
  </w:footnote>
  <w:footnote w:id="45">
    <w:p w14:paraId="417CDF8D" w14:textId="464F781A" w:rsidR="0050718B" w:rsidRPr="00C81A8B" w:rsidRDefault="0050718B" w:rsidP="00253D15">
      <w:pPr>
        <w:pStyle w:val="FootnoteText"/>
      </w:pPr>
      <w:r w:rsidRPr="00C81A8B">
        <w:rPr>
          <w:rStyle w:val="FootnoteReference"/>
        </w:rPr>
        <w:footnoteRef/>
      </w:r>
      <w:r w:rsidRPr="00C81A8B">
        <w:t xml:space="preserve"> Government UK (2016), ‘Bilateral cooperation boosted at UK-China Regional Leaders Summit’, 16 October, available at </w:t>
      </w:r>
      <w:hyperlink r:id="rId40" w:history="1">
        <w:r w:rsidRPr="00C81A8B">
          <w:rPr>
            <w:rStyle w:val="Hyperlink"/>
          </w:rPr>
          <w:t>https://www.gov.uk/government/news/bilateral-cooperation-boosted-at-uk-china-regional-leaders-summit</w:t>
        </w:r>
      </w:hyperlink>
      <w:r w:rsidRPr="00C81A8B">
        <w:t>.</w:t>
      </w:r>
    </w:p>
  </w:footnote>
  <w:footnote w:id="46">
    <w:p w14:paraId="02715E45" w14:textId="27A8488C" w:rsidR="0050718B" w:rsidRPr="00C81A8B" w:rsidRDefault="0050718B" w:rsidP="00253D15">
      <w:pPr>
        <w:pStyle w:val="FootnoteText"/>
      </w:pPr>
      <w:r w:rsidRPr="00C81A8B">
        <w:rPr>
          <w:rStyle w:val="FootnoteReference"/>
        </w:rPr>
        <w:footnoteRef/>
      </w:r>
      <w:r w:rsidRPr="00C81A8B">
        <w:t xml:space="preserve"> British Council (2017), ‘Research on Current UK-China Transnational Education: From the Perspective of Administrators and Students’, available at </w:t>
      </w:r>
      <w:hyperlink r:id="rId41" w:history="1">
        <w:r w:rsidRPr="00C81A8B">
          <w:rPr>
            <w:rStyle w:val="Hyperlink"/>
          </w:rPr>
          <w:t>https://education-services.britishcouncil.org/sites/siem/files/field/file/news/2017%20BC-CEAIE%20Joint%20Research%20Report%20of%20UK-China%20TNE.pdf</w:t>
        </w:r>
      </w:hyperlink>
      <w:r w:rsidRPr="00C81A8B">
        <w:t>.</w:t>
      </w:r>
    </w:p>
  </w:footnote>
  <w:footnote w:id="47">
    <w:p w14:paraId="523A1E2F" w14:textId="1E2635E3" w:rsidR="0050718B" w:rsidRPr="00C81A8B" w:rsidRDefault="0050718B" w:rsidP="00253D15">
      <w:pPr>
        <w:pStyle w:val="FootnoteText"/>
        <w:rPr>
          <w:i/>
        </w:rPr>
      </w:pPr>
      <w:r w:rsidRPr="00C81A8B">
        <w:rPr>
          <w:rStyle w:val="FootnoteReference"/>
        </w:rPr>
        <w:footnoteRef/>
      </w:r>
      <w:r w:rsidRPr="00C81A8B">
        <w:t xml:space="preserve"> TopSchools (2018), </w:t>
      </w:r>
      <w:r w:rsidRPr="00C81A8B">
        <w:rPr>
          <w:i/>
          <w:iCs/>
        </w:rPr>
        <w:t>China International Schools Map 2018</w:t>
      </w:r>
      <w:r w:rsidRPr="00C81A8B">
        <w:t>, available at</w:t>
      </w:r>
      <w:r w:rsidRPr="00C81A8B">
        <w:rPr>
          <w:i/>
        </w:rPr>
        <w:t xml:space="preserve"> </w:t>
      </w:r>
      <w:hyperlink r:id="rId42" w:history="1">
        <w:r w:rsidRPr="00C81A8B">
          <w:rPr>
            <w:rStyle w:val="Hyperlink"/>
            <w:i/>
          </w:rPr>
          <w:t>http://www.topschools.cn/research-details?_l=en&amp;product_id=831</w:t>
        </w:r>
      </w:hyperlink>
      <w:r w:rsidRPr="00C81A8B">
        <w:rPr>
          <w:i/>
        </w:rPr>
        <w:t xml:space="preserve">. </w:t>
      </w:r>
    </w:p>
  </w:footnote>
  <w:footnote w:id="48">
    <w:p w14:paraId="6B4FDF12" w14:textId="77777777" w:rsidR="0050718B" w:rsidRPr="00C81A8B" w:rsidRDefault="0050718B" w:rsidP="009C3AD4">
      <w:pPr>
        <w:pStyle w:val="FootnoteText"/>
      </w:pPr>
      <w:r w:rsidRPr="00C81A8B">
        <w:rPr>
          <w:rStyle w:val="FootnoteReference"/>
        </w:rPr>
        <w:footnoteRef/>
      </w:r>
      <w:r w:rsidRPr="00C81A8B">
        <w:t xml:space="preserve"> HM Government (2019), </w:t>
      </w:r>
      <w:r w:rsidRPr="00C81A8B">
        <w:rPr>
          <w:i/>
        </w:rPr>
        <w:t>International education strategy: Global potential, global growth</w:t>
      </w:r>
      <w:r w:rsidRPr="00C81A8B">
        <w:t xml:space="preserve">, available at </w:t>
      </w:r>
      <w:hyperlink r:id="rId43" w:history="1">
        <w:r w:rsidRPr="00C81A8B">
          <w:rPr>
            <w:rStyle w:val="Hyperlink"/>
          </w:rPr>
          <w:t>https://assets.publishing.service.gov.uk/government/uploads/system/uploads/attachment_data/file/799349/International_Education_Strategy_Accessible.pdf</w:t>
        </w:r>
      </w:hyperlink>
      <w:r w:rsidRPr="00C81A8B">
        <w:t>, p. 24</w:t>
      </w:r>
    </w:p>
  </w:footnote>
  <w:footnote w:id="49">
    <w:p w14:paraId="49377CEF" w14:textId="6EB69E97" w:rsidR="0050718B" w:rsidRPr="00C81A8B" w:rsidRDefault="0050718B" w:rsidP="00253D15">
      <w:pPr>
        <w:pStyle w:val="FootnoteText"/>
      </w:pPr>
      <w:r w:rsidRPr="00C81A8B">
        <w:rPr>
          <w:rStyle w:val="FootnoteReference"/>
        </w:rPr>
        <w:footnoteRef/>
      </w:r>
      <w:r w:rsidRPr="00C81A8B">
        <w:t xml:space="preserve"> Ministry of Education of the People’s Republic of China (2017), ‘First China-US Social and People-to-People Dialogue held in Washington’, available at </w:t>
      </w:r>
      <w:hyperlink r:id="rId44" w:history="1">
        <w:r w:rsidRPr="00C81A8B">
          <w:rPr>
            <w:rStyle w:val="Hyperlink"/>
          </w:rPr>
          <w:t>http://en.moe.gov.cn/News/Top_News/201803/t20180316_330231.html</w:t>
        </w:r>
      </w:hyperlink>
    </w:p>
  </w:footnote>
  <w:footnote w:id="50">
    <w:p w14:paraId="2D011FDC" w14:textId="2E2EA695" w:rsidR="0050718B" w:rsidRPr="00C81A8B" w:rsidRDefault="0050718B" w:rsidP="00253D15">
      <w:pPr>
        <w:pStyle w:val="FootnoteText"/>
      </w:pPr>
      <w:r w:rsidRPr="00C81A8B">
        <w:rPr>
          <w:rStyle w:val="FootnoteReference"/>
        </w:rPr>
        <w:footnoteRef/>
      </w:r>
      <w:r w:rsidRPr="00C81A8B">
        <w:t xml:space="preserve"> C-BERT (2017), ‘Branch campuses’, available at</w:t>
      </w:r>
      <w:r w:rsidRPr="00C81A8B">
        <w:rPr>
          <w:i/>
        </w:rPr>
        <w:t xml:space="preserve"> </w:t>
      </w:r>
      <w:hyperlink r:id="rId45" w:history="1">
        <w:r w:rsidRPr="00C81A8B">
          <w:rPr>
            <w:rStyle w:val="Hyperlink"/>
          </w:rPr>
          <w:t>http://cbert.org/resources-data/branch-campus/</w:t>
        </w:r>
      </w:hyperlink>
      <w:r w:rsidRPr="00C81A8B">
        <w:t>.</w:t>
      </w:r>
    </w:p>
  </w:footnote>
  <w:footnote w:id="51">
    <w:p w14:paraId="2335CE16" w14:textId="77777777" w:rsidR="0050718B" w:rsidRPr="00C81A8B" w:rsidRDefault="0050718B" w:rsidP="0040447A">
      <w:pPr>
        <w:pStyle w:val="FootnoteText"/>
      </w:pPr>
      <w:r w:rsidRPr="00C81A8B">
        <w:t xml:space="preserve"> </w:t>
      </w:r>
      <w:r w:rsidRPr="00C81A8B">
        <w:rPr>
          <w:rStyle w:val="FootnoteReference"/>
        </w:rPr>
        <w:footnoteRef/>
      </w:r>
      <w:r w:rsidRPr="00C81A8B">
        <w:t xml:space="preserve"> US Embassy &amp; Consulates in China, ‘Fulbright Program’, available at </w:t>
      </w:r>
      <w:hyperlink r:id="rId46" w:history="1">
        <w:r w:rsidRPr="00C81A8B">
          <w:rPr>
            <w:rStyle w:val="Hyperlink"/>
          </w:rPr>
          <w:t>https://china.usembassy-china.org.cn/education-culture/academic-exchanges/fulbright-program/</w:t>
        </w:r>
      </w:hyperlink>
      <w:r w:rsidRPr="00C81A8B">
        <w:t xml:space="preserve">. </w:t>
      </w:r>
    </w:p>
  </w:footnote>
  <w:footnote w:id="52">
    <w:p w14:paraId="12D2CBEE" w14:textId="3F028484" w:rsidR="0050718B" w:rsidRPr="00C81A8B" w:rsidRDefault="0050718B" w:rsidP="00253D15">
      <w:pPr>
        <w:pStyle w:val="FootnoteText"/>
      </w:pPr>
      <w:r w:rsidRPr="00C81A8B">
        <w:rPr>
          <w:rStyle w:val="FootnoteReference"/>
        </w:rPr>
        <w:footnoteRef/>
      </w:r>
      <w:r w:rsidRPr="00C81A8B">
        <w:t xml:space="preserve"> See </w:t>
      </w:r>
      <w:hyperlink r:id="rId47" w:history="1">
        <w:r w:rsidRPr="00C81A8B">
          <w:rPr>
            <w:rStyle w:val="Hyperlink"/>
          </w:rPr>
          <w:t>https://100kstrong.org/</w:t>
        </w:r>
      </w:hyperlink>
      <w:r w:rsidRPr="00C81A8B">
        <w:t>.</w:t>
      </w:r>
    </w:p>
  </w:footnote>
  <w:footnote w:id="53">
    <w:p w14:paraId="102695D1" w14:textId="77777777" w:rsidR="0050718B" w:rsidRPr="00C81A8B" w:rsidRDefault="0050718B" w:rsidP="006664C2">
      <w:pPr>
        <w:pStyle w:val="FootnoteText"/>
      </w:pPr>
      <w:r w:rsidRPr="00C81A8B">
        <w:t xml:space="preserve"> </w:t>
      </w:r>
      <w:r w:rsidRPr="00C81A8B">
        <w:rPr>
          <w:rStyle w:val="FootnoteReference"/>
        </w:rPr>
        <w:footnoteRef/>
      </w:r>
      <w:r w:rsidRPr="00C81A8B">
        <w:t xml:space="preserve"> US Embassy &amp; Consulates in China, ‘Fulbright Program’, available at </w:t>
      </w:r>
      <w:hyperlink r:id="rId48" w:history="1">
        <w:r w:rsidRPr="00C81A8B">
          <w:rPr>
            <w:rStyle w:val="Hyperlink"/>
          </w:rPr>
          <w:t>https://china.usembassy-china.org.cn/education-culture/academic-exchanges/fulbright-program/</w:t>
        </w:r>
      </w:hyperlink>
      <w:r w:rsidRPr="00C81A8B">
        <w:t xml:space="preserve">. </w:t>
      </w:r>
    </w:p>
  </w:footnote>
  <w:footnote w:id="54">
    <w:p w14:paraId="45D750B8" w14:textId="06E29049" w:rsidR="0050718B" w:rsidRPr="00C81A8B" w:rsidRDefault="0050718B">
      <w:pPr>
        <w:pStyle w:val="FootnoteText"/>
      </w:pPr>
      <w:r w:rsidRPr="00C81A8B">
        <w:rPr>
          <w:rStyle w:val="FootnoteReference"/>
        </w:rPr>
        <w:footnoteRef/>
      </w:r>
      <w:r w:rsidRPr="00C81A8B">
        <w:t xml:space="preserve"> See </w:t>
      </w:r>
      <w:r w:rsidRPr="00C81A8B">
        <w:rPr>
          <w:i/>
          <w:iCs/>
        </w:rPr>
        <w:t>China International Schools Map 2018.</w:t>
      </w:r>
    </w:p>
  </w:footnote>
  <w:footnote w:id="55">
    <w:p w14:paraId="65D5EA02" w14:textId="7C67CD8F" w:rsidR="0050718B" w:rsidRPr="00C81A8B" w:rsidRDefault="0050718B">
      <w:pPr>
        <w:pStyle w:val="FootnoteText"/>
      </w:pPr>
      <w:r w:rsidRPr="00C81A8B">
        <w:rPr>
          <w:rStyle w:val="FootnoteReference"/>
        </w:rPr>
        <w:footnoteRef/>
      </w:r>
      <w:r w:rsidRPr="00C81A8B">
        <w:t xml:space="preserve"> American Council on Education (2017) ‘Mapping internationalization on US campuses’, available at </w:t>
      </w:r>
      <w:hyperlink r:id="rId49" w:history="1">
        <w:r w:rsidRPr="00C81A8B">
          <w:rPr>
            <w:rStyle w:val="Hyperlink"/>
          </w:rPr>
          <w:t>https://www.acenet.edu/news-room/Documents/Mapping-Internationalization-2017.pdf</w:t>
        </w:r>
      </w:hyperlink>
      <w:r w:rsidRPr="00C81A8B">
        <w:t>.</w:t>
      </w:r>
    </w:p>
  </w:footnote>
  <w:footnote w:id="56">
    <w:p w14:paraId="05053F78" w14:textId="77777777" w:rsidR="0050718B" w:rsidRPr="00C81A8B" w:rsidRDefault="0050718B" w:rsidP="00253D15">
      <w:pPr>
        <w:pStyle w:val="FootnoteText"/>
      </w:pPr>
      <w:r w:rsidRPr="00C81A8B">
        <w:rPr>
          <w:rStyle w:val="FootnoteReference"/>
        </w:rPr>
        <w:footnoteRef/>
      </w:r>
      <w:r w:rsidRPr="00C81A8B">
        <w:t xml:space="preserve"> ICEF Monitor (2019), ‘Canada’s foreign student enrolment took another big jump in 2018’, available at </w:t>
      </w:r>
      <w:hyperlink r:id="rId50" w:history="1">
        <w:r w:rsidRPr="00C81A8B">
          <w:rPr>
            <w:rStyle w:val="Hyperlink"/>
          </w:rPr>
          <w:t>http://monitor.icef.com/2019/02/canadas-foreign-student-enrolment-took-another-big-jump-2018/</w:t>
        </w:r>
      </w:hyperlink>
      <w:r w:rsidRPr="00C81A8B">
        <w:t xml:space="preserve">. </w:t>
      </w:r>
    </w:p>
  </w:footnote>
  <w:footnote w:id="57">
    <w:p w14:paraId="53A59BA9" w14:textId="0E0AE334" w:rsidR="0050718B" w:rsidRPr="00C81A8B" w:rsidRDefault="0050718B" w:rsidP="00253D15">
      <w:pPr>
        <w:pStyle w:val="FootnoteText"/>
      </w:pPr>
      <w:r w:rsidRPr="00C81A8B">
        <w:rPr>
          <w:rStyle w:val="FootnoteReference"/>
        </w:rPr>
        <w:footnoteRef/>
      </w:r>
      <w:r w:rsidRPr="00C81A8B">
        <w:t xml:space="preserve"> See </w:t>
      </w:r>
      <w:hyperlink r:id="rId51" w:history="1">
        <w:r w:rsidRPr="00C81A8B">
          <w:rPr>
            <w:rStyle w:val="Hyperlink"/>
          </w:rPr>
          <w:t>https://www.tradecommissioner.gc.ca/funding-financement/ciip-pcii/index.aspx?lang=eng</w:t>
        </w:r>
      </w:hyperlink>
      <w:r w:rsidRPr="00C81A8B">
        <w:t>.</w:t>
      </w:r>
    </w:p>
  </w:footnote>
  <w:footnote w:id="58">
    <w:p w14:paraId="3D70E8B0" w14:textId="4469AFF5" w:rsidR="0050718B" w:rsidRPr="00C81A8B" w:rsidRDefault="0050718B">
      <w:pPr>
        <w:pStyle w:val="FootnoteText"/>
      </w:pPr>
      <w:r w:rsidRPr="00C81A8B">
        <w:rPr>
          <w:rStyle w:val="FootnoteReference"/>
        </w:rPr>
        <w:footnoteRef/>
      </w:r>
      <w:r w:rsidRPr="00C81A8B">
        <w:t xml:space="preserve"> See </w:t>
      </w:r>
      <w:r w:rsidRPr="00C81A8B">
        <w:rPr>
          <w:i/>
          <w:iCs/>
        </w:rPr>
        <w:t>China International Schools Map 2018.</w:t>
      </w:r>
    </w:p>
  </w:footnote>
  <w:footnote w:id="59">
    <w:p w14:paraId="13518261" w14:textId="43914927" w:rsidR="0050718B" w:rsidRPr="00C81A8B" w:rsidRDefault="0050718B" w:rsidP="00253D15">
      <w:pPr>
        <w:pStyle w:val="FootnoteText"/>
      </w:pPr>
      <w:r w:rsidRPr="00C81A8B">
        <w:rPr>
          <w:rStyle w:val="FootnoteReference"/>
        </w:rPr>
        <w:footnoteRef/>
      </w:r>
      <w:r w:rsidRPr="00C81A8B">
        <w:t xml:space="preserve"> Canada China Business Council, ‘Education’, available at</w:t>
      </w:r>
      <w:r w:rsidRPr="00C81A8B">
        <w:rPr>
          <w:i/>
        </w:rPr>
        <w:t xml:space="preserve"> </w:t>
      </w:r>
      <w:hyperlink r:id="rId52" w:history="1">
        <w:r w:rsidRPr="00C81A8B">
          <w:rPr>
            <w:rStyle w:val="Hyperlink"/>
          </w:rPr>
          <w:t>https://ccbc.com/research-reports/sector-research/education/</w:t>
        </w:r>
      </w:hyperlink>
      <w:r w:rsidRPr="00C81A8B">
        <w:t>.</w:t>
      </w:r>
    </w:p>
  </w:footnote>
  <w:footnote w:id="60">
    <w:p w14:paraId="6A9C60BA" w14:textId="6F0B60FA" w:rsidR="0050718B" w:rsidRPr="00C81A8B" w:rsidRDefault="0050718B" w:rsidP="00994FF6">
      <w:pPr>
        <w:pStyle w:val="FootnoteText"/>
      </w:pPr>
      <w:r w:rsidRPr="00C81A8B">
        <w:rPr>
          <w:rStyle w:val="FootnoteReference"/>
        </w:rPr>
        <w:footnoteRef/>
      </w:r>
      <w:r w:rsidRPr="00C81A8B">
        <w:t xml:space="preserve"> German Federal Ministry of Education and Research (2015), </w:t>
      </w:r>
      <w:r w:rsidRPr="00C81A8B">
        <w:rPr>
          <w:i/>
        </w:rPr>
        <w:t>China Strategy 2015-20: Strategic framework for cooperation with China in research, science and education</w:t>
      </w:r>
      <w:r w:rsidRPr="00C81A8B">
        <w:t xml:space="preserve">, available at </w:t>
      </w:r>
      <w:hyperlink r:id="rId53" w:history="1">
        <w:r w:rsidRPr="00C81A8B">
          <w:rPr>
            <w:rStyle w:val="Hyperlink"/>
          </w:rPr>
          <w:t>https://www.bmbf.de/upload_filestore/pub/China_Strategy_Longversion.pdf</w:t>
        </w:r>
      </w:hyperlink>
      <w:r w:rsidRPr="00C81A8B">
        <w:rPr>
          <w:rStyle w:val="Hyperlink"/>
          <w:color w:val="auto"/>
          <w:u w:val="none"/>
        </w:rPr>
        <w:t>.</w:t>
      </w:r>
    </w:p>
  </w:footnote>
  <w:footnote w:id="61">
    <w:p w14:paraId="390390DD" w14:textId="466076E1" w:rsidR="0050718B" w:rsidRPr="00C81A8B" w:rsidRDefault="0050718B" w:rsidP="00253D15">
      <w:pPr>
        <w:pStyle w:val="FootnoteText"/>
      </w:pPr>
      <w:r w:rsidRPr="00C81A8B">
        <w:rPr>
          <w:rStyle w:val="FootnoteReference"/>
        </w:rPr>
        <w:footnoteRef/>
      </w:r>
      <w:r w:rsidRPr="00C81A8B">
        <w:t xml:space="preserve"> Ibid, p 17.</w:t>
      </w:r>
    </w:p>
  </w:footnote>
  <w:footnote w:id="62">
    <w:p w14:paraId="58D94F04" w14:textId="15B554A3" w:rsidR="0050718B" w:rsidRPr="00C81A8B" w:rsidRDefault="0050718B" w:rsidP="00253D15">
      <w:pPr>
        <w:pStyle w:val="FootnoteText"/>
      </w:pPr>
      <w:r w:rsidRPr="00C81A8B">
        <w:rPr>
          <w:rStyle w:val="FootnoteReference"/>
        </w:rPr>
        <w:footnoteRef/>
      </w:r>
      <w:r w:rsidRPr="00C81A8B">
        <w:t xml:space="preserve"> More information is available at </w:t>
      </w:r>
      <w:hyperlink r:id="rId54" w:history="1">
        <w:r w:rsidRPr="00C81A8B">
          <w:rPr>
            <w:rStyle w:val="Hyperlink"/>
          </w:rPr>
          <w:t>https://www.plattform-innovation.de/en/</w:t>
        </w:r>
      </w:hyperlink>
      <w:r w:rsidRPr="00C81A8B">
        <w:rPr>
          <w:rStyle w:val="Hyperlink"/>
          <w:color w:val="auto"/>
          <w:u w:val="none"/>
        </w:rPr>
        <w:t>.</w:t>
      </w:r>
    </w:p>
  </w:footnote>
  <w:footnote w:id="63">
    <w:p w14:paraId="13DBDBF1" w14:textId="286CF52C" w:rsidR="0050718B" w:rsidRPr="00C81A8B" w:rsidRDefault="0050718B" w:rsidP="00253D15">
      <w:pPr>
        <w:pStyle w:val="FootnoteText"/>
      </w:pPr>
      <w:r w:rsidRPr="00C81A8B">
        <w:rPr>
          <w:rStyle w:val="FootnoteReference"/>
        </w:rPr>
        <w:footnoteRef/>
      </w:r>
      <w:r w:rsidRPr="00C81A8B">
        <w:t xml:space="preserve"> New Zealand Government (2018), </w:t>
      </w:r>
      <w:r w:rsidRPr="00C81A8B">
        <w:rPr>
          <w:i/>
        </w:rPr>
        <w:t>International education strategy 2018-2030</w:t>
      </w:r>
      <w:r w:rsidRPr="00C81A8B">
        <w:t xml:space="preserve">, available at </w:t>
      </w:r>
      <w:hyperlink r:id="rId55" w:history="1">
        <w:r w:rsidRPr="00C81A8B">
          <w:rPr>
            <w:rStyle w:val="Hyperlink"/>
          </w:rPr>
          <w:t>https://enz.govt.nz/assets/Uploads/International-Education-Strategy-2018-2030.pdf</w:t>
        </w:r>
      </w:hyperlink>
      <w:r w:rsidRPr="00C81A8B">
        <w:t>, p. 11.</w:t>
      </w:r>
    </w:p>
  </w:footnote>
  <w:footnote w:id="64">
    <w:p w14:paraId="749176E0" w14:textId="2A6A1120" w:rsidR="0050718B" w:rsidRPr="00C81A8B" w:rsidRDefault="0050718B" w:rsidP="00253D15">
      <w:pPr>
        <w:pStyle w:val="FootnoteText"/>
      </w:pPr>
      <w:r w:rsidRPr="00C81A8B">
        <w:rPr>
          <w:rStyle w:val="FootnoteReference"/>
        </w:rPr>
        <w:footnoteRef/>
      </w:r>
      <w:r w:rsidRPr="00C81A8B">
        <w:t xml:space="preserve"> New Zealand Education (2018), ‘China and New Zealand discuss vocational collaboration’ available at</w:t>
      </w:r>
      <w:r w:rsidRPr="00C81A8B">
        <w:rPr>
          <w:i/>
        </w:rPr>
        <w:t xml:space="preserve"> </w:t>
      </w:r>
      <w:hyperlink r:id="rId56" w:history="1">
        <w:r w:rsidRPr="00C81A8B">
          <w:rPr>
            <w:rStyle w:val="Hyperlink"/>
          </w:rPr>
          <w:t>https://enz.govt.nz/news-and-research/ed-news/china-and-new-zealand-discuss-vocational-collaboration/</w:t>
        </w:r>
      </w:hyperlink>
      <w:r w:rsidRPr="00C81A8B">
        <w:rPr>
          <w:rStyle w:val="Hyperlink"/>
          <w:color w:val="auto"/>
          <w:u w:val="none"/>
        </w:rPr>
        <w:t>.</w:t>
      </w:r>
    </w:p>
  </w:footnote>
  <w:footnote w:id="65">
    <w:p w14:paraId="19C01A54" w14:textId="20B6C7DD" w:rsidR="0050718B" w:rsidRPr="00C81A8B" w:rsidRDefault="0050718B" w:rsidP="00C254CD">
      <w:pPr>
        <w:pStyle w:val="FootnoteText"/>
      </w:pPr>
      <w:r w:rsidRPr="00C81A8B">
        <w:t>The RUN universities comprise CQUniversity, Southern Cross University, Federation University Australia, University of New England, University of Southern Queensland, University of the Sunshine Coast, and Charles Sturt University.</w:t>
      </w:r>
    </w:p>
  </w:footnote>
  <w:footnote w:id="66">
    <w:p w14:paraId="473B5E52" w14:textId="741D2E4D" w:rsidR="0050718B" w:rsidRPr="00C81A8B" w:rsidRDefault="0050718B" w:rsidP="00B53F0D">
      <w:pPr>
        <w:pStyle w:val="FootnoteText"/>
      </w:pPr>
      <w:r w:rsidRPr="00C81A8B">
        <w:rPr>
          <w:rStyle w:val="FootnoteReference"/>
        </w:rPr>
        <w:footnoteRef/>
      </w:r>
      <w:r w:rsidRPr="00C81A8B">
        <w:t xml:space="preserve"> See </w:t>
      </w:r>
      <w:hyperlink r:id="rId57" w:anchor="Pivot_Table" w:history="1">
        <w:r w:rsidRPr="00C81A8B">
          <w:rPr>
            <w:rStyle w:val="Hyperlink"/>
          </w:rPr>
          <w:t>https://internationaleducation.gov.au/research/International-Student-Data/Pages/InternationalStudentData2018.aspx#Pivot_Table</w:t>
        </w:r>
      </w:hyperlink>
      <w:r w:rsidRPr="00C81A8B">
        <w:t xml:space="preserve">. </w:t>
      </w:r>
      <w:r w:rsidRPr="00C81A8B">
        <w:rPr>
          <w:lang w:val="en-US"/>
        </w:rPr>
        <w:t>The Group of Eight (Go8) comprises Australia’s leading research-intensive universities – the University of Melbourne, the Australian National University, the University of Sydney, the University of Queensland, the University of Western Australia, the University of Adelaide, Monash University and UNSW Sydney.</w:t>
      </w:r>
    </w:p>
  </w:footnote>
  <w:footnote w:id="67">
    <w:p w14:paraId="4B9E5CA9" w14:textId="500410A5" w:rsidR="0050718B" w:rsidRPr="00C81A8B" w:rsidRDefault="0050718B">
      <w:pPr>
        <w:pStyle w:val="FootnoteText"/>
      </w:pPr>
      <w:r w:rsidRPr="00C81A8B">
        <w:rPr>
          <w:rStyle w:val="FootnoteReference"/>
        </w:rPr>
        <w:footnoteRef/>
      </w:r>
      <w:r w:rsidRPr="00C81A8B">
        <w:t xml:space="preserve"> Frank P. Larkins (2018), </w:t>
      </w:r>
      <w:r w:rsidRPr="00C81A8B">
        <w:rPr>
          <w:i/>
        </w:rPr>
        <w:t>International student enrolments in Australia by sector in comparison to higher education</w:t>
      </w:r>
      <w:r w:rsidRPr="00C81A8B">
        <w:t xml:space="preserve">, available at </w:t>
      </w:r>
      <w:hyperlink r:id="rId58" w:history="1">
        <w:r w:rsidRPr="00C81A8B">
          <w:rPr>
            <w:rStyle w:val="Hyperlink"/>
          </w:rPr>
          <w:t>https://melbourne-cshe.unimelb.edu.au/__data/assets/pdf_file/0008/2843450/2018_F-P-Larkins_International-Student-Enrolments-by-Sector.pdf</w:t>
        </w:r>
      </w:hyperlink>
      <w:r w:rsidRPr="00C81A8B">
        <w:t>.</w:t>
      </w:r>
    </w:p>
  </w:footnote>
  <w:footnote w:id="68">
    <w:p w14:paraId="7A05FC09" w14:textId="77777777" w:rsidR="0050718B" w:rsidRPr="00C81A8B" w:rsidRDefault="0050718B" w:rsidP="00DF0E0B">
      <w:pPr>
        <w:pStyle w:val="FootnoteText"/>
      </w:pPr>
      <w:r w:rsidRPr="00C81A8B">
        <w:rPr>
          <w:rStyle w:val="FootnoteReference"/>
        </w:rPr>
        <w:footnoteRef/>
      </w:r>
      <w:r w:rsidRPr="00C81A8B">
        <w:t xml:space="preserve"> Tim Dodd (2019), ‘End of China boom to roil universities’, </w:t>
      </w:r>
      <w:r w:rsidRPr="00C81A8B">
        <w:rPr>
          <w:i/>
        </w:rPr>
        <w:t>The Australian</w:t>
      </w:r>
      <w:r w:rsidRPr="00C81A8B">
        <w:t>, 8 May, p. 30.</w:t>
      </w:r>
    </w:p>
  </w:footnote>
  <w:footnote w:id="69">
    <w:p w14:paraId="4F44B292" w14:textId="120183F1" w:rsidR="0050718B" w:rsidRPr="00C81A8B" w:rsidRDefault="0050718B">
      <w:pPr>
        <w:pStyle w:val="FootnoteText"/>
      </w:pPr>
      <w:r w:rsidRPr="00C81A8B">
        <w:rPr>
          <w:rStyle w:val="FootnoteReference"/>
        </w:rPr>
        <w:footnoteRef/>
      </w:r>
      <w:r w:rsidRPr="00C81A8B">
        <w:t xml:space="preserve"> Audit Office of New South Wales (2019), ‘Universities 2018 audits’, </w:t>
      </w:r>
      <w:hyperlink r:id="rId59" w:history="1">
        <w:r w:rsidRPr="00C81A8B">
          <w:rPr>
            <w:rStyle w:val="Hyperlink"/>
          </w:rPr>
          <w:t>https://www.audit.nsw.gov.au/sites/default/files/pdf-downloads/Final%20report_web%20version_Universities%202018%20audits.pdf</w:t>
        </w:r>
      </w:hyperlink>
      <w:r w:rsidRPr="00C81A8B">
        <w:t>, p. 14.</w:t>
      </w:r>
    </w:p>
  </w:footnote>
  <w:footnote w:id="70">
    <w:p w14:paraId="15559650" w14:textId="3CCBFB2B" w:rsidR="0050718B" w:rsidRPr="00C81A8B" w:rsidRDefault="0050718B" w:rsidP="00B53F0D">
      <w:pPr>
        <w:pStyle w:val="FootnoteText"/>
      </w:pPr>
      <w:r w:rsidRPr="00C81A8B">
        <w:rPr>
          <w:rStyle w:val="FootnoteReference"/>
        </w:rPr>
        <w:footnoteRef/>
      </w:r>
      <w:r w:rsidRPr="00C81A8B">
        <w:t xml:space="preserve"> ‘Sustainable growth in international higher education’.</w:t>
      </w:r>
    </w:p>
  </w:footnote>
  <w:footnote w:id="71">
    <w:p w14:paraId="1AA3DD77" w14:textId="7D7CEDEA" w:rsidR="0050718B" w:rsidRPr="00C81A8B" w:rsidRDefault="0050718B">
      <w:pPr>
        <w:pStyle w:val="FootnoteText"/>
      </w:pPr>
      <w:r w:rsidRPr="00C81A8B">
        <w:rPr>
          <w:rStyle w:val="FootnoteReference"/>
        </w:rPr>
        <w:footnoteRef/>
      </w:r>
      <w:r w:rsidRPr="00C81A8B">
        <w:t xml:space="preserve"> See </w:t>
      </w:r>
      <w:hyperlink r:id="rId60" w:anchor="!/page/0/length/25/locations/AU/sort_by/rank/sort_order/asc/cols/stats" w:history="1">
        <w:r w:rsidRPr="00C81A8B">
          <w:rPr>
            <w:rStyle w:val="Hyperlink"/>
          </w:rPr>
          <w:t>https://www.timeshighereducation.com/world-university-rankings/2019/world-ranking#!/page/0/length/25/locations/AU/sort_by/rank/sort_order/asc/cols/stats</w:t>
        </w:r>
      </w:hyperlink>
      <w:r w:rsidRPr="00C81A8B">
        <w:t xml:space="preserve">. </w:t>
      </w:r>
    </w:p>
  </w:footnote>
  <w:footnote w:id="72">
    <w:p w14:paraId="00A802F9" w14:textId="46628F9F" w:rsidR="0050718B" w:rsidRPr="00C81A8B" w:rsidRDefault="0050718B">
      <w:pPr>
        <w:pStyle w:val="FootnoteText"/>
      </w:pPr>
      <w:r w:rsidRPr="00C81A8B">
        <w:rPr>
          <w:rStyle w:val="FootnoteReference"/>
        </w:rPr>
        <w:footnoteRef/>
      </w:r>
      <w:r w:rsidRPr="00C81A8B">
        <w:t xml:space="preserve"> See </w:t>
      </w:r>
      <w:hyperlink r:id="rId61" w:history="1">
        <w:r w:rsidRPr="00C81A8B">
          <w:rPr>
            <w:rStyle w:val="Hyperlink"/>
          </w:rPr>
          <w:t>https://www.topuniversities.com/university-rankings/world-university-rankings/2019</w:t>
        </w:r>
      </w:hyperlink>
      <w:r w:rsidRPr="00C81A8B">
        <w:t xml:space="preserve">. </w:t>
      </w:r>
    </w:p>
  </w:footnote>
  <w:footnote w:id="73">
    <w:p w14:paraId="7B35073E" w14:textId="205AB97D" w:rsidR="0050718B" w:rsidRPr="00C81A8B" w:rsidRDefault="0050718B">
      <w:pPr>
        <w:pStyle w:val="FootnoteText"/>
      </w:pPr>
      <w:r w:rsidRPr="00C81A8B">
        <w:rPr>
          <w:rStyle w:val="FootnoteReference"/>
        </w:rPr>
        <w:footnoteRef/>
      </w:r>
      <w:r w:rsidRPr="00C81A8B">
        <w:t xml:space="preserve"> </w:t>
      </w:r>
      <w:r w:rsidRPr="00C81A8B">
        <w:rPr>
          <w:lang w:val="en-GB"/>
        </w:rPr>
        <w:t xml:space="preserve">See </w:t>
      </w:r>
      <w:hyperlink r:id="rId62" w:history="1">
        <w:r w:rsidRPr="00C81A8B">
          <w:rPr>
            <w:rStyle w:val="Hyperlink"/>
            <w:iCs/>
            <w:lang w:val="en-GB"/>
          </w:rPr>
          <w:t>https://internationaleducation.gov.au/research/Research-Snapshots/Documents/Location%20of%20International%20Students%20in%202018.pdf</w:t>
        </w:r>
      </w:hyperlink>
      <w:r w:rsidRPr="00C81A8B">
        <w:rPr>
          <w:iCs/>
          <w:lang w:val="en-GB"/>
        </w:rPr>
        <w:t xml:space="preserve">. </w:t>
      </w:r>
    </w:p>
  </w:footnote>
  <w:footnote w:id="74">
    <w:p w14:paraId="3C63E1DD" w14:textId="3BF0F1D7" w:rsidR="0050718B" w:rsidRPr="00C81A8B" w:rsidRDefault="0050718B" w:rsidP="00B53F0D">
      <w:pPr>
        <w:pStyle w:val="FootnoteText"/>
        <w:rPr>
          <w:lang w:val="en-GB"/>
        </w:rPr>
      </w:pPr>
      <w:r w:rsidRPr="00C81A8B">
        <w:rPr>
          <w:rStyle w:val="FootnoteReference"/>
        </w:rPr>
        <w:footnoteRef/>
      </w:r>
      <w:r w:rsidRPr="00C81A8B">
        <w:t xml:space="preserve"> </w:t>
      </w:r>
      <w:r w:rsidRPr="00C81A8B">
        <w:rPr>
          <w:lang w:val="en-GB"/>
        </w:rPr>
        <w:t xml:space="preserve">Deloitte Access Economics (2015), </w:t>
      </w:r>
      <w:r w:rsidRPr="00C81A8B">
        <w:rPr>
          <w:i/>
          <w:iCs/>
          <w:lang w:val="en-GB"/>
        </w:rPr>
        <w:t>The value of international education to Australia</w:t>
      </w:r>
      <w:r w:rsidRPr="00C81A8B">
        <w:rPr>
          <w:lang w:val="en-GB"/>
        </w:rPr>
        <w:t xml:space="preserve">, available at </w:t>
      </w:r>
      <w:hyperlink r:id="rId63" w:history="1">
        <w:r w:rsidRPr="00C81A8B">
          <w:rPr>
            <w:rStyle w:val="Hyperlink"/>
            <w:lang w:val="en-GB"/>
          </w:rPr>
          <w:t>https://internationaleducation.gov.au/research/research-papers/Documents/ValueInternationalEd.pdf</w:t>
        </w:r>
      </w:hyperlink>
      <w:r w:rsidRPr="00C81A8B">
        <w:rPr>
          <w:rStyle w:val="Hyperlink"/>
          <w:color w:val="auto"/>
          <w:u w:val="none"/>
          <w:lang w:val="en-GB"/>
        </w:rPr>
        <w:t>.</w:t>
      </w:r>
    </w:p>
  </w:footnote>
  <w:footnote w:id="75">
    <w:p w14:paraId="691C4659" w14:textId="5D7B4C84" w:rsidR="0050718B" w:rsidRPr="00C81A8B" w:rsidRDefault="0050718B" w:rsidP="001F2809">
      <w:pPr>
        <w:pStyle w:val="FootnoteText"/>
      </w:pPr>
      <w:r w:rsidRPr="00C81A8B">
        <w:rPr>
          <w:rStyle w:val="FootnoteReference"/>
        </w:rPr>
        <w:footnoteRef/>
      </w:r>
      <w:r w:rsidRPr="00C81A8B">
        <w:t xml:space="preserve"> Department of Education (2019), </w:t>
      </w:r>
      <w:r w:rsidRPr="00C81A8B">
        <w:rPr>
          <w:i/>
          <w:lang w:val="en-US"/>
        </w:rPr>
        <w:t>Growing international education in regional Australia</w:t>
      </w:r>
      <w:r w:rsidRPr="00C81A8B">
        <w:rPr>
          <w:lang w:val="en-US"/>
        </w:rPr>
        <w:t xml:space="preserve">, </w:t>
      </w:r>
      <w:r w:rsidRPr="00C81A8B">
        <w:rPr>
          <w:lang w:val="en-GB"/>
        </w:rPr>
        <w:t>available at</w:t>
      </w:r>
      <w:r w:rsidRPr="00C81A8B">
        <w:t xml:space="preserve"> </w:t>
      </w:r>
      <w:hyperlink r:id="rId64" w:history="1">
        <w:r w:rsidRPr="00C81A8B">
          <w:rPr>
            <w:rStyle w:val="Hyperlink"/>
          </w:rPr>
          <w:t>https://internationaleducation.gov.au/News/Latest-News/Pages/Growing-International-Education-in-Regional-Australia.aspx</w:t>
        </w:r>
      </w:hyperlink>
      <w:r w:rsidRPr="00C81A8B">
        <w:t>.</w:t>
      </w:r>
    </w:p>
  </w:footnote>
  <w:footnote w:id="76">
    <w:p w14:paraId="4F66829A" w14:textId="7C77BDAF" w:rsidR="0050718B" w:rsidRPr="00C81A8B" w:rsidRDefault="0050718B" w:rsidP="001372FE">
      <w:pPr>
        <w:pStyle w:val="FootnoteText"/>
      </w:pPr>
      <w:r w:rsidRPr="00C81A8B">
        <w:rPr>
          <w:rStyle w:val="FootnoteReference"/>
        </w:rPr>
        <w:footnoteRef/>
      </w:r>
      <w:r w:rsidRPr="00C81A8B">
        <w:t xml:space="preserve"> In 2019, for example, </w:t>
      </w:r>
      <w:r w:rsidRPr="00C81A8B">
        <w:rPr>
          <w:lang w:val="en"/>
        </w:rPr>
        <w:t xml:space="preserve">the Australian Government established the Destination Australia scholarship program to attract more students – both domestic and international – to study in regional locations. This program will commence in late 2019. </w:t>
      </w:r>
      <w:r w:rsidRPr="00C81A8B">
        <w:t xml:space="preserve">More information is available at </w:t>
      </w:r>
      <w:hyperlink r:id="rId65" w:history="1">
        <w:r w:rsidRPr="00C81A8B">
          <w:rPr>
            <w:rStyle w:val="Hyperlink"/>
          </w:rPr>
          <w:t>https://www.education.gov.au/news/destination-australia-scholarship-program</w:t>
        </w:r>
      </w:hyperlink>
      <w:r w:rsidRPr="00C81A8B">
        <w:t xml:space="preserve">. </w:t>
      </w:r>
    </w:p>
  </w:footnote>
  <w:footnote w:id="77">
    <w:p w14:paraId="750BED4D" w14:textId="3E0FBCAF" w:rsidR="0050718B" w:rsidRDefault="0050718B">
      <w:pPr>
        <w:pStyle w:val="FootnoteText"/>
      </w:pPr>
      <w:r>
        <w:rPr>
          <w:rStyle w:val="FootnoteReference"/>
        </w:rPr>
        <w:footnoteRef/>
      </w:r>
      <w:r>
        <w:t xml:space="preserve"> </w:t>
      </w:r>
      <w:r w:rsidRPr="00AA4D34">
        <w:t>Data sourced from voluntary records b</w:t>
      </w:r>
      <w:r>
        <w:t xml:space="preserve">y education providers in the </w:t>
      </w:r>
      <w:r w:rsidRPr="00AA4D34">
        <w:t>Provider Registration and International Student Management System (PRISMS)</w:t>
      </w:r>
      <w:r>
        <w:t>.</w:t>
      </w:r>
    </w:p>
  </w:footnote>
  <w:footnote w:id="78">
    <w:p w14:paraId="523BE48C" w14:textId="4B777D6D" w:rsidR="0050718B" w:rsidRDefault="0050718B">
      <w:pPr>
        <w:pStyle w:val="FootnoteText"/>
      </w:pPr>
      <w:r>
        <w:rPr>
          <w:rStyle w:val="FootnoteReference"/>
        </w:rPr>
        <w:footnoteRef/>
      </w:r>
      <w:r>
        <w:t xml:space="preserve"> Ibid.</w:t>
      </w:r>
    </w:p>
  </w:footnote>
  <w:footnote w:id="79">
    <w:p w14:paraId="2E910A1F" w14:textId="44E1AFE5" w:rsidR="0050718B" w:rsidRPr="00C81A8B" w:rsidRDefault="0050718B">
      <w:pPr>
        <w:pStyle w:val="FootnoteText"/>
      </w:pPr>
      <w:r w:rsidRPr="00C81A8B">
        <w:rPr>
          <w:rStyle w:val="FootnoteReference"/>
        </w:rPr>
        <w:footnoteRef/>
      </w:r>
      <w:r w:rsidRPr="00C81A8B">
        <w:t xml:space="preserve"> See </w:t>
      </w:r>
      <w:hyperlink r:id="rId66" w:history="1">
        <w:r w:rsidRPr="00C81A8B">
          <w:rPr>
            <w:rStyle w:val="Hyperlink"/>
          </w:rPr>
          <w:t>https://data.gov.au/data/dataset/324aa4f7-46bb-4d56-bc2d-772333a2317e</w:t>
        </w:r>
      </w:hyperlink>
      <w:r w:rsidRPr="00C81A8B">
        <w:rPr>
          <w:rStyle w:val="Hyperlink"/>
        </w:rPr>
        <w:t xml:space="preserve">. </w:t>
      </w:r>
    </w:p>
  </w:footnote>
  <w:footnote w:id="80">
    <w:p w14:paraId="774EDF3A" w14:textId="57044875" w:rsidR="0050718B" w:rsidRPr="00C81A8B" w:rsidRDefault="0050718B" w:rsidP="008A2949">
      <w:pPr>
        <w:pStyle w:val="FootnoteText"/>
      </w:pPr>
      <w:r w:rsidRPr="00C81A8B">
        <w:rPr>
          <w:rStyle w:val="FootnoteReference"/>
        </w:rPr>
        <w:footnoteRef/>
      </w:r>
      <w:r w:rsidRPr="00C81A8B">
        <w:t xml:space="preserve"> ‘Raising the profile in China of Australia’s excellence in the delivery of English language training’. </w:t>
      </w:r>
    </w:p>
  </w:footnote>
  <w:footnote w:id="81">
    <w:p w14:paraId="718701EB" w14:textId="77777777" w:rsidR="0050718B" w:rsidRPr="00C81A8B" w:rsidRDefault="0050718B" w:rsidP="008A2949">
      <w:pPr>
        <w:pStyle w:val="FootnoteText"/>
      </w:pPr>
      <w:r w:rsidRPr="00C81A8B">
        <w:rPr>
          <w:rStyle w:val="FootnoteReference"/>
        </w:rPr>
        <w:footnoteRef/>
      </w:r>
      <w:r w:rsidRPr="00C81A8B">
        <w:t xml:space="preserve"> Austrade (2018), ‘Online education and edtech opportunities in China: A focus on the adult learning sector’, available at </w:t>
      </w:r>
      <w:hyperlink r:id="rId67" w:history="1">
        <w:r w:rsidRPr="00C81A8B">
          <w:rPr>
            <w:rStyle w:val="Hyperlink"/>
          </w:rPr>
          <w:t>https://www.austrade.gov.au/australian/education/news/reports/online-adult-learning-report-2018</w:t>
        </w:r>
      </w:hyperlink>
      <w:r w:rsidRPr="00C81A8B">
        <w:t>, p. 1.</w:t>
      </w:r>
    </w:p>
  </w:footnote>
  <w:footnote w:id="82">
    <w:p w14:paraId="63617E2B" w14:textId="77777777" w:rsidR="0050718B" w:rsidRPr="00C81A8B" w:rsidRDefault="0050718B" w:rsidP="008A2949">
      <w:pPr>
        <w:pStyle w:val="FootnoteText"/>
      </w:pPr>
      <w:r w:rsidRPr="00C81A8B">
        <w:rPr>
          <w:rStyle w:val="FootnoteReference"/>
        </w:rPr>
        <w:footnoteRef/>
      </w:r>
      <w:r w:rsidRPr="00C81A8B">
        <w:t xml:space="preserve"> Ibid, p. 3.</w:t>
      </w:r>
    </w:p>
  </w:footnote>
  <w:footnote w:id="83">
    <w:p w14:paraId="2E3223BE" w14:textId="77777777" w:rsidR="0050718B" w:rsidRPr="00C81A8B" w:rsidRDefault="0050718B" w:rsidP="008A2949">
      <w:pPr>
        <w:pStyle w:val="FootnoteText"/>
      </w:pPr>
      <w:r w:rsidRPr="00C81A8B">
        <w:rPr>
          <w:rStyle w:val="FootnoteReference"/>
        </w:rPr>
        <w:footnoteRef/>
      </w:r>
      <w:r w:rsidRPr="00C81A8B">
        <w:t xml:space="preserve"> </w:t>
      </w:r>
      <w:hyperlink r:id="rId68" w:history="1">
        <w:r w:rsidRPr="00C81A8B">
          <w:rPr>
            <w:rStyle w:val="Hyperlink"/>
          </w:rPr>
          <w:t>http://www.crs.jsj.edu.cn/news/index/3</w:t>
        </w:r>
      </w:hyperlink>
      <w:r w:rsidRPr="00C81A8B">
        <w:t xml:space="preserve">. </w:t>
      </w:r>
    </w:p>
  </w:footnote>
  <w:footnote w:id="84">
    <w:p w14:paraId="54920DFC" w14:textId="77777777" w:rsidR="0050718B" w:rsidRPr="00C81A8B" w:rsidRDefault="0050718B" w:rsidP="008A2949">
      <w:pPr>
        <w:pStyle w:val="FootnoteText"/>
      </w:pPr>
      <w:r w:rsidRPr="00C81A8B">
        <w:rPr>
          <w:rStyle w:val="FootnoteReference"/>
        </w:rPr>
        <w:footnoteRef/>
      </w:r>
      <w:r w:rsidRPr="00C81A8B">
        <w:t xml:space="preserve"> More information is available at </w:t>
      </w:r>
      <w:hyperlink r:id="rId69" w:history="1">
        <w:r w:rsidRPr="00C81A8B">
          <w:rPr>
            <w:rStyle w:val="Hyperlink"/>
          </w:rPr>
          <w:t>https://internationaleducation.gov.au/Regulatory-Information/Pages/National-Code-2018-Factsheets-.aspx</w:t>
        </w:r>
      </w:hyperlink>
      <w:r w:rsidRPr="00C81A8B">
        <w:t xml:space="preserve">. </w:t>
      </w:r>
    </w:p>
  </w:footnote>
  <w:footnote w:id="85">
    <w:p w14:paraId="022F4DD9" w14:textId="5C0F5C2E" w:rsidR="0050718B" w:rsidRPr="00D35904" w:rsidRDefault="0050718B" w:rsidP="008A2949">
      <w:pPr>
        <w:pStyle w:val="FootnoteText"/>
      </w:pPr>
      <w:r w:rsidRPr="00C81A8B">
        <w:rPr>
          <w:rStyle w:val="FootnoteReference"/>
        </w:rPr>
        <w:footnoteRef/>
      </w:r>
      <w:r w:rsidRPr="00C81A8B">
        <w:t xml:space="preserve"> Austrade (2016), </w:t>
      </w:r>
      <w:r w:rsidRPr="00C81A8B">
        <w:rPr>
          <w:i/>
          <w:lang w:val="en-GB"/>
        </w:rPr>
        <w:t>Australian international education 2025 market development roadmap</w:t>
      </w:r>
      <w:r w:rsidRPr="00C81A8B">
        <w:rPr>
          <w:lang w:val="en-GB"/>
        </w:rPr>
        <w:t>,</w:t>
      </w:r>
      <w:r w:rsidRPr="00C81A8B">
        <w:rPr>
          <w:i/>
          <w:lang w:val="en-GB"/>
        </w:rPr>
        <w:t xml:space="preserve"> </w:t>
      </w:r>
      <w:r w:rsidRPr="00C81A8B">
        <w:rPr>
          <w:lang w:val="en-GB"/>
        </w:rPr>
        <w:t xml:space="preserve">available at </w:t>
      </w:r>
      <w:hyperlink r:id="rId70" w:history="1">
        <w:r w:rsidRPr="00C81A8B">
          <w:rPr>
            <w:rStyle w:val="Hyperlink"/>
            <w:lang w:val="en-GB"/>
          </w:rPr>
          <w:t>https://www.austrade.gov.au/Australian/Education/Services/australian-international-education-2025/AIE2025-roadmap</w:t>
        </w:r>
      </w:hyperlink>
      <w:r w:rsidRPr="00C81A8B">
        <w:rPr>
          <w:lang w:val="en-GB"/>
        </w:rPr>
        <w:t>.</w:t>
      </w:r>
      <w:r w:rsidRPr="00D35904">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DB0"/>
    <w:multiLevelType w:val="multilevel"/>
    <w:tmpl w:val="03F0915E"/>
    <w:lvl w:ilvl="0">
      <w:start w:val="1"/>
      <w:numFmt w:val="decimal"/>
      <w:lvlText w:val="%1"/>
      <w:lvlJc w:val="left"/>
      <w:pPr>
        <w:ind w:left="480" w:hanging="480"/>
      </w:pPr>
      <w:rPr>
        <w:rFonts w:hint="default"/>
      </w:rPr>
    </w:lvl>
    <w:lvl w:ilvl="1">
      <w:start w:val="1"/>
      <w:numFmt w:val="decimal"/>
      <w:lvlText w:val="%1.%2"/>
      <w:lvlJc w:val="left"/>
      <w:pPr>
        <w:ind w:left="720" w:hanging="720"/>
      </w:pPr>
      <w:rPr>
        <w:rFonts w:asciiTheme="minorHAnsi" w:hAnsiTheme="minorHAnsi" w:cstheme="minorHAnsi" w:hint="default"/>
        <w:b/>
        <w:color w:val="4472C4" w:themeColor="accent5"/>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F134A6"/>
    <w:multiLevelType w:val="hybridMultilevel"/>
    <w:tmpl w:val="FF5C2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A315E"/>
    <w:multiLevelType w:val="hybridMultilevel"/>
    <w:tmpl w:val="446E8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C561C"/>
    <w:multiLevelType w:val="hybridMultilevel"/>
    <w:tmpl w:val="001EE96E"/>
    <w:lvl w:ilvl="0" w:tplc="4C40C61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57697"/>
    <w:multiLevelType w:val="hybridMultilevel"/>
    <w:tmpl w:val="919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50C4B"/>
    <w:multiLevelType w:val="hybridMultilevel"/>
    <w:tmpl w:val="8E3E4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D0166B"/>
    <w:multiLevelType w:val="hybridMultilevel"/>
    <w:tmpl w:val="C9CE91A0"/>
    <w:lvl w:ilvl="0" w:tplc="EC12FAA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F000007"/>
    <w:multiLevelType w:val="hybridMultilevel"/>
    <w:tmpl w:val="4A7284FF"/>
    <w:lvl w:ilvl="0" w:tplc="C72211C2">
      <w:start w:val="1"/>
      <w:numFmt w:val="bullet"/>
      <w:lvlText w:val="·"/>
      <w:lvlJc w:val="left"/>
      <w:pPr>
        <w:ind w:left="720" w:hanging="360"/>
        <w:jc w:val="both"/>
      </w:pPr>
      <w:rPr>
        <w:rFonts w:ascii="Symbol" w:eastAsia="Symbol" w:hAnsi="Symbol"/>
        <w:w w:val="100"/>
        <w:sz w:val="20"/>
        <w:szCs w:val="20"/>
        <w:shd w:val="clear" w:color="auto" w:fill="auto"/>
      </w:rPr>
    </w:lvl>
    <w:lvl w:ilvl="1" w:tplc="92C4CDAA">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7F460588">
      <w:start w:val="1"/>
      <w:numFmt w:val="bullet"/>
      <w:lvlText w:val="§"/>
      <w:lvlJc w:val="left"/>
      <w:pPr>
        <w:ind w:left="2160" w:hanging="360"/>
        <w:jc w:val="both"/>
      </w:pPr>
      <w:rPr>
        <w:rFonts w:ascii="Wingdings" w:eastAsia="Wingdings" w:hAnsi="Wingdings"/>
        <w:w w:val="100"/>
        <w:sz w:val="20"/>
        <w:szCs w:val="20"/>
        <w:shd w:val="clear" w:color="auto" w:fill="auto"/>
      </w:rPr>
    </w:lvl>
    <w:lvl w:ilvl="3" w:tplc="B11AC026">
      <w:start w:val="1"/>
      <w:numFmt w:val="bullet"/>
      <w:lvlText w:val="·"/>
      <w:lvlJc w:val="left"/>
      <w:pPr>
        <w:ind w:left="2880" w:hanging="360"/>
        <w:jc w:val="both"/>
      </w:pPr>
      <w:rPr>
        <w:rFonts w:ascii="Symbol" w:eastAsia="Symbol" w:hAnsi="Symbol"/>
        <w:w w:val="100"/>
        <w:sz w:val="20"/>
        <w:szCs w:val="20"/>
        <w:shd w:val="clear" w:color="auto" w:fill="auto"/>
      </w:rPr>
    </w:lvl>
    <w:lvl w:ilvl="4" w:tplc="F9E2113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3578BA5E">
      <w:start w:val="1"/>
      <w:numFmt w:val="bullet"/>
      <w:lvlText w:val="§"/>
      <w:lvlJc w:val="left"/>
      <w:pPr>
        <w:ind w:left="4320" w:hanging="360"/>
        <w:jc w:val="both"/>
      </w:pPr>
      <w:rPr>
        <w:rFonts w:ascii="Wingdings" w:eastAsia="Wingdings" w:hAnsi="Wingdings"/>
        <w:w w:val="100"/>
        <w:sz w:val="20"/>
        <w:szCs w:val="20"/>
        <w:shd w:val="clear" w:color="auto" w:fill="auto"/>
      </w:rPr>
    </w:lvl>
    <w:lvl w:ilvl="6" w:tplc="42A08630">
      <w:start w:val="1"/>
      <w:numFmt w:val="bullet"/>
      <w:lvlText w:val="·"/>
      <w:lvlJc w:val="left"/>
      <w:pPr>
        <w:ind w:left="5040" w:hanging="360"/>
        <w:jc w:val="both"/>
      </w:pPr>
      <w:rPr>
        <w:rFonts w:ascii="Symbol" w:eastAsia="Symbol" w:hAnsi="Symbol"/>
        <w:w w:val="100"/>
        <w:sz w:val="20"/>
        <w:szCs w:val="20"/>
        <w:shd w:val="clear" w:color="auto" w:fill="auto"/>
      </w:rPr>
    </w:lvl>
    <w:lvl w:ilvl="7" w:tplc="7214D63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3BDA96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8" w15:restartNumberingAfterBreak="0">
    <w:nsid w:val="2F000028"/>
    <w:multiLevelType w:val="hybridMultilevel"/>
    <w:tmpl w:val="749E60E8"/>
    <w:lvl w:ilvl="0" w:tplc="F8FC9896">
      <w:start w:val="1"/>
      <w:numFmt w:val="decimal"/>
      <w:lvlText w:val="%1."/>
      <w:lvlJc w:val="left"/>
      <w:pPr>
        <w:ind w:left="720" w:hanging="360"/>
        <w:jc w:val="both"/>
      </w:pPr>
      <w:rPr>
        <w:w w:val="100"/>
        <w:sz w:val="24"/>
        <w:szCs w:val="20"/>
        <w:shd w:val="clear" w:color="auto" w:fill="auto"/>
      </w:rPr>
    </w:lvl>
    <w:lvl w:ilvl="1" w:tplc="DA58FA1E">
      <w:start w:val="1"/>
      <w:numFmt w:val="lowerLetter"/>
      <w:lvlText w:val="%2."/>
      <w:lvlJc w:val="left"/>
      <w:pPr>
        <w:ind w:left="1440" w:hanging="360"/>
        <w:jc w:val="both"/>
      </w:pPr>
    </w:lvl>
    <w:lvl w:ilvl="2" w:tplc="063EE8E2">
      <w:start w:val="1"/>
      <w:numFmt w:val="lowerRoman"/>
      <w:lvlText w:val="%3."/>
      <w:lvlJc w:val="right"/>
      <w:pPr>
        <w:ind w:left="2160" w:hanging="180"/>
        <w:jc w:val="both"/>
      </w:pPr>
    </w:lvl>
    <w:lvl w:ilvl="3" w:tplc="E3BE77F4">
      <w:start w:val="1"/>
      <w:numFmt w:val="decimal"/>
      <w:lvlText w:val="%4."/>
      <w:lvlJc w:val="left"/>
      <w:pPr>
        <w:ind w:left="2880" w:hanging="360"/>
        <w:jc w:val="both"/>
      </w:pPr>
    </w:lvl>
    <w:lvl w:ilvl="4" w:tplc="708E5786">
      <w:start w:val="1"/>
      <w:numFmt w:val="lowerLetter"/>
      <w:lvlText w:val="%5."/>
      <w:lvlJc w:val="left"/>
      <w:pPr>
        <w:ind w:left="3600" w:hanging="360"/>
        <w:jc w:val="both"/>
      </w:pPr>
    </w:lvl>
    <w:lvl w:ilvl="5" w:tplc="3E522F68">
      <w:start w:val="1"/>
      <w:numFmt w:val="lowerRoman"/>
      <w:lvlText w:val="%6."/>
      <w:lvlJc w:val="right"/>
      <w:pPr>
        <w:ind w:left="4320" w:hanging="180"/>
        <w:jc w:val="both"/>
      </w:pPr>
    </w:lvl>
    <w:lvl w:ilvl="6" w:tplc="166CA0A8">
      <w:start w:val="1"/>
      <w:numFmt w:val="decimal"/>
      <w:lvlText w:val="%7."/>
      <w:lvlJc w:val="left"/>
      <w:pPr>
        <w:ind w:left="5040" w:hanging="360"/>
        <w:jc w:val="both"/>
      </w:pPr>
    </w:lvl>
    <w:lvl w:ilvl="7" w:tplc="B3AA1B44">
      <w:start w:val="1"/>
      <w:numFmt w:val="lowerLetter"/>
      <w:lvlText w:val="%8."/>
      <w:lvlJc w:val="left"/>
      <w:pPr>
        <w:ind w:left="5760" w:hanging="360"/>
        <w:jc w:val="both"/>
      </w:pPr>
    </w:lvl>
    <w:lvl w:ilvl="8" w:tplc="6D222118">
      <w:start w:val="1"/>
      <w:numFmt w:val="lowerRoman"/>
      <w:lvlText w:val="%9."/>
      <w:lvlJc w:val="right"/>
      <w:pPr>
        <w:ind w:left="6480" w:hanging="180"/>
        <w:jc w:val="both"/>
      </w:pPr>
    </w:lvl>
  </w:abstractNum>
  <w:abstractNum w:abstractNumId="9" w15:restartNumberingAfterBreak="0">
    <w:nsid w:val="32970D2B"/>
    <w:multiLevelType w:val="hybridMultilevel"/>
    <w:tmpl w:val="9B628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3994"/>
    <w:multiLevelType w:val="hybridMultilevel"/>
    <w:tmpl w:val="6B22906C"/>
    <w:lvl w:ilvl="0" w:tplc="B97EB1B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032AB5"/>
    <w:multiLevelType w:val="hybridMultilevel"/>
    <w:tmpl w:val="4550A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6F5557"/>
    <w:multiLevelType w:val="multilevel"/>
    <w:tmpl w:val="7018D36E"/>
    <w:lvl w:ilvl="0">
      <w:start w:val="1"/>
      <w:numFmt w:val="decimal"/>
      <w:lvlText w:val="%1."/>
      <w:lvlJc w:val="left"/>
      <w:pPr>
        <w:ind w:left="510" w:hanging="51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3"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cs="Times New Roman" w:hint="default"/>
      </w:rPr>
    </w:lvl>
    <w:lvl w:ilvl="2" w:tplc="3FCCEC2E">
      <w:start w:val="1"/>
      <w:numFmt w:val="bullet"/>
      <w:lvlText w:val="‒"/>
      <w:lvlJc w:val="left"/>
      <w:pPr>
        <w:tabs>
          <w:tab w:val="num" w:pos="340"/>
        </w:tabs>
        <w:ind w:left="2041" w:hanging="340"/>
      </w:pPr>
      <w:rPr>
        <w:rFonts w:ascii="Calibri" w:hAnsi="Calibri" w:cs="Times New Roman" w:hint="default"/>
      </w:rPr>
    </w:lvl>
    <w:lvl w:ilvl="3" w:tplc="1B2CDE76">
      <w:start w:val="1"/>
      <w:numFmt w:val="bullet"/>
      <w:lvlText w:val="‒"/>
      <w:lvlJc w:val="left"/>
      <w:pPr>
        <w:tabs>
          <w:tab w:val="num" w:pos="340"/>
        </w:tabs>
        <w:ind w:left="2381" w:hanging="340"/>
      </w:pPr>
      <w:rPr>
        <w:rFonts w:ascii="Calibri" w:hAnsi="Calibri" w:cs="Times New Roman" w:hint="default"/>
      </w:rPr>
    </w:lvl>
    <w:lvl w:ilvl="4" w:tplc="EB20ACEC">
      <w:start w:val="1"/>
      <w:numFmt w:val="bullet"/>
      <w:lvlText w:val="‒"/>
      <w:lvlJc w:val="left"/>
      <w:pPr>
        <w:tabs>
          <w:tab w:val="num" w:pos="340"/>
        </w:tabs>
        <w:ind w:left="2722" w:hanging="341"/>
      </w:pPr>
      <w:rPr>
        <w:rFonts w:ascii="Calibri" w:hAnsi="Calibri"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4" w15:restartNumberingAfterBreak="0">
    <w:nsid w:val="566E0AD5"/>
    <w:multiLevelType w:val="hybridMultilevel"/>
    <w:tmpl w:val="6DB65E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73D03A5"/>
    <w:multiLevelType w:val="hybridMultilevel"/>
    <w:tmpl w:val="E738D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84F14B5"/>
    <w:multiLevelType w:val="hybridMultilevel"/>
    <w:tmpl w:val="D7743126"/>
    <w:lvl w:ilvl="0" w:tplc="0C09000F">
      <w:start w:val="1"/>
      <w:numFmt w:val="decimal"/>
      <w:lvlText w:val="%1."/>
      <w:lvlJc w:val="left"/>
      <w:pPr>
        <w:ind w:left="720" w:hanging="360"/>
      </w:pPr>
    </w:lvl>
    <w:lvl w:ilvl="1" w:tplc="1A2A470E">
      <w:start w:val="1"/>
      <w:numFmt w:val="bullet"/>
      <w:lvlText w:val="-"/>
      <w:lvlJc w:val="left"/>
      <w:pPr>
        <w:ind w:left="1440" w:hanging="360"/>
      </w:pPr>
      <w:rPr>
        <w:rFonts w:ascii="Calibri" w:hAnsi="Calibri"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0C579D"/>
    <w:multiLevelType w:val="hybridMultilevel"/>
    <w:tmpl w:val="749E60E8"/>
    <w:lvl w:ilvl="0" w:tplc="F8FC9896">
      <w:start w:val="1"/>
      <w:numFmt w:val="decimal"/>
      <w:lvlText w:val="%1."/>
      <w:lvlJc w:val="left"/>
      <w:pPr>
        <w:ind w:left="720" w:hanging="360"/>
      </w:pPr>
      <w:rPr>
        <w:w w:val="100"/>
        <w:sz w:val="24"/>
        <w:szCs w:val="20"/>
      </w:rPr>
    </w:lvl>
    <w:lvl w:ilvl="1" w:tplc="DA58FA1E">
      <w:start w:val="1"/>
      <w:numFmt w:val="lowerLetter"/>
      <w:lvlText w:val="%2."/>
      <w:lvlJc w:val="left"/>
      <w:pPr>
        <w:ind w:left="1440" w:hanging="360"/>
      </w:pPr>
    </w:lvl>
    <w:lvl w:ilvl="2" w:tplc="063EE8E2">
      <w:start w:val="1"/>
      <w:numFmt w:val="lowerRoman"/>
      <w:lvlText w:val="%3."/>
      <w:lvlJc w:val="right"/>
      <w:pPr>
        <w:ind w:left="2160" w:hanging="180"/>
      </w:pPr>
    </w:lvl>
    <w:lvl w:ilvl="3" w:tplc="E3BE77F4">
      <w:start w:val="1"/>
      <w:numFmt w:val="decimal"/>
      <w:lvlText w:val="%4."/>
      <w:lvlJc w:val="left"/>
      <w:pPr>
        <w:ind w:left="2880" w:hanging="360"/>
      </w:pPr>
    </w:lvl>
    <w:lvl w:ilvl="4" w:tplc="708E5786">
      <w:start w:val="1"/>
      <w:numFmt w:val="lowerLetter"/>
      <w:lvlText w:val="%5."/>
      <w:lvlJc w:val="left"/>
      <w:pPr>
        <w:ind w:left="3600" w:hanging="360"/>
      </w:pPr>
    </w:lvl>
    <w:lvl w:ilvl="5" w:tplc="3E522F68">
      <w:start w:val="1"/>
      <w:numFmt w:val="lowerRoman"/>
      <w:lvlText w:val="%6."/>
      <w:lvlJc w:val="right"/>
      <w:pPr>
        <w:ind w:left="4320" w:hanging="180"/>
      </w:pPr>
    </w:lvl>
    <w:lvl w:ilvl="6" w:tplc="166CA0A8">
      <w:start w:val="1"/>
      <w:numFmt w:val="decimal"/>
      <w:lvlText w:val="%7."/>
      <w:lvlJc w:val="left"/>
      <w:pPr>
        <w:ind w:left="5040" w:hanging="360"/>
      </w:pPr>
    </w:lvl>
    <w:lvl w:ilvl="7" w:tplc="B3AA1B44">
      <w:start w:val="1"/>
      <w:numFmt w:val="lowerLetter"/>
      <w:lvlText w:val="%8."/>
      <w:lvlJc w:val="left"/>
      <w:pPr>
        <w:ind w:left="5760" w:hanging="360"/>
      </w:pPr>
    </w:lvl>
    <w:lvl w:ilvl="8" w:tplc="6D222118">
      <w:start w:val="1"/>
      <w:numFmt w:val="lowerRoman"/>
      <w:lvlText w:val="%9."/>
      <w:lvlJc w:val="right"/>
      <w:pPr>
        <w:ind w:left="6480" w:hanging="180"/>
      </w:pPr>
    </w:lvl>
  </w:abstractNum>
  <w:abstractNum w:abstractNumId="18" w15:restartNumberingAfterBreak="0">
    <w:nsid w:val="73E97C74"/>
    <w:multiLevelType w:val="hybridMultilevel"/>
    <w:tmpl w:val="A656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1"/>
  </w:num>
  <w:num w:numId="5">
    <w:abstractNumId w:val="9"/>
  </w:num>
  <w:num w:numId="6">
    <w:abstractNumId w:val="1"/>
  </w:num>
  <w:num w:numId="7">
    <w:abstractNumId w:val="2"/>
  </w:num>
  <w:num w:numId="8">
    <w:abstractNumId w:val="7"/>
  </w:num>
  <w:num w:numId="9">
    <w:abstractNumId w:val="8"/>
  </w:num>
  <w:num w:numId="10">
    <w:abstractNumId w:val="10"/>
  </w:num>
  <w:num w:numId="11">
    <w:abstractNumId w:val="16"/>
  </w:num>
  <w:num w:numId="12">
    <w:abstractNumId w:val="18"/>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6"/>
  </w:num>
  <w:num w:numId="18">
    <w:abstractNumId w:val="14"/>
  </w:num>
  <w:num w:numId="19">
    <w:abstractNumId w:val="15"/>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8D"/>
    <w:rsid w:val="0000012B"/>
    <w:rsid w:val="000004AE"/>
    <w:rsid w:val="00004CF3"/>
    <w:rsid w:val="00005655"/>
    <w:rsid w:val="00014D86"/>
    <w:rsid w:val="00020F94"/>
    <w:rsid w:val="00021C6A"/>
    <w:rsid w:val="0002265B"/>
    <w:rsid w:val="000256EB"/>
    <w:rsid w:val="00026B03"/>
    <w:rsid w:val="00033BC2"/>
    <w:rsid w:val="000350A1"/>
    <w:rsid w:val="00037871"/>
    <w:rsid w:val="000401B8"/>
    <w:rsid w:val="00040563"/>
    <w:rsid w:val="000406D8"/>
    <w:rsid w:val="00040FED"/>
    <w:rsid w:val="00042EF7"/>
    <w:rsid w:val="00043B43"/>
    <w:rsid w:val="00051EDB"/>
    <w:rsid w:val="000525AA"/>
    <w:rsid w:val="000528F5"/>
    <w:rsid w:val="000534BB"/>
    <w:rsid w:val="0005675E"/>
    <w:rsid w:val="000630A6"/>
    <w:rsid w:val="00065938"/>
    <w:rsid w:val="00067B6C"/>
    <w:rsid w:val="000711E4"/>
    <w:rsid w:val="00081B44"/>
    <w:rsid w:val="000824A6"/>
    <w:rsid w:val="00082506"/>
    <w:rsid w:val="000829FD"/>
    <w:rsid w:val="00082EF8"/>
    <w:rsid w:val="000859FA"/>
    <w:rsid w:val="00086090"/>
    <w:rsid w:val="00092877"/>
    <w:rsid w:val="00093436"/>
    <w:rsid w:val="000950B9"/>
    <w:rsid w:val="00095E7D"/>
    <w:rsid w:val="000A1694"/>
    <w:rsid w:val="000A3DD7"/>
    <w:rsid w:val="000A75C1"/>
    <w:rsid w:val="000B0AF4"/>
    <w:rsid w:val="000B1141"/>
    <w:rsid w:val="000B1A1A"/>
    <w:rsid w:val="000B2CBE"/>
    <w:rsid w:val="000B4632"/>
    <w:rsid w:val="000B5400"/>
    <w:rsid w:val="000B7B49"/>
    <w:rsid w:val="000C2795"/>
    <w:rsid w:val="000C30C0"/>
    <w:rsid w:val="000C471D"/>
    <w:rsid w:val="000C53C8"/>
    <w:rsid w:val="000D01B4"/>
    <w:rsid w:val="000D2D56"/>
    <w:rsid w:val="000D7720"/>
    <w:rsid w:val="000E21A6"/>
    <w:rsid w:val="000F0208"/>
    <w:rsid w:val="000F0E43"/>
    <w:rsid w:val="000F17C9"/>
    <w:rsid w:val="000F3B18"/>
    <w:rsid w:val="000F5038"/>
    <w:rsid w:val="00101C35"/>
    <w:rsid w:val="001031BE"/>
    <w:rsid w:val="00107547"/>
    <w:rsid w:val="00110135"/>
    <w:rsid w:val="001126D1"/>
    <w:rsid w:val="001175CA"/>
    <w:rsid w:val="0013181A"/>
    <w:rsid w:val="001372FE"/>
    <w:rsid w:val="00142842"/>
    <w:rsid w:val="00145FC9"/>
    <w:rsid w:val="00152B64"/>
    <w:rsid w:val="00157897"/>
    <w:rsid w:val="00161BAC"/>
    <w:rsid w:val="00162BA3"/>
    <w:rsid w:val="0016549A"/>
    <w:rsid w:val="00166199"/>
    <w:rsid w:val="0016723D"/>
    <w:rsid w:val="00167518"/>
    <w:rsid w:val="001754CF"/>
    <w:rsid w:val="00177613"/>
    <w:rsid w:val="00177909"/>
    <w:rsid w:val="00182A90"/>
    <w:rsid w:val="00183B1A"/>
    <w:rsid w:val="001852F1"/>
    <w:rsid w:val="001905AF"/>
    <w:rsid w:val="00192DB6"/>
    <w:rsid w:val="00194BFD"/>
    <w:rsid w:val="001B0CCE"/>
    <w:rsid w:val="001B1114"/>
    <w:rsid w:val="001B14B5"/>
    <w:rsid w:val="001B1796"/>
    <w:rsid w:val="001B6BCD"/>
    <w:rsid w:val="001C5CB3"/>
    <w:rsid w:val="001C6ABD"/>
    <w:rsid w:val="001D0865"/>
    <w:rsid w:val="001D18C6"/>
    <w:rsid w:val="001D1E76"/>
    <w:rsid w:val="001D7A20"/>
    <w:rsid w:val="001E0E2A"/>
    <w:rsid w:val="001E4CC7"/>
    <w:rsid w:val="001E60C7"/>
    <w:rsid w:val="001F2809"/>
    <w:rsid w:val="001F3E7F"/>
    <w:rsid w:val="001F6218"/>
    <w:rsid w:val="00201658"/>
    <w:rsid w:val="00201C8D"/>
    <w:rsid w:val="00204100"/>
    <w:rsid w:val="00205532"/>
    <w:rsid w:val="00207CFA"/>
    <w:rsid w:val="0021203D"/>
    <w:rsid w:val="0022051D"/>
    <w:rsid w:val="00222D5A"/>
    <w:rsid w:val="00223464"/>
    <w:rsid w:val="00224B51"/>
    <w:rsid w:val="0022594B"/>
    <w:rsid w:val="0022748F"/>
    <w:rsid w:val="002300D4"/>
    <w:rsid w:val="002304AB"/>
    <w:rsid w:val="00232B01"/>
    <w:rsid w:val="002333A2"/>
    <w:rsid w:val="00233F3C"/>
    <w:rsid w:val="00234A7A"/>
    <w:rsid w:val="0023795A"/>
    <w:rsid w:val="00244602"/>
    <w:rsid w:val="002525A3"/>
    <w:rsid w:val="00253D15"/>
    <w:rsid w:val="00262471"/>
    <w:rsid w:val="002627E0"/>
    <w:rsid w:val="00266074"/>
    <w:rsid w:val="00266852"/>
    <w:rsid w:val="002711F5"/>
    <w:rsid w:val="00273BDD"/>
    <w:rsid w:val="00276450"/>
    <w:rsid w:val="00277227"/>
    <w:rsid w:val="002861F5"/>
    <w:rsid w:val="00287EAE"/>
    <w:rsid w:val="00293847"/>
    <w:rsid w:val="002A6D4F"/>
    <w:rsid w:val="002B1E1B"/>
    <w:rsid w:val="002B6B7E"/>
    <w:rsid w:val="002C4131"/>
    <w:rsid w:val="002C7BA5"/>
    <w:rsid w:val="002D3E11"/>
    <w:rsid w:val="002D63E3"/>
    <w:rsid w:val="002E0457"/>
    <w:rsid w:val="002E04FA"/>
    <w:rsid w:val="002E1A17"/>
    <w:rsid w:val="002E323D"/>
    <w:rsid w:val="002E7917"/>
    <w:rsid w:val="002F442E"/>
    <w:rsid w:val="003020F1"/>
    <w:rsid w:val="0030543C"/>
    <w:rsid w:val="00315242"/>
    <w:rsid w:val="0031553D"/>
    <w:rsid w:val="00316C20"/>
    <w:rsid w:val="00321AAA"/>
    <w:rsid w:val="00323617"/>
    <w:rsid w:val="00326CCA"/>
    <w:rsid w:val="00331A33"/>
    <w:rsid w:val="003338AF"/>
    <w:rsid w:val="003342A6"/>
    <w:rsid w:val="0033534E"/>
    <w:rsid w:val="00336E65"/>
    <w:rsid w:val="00336FEC"/>
    <w:rsid w:val="0033712A"/>
    <w:rsid w:val="00340A7D"/>
    <w:rsid w:val="00342ED0"/>
    <w:rsid w:val="00343D64"/>
    <w:rsid w:val="003448A7"/>
    <w:rsid w:val="00345408"/>
    <w:rsid w:val="00345B6B"/>
    <w:rsid w:val="00345F36"/>
    <w:rsid w:val="00347E70"/>
    <w:rsid w:val="00351559"/>
    <w:rsid w:val="00353DF9"/>
    <w:rsid w:val="00360490"/>
    <w:rsid w:val="00364C01"/>
    <w:rsid w:val="003654A3"/>
    <w:rsid w:val="003700CC"/>
    <w:rsid w:val="00373CF8"/>
    <w:rsid w:val="00373F1E"/>
    <w:rsid w:val="0037484A"/>
    <w:rsid w:val="00380C96"/>
    <w:rsid w:val="00380D81"/>
    <w:rsid w:val="00394879"/>
    <w:rsid w:val="003951E1"/>
    <w:rsid w:val="003A71D7"/>
    <w:rsid w:val="003A7F3D"/>
    <w:rsid w:val="003B1B79"/>
    <w:rsid w:val="003B305B"/>
    <w:rsid w:val="003B308E"/>
    <w:rsid w:val="003C2F11"/>
    <w:rsid w:val="003C5FD3"/>
    <w:rsid w:val="003D229D"/>
    <w:rsid w:val="003D2980"/>
    <w:rsid w:val="003D2997"/>
    <w:rsid w:val="003D2FE8"/>
    <w:rsid w:val="003D3436"/>
    <w:rsid w:val="003D6DAE"/>
    <w:rsid w:val="003E4E5D"/>
    <w:rsid w:val="003E714B"/>
    <w:rsid w:val="003E7E6A"/>
    <w:rsid w:val="003F4136"/>
    <w:rsid w:val="003F4B4C"/>
    <w:rsid w:val="003F5879"/>
    <w:rsid w:val="003F7028"/>
    <w:rsid w:val="003F7FBB"/>
    <w:rsid w:val="0040447A"/>
    <w:rsid w:val="00407E43"/>
    <w:rsid w:val="0041531C"/>
    <w:rsid w:val="00417636"/>
    <w:rsid w:val="004200B5"/>
    <w:rsid w:val="00420E28"/>
    <w:rsid w:val="00423585"/>
    <w:rsid w:val="00424364"/>
    <w:rsid w:val="00427D7C"/>
    <w:rsid w:val="00430348"/>
    <w:rsid w:val="00437E3D"/>
    <w:rsid w:val="004401C2"/>
    <w:rsid w:val="0044385C"/>
    <w:rsid w:val="00443FBB"/>
    <w:rsid w:val="004441B5"/>
    <w:rsid w:val="00451ABB"/>
    <w:rsid w:val="0045393A"/>
    <w:rsid w:val="00454BFF"/>
    <w:rsid w:val="004577B6"/>
    <w:rsid w:val="004579CD"/>
    <w:rsid w:val="00460F1B"/>
    <w:rsid w:val="00467770"/>
    <w:rsid w:val="00470FA9"/>
    <w:rsid w:val="00472AB4"/>
    <w:rsid w:val="00473C70"/>
    <w:rsid w:val="00474598"/>
    <w:rsid w:val="0047786B"/>
    <w:rsid w:val="0048735A"/>
    <w:rsid w:val="0049197B"/>
    <w:rsid w:val="00493770"/>
    <w:rsid w:val="004947FB"/>
    <w:rsid w:val="004A0C1B"/>
    <w:rsid w:val="004A2588"/>
    <w:rsid w:val="004A2F92"/>
    <w:rsid w:val="004A5FE9"/>
    <w:rsid w:val="004B1318"/>
    <w:rsid w:val="004B1C8C"/>
    <w:rsid w:val="004B3CB7"/>
    <w:rsid w:val="004C016E"/>
    <w:rsid w:val="004C1402"/>
    <w:rsid w:val="004C1F52"/>
    <w:rsid w:val="004D455E"/>
    <w:rsid w:val="004D5F0C"/>
    <w:rsid w:val="004D6C23"/>
    <w:rsid w:val="004D7C6B"/>
    <w:rsid w:val="004E0350"/>
    <w:rsid w:val="004E6D89"/>
    <w:rsid w:val="004E72E6"/>
    <w:rsid w:val="004F0EE5"/>
    <w:rsid w:val="004F4C70"/>
    <w:rsid w:val="004F511A"/>
    <w:rsid w:val="00502232"/>
    <w:rsid w:val="0050237F"/>
    <w:rsid w:val="00503CDA"/>
    <w:rsid w:val="005049DD"/>
    <w:rsid w:val="00506FEF"/>
    <w:rsid w:val="0050718B"/>
    <w:rsid w:val="00513170"/>
    <w:rsid w:val="00515308"/>
    <w:rsid w:val="00516D1D"/>
    <w:rsid w:val="0052324A"/>
    <w:rsid w:val="005328E4"/>
    <w:rsid w:val="005337F3"/>
    <w:rsid w:val="005409DB"/>
    <w:rsid w:val="005475F8"/>
    <w:rsid w:val="005536C9"/>
    <w:rsid w:val="005549D0"/>
    <w:rsid w:val="0055602B"/>
    <w:rsid w:val="00561C4F"/>
    <w:rsid w:val="00562E6D"/>
    <w:rsid w:val="005679F5"/>
    <w:rsid w:val="00572226"/>
    <w:rsid w:val="0057351B"/>
    <w:rsid w:val="005756AC"/>
    <w:rsid w:val="00591879"/>
    <w:rsid w:val="00596259"/>
    <w:rsid w:val="005964B0"/>
    <w:rsid w:val="00596AC0"/>
    <w:rsid w:val="00597771"/>
    <w:rsid w:val="005A142D"/>
    <w:rsid w:val="005A1D33"/>
    <w:rsid w:val="005A58E7"/>
    <w:rsid w:val="005A7CB5"/>
    <w:rsid w:val="005B48B8"/>
    <w:rsid w:val="005B6736"/>
    <w:rsid w:val="005C2FFE"/>
    <w:rsid w:val="005C49C9"/>
    <w:rsid w:val="005D113E"/>
    <w:rsid w:val="005D5941"/>
    <w:rsid w:val="005D7EA7"/>
    <w:rsid w:val="005E0239"/>
    <w:rsid w:val="005E41B9"/>
    <w:rsid w:val="005F055C"/>
    <w:rsid w:val="005F07D2"/>
    <w:rsid w:val="005F2EFF"/>
    <w:rsid w:val="005F6AC0"/>
    <w:rsid w:val="006029DE"/>
    <w:rsid w:val="006030F5"/>
    <w:rsid w:val="006208D2"/>
    <w:rsid w:val="00621412"/>
    <w:rsid w:val="006214F6"/>
    <w:rsid w:val="0063034F"/>
    <w:rsid w:val="00630E0C"/>
    <w:rsid w:val="00631D69"/>
    <w:rsid w:val="00632859"/>
    <w:rsid w:val="00634E09"/>
    <w:rsid w:val="006432D5"/>
    <w:rsid w:val="00646DFA"/>
    <w:rsid w:val="0064714F"/>
    <w:rsid w:val="00650A2C"/>
    <w:rsid w:val="006542B3"/>
    <w:rsid w:val="00654679"/>
    <w:rsid w:val="00655717"/>
    <w:rsid w:val="006647FF"/>
    <w:rsid w:val="006664C2"/>
    <w:rsid w:val="00666679"/>
    <w:rsid w:val="006734EB"/>
    <w:rsid w:val="00682362"/>
    <w:rsid w:val="006826C7"/>
    <w:rsid w:val="006829BC"/>
    <w:rsid w:val="00682A46"/>
    <w:rsid w:val="00683338"/>
    <w:rsid w:val="00685657"/>
    <w:rsid w:val="00691704"/>
    <w:rsid w:val="00695A96"/>
    <w:rsid w:val="00696993"/>
    <w:rsid w:val="006A1C6C"/>
    <w:rsid w:val="006A4F6F"/>
    <w:rsid w:val="006A6969"/>
    <w:rsid w:val="006A69E7"/>
    <w:rsid w:val="006A6CB5"/>
    <w:rsid w:val="006A7B26"/>
    <w:rsid w:val="006B019A"/>
    <w:rsid w:val="006B19AB"/>
    <w:rsid w:val="006B2681"/>
    <w:rsid w:val="006B4E18"/>
    <w:rsid w:val="006B6401"/>
    <w:rsid w:val="006B65E9"/>
    <w:rsid w:val="006B68FB"/>
    <w:rsid w:val="006C5782"/>
    <w:rsid w:val="006D0093"/>
    <w:rsid w:val="006D05E3"/>
    <w:rsid w:val="006D0800"/>
    <w:rsid w:val="006D1E62"/>
    <w:rsid w:val="006D52A4"/>
    <w:rsid w:val="006E130F"/>
    <w:rsid w:val="006F0B71"/>
    <w:rsid w:val="006F258E"/>
    <w:rsid w:val="006F299C"/>
    <w:rsid w:val="006F7E20"/>
    <w:rsid w:val="00706F30"/>
    <w:rsid w:val="00707623"/>
    <w:rsid w:val="00711765"/>
    <w:rsid w:val="00716560"/>
    <w:rsid w:val="00716CD3"/>
    <w:rsid w:val="007218C4"/>
    <w:rsid w:val="007219BA"/>
    <w:rsid w:val="00722768"/>
    <w:rsid w:val="007335B3"/>
    <w:rsid w:val="00736525"/>
    <w:rsid w:val="007368D5"/>
    <w:rsid w:val="007375D8"/>
    <w:rsid w:val="00740D43"/>
    <w:rsid w:val="00743C97"/>
    <w:rsid w:val="007477E4"/>
    <w:rsid w:val="007511AD"/>
    <w:rsid w:val="00753643"/>
    <w:rsid w:val="0075494F"/>
    <w:rsid w:val="00755589"/>
    <w:rsid w:val="00756F00"/>
    <w:rsid w:val="00762F74"/>
    <w:rsid w:val="0076773A"/>
    <w:rsid w:val="007701CC"/>
    <w:rsid w:val="0077438D"/>
    <w:rsid w:val="00774A36"/>
    <w:rsid w:val="007853A2"/>
    <w:rsid w:val="00786B8B"/>
    <w:rsid w:val="0079462D"/>
    <w:rsid w:val="007963D7"/>
    <w:rsid w:val="007A0639"/>
    <w:rsid w:val="007A12F3"/>
    <w:rsid w:val="007A21E9"/>
    <w:rsid w:val="007A4D06"/>
    <w:rsid w:val="007A59F2"/>
    <w:rsid w:val="007A667D"/>
    <w:rsid w:val="007A704B"/>
    <w:rsid w:val="007B06B3"/>
    <w:rsid w:val="007B36E3"/>
    <w:rsid w:val="007B3CD4"/>
    <w:rsid w:val="007C10C7"/>
    <w:rsid w:val="007C25C8"/>
    <w:rsid w:val="007C7088"/>
    <w:rsid w:val="007D0E48"/>
    <w:rsid w:val="007D2720"/>
    <w:rsid w:val="007D68F8"/>
    <w:rsid w:val="007E10BA"/>
    <w:rsid w:val="007E18B6"/>
    <w:rsid w:val="007E1C83"/>
    <w:rsid w:val="007F0284"/>
    <w:rsid w:val="00800856"/>
    <w:rsid w:val="00807D96"/>
    <w:rsid w:val="008120E0"/>
    <w:rsid w:val="00813D2D"/>
    <w:rsid w:val="00822890"/>
    <w:rsid w:val="00822BB8"/>
    <w:rsid w:val="00836852"/>
    <w:rsid w:val="00840170"/>
    <w:rsid w:val="00840275"/>
    <w:rsid w:val="00841DA9"/>
    <w:rsid w:val="00846598"/>
    <w:rsid w:val="008466CB"/>
    <w:rsid w:val="0084732F"/>
    <w:rsid w:val="00847847"/>
    <w:rsid w:val="00850548"/>
    <w:rsid w:val="00850B72"/>
    <w:rsid w:val="0085143A"/>
    <w:rsid w:val="00851A7A"/>
    <w:rsid w:val="00855FCF"/>
    <w:rsid w:val="00857214"/>
    <w:rsid w:val="00860059"/>
    <w:rsid w:val="00860C0B"/>
    <w:rsid w:val="00861D79"/>
    <w:rsid w:val="00861F9D"/>
    <w:rsid w:val="00864376"/>
    <w:rsid w:val="00865F38"/>
    <w:rsid w:val="00871A04"/>
    <w:rsid w:val="0087342A"/>
    <w:rsid w:val="0087413D"/>
    <w:rsid w:val="00875CD7"/>
    <w:rsid w:val="008816B6"/>
    <w:rsid w:val="00883266"/>
    <w:rsid w:val="008860D9"/>
    <w:rsid w:val="00887156"/>
    <w:rsid w:val="008871BB"/>
    <w:rsid w:val="00891F2C"/>
    <w:rsid w:val="008947EA"/>
    <w:rsid w:val="00894DC5"/>
    <w:rsid w:val="00896379"/>
    <w:rsid w:val="008A101C"/>
    <w:rsid w:val="008A2949"/>
    <w:rsid w:val="008A7D19"/>
    <w:rsid w:val="008B4210"/>
    <w:rsid w:val="008B43D7"/>
    <w:rsid w:val="008B7D85"/>
    <w:rsid w:val="008B7F50"/>
    <w:rsid w:val="008C1673"/>
    <w:rsid w:val="008C79E0"/>
    <w:rsid w:val="008E1832"/>
    <w:rsid w:val="008E25FE"/>
    <w:rsid w:val="008E5815"/>
    <w:rsid w:val="008E62BA"/>
    <w:rsid w:val="008E65A3"/>
    <w:rsid w:val="008E6951"/>
    <w:rsid w:val="008F0886"/>
    <w:rsid w:val="008F41CA"/>
    <w:rsid w:val="008F6A88"/>
    <w:rsid w:val="0090205A"/>
    <w:rsid w:val="00912533"/>
    <w:rsid w:val="00912B48"/>
    <w:rsid w:val="00921062"/>
    <w:rsid w:val="009242F1"/>
    <w:rsid w:val="0092460C"/>
    <w:rsid w:val="00931120"/>
    <w:rsid w:val="009331A1"/>
    <w:rsid w:val="00933854"/>
    <w:rsid w:val="00934E8A"/>
    <w:rsid w:val="00944B95"/>
    <w:rsid w:val="00954705"/>
    <w:rsid w:val="00956E07"/>
    <w:rsid w:val="00961D8C"/>
    <w:rsid w:val="00963847"/>
    <w:rsid w:val="00965677"/>
    <w:rsid w:val="0097060B"/>
    <w:rsid w:val="00971B24"/>
    <w:rsid w:val="00975BC3"/>
    <w:rsid w:val="00981273"/>
    <w:rsid w:val="00983B86"/>
    <w:rsid w:val="00990B93"/>
    <w:rsid w:val="00991253"/>
    <w:rsid w:val="00994876"/>
    <w:rsid w:val="00994FF6"/>
    <w:rsid w:val="009958AD"/>
    <w:rsid w:val="0099688F"/>
    <w:rsid w:val="009A18C2"/>
    <w:rsid w:val="009A40A0"/>
    <w:rsid w:val="009A780B"/>
    <w:rsid w:val="009B0FC6"/>
    <w:rsid w:val="009B4ADB"/>
    <w:rsid w:val="009B5802"/>
    <w:rsid w:val="009C3AD4"/>
    <w:rsid w:val="009C67C9"/>
    <w:rsid w:val="009C6D93"/>
    <w:rsid w:val="009D776B"/>
    <w:rsid w:val="009E1D8E"/>
    <w:rsid w:val="009E446C"/>
    <w:rsid w:val="009E5598"/>
    <w:rsid w:val="009E74D8"/>
    <w:rsid w:val="009F037C"/>
    <w:rsid w:val="009F0505"/>
    <w:rsid w:val="009F1862"/>
    <w:rsid w:val="009F36CA"/>
    <w:rsid w:val="009F4002"/>
    <w:rsid w:val="00A006C7"/>
    <w:rsid w:val="00A00CB9"/>
    <w:rsid w:val="00A03949"/>
    <w:rsid w:val="00A04FB8"/>
    <w:rsid w:val="00A052FF"/>
    <w:rsid w:val="00A06B2C"/>
    <w:rsid w:val="00A12B1B"/>
    <w:rsid w:val="00A1534B"/>
    <w:rsid w:val="00A1561D"/>
    <w:rsid w:val="00A20EC9"/>
    <w:rsid w:val="00A24597"/>
    <w:rsid w:val="00A24843"/>
    <w:rsid w:val="00A25800"/>
    <w:rsid w:val="00A259F3"/>
    <w:rsid w:val="00A314DA"/>
    <w:rsid w:val="00A35A23"/>
    <w:rsid w:val="00A431B8"/>
    <w:rsid w:val="00A45552"/>
    <w:rsid w:val="00A63692"/>
    <w:rsid w:val="00A64B41"/>
    <w:rsid w:val="00A70FD2"/>
    <w:rsid w:val="00A73235"/>
    <w:rsid w:val="00A76FFF"/>
    <w:rsid w:val="00A80F2A"/>
    <w:rsid w:val="00A81E82"/>
    <w:rsid w:val="00A82E37"/>
    <w:rsid w:val="00A835C9"/>
    <w:rsid w:val="00A8379A"/>
    <w:rsid w:val="00A8505E"/>
    <w:rsid w:val="00A85091"/>
    <w:rsid w:val="00A901A8"/>
    <w:rsid w:val="00A90E44"/>
    <w:rsid w:val="00A92F9E"/>
    <w:rsid w:val="00A95C2D"/>
    <w:rsid w:val="00A95C92"/>
    <w:rsid w:val="00AA0303"/>
    <w:rsid w:val="00AA2D6F"/>
    <w:rsid w:val="00AA4D34"/>
    <w:rsid w:val="00AA776C"/>
    <w:rsid w:val="00AB0BFB"/>
    <w:rsid w:val="00AB1372"/>
    <w:rsid w:val="00AB1E77"/>
    <w:rsid w:val="00AB4CCD"/>
    <w:rsid w:val="00AB6A26"/>
    <w:rsid w:val="00AC5305"/>
    <w:rsid w:val="00AC5AEF"/>
    <w:rsid w:val="00AE1C48"/>
    <w:rsid w:val="00AE7DBE"/>
    <w:rsid w:val="00AF6F6E"/>
    <w:rsid w:val="00AF7AD2"/>
    <w:rsid w:val="00B01429"/>
    <w:rsid w:val="00B01753"/>
    <w:rsid w:val="00B12188"/>
    <w:rsid w:val="00B20F42"/>
    <w:rsid w:val="00B2303D"/>
    <w:rsid w:val="00B25F57"/>
    <w:rsid w:val="00B35482"/>
    <w:rsid w:val="00B40F6A"/>
    <w:rsid w:val="00B444D3"/>
    <w:rsid w:val="00B50C12"/>
    <w:rsid w:val="00B52A22"/>
    <w:rsid w:val="00B53F0D"/>
    <w:rsid w:val="00B56CB4"/>
    <w:rsid w:val="00B64A05"/>
    <w:rsid w:val="00B66389"/>
    <w:rsid w:val="00B72624"/>
    <w:rsid w:val="00B7552F"/>
    <w:rsid w:val="00B75A2E"/>
    <w:rsid w:val="00B772EF"/>
    <w:rsid w:val="00B77590"/>
    <w:rsid w:val="00B807D2"/>
    <w:rsid w:val="00B809C4"/>
    <w:rsid w:val="00B81A4C"/>
    <w:rsid w:val="00B824A7"/>
    <w:rsid w:val="00B86BD2"/>
    <w:rsid w:val="00B87E16"/>
    <w:rsid w:val="00B94DFB"/>
    <w:rsid w:val="00B95323"/>
    <w:rsid w:val="00B960F1"/>
    <w:rsid w:val="00B971A3"/>
    <w:rsid w:val="00BA0331"/>
    <w:rsid w:val="00BA1DAA"/>
    <w:rsid w:val="00BA44E2"/>
    <w:rsid w:val="00BA45D2"/>
    <w:rsid w:val="00BA5DDE"/>
    <w:rsid w:val="00BB4E44"/>
    <w:rsid w:val="00BB5375"/>
    <w:rsid w:val="00BB67FB"/>
    <w:rsid w:val="00BB69E1"/>
    <w:rsid w:val="00BC5CC8"/>
    <w:rsid w:val="00BC6601"/>
    <w:rsid w:val="00BD0F06"/>
    <w:rsid w:val="00BD17F1"/>
    <w:rsid w:val="00BD3306"/>
    <w:rsid w:val="00BD7723"/>
    <w:rsid w:val="00BE24C1"/>
    <w:rsid w:val="00BE4774"/>
    <w:rsid w:val="00BF0631"/>
    <w:rsid w:val="00BF28F4"/>
    <w:rsid w:val="00BF6619"/>
    <w:rsid w:val="00C0221E"/>
    <w:rsid w:val="00C03968"/>
    <w:rsid w:val="00C07A50"/>
    <w:rsid w:val="00C138B8"/>
    <w:rsid w:val="00C155B7"/>
    <w:rsid w:val="00C16ABD"/>
    <w:rsid w:val="00C17CD1"/>
    <w:rsid w:val="00C2078A"/>
    <w:rsid w:val="00C254CD"/>
    <w:rsid w:val="00C26830"/>
    <w:rsid w:val="00C31A87"/>
    <w:rsid w:val="00C46BB0"/>
    <w:rsid w:val="00C47047"/>
    <w:rsid w:val="00C512C5"/>
    <w:rsid w:val="00C51DC3"/>
    <w:rsid w:val="00C61149"/>
    <w:rsid w:val="00C6337D"/>
    <w:rsid w:val="00C6418D"/>
    <w:rsid w:val="00C64909"/>
    <w:rsid w:val="00C65CDB"/>
    <w:rsid w:val="00C67264"/>
    <w:rsid w:val="00C673D4"/>
    <w:rsid w:val="00C7403E"/>
    <w:rsid w:val="00C74F38"/>
    <w:rsid w:val="00C74FA8"/>
    <w:rsid w:val="00C761BD"/>
    <w:rsid w:val="00C76689"/>
    <w:rsid w:val="00C76E6D"/>
    <w:rsid w:val="00C77E3D"/>
    <w:rsid w:val="00C805E5"/>
    <w:rsid w:val="00C81A8B"/>
    <w:rsid w:val="00C81D54"/>
    <w:rsid w:val="00C8290D"/>
    <w:rsid w:val="00C85E8D"/>
    <w:rsid w:val="00C864D8"/>
    <w:rsid w:val="00C867BC"/>
    <w:rsid w:val="00C87D33"/>
    <w:rsid w:val="00C9258E"/>
    <w:rsid w:val="00C94445"/>
    <w:rsid w:val="00C959C2"/>
    <w:rsid w:val="00C97BFC"/>
    <w:rsid w:val="00CA20D4"/>
    <w:rsid w:val="00CA3AFA"/>
    <w:rsid w:val="00CA4553"/>
    <w:rsid w:val="00CA5C31"/>
    <w:rsid w:val="00CA616C"/>
    <w:rsid w:val="00CA6FCE"/>
    <w:rsid w:val="00CB0F23"/>
    <w:rsid w:val="00CB6440"/>
    <w:rsid w:val="00CB7F9E"/>
    <w:rsid w:val="00CC1E96"/>
    <w:rsid w:val="00CD35A2"/>
    <w:rsid w:val="00CD6F6E"/>
    <w:rsid w:val="00CE03C5"/>
    <w:rsid w:val="00CE2A15"/>
    <w:rsid w:val="00CE3849"/>
    <w:rsid w:val="00CE3D34"/>
    <w:rsid w:val="00CF18E3"/>
    <w:rsid w:val="00CF2571"/>
    <w:rsid w:val="00CF753E"/>
    <w:rsid w:val="00D00190"/>
    <w:rsid w:val="00D01971"/>
    <w:rsid w:val="00D04EA3"/>
    <w:rsid w:val="00D06619"/>
    <w:rsid w:val="00D118FB"/>
    <w:rsid w:val="00D15984"/>
    <w:rsid w:val="00D17E6B"/>
    <w:rsid w:val="00D249D0"/>
    <w:rsid w:val="00D279CE"/>
    <w:rsid w:val="00D33D77"/>
    <w:rsid w:val="00D35904"/>
    <w:rsid w:val="00D35EFA"/>
    <w:rsid w:val="00D4045E"/>
    <w:rsid w:val="00D43F38"/>
    <w:rsid w:val="00D45066"/>
    <w:rsid w:val="00D45192"/>
    <w:rsid w:val="00D5191F"/>
    <w:rsid w:val="00D54079"/>
    <w:rsid w:val="00D5518E"/>
    <w:rsid w:val="00D5772E"/>
    <w:rsid w:val="00D62AD8"/>
    <w:rsid w:val="00D63B88"/>
    <w:rsid w:val="00D6424C"/>
    <w:rsid w:val="00D64375"/>
    <w:rsid w:val="00D659C5"/>
    <w:rsid w:val="00D6706B"/>
    <w:rsid w:val="00D74D88"/>
    <w:rsid w:val="00D76FD0"/>
    <w:rsid w:val="00D81DED"/>
    <w:rsid w:val="00D841FB"/>
    <w:rsid w:val="00D8521F"/>
    <w:rsid w:val="00D86589"/>
    <w:rsid w:val="00D86AB0"/>
    <w:rsid w:val="00D91F1C"/>
    <w:rsid w:val="00D93721"/>
    <w:rsid w:val="00D9562B"/>
    <w:rsid w:val="00D96004"/>
    <w:rsid w:val="00DA6082"/>
    <w:rsid w:val="00DB1068"/>
    <w:rsid w:val="00DB2995"/>
    <w:rsid w:val="00DC38E2"/>
    <w:rsid w:val="00DC3F36"/>
    <w:rsid w:val="00DC5310"/>
    <w:rsid w:val="00DD58B7"/>
    <w:rsid w:val="00DD6BE1"/>
    <w:rsid w:val="00DE1507"/>
    <w:rsid w:val="00DE376F"/>
    <w:rsid w:val="00DE3A2E"/>
    <w:rsid w:val="00DE7B11"/>
    <w:rsid w:val="00DF0E0B"/>
    <w:rsid w:val="00DF20AB"/>
    <w:rsid w:val="00DF5661"/>
    <w:rsid w:val="00DF5F38"/>
    <w:rsid w:val="00E01768"/>
    <w:rsid w:val="00E07642"/>
    <w:rsid w:val="00E169D1"/>
    <w:rsid w:val="00E16E50"/>
    <w:rsid w:val="00E20409"/>
    <w:rsid w:val="00E20502"/>
    <w:rsid w:val="00E24F4D"/>
    <w:rsid w:val="00E274D8"/>
    <w:rsid w:val="00E30232"/>
    <w:rsid w:val="00E30B5C"/>
    <w:rsid w:val="00E35DBD"/>
    <w:rsid w:val="00E44A3C"/>
    <w:rsid w:val="00E44C61"/>
    <w:rsid w:val="00E50096"/>
    <w:rsid w:val="00E51905"/>
    <w:rsid w:val="00E6138A"/>
    <w:rsid w:val="00E627FB"/>
    <w:rsid w:val="00E741CD"/>
    <w:rsid w:val="00E75405"/>
    <w:rsid w:val="00E757D9"/>
    <w:rsid w:val="00E75F2D"/>
    <w:rsid w:val="00E953C0"/>
    <w:rsid w:val="00EA2280"/>
    <w:rsid w:val="00EA3FE1"/>
    <w:rsid w:val="00EA50D0"/>
    <w:rsid w:val="00EA7293"/>
    <w:rsid w:val="00EB1100"/>
    <w:rsid w:val="00EB48E9"/>
    <w:rsid w:val="00EB4AF9"/>
    <w:rsid w:val="00EB638D"/>
    <w:rsid w:val="00EC1439"/>
    <w:rsid w:val="00EC180F"/>
    <w:rsid w:val="00EC32BB"/>
    <w:rsid w:val="00EC3C33"/>
    <w:rsid w:val="00EE28CA"/>
    <w:rsid w:val="00EE5364"/>
    <w:rsid w:val="00EE5CFD"/>
    <w:rsid w:val="00EF4F37"/>
    <w:rsid w:val="00EF67E6"/>
    <w:rsid w:val="00F02D19"/>
    <w:rsid w:val="00F072E1"/>
    <w:rsid w:val="00F07782"/>
    <w:rsid w:val="00F07DA6"/>
    <w:rsid w:val="00F17915"/>
    <w:rsid w:val="00F17AAE"/>
    <w:rsid w:val="00F20873"/>
    <w:rsid w:val="00F21091"/>
    <w:rsid w:val="00F272A1"/>
    <w:rsid w:val="00F3292B"/>
    <w:rsid w:val="00F32B13"/>
    <w:rsid w:val="00F33918"/>
    <w:rsid w:val="00F403A9"/>
    <w:rsid w:val="00F41680"/>
    <w:rsid w:val="00F43DA9"/>
    <w:rsid w:val="00F446C5"/>
    <w:rsid w:val="00F45713"/>
    <w:rsid w:val="00F461EA"/>
    <w:rsid w:val="00F46284"/>
    <w:rsid w:val="00F47125"/>
    <w:rsid w:val="00F5355B"/>
    <w:rsid w:val="00F53C01"/>
    <w:rsid w:val="00F53C73"/>
    <w:rsid w:val="00F55988"/>
    <w:rsid w:val="00F561C6"/>
    <w:rsid w:val="00F608FE"/>
    <w:rsid w:val="00F64C3B"/>
    <w:rsid w:val="00F657C7"/>
    <w:rsid w:val="00F65FDF"/>
    <w:rsid w:val="00F70572"/>
    <w:rsid w:val="00F72CAF"/>
    <w:rsid w:val="00F76F1E"/>
    <w:rsid w:val="00F800CB"/>
    <w:rsid w:val="00F815CE"/>
    <w:rsid w:val="00F835EB"/>
    <w:rsid w:val="00F83A84"/>
    <w:rsid w:val="00F856B2"/>
    <w:rsid w:val="00F910E6"/>
    <w:rsid w:val="00F91440"/>
    <w:rsid w:val="00F939EE"/>
    <w:rsid w:val="00F95242"/>
    <w:rsid w:val="00F95F17"/>
    <w:rsid w:val="00FA1158"/>
    <w:rsid w:val="00FA1348"/>
    <w:rsid w:val="00FA154B"/>
    <w:rsid w:val="00FA29C2"/>
    <w:rsid w:val="00FA37F7"/>
    <w:rsid w:val="00FA3AC1"/>
    <w:rsid w:val="00FA7666"/>
    <w:rsid w:val="00FB23F4"/>
    <w:rsid w:val="00FB7477"/>
    <w:rsid w:val="00FB768A"/>
    <w:rsid w:val="00FD1C4D"/>
    <w:rsid w:val="00FD4B16"/>
    <w:rsid w:val="00FE0E2E"/>
    <w:rsid w:val="00FE2200"/>
    <w:rsid w:val="00FE2931"/>
    <w:rsid w:val="00FE2F5D"/>
    <w:rsid w:val="00FE3789"/>
    <w:rsid w:val="00FE72D2"/>
    <w:rsid w:val="00FF188B"/>
    <w:rsid w:val="00FF2513"/>
    <w:rsid w:val="00FF6ED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8CD68"/>
  <w15:chartTrackingRefBased/>
  <w15:docId w15:val="{6083E742-2BF1-4882-8E31-4DE5AB79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518"/>
    <w:pPr>
      <w:spacing w:after="0" w:line="240" w:lineRule="auto"/>
    </w:pPr>
    <w:rPr>
      <w:rFonts w:ascii="Calibri" w:hAnsi="Calibri" w:cs="Calibri"/>
      <w:lang w:eastAsia="en-US"/>
    </w:rPr>
  </w:style>
  <w:style w:type="paragraph" w:styleId="Heading1">
    <w:name w:val="heading 1"/>
    <w:basedOn w:val="Normal"/>
    <w:next w:val="Normal"/>
    <w:link w:val="Heading1Char"/>
    <w:uiPriority w:val="9"/>
    <w:qFormat/>
    <w:rsid w:val="00F939EE"/>
    <w:pPr>
      <w:keepNext/>
      <w:keepLines/>
      <w:spacing w:before="24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939EE"/>
    <w:pPr>
      <w:keepNext/>
      <w:keepLines/>
      <w:spacing w:before="40"/>
      <w:outlineLvl w:val="1"/>
    </w:pPr>
    <w:rPr>
      <w:rFonts w:asciiTheme="majorHAnsi" w:eastAsiaTheme="majorEastAsia" w:hAnsiTheme="majorHAnsi" w:cstheme="majorBidi"/>
      <w:color w:val="2E74B5" w:themeColor="accent1" w:themeShade="BF"/>
      <w:sz w:val="26"/>
      <w:szCs w:val="26"/>
      <w:lang w:eastAsia="zh-CN"/>
    </w:rPr>
  </w:style>
  <w:style w:type="paragraph" w:styleId="Heading3">
    <w:name w:val="heading 3"/>
    <w:basedOn w:val="Normal"/>
    <w:next w:val="Normal"/>
    <w:link w:val="Heading3Char"/>
    <w:uiPriority w:val="9"/>
    <w:unhideWhenUsed/>
    <w:qFormat/>
    <w:rsid w:val="00F939EE"/>
    <w:pPr>
      <w:keepNext/>
      <w:keepLines/>
      <w:spacing w:before="4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39EE"/>
    <w:pPr>
      <w:keepNext/>
      <w:keepLines/>
      <w:spacing w:before="40"/>
      <w:outlineLvl w:val="3"/>
    </w:pPr>
    <w:rPr>
      <w:rFonts w:asciiTheme="majorHAnsi" w:eastAsiaTheme="majorEastAsia" w:hAnsiTheme="majorHAnsi" w:cstheme="majorBidi"/>
      <w:i/>
      <w:iCs/>
      <w:color w:val="2E74B5"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E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semiHidden/>
    <w:rsid w:val="00F939EE"/>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F939EE"/>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F939EE"/>
    <w:rPr>
      <w:rFonts w:asciiTheme="majorHAnsi" w:eastAsiaTheme="majorEastAsia" w:hAnsiTheme="majorHAnsi" w:cstheme="majorBidi"/>
      <w:i/>
      <w:iCs/>
      <w:color w:val="2E74B5" w:themeColor="accent1" w:themeShade="BF"/>
      <w:lang w:eastAsia="zh-CN"/>
    </w:rPr>
  </w:style>
  <w:style w:type="character" w:styleId="Hyperlink">
    <w:name w:val="Hyperlink"/>
    <w:basedOn w:val="DefaultParagraphFont"/>
    <w:uiPriority w:val="99"/>
    <w:unhideWhenUsed/>
    <w:rsid w:val="00F939EE"/>
    <w:rPr>
      <w:color w:val="0563C1" w:themeColor="hyperlink"/>
      <w:u w:val="single"/>
    </w:rPr>
  </w:style>
  <w:style w:type="character" w:styleId="FollowedHyperlink">
    <w:name w:val="FollowedHyperlink"/>
    <w:basedOn w:val="DefaultParagraphFont"/>
    <w:uiPriority w:val="99"/>
    <w:semiHidden/>
    <w:unhideWhenUsed/>
    <w:rsid w:val="00F939EE"/>
    <w:rPr>
      <w:color w:val="800080"/>
      <w:u w:val="single"/>
    </w:rPr>
  </w:style>
  <w:style w:type="paragraph" w:styleId="HTMLPreformatted">
    <w:name w:val="HTML Preformatted"/>
    <w:basedOn w:val="Normal"/>
    <w:link w:val="HTMLPreformattedChar"/>
    <w:uiPriority w:val="99"/>
    <w:semiHidden/>
    <w:unhideWhenUsed/>
    <w:rsid w:val="00F9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lang w:eastAsia="zh-TW"/>
    </w:rPr>
  </w:style>
  <w:style w:type="character" w:customStyle="1" w:styleId="HTMLPreformattedChar">
    <w:name w:val="HTML Preformatted Char"/>
    <w:basedOn w:val="DefaultParagraphFont"/>
    <w:link w:val="HTMLPreformatted"/>
    <w:uiPriority w:val="99"/>
    <w:semiHidden/>
    <w:rsid w:val="00F939EE"/>
    <w:rPr>
      <w:rFonts w:ascii="Consolas" w:hAnsi="Consolas" w:cs="Consolas"/>
      <w:sz w:val="20"/>
      <w:szCs w:val="20"/>
    </w:rPr>
  </w:style>
  <w:style w:type="paragraph" w:customStyle="1" w:styleId="msonormal0">
    <w:name w:val="msonormal"/>
    <w:basedOn w:val="Normal"/>
    <w:uiPriority w:val="99"/>
    <w:semiHidden/>
    <w:rsid w:val="00F939EE"/>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939EE"/>
    <w:pPr>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939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39EE"/>
    <w:rPr>
      <w:rFonts w:eastAsiaTheme="minorHAnsi"/>
      <w:sz w:val="20"/>
      <w:szCs w:val="20"/>
      <w:lang w:eastAsia="en-US"/>
    </w:rPr>
  </w:style>
  <w:style w:type="paragraph" w:styleId="Footer">
    <w:name w:val="footer"/>
    <w:basedOn w:val="Normal"/>
    <w:link w:val="FooterChar"/>
    <w:uiPriority w:val="99"/>
    <w:unhideWhenUsed/>
    <w:rsid w:val="00F939EE"/>
    <w:pPr>
      <w:tabs>
        <w:tab w:val="center" w:pos="4513"/>
        <w:tab w:val="right" w:pos="9026"/>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F939EE"/>
    <w:rPr>
      <w:rFonts w:ascii="Times New Roman" w:hAnsi="Times New Roman" w:cs="Times New Roman"/>
      <w:sz w:val="24"/>
      <w:szCs w:val="24"/>
      <w:lang w:eastAsia="en-US"/>
    </w:rPr>
  </w:style>
  <w:style w:type="paragraph" w:styleId="Caption">
    <w:name w:val="caption"/>
    <w:basedOn w:val="Normal"/>
    <w:next w:val="Normal"/>
    <w:uiPriority w:val="35"/>
    <w:semiHidden/>
    <w:unhideWhenUsed/>
    <w:qFormat/>
    <w:rsid w:val="00F939EE"/>
    <w:pPr>
      <w:keepNext/>
      <w:tabs>
        <w:tab w:val="left" w:pos="850"/>
        <w:tab w:val="left" w:pos="1191"/>
        <w:tab w:val="left" w:pos="1531"/>
      </w:tabs>
      <w:spacing w:before="240" w:after="240"/>
      <w:ind w:left="680" w:right="680"/>
      <w:jc w:val="center"/>
    </w:pPr>
    <w:rPr>
      <w:rFonts w:ascii="Times New Roman" w:eastAsiaTheme="minorHAnsi" w:hAnsi="Times New Roman" w:cs="Times New Roman"/>
      <w:b/>
      <w:bCs/>
      <w:sz w:val="20"/>
      <w:szCs w:val="20"/>
      <w:lang w:val="en-GB"/>
    </w:rPr>
  </w:style>
  <w:style w:type="paragraph" w:styleId="EndnoteText">
    <w:name w:val="endnote text"/>
    <w:basedOn w:val="Normal"/>
    <w:link w:val="EndnoteTextChar"/>
    <w:semiHidden/>
    <w:unhideWhenUsed/>
    <w:rsid w:val="00F939EE"/>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semiHidden/>
    <w:rsid w:val="00F939EE"/>
    <w:rPr>
      <w:rFonts w:eastAsiaTheme="minorHAnsi"/>
      <w:sz w:val="20"/>
      <w:szCs w:val="20"/>
      <w:lang w:eastAsia="en-US"/>
    </w:rPr>
  </w:style>
  <w:style w:type="paragraph" w:styleId="Title">
    <w:name w:val="Title"/>
    <w:basedOn w:val="Normal"/>
    <w:next w:val="Normal"/>
    <w:link w:val="TitleChar"/>
    <w:uiPriority w:val="10"/>
    <w:qFormat/>
    <w:rsid w:val="00F93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EE"/>
    <w:rPr>
      <w:rFonts w:asciiTheme="majorHAnsi" w:eastAsiaTheme="majorEastAsia" w:hAnsiTheme="majorHAnsi" w:cstheme="majorBidi"/>
      <w:spacing w:val="-10"/>
      <w:kern w:val="28"/>
      <w:sz w:val="56"/>
      <w:szCs w:val="56"/>
      <w:lang w:eastAsia="en-US"/>
    </w:rPr>
  </w:style>
  <w:style w:type="paragraph" w:styleId="PlainText">
    <w:name w:val="Plain Text"/>
    <w:basedOn w:val="Normal"/>
    <w:link w:val="PlainTextChar"/>
    <w:uiPriority w:val="99"/>
    <w:semiHidden/>
    <w:unhideWhenUsed/>
    <w:rsid w:val="00F939EE"/>
    <w:rPr>
      <w:rFonts w:eastAsiaTheme="minorHAnsi" w:cstheme="minorBidi"/>
      <w:szCs w:val="21"/>
    </w:rPr>
  </w:style>
  <w:style w:type="character" w:customStyle="1" w:styleId="PlainTextChar">
    <w:name w:val="Plain Text Char"/>
    <w:basedOn w:val="DefaultParagraphFont"/>
    <w:link w:val="PlainText"/>
    <w:uiPriority w:val="99"/>
    <w:semiHidden/>
    <w:rsid w:val="00F939EE"/>
    <w:rPr>
      <w:rFonts w:ascii="Calibri" w:eastAsiaTheme="minorHAnsi" w:hAnsi="Calibri"/>
      <w:szCs w:val="21"/>
      <w:lang w:eastAsia="en-US"/>
    </w:rPr>
  </w:style>
  <w:style w:type="paragraph" w:styleId="BalloonText">
    <w:name w:val="Balloon Text"/>
    <w:basedOn w:val="Normal"/>
    <w:link w:val="BalloonTextChar"/>
    <w:uiPriority w:val="99"/>
    <w:semiHidden/>
    <w:unhideWhenUsed/>
    <w:rsid w:val="00F939E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939EE"/>
    <w:rPr>
      <w:rFonts w:ascii="Segoe UI" w:eastAsiaTheme="minorHAnsi" w:hAnsi="Segoe UI" w:cs="Segoe UI"/>
      <w:sz w:val="18"/>
      <w:szCs w:val="18"/>
      <w:lang w:eastAsia="en-US"/>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F939EE"/>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Table text"/>
    <w:basedOn w:val="Normal"/>
    <w:link w:val="ListParagraphChar"/>
    <w:uiPriority w:val="34"/>
    <w:qFormat/>
    <w:rsid w:val="00F939EE"/>
    <w:pPr>
      <w:spacing w:after="160" w:line="256" w:lineRule="auto"/>
      <w:ind w:left="720"/>
      <w:contextualSpacing/>
    </w:pPr>
    <w:rPr>
      <w:rFonts w:asciiTheme="minorHAnsi" w:hAnsiTheme="minorHAnsi" w:cstheme="minorBidi"/>
      <w:lang w:eastAsia="zh-TW"/>
    </w:rPr>
  </w:style>
  <w:style w:type="character" w:customStyle="1" w:styleId="BulletChar">
    <w:name w:val="Bullet Char"/>
    <w:basedOn w:val="DefaultParagraphFont"/>
    <w:link w:val="Bullet"/>
    <w:semiHidden/>
    <w:locked/>
    <w:rsid w:val="00F939EE"/>
    <w:rPr>
      <w:rFonts w:asciiTheme="majorHAnsi" w:eastAsia="Times New Roman" w:hAnsiTheme="majorHAnsi" w:cs="Times New Roman"/>
      <w:sz w:val="28"/>
      <w:szCs w:val="28"/>
    </w:rPr>
  </w:style>
  <w:style w:type="paragraph" w:customStyle="1" w:styleId="Bullet">
    <w:name w:val="Bullet"/>
    <w:basedOn w:val="Normal"/>
    <w:link w:val="BulletChar"/>
    <w:semiHidden/>
    <w:qFormat/>
    <w:rsid w:val="00F939EE"/>
    <w:pPr>
      <w:spacing w:after="240"/>
    </w:pPr>
    <w:rPr>
      <w:rFonts w:asciiTheme="majorHAnsi" w:eastAsia="Times New Roman" w:hAnsiTheme="majorHAnsi" w:cs="Times New Roman"/>
      <w:sz w:val="28"/>
      <w:szCs w:val="28"/>
      <w:lang w:eastAsia="zh-TW"/>
    </w:rPr>
  </w:style>
  <w:style w:type="paragraph" w:customStyle="1" w:styleId="about-content">
    <w:name w:val="about-content"/>
    <w:basedOn w:val="Normal"/>
    <w:uiPriority w:val="99"/>
    <w:semiHidden/>
    <w:rsid w:val="00F939EE"/>
    <w:pPr>
      <w:spacing w:before="100" w:beforeAutospacing="1" w:after="120" w:line="300" w:lineRule="atLeast"/>
    </w:pPr>
    <w:rPr>
      <w:rFonts w:ascii="CorporateSBQ" w:eastAsia="Times New Roman" w:hAnsi="CorporateSBQ" w:cs="Times New Roman"/>
      <w:color w:val="575A5D"/>
      <w:sz w:val="24"/>
      <w:szCs w:val="24"/>
      <w:lang w:eastAsia="en-AU"/>
    </w:rPr>
  </w:style>
  <w:style w:type="paragraph" w:customStyle="1" w:styleId="Default">
    <w:name w:val="Default"/>
    <w:uiPriority w:val="99"/>
    <w:semiHidden/>
    <w:rsid w:val="00F939EE"/>
    <w:pPr>
      <w:autoSpaceDE w:val="0"/>
      <w:autoSpaceDN w:val="0"/>
      <w:adjustRightInd w:val="0"/>
      <w:spacing w:after="0" w:line="240" w:lineRule="auto"/>
    </w:pPr>
    <w:rPr>
      <w:rFonts w:ascii="News Gothic Com Black" w:eastAsiaTheme="minorHAnsi" w:hAnsi="News Gothic Com Black" w:cs="News Gothic Com Black"/>
      <w:color w:val="000000"/>
      <w:sz w:val="24"/>
      <w:szCs w:val="24"/>
      <w:lang w:eastAsia="en-US"/>
    </w:rPr>
  </w:style>
  <w:style w:type="paragraph" w:customStyle="1" w:styleId="Sourcenotes">
    <w:name w:val="Source &amp; notes"/>
    <w:basedOn w:val="Normal"/>
    <w:uiPriority w:val="99"/>
    <w:semiHidden/>
    <w:qFormat/>
    <w:rsid w:val="00F939EE"/>
    <w:pPr>
      <w:keepLines/>
      <w:spacing w:before="120" w:after="240"/>
      <w:ind w:left="680" w:right="680"/>
      <w:contextualSpacing/>
      <w:jc w:val="both"/>
    </w:pPr>
    <w:rPr>
      <w:rFonts w:ascii="Times New Roman" w:eastAsia="SimSun" w:hAnsi="Times New Roman" w:cs="Arial"/>
      <w:sz w:val="18"/>
      <w:szCs w:val="18"/>
      <w:lang w:val="en-GB"/>
    </w:rPr>
  </w:style>
  <w:style w:type="character" w:customStyle="1" w:styleId="ParaChar">
    <w:name w:val="Para Char"/>
    <w:basedOn w:val="DefaultParagraphFont"/>
    <w:link w:val="Para"/>
    <w:uiPriority w:val="3"/>
    <w:semiHidden/>
    <w:locked/>
    <w:rsid w:val="00F939EE"/>
    <w:rPr>
      <w:rFonts w:ascii="Times New Roman" w:eastAsia="SimSun" w:hAnsi="Times New Roman" w:cs="Times New Roman"/>
      <w:szCs w:val="20"/>
      <w:lang w:val="en-GB"/>
    </w:rPr>
  </w:style>
  <w:style w:type="paragraph" w:customStyle="1" w:styleId="Para">
    <w:name w:val="Para"/>
    <w:basedOn w:val="Normal"/>
    <w:link w:val="ParaChar"/>
    <w:uiPriority w:val="3"/>
    <w:semiHidden/>
    <w:qFormat/>
    <w:rsid w:val="00F939EE"/>
    <w:pPr>
      <w:spacing w:before="120" w:after="120"/>
      <w:ind w:left="680" w:right="680"/>
      <w:jc w:val="both"/>
    </w:pPr>
    <w:rPr>
      <w:rFonts w:ascii="Times New Roman" w:eastAsia="SimSun" w:hAnsi="Times New Roman" w:cs="Times New Roman"/>
      <w:szCs w:val="20"/>
      <w:lang w:val="en-GB" w:eastAsia="zh-TW"/>
    </w:rPr>
  </w:style>
  <w:style w:type="paragraph" w:customStyle="1" w:styleId="BulletedList">
    <w:name w:val="Bulleted List"/>
    <w:basedOn w:val="ListParagraph"/>
    <w:uiPriority w:val="6"/>
    <w:semiHidden/>
    <w:qFormat/>
    <w:rsid w:val="00F939EE"/>
    <w:pPr>
      <w:numPr>
        <w:numId w:val="1"/>
      </w:numPr>
      <w:spacing w:after="120" w:line="240" w:lineRule="auto"/>
      <w:ind w:right="680"/>
      <w:jc w:val="both"/>
    </w:pPr>
    <w:rPr>
      <w:rFonts w:ascii="Times New Roman" w:eastAsia="SimSun" w:hAnsi="Times New Roman" w:cs="Times New Roman"/>
      <w:szCs w:val="20"/>
      <w:lang w:val="en-GB"/>
    </w:rPr>
  </w:style>
  <w:style w:type="paragraph" w:customStyle="1" w:styleId="TableRow">
    <w:name w:val="Table Row"/>
    <w:basedOn w:val="Normal"/>
    <w:uiPriority w:val="99"/>
    <w:semiHidden/>
    <w:qFormat/>
    <w:rsid w:val="00F939EE"/>
    <w:pPr>
      <w:keepNext/>
      <w:keepLines/>
      <w:tabs>
        <w:tab w:val="left" w:pos="340"/>
        <w:tab w:val="left" w:pos="680"/>
      </w:tabs>
      <w:spacing w:before="20" w:after="20"/>
    </w:pPr>
    <w:rPr>
      <w:rFonts w:ascii="Arial Narrow" w:eastAsia="SimSun" w:hAnsi="Arial Narrow" w:cs="Arial"/>
      <w:sz w:val="17"/>
      <w:szCs w:val="18"/>
      <w:lang w:val="en-GB"/>
    </w:rPr>
  </w:style>
  <w:style w:type="paragraph" w:customStyle="1" w:styleId="TableColumn">
    <w:name w:val="Table Column"/>
    <w:basedOn w:val="TableRow"/>
    <w:uiPriority w:val="99"/>
    <w:semiHidden/>
    <w:qFormat/>
    <w:rsid w:val="00F939EE"/>
    <w:pPr>
      <w:jc w:val="center"/>
    </w:pPr>
  </w:style>
  <w:style w:type="paragraph" w:customStyle="1" w:styleId="Figure">
    <w:name w:val="Figure"/>
    <w:basedOn w:val="Normal"/>
    <w:uiPriority w:val="99"/>
    <w:semiHidden/>
    <w:rsid w:val="00F939EE"/>
    <w:pPr>
      <w:keepNext/>
      <w:keepLines/>
      <w:tabs>
        <w:tab w:val="left" w:pos="850"/>
        <w:tab w:val="left" w:pos="1191"/>
        <w:tab w:val="left" w:pos="1531"/>
      </w:tabs>
      <w:jc w:val="center"/>
    </w:pPr>
    <w:rPr>
      <w:rFonts w:ascii="Times New Roman" w:eastAsiaTheme="minorHAnsi" w:hAnsi="Times New Roman" w:cs="Times New Roman"/>
      <w:noProof/>
      <w:szCs w:val="20"/>
      <w:lang w:val="en-GB" w:eastAsia="ko-KR"/>
    </w:rPr>
  </w:style>
  <w:style w:type="paragraph" w:customStyle="1" w:styleId="ImportantInformation">
    <w:name w:val="Important Information"/>
    <w:basedOn w:val="Para"/>
    <w:uiPriority w:val="99"/>
    <w:semiHidden/>
    <w:rsid w:val="00F939EE"/>
  </w:style>
  <w:style w:type="paragraph" w:customStyle="1" w:styleId="BoxHeading">
    <w:name w:val="Box Heading"/>
    <w:basedOn w:val="Normal"/>
    <w:next w:val="Para"/>
    <w:uiPriority w:val="8"/>
    <w:semiHidden/>
    <w:qFormat/>
    <w:rsid w:val="00F939EE"/>
    <w:pPr>
      <w:keepNext/>
      <w:tabs>
        <w:tab w:val="left" w:pos="850"/>
        <w:tab w:val="left" w:pos="1191"/>
        <w:tab w:val="left" w:pos="1531"/>
      </w:tabs>
      <w:spacing w:before="240" w:after="120"/>
      <w:ind w:left="680" w:right="680"/>
    </w:pPr>
    <w:rPr>
      <w:rFonts w:ascii="Times New Roman" w:eastAsiaTheme="minorHAnsi" w:hAnsi="Times New Roman" w:cs="Times New Roman"/>
      <w:b/>
      <w:sz w:val="20"/>
      <w:szCs w:val="20"/>
      <w:lang w:val="en-GB"/>
    </w:rPr>
  </w:style>
  <w:style w:type="paragraph" w:customStyle="1" w:styleId="ms-rtethemefontface-21">
    <w:name w:val="ms-rtethemefontface-21"/>
    <w:basedOn w:val="Normal"/>
    <w:uiPriority w:val="99"/>
    <w:semiHidden/>
    <w:rsid w:val="00F939E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ight-paragraph">
    <w:name w:val="right-paragraph"/>
    <w:basedOn w:val="Normal"/>
    <w:uiPriority w:val="99"/>
    <w:semiHidden/>
    <w:rsid w:val="00F939E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asicParagraph">
    <w:name w:val="[Basic Paragraph]"/>
    <w:basedOn w:val="Normal"/>
    <w:uiPriority w:val="99"/>
    <w:rsid w:val="00F939EE"/>
    <w:pPr>
      <w:suppressAutoHyphens/>
      <w:autoSpaceDE w:val="0"/>
      <w:autoSpaceDN w:val="0"/>
      <w:adjustRightInd w:val="0"/>
      <w:spacing w:line="288" w:lineRule="auto"/>
    </w:pPr>
    <w:rPr>
      <w:rFonts w:ascii="Minion Pro" w:eastAsiaTheme="minorHAnsi" w:hAnsi="Minion Pro" w:cs="Minion Pro"/>
      <w:color w:val="000000"/>
      <w:sz w:val="24"/>
      <w:szCs w:val="24"/>
      <w:lang w:val="en-US"/>
    </w:rPr>
  </w:style>
  <w:style w:type="character" w:styleId="FootnoteReference">
    <w:name w:val="footnote reference"/>
    <w:basedOn w:val="DefaultParagraphFont"/>
    <w:uiPriority w:val="99"/>
    <w:semiHidden/>
    <w:unhideWhenUsed/>
    <w:rsid w:val="00F939EE"/>
    <w:rPr>
      <w:vertAlign w:val="superscript"/>
    </w:rPr>
  </w:style>
  <w:style w:type="character" w:styleId="EndnoteReference">
    <w:name w:val="endnote reference"/>
    <w:uiPriority w:val="99"/>
    <w:semiHidden/>
    <w:unhideWhenUsed/>
    <w:rsid w:val="00F939EE"/>
    <w:rPr>
      <w:vertAlign w:val="superscript"/>
    </w:rPr>
  </w:style>
  <w:style w:type="character" w:customStyle="1" w:styleId="shorttext">
    <w:name w:val="short_text"/>
    <w:basedOn w:val="DefaultParagraphFont"/>
    <w:rsid w:val="00F939EE"/>
  </w:style>
  <w:style w:type="character" w:customStyle="1" w:styleId="A0">
    <w:name w:val="A0"/>
    <w:uiPriority w:val="99"/>
    <w:rsid w:val="00F939EE"/>
    <w:rPr>
      <w:rFonts w:ascii="News Gothic Com Black" w:hAnsi="News Gothic Com Black" w:cs="News Gothic Com Black" w:hint="default"/>
      <w:b/>
      <w:bCs/>
      <w:color w:val="000000"/>
      <w:sz w:val="48"/>
      <w:szCs w:val="48"/>
    </w:rPr>
  </w:style>
  <w:style w:type="character" w:customStyle="1" w:styleId="A5">
    <w:name w:val="A5"/>
    <w:uiPriority w:val="99"/>
    <w:rsid w:val="00F939EE"/>
    <w:rPr>
      <w:rFonts w:ascii="News Gothic Com Black" w:hAnsi="News Gothic Com Black" w:cs="News Gothic Com Black" w:hint="default"/>
      <w:b/>
      <w:bCs/>
      <w:color w:val="000000"/>
      <w:sz w:val="28"/>
      <w:szCs w:val="28"/>
    </w:rPr>
  </w:style>
  <w:style w:type="character" w:customStyle="1" w:styleId="ms-rtethemefontface-2">
    <w:name w:val="ms-rtethemefontface-2"/>
    <w:basedOn w:val="DefaultParagraphFont"/>
    <w:rsid w:val="00F939EE"/>
  </w:style>
  <w:style w:type="character" w:customStyle="1" w:styleId="ref-lnk">
    <w:name w:val="ref-lnk"/>
    <w:basedOn w:val="DefaultParagraphFont"/>
    <w:rsid w:val="00F939EE"/>
  </w:style>
  <w:style w:type="character" w:customStyle="1" w:styleId="ref-overlay2">
    <w:name w:val="ref-overlay2"/>
    <w:basedOn w:val="DefaultParagraphFont"/>
    <w:rsid w:val="00F939EE"/>
    <w:rPr>
      <w:shd w:val="clear" w:color="auto" w:fill="FFFFFF"/>
    </w:rPr>
  </w:style>
  <w:style w:type="character" w:customStyle="1" w:styleId="hlfld-contribauthor">
    <w:name w:val="hlfld-contribauthor"/>
    <w:basedOn w:val="DefaultParagraphFont"/>
    <w:rsid w:val="00F939EE"/>
  </w:style>
  <w:style w:type="character" w:customStyle="1" w:styleId="nlmarticle-title">
    <w:name w:val="nlm_article-title"/>
    <w:basedOn w:val="DefaultParagraphFont"/>
    <w:rsid w:val="00F939EE"/>
  </w:style>
  <w:style w:type="character" w:customStyle="1" w:styleId="nlmyear">
    <w:name w:val="nlm_year"/>
    <w:basedOn w:val="DefaultParagraphFont"/>
    <w:rsid w:val="00F939EE"/>
  </w:style>
  <w:style w:type="character" w:customStyle="1" w:styleId="ref-links2">
    <w:name w:val="ref-links2"/>
    <w:basedOn w:val="DefaultParagraphFont"/>
    <w:rsid w:val="00F939EE"/>
  </w:style>
  <w:style w:type="table" w:styleId="TableGrid">
    <w:name w:val="Table Grid"/>
    <w:basedOn w:val="TableNormal"/>
    <w:rsid w:val="00F939EE"/>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939EE"/>
    <w:pPr>
      <w:spacing w:after="0" w:line="240" w:lineRule="auto"/>
    </w:pPr>
    <w:rPr>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
    <w:name w:val="Table Grid1"/>
    <w:basedOn w:val="TableNormal"/>
    <w:uiPriority w:val="59"/>
    <w:rsid w:val="00F939EE"/>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939EE"/>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39EE"/>
    <w:rPr>
      <w:i/>
      <w:iCs/>
    </w:rPr>
  </w:style>
  <w:style w:type="character" w:styleId="CommentReference">
    <w:name w:val="annotation reference"/>
    <w:basedOn w:val="DefaultParagraphFont"/>
    <w:semiHidden/>
    <w:unhideWhenUsed/>
    <w:rsid w:val="008E25FE"/>
    <w:rPr>
      <w:sz w:val="16"/>
      <w:szCs w:val="16"/>
    </w:rPr>
  </w:style>
  <w:style w:type="paragraph" w:styleId="CommentText">
    <w:name w:val="annotation text"/>
    <w:basedOn w:val="Normal"/>
    <w:link w:val="CommentTextChar"/>
    <w:semiHidden/>
    <w:unhideWhenUsed/>
    <w:rsid w:val="008E25FE"/>
    <w:rPr>
      <w:sz w:val="20"/>
      <w:szCs w:val="20"/>
    </w:rPr>
  </w:style>
  <w:style w:type="character" w:customStyle="1" w:styleId="CommentTextChar">
    <w:name w:val="Comment Text Char"/>
    <w:basedOn w:val="DefaultParagraphFont"/>
    <w:link w:val="CommentText"/>
    <w:semiHidden/>
    <w:rsid w:val="008E25FE"/>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8E25FE"/>
    <w:rPr>
      <w:b/>
      <w:bCs/>
    </w:rPr>
  </w:style>
  <w:style w:type="character" w:customStyle="1" w:styleId="CommentSubjectChar">
    <w:name w:val="Comment Subject Char"/>
    <w:basedOn w:val="CommentTextChar"/>
    <w:link w:val="CommentSubject"/>
    <w:uiPriority w:val="99"/>
    <w:semiHidden/>
    <w:rsid w:val="008E25FE"/>
    <w:rPr>
      <w:rFonts w:ascii="Calibri" w:hAnsi="Calibri" w:cs="Calibri"/>
      <w:b/>
      <w:bCs/>
      <w:sz w:val="20"/>
      <w:szCs w:val="20"/>
      <w:lang w:eastAsia="en-US"/>
    </w:rPr>
  </w:style>
  <w:style w:type="paragraph" w:styleId="Subtitle">
    <w:name w:val="Subtitle"/>
    <w:basedOn w:val="Normal"/>
    <w:next w:val="Normal"/>
    <w:link w:val="SubtitleChar"/>
    <w:uiPriority w:val="11"/>
    <w:qFormat/>
    <w:rsid w:val="009B0FC6"/>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B0FC6"/>
    <w:rPr>
      <w:color w:val="5A5A5A" w:themeColor="text1" w:themeTint="A5"/>
      <w:spacing w:val="15"/>
      <w:lang w:eastAsia="en-US"/>
    </w:rPr>
  </w:style>
  <w:style w:type="paragraph" w:styleId="Header">
    <w:name w:val="header"/>
    <w:basedOn w:val="Normal"/>
    <w:link w:val="HeaderChar"/>
    <w:uiPriority w:val="99"/>
    <w:unhideWhenUsed/>
    <w:rsid w:val="00C51DC3"/>
    <w:pPr>
      <w:tabs>
        <w:tab w:val="center" w:pos="4513"/>
        <w:tab w:val="right" w:pos="9026"/>
      </w:tabs>
    </w:pPr>
  </w:style>
  <w:style w:type="character" w:customStyle="1" w:styleId="HeaderChar">
    <w:name w:val="Header Char"/>
    <w:basedOn w:val="DefaultParagraphFont"/>
    <w:link w:val="Header"/>
    <w:uiPriority w:val="99"/>
    <w:rsid w:val="00C51DC3"/>
    <w:rPr>
      <w:rFonts w:ascii="Calibri" w:hAnsi="Calibri" w:cs="Calibri"/>
      <w:lang w:eastAsia="en-US"/>
    </w:rPr>
  </w:style>
  <w:style w:type="table" w:styleId="TableGridLight">
    <w:name w:val="Grid Table Light"/>
    <w:basedOn w:val="TableNormal"/>
    <w:uiPriority w:val="40"/>
    <w:rsid w:val="007F02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rsid w:val="00042EF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46">
      <w:bodyDiv w:val="1"/>
      <w:marLeft w:val="0"/>
      <w:marRight w:val="0"/>
      <w:marTop w:val="0"/>
      <w:marBottom w:val="0"/>
      <w:divBdr>
        <w:top w:val="none" w:sz="0" w:space="0" w:color="auto"/>
        <w:left w:val="none" w:sz="0" w:space="0" w:color="auto"/>
        <w:bottom w:val="none" w:sz="0" w:space="0" w:color="auto"/>
        <w:right w:val="none" w:sz="0" w:space="0" w:color="auto"/>
      </w:divBdr>
    </w:div>
    <w:div w:id="63191006">
      <w:bodyDiv w:val="1"/>
      <w:marLeft w:val="0"/>
      <w:marRight w:val="0"/>
      <w:marTop w:val="0"/>
      <w:marBottom w:val="0"/>
      <w:divBdr>
        <w:top w:val="none" w:sz="0" w:space="0" w:color="auto"/>
        <w:left w:val="none" w:sz="0" w:space="0" w:color="auto"/>
        <w:bottom w:val="none" w:sz="0" w:space="0" w:color="auto"/>
        <w:right w:val="none" w:sz="0" w:space="0" w:color="auto"/>
      </w:divBdr>
    </w:div>
    <w:div w:id="255134111">
      <w:bodyDiv w:val="1"/>
      <w:marLeft w:val="0"/>
      <w:marRight w:val="0"/>
      <w:marTop w:val="0"/>
      <w:marBottom w:val="0"/>
      <w:divBdr>
        <w:top w:val="none" w:sz="0" w:space="0" w:color="auto"/>
        <w:left w:val="none" w:sz="0" w:space="0" w:color="auto"/>
        <w:bottom w:val="none" w:sz="0" w:space="0" w:color="auto"/>
        <w:right w:val="none" w:sz="0" w:space="0" w:color="auto"/>
      </w:divBdr>
    </w:div>
    <w:div w:id="264926903">
      <w:bodyDiv w:val="1"/>
      <w:marLeft w:val="0"/>
      <w:marRight w:val="0"/>
      <w:marTop w:val="0"/>
      <w:marBottom w:val="0"/>
      <w:divBdr>
        <w:top w:val="none" w:sz="0" w:space="0" w:color="auto"/>
        <w:left w:val="none" w:sz="0" w:space="0" w:color="auto"/>
        <w:bottom w:val="none" w:sz="0" w:space="0" w:color="auto"/>
        <w:right w:val="none" w:sz="0" w:space="0" w:color="auto"/>
      </w:divBdr>
    </w:div>
    <w:div w:id="467630974">
      <w:bodyDiv w:val="1"/>
      <w:marLeft w:val="0"/>
      <w:marRight w:val="0"/>
      <w:marTop w:val="0"/>
      <w:marBottom w:val="0"/>
      <w:divBdr>
        <w:top w:val="none" w:sz="0" w:space="0" w:color="auto"/>
        <w:left w:val="none" w:sz="0" w:space="0" w:color="auto"/>
        <w:bottom w:val="none" w:sz="0" w:space="0" w:color="auto"/>
        <w:right w:val="none" w:sz="0" w:space="0" w:color="auto"/>
      </w:divBdr>
      <w:divsChild>
        <w:div w:id="1981304298">
          <w:marLeft w:val="0"/>
          <w:marRight w:val="0"/>
          <w:marTop w:val="0"/>
          <w:marBottom w:val="0"/>
          <w:divBdr>
            <w:top w:val="none" w:sz="0" w:space="0" w:color="auto"/>
            <w:left w:val="none" w:sz="0" w:space="0" w:color="auto"/>
            <w:bottom w:val="none" w:sz="0" w:space="0" w:color="auto"/>
            <w:right w:val="none" w:sz="0" w:space="0" w:color="auto"/>
          </w:divBdr>
          <w:divsChild>
            <w:div w:id="118032608">
              <w:marLeft w:val="0"/>
              <w:marRight w:val="0"/>
              <w:marTop w:val="0"/>
              <w:marBottom w:val="0"/>
              <w:divBdr>
                <w:top w:val="none" w:sz="0" w:space="0" w:color="auto"/>
                <w:left w:val="none" w:sz="0" w:space="0" w:color="auto"/>
                <w:bottom w:val="none" w:sz="0" w:space="0" w:color="auto"/>
                <w:right w:val="none" w:sz="0" w:space="0" w:color="auto"/>
              </w:divBdr>
              <w:divsChild>
                <w:div w:id="242565355">
                  <w:marLeft w:val="0"/>
                  <w:marRight w:val="0"/>
                  <w:marTop w:val="0"/>
                  <w:marBottom w:val="0"/>
                  <w:divBdr>
                    <w:top w:val="none" w:sz="0" w:space="0" w:color="auto"/>
                    <w:left w:val="none" w:sz="0" w:space="0" w:color="auto"/>
                    <w:bottom w:val="none" w:sz="0" w:space="0" w:color="auto"/>
                    <w:right w:val="none" w:sz="0" w:space="0" w:color="auto"/>
                  </w:divBdr>
                  <w:divsChild>
                    <w:div w:id="1784811925">
                      <w:marLeft w:val="0"/>
                      <w:marRight w:val="0"/>
                      <w:marTop w:val="0"/>
                      <w:marBottom w:val="0"/>
                      <w:divBdr>
                        <w:top w:val="none" w:sz="0" w:space="0" w:color="auto"/>
                        <w:left w:val="none" w:sz="0" w:space="0" w:color="auto"/>
                        <w:bottom w:val="none" w:sz="0" w:space="0" w:color="auto"/>
                        <w:right w:val="none" w:sz="0" w:space="0" w:color="auto"/>
                      </w:divBdr>
                      <w:divsChild>
                        <w:div w:id="1414467691">
                          <w:marLeft w:val="-225"/>
                          <w:marRight w:val="-225"/>
                          <w:marTop w:val="0"/>
                          <w:marBottom w:val="0"/>
                          <w:divBdr>
                            <w:top w:val="none" w:sz="0" w:space="0" w:color="auto"/>
                            <w:left w:val="none" w:sz="0" w:space="0" w:color="auto"/>
                            <w:bottom w:val="none" w:sz="0" w:space="0" w:color="auto"/>
                            <w:right w:val="none" w:sz="0" w:space="0" w:color="auto"/>
                          </w:divBdr>
                          <w:divsChild>
                            <w:div w:id="1923296098">
                              <w:marLeft w:val="0"/>
                              <w:marRight w:val="0"/>
                              <w:marTop w:val="0"/>
                              <w:marBottom w:val="0"/>
                              <w:divBdr>
                                <w:top w:val="none" w:sz="0" w:space="0" w:color="auto"/>
                                <w:left w:val="none" w:sz="0" w:space="0" w:color="auto"/>
                                <w:bottom w:val="none" w:sz="0" w:space="0" w:color="auto"/>
                                <w:right w:val="none" w:sz="0" w:space="0" w:color="auto"/>
                              </w:divBdr>
                              <w:divsChild>
                                <w:div w:id="2125536474">
                                  <w:marLeft w:val="0"/>
                                  <w:marRight w:val="0"/>
                                  <w:marTop w:val="0"/>
                                  <w:marBottom w:val="0"/>
                                  <w:divBdr>
                                    <w:top w:val="none" w:sz="0" w:space="0" w:color="auto"/>
                                    <w:left w:val="none" w:sz="0" w:space="0" w:color="auto"/>
                                    <w:bottom w:val="none" w:sz="0" w:space="0" w:color="auto"/>
                                    <w:right w:val="none" w:sz="0" w:space="0" w:color="auto"/>
                                  </w:divBdr>
                                  <w:divsChild>
                                    <w:div w:id="34427169">
                                      <w:marLeft w:val="0"/>
                                      <w:marRight w:val="0"/>
                                      <w:marTop w:val="0"/>
                                      <w:marBottom w:val="0"/>
                                      <w:divBdr>
                                        <w:top w:val="none" w:sz="0" w:space="0" w:color="auto"/>
                                        <w:left w:val="none" w:sz="0" w:space="0" w:color="auto"/>
                                        <w:bottom w:val="none" w:sz="0" w:space="0" w:color="auto"/>
                                        <w:right w:val="none" w:sz="0" w:space="0" w:color="auto"/>
                                      </w:divBdr>
                                      <w:divsChild>
                                        <w:div w:id="1717705193">
                                          <w:marLeft w:val="-225"/>
                                          <w:marRight w:val="-225"/>
                                          <w:marTop w:val="0"/>
                                          <w:marBottom w:val="0"/>
                                          <w:divBdr>
                                            <w:top w:val="none" w:sz="0" w:space="0" w:color="auto"/>
                                            <w:left w:val="none" w:sz="0" w:space="0" w:color="auto"/>
                                            <w:bottom w:val="none" w:sz="0" w:space="0" w:color="auto"/>
                                            <w:right w:val="none" w:sz="0" w:space="0" w:color="auto"/>
                                          </w:divBdr>
                                          <w:divsChild>
                                            <w:div w:id="357465660">
                                              <w:marLeft w:val="0"/>
                                              <w:marRight w:val="0"/>
                                              <w:marTop w:val="0"/>
                                              <w:marBottom w:val="0"/>
                                              <w:divBdr>
                                                <w:top w:val="none" w:sz="0" w:space="0" w:color="auto"/>
                                                <w:left w:val="none" w:sz="0" w:space="0" w:color="auto"/>
                                                <w:bottom w:val="none" w:sz="0" w:space="0" w:color="auto"/>
                                                <w:right w:val="none" w:sz="0" w:space="0" w:color="auto"/>
                                              </w:divBdr>
                                              <w:divsChild>
                                                <w:div w:id="1268272601">
                                                  <w:marLeft w:val="0"/>
                                                  <w:marRight w:val="0"/>
                                                  <w:marTop w:val="0"/>
                                                  <w:marBottom w:val="0"/>
                                                  <w:divBdr>
                                                    <w:top w:val="none" w:sz="0" w:space="0" w:color="auto"/>
                                                    <w:left w:val="none" w:sz="0" w:space="0" w:color="auto"/>
                                                    <w:bottom w:val="none" w:sz="0" w:space="0" w:color="auto"/>
                                                    <w:right w:val="none" w:sz="0" w:space="0" w:color="auto"/>
                                                  </w:divBdr>
                                                  <w:divsChild>
                                                    <w:div w:id="1530333523">
                                                      <w:marLeft w:val="0"/>
                                                      <w:marRight w:val="0"/>
                                                      <w:marTop w:val="0"/>
                                                      <w:marBottom w:val="0"/>
                                                      <w:divBdr>
                                                        <w:top w:val="none" w:sz="0" w:space="0" w:color="auto"/>
                                                        <w:left w:val="none" w:sz="0" w:space="0" w:color="auto"/>
                                                        <w:bottom w:val="none" w:sz="0" w:space="0" w:color="auto"/>
                                                        <w:right w:val="none" w:sz="0" w:space="0" w:color="auto"/>
                                                      </w:divBdr>
                                                      <w:divsChild>
                                                        <w:div w:id="1506239284">
                                                          <w:marLeft w:val="0"/>
                                                          <w:marRight w:val="0"/>
                                                          <w:marTop w:val="0"/>
                                                          <w:marBottom w:val="0"/>
                                                          <w:divBdr>
                                                            <w:top w:val="none" w:sz="0" w:space="0" w:color="auto"/>
                                                            <w:left w:val="none" w:sz="0" w:space="0" w:color="auto"/>
                                                            <w:bottom w:val="none" w:sz="0" w:space="0" w:color="auto"/>
                                                            <w:right w:val="none" w:sz="0" w:space="0" w:color="auto"/>
                                                          </w:divBdr>
                                                          <w:divsChild>
                                                            <w:div w:id="12212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940437">
      <w:bodyDiv w:val="1"/>
      <w:marLeft w:val="0"/>
      <w:marRight w:val="0"/>
      <w:marTop w:val="0"/>
      <w:marBottom w:val="0"/>
      <w:divBdr>
        <w:top w:val="none" w:sz="0" w:space="0" w:color="auto"/>
        <w:left w:val="none" w:sz="0" w:space="0" w:color="auto"/>
        <w:bottom w:val="none" w:sz="0" w:space="0" w:color="auto"/>
        <w:right w:val="none" w:sz="0" w:space="0" w:color="auto"/>
      </w:divBdr>
    </w:div>
    <w:div w:id="670765612">
      <w:bodyDiv w:val="1"/>
      <w:marLeft w:val="0"/>
      <w:marRight w:val="0"/>
      <w:marTop w:val="0"/>
      <w:marBottom w:val="0"/>
      <w:divBdr>
        <w:top w:val="none" w:sz="0" w:space="0" w:color="auto"/>
        <w:left w:val="none" w:sz="0" w:space="0" w:color="auto"/>
        <w:bottom w:val="none" w:sz="0" w:space="0" w:color="auto"/>
        <w:right w:val="none" w:sz="0" w:space="0" w:color="auto"/>
      </w:divBdr>
    </w:div>
    <w:div w:id="795097819">
      <w:bodyDiv w:val="1"/>
      <w:marLeft w:val="0"/>
      <w:marRight w:val="0"/>
      <w:marTop w:val="0"/>
      <w:marBottom w:val="0"/>
      <w:divBdr>
        <w:top w:val="none" w:sz="0" w:space="0" w:color="auto"/>
        <w:left w:val="none" w:sz="0" w:space="0" w:color="auto"/>
        <w:bottom w:val="none" w:sz="0" w:space="0" w:color="auto"/>
        <w:right w:val="none" w:sz="0" w:space="0" w:color="auto"/>
      </w:divBdr>
    </w:div>
    <w:div w:id="838350184">
      <w:bodyDiv w:val="1"/>
      <w:marLeft w:val="0"/>
      <w:marRight w:val="0"/>
      <w:marTop w:val="0"/>
      <w:marBottom w:val="0"/>
      <w:divBdr>
        <w:top w:val="none" w:sz="0" w:space="0" w:color="auto"/>
        <w:left w:val="none" w:sz="0" w:space="0" w:color="auto"/>
        <w:bottom w:val="none" w:sz="0" w:space="0" w:color="auto"/>
        <w:right w:val="none" w:sz="0" w:space="0" w:color="auto"/>
      </w:divBdr>
    </w:div>
    <w:div w:id="879825284">
      <w:bodyDiv w:val="1"/>
      <w:marLeft w:val="0"/>
      <w:marRight w:val="0"/>
      <w:marTop w:val="0"/>
      <w:marBottom w:val="0"/>
      <w:divBdr>
        <w:top w:val="none" w:sz="0" w:space="0" w:color="auto"/>
        <w:left w:val="none" w:sz="0" w:space="0" w:color="auto"/>
        <w:bottom w:val="none" w:sz="0" w:space="0" w:color="auto"/>
        <w:right w:val="none" w:sz="0" w:space="0" w:color="auto"/>
      </w:divBdr>
    </w:div>
    <w:div w:id="1011223218">
      <w:bodyDiv w:val="1"/>
      <w:marLeft w:val="0"/>
      <w:marRight w:val="0"/>
      <w:marTop w:val="0"/>
      <w:marBottom w:val="0"/>
      <w:divBdr>
        <w:top w:val="none" w:sz="0" w:space="0" w:color="auto"/>
        <w:left w:val="none" w:sz="0" w:space="0" w:color="auto"/>
        <w:bottom w:val="none" w:sz="0" w:space="0" w:color="auto"/>
        <w:right w:val="none" w:sz="0" w:space="0" w:color="auto"/>
      </w:divBdr>
    </w:div>
    <w:div w:id="1056975410">
      <w:bodyDiv w:val="1"/>
      <w:marLeft w:val="0"/>
      <w:marRight w:val="0"/>
      <w:marTop w:val="0"/>
      <w:marBottom w:val="0"/>
      <w:divBdr>
        <w:top w:val="none" w:sz="0" w:space="0" w:color="auto"/>
        <w:left w:val="none" w:sz="0" w:space="0" w:color="auto"/>
        <w:bottom w:val="none" w:sz="0" w:space="0" w:color="auto"/>
        <w:right w:val="none" w:sz="0" w:space="0" w:color="auto"/>
      </w:divBdr>
      <w:divsChild>
        <w:div w:id="892932335">
          <w:marLeft w:val="0"/>
          <w:marRight w:val="0"/>
          <w:marTop w:val="0"/>
          <w:marBottom w:val="0"/>
          <w:divBdr>
            <w:top w:val="none" w:sz="0" w:space="0" w:color="auto"/>
            <w:left w:val="none" w:sz="0" w:space="0" w:color="auto"/>
            <w:bottom w:val="none" w:sz="0" w:space="0" w:color="auto"/>
            <w:right w:val="none" w:sz="0" w:space="0" w:color="auto"/>
          </w:divBdr>
          <w:divsChild>
            <w:div w:id="1677999276">
              <w:marLeft w:val="0"/>
              <w:marRight w:val="0"/>
              <w:marTop w:val="0"/>
              <w:marBottom w:val="0"/>
              <w:divBdr>
                <w:top w:val="none" w:sz="0" w:space="0" w:color="auto"/>
                <w:left w:val="none" w:sz="0" w:space="0" w:color="auto"/>
                <w:bottom w:val="none" w:sz="0" w:space="0" w:color="auto"/>
                <w:right w:val="none" w:sz="0" w:space="0" w:color="auto"/>
              </w:divBdr>
              <w:divsChild>
                <w:div w:id="1979021109">
                  <w:marLeft w:val="0"/>
                  <w:marRight w:val="0"/>
                  <w:marTop w:val="0"/>
                  <w:marBottom w:val="0"/>
                  <w:divBdr>
                    <w:top w:val="none" w:sz="0" w:space="0" w:color="auto"/>
                    <w:left w:val="none" w:sz="0" w:space="0" w:color="auto"/>
                    <w:bottom w:val="none" w:sz="0" w:space="0" w:color="auto"/>
                    <w:right w:val="none" w:sz="0" w:space="0" w:color="auto"/>
                  </w:divBdr>
                  <w:divsChild>
                    <w:div w:id="2141461916">
                      <w:marLeft w:val="0"/>
                      <w:marRight w:val="0"/>
                      <w:marTop w:val="0"/>
                      <w:marBottom w:val="0"/>
                      <w:divBdr>
                        <w:top w:val="none" w:sz="0" w:space="0" w:color="auto"/>
                        <w:left w:val="none" w:sz="0" w:space="0" w:color="auto"/>
                        <w:bottom w:val="none" w:sz="0" w:space="0" w:color="auto"/>
                        <w:right w:val="none" w:sz="0" w:space="0" w:color="auto"/>
                      </w:divBdr>
                      <w:divsChild>
                        <w:div w:id="747726365">
                          <w:marLeft w:val="0"/>
                          <w:marRight w:val="0"/>
                          <w:marTop w:val="0"/>
                          <w:marBottom w:val="0"/>
                          <w:divBdr>
                            <w:top w:val="none" w:sz="0" w:space="0" w:color="auto"/>
                            <w:left w:val="none" w:sz="0" w:space="0" w:color="auto"/>
                            <w:bottom w:val="none" w:sz="0" w:space="0" w:color="auto"/>
                            <w:right w:val="none" w:sz="0" w:space="0" w:color="auto"/>
                          </w:divBdr>
                          <w:divsChild>
                            <w:div w:id="8865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628904">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97236833">
      <w:bodyDiv w:val="1"/>
      <w:marLeft w:val="0"/>
      <w:marRight w:val="0"/>
      <w:marTop w:val="0"/>
      <w:marBottom w:val="0"/>
      <w:divBdr>
        <w:top w:val="none" w:sz="0" w:space="0" w:color="auto"/>
        <w:left w:val="none" w:sz="0" w:space="0" w:color="auto"/>
        <w:bottom w:val="none" w:sz="0" w:space="0" w:color="auto"/>
        <w:right w:val="none" w:sz="0" w:space="0" w:color="auto"/>
      </w:divBdr>
    </w:div>
    <w:div w:id="1211308330">
      <w:bodyDiv w:val="1"/>
      <w:marLeft w:val="0"/>
      <w:marRight w:val="0"/>
      <w:marTop w:val="0"/>
      <w:marBottom w:val="0"/>
      <w:divBdr>
        <w:top w:val="none" w:sz="0" w:space="0" w:color="auto"/>
        <w:left w:val="none" w:sz="0" w:space="0" w:color="auto"/>
        <w:bottom w:val="none" w:sz="0" w:space="0" w:color="auto"/>
        <w:right w:val="none" w:sz="0" w:space="0" w:color="auto"/>
      </w:divBdr>
    </w:div>
    <w:div w:id="1235550450">
      <w:bodyDiv w:val="1"/>
      <w:marLeft w:val="0"/>
      <w:marRight w:val="0"/>
      <w:marTop w:val="0"/>
      <w:marBottom w:val="0"/>
      <w:divBdr>
        <w:top w:val="none" w:sz="0" w:space="0" w:color="auto"/>
        <w:left w:val="none" w:sz="0" w:space="0" w:color="auto"/>
        <w:bottom w:val="none" w:sz="0" w:space="0" w:color="auto"/>
        <w:right w:val="none" w:sz="0" w:space="0" w:color="auto"/>
      </w:divBdr>
    </w:div>
    <w:div w:id="1299410804">
      <w:bodyDiv w:val="1"/>
      <w:marLeft w:val="0"/>
      <w:marRight w:val="0"/>
      <w:marTop w:val="0"/>
      <w:marBottom w:val="0"/>
      <w:divBdr>
        <w:top w:val="none" w:sz="0" w:space="0" w:color="auto"/>
        <w:left w:val="none" w:sz="0" w:space="0" w:color="auto"/>
        <w:bottom w:val="none" w:sz="0" w:space="0" w:color="auto"/>
        <w:right w:val="none" w:sz="0" w:space="0" w:color="auto"/>
      </w:divBdr>
    </w:div>
    <w:div w:id="1444692782">
      <w:bodyDiv w:val="1"/>
      <w:marLeft w:val="0"/>
      <w:marRight w:val="0"/>
      <w:marTop w:val="0"/>
      <w:marBottom w:val="0"/>
      <w:divBdr>
        <w:top w:val="none" w:sz="0" w:space="0" w:color="auto"/>
        <w:left w:val="none" w:sz="0" w:space="0" w:color="auto"/>
        <w:bottom w:val="none" w:sz="0" w:space="0" w:color="auto"/>
        <w:right w:val="none" w:sz="0" w:space="0" w:color="auto"/>
      </w:divBdr>
    </w:div>
    <w:div w:id="1554803261">
      <w:bodyDiv w:val="1"/>
      <w:marLeft w:val="0"/>
      <w:marRight w:val="0"/>
      <w:marTop w:val="0"/>
      <w:marBottom w:val="0"/>
      <w:divBdr>
        <w:top w:val="none" w:sz="0" w:space="0" w:color="auto"/>
        <w:left w:val="none" w:sz="0" w:space="0" w:color="auto"/>
        <w:bottom w:val="none" w:sz="0" w:space="0" w:color="auto"/>
        <w:right w:val="none" w:sz="0" w:space="0" w:color="auto"/>
      </w:divBdr>
    </w:div>
    <w:div w:id="1598177145">
      <w:bodyDiv w:val="1"/>
      <w:marLeft w:val="0"/>
      <w:marRight w:val="0"/>
      <w:marTop w:val="0"/>
      <w:marBottom w:val="0"/>
      <w:divBdr>
        <w:top w:val="none" w:sz="0" w:space="0" w:color="auto"/>
        <w:left w:val="none" w:sz="0" w:space="0" w:color="auto"/>
        <w:bottom w:val="none" w:sz="0" w:space="0" w:color="auto"/>
        <w:right w:val="none" w:sz="0" w:space="0" w:color="auto"/>
      </w:divBdr>
    </w:div>
    <w:div w:id="1626740664">
      <w:bodyDiv w:val="1"/>
      <w:marLeft w:val="0"/>
      <w:marRight w:val="0"/>
      <w:marTop w:val="0"/>
      <w:marBottom w:val="0"/>
      <w:divBdr>
        <w:top w:val="none" w:sz="0" w:space="0" w:color="auto"/>
        <w:left w:val="none" w:sz="0" w:space="0" w:color="auto"/>
        <w:bottom w:val="none" w:sz="0" w:space="0" w:color="auto"/>
        <w:right w:val="none" w:sz="0" w:space="0" w:color="auto"/>
      </w:divBdr>
    </w:div>
    <w:div w:id="1640765292">
      <w:bodyDiv w:val="1"/>
      <w:marLeft w:val="0"/>
      <w:marRight w:val="0"/>
      <w:marTop w:val="0"/>
      <w:marBottom w:val="0"/>
      <w:divBdr>
        <w:top w:val="none" w:sz="0" w:space="0" w:color="auto"/>
        <w:left w:val="none" w:sz="0" w:space="0" w:color="auto"/>
        <w:bottom w:val="none" w:sz="0" w:space="0" w:color="auto"/>
        <w:right w:val="none" w:sz="0" w:space="0" w:color="auto"/>
      </w:divBdr>
    </w:div>
    <w:div w:id="1718773192">
      <w:bodyDiv w:val="1"/>
      <w:marLeft w:val="0"/>
      <w:marRight w:val="0"/>
      <w:marTop w:val="0"/>
      <w:marBottom w:val="0"/>
      <w:divBdr>
        <w:top w:val="none" w:sz="0" w:space="0" w:color="auto"/>
        <w:left w:val="none" w:sz="0" w:space="0" w:color="auto"/>
        <w:bottom w:val="none" w:sz="0" w:space="0" w:color="auto"/>
        <w:right w:val="none" w:sz="0" w:space="0" w:color="auto"/>
      </w:divBdr>
    </w:div>
    <w:div w:id="1769231505">
      <w:bodyDiv w:val="1"/>
      <w:marLeft w:val="0"/>
      <w:marRight w:val="0"/>
      <w:marTop w:val="0"/>
      <w:marBottom w:val="0"/>
      <w:divBdr>
        <w:top w:val="none" w:sz="0" w:space="0" w:color="auto"/>
        <w:left w:val="none" w:sz="0" w:space="0" w:color="auto"/>
        <w:bottom w:val="none" w:sz="0" w:space="0" w:color="auto"/>
        <w:right w:val="none" w:sz="0" w:space="0" w:color="auto"/>
      </w:divBdr>
    </w:div>
    <w:div w:id="1837261677">
      <w:bodyDiv w:val="1"/>
      <w:marLeft w:val="0"/>
      <w:marRight w:val="0"/>
      <w:marTop w:val="0"/>
      <w:marBottom w:val="0"/>
      <w:divBdr>
        <w:top w:val="none" w:sz="0" w:space="0" w:color="auto"/>
        <w:left w:val="none" w:sz="0" w:space="0" w:color="auto"/>
        <w:bottom w:val="none" w:sz="0" w:space="0" w:color="auto"/>
        <w:right w:val="none" w:sz="0" w:space="0" w:color="auto"/>
      </w:divBdr>
    </w:div>
    <w:div w:id="1906719384">
      <w:bodyDiv w:val="1"/>
      <w:marLeft w:val="0"/>
      <w:marRight w:val="0"/>
      <w:marTop w:val="0"/>
      <w:marBottom w:val="0"/>
      <w:divBdr>
        <w:top w:val="none" w:sz="0" w:space="0" w:color="auto"/>
        <w:left w:val="none" w:sz="0" w:space="0" w:color="auto"/>
        <w:bottom w:val="none" w:sz="0" w:space="0" w:color="auto"/>
        <w:right w:val="none" w:sz="0" w:space="0" w:color="auto"/>
      </w:divBdr>
    </w:div>
    <w:div w:id="2028366758">
      <w:bodyDiv w:val="1"/>
      <w:marLeft w:val="0"/>
      <w:marRight w:val="0"/>
      <w:marTop w:val="0"/>
      <w:marBottom w:val="0"/>
      <w:divBdr>
        <w:top w:val="none" w:sz="0" w:space="0" w:color="auto"/>
        <w:left w:val="none" w:sz="0" w:space="0" w:color="auto"/>
        <w:bottom w:val="none" w:sz="0" w:space="0" w:color="auto"/>
        <w:right w:val="none" w:sz="0" w:space="0" w:color="auto"/>
      </w:divBdr>
      <w:divsChild>
        <w:div w:id="323439498">
          <w:marLeft w:val="0"/>
          <w:marRight w:val="0"/>
          <w:marTop w:val="0"/>
          <w:marBottom w:val="0"/>
          <w:divBdr>
            <w:top w:val="none" w:sz="0" w:space="0" w:color="auto"/>
            <w:left w:val="none" w:sz="0" w:space="0" w:color="auto"/>
            <w:bottom w:val="none" w:sz="0" w:space="0" w:color="auto"/>
            <w:right w:val="none" w:sz="0" w:space="0" w:color="auto"/>
          </w:divBdr>
          <w:divsChild>
            <w:div w:id="1459763104">
              <w:marLeft w:val="0"/>
              <w:marRight w:val="0"/>
              <w:marTop w:val="0"/>
              <w:marBottom w:val="0"/>
              <w:divBdr>
                <w:top w:val="none" w:sz="0" w:space="0" w:color="auto"/>
                <w:left w:val="none" w:sz="0" w:space="0" w:color="auto"/>
                <w:bottom w:val="none" w:sz="0" w:space="0" w:color="auto"/>
                <w:right w:val="none" w:sz="0" w:space="0" w:color="auto"/>
              </w:divBdr>
              <w:divsChild>
                <w:div w:id="1190297378">
                  <w:marLeft w:val="0"/>
                  <w:marRight w:val="0"/>
                  <w:marTop w:val="0"/>
                  <w:marBottom w:val="0"/>
                  <w:divBdr>
                    <w:top w:val="none" w:sz="0" w:space="0" w:color="auto"/>
                    <w:left w:val="none" w:sz="0" w:space="0" w:color="auto"/>
                    <w:bottom w:val="none" w:sz="0" w:space="0" w:color="auto"/>
                    <w:right w:val="none" w:sz="0" w:space="0" w:color="auto"/>
                  </w:divBdr>
                  <w:divsChild>
                    <w:div w:id="1394743439">
                      <w:marLeft w:val="0"/>
                      <w:marRight w:val="0"/>
                      <w:marTop w:val="0"/>
                      <w:marBottom w:val="0"/>
                      <w:divBdr>
                        <w:top w:val="none" w:sz="0" w:space="0" w:color="auto"/>
                        <w:left w:val="none" w:sz="0" w:space="0" w:color="auto"/>
                        <w:bottom w:val="none" w:sz="0" w:space="0" w:color="auto"/>
                        <w:right w:val="none" w:sz="0" w:space="0" w:color="auto"/>
                      </w:divBdr>
                      <w:divsChild>
                        <w:div w:id="81100404">
                          <w:marLeft w:val="0"/>
                          <w:marRight w:val="0"/>
                          <w:marTop w:val="15"/>
                          <w:marBottom w:val="0"/>
                          <w:divBdr>
                            <w:top w:val="none" w:sz="0" w:space="0" w:color="auto"/>
                            <w:left w:val="none" w:sz="0" w:space="0" w:color="auto"/>
                            <w:bottom w:val="none" w:sz="0" w:space="0" w:color="auto"/>
                            <w:right w:val="none" w:sz="0" w:space="0" w:color="auto"/>
                          </w:divBdr>
                          <w:divsChild>
                            <w:div w:id="1172796477">
                              <w:marLeft w:val="0"/>
                              <w:marRight w:val="0"/>
                              <w:marTop w:val="0"/>
                              <w:marBottom w:val="0"/>
                              <w:divBdr>
                                <w:top w:val="none" w:sz="0" w:space="0" w:color="auto"/>
                                <w:left w:val="none" w:sz="0" w:space="0" w:color="auto"/>
                                <w:bottom w:val="none" w:sz="0" w:space="0" w:color="auto"/>
                                <w:right w:val="none" w:sz="0" w:space="0" w:color="auto"/>
                              </w:divBdr>
                              <w:divsChild>
                                <w:div w:id="339699783">
                                  <w:marLeft w:val="0"/>
                                  <w:marRight w:val="0"/>
                                  <w:marTop w:val="0"/>
                                  <w:marBottom w:val="0"/>
                                  <w:divBdr>
                                    <w:top w:val="none" w:sz="0" w:space="0" w:color="auto"/>
                                    <w:left w:val="none" w:sz="0" w:space="0" w:color="auto"/>
                                    <w:bottom w:val="none" w:sz="0" w:space="0" w:color="auto"/>
                                    <w:right w:val="none" w:sz="0" w:space="0" w:color="auto"/>
                                  </w:divBdr>
                                </w:div>
                                <w:div w:id="415790851">
                                  <w:marLeft w:val="0"/>
                                  <w:marRight w:val="0"/>
                                  <w:marTop w:val="0"/>
                                  <w:marBottom w:val="0"/>
                                  <w:divBdr>
                                    <w:top w:val="none" w:sz="0" w:space="0" w:color="auto"/>
                                    <w:left w:val="none" w:sz="0" w:space="0" w:color="auto"/>
                                    <w:bottom w:val="none" w:sz="0" w:space="0" w:color="auto"/>
                                    <w:right w:val="none" w:sz="0" w:space="0" w:color="auto"/>
                                  </w:divBdr>
                                </w:div>
                                <w:div w:id="1561090549">
                                  <w:marLeft w:val="0"/>
                                  <w:marRight w:val="0"/>
                                  <w:marTop w:val="0"/>
                                  <w:marBottom w:val="0"/>
                                  <w:divBdr>
                                    <w:top w:val="none" w:sz="0" w:space="0" w:color="auto"/>
                                    <w:left w:val="none" w:sz="0" w:space="0" w:color="auto"/>
                                    <w:bottom w:val="none" w:sz="0" w:space="0" w:color="auto"/>
                                    <w:right w:val="none" w:sz="0" w:space="0" w:color="auto"/>
                                  </w:divBdr>
                                </w:div>
                                <w:div w:id="942567662">
                                  <w:marLeft w:val="0"/>
                                  <w:marRight w:val="0"/>
                                  <w:marTop w:val="0"/>
                                  <w:marBottom w:val="0"/>
                                  <w:divBdr>
                                    <w:top w:val="none" w:sz="0" w:space="0" w:color="auto"/>
                                    <w:left w:val="none" w:sz="0" w:space="0" w:color="auto"/>
                                    <w:bottom w:val="none" w:sz="0" w:space="0" w:color="auto"/>
                                    <w:right w:val="none" w:sz="0" w:space="0" w:color="auto"/>
                                  </w:divBdr>
                                </w:div>
                                <w:div w:id="365912263">
                                  <w:marLeft w:val="0"/>
                                  <w:marRight w:val="0"/>
                                  <w:marTop w:val="0"/>
                                  <w:marBottom w:val="0"/>
                                  <w:divBdr>
                                    <w:top w:val="none" w:sz="0" w:space="0" w:color="auto"/>
                                    <w:left w:val="none" w:sz="0" w:space="0" w:color="auto"/>
                                    <w:bottom w:val="none" w:sz="0" w:space="0" w:color="auto"/>
                                    <w:right w:val="none" w:sz="0" w:space="0" w:color="auto"/>
                                  </w:divBdr>
                                </w:div>
                                <w:div w:id="1645158779">
                                  <w:marLeft w:val="0"/>
                                  <w:marRight w:val="0"/>
                                  <w:marTop w:val="0"/>
                                  <w:marBottom w:val="0"/>
                                  <w:divBdr>
                                    <w:top w:val="none" w:sz="0" w:space="0" w:color="auto"/>
                                    <w:left w:val="none" w:sz="0" w:space="0" w:color="auto"/>
                                    <w:bottom w:val="none" w:sz="0" w:space="0" w:color="auto"/>
                                    <w:right w:val="none" w:sz="0" w:space="0" w:color="auto"/>
                                  </w:divBdr>
                                </w:div>
                                <w:div w:id="280890719">
                                  <w:marLeft w:val="0"/>
                                  <w:marRight w:val="0"/>
                                  <w:marTop w:val="0"/>
                                  <w:marBottom w:val="0"/>
                                  <w:divBdr>
                                    <w:top w:val="none" w:sz="0" w:space="0" w:color="auto"/>
                                    <w:left w:val="none" w:sz="0" w:space="0" w:color="auto"/>
                                    <w:bottom w:val="none" w:sz="0" w:space="0" w:color="auto"/>
                                    <w:right w:val="none" w:sz="0" w:space="0" w:color="auto"/>
                                  </w:divBdr>
                                </w:div>
                                <w:div w:id="1865363078">
                                  <w:marLeft w:val="0"/>
                                  <w:marRight w:val="0"/>
                                  <w:marTop w:val="0"/>
                                  <w:marBottom w:val="0"/>
                                  <w:divBdr>
                                    <w:top w:val="none" w:sz="0" w:space="0" w:color="auto"/>
                                    <w:left w:val="none" w:sz="0" w:space="0" w:color="auto"/>
                                    <w:bottom w:val="none" w:sz="0" w:space="0" w:color="auto"/>
                                    <w:right w:val="none" w:sz="0" w:space="0" w:color="auto"/>
                                  </w:divBdr>
                                </w:div>
                                <w:div w:id="1684436023">
                                  <w:marLeft w:val="0"/>
                                  <w:marRight w:val="0"/>
                                  <w:marTop w:val="0"/>
                                  <w:marBottom w:val="0"/>
                                  <w:divBdr>
                                    <w:top w:val="none" w:sz="0" w:space="0" w:color="auto"/>
                                    <w:left w:val="none" w:sz="0" w:space="0" w:color="auto"/>
                                    <w:bottom w:val="none" w:sz="0" w:space="0" w:color="auto"/>
                                    <w:right w:val="none" w:sz="0" w:space="0" w:color="auto"/>
                                  </w:divBdr>
                                </w:div>
                                <w:div w:id="93601713">
                                  <w:marLeft w:val="0"/>
                                  <w:marRight w:val="0"/>
                                  <w:marTop w:val="0"/>
                                  <w:marBottom w:val="0"/>
                                  <w:divBdr>
                                    <w:top w:val="none" w:sz="0" w:space="0" w:color="auto"/>
                                    <w:left w:val="none" w:sz="0" w:space="0" w:color="auto"/>
                                    <w:bottom w:val="none" w:sz="0" w:space="0" w:color="auto"/>
                                    <w:right w:val="none" w:sz="0" w:space="0" w:color="auto"/>
                                  </w:divBdr>
                                </w:div>
                                <w:div w:id="28843350">
                                  <w:marLeft w:val="0"/>
                                  <w:marRight w:val="0"/>
                                  <w:marTop w:val="0"/>
                                  <w:marBottom w:val="0"/>
                                  <w:divBdr>
                                    <w:top w:val="none" w:sz="0" w:space="0" w:color="auto"/>
                                    <w:left w:val="none" w:sz="0" w:space="0" w:color="auto"/>
                                    <w:bottom w:val="none" w:sz="0" w:space="0" w:color="auto"/>
                                    <w:right w:val="none" w:sz="0" w:space="0" w:color="auto"/>
                                  </w:divBdr>
                                </w:div>
                                <w:div w:id="2095394356">
                                  <w:marLeft w:val="0"/>
                                  <w:marRight w:val="0"/>
                                  <w:marTop w:val="0"/>
                                  <w:marBottom w:val="0"/>
                                  <w:divBdr>
                                    <w:top w:val="none" w:sz="0" w:space="0" w:color="auto"/>
                                    <w:left w:val="none" w:sz="0" w:space="0" w:color="auto"/>
                                    <w:bottom w:val="none" w:sz="0" w:space="0" w:color="auto"/>
                                    <w:right w:val="none" w:sz="0" w:space="0" w:color="auto"/>
                                  </w:divBdr>
                                </w:div>
                                <w:div w:id="629357904">
                                  <w:marLeft w:val="0"/>
                                  <w:marRight w:val="0"/>
                                  <w:marTop w:val="0"/>
                                  <w:marBottom w:val="0"/>
                                  <w:divBdr>
                                    <w:top w:val="none" w:sz="0" w:space="0" w:color="auto"/>
                                    <w:left w:val="none" w:sz="0" w:space="0" w:color="auto"/>
                                    <w:bottom w:val="none" w:sz="0" w:space="0" w:color="auto"/>
                                    <w:right w:val="none" w:sz="0" w:space="0" w:color="auto"/>
                                  </w:divBdr>
                                </w:div>
                                <w:div w:id="1233468188">
                                  <w:marLeft w:val="0"/>
                                  <w:marRight w:val="0"/>
                                  <w:marTop w:val="0"/>
                                  <w:marBottom w:val="0"/>
                                  <w:divBdr>
                                    <w:top w:val="none" w:sz="0" w:space="0" w:color="auto"/>
                                    <w:left w:val="none" w:sz="0" w:space="0" w:color="auto"/>
                                    <w:bottom w:val="none" w:sz="0" w:space="0" w:color="auto"/>
                                    <w:right w:val="none" w:sz="0" w:space="0" w:color="auto"/>
                                  </w:divBdr>
                                </w:div>
                                <w:div w:id="1015427674">
                                  <w:marLeft w:val="0"/>
                                  <w:marRight w:val="0"/>
                                  <w:marTop w:val="0"/>
                                  <w:marBottom w:val="0"/>
                                  <w:divBdr>
                                    <w:top w:val="none" w:sz="0" w:space="0" w:color="auto"/>
                                    <w:left w:val="none" w:sz="0" w:space="0" w:color="auto"/>
                                    <w:bottom w:val="none" w:sz="0" w:space="0" w:color="auto"/>
                                    <w:right w:val="none" w:sz="0" w:space="0" w:color="auto"/>
                                  </w:divBdr>
                                </w:div>
                                <w:div w:id="944575207">
                                  <w:marLeft w:val="0"/>
                                  <w:marRight w:val="0"/>
                                  <w:marTop w:val="0"/>
                                  <w:marBottom w:val="0"/>
                                  <w:divBdr>
                                    <w:top w:val="none" w:sz="0" w:space="0" w:color="auto"/>
                                    <w:left w:val="none" w:sz="0" w:space="0" w:color="auto"/>
                                    <w:bottom w:val="none" w:sz="0" w:space="0" w:color="auto"/>
                                    <w:right w:val="none" w:sz="0" w:space="0" w:color="auto"/>
                                  </w:divBdr>
                                </w:div>
                                <w:div w:id="695732355">
                                  <w:marLeft w:val="0"/>
                                  <w:marRight w:val="0"/>
                                  <w:marTop w:val="0"/>
                                  <w:marBottom w:val="0"/>
                                  <w:divBdr>
                                    <w:top w:val="none" w:sz="0" w:space="0" w:color="auto"/>
                                    <w:left w:val="none" w:sz="0" w:space="0" w:color="auto"/>
                                    <w:bottom w:val="none" w:sz="0" w:space="0" w:color="auto"/>
                                    <w:right w:val="none" w:sz="0" w:space="0" w:color="auto"/>
                                  </w:divBdr>
                                </w:div>
                                <w:div w:id="184447557">
                                  <w:marLeft w:val="0"/>
                                  <w:marRight w:val="0"/>
                                  <w:marTop w:val="0"/>
                                  <w:marBottom w:val="0"/>
                                  <w:divBdr>
                                    <w:top w:val="none" w:sz="0" w:space="0" w:color="auto"/>
                                    <w:left w:val="none" w:sz="0" w:space="0" w:color="auto"/>
                                    <w:bottom w:val="none" w:sz="0" w:space="0" w:color="auto"/>
                                    <w:right w:val="none" w:sz="0" w:space="0" w:color="auto"/>
                                  </w:divBdr>
                                </w:div>
                                <w:div w:id="1922447767">
                                  <w:marLeft w:val="0"/>
                                  <w:marRight w:val="0"/>
                                  <w:marTop w:val="0"/>
                                  <w:marBottom w:val="0"/>
                                  <w:divBdr>
                                    <w:top w:val="none" w:sz="0" w:space="0" w:color="auto"/>
                                    <w:left w:val="none" w:sz="0" w:space="0" w:color="auto"/>
                                    <w:bottom w:val="none" w:sz="0" w:space="0" w:color="auto"/>
                                    <w:right w:val="none" w:sz="0" w:space="0" w:color="auto"/>
                                  </w:divBdr>
                                </w:div>
                                <w:div w:id="1621718748">
                                  <w:marLeft w:val="0"/>
                                  <w:marRight w:val="0"/>
                                  <w:marTop w:val="0"/>
                                  <w:marBottom w:val="0"/>
                                  <w:divBdr>
                                    <w:top w:val="none" w:sz="0" w:space="0" w:color="auto"/>
                                    <w:left w:val="none" w:sz="0" w:space="0" w:color="auto"/>
                                    <w:bottom w:val="none" w:sz="0" w:space="0" w:color="auto"/>
                                    <w:right w:val="none" w:sz="0" w:space="0" w:color="auto"/>
                                  </w:divBdr>
                                </w:div>
                                <w:div w:id="204217625">
                                  <w:marLeft w:val="0"/>
                                  <w:marRight w:val="0"/>
                                  <w:marTop w:val="0"/>
                                  <w:marBottom w:val="0"/>
                                  <w:divBdr>
                                    <w:top w:val="none" w:sz="0" w:space="0" w:color="auto"/>
                                    <w:left w:val="none" w:sz="0" w:space="0" w:color="auto"/>
                                    <w:bottom w:val="none" w:sz="0" w:space="0" w:color="auto"/>
                                    <w:right w:val="none" w:sz="0" w:space="0" w:color="auto"/>
                                  </w:divBdr>
                                </w:div>
                                <w:div w:id="1743603236">
                                  <w:marLeft w:val="0"/>
                                  <w:marRight w:val="0"/>
                                  <w:marTop w:val="0"/>
                                  <w:marBottom w:val="0"/>
                                  <w:divBdr>
                                    <w:top w:val="none" w:sz="0" w:space="0" w:color="auto"/>
                                    <w:left w:val="none" w:sz="0" w:space="0" w:color="auto"/>
                                    <w:bottom w:val="none" w:sz="0" w:space="0" w:color="auto"/>
                                    <w:right w:val="none" w:sz="0" w:space="0" w:color="auto"/>
                                  </w:divBdr>
                                </w:div>
                                <w:div w:id="17123390">
                                  <w:marLeft w:val="0"/>
                                  <w:marRight w:val="0"/>
                                  <w:marTop w:val="0"/>
                                  <w:marBottom w:val="0"/>
                                  <w:divBdr>
                                    <w:top w:val="none" w:sz="0" w:space="0" w:color="auto"/>
                                    <w:left w:val="none" w:sz="0" w:space="0" w:color="auto"/>
                                    <w:bottom w:val="none" w:sz="0" w:space="0" w:color="auto"/>
                                    <w:right w:val="none" w:sz="0" w:space="0" w:color="auto"/>
                                  </w:divBdr>
                                </w:div>
                                <w:div w:id="284235163">
                                  <w:marLeft w:val="0"/>
                                  <w:marRight w:val="0"/>
                                  <w:marTop w:val="0"/>
                                  <w:marBottom w:val="0"/>
                                  <w:divBdr>
                                    <w:top w:val="none" w:sz="0" w:space="0" w:color="auto"/>
                                    <w:left w:val="none" w:sz="0" w:space="0" w:color="auto"/>
                                    <w:bottom w:val="none" w:sz="0" w:space="0" w:color="auto"/>
                                    <w:right w:val="none" w:sz="0" w:space="0" w:color="auto"/>
                                  </w:divBdr>
                                </w:div>
                                <w:div w:id="2075543092">
                                  <w:marLeft w:val="0"/>
                                  <w:marRight w:val="0"/>
                                  <w:marTop w:val="0"/>
                                  <w:marBottom w:val="0"/>
                                  <w:divBdr>
                                    <w:top w:val="none" w:sz="0" w:space="0" w:color="auto"/>
                                    <w:left w:val="none" w:sz="0" w:space="0" w:color="auto"/>
                                    <w:bottom w:val="none" w:sz="0" w:space="0" w:color="auto"/>
                                    <w:right w:val="none" w:sz="0" w:space="0" w:color="auto"/>
                                  </w:divBdr>
                                </w:div>
                                <w:div w:id="1130366574">
                                  <w:marLeft w:val="0"/>
                                  <w:marRight w:val="0"/>
                                  <w:marTop w:val="0"/>
                                  <w:marBottom w:val="0"/>
                                  <w:divBdr>
                                    <w:top w:val="none" w:sz="0" w:space="0" w:color="auto"/>
                                    <w:left w:val="none" w:sz="0" w:space="0" w:color="auto"/>
                                    <w:bottom w:val="none" w:sz="0" w:space="0" w:color="auto"/>
                                    <w:right w:val="none" w:sz="0" w:space="0" w:color="auto"/>
                                  </w:divBdr>
                                </w:div>
                                <w:div w:id="1049567688">
                                  <w:marLeft w:val="0"/>
                                  <w:marRight w:val="0"/>
                                  <w:marTop w:val="0"/>
                                  <w:marBottom w:val="0"/>
                                  <w:divBdr>
                                    <w:top w:val="none" w:sz="0" w:space="0" w:color="auto"/>
                                    <w:left w:val="none" w:sz="0" w:space="0" w:color="auto"/>
                                    <w:bottom w:val="none" w:sz="0" w:space="0" w:color="auto"/>
                                    <w:right w:val="none" w:sz="0" w:space="0" w:color="auto"/>
                                  </w:divBdr>
                                </w:div>
                                <w:div w:id="2017295793">
                                  <w:marLeft w:val="0"/>
                                  <w:marRight w:val="0"/>
                                  <w:marTop w:val="0"/>
                                  <w:marBottom w:val="0"/>
                                  <w:divBdr>
                                    <w:top w:val="none" w:sz="0" w:space="0" w:color="auto"/>
                                    <w:left w:val="none" w:sz="0" w:space="0" w:color="auto"/>
                                    <w:bottom w:val="none" w:sz="0" w:space="0" w:color="auto"/>
                                    <w:right w:val="none" w:sz="0" w:space="0" w:color="auto"/>
                                  </w:divBdr>
                                </w:div>
                                <w:div w:id="505900799">
                                  <w:marLeft w:val="0"/>
                                  <w:marRight w:val="0"/>
                                  <w:marTop w:val="0"/>
                                  <w:marBottom w:val="0"/>
                                  <w:divBdr>
                                    <w:top w:val="none" w:sz="0" w:space="0" w:color="auto"/>
                                    <w:left w:val="none" w:sz="0" w:space="0" w:color="auto"/>
                                    <w:bottom w:val="none" w:sz="0" w:space="0" w:color="auto"/>
                                    <w:right w:val="none" w:sz="0" w:space="0" w:color="auto"/>
                                  </w:divBdr>
                                </w:div>
                                <w:div w:id="1243296331">
                                  <w:marLeft w:val="0"/>
                                  <w:marRight w:val="0"/>
                                  <w:marTop w:val="0"/>
                                  <w:marBottom w:val="0"/>
                                  <w:divBdr>
                                    <w:top w:val="none" w:sz="0" w:space="0" w:color="auto"/>
                                    <w:left w:val="none" w:sz="0" w:space="0" w:color="auto"/>
                                    <w:bottom w:val="none" w:sz="0" w:space="0" w:color="auto"/>
                                    <w:right w:val="none" w:sz="0" w:space="0" w:color="auto"/>
                                  </w:divBdr>
                                </w:div>
                                <w:div w:id="27726404">
                                  <w:marLeft w:val="0"/>
                                  <w:marRight w:val="0"/>
                                  <w:marTop w:val="0"/>
                                  <w:marBottom w:val="0"/>
                                  <w:divBdr>
                                    <w:top w:val="none" w:sz="0" w:space="0" w:color="auto"/>
                                    <w:left w:val="none" w:sz="0" w:space="0" w:color="auto"/>
                                    <w:bottom w:val="none" w:sz="0" w:space="0" w:color="auto"/>
                                    <w:right w:val="none" w:sz="0" w:space="0" w:color="auto"/>
                                  </w:divBdr>
                                </w:div>
                                <w:div w:id="1211989467">
                                  <w:marLeft w:val="0"/>
                                  <w:marRight w:val="0"/>
                                  <w:marTop w:val="0"/>
                                  <w:marBottom w:val="0"/>
                                  <w:divBdr>
                                    <w:top w:val="none" w:sz="0" w:space="0" w:color="auto"/>
                                    <w:left w:val="none" w:sz="0" w:space="0" w:color="auto"/>
                                    <w:bottom w:val="none" w:sz="0" w:space="0" w:color="auto"/>
                                    <w:right w:val="none" w:sz="0" w:space="0" w:color="auto"/>
                                  </w:divBdr>
                                </w:div>
                                <w:div w:id="1730808938">
                                  <w:marLeft w:val="0"/>
                                  <w:marRight w:val="0"/>
                                  <w:marTop w:val="0"/>
                                  <w:marBottom w:val="0"/>
                                  <w:divBdr>
                                    <w:top w:val="none" w:sz="0" w:space="0" w:color="auto"/>
                                    <w:left w:val="none" w:sz="0" w:space="0" w:color="auto"/>
                                    <w:bottom w:val="none" w:sz="0" w:space="0" w:color="auto"/>
                                    <w:right w:val="none" w:sz="0" w:space="0" w:color="auto"/>
                                  </w:divBdr>
                                </w:div>
                                <w:div w:id="1152605244">
                                  <w:marLeft w:val="0"/>
                                  <w:marRight w:val="0"/>
                                  <w:marTop w:val="0"/>
                                  <w:marBottom w:val="0"/>
                                  <w:divBdr>
                                    <w:top w:val="none" w:sz="0" w:space="0" w:color="auto"/>
                                    <w:left w:val="none" w:sz="0" w:space="0" w:color="auto"/>
                                    <w:bottom w:val="none" w:sz="0" w:space="0" w:color="auto"/>
                                    <w:right w:val="none" w:sz="0" w:space="0" w:color="auto"/>
                                  </w:divBdr>
                                </w:div>
                                <w:div w:id="362100280">
                                  <w:marLeft w:val="0"/>
                                  <w:marRight w:val="0"/>
                                  <w:marTop w:val="0"/>
                                  <w:marBottom w:val="0"/>
                                  <w:divBdr>
                                    <w:top w:val="none" w:sz="0" w:space="0" w:color="auto"/>
                                    <w:left w:val="none" w:sz="0" w:space="0" w:color="auto"/>
                                    <w:bottom w:val="none" w:sz="0" w:space="0" w:color="auto"/>
                                    <w:right w:val="none" w:sz="0" w:space="0" w:color="auto"/>
                                  </w:divBdr>
                                </w:div>
                                <w:div w:id="565535982">
                                  <w:marLeft w:val="0"/>
                                  <w:marRight w:val="0"/>
                                  <w:marTop w:val="0"/>
                                  <w:marBottom w:val="0"/>
                                  <w:divBdr>
                                    <w:top w:val="none" w:sz="0" w:space="0" w:color="auto"/>
                                    <w:left w:val="none" w:sz="0" w:space="0" w:color="auto"/>
                                    <w:bottom w:val="none" w:sz="0" w:space="0" w:color="auto"/>
                                    <w:right w:val="none" w:sz="0" w:space="0" w:color="auto"/>
                                  </w:divBdr>
                                </w:div>
                                <w:div w:id="562373948">
                                  <w:marLeft w:val="0"/>
                                  <w:marRight w:val="0"/>
                                  <w:marTop w:val="0"/>
                                  <w:marBottom w:val="0"/>
                                  <w:divBdr>
                                    <w:top w:val="none" w:sz="0" w:space="0" w:color="auto"/>
                                    <w:left w:val="none" w:sz="0" w:space="0" w:color="auto"/>
                                    <w:bottom w:val="none" w:sz="0" w:space="0" w:color="auto"/>
                                    <w:right w:val="none" w:sz="0" w:space="0" w:color="auto"/>
                                  </w:divBdr>
                                </w:div>
                                <w:div w:id="42171276">
                                  <w:marLeft w:val="0"/>
                                  <w:marRight w:val="0"/>
                                  <w:marTop w:val="0"/>
                                  <w:marBottom w:val="0"/>
                                  <w:divBdr>
                                    <w:top w:val="none" w:sz="0" w:space="0" w:color="auto"/>
                                    <w:left w:val="none" w:sz="0" w:space="0" w:color="auto"/>
                                    <w:bottom w:val="none" w:sz="0" w:space="0" w:color="auto"/>
                                    <w:right w:val="none" w:sz="0" w:space="0" w:color="auto"/>
                                  </w:divBdr>
                                </w:div>
                                <w:div w:id="1436898083">
                                  <w:marLeft w:val="0"/>
                                  <w:marRight w:val="0"/>
                                  <w:marTop w:val="0"/>
                                  <w:marBottom w:val="0"/>
                                  <w:divBdr>
                                    <w:top w:val="none" w:sz="0" w:space="0" w:color="auto"/>
                                    <w:left w:val="none" w:sz="0" w:space="0" w:color="auto"/>
                                    <w:bottom w:val="none" w:sz="0" w:space="0" w:color="auto"/>
                                    <w:right w:val="none" w:sz="0" w:space="0" w:color="auto"/>
                                  </w:divBdr>
                                </w:div>
                                <w:div w:id="400760286">
                                  <w:marLeft w:val="0"/>
                                  <w:marRight w:val="0"/>
                                  <w:marTop w:val="0"/>
                                  <w:marBottom w:val="0"/>
                                  <w:divBdr>
                                    <w:top w:val="none" w:sz="0" w:space="0" w:color="auto"/>
                                    <w:left w:val="none" w:sz="0" w:space="0" w:color="auto"/>
                                    <w:bottom w:val="none" w:sz="0" w:space="0" w:color="auto"/>
                                    <w:right w:val="none" w:sz="0" w:space="0" w:color="auto"/>
                                  </w:divBdr>
                                </w:div>
                                <w:div w:id="1422602544">
                                  <w:marLeft w:val="0"/>
                                  <w:marRight w:val="0"/>
                                  <w:marTop w:val="0"/>
                                  <w:marBottom w:val="0"/>
                                  <w:divBdr>
                                    <w:top w:val="none" w:sz="0" w:space="0" w:color="auto"/>
                                    <w:left w:val="none" w:sz="0" w:space="0" w:color="auto"/>
                                    <w:bottom w:val="none" w:sz="0" w:space="0" w:color="auto"/>
                                    <w:right w:val="none" w:sz="0" w:space="0" w:color="auto"/>
                                  </w:divBdr>
                                </w:div>
                                <w:div w:id="384305493">
                                  <w:marLeft w:val="0"/>
                                  <w:marRight w:val="0"/>
                                  <w:marTop w:val="0"/>
                                  <w:marBottom w:val="0"/>
                                  <w:divBdr>
                                    <w:top w:val="none" w:sz="0" w:space="0" w:color="auto"/>
                                    <w:left w:val="none" w:sz="0" w:space="0" w:color="auto"/>
                                    <w:bottom w:val="none" w:sz="0" w:space="0" w:color="auto"/>
                                    <w:right w:val="none" w:sz="0" w:space="0" w:color="auto"/>
                                  </w:divBdr>
                                </w:div>
                                <w:div w:id="254442167">
                                  <w:marLeft w:val="0"/>
                                  <w:marRight w:val="0"/>
                                  <w:marTop w:val="0"/>
                                  <w:marBottom w:val="0"/>
                                  <w:divBdr>
                                    <w:top w:val="none" w:sz="0" w:space="0" w:color="auto"/>
                                    <w:left w:val="none" w:sz="0" w:space="0" w:color="auto"/>
                                    <w:bottom w:val="none" w:sz="0" w:space="0" w:color="auto"/>
                                    <w:right w:val="none" w:sz="0" w:space="0" w:color="auto"/>
                                  </w:divBdr>
                                </w:div>
                                <w:div w:id="1754546116">
                                  <w:marLeft w:val="0"/>
                                  <w:marRight w:val="0"/>
                                  <w:marTop w:val="0"/>
                                  <w:marBottom w:val="0"/>
                                  <w:divBdr>
                                    <w:top w:val="none" w:sz="0" w:space="0" w:color="auto"/>
                                    <w:left w:val="none" w:sz="0" w:space="0" w:color="auto"/>
                                    <w:bottom w:val="none" w:sz="0" w:space="0" w:color="auto"/>
                                    <w:right w:val="none" w:sz="0" w:space="0" w:color="auto"/>
                                  </w:divBdr>
                                </w:div>
                                <w:div w:id="13020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is.unesco.org/en/uis-student-flow"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siaeducation.edu.au/programmes/school-partnership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Val.com"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vuir.vu.edu.au/22397/1/the-role-and-influence-of-china-based-alumni-on-travel-and-touris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3" Type="http://schemas.openxmlformats.org/officeDocument/2006/relationships/hyperlink" Target="https://www.topuniversities.com/university-rankings/world-university-rankings/2019" TargetMode="External"/><Relationship Id="rId18" Type="http://schemas.openxmlformats.org/officeDocument/2006/relationships/hyperlink" Target="https://www.universityworldnews.com/post.php?story=20190403104242366" TargetMode="External"/><Relationship Id="rId26" Type="http://schemas.openxmlformats.org/officeDocument/2006/relationships/hyperlink" Target="http://www.science.gov.au/acsrf" TargetMode="External"/><Relationship Id="rId39" Type="http://schemas.openxmlformats.org/officeDocument/2006/relationships/hyperlink" Target="https://thepienews.com/news/uk-china-agreements-signal-new-phase-of-education-collaboration/" TargetMode="External"/><Relationship Id="rId21" Type="http://schemas.openxmlformats.org/officeDocument/2006/relationships/hyperlink" Target="https://internationaleducation.gov.au/International-network/Australia/InternationalStrategy/EGIProjects/Documents/Final%20report_International%20opportunities%20for%20Australian%20schooling_Nous_2019.pdf" TargetMode="External"/><Relationship Id="rId34" Type="http://schemas.openxmlformats.org/officeDocument/2006/relationships/hyperlink" Target="https://assets.publishing.service.gov.uk/government/uploads/system/uploads/attachment_data/file/799349/International_Education_Strategy_Accessible.pdf" TargetMode="External"/><Relationship Id="rId42" Type="http://schemas.openxmlformats.org/officeDocument/2006/relationships/hyperlink" Target="http://www.topschools.cn/research-details?_l=en&amp;product_id=831" TargetMode="External"/><Relationship Id="rId47" Type="http://schemas.openxmlformats.org/officeDocument/2006/relationships/hyperlink" Target="https://100kstrong.org/" TargetMode="External"/><Relationship Id="rId50" Type="http://schemas.openxmlformats.org/officeDocument/2006/relationships/hyperlink" Target="http://monitor.icef.com/2019/02/canadas-foreign-student-enrolment-took-another-big-jump-2018/" TargetMode="External"/><Relationship Id="rId55" Type="http://schemas.openxmlformats.org/officeDocument/2006/relationships/hyperlink" Target="https://enz.govt.nz/assets/Uploads/International-Education-Strategy-2018-2030.pdf" TargetMode="External"/><Relationship Id="rId63" Type="http://schemas.openxmlformats.org/officeDocument/2006/relationships/hyperlink" Target="https://internationaleducation.gov.au/research/research-papers/Documents/ValueInternationalEd.pdf" TargetMode="External"/><Relationship Id="rId68" Type="http://schemas.openxmlformats.org/officeDocument/2006/relationships/hyperlink" Target="http://www.crs.jsj.edu.cn/news/index/3" TargetMode="External"/><Relationship Id="rId7" Type="http://schemas.openxmlformats.org/officeDocument/2006/relationships/hyperlink" Target="https://internationaleducation.gov.au/research/research-papers/Documents/ValueInternationalEd.pdf" TargetMode="External"/><Relationship Id="rId2" Type="http://schemas.openxmlformats.org/officeDocument/2006/relationships/hyperlink" Target="http://unbouncepages.com/sustainable-growth-international-higher-education/" TargetMode="External"/><Relationship Id="rId16" Type="http://schemas.openxmlformats.org/officeDocument/2006/relationships/hyperlink" Target="https://www.smh.com.au/education/a-knowledge-race-australian-universities-set-to-suffer-drop-in-students-from-china-20190301-p5113e.html" TargetMode="External"/><Relationship Id="rId29" Type="http://schemas.openxmlformats.org/officeDocument/2006/relationships/hyperlink" Target="https://internationaleducation.gov.au/International-network/china/publications/Documents/China%20Country%20Brief%20-%20September%202018.pdf" TargetMode="External"/><Relationship Id="rId1" Type="http://schemas.openxmlformats.org/officeDocument/2006/relationships/hyperlink" Target="https://tapri.org.au/wp-content/uploads/2016/04/final-report-overseas-student-industryV2.pdf" TargetMode="External"/><Relationship Id="rId6" Type="http://schemas.openxmlformats.org/officeDocument/2006/relationships/hyperlink" Target="https://www.abs.gov.au/AUSSTATS/abs@.nsf/mediareleasesbytitle/D8CAE4F74B82D446CA258235000F2BDE?OpenDocument" TargetMode="External"/><Relationship Id="rId11" Type="http://schemas.openxmlformats.org/officeDocument/2006/relationships/hyperlink" Target="https://press-files.anu.edu.au/downloads/press/n4267/pdf/book.pdf" TargetMode="External"/><Relationship Id="rId24" Type="http://schemas.openxmlformats.org/officeDocument/2006/relationships/hyperlink" Target="https://internationaleducation.gov.au/International-network/Australia/InternationalStrategy/EGIProjects/Documents/Raising%20the%20Profile%20in%20China%20in%20English%20Language%20Training%20FINAL.pdf" TargetMode="External"/><Relationship Id="rId32" Type="http://schemas.openxmlformats.org/officeDocument/2006/relationships/hyperlink" Target="https://www.business.act.gov.au/__data/assets/pdf_file/0006/980529/160830_International_Education_Strategy_WEB.pdf" TargetMode="External"/><Relationship Id="rId37" Type="http://schemas.openxmlformats.org/officeDocument/2006/relationships/hyperlink" Target="https://www.britishcouncil.org/contact/press/uk-and-china-agree-long-term-ambitions-education-plans" TargetMode="External"/><Relationship Id="rId40" Type="http://schemas.openxmlformats.org/officeDocument/2006/relationships/hyperlink" Target="https://www.gov.uk/government/news/bilateral-cooperation-boosted-at-uk-china-regional-leaders-summit" TargetMode="External"/><Relationship Id="rId45" Type="http://schemas.openxmlformats.org/officeDocument/2006/relationships/hyperlink" Target="http://cbert.org/resources-data/branch-campus/" TargetMode="External"/><Relationship Id="rId53" Type="http://schemas.openxmlformats.org/officeDocument/2006/relationships/hyperlink" Target="https://www.bmbf.de/upload_filestore/pub/China_Strategy_Longversion.pdf" TargetMode="External"/><Relationship Id="rId58" Type="http://schemas.openxmlformats.org/officeDocument/2006/relationships/hyperlink" Target="https://melbourne-cshe.unimelb.edu.au/__data/assets/pdf_file/0008/2843450/2018_F-P-Larkins_International-Student-Enrolments-by-Sector.pdf" TargetMode="External"/><Relationship Id="rId66" Type="http://schemas.openxmlformats.org/officeDocument/2006/relationships/hyperlink" Target="https://data.gov.au/data/dataset/324aa4f7-46bb-4d56-bc2d-772333a2317e" TargetMode="External"/><Relationship Id="rId5" Type="http://schemas.openxmlformats.org/officeDocument/2006/relationships/hyperlink" Target="https://www.abs.gov.au/ausstats/abs@.nsf/Latestproducts/2071.0Main%20Features602016?opendocument&amp;tabname=Summary&amp;prodno=2071.0&amp;issue=2016&amp;num=&amp;view=" TargetMode="External"/><Relationship Id="rId15" Type="http://schemas.openxmlformats.org/officeDocument/2006/relationships/hyperlink" Target="https://ejournals.bc.edu/index.php/ihe/article/view/9992/8676" TargetMode="External"/><Relationship Id="rId23" Type="http://schemas.openxmlformats.org/officeDocument/2006/relationships/hyperlink" Target="https://www.englishaustralia.com.au/market-intelligence/monthly-market-reports" TargetMode="External"/><Relationship Id="rId28" Type="http://schemas.openxmlformats.org/officeDocument/2006/relationships/hyperlink" Target="https://www.aspi.org.au/report/picking-flowers-making-honey" TargetMode="External"/><Relationship Id="rId36" Type="http://schemas.openxmlformats.org/officeDocument/2006/relationships/hyperlink" Target="https://www.mdpi.com/2227-7102/8/4/202/htm" TargetMode="External"/><Relationship Id="rId49" Type="http://schemas.openxmlformats.org/officeDocument/2006/relationships/hyperlink" Target="https://www.acenet.edu/news-room/Documents/Mapping-Internationalization-2017.pdf" TargetMode="External"/><Relationship Id="rId57" Type="http://schemas.openxmlformats.org/officeDocument/2006/relationships/hyperlink" Target="https://internationaleducation.gov.au/research/International-Student-Data/Pages/InternationalStudentData2018.aspx" TargetMode="External"/><Relationship Id="rId61" Type="http://schemas.openxmlformats.org/officeDocument/2006/relationships/hyperlink" Target="https://www.topuniversities.com/university-rankings/world-university-rankings/2019" TargetMode="External"/><Relationship Id="rId10" Type="http://schemas.openxmlformats.org/officeDocument/2006/relationships/hyperlink" Target="https://internationaleducation.gov.au/research/International-Student-Data/Pages/InternationalStudentData2018.aspx" TargetMode="External"/><Relationship Id="rId19" Type="http://schemas.openxmlformats.org/officeDocument/2006/relationships/hyperlink" Target="http://www.jsj.edu.cn/" TargetMode="External"/><Relationship Id="rId31" Type="http://schemas.openxmlformats.org/officeDocument/2006/relationships/hyperlink" Target="https://www.industry.nsw.gov.au/__data/assets/pdf_file/0005/106187/NSW-China-Strategy.pdf" TargetMode="External"/><Relationship Id="rId44" Type="http://schemas.openxmlformats.org/officeDocument/2006/relationships/hyperlink" Target="http://en.moe.gov.cn/News/Top_News/201803/t20180316_330231.html" TargetMode="External"/><Relationship Id="rId52" Type="http://schemas.openxmlformats.org/officeDocument/2006/relationships/hyperlink" Target="https://ccbc.com/research-reports/sector-research/education/" TargetMode="External"/><Relationship Id="rId60" Type="http://schemas.openxmlformats.org/officeDocument/2006/relationships/hyperlink" Target="https://www.timeshighereducation.com/world-university-rankings/2019/world-ranking" TargetMode="External"/><Relationship Id="rId65" Type="http://schemas.openxmlformats.org/officeDocument/2006/relationships/hyperlink" Target="https://www.education.gov.au/news/destination-australia-scholarship-program" TargetMode="External"/><Relationship Id="rId4" Type="http://schemas.openxmlformats.org/officeDocument/2006/relationships/hyperlink" Target="https://www.researchcghe.org/perch/resources/publications/wp22.pdf" TargetMode="External"/><Relationship Id="rId9" Type="http://schemas.openxmlformats.org/officeDocument/2006/relationships/hyperlink" Target="http://uis.unesco.org/en/uis-student-flow" TargetMode="External"/><Relationship Id="rId14" Type="http://schemas.openxmlformats.org/officeDocument/2006/relationships/hyperlink" Target="http://www.shanghairanking.com/ARWU2018.html" TargetMode="External"/><Relationship Id="rId22" Type="http://schemas.openxmlformats.org/officeDocument/2006/relationships/hyperlink" Target="https://www.vic.gov.au/sites/default/files/2019-01/Victorias-China-strategy-progress-report.pdf" TargetMode="External"/><Relationship Id="rId27" Type="http://schemas.openxmlformats.org/officeDocument/2006/relationships/hyperlink" Target="https://www.scival.com/" TargetMode="External"/><Relationship Id="rId30" Type="http://schemas.openxmlformats.org/officeDocument/2006/relationships/hyperlink" Target="https://www.vic.gov.au/sites/default/files/2019-01/Victorias-China-strategy-progress-report.pdf" TargetMode="External"/><Relationship Id="rId35" Type="http://schemas.openxmlformats.org/officeDocument/2006/relationships/hyperlink" Target="http://europe.chinadaily.com.cn/a/201806/04/WS5b150243a31001b82571e0de.html" TargetMode="External"/><Relationship Id="rId43" Type="http://schemas.openxmlformats.org/officeDocument/2006/relationships/hyperlink" Target="https://assets.publishing.service.gov.uk/government/uploads/system/uploads/attachment_data/file/799349/International_Education_Strategy_Accessible.pdf" TargetMode="External"/><Relationship Id="rId48" Type="http://schemas.openxmlformats.org/officeDocument/2006/relationships/hyperlink" Target="https://china.usembassy-china.org.cn/education-culture/academic-exchanges/fulbright-program/" TargetMode="External"/><Relationship Id="rId56" Type="http://schemas.openxmlformats.org/officeDocument/2006/relationships/hyperlink" Target="https://enz.govt.nz/news-and-research/ed-news/china-and-new-zealand-discuss-vocational-collaboration/" TargetMode="External"/><Relationship Id="rId64" Type="http://schemas.openxmlformats.org/officeDocument/2006/relationships/hyperlink" Target="https://internationaleducation.gov.au/News/Latest-News/Pages/Growing-International-Education-in-Regional-Australia.aspx" TargetMode="External"/><Relationship Id="rId69" Type="http://schemas.openxmlformats.org/officeDocument/2006/relationships/hyperlink" Target="https://internationaleducation.gov.au/Regulatory-Information/Pages/National-Code-2018-Factsheets-.aspx" TargetMode="External"/><Relationship Id="rId8" Type="http://schemas.openxmlformats.org/officeDocument/2006/relationships/hyperlink" Target="https://www.universitiesaustralia.edu.au/Media-and-Events/media-releases/Australia-s-international-student-numbers-continue-to-grow" TargetMode="External"/><Relationship Id="rId51" Type="http://schemas.openxmlformats.org/officeDocument/2006/relationships/hyperlink" Target="https://www.tradecommissioner.gc.ca/funding-financement/ciip-pcii/index.aspx?lang=eng" TargetMode="External"/><Relationship Id="rId3" Type="http://schemas.openxmlformats.org/officeDocument/2006/relationships/hyperlink" Target="http://www.chinadaily.com.cn/a/201901/15/WS5c3d48bca3106c65c34e4851.html" TargetMode="External"/><Relationship Id="rId12" Type="http://schemas.openxmlformats.org/officeDocument/2006/relationships/hyperlink" Target="https://www.timeshighereducation.com/world-university-rankings/2019/world-ranking" TargetMode="External"/><Relationship Id="rId17" Type="http://schemas.openxmlformats.org/officeDocument/2006/relationships/hyperlink" Target="https://www2.deloitte.com/content/dam/Deloitte/au/Documents/Economics/deloitte-au-economics-growth-opportunity-australian-international-education-011215.pdf" TargetMode="External"/><Relationship Id="rId25" Type="http://schemas.openxmlformats.org/officeDocument/2006/relationships/hyperlink" Target="https://www.universitiesaustralia.edu.au/policy-submissions/international/international-links-member-universities/" TargetMode="External"/><Relationship Id="rId33" Type="http://schemas.openxmlformats.org/officeDocument/2006/relationships/hyperlink" Target="https://tourism.sa.gov.au/documents/CORP/documentMedia.ashx?A=%7B3DEDBF6D-F230-420A-B805-A97F3E2346D9%7D&amp;B=True" TargetMode="External"/><Relationship Id="rId38" Type="http://schemas.openxmlformats.org/officeDocument/2006/relationships/hyperlink" Target="https://www.gov.uk/government/news/joint-uk-china-strategy-for-science-technology-and-innovation-cooperation-sets-new-horizons-for-closer-international-collaborations" TargetMode="External"/><Relationship Id="rId46" Type="http://schemas.openxmlformats.org/officeDocument/2006/relationships/hyperlink" Target="https://china.usembassy-china.org.cn/education-culture/academic-exchanges/fulbright-program/" TargetMode="External"/><Relationship Id="rId59" Type="http://schemas.openxmlformats.org/officeDocument/2006/relationships/hyperlink" Target="https://www.audit.nsw.gov.au/sites/default/files/pdf-downloads/Final%20report_web%20version_Universities%202018%20audits.pdf" TargetMode="External"/><Relationship Id="rId67" Type="http://schemas.openxmlformats.org/officeDocument/2006/relationships/hyperlink" Target="https://www.austrade.gov.au/australian/education/news/reports/online-adult-learning-report-2018" TargetMode="External"/><Relationship Id="rId20" Type="http://schemas.openxmlformats.org/officeDocument/2006/relationships/hyperlink" Target="https://www.iscresearch.com/data" TargetMode="External"/><Relationship Id="rId41" Type="http://schemas.openxmlformats.org/officeDocument/2006/relationships/hyperlink" Target="https://education-services.britishcouncil.org/sites/siem/files/field/file/news/2017%20BC-CEAIE%20Joint%20Research%20Report%20of%20UK-China%20TNE.pdf" TargetMode="External"/><Relationship Id="rId54" Type="http://schemas.openxmlformats.org/officeDocument/2006/relationships/hyperlink" Target="https://www.plattform-innovation.de/en/" TargetMode="External"/><Relationship Id="rId62" Type="http://schemas.openxmlformats.org/officeDocument/2006/relationships/hyperlink" Target="https://internationaleducation.gov.au/research/Research-Snapshots/Documents/Location%20of%20International%20Students%20in%202018.pdf" TargetMode="External"/><Relationship Id="rId70" Type="http://schemas.openxmlformats.org/officeDocument/2006/relationships/hyperlink" Target="https://www.austrade.gov.au/Australian/Education/Services/australian-international-education-2025/AIE2025-roadma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DU\51004302\COUNTRY%20WORK\North%20Asia\1.%20China\MAINLAND%20CHINA\Data\China%20Data\Copy%20of%20Data%20for%20SE%20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U\51004302\COUNTRY%20WORK\North%20Asia\1.%20China\MAINLAND%20CHINA\Data\China%20Data\Copy%20of%20Data%20for%20SE%20brie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DU\51004302\COUNTRY%20WORK\North%20Asia\1.%20China\MAINLAND%20CHINA\Data\China%20Data\Copy%20of%20Data%20for%20SE%20brie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088998992619399E-2"/>
          <c:y val="7.9702053574961421E-2"/>
          <c:w val="0.4842393172344997"/>
          <c:h val="0.855692240731215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5C-4962-9C48-C5E6B8ABED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5C-4962-9C48-C5E6B8ABED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5C-4962-9C48-C5E6B8ABED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5C-4962-9C48-C5E6B8ABEDF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F5C-4962-9C48-C5E6B8ABEDF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F5C-4962-9C48-C5E6B8ABEDF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UNESCO!$A$23:$A$28</c:f>
              <c:strCache>
                <c:ptCount val="6"/>
                <c:pt idx="0">
                  <c:v>United States</c:v>
                </c:pt>
                <c:pt idx="1">
                  <c:v>Australia</c:v>
                </c:pt>
                <c:pt idx="2">
                  <c:v>United Kingdom</c:v>
                </c:pt>
                <c:pt idx="3">
                  <c:v>Japan</c:v>
                </c:pt>
                <c:pt idx="4">
                  <c:v>Canada</c:v>
                </c:pt>
                <c:pt idx="5">
                  <c:v>Other countries</c:v>
                </c:pt>
              </c:strCache>
            </c:strRef>
          </c:cat>
          <c:val>
            <c:numRef>
              <c:f>UNESCO!$C$23:$C$28</c:f>
              <c:numCache>
                <c:formatCode>0%</c:formatCode>
                <c:ptCount val="6"/>
                <c:pt idx="0">
                  <c:v>0.35638559122692198</c:v>
                </c:pt>
                <c:pt idx="1">
                  <c:v>0.14780299222325616</c:v>
                </c:pt>
                <c:pt idx="2">
                  <c:v>0.10273675589812133</c:v>
                </c:pt>
                <c:pt idx="3">
                  <c:v>8.8035592894763787E-2</c:v>
                </c:pt>
                <c:pt idx="4">
                  <c:v>7.0090765102307717E-2</c:v>
                </c:pt>
                <c:pt idx="5">
                  <c:v>0.23494830265462907</c:v>
                </c:pt>
              </c:numCache>
            </c:numRef>
          </c:val>
          <c:extLst>
            <c:ext xmlns:c16="http://schemas.microsoft.com/office/drawing/2014/chart" uri="{C3380CC4-5D6E-409C-BE32-E72D297353CC}">
              <c16:uniqueId val="{0000000C-EF5C-4962-9C48-C5E6B8ABEDF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472622841291882"/>
          <c:y val="0.23663422280548266"/>
          <c:w val="0.31638478553130661"/>
          <c:h val="0.5359908136482939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65966754155731E-2"/>
          <c:y val="8.564814814814814E-2"/>
          <c:w val="0.50277777777777777"/>
          <c:h val="0.837962962962962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31-44E1-94E0-5CC9DD6CA2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31-44E1-94E0-5CC9DD6CA2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31-44E1-94E0-5CC9DD6CA2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31-44E1-94E0-5CC9DD6CA26C}"/>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D631-44E1-94E0-5CC9DD6CA26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631-44E1-94E0-5CC9DD6CA26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FoE!$D$43:$D$48</c:f>
              <c:strCache>
                <c:ptCount val="6"/>
                <c:pt idx="0">
                  <c:v>Management and Commerce</c:v>
                </c:pt>
                <c:pt idx="1">
                  <c:v>Engineering and Related Technologies</c:v>
                </c:pt>
                <c:pt idx="2">
                  <c:v>Information Technology</c:v>
                </c:pt>
                <c:pt idx="3">
                  <c:v>Society and Culture</c:v>
                </c:pt>
                <c:pt idx="4">
                  <c:v>Natural and Physical Sciences</c:v>
                </c:pt>
                <c:pt idx="5">
                  <c:v>Others</c:v>
                </c:pt>
              </c:strCache>
            </c:strRef>
          </c:cat>
          <c:val>
            <c:numRef>
              <c:f>FoE!$E$43:$E$48</c:f>
              <c:numCache>
                <c:formatCode>0%</c:formatCode>
                <c:ptCount val="6"/>
                <c:pt idx="0">
                  <c:v>0.5</c:v>
                </c:pt>
                <c:pt idx="1">
                  <c:v>0.12</c:v>
                </c:pt>
                <c:pt idx="2">
                  <c:v>0.09</c:v>
                </c:pt>
                <c:pt idx="3">
                  <c:v>7.0000000000000007E-2</c:v>
                </c:pt>
                <c:pt idx="4">
                  <c:v>0.05</c:v>
                </c:pt>
                <c:pt idx="5">
                  <c:v>0.17</c:v>
                </c:pt>
              </c:numCache>
            </c:numRef>
          </c:val>
          <c:extLst>
            <c:ext xmlns:c16="http://schemas.microsoft.com/office/drawing/2014/chart" uri="{C3380CC4-5D6E-409C-BE32-E72D297353CC}">
              <c16:uniqueId val="{0000000C-D631-44E1-94E0-5CC9DD6CA26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699580753029603"/>
          <c:y val="8.7266695829687962E-2"/>
          <c:w val="0.36734199026266623"/>
          <c:h val="0.7884295713035870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
          <c:y val="4.8611111111111112E-2"/>
          <c:w val="0.50277777777777777"/>
          <c:h val="0.837962962962962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D7-47C9-97C7-EC5456723BE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ED7-47C9-97C7-EC5456723BE2}"/>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4ED7-47C9-97C7-EC5456723BE2}"/>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4ED7-47C9-97C7-EC5456723BE2}"/>
              </c:ext>
            </c:extLst>
          </c:dPt>
          <c:dPt>
            <c:idx val="4"/>
            <c:bubble3D val="0"/>
            <c:spPr>
              <a:solidFill>
                <a:schemeClr val="accent3"/>
              </a:solidFill>
              <a:ln w="19050">
                <a:solidFill>
                  <a:schemeClr val="lt1"/>
                </a:solidFill>
              </a:ln>
              <a:effectLst/>
            </c:spPr>
            <c:extLst>
              <c:ext xmlns:c16="http://schemas.microsoft.com/office/drawing/2014/chart" uri="{C3380CC4-5D6E-409C-BE32-E72D297353CC}">
                <c16:uniqueId val="{00000009-4ED7-47C9-97C7-EC5456723BE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ED7-47C9-97C7-EC5456723BE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FoE!$D$61:$D$66</c:f>
              <c:strCache>
                <c:ptCount val="6"/>
                <c:pt idx="0">
                  <c:v>Management and Commerce</c:v>
                </c:pt>
                <c:pt idx="1">
                  <c:v>Society and Culture</c:v>
                </c:pt>
                <c:pt idx="2">
                  <c:v>Mixed Field Programmes</c:v>
                </c:pt>
                <c:pt idx="3">
                  <c:v>Food, Hospitality and Personal Services</c:v>
                </c:pt>
                <c:pt idx="4">
                  <c:v>Information Technology</c:v>
                </c:pt>
                <c:pt idx="5">
                  <c:v>Others</c:v>
                </c:pt>
              </c:strCache>
            </c:strRef>
          </c:cat>
          <c:val>
            <c:numRef>
              <c:f>FoE!$E$61:$E$66</c:f>
              <c:numCache>
                <c:formatCode>0%</c:formatCode>
                <c:ptCount val="6"/>
                <c:pt idx="0">
                  <c:v>0.54</c:v>
                </c:pt>
                <c:pt idx="1">
                  <c:v>0.18</c:v>
                </c:pt>
                <c:pt idx="2">
                  <c:v>0.09</c:v>
                </c:pt>
                <c:pt idx="3">
                  <c:v>7.0000000000000007E-2</c:v>
                </c:pt>
                <c:pt idx="4">
                  <c:v>0.03</c:v>
                </c:pt>
                <c:pt idx="5">
                  <c:v>0.12</c:v>
                </c:pt>
              </c:numCache>
            </c:numRef>
          </c:val>
          <c:extLst>
            <c:ext xmlns:c16="http://schemas.microsoft.com/office/drawing/2014/chart" uri="{C3380CC4-5D6E-409C-BE32-E72D297353CC}">
              <c16:uniqueId val="{0000000C-4ED7-47C9-97C7-EC5456723BE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806437936335641"/>
          <c:y val="0.13213582677165353"/>
          <c:w val="0.40693571872525425"/>
          <c:h val="0.7264690871974336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9EBCC-1F97-440A-868B-6BADAA77452F}"/>
</file>

<file path=customXml/itemProps2.xml><?xml version="1.0" encoding="utf-8"?>
<ds:datastoreItem xmlns:ds="http://schemas.openxmlformats.org/officeDocument/2006/customXml" ds:itemID="{1493378E-CC71-4497-9995-BDA8AAD8E108}"/>
</file>

<file path=customXml/itemProps3.xml><?xml version="1.0" encoding="utf-8"?>
<ds:datastoreItem xmlns:ds="http://schemas.openxmlformats.org/officeDocument/2006/customXml" ds:itemID="{33C52FA7-896A-488E-BE1E-BBAF29F3B0B7}"/>
</file>

<file path=customXml/itemProps4.xml><?xml version="1.0" encoding="utf-8"?>
<ds:datastoreItem xmlns:ds="http://schemas.openxmlformats.org/officeDocument/2006/customXml" ds:itemID="{0EBF4C57-CB8B-44F1-971D-9C541272C2A5}"/>
</file>

<file path=docProps/app.xml><?xml version="1.0" encoding="utf-8"?>
<Properties xmlns="http://schemas.openxmlformats.org/officeDocument/2006/extended-properties" xmlns:vt="http://schemas.openxmlformats.org/officeDocument/2006/docPropsVTypes">
  <Template>629E78C2.dotm</Template>
  <TotalTime>1</TotalTime>
  <Pages>35</Pages>
  <Words>14263</Words>
  <Characters>81302</Characters>
  <Application>Microsoft Office Word</Application>
  <DocSecurity>4</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CHENG,Sarah</dc:creator>
  <cp:keywords/>
  <dc:description/>
  <cp:lastModifiedBy>HIGGINS,James</cp:lastModifiedBy>
  <cp:revision>2</cp:revision>
  <cp:lastPrinted>2019-07-04T00:44:00Z</cp:lastPrinted>
  <dcterms:created xsi:type="dcterms:W3CDTF">2019-12-04T06:36:00Z</dcterms:created>
  <dcterms:modified xsi:type="dcterms:W3CDTF">2019-12-04T06:36:00Z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-417194352</vt:i4>
  </property>
</Properties>
</file>