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343821AF">
            <wp:simplePos x="0" y="0"/>
            <wp:positionH relativeFrom="page">
              <wp:align>left</wp:align>
            </wp:positionH>
            <wp:positionV relativeFrom="page">
              <wp:align>top</wp:align>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CBCB00E">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00166DE0" w14:textId="3D8885BA" w:rsidR="00221D8F" w:rsidRDefault="00184A6B" w:rsidP="00221D8F">
      <w:pPr>
        <w:pStyle w:val="Heading1"/>
      </w:pPr>
      <w:bookmarkStart w:id="0" w:name="_Toc126923146"/>
      <w:bookmarkStart w:id="1" w:name="_Toc126923157"/>
      <w:bookmarkStart w:id="2" w:name="_Toc212545659"/>
      <w:r w:rsidRPr="00184A6B">
        <w:rPr>
          <w:rFonts w:eastAsiaTheme="minorHAnsi"/>
        </w:rPr>
        <w:t xml:space="preserve">Guidance to </w:t>
      </w:r>
      <w:r w:rsidR="008D44F4">
        <w:rPr>
          <w:rFonts w:eastAsiaTheme="minorHAnsi"/>
        </w:rPr>
        <w:t>R</w:t>
      </w:r>
      <w:r w:rsidRPr="00184A6B">
        <w:rPr>
          <w:rFonts w:eastAsiaTheme="minorHAnsi"/>
        </w:rPr>
        <w:t>eporting</w:t>
      </w:r>
      <w:bookmarkEnd w:id="0"/>
      <w:bookmarkEnd w:id="1"/>
      <w:bookmarkEnd w:id="2"/>
    </w:p>
    <w:p w14:paraId="21C1556E" w14:textId="2BBE55F9" w:rsidR="0017134D" w:rsidRDefault="00EC0890" w:rsidP="00EB4C2F">
      <w:pPr>
        <w:pStyle w:val="Subtitle"/>
      </w:pPr>
      <w:r>
        <w:t xml:space="preserve">State and </w:t>
      </w:r>
      <w:r w:rsidR="7D5A1C08">
        <w:t>t</w:t>
      </w:r>
      <w:r>
        <w:t xml:space="preserve">erritory </w:t>
      </w:r>
      <w:r w:rsidR="6FDFE480">
        <w:t>f</w:t>
      </w:r>
      <w:r>
        <w:t xml:space="preserve">unding </w:t>
      </w:r>
      <w:r w:rsidR="1E390CB8">
        <w:t>c</w:t>
      </w:r>
      <w:r>
        <w:t xml:space="preserve">ontribution </w:t>
      </w:r>
      <w:r w:rsidR="2A42D961">
        <w:t>r</w:t>
      </w:r>
      <w:r>
        <w:t>equirements</w:t>
      </w:r>
      <w:r w:rsidR="009341E0">
        <w:t xml:space="preserve"> under the Better and Fairer Schools Ag</w:t>
      </w:r>
      <w:r w:rsidR="001412F1">
        <w:t>reements</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4D565A9B" w14:textId="77777777" w:rsidR="008E5EE5" w:rsidRDefault="008E5EE5" w:rsidP="00D712B4">
      <w:pPr>
        <w:pStyle w:val="Heading2"/>
        <w:spacing w:before="480"/>
        <w:rPr>
          <w:sz w:val="36"/>
          <w:szCs w:val="36"/>
        </w:rPr>
      </w:pPr>
      <w:bookmarkStart w:id="3" w:name="_Toc126923147"/>
      <w:bookmarkStart w:id="4" w:name="_Toc126923158"/>
      <w:bookmarkStart w:id="5" w:name="_Toc126923317"/>
    </w:p>
    <w:sdt>
      <w:sdtPr>
        <w:rPr>
          <w:rFonts w:asciiTheme="minorHAnsi" w:eastAsiaTheme="minorEastAsia" w:hAnsiTheme="minorHAnsi" w:cstheme="minorBidi"/>
          <w:b w:val="0"/>
          <w:color w:val="auto"/>
          <w:sz w:val="22"/>
          <w:szCs w:val="22"/>
          <w:lang w:val="en-AU"/>
        </w:rPr>
        <w:id w:val="-217819357"/>
        <w:docPartObj>
          <w:docPartGallery w:val="Table of Contents"/>
          <w:docPartUnique/>
        </w:docPartObj>
      </w:sdtPr>
      <w:sdtEndPr>
        <w:rPr>
          <w:noProof/>
        </w:rPr>
      </w:sdtEndPr>
      <w:sdtContent>
        <w:p w14:paraId="327D2932" w14:textId="0487D139" w:rsidR="000E626B" w:rsidRPr="00DA610B" w:rsidRDefault="000E626B" w:rsidP="00DA610B">
          <w:pPr>
            <w:pStyle w:val="TOCHeading"/>
          </w:pPr>
          <w:r>
            <w:t>Contents</w:t>
          </w:r>
          <w:r>
            <w:fldChar w:fldCharType="begin"/>
          </w:r>
          <w:r>
            <w:instrText xml:space="preserve"> TOC \o "1-3" \h \z \u </w:instrText>
          </w:r>
          <w:r>
            <w:fldChar w:fldCharType="separate"/>
          </w:r>
        </w:p>
        <w:p w14:paraId="06A240AE" w14:textId="1717994A" w:rsidR="000E626B" w:rsidRDefault="000E626B">
          <w:pPr>
            <w:pStyle w:val="TOC2"/>
            <w:tabs>
              <w:tab w:val="right" w:leader="dot" w:pos="9016"/>
            </w:tabs>
            <w:rPr>
              <w:rFonts w:eastAsiaTheme="minorEastAsia"/>
              <w:noProof/>
              <w:kern w:val="2"/>
              <w:sz w:val="24"/>
              <w:szCs w:val="24"/>
              <w:lang w:eastAsia="en-AU"/>
              <w14:ligatures w14:val="standardContextual"/>
            </w:rPr>
          </w:pPr>
          <w:hyperlink w:anchor="_Toc212545660" w:history="1">
            <w:r w:rsidRPr="003E5EA1">
              <w:rPr>
                <w:rStyle w:val="Hyperlink"/>
                <w:noProof/>
              </w:rPr>
              <w:t>Introduction</w:t>
            </w:r>
            <w:r>
              <w:rPr>
                <w:noProof/>
                <w:webHidden/>
              </w:rPr>
              <w:tab/>
            </w:r>
            <w:r>
              <w:rPr>
                <w:noProof/>
                <w:webHidden/>
              </w:rPr>
              <w:fldChar w:fldCharType="begin"/>
            </w:r>
            <w:r>
              <w:rPr>
                <w:noProof/>
                <w:webHidden/>
              </w:rPr>
              <w:instrText xml:space="preserve"> PAGEREF _Toc212545660 \h </w:instrText>
            </w:r>
            <w:r>
              <w:rPr>
                <w:noProof/>
                <w:webHidden/>
              </w:rPr>
            </w:r>
            <w:r>
              <w:rPr>
                <w:noProof/>
                <w:webHidden/>
              </w:rPr>
              <w:fldChar w:fldCharType="separate"/>
            </w:r>
            <w:r w:rsidR="00BB2CFF">
              <w:rPr>
                <w:noProof/>
                <w:webHidden/>
              </w:rPr>
              <w:t>3</w:t>
            </w:r>
            <w:r>
              <w:rPr>
                <w:noProof/>
                <w:webHidden/>
              </w:rPr>
              <w:fldChar w:fldCharType="end"/>
            </w:r>
          </w:hyperlink>
        </w:p>
        <w:p w14:paraId="1997FAB3" w14:textId="61C5E8B5" w:rsidR="000E626B" w:rsidRDefault="000E626B">
          <w:pPr>
            <w:pStyle w:val="TOC2"/>
            <w:tabs>
              <w:tab w:val="right" w:leader="dot" w:pos="9016"/>
            </w:tabs>
            <w:rPr>
              <w:rFonts w:eastAsiaTheme="minorEastAsia"/>
              <w:noProof/>
              <w:kern w:val="2"/>
              <w:sz w:val="24"/>
              <w:szCs w:val="24"/>
              <w:lang w:eastAsia="en-AU"/>
              <w14:ligatures w14:val="standardContextual"/>
            </w:rPr>
          </w:pPr>
          <w:hyperlink w:anchor="_Toc212545661" w:history="1">
            <w:r w:rsidRPr="003E5EA1">
              <w:rPr>
                <w:rStyle w:val="Hyperlink"/>
                <w:noProof/>
              </w:rPr>
              <w:t>Required state and territory school funding contributions</w:t>
            </w:r>
            <w:r>
              <w:rPr>
                <w:noProof/>
                <w:webHidden/>
              </w:rPr>
              <w:tab/>
            </w:r>
            <w:r>
              <w:rPr>
                <w:noProof/>
                <w:webHidden/>
              </w:rPr>
              <w:fldChar w:fldCharType="begin"/>
            </w:r>
            <w:r>
              <w:rPr>
                <w:noProof/>
                <w:webHidden/>
              </w:rPr>
              <w:instrText xml:space="preserve"> PAGEREF _Toc212545661 \h </w:instrText>
            </w:r>
            <w:r>
              <w:rPr>
                <w:noProof/>
                <w:webHidden/>
              </w:rPr>
            </w:r>
            <w:r>
              <w:rPr>
                <w:noProof/>
                <w:webHidden/>
              </w:rPr>
              <w:fldChar w:fldCharType="separate"/>
            </w:r>
            <w:r w:rsidR="00BB2CFF">
              <w:rPr>
                <w:noProof/>
                <w:webHidden/>
              </w:rPr>
              <w:t>3</w:t>
            </w:r>
            <w:r>
              <w:rPr>
                <w:noProof/>
                <w:webHidden/>
              </w:rPr>
              <w:fldChar w:fldCharType="end"/>
            </w:r>
          </w:hyperlink>
        </w:p>
        <w:p w14:paraId="7679744C" w14:textId="6055C0D6" w:rsidR="000E626B" w:rsidRDefault="000E626B">
          <w:pPr>
            <w:pStyle w:val="TOC2"/>
            <w:tabs>
              <w:tab w:val="right" w:leader="dot" w:pos="9016"/>
            </w:tabs>
            <w:rPr>
              <w:rFonts w:eastAsiaTheme="minorEastAsia"/>
              <w:noProof/>
              <w:kern w:val="2"/>
              <w:sz w:val="24"/>
              <w:szCs w:val="24"/>
              <w:lang w:eastAsia="en-AU"/>
              <w14:ligatures w14:val="standardContextual"/>
            </w:rPr>
          </w:pPr>
          <w:hyperlink w:anchor="_Toc212545662" w:history="1">
            <w:r w:rsidRPr="003E5EA1">
              <w:rPr>
                <w:rStyle w:val="Hyperlink"/>
                <w:noProof/>
              </w:rPr>
              <w:t>Net Recurrent Income (NRI)</w:t>
            </w:r>
            <w:r>
              <w:rPr>
                <w:noProof/>
                <w:webHidden/>
              </w:rPr>
              <w:tab/>
            </w:r>
            <w:r>
              <w:rPr>
                <w:noProof/>
                <w:webHidden/>
              </w:rPr>
              <w:fldChar w:fldCharType="begin"/>
            </w:r>
            <w:r>
              <w:rPr>
                <w:noProof/>
                <w:webHidden/>
              </w:rPr>
              <w:instrText xml:space="preserve"> PAGEREF _Toc212545662 \h </w:instrText>
            </w:r>
            <w:r>
              <w:rPr>
                <w:noProof/>
                <w:webHidden/>
              </w:rPr>
            </w:r>
            <w:r>
              <w:rPr>
                <w:noProof/>
                <w:webHidden/>
              </w:rPr>
              <w:fldChar w:fldCharType="separate"/>
            </w:r>
            <w:r w:rsidR="00BB2CFF">
              <w:rPr>
                <w:noProof/>
                <w:webHidden/>
              </w:rPr>
              <w:t>4</w:t>
            </w:r>
            <w:r>
              <w:rPr>
                <w:noProof/>
                <w:webHidden/>
              </w:rPr>
              <w:fldChar w:fldCharType="end"/>
            </w:r>
          </w:hyperlink>
        </w:p>
        <w:p w14:paraId="2C6F8E8F" w14:textId="596CD91D"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63" w:history="1">
            <w:r w:rsidRPr="003E5EA1">
              <w:rPr>
                <w:rStyle w:val="Hyperlink"/>
                <w:noProof/>
              </w:rPr>
              <w:t>Government schools</w:t>
            </w:r>
            <w:r>
              <w:rPr>
                <w:noProof/>
                <w:webHidden/>
              </w:rPr>
              <w:tab/>
            </w:r>
            <w:r>
              <w:rPr>
                <w:noProof/>
                <w:webHidden/>
              </w:rPr>
              <w:fldChar w:fldCharType="begin"/>
            </w:r>
            <w:r>
              <w:rPr>
                <w:noProof/>
                <w:webHidden/>
              </w:rPr>
              <w:instrText xml:space="preserve"> PAGEREF _Toc212545663 \h </w:instrText>
            </w:r>
            <w:r>
              <w:rPr>
                <w:noProof/>
                <w:webHidden/>
              </w:rPr>
            </w:r>
            <w:r>
              <w:rPr>
                <w:noProof/>
                <w:webHidden/>
              </w:rPr>
              <w:fldChar w:fldCharType="separate"/>
            </w:r>
            <w:r w:rsidR="00BB2CFF">
              <w:rPr>
                <w:noProof/>
                <w:webHidden/>
              </w:rPr>
              <w:t>4</w:t>
            </w:r>
            <w:r>
              <w:rPr>
                <w:noProof/>
                <w:webHidden/>
              </w:rPr>
              <w:fldChar w:fldCharType="end"/>
            </w:r>
          </w:hyperlink>
        </w:p>
        <w:p w14:paraId="4EBCBCAB" w14:textId="7A9C5B13"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64" w:history="1">
            <w:r w:rsidRPr="003E5EA1">
              <w:rPr>
                <w:rStyle w:val="Hyperlink"/>
                <w:noProof/>
              </w:rPr>
              <w:t>Non-government schools</w:t>
            </w:r>
            <w:r>
              <w:rPr>
                <w:noProof/>
                <w:webHidden/>
              </w:rPr>
              <w:tab/>
            </w:r>
            <w:r>
              <w:rPr>
                <w:noProof/>
                <w:webHidden/>
              </w:rPr>
              <w:fldChar w:fldCharType="begin"/>
            </w:r>
            <w:r>
              <w:rPr>
                <w:noProof/>
                <w:webHidden/>
              </w:rPr>
              <w:instrText xml:space="preserve"> PAGEREF _Toc212545664 \h </w:instrText>
            </w:r>
            <w:r>
              <w:rPr>
                <w:noProof/>
                <w:webHidden/>
              </w:rPr>
            </w:r>
            <w:r>
              <w:rPr>
                <w:noProof/>
                <w:webHidden/>
              </w:rPr>
              <w:fldChar w:fldCharType="separate"/>
            </w:r>
            <w:r w:rsidR="00BB2CFF">
              <w:rPr>
                <w:noProof/>
                <w:webHidden/>
              </w:rPr>
              <w:t>5</w:t>
            </w:r>
            <w:r>
              <w:rPr>
                <w:noProof/>
                <w:webHidden/>
              </w:rPr>
              <w:fldChar w:fldCharType="end"/>
            </w:r>
          </w:hyperlink>
        </w:p>
        <w:p w14:paraId="399ED938" w14:textId="613AB9BA"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65" w:history="1">
            <w:r w:rsidRPr="003E5EA1">
              <w:rPr>
                <w:rStyle w:val="Hyperlink"/>
                <w:rFonts w:eastAsia="Times New Roman"/>
                <w:noProof/>
              </w:rPr>
              <w:t>Attribution of expenditure</w:t>
            </w:r>
            <w:r>
              <w:rPr>
                <w:noProof/>
                <w:webHidden/>
              </w:rPr>
              <w:tab/>
            </w:r>
            <w:r>
              <w:rPr>
                <w:noProof/>
                <w:webHidden/>
              </w:rPr>
              <w:fldChar w:fldCharType="begin"/>
            </w:r>
            <w:r>
              <w:rPr>
                <w:noProof/>
                <w:webHidden/>
              </w:rPr>
              <w:instrText xml:space="preserve"> PAGEREF _Toc212545665 \h </w:instrText>
            </w:r>
            <w:r>
              <w:rPr>
                <w:noProof/>
                <w:webHidden/>
              </w:rPr>
            </w:r>
            <w:r>
              <w:rPr>
                <w:noProof/>
                <w:webHidden/>
              </w:rPr>
              <w:fldChar w:fldCharType="separate"/>
            </w:r>
            <w:r w:rsidR="00BB2CFF">
              <w:rPr>
                <w:noProof/>
                <w:webHidden/>
              </w:rPr>
              <w:t>5</w:t>
            </w:r>
            <w:r>
              <w:rPr>
                <w:noProof/>
                <w:webHidden/>
              </w:rPr>
              <w:fldChar w:fldCharType="end"/>
            </w:r>
          </w:hyperlink>
        </w:p>
        <w:p w14:paraId="1DFFFECE" w14:textId="42636663"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66" w:history="1">
            <w:r w:rsidRPr="003E5EA1">
              <w:rPr>
                <w:rStyle w:val="Hyperlink"/>
                <w:rFonts w:eastAsia="Times New Roman"/>
                <w:noProof/>
              </w:rPr>
              <w:t>AASB 16 (Leases)</w:t>
            </w:r>
            <w:r>
              <w:rPr>
                <w:noProof/>
                <w:webHidden/>
              </w:rPr>
              <w:tab/>
            </w:r>
            <w:r>
              <w:rPr>
                <w:noProof/>
                <w:webHidden/>
              </w:rPr>
              <w:fldChar w:fldCharType="begin"/>
            </w:r>
            <w:r>
              <w:rPr>
                <w:noProof/>
                <w:webHidden/>
              </w:rPr>
              <w:instrText xml:space="preserve"> PAGEREF _Toc212545666 \h </w:instrText>
            </w:r>
            <w:r>
              <w:rPr>
                <w:noProof/>
                <w:webHidden/>
              </w:rPr>
            </w:r>
            <w:r>
              <w:rPr>
                <w:noProof/>
                <w:webHidden/>
              </w:rPr>
              <w:fldChar w:fldCharType="separate"/>
            </w:r>
            <w:r w:rsidR="00BB2CFF">
              <w:rPr>
                <w:noProof/>
                <w:webHidden/>
              </w:rPr>
              <w:t>5</w:t>
            </w:r>
            <w:r>
              <w:rPr>
                <w:noProof/>
                <w:webHidden/>
              </w:rPr>
              <w:fldChar w:fldCharType="end"/>
            </w:r>
          </w:hyperlink>
        </w:p>
        <w:p w14:paraId="00DEE6ED" w14:textId="2C56BBF7"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67" w:history="1">
            <w:r w:rsidRPr="003E5EA1">
              <w:rPr>
                <w:rStyle w:val="Hyperlink"/>
                <w:rFonts w:eastAsia="Times New Roman"/>
                <w:noProof/>
              </w:rPr>
              <w:t>Adjustment to NRI for Year 1 minus 2 (if required</w:t>
            </w:r>
            <w:r w:rsidR="00F16119">
              <w:rPr>
                <w:rStyle w:val="Hyperlink"/>
                <w:rFonts w:eastAsia="Times New Roman"/>
                <w:noProof/>
              </w:rPr>
              <w:t xml:space="preserve">, </w:t>
            </w:r>
            <w:r w:rsidR="002B2903">
              <w:rPr>
                <w:rStyle w:val="Hyperlink"/>
                <w:rFonts w:eastAsia="Times New Roman"/>
                <w:noProof/>
              </w:rPr>
              <w:t>applies to</w:t>
            </w:r>
            <w:r w:rsidRPr="003E5EA1">
              <w:rPr>
                <w:rStyle w:val="Hyperlink"/>
                <w:rFonts w:eastAsia="Times New Roman"/>
                <w:noProof/>
              </w:rPr>
              <w:t xml:space="preserve"> jurisdictions that do not currently exclude this in MySchool reporting)</w:t>
            </w:r>
            <w:r>
              <w:rPr>
                <w:noProof/>
                <w:webHidden/>
              </w:rPr>
              <w:tab/>
            </w:r>
            <w:r>
              <w:rPr>
                <w:noProof/>
                <w:webHidden/>
              </w:rPr>
              <w:fldChar w:fldCharType="begin"/>
            </w:r>
            <w:r>
              <w:rPr>
                <w:noProof/>
                <w:webHidden/>
              </w:rPr>
              <w:instrText xml:space="preserve"> PAGEREF _Toc212545667 \h </w:instrText>
            </w:r>
            <w:r>
              <w:rPr>
                <w:noProof/>
                <w:webHidden/>
              </w:rPr>
            </w:r>
            <w:r>
              <w:rPr>
                <w:noProof/>
                <w:webHidden/>
              </w:rPr>
              <w:fldChar w:fldCharType="separate"/>
            </w:r>
            <w:r w:rsidR="00BB2CFF">
              <w:rPr>
                <w:noProof/>
                <w:webHidden/>
              </w:rPr>
              <w:t>5</w:t>
            </w:r>
            <w:r>
              <w:rPr>
                <w:noProof/>
                <w:webHidden/>
              </w:rPr>
              <w:fldChar w:fldCharType="end"/>
            </w:r>
          </w:hyperlink>
        </w:p>
        <w:p w14:paraId="024DCD85" w14:textId="4063CCA4"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68" w:history="1">
            <w:r w:rsidRPr="003E5EA1">
              <w:rPr>
                <w:rStyle w:val="Hyperlink"/>
                <w:rFonts w:eastAsia="Times New Roman"/>
                <w:noProof/>
              </w:rPr>
              <w:t>Adjustment to NRI for full fee-paying overseas students (if required, applies to jurisdictions that do not currently exclude this in MySchool reporting)</w:t>
            </w:r>
            <w:r>
              <w:rPr>
                <w:noProof/>
                <w:webHidden/>
              </w:rPr>
              <w:tab/>
            </w:r>
            <w:r>
              <w:rPr>
                <w:noProof/>
                <w:webHidden/>
              </w:rPr>
              <w:fldChar w:fldCharType="begin"/>
            </w:r>
            <w:r>
              <w:rPr>
                <w:noProof/>
                <w:webHidden/>
              </w:rPr>
              <w:instrText xml:space="preserve"> PAGEREF _Toc212545668 \h </w:instrText>
            </w:r>
            <w:r>
              <w:rPr>
                <w:noProof/>
                <w:webHidden/>
              </w:rPr>
            </w:r>
            <w:r>
              <w:rPr>
                <w:noProof/>
                <w:webHidden/>
              </w:rPr>
              <w:fldChar w:fldCharType="separate"/>
            </w:r>
            <w:r w:rsidR="00BB2CFF">
              <w:rPr>
                <w:noProof/>
                <w:webHidden/>
              </w:rPr>
              <w:t>6</w:t>
            </w:r>
            <w:r>
              <w:rPr>
                <w:noProof/>
                <w:webHidden/>
              </w:rPr>
              <w:fldChar w:fldCharType="end"/>
            </w:r>
          </w:hyperlink>
        </w:p>
        <w:p w14:paraId="7DD21C5D" w14:textId="77674DB1" w:rsidR="000E626B" w:rsidRDefault="000E626B">
          <w:pPr>
            <w:pStyle w:val="TOC2"/>
            <w:tabs>
              <w:tab w:val="right" w:leader="dot" w:pos="9016"/>
            </w:tabs>
            <w:rPr>
              <w:rFonts w:eastAsiaTheme="minorEastAsia"/>
              <w:noProof/>
              <w:kern w:val="2"/>
              <w:sz w:val="24"/>
              <w:szCs w:val="24"/>
              <w:lang w:eastAsia="en-AU"/>
              <w14:ligatures w14:val="standardContextual"/>
            </w:rPr>
          </w:pPr>
          <w:hyperlink w:anchor="_Toc212545669" w:history="1">
            <w:r w:rsidRPr="003E5EA1">
              <w:rPr>
                <w:rStyle w:val="Hyperlink"/>
                <w:rFonts w:eastAsia="Times New Roman"/>
                <w:noProof/>
              </w:rPr>
              <w:t>Additional funding types</w:t>
            </w:r>
            <w:r>
              <w:rPr>
                <w:noProof/>
                <w:webHidden/>
              </w:rPr>
              <w:tab/>
            </w:r>
            <w:r>
              <w:rPr>
                <w:noProof/>
                <w:webHidden/>
              </w:rPr>
              <w:fldChar w:fldCharType="begin"/>
            </w:r>
            <w:r>
              <w:rPr>
                <w:noProof/>
                <w:webHidden/>
              </w:rPr>
              <w:instrText xml:space="preserve"> PAGEREF _Toc212545669 \h </w:instrText>
            </w:r>
            <w:r>
              <w:rPr>
                <w:noProof/>
                <w:webHidden/>
              </w:rPr>
            </w:r>
            <w:r>
              <w:rPr>
                <w:noProof/>
                <w:webHidden/>
              </w:rPr>
              <w:fldChar w:fldCharType="separate"/>
            </w:r>
            <w:r w:rsidR="00BB2CFF">
              <w:rPr>
                <w:noProof/>
                <w:webHidden/>
              </w:rPr>
              <w:t>6</w:t>
            </w:r>
            <w:r>
              <w:rPr>
                <w:noProof/>
                <w:webHidden/>
              </w:rPr>
              <w:fldChar w:fldCharType="end"/>
            </w:r>
          </w:hyperlink>
        </w:p>
        <w:p w14:paraId="00971835" w14:textId="4E45BEBF"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70" w:history="1">
            <w:r w:rsidRPr="003E5EA1">
              <w:rPr>
                <w:rStyle w:val="Hyperlink"/>
                <w:rFonts w:eastAsia="Calibri"/>
                <w:noProof/>
              </w:rPr>
              <w:t>Regulatory costs</w:t>
            </w:r>
            <w:r>
              <w:rPr>
                <w:noProof/>
                <w:webHidden/>
              </w:rPr>
              <w:tab/>
            </w:r>
            <w:r>
              <w:rPr>
                <w:noProof/>
                <w:webHidden/>
              </w:rPr>
              <w:fldChar w:fldCharType="begin"/>
            </w:r>
            <w:r>
              <w:rPr>
                <w:noProof/>
                <w:webHidden/>
              </w:rPr>
              <w:instrText xml:space="preserve"> PAGEREF _Toc212545670 \h </w:instrText>
            </w:r>
            <w:r>
              <w:rPr>
                <w:noProof/>
                <w:webHidden/>
              </w:rPr>
            </w:r>
            <w:r>
              <w:rPr>
                <w:noProof/>
                <w:webHidden/>
              </w:rPr>
              <w:fldChar w:fldCharType="separate"/>
            </w:r>
            <w:r w:rsidR="00BB2CFF">
              <w:rPr>
                <w:noProof/>
                <w:webHidden/>
              </w:rPr>
              <w:t>7</w:t>
            </w:r>
            <w:r>
              <w:rPr>
                <w:noProof/>
                <w:webHidden/>
              </w:rPr>
              <w:fldChar w:fldCharType="end"/>
            </w:r>
          </w:hyperlink>
        </w:p>
        <w:p w14:paraId="3F884A26" w14:textId="55FC3C0B"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71" w:history="1">
            <w:r w:rsidRPr="003E5EA1">
              <w:rPr>
                <w:rStyle w:val="Hyperlink"/>
                <w:noProof/>
              </w:rPr>
              <w:t>Reform costs and National Enabling Initiatives (NEI) costs</w:t>
            </w:r>
            <w:r>
              <w:rPr>
                <w:noProof/>
                <w:webHidden/>
              </w:rPr>
              <w:tab/>
            </w:r>
            <w:r>
              <w:rPr>
                <w:noProof/>
                <w:webHidden/>
              </w:rPr>
              <w:fldChar w:fldCharType="begin"/>
            </w:r>
            <w:r>
              <w:rPr>
                <w:noProof/>
                <w:webHidden/>
              </w:rPr>
              <w:instrText xml:space="preserve"> PAGEREF _Toc212545671 \h </w:instrText>
            </w:r>
            <w:r>
              <w:rPr>
                <w:noProof/>
                <w:webHidden/>
              </w:rPr>
            </w:r>
            <w:r>
              <w:rPr>
                <w:noProof/>
                <w:webHidden/>
              </w:rPr>
              <w:fldChar w:fldCharType="separate"/>
            </w:r>
            <w:r w:rsidR="00BB2CFF">
              <w:rPr>
                <w:noProof/>
                <w:webHidden/>
              </w:rPr>
              <w:t>7</w:t>
            </w:r>
            <w:r>
              <w:rPr>
                <w:noProof/>
                <w:webHidden/>
              </w:rPr>
              <w:fldChar w:fldCharType="end"/>
            </w:r>
          </w:hyperlink>
        </w:p>
        <w:p w14:paraId="6A9163AD" w14:textId="153D86F2"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72" w:history="1">
            <w:r w:rsidRPr="003E5EA1">
              <w:rPr>
                <w:rStyle w:val="Hyperlink"/>
                <w:rFonts w:eastAsia="Calibri"/>
                <w:noProof/>
              </w:rPr>
              <w:t>Capital depreciation</w:t>
            </w:r>
            <w:r>
              <w:rPr>
                <w:noProof/>
                <w:webHidden/>
              </w:rPr>
              <w:tab/>
            </w:r>
            <w:r>
              <w:rPr>
                <w:noProof/>
                <w:webHidden/>
              </w:rPr>
              <w:fldChar w:fldCharType="begin"/>
            </w:r>
            <w:r>
              <w:rPr>
                <w:noProof/>
                <w:webHidden/>
              </w:rPr>
              <w:instrText xml:space="preserve"> PAGEREF _Toc212545672 \h </w:instrText>
            </w:r>
            <w:r>
              <w:rPr>
                <w:noProof/>
                <w:webHidden/>
              </w:rPr>
            </w:r>
            <w:r>
              <w:rPr>
                <w:noProof/>
                <w:webHidden/>
              </w:rPr>
              <w:fldChar w:fldCharType="separate"/>
            </w:r>
            <w:r w:rsidR="00BB2CFF">
              <w:rPr>
                <w:noProof/>
                <w:webHidden/>
              </w:rPr>
              <w:t>7</w:t>
            </w:r>
            <w:r>
              <w:rPr>
                <w:noProof/>
                <w:webHidden/>
              </w:rPr>
              <w:fldChar w:fldCharType="end"/>
            </w:r>
          </w:hyperlink>
        </w:p>
        <w:p w14:paraId="66A9E147" w14:textId="5258EFAF"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73" w:history="1">
            <w:r w:rsidRPr="003E5EA1">
              <w:rPr>
                <w:rStyle w:val="Hyperlink"/>
                <w:noProof/>
              </w:rPr>
              <w:t>Direct school transport</w:t>
            </w:r>
            <w:r>
              <w:rPr>
                <w:noProof/>
                <w:webHidden/>
              </w:rPr>
              <w:tab/>
            </w:r>
            <w:r>
              <w:rPr>
                <w:noProof/>
                <w:webHidden/>
              </w:rPr>
              <w:fldChar w:fldCharType="begin"/>
            </w:r>
            <w:r>
              <w:rPr>
                <w:noProof/>
                <w:webHidden/>
              </w:rPr>
              <w:instrText xml:space="preserve"> PAGEREF _Toc212545673 \h </w:instrText>
            </w:r>
            <w:r>
              <w:rPr>
                <w:noProof/>
                <w:webHidden/>
              </w:rPr>
            </w:r>
            <w:r>
              <w:rPr>
                <w:noProof/>
                <w:webHidden/>
              </w:rPr>
              <w:fldChar w:fldCharType="separate"/>
            </w:r>
            <w:r w:rsidR="00BB2CFF">
              <w:rPr>
                <w:noProof/>
                <w:webHidden/>
              </w:rPr>
              <w:t>7</w:t>
            </w:r>
            <w:r>
              <w:rPr>
                <w:noProof/>
                <w:webHidden/>
              </w:rPr>
              <w:fldChar w:fldCharType="end"/>
            </w:r>
          </w:hyperlink>
        </w:p>
        <w:p w14:paraId="1E343D2F" w14:textId="0DCDAF1F"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74" w:history="1">
            <w:r w:rsidRPr="003E5EA1">
              <w:rPr>
                <w:rStyle w:val="Hyperlink"/>
                <w:rFonts w:eastAsia="Calibri"/>
                <w:noProof/>
              </w:rPr>
              <w:t>Year 1 minus 2 and early childhood education</w:t>
            </w:r>
            <w:r>
              <w:rPr>
                <w:noProof/>
                <w:webHidden/>
              </w:rPr>
              <w:tab/>
            </w:r>
            <w:r>
              <w:rPr>
                <w:noProof/>
                <w:webHidden/>
              </w:rPr>
              <w:fldChar w:fldCharType="begin"/>
            </w:r>
            <w:r>
              <w:rPr>
                <w:noProof/>
                <w:webHidden/>
              </w:rPr>
              <w:instrText xml:space="preserve"> PAGEREF _Toc212545674 \h </w:instrText>
            </w:r>
            <w:r>
              <w:rPr>
                <w:noProof/>
                <w:webHidden/>
              </w:rPr>
            </w:r>
            <w:r>
              <w:rPr>
                <w:noProof/>
                <w:webHidden/>
              </w:rPr>
              <w:fldChar w:fldCharType="separate"/>
            </w:r>
            <w:r w:rsidR="00BB2CFF">
              <w:rPr>
                <w:noProof/>
                <w:webHidden/>
              </w:rPr>
              <w:t>8</w:t>
            </w:r>
            <w:r>
              <w:rPr>
                <w:noProof/>
                <w:webHidden/>
              </w:rPr>
              <w:fldChar w:fldCharType="end"/>
            </w:r>
          </w:hyperlink>
        </w:p>
        <w:p w14:paraId="551BE620" w14:textId="3EFD1BDB" w:rsidR="000E626B" w:rsidRDefault="000E626B">
          <w:pPr>
            <w:pStyle w:val="TOC3"/>
            <w:tabs>
              <w:tab w:val="right" w:leader="dot" w:pos="9016"/>
            </w:tabs>
            <w:rPr>
              <w:rFonts w:eastAsiaTheme="minorEastAsia"/>
              <w:noProof/>
              <w:kern w:val="2"/>
              <w:sz w:val="24"/>
              <w:szCs w:val="24"/>
              <w:lang w:eastAsia="en-AU"/>
              <w14:ligatures w14:val="standardContextual"/>
            </w:rPr>
          </w:pPr>
          <w:hyperlink w:anchor="_Toc212545675" w:history="1">
            <w:r w:rsidRPr="003E5EA1">
              <w:rPr>
                <w:rStyle w:val="Hyperlink"/>
                <w:rFonts w:eastAsia="Calibri"/>
                <w:noProof/>
              </w:rPr>
              <w:t>South Australia’s mid-year intake of government school reception students program</w:t>
            </w:r>
            <w:r>
              <w:rPr>
                <w:noProof/>
                <w:webHidden/>
              </w:rPr>
              <w:tab/>
            </w:r>
            <w:r>
              <w:rPr>
                <w:noProof/>
                <w:webHidden/>
              </w:rPr>
              <w:fldChar w:fldCharType="begin"/>
            </w:r>
            <w:r>
              <w:rPr>
                <w:noProof/>
                <w:webHidden/>
              </w:rPr>
              <w:instrText xml:space="preserve"> PAGEREF _Toc212545675 \h </w:instrText>
            </w:r>
            <w:r>
              <w:rPr>
                <w:noProof/>
                <w:webHidden/>
              </w:rPr>
            </w:r>
            <w:r>
              <w:rPr>
                <w:noProof/>
                <w:webHidden/>
              </w:rPr>
              <w:fldChar w:fldCharType="separate"/>
            </w:r>
            <w:r w:rsidR="00BB2CFF">
              <w:rPr>
                <w:noProof/>
                <w:webHidden/>
              </w:rPr>
              <w:t>8</w:t>
            </w:r>
            <w:r>
              <w:rPr>
                <w:noProof/>
                <w:webHidden/>
              </w:rPr>
              <w:fldChar w:fldCharType="end"/>
            </w:r>
          </w:hyperlink>
        </w:p>
        <w:p w14:paraId="2A58405A" w14:textId="378DBA70" w:rsidR="000E626B" w:rsidRDefault="000E626B">
          <w:pPr>
            <w:pStyle w:val="TOC2"/>
            <w:tabs>
              <w:tab w:val="right" w:leader="dot" w:pos="9016"/>
            </w:tabs>
            <w:rPr>
              <w:rFonts w:eastAsiaTheme="minorEastAsia"/>
              <w:noProof/>
              <w:kern w:val="2"/>
              <w:sz w:val="24"/>
              <w:szCs w:val="24"/>
              <w:lang w:eastAsia="en-AU"/>
              <w14:ligatures w14:val="standardContextual"/>
            </w:rPr>
          </w:pPr>
          <w:hyperlink w:anchor="_Toc212545676" w:history="1">
            <w:r w:rsidRPr="003E5EA1">
              <w:rPr>
                <w:rStyle w:val="Hyperlink"/>
                <w:rFonts w:eastAsia="Times New Roman"/>
                <w:noProof/>
              </w:rPr>
              <w:t>Certification requirements</w:t>
            </w:r>
            <w:r>
              <w:rPr>
                <w:noProof/>
                <w:webHidden/>
              </w:rPr>
              <w:tab/>
            </w:r>
            <w:r>
              <w:rPr>
                <w:noProof/>
                <w:webHidden/>
              </w:rPr>
              <w:fldChar w:fldCharType="begin"/>
            </w:r>
            <w:r>
              <w:rPr>
                <w:noProof/>
                <w:webHidden/>
              </w:rPr>
              <w:instrText xml:space="preserve"> PAGEREF _Toc212545676 \h </w:instrText>
            </w:r>
            <w:r>
              <w:rPr>
                <w:noProof/>
                <w:webHidden/>
              </w:rPr>
            </w:r>
            <w:r>
              <w:rPr>
                <w:noProof/>
                <w:webHidden/>
              </w:rPr>
              <w:fldChar w:fldCharType="separate"/>
            </w:r>
            <w:r w:rsidR="00BB2CFF">
              <w:rPr>
                <w:noProof/>
                <w:webHidden/>
              </w:rPr>
              <w:t>8</w:t>
            </w:r>
            <w:r>
              <w:rPr>
                <w:noProof/>
                <w:webHidden/>
              </w:rPr>
              <w:fldChar w:fldCharType="end"/>
            </w:r>
          </w:hyperlink>
        </w:p>
        <w:p w14:paraId="16A997A9" w14:textId="5DF21A19" w:rsidR="000E626B" w:rsidRDefault="000E626B">
          <w:pPr>
            <w:pStyle w:val="TOC2"/>
            <w:tabs>
              <w:tab w:val="right" w:leader="dot" w:pos="9016"/>
            </w:tabs>
            <w:rPr>
              <w:rFonts w:eastAsiaTheme="minorEastAsia"/>
              <w:noProof/>
              <w:kern w:val="2"/>
              <w:sz w:val="24"/>
              <w:szCs w:val="24"/>
              <w:lang w:eastAsia="en-AU"/>
              <w14:ligatures w14:val="standardContextual"/>
            </w:rPr>
          </w:pPr>
          <w:hyperlink w:anchor="_Toc212545677" w:history="1">
            <w:r w:rsidRPr="003E5EA1">
              <w:rPr>
                <w:rStyle w:val="Hyperlink"/>
                <w:rFonts w:eastAsia="Times New Roman"/>
                <w:noProof/>
              </w:rPr>
              <w:t>Reporting pro forma</w:t>
            </w:r>
            <w:r>
              <w:rPr>
                <w:noProof/>
                <w:webHidden/>
              </w:rPr>
              <w:tab/>
            </w:r>
            <w:r>
              <w:rPr>
                <w:noProof/>
                <w:webHidden/>
              </w:rPr>
              <w:fldChar w:fldCharType="begin"/>
            </w:r>
            <w:r>
              <w:rPr>
                <w:noProof/>
                <w:webHidden/>
              </w:rPr>
              <w:instrText xml:space="preserve"> PAGEREF _Toc212545677 \h </w:instrText>
            </w:r>
            <w:r>
              <w:rPr>
                <w:noProof/>
                <w:webHidden/>
              </w:rPr>
            </w:r>
            <w:r>
              <w:rPr>
                <w:noProof/>
                <w:webHidden/>
              </w:rPr>
              <w:fldChar w:fldCharType="separate"/>
            </w:r>
            <w:r w:rsidR="00BB2CFF">
              <w:rPr>
                <w:noProof/>
                <w:webHidden/>
              </w:rPr>
              <w:t>9</w:t>
            </w:r>
            <w:r>
              <w:rPr>
                <w:noProof/>
                <w:webHidden/>
              </w:rPr>
              <w:fldChar w:fldCharType="end"/>
            </w:r>
          </w:hyperlink>
        </w:p>
        <w:p w14:paraId="487617CD" w14:textId="4F26795A" w:rsidR="000E626B" w:rsidRPr="004803CD" w:rsidRDefault="000E626B" w:rsidP="004803CD">
          <w:pPr>
            <w:pStyle w:val="TOC3"/>
            <w:tabs>
              <w:tab w:val="right" w:leader="dot" w:pos="9016"/>
            </w:tabs>
            <w:rPr>
              <w:rStyle w:val="Hyperlink"/>
              <w:rFonts w:eastAsia="Calibri"/>
            </w:rPr>
          </w:pPr>
          <w:hyperlink w:anchor="_Toc212545679" w:history="1">
            <w:r w:rsidRPr="004803CD">
              <w:rPr>
                <w:rStyle w:val="Hyperlink"/>
                <w:rFonts w:eastAsia="Calibri"/>
                <w:noProof/>
              </w:rPr>
              <w:t>Part 1 – Summary of reported state or territory funding contributions</w:t>
            </w:r>
            <w:r w:rsidRPr="004803CD">
              <w:rPr>
                <w:rStyle w:val="Hyperlink"/>
                <w:rFonts w:eastAsia="Calibri"/>
                <w:webHidden/>
              </w:rPr>
              <w:tab/>
            </w:r>
            <w:r w:rsidRPr="004803CD">
              <w:rPr>
                <w:rStyle w:val="Hyperlink"/>
                <w:rFonts w:eastAsia="Calibri"/>
                <w:webHidden/>
              </w:rPr>
              <w:fldChar w:fldCharType="begin"/>
            </w:r>
            <w:r w:rsidRPr="004803CD">
              <w:rPr>
                <w:rStyle w:val="Hyperlink"/>
                <w:rFonts w:eastAsia="Calibri"/>
                <w:webHidden/>
              </w:rPr>
              <w:instrText xml:space="preserve"> PAGEREF _Toc212545679 \h </w:instrText>
            </w:r>
            <w:r w:rsidRPr="004803CD">
              <w:rPr>
                <w:rStyle w:val="Hyperlink"/>
                <w:rFonts w:eastAsia="Calibri"/>
                <w:webHidden/>
              </w:rPr>
            </w:r>
            <w:r w:rsidRPr="004803CD">
              <w:rPr>
                <w:rStyle w:val="Hyperlink"/>
                <w:rFonts w:eastAsia="Calibri"/>
                <w:webHidden/>
              </w:rPr>
              <w:fldChar w:fldCharType="separate"/>
            </w:r>
            <w:r w:rsidR="00BB2CFF">
              <w:rPr>
                <w:rStyle w:val="Hyperlink"/>
                <w:rFonts w:eastAsia="Calibri"/>
                <w:noProof/>
                <w:webHidden/>
              </w:rPr>
              <w:t>10</w:t>
            </w:r>
            <w:r w:rsidRPr="004803CD">
              <w:rPr>
                <w:rStyle w:val="Hyperlink"/>
                <w:rFonts w:eastAsia="Calibri"/>
                <w:webHidden/>
              </w:rPr>
              <w:fldChar w:fldCharType="end"/>
            </w:r>
          </w:hyperlink>
        </w:p>
        <w:p w14:paraId="098387A2" w14:textId="300C17ED" w:rsidR="000E626B" w:rsidRPr="004803CD" w:rsidRDefault="000E626B" w:rsidP="004803CD">
          <w:pPr>
            <w:pStyle w:val="TOC3"/>
            <w:tabs>
              <w:tab w:val="right" w:leader="dot" w:pos="9016"/>
            </w:tabs>
            <w:rPr>
              <w:rStyle w:val="Hyperlink"/>
              <w:rFonts w:eastAsia="Calibri"/>
            </w:rPr>
          </w:pPr>
          <w:hyperlink w:anchor="_Toc212545684" w:history="1">
            <w:r w:rsidRPr="004803CD">
              <w:rPr>
                <w:rStyle w:val="Hyperlink"/>
                <w:rFonts w:eastAsia="Calibri"/>
                <w:noProof/>
              </w:rPr>
              <w:t>Part 2 – Certification of funding contribution requirements</w:t>
            </w:r>
            <w:r w:rsidRPr="004803CD">
              <w:rPr>
                <w:rStyle w:val="Hyperlink"/>
                <w:rFonts w:eastAsia="Calibri"/>
                <w:webHidden/>
              </w:rPr>
              <w:tab/>
            </w:r>
            <w:r w:rsidRPr="004803CD">
              <w:rPr>
                <w:rStyle w:val="Hyperlink"/>
                <w:rFonts w:eastAsia="Calibri"/>
                <w:webHidden/>
              </w:rPr>
              <w:fldChar w:fldCharType="begin"/>
            </w:r>
            <w:r w:rsidRPr="004803CD">
              <w:rPr>
                <w:rStyle w:val="Hyperlink"/>
                <w:rFonts w:eastAsia="Calibri"/>
                <w:webHidden/>
              </w:rPr>
              <w:instrText xml:space="preserve"> PAGEREF _Toc212545684 \h </w:instrText>
            </w:r>
            <w:r w:rsidRPr="004803CD">
              <w:rPr>
                <w:rStyle w:val="Hyperlink"/>
                <w:rFonts w:eastAsia="Calibri"/>
                <w:webHidden/>
              </w:rPr>
            </w:r>
            <w:r w:rsidRPr="004803CD">
              <w:rPr>
                <w:rStyle w:val="Hyperlink"/>
                <w:rFonts w:eastAsia="Calibri"/>
                <w:webHidden/>
              </w:rPr>
              <w:fldChar w:fldCharType="separate"/>
            </w:r>
            <w:r w:rsidR="00BB2CFF">
              <w:rPr>
                <w:rStyle w:val="Hyperlink"/>
                <w:rFonts w:eastAsia="Calibri"/>
                <w:noProof/>
                <w:webHidden/>
              </w:rPr>
              <w:t>14</w:t>
            </w:r>
            <w:r w:rsidRPr="004803CD">
              <w:rPr>
                <w:rStyle w:val="Hyperlink"/>
                <w:rFonts w:eastAsia="Calibri"/>
                <w:webHidden/>
              </w:rPr>
              <w:fldChar w:fldCharType="end"/>
            </w:r>
          </w:hyperlink>
        </w:p>
        <w:p w14:paraId="43155357" w14:textId="767FFE16" w:rsidR="000E626B" w:rsidRPr="004803CD" w:rsidRDefault="000E626B" w:rsidP="004803CD">
          <w:pPr>
            <w:pStyle w:val="TOC3"/>
            <w:tabs>
              <w:tab w:val="right" w:leader="dot" w:pos="9016"/>
            </w:tabs>
            <w:rPr>
              <w:rStyle w:val="Hyperlink"/>
              <w:rFonts w:eastAsia="Calibri"/>
            </w:rPr>
          </w:pPr>
          <w:hyperlink w:anchor="_Toc212545686" w:history="1">
            <w:r w:rsidRPr="004803CD">
              <w:rPr>
                <w:rStyle w:val="Hyperlink"/>
                <w:rFonts w:eastAsia="Calibri"/>
                <w:noProof/>
              </w:rPr>
              <w:t>Part 3 – Mitigation factors (if required)</w:t>
            </w:r>
            <w:r w:rsidRPr="004803CD">
              <w:rPr>
                <w:rStyle w:val="Hyperlink"/>
                <w:rFonts w:eastAsia="Calibri"/>
                <w:webHidden/>
              </w:rPr>
              <w:tab/>
            </w:r>
            <w:r w:rsidRPr="004803CD">
              <w:rPr>
                <w:rStyle w:val="Hyperlink"/>
                <w:rFonts w:eastAsia="Calibri"/>
                <w:webHidden/>
              </w:rPr>
              <w:fldChar w:fldCharType="begin"/>
            </w:r>
            <w:r w:rsidRPr="004803CD">
              <w:rPr>
                <w:rStyle w:val="Hyperlink"/>
                <w:rFonts w:eastAsia="Calibri"/>
                <w:webHidden/>
              </w:rPr>
              <w:instrText xml:space="preserve"> PAGEREF _Toc212545686 \h </w:instrText>
            </w:r>
            <w:r w:rsidRPr="004803CD">
              <w:rPr>
                <w:rStyle w:val="Hyperlink"/>
                <w:rFonts w:eastAsia="Calibri"/>
                <w:webHidden/>
              </w:rPr>
            </w:r>
            <w:r w:rsidRPr="004803CD">
              <w:rPr>
                <w:rStyle w:val="Hyperlink"/>
                <w:rFonts w:eastAsia="Calibri"/>
                <w:webHidden/>
              </w:rPr>
              <w:fldChar w:fldCharType="separate"/>
            </w:r>
            <w:r w:rsidR="00BB2CFF">
              <w:rPr>
                <w:rStyle w:val="Hyperlink"/>
                <w:rFonts w:eastAsia="Calibri"/>
                <w:noProof/>
                <w:webHidden/>
              </w:rPr>
              <w:t>15</w:t>
            </w:r>
            <w:r w:rsidRPr="004803CD">
              <w:rPr>
                <w:rStyle w:val="Hyperlink"/>
                <w:rFonts w:eastAsia="Calibri"/>
                <w:webHidden/>
              </w:rPr>
              <w:fldChar w:fldCharType="end"/>
            </w:r>
          </w:hyperlink>
        </w:p>
        <w:p w14:paraId="242B19C5" w14:textId="62138A89" w:rsidR="000E626B" w:rsidRPr="004803CD" w:rsidRDefault="000E626B" w:rsidP="004803CD">
          <w:pPr>
            <w:pStyle w:val="TOC3"/>
            <w:tabs>
              <w:tab w:val="right" w:leader="dot" w:pos="9016"/>
            </w:tabs>
            <w:rPr>
              <w:rStyle w:val="Hyperlink"/>
              <w:rFonts w:eastAsia="Calibri"/>
            </w:rPr>
          </w:pPr>
          <w:hyperlink w:anchor="_Toc212545687" w:history="1">
            <w:r w:rsidRPr="004803CD">
              <w:rPr>
                <w:rStyle w:val="Hyperlink"/>
                <w:rFonts w:eastAsia="Calibri"/>
                <w:noProof/>
              </w:rPr>
              <w:t>Part 4 – Explanatory statement (optional)</w:t>
            </w:r>
            <w:r w:rsidRPr="004803CD">
              <w:rPr>
                <w:rStyle w:val="Hyperlink"/>
                <w:rFonts w:eastAsia="Calibri"/>
                <w:webHidden/>
              </w:rPr>
              <w:tab/>
            </w:r>
            <w:r w:rsidRPr="004803CD">
              <w:rPr>
                <w:rStyle w:val="Hyperlink"/>
                <w:rFonts w:eastAsia="Calibri"/>
                <w:webHidden/>
              </w:rPr>
              <w:fldChar w:fldCharType="begin"/>
            </w:r>
            <w:r w:rsidRPr="004803CD">
              <w:rPr>
                <w:rStyle w:val="Hyperlink"/>
                <w:rFonts w:eastAsia="Calibri"/>
                <w:webHidden/>
              </w:rPr>
              <w:instrText xml:space="preserve"> PAGEREF _Toc212545687 \h </w:instrText>
            </w:r>
            <w:r w:rsidRPr="004803CD">
              <w:rPr>
                <w:rStyle w:val="Hyperlink"/>
                <w:rFonts w:eastAsia="Calibri"/>
                <w:webHidden/>
              </w:rPr>
            </w:r>
            <w:r w:rsidRPr="004803CD">
              <w:rPr>
                <w:rStyle w:val="Hyperlink"/>
                <w:rFonts w:eastAsia="Calibri"/>
                <w:webHidden/>
              </w:rPr>
              <w:fldChar w:fldCharType="separate"/>
            </w:r>
            <w:r w:rsidR="00BB2CFF">
              <w:rPr>
                <w:rStyle w:val="Hyperlink"/>
                <w:rFonts w:eastAsia="Calibri"/>
                <w:noProof/>
                <w:webHidden/>
              </w:rPr>
              <w:t>15</w:t>
            </w:r>
            <w:r w:rsidRPr="004803CD">
              <w:rPr>
                <w:rStyle w:val="Hyperlink"/>
                <w:rFonts w:eastAsia="Calibri"/>
                <w:webHidden/>
              </w:rPr>
              <w:fldChar w:fldCharType="end"/>
            </w:r>
          </w:hyperlink>
        </w:p>
        <w:p w14:paraId="24885E9A" w14:textId="521CC43A" w:rsidR="000E626B" w:rsidRPr="004803CD" w:rsidRDefault="000E626B" w:rsidP="004803CD">
          <w:pPr>
            <w:pStyle w:val="TOC3"/>
            <w:tabs>
              <w:tab w:val="right" w:leader="dot" w:pos="9016"/>
            </w:tabs>
            <w:rPr>
              <w:rStyle w:val="Hyperlink"/>
              <w:rFonts w:eastAsia="Calibri"/>
            </w:rPr>
          </w:pPr>
          <w:hyperlink w:anchor="_Toc212545688" w:history="1">
            <w:r w:rsidRPr="004803CD">
              <w:rPr>
                <w:rStyle w:val="Hyperlink"/>
                <w:rFonts w:eastAsia="Calibri"/>
                <w:noProof/>
              </w:rPr>
              <w:t>Part 5 – Secretary/Director-General approval</w:t>
            </w:r>
            <w:r w:rsidRPr="004803CD">
              <w:rPr>
                <w:rStyle w:val="Hyperlink"/>
                <w:rFonts w:eastAsia="Calibri"/>
                <w:webHidden/>
              </w:rPr>
              <w:tab/>
            </w:r>
            <w:r w:rsidRPr="004803CD">
              <w:rPr>
                <w:rStyle w:val="Hyperlink"/>
                <w:rFonts w:eastAsia="Calibri"/>
                <w:webHidden/>
              </w:rPr>
              <w:fldChar w:fldCharType="begin"/>
            </w:r>
            <w:r w:rsidRPr="004803CD">
              <w:rPr>
                <w:rStyle w:val="Hyperlink"/>
                <w:rFonts w:eastAsia="Calibri"/>
                <w:webHidden/>
              </w:rPr>
              <w:instrText xml:space="preserve"> PAGEREF _Toc212545688 \h </w:instrText>
            </w:r>
            <w:r w:rsidRPr="004803CD">
              <w:rPr>
                <w:rStyle w:val="Hyperlink"/>
                <w:rFonts w:eastAsia="Calibri"/>
                <w:webHidden/>
              </w:rPr>
            </w:r>
            <w:r w:rsidRPr="004803CD">
              <w:rPr>
                <w:rStyle w:val="Hyperlink"/>
                <w:rFonts w:eastAsia="Calibri"/>
                <w:webHidden/>
              </w:rPr>
              <w:fldChar w:fldCharType="separate"/>
            </w:r>
            <w:r w:rsidR="00BB2CFF">
              <w:rPr>
                <w:rStyle w:val="Hyperlink"/>
                <w:rFonts w:eastAsia="Calibri"/>
                <w:noProof/>
                <w:webHidden/>
              </w:rPr>
              <w:t>16</w:t>
            </w:r>
            <w:r w:rsidRPr="004803CD">
              <w:rPr>
                <w:rStyle w:val="Hyperlink"/>
                <w:rFonts w:eastAsia="Calibri"/>
                <w:webHidden/>
              </w:rPr>
              <w:fldChar w:fldCharType="end"/>
            </w:r>
          </w:hyperlink>
        </w:p>
        <w:p w14:paraId="30AD825C" w14:textId="09899ED1" w:rsidR="000E626B" w:rsidRDefault="000E626B">
          <w:r>
            <w:rPr>
              <w:b/>
              <w:bCs/>
              <w:noProof/>
            </w:rPr>
            <w:fldChar w:fldCharType="end"/>
          </w:r>
        </w:p>
      </w:sdtContent>
    </w:sdt>
    <w:p w14:paraId="4836D8A2" w14:textId="77777777" w:rsidR="008E5EE5" w:rsidRDefault="008E5EE5" w:rsidP="00D712B4">
      <w:pPr>
        <w:pStyle w:val="Heading2"/>
        <w:spacing w:before="480"/>
        <w:rPr>
          <w:sz w:val="36"/>
          <w:szCs w:val="36"/>
        </w:rPr>
        <w:sectPr w:rsidR="008E5EE5" w:rsidSect="00090F2C">
          <w:headerReference w:type="default" r:id="rId14"/>
          <w:footerReference w:type="default" r:id="rId15"/>
          <w:pgSz w:w="11906" w:h="16838"/>
          <w:pgMar w:top="1440" w:right="1440" w:bottom="1440" w:left="1440" w:header="708" w:footer="708" w:gutter="0"/>
          <w:cols w:space="708"/>
          <w:docGrid w:linePitch="360"/>
        </w:sectPr>
      </w:pPr>
    </w:p>
    <w:p w14:paraId="1FA45301" w14:textId="7983B8D2" w:rsidR="000C1039" w:rsidRPr="00D712B4" w:rsidRDefault="000C1039" w:rsidP="00D712B4">
      <w:pPr>
        <w:pStyle w:val="Heading2"/>
        <w:spacing w:before="480"/>
        <w:rPr>
          <w:sz w:val="36"/>
          <w:szCs w:val="36"/>
        </w:rPr>
      </w:pPr>
      <w:bookmarkStart w:id="6" w:name="_Toc212545660"/>
      <w:r w:rsidRPr="00D712B4">
        <w:rPr>
          <w:sz w:val="36"/>
          <w:szCs w:val="36"/>
        </w:rPr>
        <w:lastRenderedPageBreak/>
        <w:t>Introduction</w:t>
      </w:r>
      <w:bookmarkEnd w:id="6"/>
    </w:p>
    <w:p w14:paraId="354EE2D9" w14:textId="655B4F29" w:rsidR="008C4A6B" w:rsidRDefault="0018601A" w:rsidP="0018601A">
      <w:pPr>
        <w:rPr>
          <w:rFonts w:eastAsia="Calibri" w:cstheme="minorHAnsi"/>
          <w:szCs w:val="24"/>
        </w:rPr>
      </w:pPr>
      <w:r w:rsidRPr="0018601A">
        <w:rPr>
          <w:rFonts w:eastAsia="Calibri" w:cstheme="minorHAnsi"/>
          <w:szCs w:val="24"/>
        </w:rPr>
        <w:t xml:space="preserve">The Australian Government and state and territory governments have committed to minimum funding contributions for government and non-government schools through </w:t>
      </w:r>
      <w:r w:rsidR="00307DE1">
        <w:rPr>
          <w:rFonts w:eastAsia="Calibri" w:cstheme="minorHAnsi"/>
          <w:szCs w:val="24"/>
        </w:rPr>
        <w:t xml:space="preserve">bilateral </w:t>
      </w:r>
      <w:r w:rsidRPr="0018601A">
        <w:rPr>
          <w:rFonts w:eastAsia="Calibri" w:cstheme="minorHAnsi"/>
          <w:szCs w:val="24"/>
        </w:rPr>
        <w:t xml:space="preserve">agreements </w:t>
      </w:r>
      <w:r w:rsidR="001D79AF">
        <w:rPr>
          <w:rFonts w:eastAsia="Calibri" w:cstheme="minorHAnsi"/>
          <w:szCs w:val="24"/>
        </w:rPr>
        <w:t>between the C</w:t>
      </w:r>
      <w:r w:rsidR="009D2584">
        <w:rPr>
          <w:rFonts w:eastAsia="Calibri" w:cstheme="minorHAnsi"/>
          <w:szCs w:val="24"/>
        </w:rPr>
        <w:t>ommonwealth and each jurisdictio</w:t>
      </w:r>
      <w:r w:rsidR="009D2584" w:rsidRPr="00AE3242">
        <w:rPr>
          <w:rFonts w:eastAsia="Calibri" w:cstheme="minorHAnsi"/>
          <w:szCs w:val="24"/>
        </w:rPr>
        <w:t>n.</w:t>
      </w:r>
      <w:r w:rsidR="009D2584">
        <w:rPr>
          <w:rFonts w:eastAsia="Calibri" w:cstheme="minorHAnsi"/>
          <w:szCs w:val="24"/>
        </w:rPr>
        <w:t xml:space="preserve"> </w:t>
      </w:r>
      <w:r w:rsidR="00E877C6">
        <w:rPr>
          <w:rFonts w:eastAsia="Calibri" w:cstheme="minorHAnsi"/>
          <w:szCs w:val="24"/>
        </w:rPr>
        <w:t>Minimum funding shares are specified in each of these bilateral agreements.</w:t>
      </w:r>
    </w:p>
    <w:p w14:paraId="43CD7560" w14:textId="11FF0D1A" w:rsidR="0018601A" w:rsidRPr="0018601A" w:rsidRDefault="0018601A" w:rsidP="0018601A">
      <w:pPr>
        <w:rPr>
          <w:rFonts w:eastAsia="Calibri" w:cstheme="minorHAnsi"/>
          <w:szCs w:val="24"/>
        </w:rPr>
      </w:pPr>
      <w:r w:rsidRPr="0018601A">
        <w:rPr>
          <w:rFonts w:eastAsia="Calibri" w:cstheme="minorHAnsi"/>
          <w:szCs w:val="24"/>
        </w:rPr>
        <w:t xml:space="preserve">Funding contributions are expressed as percentages of the jurisdiction's </w:t>
      </w:r>
      <w:r w:rsidR="008C4A6B">
        <w:rPr>
          <w:rFonts w:eastAsia="Calibri" w:cstheme="minorHAnsi"/>
          <w:szCs w:val="24"/>
        </w:rPr>
        <w:t xml:space="preserve">total </w:t>
      </w:r>
      <w:r w:rsidRPr="0018601A">
        <w:rPr>
          <w:rFonts w:eastAsia="Calibri" w:cstheme="minorHAnsi"/>
          <w:szCs w:val="24"/>
        </w:rPr>
        <w:t>Schooling Resource Standard (SRS) for each sector</w:t>
      </w:r>
      <w:r w:rsidR="00D712B4">
        <w:rPr>
          <w:rFonts w:eastAsia="Calibri" w:cstheme="minorHAnsi"/>
          <w:szCs w:val="24"/>
        </w:rPr>
        <w:t xml:space="preserve"> (government and non-government)</w:t>
      </w:r>
      <w:r w:rsidRPr="0018601A">
        <w:rPr>
          <w:rFonts w:eastAsia="Calibri" w:cstheme="minorHAnsi"/>
          <w:szCs w:val="24"/>
        </w:rPr>
        <w:t xml:space="preserve">. </w:t>
      </w:r>
      <w:r w:rsidR="008C4A6B">
        <w:rPr>
          <w:rFonts w:eastAsia="Calibri" w:cstheme="minorHAnsi"/>
          <w:szCs w:val="24"/>
        </w:rPr>
        <w:t xml:space="preserve">The SRS </w:t>
      </w:r>
      <w:r w:rsidRPr="0018601A">
        <w:rPr>
          <w:rFonts w:eastAsia="Calibri" w:cstheme="minorHAnsi"/>
          <w:szCs w:val="24"/>
        </w:rPr>
        <w:t xml:space="preserve">is an estimate of how much public funding a school needs to meet its students’ educational needs and includes a base funding amount for every primary and secondary student enrolled at a school and up to 6 additional funding loadings for </w:t>
      </w:r>
      <w:r w:rsidR="00D0437F">
        <w:rPr>
          <w:rFonts w:eastAsia="Calibri" w:cstheme="minorHAnsi"/>
          <w:szCs w:val="24"/>
        </w:rPr>
        <w:t xml:space="preserve">disadvantaged schools, students </w:t>
      </w:r>
      <w:r w:rsidRPr="0018601A">
        <w:rPr>
          <w:rFonts w:eastAsia="Calibri" w:cstheme="minorHAnsi"/>
          <w:szCs w:val="24"/>
        </w:rPr>
        <w:t>and priority equity cohorts.   </w:t>
      </w:r>
    </w:p>
    <w:p w14:paraId="3C1CCE80" w14:textId="3370A3C1" w:rsidR="0018601A" w:rsidRPr="0018601A" w:rsidRDefault="0018601A" w:rsidP="0018601A">
      <w:pPr>
        <w:rPr>
          <w:rFonts w:eastAsia="Calibri" w:cstheme="minorHAnsi"/>
          <w:szCs w:val="24"/>
        </w:rPr>
      </w:pPr>
      <w:r w:rsidRPr="0018601A">
        <w:rPr>
          <w:rFonts w:eastAsia="Calibri" w:cstheme="minorHAnsi"/>
          <w:szCs w:val="24"/>
        </w:rPr>
        <w:t xml:space="preserve">The Australian Government </w:t>
      </w:r>
      <w:r w:rsidR="000E1DCB">
        <w:rPr>
          <w:rFonts w:eastAsia="Calibri" w:cstheme="minorHAnsi"/>
          <w:szCs w:val="24"/>
        </w:rPr>
        <w:t>has</w:t>
      </w:r>
      <w:r w:rsidR="000E1DCB" w:rsidRPr="0018601A">
        <w:rPr>
          <w:rFonts w:eastAsia="Calibri" w:cstheme="minorHAnsi"/>
          <w:szCs w:val="24"/>
        </w:rPr>
        <w:t xml:space="preserve"> </w:t>
      </w:r>
      <w:r w:rsidRPr="0018601A">
        <w:rPr>
          <w:rFonts w:eastAsia="Calibri" w:cstheme="minorHAnsi"/>
          <w:szCs w:val="24"/>
        </w:rPr>
        <w:t>work</w:t>
      </w:r>
      <w:r w:rsidR="000E1DCB">
        <w:rPr>
          <w:rFonts w:eastAsia="Calibri" w:cstheme="minorHAnsi"/>
          <w:szCs w:val="24"/>
        </w:rPr>
        <w:t>ed</w:t>
      </w:r>
      <w:r w:rsidRPr="0018601A">
        <w:rPr>
          <w:rFonts w:eastAsia="Calibri" w:cstheme="minorHAnsi"/>
          <w:szCs w:val="24"/>
        </w:rPr>
        <w:t xml:space="preserve"> with states and territories to put all government schools on a pathway to 100 per cent of the SRS </w:t>
      </w:r>
      <w:r w:rsidRPr="00852DAB">
        <w:rPr>
          <w:rFonts w:eastAsia="Calibri" w:cstheme="minorHAnsi"/>
          <w:szCs w:val="24"/>
        </w:rPr>
        <w:t xml:space="preserve">through the Better and Fairer Schools Agreement (BFSA) and the </w:t>
      </w:r>
      <w:r w:rsidR="00E63A99">
        <w:rPr>
          <w:rFonts w:eastAsia="Calibri" w:cstheme="minorHAnsi"/>
          <w:szCs w:val="24"/>
        </w:rPr>
        <w:t>Better and Fairer Schools Agreement</w:t>
      </w:r>
      <w:r w:rsidRPr="00852DAB">
        <w:rPr>
          <w:rFonts w:eastAsia="Calibri" w:cstheme="minorHAnsi"/>
          <w:szCs w:val="24"/>
        </w:rPr>
        <w:t xml:space="preserve"> – Full and Fair Funding 2025-2034 (</w:t>
      </w:r>
      <w:r w:rsidR="007A11FE">
        <w:rPr>
          <w:rFonts w:eastAsia="Calibri" w:cstheme="minorHAnsi"/>
          <w:szCs w:val="24"/>
        </w:rPr>
        <w:t xml:space="preserve">BFSA </w:t>
      </w:r>
      <w:r w:rsidRPr="00852DAB">
        <w:rPr>
          <w:rFonts w:eastAsia="Calibri" w:cstheme="minorHAnsi"/>
          <w:szCs w:val="24"/>
        </w:rPr>
        <w:t>Full and Fair</w:t>
      </w:r>
      <w:r w:rsidR="008D44F4">
        <w:rPr>
          <w:rFonts w:eastAsia="Calibri" w:cstheme="minorHAnsi"/>
          <w:szCs w:val="24"/>
        </w:rPr>
        <w:t xml:space="preserve"> Funding)</w:t>
      </w:r>
      <w:r w:rsidRPr="00852DAB">
        <w:rPr>
          <w:rFonts w:eastAsia="Calibri" w:cstheme="minorHAnsi"/>
          <w:szCs w:val="24"/>
        </w:rPr>
        <w:t>.</w:t>
      </w:r>
      <w:r w:rsidRPr="0018601A">
        <w:rPr>
          <w:rFonts w:eastAsia="Calibri" w:cstheme="minorHAnsi"/>
          <w:szCs w:val="24"/>
        </w:rPr>
        <w:t> </w:t>
      </w:r>
      <w:r w:rsidR="005166B5">
        <w:rPr>
          <w:rFonts w:eastAsia="Calibri" w:cstheme="minorHAnsi"/>
          <w:szCs w:val="24"/>
        </w:rPr>
        <w:t>Thes</w:t>
      </w:r>
      <w:r w:rsidR="007A11FE">
        <w:rPr>
          <w:rFonts w:eastAsia="Calibri" w:cstheme="minorHAnsi"/>
          <w:szCs w:val="24"/>
        </w:rPr>
        <w:t xml:space="preserve">e agreements are collectively referred </w:t>
      </w:r>
      <w:r w:rsidR="00FE6DC3">
        <w:rPr>
          <w:rFonts w:eastAsia="Calibri" w:cstheme="minorHAnsi"/>
          <w:szCs w:val="24"/>
        </w:rPr>
        <w:t xml:space="preserve">to as the BFSA </w:t>
      </w:r>
      <w:r w:rsidR="00903901">
        <w:rPr>
          <w:rFonts w:eastAsia="Calibri" w:cstheme="minorHAnsi"/>
          <w:szCs w:val="24"/>
        </w:rPr>
        <w:t>a</w:t>
      </w:r>
      <w:r w:rsidR="00FE6DC3">
        <w:rPr>
          <w:rFonts w:eastAsia="Calibri" w:cstheme="minorHAnsi"/>
          <w:szCs w:val="24"/>
        </w:rPr>
        <w:t>greements.</w:t>
      </w:r>
      <w:r w:rsidRPr="0018601A">
        <w:rPr>
          <w:rFonts w:eastAsia="Calibri" w:cstheme="minorHAnsi"/>
          <w:szCs w:val="24"/>
        </w:rPr>
        <w:t>     </w:t>
      </w:r>
    </w:p>
    <w:p w14:paraId="39C27123" w14:textId="03D571F1" w:rsidR="008C4A6B" w:rsidRPr="00D712B4" w:rsidRDefault="008C4A6B" w:rsidP="00D712B4">
      <w:pPr>
        <w:pStyle w:val="Heading2"/>
        <w:spacing w:before="480"/>
        <w:rPr>
          <w:sz w:val="36"/>
          <w:szCs w:val="36"/>
        </w:rPr>
      </w:pPr>
      <w:bookmarkStart w:id="7" w:name="_Toc212545661"/>
      <w:r w:rsidRPr="00D712B4">
        <w:rPr>
          <w:sz w:val="36"/>
          <w:szCs w:val="36"/>
        </w:rPr>
        <w:t>Required state and territory school funding contributions</w:t>
      </w:r>
      <w:bookmarkEnd w:id="7"/>
    </w:p>
    <w:p w14:paraId="740AD01F" w14:textId="32656C0C" w:rsidR="00D712B4" w:rsidRDefault="000C1039" w:rsidP="008C4A6B">
      <w:pPr>
        <w:rPr>
          <w:rFonts w:eastAsia="Calibri" w:cstheme="minorHAnsi"/>
          <w:szCs w:val="24"/>
        </w:rPr>
      </w:pPr>
      <w:bookmarkStart w:id="8" w:name="_Hlk214454265"/>
      <w:r w:rsidRPr="00137205">
        <w:rPr>
          <w:rFonts w:eastAsia="Calibri" w:cstheme="minorHAnsi"/>
          <w:szCs w:val="24"/>
        </w:rPr>
        <w:t xml:space="preserve">The </w:t>
      </w:r>
      <w:r w:rsidRPr="00137205">
        <w:rPr>
          <w:rFonts w:eastAsia="Calibri" w:cstheme="minorHAnsi"/>
          <w:i/>
          <w:szCs w:val="24"/>
        </w:rPr>
        <w:t>Australian Education Act 2013</w:t>
      </w:r>
      <w:r w:rsidRPr="00137205">
        <w:rPr>
          <w:rFonts w:eastAsia="Calibri" w:cstheme="minorHAnsi"/>
          <w:szCs w:val="24"/>
        </w:rPr>
        <w:t xml:space="preserve"> (the Act) sets out conditions for state</w:t>
      </w:r>
      <w:r w:rsidR="00D712B4">
        <w:rPr>
          <w:rFonts w:eastAsia="Calibri" w:cstheme="minorHAnsi"/>
          <w:szCs w:val="24"/>
        </w:rPr>
        <w:t>s</w:t>
      </w:r>
      <w:r w:rsidRPr="00137205">
        <w:rPr>
          <w:rFonts w:eastAsia="Calibri" w:cstheme="minorHAnsi"/>
          <w:szCs w:val="24"/>
        </w:rPr>
        <w:t xml:space="preserve"> and territories to receive </w:t>
      </w:r>
      <w:r w:rsidR="00852DAB">
        <w:rPr>
          <w:rFonts w:eastAsia="Calibri" w:cstheme="minorHAnsi"/>
          <w:szCs w:val="24"/>
        </w:rPr>
        <w:t>Commonwealth</w:t>
      </w:r>
      <w:r>
        <w:rPr>
          <w:rFonts w:eastAsia="Calibri" w:cstheme="minorHAnsi"/>
          <w:szCs w:val="24"/>
        </w:rPr>
        <w:t xml:space="preserve"> </w:t>
      </w:r>
      <w:r w:rsidRPr="00137205">
        <w:rPr>
          <w:rFonts w:eastAsia="Calibri" w:cstheme="minorHAnsi"/>
          <w:szCs w:val="24"/>
        </w:rPr>
        <w:t xml:space="preserve">financial assistance for government and non-government schools in that state or territory. </w:t>
      </w:r>
    </w:p>
    <w:p w14:paraId="1764E0BD" w14:textId="60F76F3E" w:rsidR="000C1039" w:rsidRPr="008C4A6B" w:rsidRDefault="000C1039" w:rsidP="008C4A6B">
      <w:pPr>
        <w:rPr>
          <w:rFonts w:eastAsia="Calibri" w:cstheme="minorHAnsi"/>
          <w:szCs w:val="24"/>
        </w:rPr>
      </w:pPr>
      <w:r w:rsidRPr="00137205">
        <w:rPr>
          <w:rFonts w:eastAsia="Calibri" w:cstheme="minorHAnsi"/>
          <w:szCs w:val="24"/>
        </w:rPr>
        <w:t xml:space="preserve">This includes default requirements for minimum state </w:t>
      </w:r>
      <w:r>
        <w:rPr>
          <w:rFonts w:eastAsia="Calibri" w:cstheme="minorHAnsi"/>
          <w:szCs w:val="24"/>
        </w:rPr>
        <w:t xml:space="preserve">and territory </w:t>
      </w:r>
      <w:r w:rsidRPr="00137205">
        <w:rPr>
          <w:rFonts w:eastAsia="Calibri" w:cstheme="minorHAnsi"/>
          <w:szCs w:val="24"/>
        </w:rPr>
        <w:t xml:space="preserve">funding contributions for the government and non-government sectors under </w:t>
      </w:r>
      <w:r w:rsidR="001C27F5">
        <w:rPr>
          <w:rFonts w:eastAsia="Calibri" w:cstheme="minorHAnsi"/>
          <w:szCs w:val="24"/>
        </w:rPr>
        <w:t>s</w:t>
      </w:r>
      <w:r w:rsidRPr="00137205">
        <w:rPr>
          <w:rFonts w:eastAsia="Calibri" w:cstheme="minorHAnsi"/>
          <w:szCs w:val="24"/>
        </w:rPr>
        <w:t>ection 22A of the Act</w:t>
      </w:r>
      <w:r w:rsidR="00852DAB">
        <w:rPr>
          <w:rFonts w:eastAsia="Calibri" w:cstheme="minorHAnsi"/>
          <w:szCs w:val="24"/>
        </w:rPr>
        <w:t xml:space="preserve">, </w:t>
      </w:r>
      <w:r w:rsidR="0018601A">
        <w:rPr>
          <w:rFonts w:eastAsia="Calibri" w:cstheme="minorHAnsi"/>
          <w:szCs w:val="24"/>
        </w:rPr>
        <w:t>unless otherwise agreed by the Commonwealth</w:t>
      </w:r>
      <w:r w:rsidR="008C4A6B">
        <w:rPr>
          <w:rFonts w:eastAsia="Calibri" w:cstheme="minorHAnsi"/>
          <w:szCs w:val="24"/>
        </w:rPr>
        <w:t xml:space="preserve"> in a</w:t>
      </w:r>
      <w:r w:rsidR="00852DAB">
        <w:rPr>
          <w:rFonts w:eastAsia="Calibri" w:cstheme="minorHAnsi"/>
          <w:szCs w:val="24"/>
        </w:rPr>
        <w:t xml:space="preserve"> school</w:t>
      </w:r>
      <w:r w:rsidR="008C4A6B">
        <w:rPr>
          <w:rFonts w:eastAsia="Calibri" w:cstheme="minorHAnsi"/>
          <w:szCs w:val="24"/>
        </w:rPr>
        <w:t xml:space="preserve"> education reform agreement.</w:t>
      </w:r>
    </w:p>
    <w:p w14:paraId="7D047CE7" w14:textId="4F45B2C0" w:rsidR="000C1039" w:rsidRPr="00137205" w:rsidRDefault="000C1039" w:rsidP="000C1039">
      <w:pPr>
        <w:rPr>
          <w:rFonts w:eastAsia="Calibri"/>
        </w:rPr>
      </w:pPr>
      <w:r w:rsidRPr="5A6AFD35">
        <w:rPr>
          <w:rFonts w:eastAsia="Calibri"/>
        </w:rPr>
        <w:t>Bilateral agreements have been agreed as part of the B</w:t>
      </w:r>
      <w:r w:rsidR="00852DAB" w:rsidRPr="5A6AFD35">
        <w:rPr>
          <w:rFonts w:eastAsia="Calibri"/>
        </w:rPr>
        <w:t>FSA</w:t>
      </w:r>
      <w:r w:rsidR="001C27F5" w:rsidRPr="5A6AFD35">
        <w:rPr>
          <w:rFonts w:eastAsia="Calibri"/>
        </w:rPr>
        <w:t xml:space="preserve"> agreements.</w:t>
      </w:r>
      <w:r w:rsidR="00852DAB" w:rsidRPr="5A6AFD35">
        <w:rPr>
          <w:rFonts w:eastAsia="Calibri"/>
        </w:rPr>
        <w:t xml:space="preserve"> </w:t>
      </w:r>
      <w:r w:rsidR="00977C2F" w:rsidRPr="5A6AFD35">
        <w:rPr>
          <w:rFonts w:eastAsia="Calibri"/>
        </w:rPr>
        <w:t>T</w:t>
      </w:r>
      <w:r w:rsidRPr="5A6AFD35">
        <w:rPr>
          <w:rFonts w:eastAsia="Calibri"/>
        </w:rPr>
        <w:t xml:space="preserve">he </w:t>
      </w:r>
      <w:r w:rsidR="00977C2F" w:rsidRPr="5A6AFD35">
        <w:rPr>
          <w:rFonts w:eastAsia="Calibri"/>
        </w:rPr>
        <w:t xml:space="preserve">bilateral </w:t>
      </w:r>
      <w:r w:rsidRPr="5A6AFD35">
        <w:rPr>
          <w:rFonts w:eastAsia="Calibri"/>
        </w:rPr>
        <w:t xml:space="preserve">agreements include agreed minimum state funding contributions, as well as the agreed approach to measuring these contributions and treatment for immaterial shortfall, for the government and non-government sectors. </w:t>
      </w:r>
    </w:p>
    <w:bookmarkEnd w:id="8"/>
    <w:p w14:paraId="3038B1FD" w14:textId="5960F9EB" w:rsidR="000C1039" w:rsidRPr="00137205" w:rsidRDefault="000C1039" w:rsidP="000C1039">
      <w:pPr>
        <w:rPr>
          <w:rFonts w:cstheme="minorHAnsi"/>
        </w:rPr>
      </w:pPr>
      <w:r w:rsidRPr="00137205">
        <w:rPr>
          <w:rFonts w:cstheme="minorHAnsi"/>
        </w:rPr>
        <w:t xml:space="preserve">The total amount of funding provided by </w:t>
      </w:r>
      <w:r w:rsidR="002524A4">
        <w:rPr>
          <w:rFonts w:cstheme="minorHAnsi"/>
        </w:rPr>
        <w:t xml:space="preserve">a </w:t>
      </w:r>
      <w:r w:rsidRPr="00137205">
        <w:rPr>
          <w:rFonts w:cstheme="minorHAnsi"/>
        </w:rPr>
        <w:t xml:space="preserve">state </w:t>
      </w:r>
      <w:r w:rsidR="002524A4">
        <w:rPr>
          <w:rFonts w:cstheme="minorHAnsi"/>
        </w:rPr>
        <w:t xml:space="preserve">or territory </w:t>
      </w:r>
      <w:r w:rsidRPr="00137205">
        <w:rPr>
          <w:rFonts w:cstheme="minorHAnsi"/>
        </w:rPr>
        <w:t xml:space="preserve">for a year will be calculated in accordance with the methodology set out in </w:t>
      </w:r>
      <w:r w:rsidR="002524A4">
        <w:rPr>
          <w:rFonts w:cstheme="minorHAnsi"/>
        </w:rPr>
        <w:t>the</w:t>
      </w:r>
      <w:r w:rsidRPr="00137205">
        <w:rPr>
          <w:rFonts w:cstheme="minorHAnsi"/>
        </w:rPr>
        <w:t xml:space="preserve"> state</w:t>
      </w:r>
      <w:r w:rsidR="00A0568D">
        <w:rPr>
          <w:rFonts w:cstheme="minorHAnsi"/>
        </w:rPr>
        <w:t xml:space="preserve"> or terri</w:t>
      </w:r>
      <w:r w:rsidR="002524A4">
        <w:rPr>
          <w:rFonts w:cstheme="minorHAnsi"/>
        </w:rPr>
        <w:t>tory’s</w:t>
      </w:r>
      <w:r w:rsidRPr="00137205">
        <w:rPr>
          <w:rFonts w:cstheme="minorHAnsi"/>
        </w:rPr>
        <w:t xml:space="preserve"> bilateral agreement.</w:t>
      </w:r>
      <w:r w:rsidR="00D712B4">
        <w:rPr>
          <w:rFonts w:cstheme="minorHAnsi"/>
        </w:rPr>
        <w:t xml:space="preserve"> This </w:t>
      </w:r>
      <w:r w:rsidR="00D712B4" w:rsidRPr="00A97779">
        <w:rPr>
          <w:rFonts w:cstheme="minorHAnsi"/>
          <w:i/>
          <w:iCs/>
        </w:rPr>
        <w:t>Guidance to Reporting</w:t>
      </w:r>
      <w:r w:rsidR="00D712B4">
        <w:rPr>
          <w:rFonts w:cstheme="minorHAnsi"/>
        </w:rPr>
        <w:t xml:space="preserve"> provides administrative guidance for agreed arrangements and the preferred template for reporting.</w:t>
      </w:r>
    </w:p>
    <w:p w14:paraId="56597686" w14:textId="087767C3" w:rsidR="008A6193" w:rsidRDefault="008A6193" w:rsidP="008A6193">
      <w:pPr>
        <w:rPr>
          <w:rFonts w:ascii="Calibri" w:eastAsia="Calibri" w:hAnsi="Calibri" w:cs="Arial"/>
        </w:rPr>
      </w:pPr>
      <w:r w:rsidRPr="007F67E0">
        <w:rPr>
          <w:rFonts w:ascii="Calibri" w:eastAsia="Calibri" w:hAnsi="Calibri" w:cs="Arial"/>
        </w:rPr>
        <w:t xml:space="preserve">The base methodology for measuring state and territory contributions </w:t>
      </w:r>
      <w:r w:rsidR="00FB536C">
        <w:rPr>
          <w:rFonts w:ascii="Calibri" w:eastAsia="Calibri" w:hAnsi="Calibri" w:cs="Arial"/>
        </w:rPr>
        <w:t xml:space="preserve">under </w:t>
      </w:r>
      <w:r w:rsidR="00E67EC9">
        <w:rPr>
          <w:rFonts w:ascii="Calibri" w:eastAsia="Calibri" w:hAnsi="Calibri" w:cs="Arial"/>
        </w:rPr>
        <w:t xml:space="preserve">section 22A of the Act </w:t>
      </w:r>
      <w:r w:rsidR="00542D5A">
        <w:rPr>
          <w:rFonts w:ascii="Calibri" w:eastAsia="Calibri" w:hAnsi="Calibri" w:cs="Arial"/>
        </w:rPr>
        <w:t xml:space="preserve">uses </w:t>
      </w:r>
      <w:r w:rsidR="00534A9A">
        <w:rPr>
          <w:rFonts w:ascii="Calibri" w:eastAsia="Calibri" w:hAnsi="Calibri" w:cs="Arial"/>
        </w:rPr>
        <w:t>Net Recurrent Income</w:t>
      </w:r>
      <w:r w:rsidR="00623617">
        <w:rPr>
          <w:rFonts w:ascii="Calibri" w:eastAsia="Calibri" w:hAnsi="Calibri" w:cs="Arial"/>
        </w:rPr>
        <w:t xml:space="preserve"> </w:t>
      </w:r>
      <w:r w:rsidR="00534A9A">
        <w:rPr>
          <w:rFonts w:ascii="Calibri" w:eastAsia="Calibri" w:hAnsi="Calibri" w:cs="Arial"/>
        </w:rPr>
        <w:t>(NRI)</w:t>
      </w:r>
      <w:r w:rsidR="00CD337B">
        <w:rPr>
          <w:rFonts w:ascii="Calibri" w:eastAsia="Calibri" w:hAnsi="Calibri" w:cs="Arial"/>
        </w:rPr>
        <w:t xml:space="preserve">. </w:t>
      </w:r>
      <w:proofErr w:type="gramStart"/>
      <w:r w:rsidR="0083514D">
        <w:rPr>
          <w:rFonts w:ascii="Calibri" w:eastAsia="Calibri" w:hAnsi="Calibri" w:cs="Arial"/>
        </w:rPr>
        <w:t>For the purpose of</w:t>
      </w:r>
      <w:proofErr w:type="gramEnd"/>
      <w:r w:rsidR="0083514D">
        <w:rPr>
          <w:rFonts w:ascii="Calibri" w:eastAsia="Calibri" w:hAnsi="Calibri" w:cs="Arial"/>
        </w:rPr>
        <w:t xml:space="preserve"> </w:t>
      </w:r>
      <w:r w:rsidR="002636EF">
        <w:rPr>
          <w:rFonts w:ascii="Calibri" w:eastAsia="Calibri" w:hAnsi="Calibri" w:cs="Arial"/>
        </w:rPr>
        <w:t>this Guidance</w:t>
      </w:r>
      <w:r w:rsidR="0083514D">
        <w:rPr>
          <w:rFonts w:ascii="Calibri" w:eastAsia="Calibri" w:hAnsi="Calibri" w:cs="Arial"/>
        </w:rPr>
        <w:t xml:space="preserve">, </w:t>
      </w:r>
      <w:r w:rsidR="00CD337B">
        <w:rPr>
          <w:rFonts w:ascii="Calibri" w:eastAsia="Calibri" w:hAnsi="Calibri" w:cs="Arial"/>
        </w:rPr>
        <w:t>NRI</w:t>
      </w:r>
      <w:r w:rsidR="00534A9A">
        <w:rPr>
          <w:rFonts w:ascii="Calibri" w:eastAsia="Calibri" w:hAnsi="Calibri" w:cs="Arial"/>
        </w:rPr>
        <w:t xml:space="preserve"> is the </w:t>
      </w:r>
      <w:r w:rsidR="00921C64">
        <w:rPr>
          <w:rFonts w:ascii="Calibri" w:eastAsia="Calibri" w:hAnsi="Calibri" w:cs="Arial"/>
        </w:rPr>
        <w:t xml:space="preserve">total </w:t>
      </w:r>
      <w:r w:rsidR="008B6989">
        <w:rPr>
          <w:rFonts w:ascii="Calibri" w:eastAsia="Calibri" w:hAnsi="Calibri" w:cs="Arial"/>
        </w:rPr>
        <w:t xml:space="preserve">state </w:t>
      </w:r>
      <w:r w:rsidR="00343EAE">
        <w:rPr>
          <w:rFonts w:ascii="Calibri" w:eastAsia="Calibri" w:hAnsi="Calibri" w:cs="Arial"/>
        </w:rPr>
        <w:t>or</w:t>
      </w:r>
      <w:r w:rsidR="008B6989">
        <w:rPr>
          <w:rFonts w:ascii="Calibri" w:eastAsia="Calibri" w:hAnsi="Calibri" w:cs="Arial"/>
        </w:rPr>
        <w:t xml:space="preserve"> territory component</w:t>
      </w:r>
      <w:r w:rsidR="00CD337B">
        <w:rPr>
          <w:rFonts w:ascii="Calibri" w:eastAsia="Calibri" w:hAnsi="Calibri" w:cs="Arial"/>
        </w:rPr>
        <w:t>, at a sector level,</w:t>
      </w:r>
      <w:r w:rsidR="008B6989">
        <w:rPr>
          <w:rFonts w:ascii="Calibri" w:eastAsia="Calibri" w:hAnsi="Calibri" w:cs="Arial"/>
        </w:rPr>
        <w:t xml:space="preserve"> of </w:t>
      </w:r>
      <w:r w:rsidR="00542D5A">
        <w:rPr>
          <w:rFonts w:ascii="Calibri" w:eastAsia="Calibri" w:hAnsi="Calibri" w:cs="Arial"/>
        </w:rPr>
        <w:t xml:space="preserve">the </w:t>
      </w:r>
      <w:r w:rsidR="001D721F" w:rsidRPr="00664F14">
        <w:rPr>
          <w:rFonts w:ascii="Calibri" w:eastAsia="Calibri" w:hAnsi="Calibri" w:cs="Arial"/>
        </w:rPr>
        <w:t>Australian Curriculum, Assessment and Reporting Authority (ACARA) financial data reporting methodology for state Net Recurrent Income Per Student (NRIPS)</w:t>
      </w:r>
      <w:r w:rsidR="00C8415E">
        <w:rPr>
          <w:rFonts w:ascii="Calibri" w:eastAsia="Calibri" w:hAnsi="Calibri" w:cs="Arial"/>
        </w:rPr>
        <w:t xml:space="preserve">. </w:t>
      </w:r>
      <w:r w:rsidR="009D3283" w:rsidRPr="007F67E0">
        <w:rPr>
          <w:rFonts w:ascii="Calibri" w:eastAsia="Calibri" w:hAnsi="Calibri" w:cs="Arial"/>
        </w:rPr>
        <w:t>To ensure consistency with the SRS, funding for Year 1 minus 2 and for full</w:t>
      </w:r>
      <w:r w:rsidR="0053653F">
        <w:rPr>
          <w:rFonts w:ascii="Calibri" w:eastAsia="Calibri" w:hAnsi="Calibri" w:cs="Arial"/>
        </w:rPr>
        <w:t xml:space="preserve"> </w:t>
      </w:r>
      <w:r w:rsidR="009D3283" w:rsidRPr="007F67E0">
        <w:rPr>
          <w:rFonts w:ascii="Calibri" w:eastAsia="Calibri" w:hAnsi="Calibri" w:cs="Arial"/>
        </w:rPr>
        <w:t>fee</w:t>
      </w:r>
      <w:r w:rsidR="0053653F">
        <w:rPr>
          <w:rFonts w:ascii="Calibri" w:eastAsia="Calibri" w:hAnsi="Calibri" w:cs="Arial"/>
        </w:rPr>
        <w:t>-</w:t>
      </w:r>
      <w:r w:rsidR="009D3283" w:rsidRPr="007F67E0">
        <w:rPr>
          <w:rFonts w:ascii="Calibri" w:eastAsia="Calibri" w:hAnsi="Calibri" w:cs="Arial"/>
        </w:rPr>
        <w:t xml:space="preserve">paying overseas students is separately identified and removed for the purposes of measuring state and territory funding contributions where it is otherwise included in the data reported to ACARA. </w:t>
      </w:r>
    </w:p>
    <w:p w14:paraId="4124CDB8" w14:textId="2B31A9F8" w:rsidR="008A6193" w:rsidRDefault="005D2A68" w:rsidP="008A6193">
      <w:pPr>
        <w:rPr>
          <w:rFonts w:ascii="Calibri" w:eastAsia="Calibri" w:hAnsi="Calibri" w:cs="Arial"/>
        </w:rPr>
      </w:pPr>
      <w:r>
        <w:rPr>
          <w:rFonts w:ascii="Calibri" w:eastAsia="Calibri" w:hAnsi="Calibri" w:cs="Arial"/>
        </w:rPr>
        <w:lastRenderedPageBreak/>
        <w:t>Additional funding</w:t>
      </w:r>
      <w:r w:rsidR="008A6193" w:rsidRPr="007F67E0">
        <w:rPr>
          <w:rFonts w:ascii="Calibri" w:eastAsia="Calibri" w:hAnsi="Calibri" w:cs="Arial"/>
        </w:rPr>
        <w:t xml:space="preserve"> types (</w:t>
      </w:r>
      <w:r w:rsidR="00EE7C33">
        <w:rPr>
          <w:rFonts w:ascii="Calibri" w:eastAsia="Calibri" w:hAnsi="Calibri" w:cs="Arial"/>
        </w:rPr>
        <w:t xml:space="preserve">e.g. capital depreciation, </w:t>
      </w:r>
      <w:r w:rsidR="00A352D8">
        <w:rPr>
          <w:rFonts w:ascii="Calibri" w:eastAsia="Calibri" w:hAnsi="Calibri" w:cs="Arial"/>
        </w:rPr>
        <w:t xml:space="preserve">direct school transport, </w:t>
      </w:r>
      <w:r w:rsidR="00C65FDC">
        <w:rPr>
          <w:rFonts w:ascii="Calibri" w:eastAsia="Calibri" w:hAnsi="Calibri" w:cs="Arial"/>
        </w:rPr>
        <w:t xml:space="preserve">regulatory </w:t>
      </w:r>
      <w:r w:rsidR="005A556C">
        <w:rPr>
          <w:rFonts w:ascii="Calibri" w:eastAsia="Calibri" w:hAnsi="Calibri" w:cs="Arial"/>
        </w:rPr>
        <w:t>costs</w:t>
      </w:r>
      <w:r w:rsidR="00F95545">
        <w:rPr>
          <w:rFonts w:ascii="Calibri" w:eastAsia="Calibri" w:hAnsi="Calibri" w:cs="Arial"/>
        </w:rPr>
        <w:t xml:space="preserve">, </w:t>
      </w:r>
      <w:r w:rsidR="00C65FDC">
        <w:rPr>
          <w:rFonts w:ascii="Calibri" w:eastAsia="Calibri" w:hAnsi="Calibri" w:cs="Arial"/>
        </w:rPr>
        <w:t>and</w:t>
      </w:r>
      <w:r w:rsidR="00F95545">
        <w:rPr>
          <w:rFonts w:ascii="Calibri" w:eastAsia="Calibri" w:hAnsi="Calibri" w:cs="Arial"/>
        </w:rPr>
        <w:t xml:space="preserve"> funding for the purpose of the National Refor</w:t>
      </w:r>
      <w:r w:rsidR="008D26F1">
        <w:rPr>
          <w:rFonts w:ascii="Calibri" w:eastAsia="Calibri" w:hAnsi="Calibri" w:cs="Arial"/>
        </w:rPr>
        <w:t>ms</w:t>
      </w:r>
      <w:r w:rsidR="00F95545">
        <w:rPr>
          <w:rFonts w:ascii="Calibri" w:eastAsia="Calibri" w:hAnsi="Calibri" w:cs="Arial"/>
        </w:rPr>
        <w:t xml:space="preserve"> and National Enabling Initiat</w:t>
      </w:r>
      <w:r w:rsidR="008D26F1">
        <w:rPr>
          <w:rFonts w:ascii="Calibri" w:eastAsia="Calibri" w:hAnsi="Calibri" w:cs="Arial"/>
        </w:rPr>
        <w:t>i</w:t>
      </w:r>
      <w:r w:rsidR="00F95545">
        <w:rPr>
          <w:rFonts w:ascii="Calibri" w:eastAsia="Calibri" w:hAnsi="Calibri" w:cs="Arial"/>
        </w:rPr>
        <w:t>ves</w:t>
      </w:r>
      <w:r w:rsidR="008A6193" w:rsidRPr="007F67E0">
        <w:rPr>
          <w:rFonts w:ascii="Calibri" w:eastAsia="Calibri" w:hAnsi="Calibri" w:cs="Arial"/>
        </w:rPr>
        <w:t>) can be included as part of a state or territory’s funding contribution in addition to NRI</w:t>
      </w:r>
      <w:r w:rsidR="008A6193">
        <w:rPr>
          <w:rFonts w:ascii="Calibri" w:eastAsia="Calibri" w:hAnsi="Calibri" w:cs="Arial"/>
        </w:rPr>
        <w:t>, if set out in its bilateral agreement with the Australian Government.</w:t>
      </w:r>
      <w:r w:rsidR="00C65FDC">
        <w:rPr>
          <w:rFonts w:ascii="Calibri" w:eastAsia="Calibri" w:hAnsi="Calibri" w:cs="Arial"/>
        </w:rPr>
        <w:t xml:space="preserve"> Under the </w:t>
      </w:r>
      <w:r w:rsidR="006A1D36">
        <w:rPr>
          <w:rFonts w:ascii="Calibri" w:eastAsia="Calibri" w:hAnsi="Calibri" w:cs="Arial"/>
        </w:rPr>
        <w:t xml:space="preserve">BFSA </w:t>
      </w:r>
      <w:r w:rsidR="00C65FDC">
        <w:rPr>
          <w:rFonts w:ascii="Calibri" w:eastAsia="Calibri" w:hAnsi="Calibri" w:cs="Arial"/>
        </w:rPr>
        <w:t xml:space="preserve">Full and Fair Funding, parties have agreed to phase out </w:t>
      </w:r>
      <w:r w:rsidR="001B2CD8">
        <w:rPr>
          <w:rFonts w:ascii="Calibri" w:eastAsia="Calibri" w:hAnsi="Calibri" w:cs="Arial"/>
        </w:rPr>
        <w:t>capital depreciation</w:t>
      </w:r>
      <w:r w:rsidR="00C65FDC">
        <w:rPr>
          <w:rFonts w:ascii="Calibri" w:eastAsia="Calibri" w:hAnsi="Calibri" w:cs="Arial"/>
        </w:rPr>
        <w:t xml:space="preserve"> previously counted to a cap of 4</w:t>
      </w:r>
      <w:r w:rsidR="00743BBA">
        <w:rPr>
          <w:rFonts w:ascii="Calibri" w:eastAsia="Calibri" w:hAnsi="Calibri" w:cs="Arial"/>
        </w:rPr>
        <w:t xml:space="preserve"> per cent</w:t>
      </w:r>
      <w:r w:rsidR="00C65FDC">
        <w:rPr>
          <w:rFonts w:ascii="Calibri" w:eastAsia="Calibri" w:hAnsi="Calibri" w:cs="Arial"/>
        </w:rPr>
        <w:t xml:space="preserve"> of the SRS for the government sector to zero by 2034.  </w:t>
      </w:r>
    </w:p>
    <w:p w14:paraId="13C0A580" w14:textId="75B74951" w:rsidR="00F42EEC" w:rsidRPr="007F67E0" w:rsidRDefault="00F42EEC" w:rsidP="00F42EEC">
      <w:r w:rsidRPr="00664F14">
        <w:t>To ensure consistency and transparency</w:t>
      </w:r>
      <w:r w:rsidR="00743BBA">
        <w:t>,</w:t>
      </w:r>
      <w:r w:rsidRPr="00664F14">
        <w:t xml:space="preserve"> the same methodology should be consistently applied each year.</w:t>
      </w:r>
      <w:r w:rsidRPr="00636B1E">
        <w:t xml:space="preserve"> </w:t>
      </w:r>
      <w:r w:rsidR="00636B1E" w:rsidRPr="00636B1E">
        <w:t xml:space="preserve">Please contact the department </w:t>
      </w:r>
      <w:r w:rsidR="003B3B11">
        <w:t xml:space="preserve">for further advice </w:t>
      </w:r>
      <w:r w:rsidR="00636B1E" w:rsidRPr="00636B1E">
        <w:t xml:space="preserve">if you </w:t>
      </w:r>
      <w:r w:rsidR="00655501">
        <w:t xml:space="preserve">are considering </w:t>
      </w:r>
      <w:r w:rsidR="00636B1E" w:rsidRPr="00636B1E">
        <w:t>mak</w:t>
      </w:r>
      <w:r w:rsidR="00655501">
        <w:t>ing</w:t>
      </w:r>
      <w:r w:rsidR="00636B1E">
        <w:t xml:space="preserve"> </w:t>
      </w:r>
      <w:r w:rsidR="003B3B11">
        <w:t xml:space="preserve">any </w:t>
      </w:r>
      <w:r w:rsidR="00636B1E">
        <w:t xml:space="preserve">changes to the </w:t>
      </w:r>
      <w:r w:rsidR="00B85F32">
        <w:t xml:space="preserve">reporting </w:t>
      </w:r>
      <w:r w:rsidR="003B3B11">
        <w:t>methodology.</w:t>
      </w:r>
    </w:p>
    <w:p w14:paraId="6101870D" w14:textId="77777777" w:rsidR="006C5E27" w:rsidRDefault="006C5E27" w:rsidP="008A6193">
      <w:r w:rsidRPr="00271C85">
        <w:t xml:space="preserve">States and territories can also include budgeted funding in their annual report to the National School Resourcing Board as contextual information, separate to their reported funding contributions. </w:t>
      </w:r>
    </w:p>
    <w:p w14:paraId="3034616C" w14:textId="357EA917" w:rsidR="00090F2C" w:rsidRPr="00A97779" w:rsidRDefault="007B7B78" w:rsidP="00A97779">
      <w:pPr>
        <w:pStyle w:val="Heading2"/>
        <w:spacing w:before="480"/>
        <w:rPr>
          <w:sz w:val="36"/>
          <w:szCs w:val="36"/>
        </w:rPr>
      </w:pPr>
      <w:bookmarkStart w:id="9" w:name="_Toc212545662"/>
      <w:r>
        <w:rPr>
          <w:sz w:val="36"/>
          <w:szCs w:val="36"/>
        </w:rPr>
        <w:t>Net Recurrent Income (NRI)</w:t>
      </w:r>
      <w:bookmarkEnd w:id="9"/>
    </w:p>
    <w:p w14:paraId="648A3177" w14:textId="4272C0FB" w:rsidR="00090F2C" w:rsidRDefault="0088619D" w:rsidP="00090F2C">
      <w:r>
        <w:t>For the purposes of these Guid</w:t>
      </w:r>
      <w:r w:rsidR="008C3340">
        <w:t>ance</w:t>
      </w:r>
      <w:r>
        <w:t>, NRI</w:t>
      </w:r>
      <w:r w:rsidR="00112BED">
        <w:t xml:space="preserve"> is t</w:t>
      </w:r>
      <w:r w:rsidR="00090F2C" w:rsidRPr="007F67E0">
        <w:t xml:space="preserve">he </w:t>
      </w:r>
      <w:r w:rsidR="006379BB">
        <w:t xml:space="preserve">total </w:t>
      </w:r>
      <w:r w:rsidR="00090F2C" w:rsidRPr="007F67E0">
        <w:t xml:space="preserve">state </w:t>
      </w:r>
      <w:r w:rsidR="006379BB">
        <w:t>or</w:t>
      </w:r>
      <w:r w:rsidR="00090F2C" w:rsidRPr="007F67E0">
        <w:t xml:space="preserve"> territory government</w:t>
      </w:r>
      <w:r w:rsidR="00E042F6">
        <w:t>’s</w:t>
      </w:r>
      <w:r w:rsidR="00090F2C" w:rsidRPr="007F67E0">
        <w:t xml:space="preserve"> component</w:t>
      </w:r>
      <w:r w:rsidR="00112BED">
        <w:t>, at a sector level (i.e. for the</w:t>
      </w:r>
      <w:r w:rsidR="0093619B">
        <w:t xml:space="preserve"> government sector and</w:t>
      </w:r>
      <w:r w:rsidR="00112BED">
        <w:t xml:space="preserve"> non-government sector</w:t>
      </w:r>
      <w:r w:rsidR="0093619B">
        <w:t xml:space="preserve">) </w:t>
      </w:r>
      <w:r w:rsidR="00090F2C" w:rsidRPr="00D96361">
        <w:t>for school years Year 1 minus 1 to Year 12 as calculated under the ACARA financial data reporting methodology</w:t>
      </w:r>
      <w:r w:rsidR="00887A6B" w:rsidRPr="00664F14">
        <w:t xml:space="preserve"> for </w:t>
      </w:r>
      <w:r w:rsidR="00A15ABA" w:rsidRPr="00664F14">
        <w:t>Net Recurrent Income Per Student (</w:t>
      </w:r>
      <w:r w:rsidR="00887A6B" w:rsidRPr="00664F14">
        <w:t>NRIPS</w:t>
      </w:r>
      <w:r w:rsidR="00A15ABA" w:rsidRPr="00664F14">
        <w:t>)</w:t>
      </w:r>
      <w:r w:rsidR="00090F2C" w:rsidRPr="00D96361">
        <w:t>.</w:t>
      </w:r>
    </w:p>
    <w:p w14:paraId="6C0E01FD" w14:textId="7328ECD4" w:rsidR="00580BAB" w:rsidRDefault="001E7A2B" w:rsidP="00CC7CB1">
      <w:pPr>
        <w:pStyle w:val="Heading3"/>
      </w:pPr>
      <w:bookmarkStart w:id="10" w:name="_Toc212545663"/>
      <w:r>
        <w:t>Government schools</w:t>
      </w:r>
      <w:bookmarkEnd w:id="10"/>
    </w:p>
    <w:p w14:paraId="5A08C822" w14:textId="6A440081" w:rsidR="00806B5C" w:rsidRPr="00B44BDE" w:rsidRDefault="00806B5C" w:rsidP="00806B5C">
      <w:r w:rsidRPr="00B44BDE">
        <w:t xml:space="preserve">NRI for government schools </w:t>
      </w:r>
      <w:r w:rsidR="001B1583" w:rsidRPr="00B44BDE">
        <w:t xml:space="preserve">is </w:t>
      </w:r>
      <w:r w:rsidR="00D54500" w:rsidRPr="00B44BDE">
        <w:t>calculated in accordance with ACARA’s financial data reporting methodology for state NRIPS</w:t>
      </w:r>
      <w:r w:rsidR="001B1583" w:rsidRPr="00B44BDE">
        <w:t>, with some adjustments</w:t>
      </w:r>
      <w:r w:rsidR="00DD31AA" w:rsidRPr="00B44BDE">
        <w:t xml:space="preserve"> (as set out in these guidelines)</w:t>
      </w:r>
      <w:r w:rsidR="00D54500" w:rsidRPr="00B44BDE">
        <w:t>.</w:t>
      </w:r>
      <w:r w:rsidR="00A15ABA" w:rsidRPr="00B44BDE">
        <w:t xml:space="preserve"> </w:t>
      </w:r>
      <w:r w:rsidR="00960F5B" w:rsidRPr="00B44BDE">
        <w:t>The ACARA methodology recognises that many government school systems equate income with expenditure over time</w:t>
      </w:r>
      <w:r w:rsidR="002C72B5" w:rsidRPr="00B44BDE">
        <w:t>,</w:t>
      </w:r>
      <w:r w:rsidR="00960F5B" w:rsidRPr="00B44BDE">
        <w:t xml:space="preserve"> and where income data is not directly available at the school level</w:t>
      </w:r>
      <w:r w:rsidR="00E205D5" w:rsidRPr="00B44BDE">
        <w:t>,</w:t>
      </w:r>
      <w:r w:rsidR="00960F5B" w:rsidRPr="00B44BDE">
        <w:t xml:space="preserve"> systems use expenditure characteristics as a proxy for income (i.e. notional income).</w:t>
      </w:r>
      <w:r w:rsidR="001B1583" w:rsidRPr="00B44BDE">
        <w:t xml:space="preserve"> </w:t>
      </w:r>
    </w:p>
    <w:p w14:paraId="38BBED37" w14:textId="1834B39B" w:rsidR="00DD31AA" w:rsidRPr="00664F14" w:rsidRDefault="00DD31AA" w:rsidP="00DD31AA">
      <w:pPr>
        <w:rPr>
          <w:rFonts w:ascii="Calibri" w:eastAsia="Calibri" w:hAnsi="Calibri" w:cs="Arial"/>
        </w:rPr>
      </w:pPr>
      <w:r w:rsidRPr="00B44BDE">
        <w:rPr>
          <w:rFonts w:ascii="Calibri" w:eastAsia="Calibri" w:hAnsi="Calibri" w:cs="Arial"/>
        </w:rPr>
        <w:t xml:space="preserve">Funding allocated to schools for a year, but expended by the school in a later year, can be counted towards the state or territory funding contribution for the year it is provided. However, expenditure allocated by the state or territory government to schools and counted as a contribution for one year cannot be counted in a subsequent year when spent by the school. Funds allocated to a school for a year but not expended within the funding year cannot be counted towards a state or territory’s contribution if the unspent funds are returned to the </w:t>
      </w:r>
      <w:r w:rsidR="00B44BDE" w:rsidRPr="00B44BDE">
        <w:rPr>
          <w:rFonts w:ascii="Calibri" w:eastAsia="Calibri" w:hAnsi="Calibri" w:cs="Arial"/>
        </w:rPr>
        <w:t xml:space="preserve">approved authority </w:t>
      </w:r>
      <w:r w:rsidR="00963927">
        <w:rPr>
          <w:rFonts w:ascii="Calibri" w:eastAsia="Calibri" w:hAnsi="Calibri" w:cs="Arial"/>
        </w:rPr>
        <w:t>f</w:t>
      </w:r>
      <w:r w:rsidRPr="00B44BDE">
        <w:rPr>
          <w:rFonts w:ascii="Calibri" w:eastAsia="Calibri" w:hAnsi="Calibri" w:cs="Arial"/>
        </w:rPr>
        <w:t>or reallocation.</w:t>
      </w:r>
      <w:r>
        <w:rPr>
          <w:rFonts w:ascii="Calibri" w:eastAsia="Calibri" w:hAnsi="Calibri" w:cs="Arial"/>
        </w:rPr>
        <w:t xml:space="preserve"> </w:t>
      </w:r>
    </w:p>
    <w:p w14:paraId="401CDECE" w14:textId="1808690C" w:rsidR="00F843C4" w:rsidRDefault="002F6A31" w:rsidP="00806B5C">
      <w:r>
        <w:t xml:space="preserve">NRI </w:t>
      </w:r>
      <w:r w:rsidR="00A600A3">
        <w:t xml:space="preserve">can </w:t>
      </w:r>
      <w:r>
        <w:t xml:space="preserve">include </w:t>
      </w:r>
      <w:r w:rsidR="003E4BB4">
        <w:t xml:space="preserve">departmental </w:t>
      </w:r>
      <w:r w:rsidR="00052DB7">
        <w:t xml:space="preserve">expenditure </w:t>
      </w:r>
      <w:r w:rsidR="00A600A3">
        <w:t>(where i</w:t>
      </w:r>
      <w:r w:rsidR="00A600A3" w:rsidRPr="00891146">
        <w:t xml:space="preserve">t relates </w:t>
      </w:r>
      <w:r w:rsidR="00052DB7" w:rsidRPr="00891146">
        <w:t xml:space="preserve">to the provision of </w:t>
      </w:r>
      <w:r w:rsidR="005C3AD2" w:rsidRPr="00891146">
        <w:t>education in government schools</w:t>
      </w:r>
      <w:r w:rsidR="00A600A3" w:rsidRPr="00891146">
        <w:t xml:space="preserve">) </w:t>
      </w:r>
      <w:r w:rsidR="009056E5" w:rsidRPr="00891146">
        <w:t xml:space="preserve">including </w:t>
      </w:r>
      <w:r w:rsidR="005C3AD2" w:rsidRPr="00891146">
        <w:t>an</w:t>
      </w:r>
      <w:r w:rsidR="005C3AD2">
        <w:t xml:space="preserve">y centrally incurred costs </w:t>
      </w:r>
      <w:r w:rsidR="001B56FC">
        <w:t xml:space="preserve">for services provided to or on behalf of schools, such as </w:t>
      </w:r>
      <w:r w:rsidR="001B56FC" w:rsidRPr="001B56FC">
        <w:t>payroll, cleaning, maintenance, corporate costs and grant funding transfers from the system to a school</w:t>
      </w:r>
      <w:r w:rsidR="00983DDD">
        <w:t>.</w:t>
      </w:r>
      <w:r w:rsidR="00913470">
        <w:t xml:space="preserve"> This is consistent with n</w:t>
      </w:r>
      <w:r w:rsidR="00913470" w:rsidRPr="007941CD">
        <w:t xml:space="preserve">otional income determinations </w:t>
      </w:r>
      <w:r w:rsidR="001F63E5">
        <w:t xml:space="preserve">used in the ACARA methodology to </w:t>
      </w:r>
      <w:r w:rsidR="00913470" w:rsidRPr="007941CD">
        <w:t>describe a system’s funding assessment, at the individual school level, of services provided to or on behalf of its schools.</w:t>
      </w:r>
    </w:p>
    <w:p w14:paraId="3E93E529" w14:textId="4DD457D6" w:rsidR="00580BAB" w:rsidRDefault="00944030" w:rsidP="00944030">
      <w:pPr>
        <w:pStyle w:val="Heading3"/>
      </w:pPr>
      <w:bookmarkStart w:id="11" w:name="_Toc212545664"/>
      <w:r>
        <w:t>Non-government schools</w:t>
      </w:r>
      <w:bookmarkEnd w:id="11"/>
    </w:p>
    <w:p w14:paraId="6E4F0FFA" w14:textId="32101BD9" w:rsidR="00944030" w:rsidRPr="00944030" w:rsidRDefault="00944030" w:rsidP="00944030">
      <w:proofErr w:type="gramStart"/>
      <w:r w:rsidRPr="00A15ABA">
        <w:rPr>
          <w:rFonts w:ascii="Calibri" w:eastAsia="Calibri" w:hAnsi="Calibri" w:cs="Arial"/>
        </w:rPr>
        <w:t>For the purpose of</w:t>
      </w:r>
      <w:proofErr w:type="gramEnd"/>
      <w:r w:rsidRPr="00A15ABA">
        <w:rPr>
          <w:rFonts w:ascii="Calibri" w:eastAsia="Calibri" w:hAnsi="Calibri" w:cs="Arial"/>
        </w:rPr>
        <w:t xml:space="preserve"> the annual reporting arrangements for state and territory funding contributions, states and territories will report to the Commonwealth the funding types consistent with the NRIPS methodology allocated by the state or territory to non</w:t>
      </w:r>
      <w:r w:rsidR="00A15ABA" w:rsidRPr="00664F14">
        <w:rPr>
          <w:rFonts w:ascii="Calibri" w:eastAsia="Calibri" w:hAnsi="Calibri" w:cs="Arial"/>
        </w:rPr>
        <w:t>-</w:t>
      </w:r>
      <w:r w:rsidRPr="00A15ABA">
        <w:rPr>
          <w:rFonts w:ascii="Calibri" w:eastAsia="Calibri" w:hAnsi="Calibri" w:cs="Arial"/>
        </w:rPr>
        <w:t>government schools.</w:t>
      </w:r>
    </w:p>
    <w:p w14:paraId="020ADAFB" w14:textId="63D43E50" w:rsidR="00620891" w:rsidRPr="007F67E0" w:rsidRDefault="00620891" w:rsidP="00620891">
      <w:pPr>
        <w:pStyle w:val="Heading3"/>
        <w:rPr>
          <w:rFonts w:eastAsia="Times New Roman"/>
        </w:rPr>
      </w:pPr>
      <w:bookmarkStart w:id="12" w:name="_Toc212545665"/>
      <w:r w:rsidRPr="007F67E0">
        <w:rPr>
          <w:rFonts w:eastAsia="Times New Roman"/>
        </w:rPr>
        <w:lastRenderedPageBreak/>
        <w:t>Attribution of expenditure</w:t>
      </w:r>
      <w:bookmarkEnd w:id="12"/>
    </w:p>
    <w:p w14:paraId="757F7133" w14:textId="6D3B54E4" w:rsidR="00620891" w:rsidRPr="007F67E0" w:rsidRDefault="00620891" w:rsidP="00620891">
      <w:pPr>
        <w:rPr>
          <w:rFonts w:ascii="Calibri" w:eastAsia="Calibri" w:hAnsi="Calibri" w:cs="Arial"/>
        </w:rPr>
      </w:pPr>
      <w:bookmarkStart w:id="13" w:name="_Hlk215579984"/>
      <w:r w:rsidRPr="7B86BF77">
        <w:rPr>
          <w:rFonts w:ascii="Calibri" w:eastAsia="Calibri" w:hAnsi="Calibri" w:cs="Arial"/>
        </w:rPr>
        <w:t xml:space="preserve">Expenditure can only count towards a state or territory’s funding contribution for the sector for which the funding was </w:t>
      </w:r>
      <w:bookmarkEnd w:id="13"/>
      <w:r w:rsidR="00963927">
        <w:rPr>
          <w:rFonts w:ascii="Calibri" w:eastAsia="Calibri" w:hAnsi="Calibri" w:cs="Arial"/>
        </w:rPr>
        <w:t>allocated</w:t>
      </w:r>
      <w:r w:rsidRPr="7B86BF77">
        <w:rPr>
          <w:rFonts w:ascii="Calibri" w:eastAsia="Calibri" w:hAnsi="Calibri" w:cs="Arial"/>
        </w:rPr>
        <w:t>. Expenditure should not be double counted for multiple intergovernmental agreements.</w:t>
      </w:r>
      <w:r w:rsidR="0018013D" w:rsidRPr="7B86BF77">
        <w:rPr>
          <w:rFonts w:ascii="Calibri" w:eastAsia="Calibri" w:hAnsi="Calibri" w:cs="Arial"/>
        </w:rPr>
        <w:t xml:space="preserve"> For example, where transport for students with disability or personal care in schools is counted as a contribution to the National Disability Insurance Scheme (NDIS), this expenditure cannot also be counted towards a state or territory’s school funding requirements</w:t>
      </w:r>
      <w:r w:rsidR="1C818A1F" w:rsidRPr="7B86BF77">
        <w:rPr>
          <w:rFonts w:ascii="Calibri" w:eastAsia="Calibri" w:hAnsi="Calibri" w:cs="Arial"/>
        </w:rPr>
        <w:t>.</w:t>
      </w:r>
    </w:p>
    <w:p w14:paraId="21A918EB" w14:textId="6CBD504A" w:rsidR="00E247DD" w:rsidRDefault="00620891" w:rsidP="00E247DD">
      <w:pPr>
        <w:rPr>
          <w:rFonts w:ascii="Calibri" w:eastAsia="Calibri" w:hAnsi="Calibri" w:cs="Arial"/>
        </w:rPr>
      </w:pPr>
      <w:r w:rsidRPr="00E247DD">
        <w:rPr>
          <w:rFonts w:ascii="Calibri" w:eastAsia="Calibri" w:hAnsi="Calibri" w:cs="Arial"/>
        </w:rPr>
        <w:t>Expenditure counted as part of state and territory funding contributions must also be reported as net of Australian Government funding.</w:t>
      </w:r>
      <w:r w:rsidRPr="007F67E0">
        <w:rPr>
          <w:rFonts w:ascii="Calibri" w:eastAsia="Calibri" w:hAnsi="Calibri" w:cs="Arial"/>
        </w:rPr>
        <w:t xml:space="preserve"> </w:t>
      </w:r>
    </w:p>
    <w:p w14:paraId="25699F0C" w14:textId="77777777" w:rsidR="00620891" w:rsidRPr="007F67E0" w:rsidRDefault="00620891" w:rsidP="00620891">
      <w:pPr>
        <w:pStyle w:val="Heading3"/>
        <w:rPr>
          <w:rFonts w:eastAsia="Times New Roman"/>
        </w:rPr>
      </w:pPr>
      <w:bookmarkStart w:id="14" w:name="_Toc212545666"/>
      <w:r w:rsidRPr="007F67E0">
        <w:rPr>
          <w:rFonts w:eastAsia="Times New Roman"/>
        </w:rPr>
        <w:t>AASB 16 (Leases)</w:t>
      </w:r>
      <w:bookmarkEnd w:id="14"/>
    </w:p>
    <w:p w14:paraId="600749F4" w14:textId="77777777" w:rsidR="00620891" w:rsidRPr="007F67E0" w:rsidRDefault="00620891" w:rsidP="00620891">
      <w:pPr>
        <w:rPr>
          <w:rFonts w:ascii="Calibri" w:eastAsia="Calibri" w:hAnsi="Calibri" w:cs="Arial"/>
        </w:rPr>
      </w:pPr>
      <w:r w:rsidRPr="007F67E0">
        <w:rPr>
          <w:rFonts w:ascii="Calibri" w:eastAsia="Calibri" w:hAnsi="Calibri" w:cs="Arial"/>
        </w:rPr>
        <w:t xml:space="preserve">AASB 16 was a new lease accounting standard published by the Australian Accounting Standards Board (AASB) which came into effect from 1 July 2019. The principal change resulted in removing the distinction between an operating lease and a finance lease, treating all leasing transactions consistently. </w:t>
      </w:r>
    </w:p>
    <w:p w14:paraId="12ACF122" w14:textId="77777777" w:rsidR="00620891" w:rsidRPr="007F67E0" w:rsidRDefault="00620891" w:rsidP="00620891">
      <w:pPr>
        <w:rPr>
          <w:rFonts w:ascii="Calibri" w:eastAsia="Calibri" w:hAnsi="Calibri" w:cs="Arial"/>
        </w:rPr>
      </w:pPr>
      <w:r w:rsidRPr="007F67E0">
        <w:rPr>
          <w:rFonts w:ascii="Calibri" w:eastAsia="Calibri" w:hAnsi="Calibri" w:cs="Arial"/>
        </w:rPr>
        <w:t>For the purposes of school funding, principal payments for operating leases were previously considered under the accounting standard to be a recurrent expense. From the 2019 financial year these expenses are now considered a capital expense.</w:t>
      </w:r>
    </w:p>
    <w:p w14:paraId="0A1F48D5" w14:textId="43790A49" w:rsidR="00BF4D03" w:rsidRDefault="00620891" w:rsidP="00664F14">
      <w:pPr>
        <w:spacing w:after="60"/>
      </w:pPr>
      <w:r w:rsidRPr="007F67E0">
        <w:rPr>
          <w:rFonts w:ascii="Calibri" w:eastAsia="Calibri" w:hAnsi="Calibri" w:cs="Arial"/>
        </w:rPr>
        <w:t>As recommended by the National School Resourcing Board in its report on 2019 funding compliance, the impact of the changed accounting standard may be included towards a state</w:t>
      </w:r>
      <w:r>
        <w:rPr>
          <w:rFonts w:ascii="Calibri" w:eastAsia="Calibri" w:hAnsi="Calibri" w:cs="Arial"/>
        </w:rPr>
        <w:t>’</w:t>
      </w:r>
      <w:r w:rsidRPr="007F67E0">
        <w:rPr>
          <w:rFonts w:ascii="Calibri" w:eastAsia="Calibri" w:hAnsi="Calibri" w:cs="Arial"/>
        </w:rPr>
        <w:t xml:space="preserve">s funding contribution requirement. For this to occur, the impact of the change on a state’s recurrent expenditure may be itemised in table 1.4 of the reporting template and included in the total state and territory contribution in table 1.3. </w:t>
      </w:r>
    </w:p>
    <w:p w14:paraId="0DAAD8DD" w14:textId="4E76CF1E" w:rsidR="00090F2C" w:rsidRPr="008A6193" w:rsidRDefault="00090F2C" w:rsidP="00C41F98">
      <w:pPr>
        <w:pStyle w:val="Heading3"/>
        <w:rPr>
          <w:rFonts w:eastAsia="Times New Roman"/>
        </w:rPr>
      </w:pPr>
      <w:bookmarkStart w:id="15" w:name="_Toc212545667"/>
      <w:r w:rsidRPr="008A6193">
        <w:rPr>
          <w:rFonts w:eastAsia="Times New Roman"/>
        </w:rPr>
        <w:t>Adjustment to NRI for Year 1 minus 2 (if required</w:t>
      </w:r>
      <w:r w:rsidR="00F16119">
        <w:rPr>
          <w:rFonts w:eastAsia="Times New Roman"/>
        </w:rPr>
        <w:t>,</w:t>
      </w:r>
      <w:r w:rsidRPr="008A6193">
        <w:rPr>
          <w:rFonts w:eastAsia="Times New Roman"/>
        </w:rPr>
        <w:t xml:space="preserve"> </w:t>
      </w:r>
      <w:r w:rsidR="002B2903">
        <w:rPr>
          <w:rFonts w:eastAsia="Times New Roman"/>
        </w:rPr>
        <w:t>applies to</w:t>
      </w:r>
      <w:r w:rsidRPr="008A6193">
        <w:rPr>
          <w:rFonts w:eastAsia="Times New Roman"/>
        </w:rPr>
        <w:t xml:space="preserve"> jurisdictions that do not currently exclude this in </w:t>
      </w:r>
      <w:r w:rsidRPr="0025006F">
        <w:rPr>
          <w:rFonts w:eastAsia="Times New Roman"/>
          <w:i/>
          <w:iCs/>
        </w:rPr>
        <w:t>My</w:t>
      </w:r>
      <w:r w:rsidR="002636EF" w:rsidRPr="0025006F">
        <w:rPr>
          <w:rFonts w:eastAsia="Times New Roman"/>
          <w:i/>
          <w:iCs/>
        </w:rPr>
        <w:t xml:space="preserve"> </w:t>
      </w:r>
      <w:r w:rsidRPr="0025006F">
        <w:rPr>
          <w:rFonts w:eastAsia="Times New Roman"/>
          <w:i/>
          <w:iCs/>
        </w:rPr>
        <w:t>School</w:t>
      </w:r>
      <w:r w:rsidRPr="008A6193">
        <w:rPr>
          <w:rFonts w:eastAsia="Times New Roman"/>
        </w:rPr>
        <w:t xml:space="preserve"> reporting)</w:t>
      </w:r>
      <w:bookmarkEnd w:id="15"/>
    </w:p>
    <w:p w14:paraId="6E4E4A35" w14:textId="0A3BA8BB" w:rsidR="00090F2C" w:rsidRPr="007F67E0" w:rsidRDefault="00090F2C" w:rsidP="00090F2C">
      <w:pPr>
        <w:rPr>
          <w:rFonts w:ascii="Calibri" w:eastAsia="Calibri" w:hAnsi="Calibri" w:cs="Arial"/>
        </w:rPr>
      </w:pPr>
      <w:r w:rsidRPr="007F67E0">
        <w:rPr>
          <w:rFonts w:ascii="Calibri" w:eastAsia="Calibri" w:hAnsi="Calibri" w:cs="Arial"/>
        </w:rPr>
        <w:t xml:space="preserve">The ACARA financial methodology excludes costs relating to Year 1 minus 2 except where specifically identified. </w:t>
      </w:r>
      <w:proofErr w:type="gramStart"/>
      <w:r w:rsidRPr="007F67E0">
        <w:rPr>
          <w:rFonts w:ascii="Calibri" w:eastAsia="Calibri" w:hAnsi="Calibri" w:cs="Arial"/>
        </w:rPr>
        <w:t>For the purpose of</w:t>
      </w:r>
      <w:proofErr w:type="gramEnd"/>
      <w:r w:rsidRPr="007F67E0">
        <w:rPr>
          <w:rFonts w:ascii="Calibri" w:eastAsia="Calibri" w:hAnsi="Calibri" w:cs="Arial"/>
        </w:rPr>
        <w:t xml:space="preserve"> measuring the NRI component of state and territory funding contributions in the circumstance where Year 1 minus 2 costs </w:t>
      </w:r>
      <w:proofErr w:type="gramStart"/>
      <w:r w:rsidRPr="007F67E0">
        <w:rPr>
          <w:rFonts w:ascii="Calibri" w:eastAsia="Calibri" w:hAnsi="Calibri" w:cs="Arial"/>
        </w:rPr>
        <w:t>are</w:t>
      </w:r>
      <w:proofErr w:type="gramEnd"/>
      <w:r w:rsidRPr="007F67E0">
        <w:rPr>
          <w:rFonts w:ascii="Calibri" w:eastAsia="Calibri" w:hAnsi="Calibri" w:cs="Arial"/>
        </w:rPr>
        <w:t xml:space="preserve"> included in the state or territory’s ACARA reporting: </w:t>
      </w:r>
    </w:p>
    <w:p w14:paraId="4C81CEBC" w14:textId="77777777" w:rsidR="00090F2C" w:rsidRPr="007F67E0" w:rsidRDefault="00090F2C" w:rsidP="00090F2C">
      <w:pPr>
        <w:numPr>
          <w:ilvl w:val="0"/>
          <w:numId w:val="26"/>
        </w:numPr>
        <w:spacing w:after="0" w:line="240" w:lineRule="auto"/>
        <w:contextualSpacing/>
        <w:rPr>
          <w:rFonts w:ascii="Calibri" w:eastAsia="Calibri" w:hAnsi="Calibri" w:cs="Arial"/>
        </w:rPr>
      </w:pPr>
      <w:r w:rsidRPr="007F67E0">
        <w:rPr>
          <w:rFonts w:ascii="Calibri" w:eastAsia="Calibri" w:hAnsi="Calibri" w:cs="Arial"/>
        </w:rPr>
        <w:t xml:space="preserve">Recurrent/variable costs for delivering Year 1 minus 2 should be removed. This should be calculated based on the incremental cost of an additional Year 1 minus 2 enrolment </w:t>
      </w:r>
      <w:proofErr w:type="gramStart"/>
      <w:r w:rsidRPr="007F67E0">
        <w:rPr>
          <w:rFonts w:ascii="Calibri" w:eastAsia="Calibri" w:hAnsi="Calibri" w:cs="Arial"/>
        </w:rPr>
        <w:t>place</w:t>
      </w:r>
      <w:proofErr w:type="gramEnd"/>
      <w:r w:rsidRPr="007F67E0">
        <w:rPr>
          <w:rFonts w:ascii="Calibri" w:eastAsia="Calibri" w:hAnsi="Calibri" w:cs="Arial"/>
        </w:rPr>
        <w:t xml:space="preserve">. Such costs would include teacher salaries, premises costs and consumable costs. </w:t>
      </w:r>
    </w:p>
    <w:p w14:paraId="55B34CE7" w14:textId="77777777" w:rsidR="009A5A73" w:rsidRDefault="009A5A73" w:rsidP="009A5A73">
      <w:pPr>
        <w:numPr>
          <w:ilvl w:val="0"/>
          <w:numId w:val="26"/>
        </w:numPr>
        <w:spacing w:line="240" w:lineRule="auto"/>
        <w:contextualSpacing/>
        <w:rPr>
          <w:rFonts w:ascii="Calibri" w:eastAsia="Calibri" w:hAnsi="Calibri" w:cs="Arial"/>
        </w:rPr>
      </w:pPr>
      <w:bookmarkStart w:id="16" w:name="_Hlk215580419"/>
      <w:bookmarkStart w:id="17" w:name="_Hlk215580450"/>
      <w:r>
        <w:rPr>
          <w:rFonts w:ascii="Calibri" w:eastAsia="Calibri" w:hAnsi="Calibri" w:cs="Arial"/>
        </w:rPr>
        <w:t>Overhead costs which are sunk costs (e.g. on-site delivery as part of a school) should be counted</w:t>
      </w:r>
      <w:bookmarkEnd w:id="16"/>
      <w:r>
        <w:rPr>
          <w:rFonts w:ascii="Calibri" w:eastAsia="Calibri" w:hAnsi="Calibri" w:cs="Arial"/>
        </w:rPr>
        <w:t>.</w:t>
      </w:r>
    </w:p>
    <w:p w14:paraId="5A9A2D3B" w14:textId="77777777" w:rsidR="009A5A73" w:rsidRDefault="009A5A73" w:rsidP="009A5A73">
      <w:pPr>
        <w:numPr>
          <w:ilvl w:val="0"/>
          <w:numId w:val="26"/>
        </w:numPr>
        <w:spacing w:line="240" w:lineRule="auto"/>
        <w:contextualSpacing/>
        <w:rPr>
          <w:rFonts w:ascii="Calibri" w:eastAsia="Calibri" w:hAnsi="Calibri" w:cs="Arial"/>
        </w:rPr>
      </w:pPr>
      <w:r>
        <w:rPr>
          <w:rFonts w:ascii="Calibri" w:eastAsia="Calibri" w:hAnsi="Calibri" w:cs="Arial"/>
        </w:rPr>
        <w:t>Overhead costs which are not sunk costs (e.g. off-site delivery separate from school) should be removed.</w:t>
      </w:r>
    </w:p>
    <w:p w14:paraId="3791081D" w14:textId="6EDDFA97" w:rsidR="00090F2C" w:rsidRPr="007F67E0" w:rsidRDefault="00090F2C" w:rsidP="00090F2C">
      <w:pPr>
        <w:numPr>
          <w:ilvl w:val="0"/>
          <w:numId w:val="26"/>
        </w:numPr>
        <w:spacing w:after="0" w:line="240" w:lineRule="auto"/>
        <w:contextualSpacing/>
        <w:rPr>
          <w:rFonts w:ascii="Calibri" w:eastAsia="Calibri" w:hAnsi="Calibri" w:cs="Arial"/>
        </w:rPr>
      </w:pPr>
      <w:r w:rsidRPr="007F67E0">
        <w:rPr>
          <w:rFonts w:ascii="Calibri" w:eastAsia="Calibri" w:hAnsi="Calibri" w:cs="Arial"/>
        </w:rPr>
        <w:t xml:space="preserve">Any Year 1 minus 2 costs should be the net of any other funding received for these services </w:t>
      </w:r>
      <w:r w:rsidRPr="00690D10">
        <w:rPr>
          <w:rFonts w:ascii="Calibri" w:eastAsia="Calibri" w:hAnsi="Calibri" w:cs="Arial"/>
        </w:rPr>
        <w:t xml:space="preserve">(e.g. </w:t>
      </w:r>
      <w:r w:rsidR="00A93C2B" w:rsidRPr="00690D10">
        <w:rPr>
          <w:rFonts w:ascii="Calibri" w:eastAsia="Calibri" w:hAnsi="Calibri" w:cs="Arial"/>
        </w:rPr>
        <w:t>Preschool Reform Agreement</w:t>
      </w:r>
      <w:r w:rsidRPr="00690D10">
        <w:rPr>
          <w:rFonts w:ascii="Calibri" w:eastAsia="Calibri" w:hAnsi="Calibri" w:cs="Arial"/>
        </w:rPr>
        <w:t>).</w:t>
      </w:r>
    </w:p>
    <w:bookmarkEnd w:id="17"/>
    <w:p w14:paraId="51F103F8" w14:textId="54E376A7" w:rsidR="00090F2C" w:rsidRPr="007F67E0" w:rsidRDefault="00090F2C" w:rsidP="00090F2C">
      <w:pPr>
        <w:spacing w:before="200"/>
        <w:rPr>
          <w:rFonts w:ascii="Calibri" w:eastAsia="Calibri" w:hAnsi="Calibri" w:cs="Arial"/>
        </w:rPr>
      </w:pPr>
      <w:r w:rsidRPr="007F67E0">
        <w:rPr>
          <w:rFonts w:ascii="Calibri" w:eastAsia="Calibri" w:hAnsi="Calibri" w:cs="Arial"/>
        </w:rPr>
        <w:t xml:space="preserve">Year 1 minus 2 costs will need to be identified and removed on an ongoing basis from the NRIPS amount from the ACARA methodology used in states and territories’ annual report, using certified </w:t>
      </w:r>
      <w:r w:rsidRPr="007F67E0">
        <w:rPr>
          <w:rFonts w:ascii="Calibri" w:eastAsia="Calibri" w:hAnsi="Calibri" w:cs="Arial"/>
        </w:rPr>
        <w:lastRenderedPageBreak/>
        <w:t>data and a methodology consistent with the guidance above. The annual report should set out the methodology used by the state or territory to exclude these students and include the certified data.</w:t>
      </w:r>
    </w:p>
    <w:p w14:paraId="2F7C12D9" w14:textId="79E039C0" w:rsidR="00090F2C" w:rsidRDefault="00090F2C" w:rsidP="00090F2C">
      <w:pPr>
        <w:rPr>
          <w:rFonts w:ascii="Calibri" w:eastAsia="Calibri" w:hAnsi="Calibri" w:cs="Arial"/>
        </w:rPr>
      </w:pPr>
      <w:r w:rsidRPr="007F67E0">
        <w:rPr>
          <w:rFonts w:ascii="Calibri" w:eastAsia="Calibri" w:hAnsi="Calibri" w:cs="Arial"/>
        </w:rPr>
        <w:t>Should Year 1 minus 3 costs also be included in the ACARA financial methodology, these should also be excluded on the same basis.</w:t>
      </w:r>
    </w:p>
    <w:p w14:paraId="7CDBA8D7" w14:textId="3D836FB0" w:rsidR="009A3458" w:rsidRDefault="00D5321E" w:rsidP="00090F2C">
      <w:pPr>
        <w:rPr>
          <w:rFonts w:ascii="Calibri" w:eastAsia="Calibri" w:hAnsi="Calibri" w:cs="Arial"/>
        </w:rPr>
      </w:pPr>
      <w:r>
        <w:rPr>
          <w:rFonts w:ascii="Calibri" w:eastAsia="Calibri" w:hAnsi="Calibri" w:cs="Arial"/>
        </w:rPr>
        <w:t xml:space="preserve">Where </w:t>
      </w:r>
      <w:r w:rsidR="0069732A" w:rsidRPr="0069732A">
        <w:rPr>
          <w:rFonts w:ascii="Calibri" w:eastAsia="Calibri" w:hAnsi="Calibri" w:cs="Arial"/>
        </w:rPr>
        <w:t>Year 1 minus 2 and early childhood education</w:t>
      </w:r>
      <w:r w:rsidR="0069732A">
        <w:rPr>
          <w:rFonts w:ascii="Calibri" w:eastAsia="Calibri" w:hAnsi="Calibri" w:cs="Arial"/>
        </w:rPr>
        <w:t xml:space="preserve"> are listed as additional funding </w:t>
      </w:r>
      <w:r w:rsidR="00B616DB">
        <w:rPr>
          <w:rFonts w:ascii="Calibri" w:eastAsia="Calibri" w:hAnsi="Calibri" w:cs="Arial"/>
        </w:rPr>
        <w:t>types in bilateral agreements, th</w:t>
      </w:r>
      <w:r w:rsidR="00795D2D">
        <w:rPr>
          <w:rFonts w:ascii="Calibri" w:eastAsia="Calibri" w:hAnsi="Calibri" w:cs="Arial"/>
        </w:rPr>
        <w:t xml:space="preserve">ese costs should not be included in NRI and should be reported </w:t>
      </w:r>
      <w:r w:rsidR="003A666C">
        <w:rPr>
          <w:rFonts w:ascii="Calibri" w:eastAsia="Calibri" w:hAnsi="Calibri" w:cs="Arial"/>
        </w:rPr>
        <w:t>separately.</w:t>
      </w:r>
      <w:r w:rsidR="00795D2D">
        <w:rPr>
          <w:rFonts w:ascii="Calibri" w:eastAsia="Calibri" w:hAnsi="Calibri" w:cs="Arial"/>
        </w:rPr>
        <w:t xml:space="preserve"> </w:t>
      </w:r>
    </w:p>
    <w:p w14:paraId="45EBEBD1" w14:textId="4E104E1C" w:rsidR="00090F2C" w:rsidRPr="007A0FB0" w:rsidRDefault="00090F2C" w:rsidP="00AA313E">
      <w:pPr>
        <w:pStyle w:val="Heading3"/>
        <w:rPr>
          <w:rFonts w:eastAsia="Times New Roman"/>
          <w:sz w:val="28"/>
          <w:szCs w:val="28"/>
        </w:rPr>
      </w:pPr>
      <w:bookmarkStart w:id="18" w:name="_Toc212545668"/>
      <w:r w:rsidRPr="28F4BF28">
        <w:rPr>
          <w:rFonts w:eastAsia="Times New Roman"/>
        </w:rPr>
        <w:t>Adjustment to NRI for full</w:t>
      </w:r>
      <w:r w:rsidR="00690D10" w:rsidRPr="28F4BF28">
        <w:rPr>
          <w:rFonts w:eastAsia="Times New Roman"/>
        </w:rPr>
        <w:t xml:space="preserve"> </w:t>
      </w:r>
      <w:r w:rsidRPr="28F4BF28">
        <w:rPr>
          <w:rFonts w:eastAsia="Times New Roman"/>
        </w:rPr>
        <w:t>fee</w:t>
      </w:r>
      <w:r w:rsidR="00690D10" w:rsidRPr="28F4BF28">
        <w:rPr>
          <w:rFonts w:eastAsia="Times New Roman"/>
        </w:rPr>
        <w:t>-</w:t>
      </w:r>
      <w:r w:rsidRPr="28F4BF28">
        <w:rPr>
          <w:rFonts w:eastAsia="Times New Roman"/>
        </w:rPr>
        <w:t xml:space="preserve">paying overseas students </w:t>
      </w:r>
      <w:r w:rsidRPr="28F4BF28">
        <w:rPr>
          <w:rFonts w:eastAsia="Times New Roman"/>
          <w:sz w:val="28"/>
          <w:szCs w:val="28"/>
        </w:rPr>
        <w:t xml:space="preserve">(if required, applies to jurisdictions that do not currently exclude this in </w:t>
      </w:r>
      <w:r w:rsidRPr="28F4BF28">
        <w:rPr>
          <w:rFonts w:eastAsia="Times New Roman"/>
          <w:i/>
          <w:iCs/>
          <w:sz w:val="28"/>
          <w:szCs w:val="28"/>
        </w:rPr>
        <w:t>My</w:t>
      </w:r>
      <w:r w:rsidR="006A38DB" w:rsidRPr="28F4BF28">
        <w:rPr>
          <w:rFonts w:eastAsia="Times New Roman"/>
          <w:i/>
          <w:iCs/>
          <w:sz w:val="28"/>
          <w:szCs w:val="28"/>
        </w:rPr>
        <w:t xml:space="preserve"> </w:t>
      </w:r>
      <w:r w:rsidRPr="28F4BF28">
        <w:rPr>
          <w:rFonts w:eastAsia="Times New Roman"/>
          <w:i/>
          <w:iCs/>
          <w:sz w:val="28"/>
          <w:szCs w:val="28"/>
        </w:rPr>
        <w:t>School</w:t>
      </w:r>
      <w:r w:rsidRPr="28F4BF28">
        <w:rPr>
          <w:rFonts w:eastAsia="Times New Roman"/>
          <w:sz w:val="28"/>
          <w:szCs w:val="28"/>
        </w:rPr>
        <w:t xml:space="preserve"> reporting)</w:t>
      </w:r>
      <w:bookmarkEnd w:id="18"/>
    </w:p>
    <w:p w14:paraId="06C29ABA" w14:textId="5B92A5B1" w:rsidR="00090F2C" w:rsidRPr="007F67E0" w:rsidRDefault="00090F2C" w:rsidP="00090F2C">
      <w:pPr>
        <w:rPr>
          <w:rFonts w:ascii="Calibri" w:eastAsia="Calibri" w:hAnsi="Calibri" w:cs="Arial"/>
        </w:rPr>
      </w:pPr>
      <w:r w:rsidRPr="007F67E0">
        <w:rPr>
          <w:rFonts w:ascii="Calibri" w:eastAsia="Calibri" w:hAnsi="Calibri" w:cs="Arial"/>
        </w:rPr>
        <w:t>The ACARA financial</w:t>
      </w:r>
      <w:r w:rsidRPr="007F67E0">
        <w:rPr>
          <w:rFonts w:ascii="Calibri" w:eastAsia="Calibri" w:hAnsi="Calibri" w:cs="Arial"/>
          <w:i/>
        </w:rPr>
        <w:t xml:space="preserve"> </w:t>
      </w:r>
      <w:r w:rsidRPr="007F67E0">
        <w:rPr>
          <w:rFonts w:ascii="Calibri" w:eastAsia="Calibri" w:hAnsi="Calibri" w:cs="Arial"/>
        </w:rPr>
        <w:t>methodology may include costs relating to full</w:t>
      </w:r>
      <w:r w:rsidR="00690D10">
        <w:rPr>
          <w:rFonts w:ascii="Calibri" w:eastAsia="Calibri" w:hAnsi="Calibri" w:cs="Arial"/>
        </w:rPr>
        <w:t xml:space="preserve"> </w:t>
      </w:r>
      <w:r w:rsidRPr="007F67E0">
        <w:rPr>
          <w:rFonts w:ascii="Calibri" w:eastAsia="Calibri" w:hAnsi="Calibri" w:cs="Arial"/>
        </w:rPr>
        <w:t>fee</w:t>
      </w:r>
      <w:r w:rsidR="00690D10">
        <w:rPr>
          <w:rFonts w:ascii="Calibri" w:eastAsia="Calibri" w:hAnsi="Calibri" w:cs="Arial"/>
        </w:rPr>
        <w:t>-</w:t>
      </w:r>
      <w:r w:rsidRPr="007F67E0">
        <w:rPr>
          <w:rFonts w:ascii="Calibri" w:eastAsia="Calibri" w:hAnsi="Calibri" w:cs="Arial"/>
        </w:rPr>
        <w:t>paying overseas students; however, these students are not funded under the SRS. To ensure funding reported by states and territories relates to the same cohort of students captured in the SRS, funding for full</w:t>
      </w:r>
      <w:r w:rsidR="00690D10">
        <w:rPr>
          <w:rFonts w:ascii="Calibri" w:eastAsia="Calibri" w:hAnsi="Calibri" w:cs="Arial"/>
        </w:rPr>
        <w:t xml:space="preserve"> </w:t>
      </w:r>
      <w:r w:rsidRPr="007F67E0">
        <w:rPr>
          <w:rFonts w:ascii="Calibri" w:eastAsia="Calibri" w:hAnsi="Calibri" w:cs="Arial"/>
        </w:rPr>
        <w:t>fee</w:t>
      </w:r>
      <w:r w:rsidR="00690D10">
        <w:rPr>
          <w:rFonts w:ascii="Calibri" w:eastAsia="Calibri" w:hAnsi="Calibri" w:cs="Arial"/>
        </w:rPr>
        <w:t>-</w:t>
      </w:r>
      <w:r w:rsidRPr="007F67E0">
        <w:rPr>
          <w:rFonts w:ascii="Calibri" w:eastAsia="Calibri" w:hAnsi="Calibri" w:cs="Arial"/>
        </w:rPr>
        <w:t>paying overseas students must be separately identified and removed for the purpose of measuring the NRIPS component of state and territory funding contributions.</w:t>
      </w:r>
    </w:p>
    <w:p w14:paraId="7FEFDBDB" w14:textId="604CFE5E" w:rsidR="00CC4F87" w:rsidRPr="00664F14" w:rsidRDefault="008C3340" w:rsidP="00844286">
      <w:pPr>
        <w:rPr>
          <w:rFonts w:ascii="Calibri" w:eastAsia="Calibri" w:hAnsi="Calibri" w:cs="Arial"/>
        </w:rPr>
      </w:pPr>
      <w:proofErr w:type="gramStart"/>
      <w:r>
        <w:rPr>
          <w:rFonts w:ascii="Calibri" w:eastAsia="Calibri" w:hAnsi="Calibri" w:cs="Arial"/>
        </w:rPr>
        <w:t>For the purpose of</w:t>
      </w:r>
      <w:proofErr w:type="gramEnd"/>
      <w:r>
        <w:rPr>
          <w:rFonts w:ascii="Calibri" w:eastAsia="Calibri" w:hAnsi="Calibri" w:cs="Arial"/>
        </w:rPr>
        <w:t xml:space="preserve"> annual section 22A reporting, any full fee-paying overseas students’ costs that are included in the NRIPS amount using the ACARA financial methodology must be removed</w:t>
      </w:r>
      <w:r w:rsidR="00090F2C" w:rsidRPr="007F67E0">
        <w:rPr>
          <w:rFonts w:ascii="Calibri" w:eastAsia="Calibri" w:hAnsi="Calibri" w:cs="Arial"/>
        </w:rPr>
        <w:t xml:space="preserve"> using certified data of actual or allocated expenditure and a methodology determined by the state or territory government. The annual report should set out the methodology used by the state or territory to exclude these students and include the certified data.</w:t>
      </w:r>
    </w:p>
    <w:p w14:paraId="15D28E2F" w14:textId="279EA470" w:rsidR="00090F2C" w:rsidRPr="007F67E0" w:rsidRDefault="00090F2C" w:rsidP="00C41F98">
      <w:pPr>
        <w:pStyle w:val="Heading2"/>
        <w:rPr>
          <w:rFonts w:eastAsia="Times New Roman"/>
        </w:rPr>
      </w:pPr>
      <w:bookmarkStart w:id="19" w:name="_Toc212545669"/>
      <w:r w:rsidRPr="007F67E0">
        <w:rPr>
          <w:rFonts w:eastAsia="Times New Roman"/>
        </w:rPr>
        <w:t xml:space="preserve">Additional </w:t>
      </w:r>
      <w:r w:rsidR="002F39D9">
        <w:rPr>
          <w:rFonts w:eastAsia="Times New Roman"/>
        </w:rPr>
        <w:t>funding types</w:t>
      </w:r>
      <w:bookmarkEnd w:id="19"/>
      <w:r w:rsidR="002F39D9">
        <w:rPr>
          <w:rFonts w:eastAsia="Times New Roman"/>
        </w:rPr>
        <w:t xml:space="preserve"> </w:t>
      </w:r>
    </w:p>
    <w:p w14:paraId="49A54EA2" w14:textId="3056DB81" w:rsidR="00090F2C" w:rsidRDefault="0002762A" w:rsidP="00090F2C">
      <w:pPr>
        <w:rPr>
          <w:rFonts w:ascii="Calibri" w:eastAsia="Calibri" w:hAnsi="Calibri" w:cs="Arial"/>
        </w:rPr>
      </w:pPr>
      <w:r>
        <w:rPr>
          <w:rFonts w:ascii="Calibri" w:eastAsia="Calibri" w:hAnsi="Calibri" w:cs="Arial"/>
        </w:rPr>
        <w:t xml:space="preserve">Additional funding types specified </w:t>
      </w:r>
      <w:r w:rsidR="006B4049">
        <w:rPr>
          <w:rFonts w:ascii="Calibri" w:eastAsia="Calibri" w:hAnsi="Calibri" w:cs="Arial"/>
        </w:rPr>
        <w:t>in the ‘Measurement of contributions’ section</w:t>
      </w:r>
      <w:r w:rsidR="00090F2C" w:rsidRPr="007F67E0">
        <w:rPr>
          <w:rFonts w:ascii="Calibri" w:eastAsia="Calibri" w:hAnsi="Calibri" w:cs="Arial"/>
        </w:rPr>
        <w:t xml:space="preserve"> in the bilateral agreements can be included as part of a state or territory’s funding contribution in addition to NRI</w:t>
      </w:r>
      <w:r w:rsidR="006B2C8F">
        <w:rPr>
          <w:rFonts w:ascii="Calibri" w:eastAsia="Calibri" w:hAnsi="Calibri" w:cs="Arial"/>
        </w:rPr>
        <w:t>, subject to any conditions specified in the bilateral agreements</w:t>
      </w:r>
      <w:r w:rsidR="00090F2C" w:rsidRPr="007F67E0">
        <w:rPr>
          <w:rFonts w:ascii="Calibri" w:eastAsia="Calibri" w:hAnsi="Calibri" w:cs="Arial"/>
        </w:rPr>
        <w:t xml:space="preserve">. </w:t>
      </w:r>
    </w:p>
    <w:p w14:paraId="6073CCDF" w14:textId="745A1CDA" w:rsidR="00200E27" w:rsidRDefault="001F4968" w:rsidP="00090F2C">
      <w:pPr>
        <w:rPr>
          <w:rFonts w:ascii="Calibri" w:eastAsia="Calibri" w:hAnsi="Calibri" w:cs="Arial"/>
        </w:rPr>
      </w:pPr>
      <w:r>
        <w:rPr>
          <w:rFonts w:ascii="Calibri" w:eastAsia="Calibri" w:hAnsi="Calibri" w:cs="Arial"/>
        </w:rPr>
        <w:t xml:space="preserve"> </w:t>
      </w:r>
      <w:r w:rsidR="005C76F9">
        <w:rPr>
          <w:rFonts w:ascii="Calibri" w:eastAsia="Calibri" w:hAnsi="Calibri" w:cs="Arial"/>
        </w:rPr>
        <w:t xml:space="preserve">For example, for some additional funding </w:t>
      </w:r>
      <w:proofErr w:type="gramStart"/>
      <w:r w:rsidR="005C76F9">
        <w:rPr>
          <w:rFonts w:ascii="Calibri" w:eastAsia="Calibri" w:hAnsi="Calibri" w:cs="Arial"/>
        </w:rPr>
        <w:t>types</w:t>
      </w:r>
      <w:proofErr w:type="gramEnd"/>
      <w:r w:rsidR="00EF7AE7">
        <w:rPr>
          <w:rFonts w:ascii="Calibri" w:eastAsia="Calibri" w:hAnsi="Calibri" w:cs="Arial"/>
        </w:rPr>
        <w:t xml:space="preserve"> the bilateral agreement may</w:t>
      </w:r>
      <w:r w:rsidR="00350336">
        <w:rPr>
          <w:rFonts w:ascii="Calibri" w:eastAsia="Calibri" w:hAnsi="Calibri" w:cs="Arial"/>
        </w:rPr>
        <w:t>:</w:t>
      </w:r>
    </w:p>
    <w:p w14:paraId="515955F8" w14:textId="4011CB69" w:rsidR="001F4968" w:rsidRDefault="00350336" w:rsidP="001F4968">
      <w:pPr>
        <w:pStyle w:val="ListParagraph"/>
        <w:numPr>
          <w:ilvl w:val="0"/>
          <w:numId w:val="31"/>
        </w:numPr>
        <w:rPr>
          <w:rFonts w:ascii="Calibri" w:eastAsia="Calibri" w:hAnsi="Calibri" w:cs="Arial"/>
        </w:rPr>
      </w:pPr>
      <w:r>
        <w:rPr>
          <w:rFonts w:ascii="Calibri" w:eastAsia="Calibri" w:hAnsi="Calibri" w:cs="Arial"/>
        </w:rPr>
        <w:t xml:space="preserve">state </w:t>
      </w:r>
      <w:r w:rsidR="00707312">
        <w:rPr>
          <w:rFonts w:ascii="Calibri" w:eastAsia="Calibri" w:hAnsi="Calibri" w:cs="Arial"/>
        </w:rPr>
        <w:t xml:space="preserve">that </w:t>
      </w:r>
      <w:r w:rsidR="00D644C8">
        <w:rPr>
          <w:rFonts w:ascii="Calibri" w:eastAsia="Calibri" w:hAnsi="Calibri" w:cs="Arial"/>
        </w:rPr>
        <w:t>only fundi</w:t>
      </w:r>
      <w:r w:rsidR="00802AC8">
        <w:rPr>
          <w:rFonts w:ascii="Calibri" w:eastAsia="Calibri" w:hAnsi="Calibri" w:cs="Arial"/>
        </w:rPr>
        <w:t>ng for the government sector may be counted</w:t>
      </w:r>
      <w:r w:rsidR="002D5920">
        <w:rPr>
          <w:rFonts w:ascii="Calibri" w:eastAsia="Calibri" w:hAnsi="Calibri" w:cs="Arial"/>
        </w:rPr>
        <w:t xml:space="preserve"> towards a state or territory’s funding contribution</w:t>
      </w:r>
    </w:p>
    <w:p w14:paraId="55260AA9" w14:textId="6AB6ACA4" w:rsidR="00944336" w:rsidRDefault="00350336" w:rsidP="001F4968">
      <w:pPr>
        <w:pStyle w:val="ListParagraph"/>
        <w:numPr>
          <w:ilvl w:val="0"/>
          <w:numId w:val="31"/>
        </w:numPr>
        <w:rPr>
          <w:rFonts w:ascii="Calibri" w:eastAsia="Calibri" w:hAnsi="Calibri" w:cs="Arial"/>
        </w:rPr>
      </w:pPr>
      <w:r>
        <w:rPr>
          <w:rFonts w:ascii="Calibri" w:eastAsia="Calibri" w:hAnsi="Calibri" w:cs="Arial"/>
        </w:rPr>
        <w:t xml:space="preserve">specify </w:t>
      </w:r>
      <w:r w:rsidR="002508A0">
        <w:rPr>
          <w:rFonts w:ascii="Calibri" w:eastAsia="Calibri" w:hAnsi="Calibri" w:cs="Arial"/>
        </w:rPr>
        <w:t xml:space="preserve">a maximum percentage that can be counted towards the </w:t>
      </w:r>
      <w:r w:rsidR="000E6D17">
        <w:rPr>
          <w:rFonts w:ascii="Calibri" w:eastAsia="Calibri" w:hAnsi="Calibri" w:cs="Arial"/>
        </w:rPr>
        <w:t>state or territory’s funding contribution</w:t>
      </w:r>
    </w:p>
    <w:p w14:paraId="6010FC91" w14:textId="42D2F5B5" w:rsidR="0042097A" w:rsidRDefault="1CCB2A02" w:rsidP="00944336">
      <w:pPr>
        <w:pStyle w:val="ListParagraph"/>
        <w:numPr>
          <w:ilvl w:val="2"/>
          <w:numId w:val="31"/>
        </w:numPr>
        <w:rPr>
          <w:rFonts w:ascii="Calibri" w:eastAsia="Calibri" w:hAnsi="Calibri" w:cs="Arial"/>
        </w:rPr>
      </w:pPr>
      <w:r w:rsidRPr="527D4E5B">
        <w:rPr>
          <w:rFonts w:ascii="Calibri" w:eastAsia="Calibri" w:hAnsi="Calibri" w:cs="Arial"/>
        </w:rPr>
        <w:t>j</w:t>
      </w:r>
      <w:r w:rsidR="0042097A" w:rsidRPr="527D4E5B">
        <w:rPr>
          <w:rFonts w:ascii="Calibri" w:eastAsia="Calibri" w:hAnsi="Calibri" w:cs="Arial"/>
        </w:rPr>
        <w:t>urisdictions are only required to report a funding amount up to the maximum percentage specified in their bilateral agreement</w:t>
      </w:r>
      <w:r w:rsidR="0051785E">
        <w:rPr>
          <w:rStyle w:val="FootnoteReference"/>
          <w:rFonts w:ascii="Calibri" w:eastAsia="Calibri" w:hAnsi="Calibri" w:cs="Arial"/>
        </w:rPr>
        <w:footnoteReference w:id="1"/>
      </w:r>
      <w:r w:rsidR="0042097A" w:rsidRPr="527D4E5B">
        <w:rPr>
          <w:rFonts w:ascii="Calibri" w:eastAsia="Calibri" w:hAnsi="Calibri" w:cs="Arial"/>
        </w:rPr>
        <w:t xml:space="preserve"> </w:t>
      </w:r>
    </w:p>
    <w:p w14:paraId="4E1802DC" w14:textId="1F2E093F" w:rsidR="009301C6" w:rsidRPr="00CD2F5A" w:rsidRDefault="00AC7235" w:rsidP="001F4968">
      <w:pPr>
        <w:pStyle w:val="ListParagraph"/>
        <w:numPr>
          <w:ilvl w:val="0"/>
          <w:numId w:val="31"/>
        </w:numPr>
        <w:rPr>
          <w:rFonts w:ascii="Calibri" w:eastAsia="Calibri" w:hAnsi="Calibri" w:cs="Arial"/>
        </w:rPr>
      </w:pPr>
      <w:r w:rsidRPr="00664F14">
        <w:rPr>
          <w:rFonts w:ascii="Calibri" w:eastAsia="Calibri" w:hAnsi="Calibri" w:cs="Arial"/>
        </w:rPr>
        <w:t>s</w:t>
      </w:r>
      <w:r w:rsidR="00FB5200" w:rsidRPr="00664F14">
        <w:rPr>
          <w:rFonts w:ascii="Calibri" w:eastAsia="Calibri" w:hAnsi="Calibri" w:cs="Arial"/>
        </w:rPr>
        <w:t>tate a phase-in arrangement</w:t>
      </w:r>
      <w:r w:rsidR="00FB5200" w:rsidRPr="00CD2F5A">
        <w:rPr>
          <w:rFonts w:ascii="Calibri" w:eastAsia="Calibri" w:hAnsi="Calibri" w:cs="Arial"/>
        </w:rPr>
        <w:t xml:space="preserve"> </w:t>
      </w:r>
      <w:r w:rsidR="00123B0F" w:rsidRPr="00664F14">
        <w:rPr>
          <w:rFonts w:ascii="Calibri" w:eastAsia="Calibri" w:hAnsi="Calibri" w:cs="Arial"/>
        </w:rPr>
        <w:t xml:space="preserve">to </w:t>
      </w:r>
      <w:r w:rsidR="00FB5200" w:rsidRPr="00CD2F5A">
        <w:rPr>
          <w:rFonts w:ascii="Calibri" w:eastAsia="Calibri" w:hAnsi="Calibri" w:cs="Arial"/>
        </w:rPr>
        <w:t xml:space="preserve">ensure </w:t>
      </w:r>
      <w:r w:rsidR="009B39BF" w:rsidRPr="00664F14">
        <w:rPr>
          <w:rFonts w:ascii="Calibri" w:eastAsia="Calibri" w:hAnsi="Calibri" w:cs="Arial"/>
        </w:rPr>
        <w:t>that inclusion of the</w:t>
      </w:r>
      <w:r w:rsidR="00B25AE1" w:rsidRPr="00664F14">
        <w:rPr>
          <w:rFonts w:ascii="Calibri" w:eastAsia="Calibri" w:hAnsi="Calibri" w:cs="Arial"/>
        </w:rPr>
        <w:t xml:space="preserve">se </w:t>
      </w:r>
      <w:r w:rsidR="00D244D7" w:rsidRPr="00664F14">
        <w:rPr>
          <w:rFonts w:ascii="Calibri" w:eastAsia="Calibri" w:hAnsi="Calibri" w:cs="Arial"/>
        </w:rPr>
        <w:t xml:space="preserve">costs will not result in a </w:t>
      </w:r>
      <w:r w:rsidR="00DC605F" w:rsidRPr="00664F14">
        <w:rPr>
          <w:rFonts w:ascii="Calibri" w:eastAsia="Calibri" w:hAnsi="Calibri" w:cs="Arial"/>
        </w:rPr>
        <w:t xml:space="preserve">reduction in </w:t>
      </w:r>
      <w:r w:rsidR="002852E2" w:rsidRPr="00664F14">
        <w:rPr>
          <w:rFonts w:ascii="Calibri" w:eastAsia="Calibri" w:hAnsi="Calibri" w:cs="Arial"/>
        </w:rPr>
        <w:t xml:space="preserve">recurrent funding </w:t>
      </w:r>
      <w:r w:rsidR="00123B0F" w:rsidRPr="00664F14">
        <w:rPr>
          <w:rFonts w:ascii="Calibri" w:eastAsia="Calibri" w:hAnsi="Calibri" w:cs="Arial"/>
        </w:rPr>
        <w:t>to schools and students when compared with the previous year</w:t>
      </w:r>
      <w:r w:rsidR="00FB5200" w:rsidRPr="00CD2F5A">
        <w:rPr>
          <w:rFonts w:ascii="Calibri" w:eastAsia="Calibri" w:hAnsi="Calibri" w:cs="Arial"/>
        </w:rPr>
        <w:t xml:space="preserve">. </w:t>
      </w:r>
    </w:p>
    <w:p w14:paraId="73817B72" w14:textId="38D3688C" w:rsidR="009301C6" w:rsidRPr="00664F14" w:rsidRDefault="00BA0177" w:rsidP="00BA0177">
      <w:pPr>
        <w:rPr>
          <w:rFonts w:ascii="Calibri" w:eastAsia="Calibri" w:hAnsi="Calibri" w:cs="Arial"/>
        </w:rPr>
      </w:pPr>
      <w:r>
        <w:rPr>
          <w:rFonts w:ascii="Calibri" w:eastAsia="Calibri" w:hAnsi="Calibri" w:cs="Arial"/>
        </w:rPr>
        <w:lastRenderedPageBreak/>
        <w:t>Each additional funding</w:t>
      </w:r>
      <w:r w:rsidRPr="007F67E0">
        <w:rPr>
          <w:rFonts w:ascii="Calibri" w:eastAsia="Calibri" w:hAnsi="Calibri" w:cs="Arial"/>
        </w:rPr>
        <w:t xml:space="preserve"> type</w:t>
      </w:r>
      <w:r w:rsidR="00230247">
        <w:rPr>
          <w:rFonts w:ascii="Calibri" w:eastAsia="Calibri" w:hAnsi="Calibri" w:cs="Arial"/>
        </w:rPr>
        <w:t xml:space="preserve"> specified in the bilateral agreements</w:t>
      </w:r>
      <w:r w:rsidRPr="007F67E0">
        <w:rPr>
          <w:rFonts w:ascii="Calibri" w:eastAsia="Calibri" w:hAnsi="Calibri" w:cs="Arial"/>
        </w:rPr>
        <w:t xml:space="preserve"> will need to be separately accounted for when reporting on compliance</w:t>
      </w:r>
      <w:r w:rsidR="006120F5">
        <w:rPr>
          <w:rFonts w:ascii="Calibri" w:eastAsia="Calibri" w:hAnsi="Calibri" w:cs="Arial"/>
        </w:rPr>
        <w:t xml:space="preserve"> with </w:t>
      </w:r>
      <w:r w:rsidR="006A38DB">
        <w:rPr>
          <w:rFonts w:ascii="Calibri" w:eastAsia="Calibri" w:hAnsi="Calibri" w:cs="Arial"/>
        </w:rPr>
        <w:t>section </w:t>
      </w:r>
      <w:r w:rsidR="006120F5">
        <w:rPr>
          <w:rFonts w:ascii="Calibri" w:eastAsia="Calibri" w:hAnsi="Calibri" w:cs="Arial"/>
        </w:rPr>
        <w:t>22A of the Act</w:t>
      </w:r>
      <w:r w:rsidRPr="007F67E0">
        <w:rPr>
          <w:rFonts w:ascii="Calibri" w:eastAsia="Calibri" w:hAnsi="Calibri" w:cs="Arial"/>
        </w:rPr>
        <w:t>.</w:t>
      </w:r>
    </w:p>
    <w:p w14:paraId="44A97888" w14:textId="414B43FA" w:rsidR="007E7E71" w:rsidRDefault="007E7E71" w:rsidP="0032699F">
      <w:pPr>
        <w:pStyle w:val="Heading3"/>
        <w:rPr>
          <w:rFonts w:eastAsia="Calibri"/>
        </w:rPr>
      </w:pPr>
      <w:bookmarkStart w:id="20" w:name="_Toc212545670"/>
      <w:r>
        <w:rPr>
          <w:rFonts w:eastAsia="Calibri"/>
        </w:rPr>
        <w:t>Regulatory costs</w:t>
      </w:r>
      <w:bookmarkEnd w:id="20"/>
    </w:p>
    <w:p w14:paraId="5BA9AAEC" w14:textId="6396F8A8" w:rsidR="007E7E71" w:rsidRPr="00BB42C7" w:rsidRDefault="00301C0C" w:rsidP="007E7E71">
      <w:r w:rsidRPr="00BB42C7">
        <w:t>S</w:t>
      </w:r>
      <w:r w:rsidR="00ED712D" w:rsidRPr="00BB42C7">
        <w:t xml:space="preserve">tates and territories can </w:t>
      </w:r>
      <w:r w:rsidR="00FC43A0" w:rsidRPr="00BB42C7">
        <w:t xml:space="preserve">include </w:t>
      </w:r>
      <w:r w:rsidR="00F553D7" w:rsidRPr="00BB42C7">
        <w:t xml:space="preserve">in their funding contribution </w:t>
      </w:r>
      <w:r w:rsidR="000102F3" w:rsidRPr="00BB42C7">
        <w:t xml:space="preserve">the recurrent costs of </w:t>
      </w:r>
      <w:r w:rsidRPr="00BB42C7">
        <w:t xml:space="preserve">any </w:t>
      </w:r>
      <w:r w:rsidR="002E19D6" w:rsidRPr="00BB42C7">
        <w:t>regulatory authorities liste</w:t>
      </w:r>
      <w:r w:rsidR="009D7F72" w:rsidRPr="00BB42C7">
        <w:t>d in the bilateral agreement</w:t>
      </w:r>
      <w:r w:rsidR="00762738" w:rsidRPr="00BB42C7">
        <w:t xml:space="preserve">, subject to any conditions </w:t>
      </w:r>
      <w:r w:rsidRPr="00BB42C7">
        <w:t>in the bilateral agreement</w:t>
      </w:r>
      <w:r w:rsidR="00A54D5E" w:rsidRPr="00BB42C7">
        <w:t>.</w:t>
      </w:r>
      <w:r w:rsidR="00DD31AA" w:rsidRPr="00BB42C7">
        <w:t xml:space="preserve"> For most states, only government sector regulatory costs can be attributed as part of a jurisdiction’s contribution towards its government sector.</w:t>
      </w:r>
      <w:r w:rsidR="00785114" w:rsidRPr="00BB42C7">
        <w:t xml:space="preserve"> </w:t>
      </w:r>
    </w:p>
    <w:p w14:paraId="4BF57848" w14:textId="1E485284" w:rsidR="007F6A30" w:rsidRDefault="007F6A30" w:rsidP="007E7E71">
      <w:r w:rsidRPr="00BB42C7">
        <w:t>If regulatory costs cannot be easily separated for the government and non-government sectors, states and territories will need to attribute a proportion for the government sector and detail the adjustment, including the basis on which the adjustment is calculated, in their report.</w:t>
      </w:r>
    </w:p>
    <w:p w14:paraId="4A8C1BBD" w14:textId="40A9E941" w:rsidR="007E7E71" w:rsidRDefault="007E7E71" w:rsidP="00330498">
      <w:pPr>
        <w:pStyle w:val="Heading3"/>
      </w:pPr>
      <w:bookmarkStart w:id="21" w:name="_Toc212545671"/>
      <w:r>
        <w:t>Reform costs and National Enabli</w:t>
      </w:r>
      <w:r w:rsidR="00330498">
        <w:t>ng Initiatives (NEI) costs</w:t>
      </w:r>
      <w:bookmarkEnd w:id="21"/>
    </w:p>
    <w:p w14:paraId="0BC8A752" w14:textId="307D8BFC" w:rsidR="00137590" w:rsidRPr="00137590" w:rsidRDefault="00137590" w:rsidP="00137590">
      <w:r>
        <w:t>A</w:t>
      </w:r>
      <w:r w:rsidRPr="00137590">
        <w:t xml:space="preserve">ny reform costs </w:t>
      </w:r>
      <w:r>
        <w:t xml:space="preserve">or NEI costs </w:t>
      </w:r>
      <w:r w:rsidRPr="00137590">
        <w:t>counted as part of a state or territory’s funding contribution must be funding provided for the benefit of school education. Further, any reform costs should:</w:t>
      </w:r>
    </w:p>
    <w:p w14:paraId="2BC7BD19" w14:textId="100D618A" w:rsidR="00137590" w:rsidRDefault="00A54D5E" w:rsidP="00137590">
      <w:pPr>
        <w:numPr>
          <w:ilvl w:val="0"/>
          <w:numId w:val="25"/>
        </w:numPr>
      </w:pPr>
      <w:r>
        <w:t>b</w:t>
      </w:r>
      <w:r w:rsidR="00137590" w:rsidRPr="00137590">
        <w:t xml:space="preserve">e new, time-limited expenditure (noting existing expenditure should have been included in </w:t>
      </w:r>
      <w:r w:rsidR="00640DF8">
        <w:t xml:space="preserve">2025 </w:t>
      </w:r>
      <w:r w:rsidR="00137590" w:rsidRPr="00007E60">
        <w:t>starting shares</w:t>
      </w:r>
      <w:r w:rsidR="00137590" w:rsidRPr="00137590">
        <w:t>); and</w:t>
      </w:r>
    </w:p>
    <w:p w14:paraId="77ED56AD" w14:textId="77777777" w:rsidR="00676CE4" w:rsidRPr="00137590" w:rsidRDefault="00676CE4" w:rsidP="00676CE4">
      <w:pPr>
        <w:numPr>
          <w:ilvl w:val="0"/>
          <w:numId w:val="25"/>
        </w:numPr>
      </w:pPr>
      <w:r>
        <w:t>only be reported separately if the</w:t>
      </w:r>
      <w:r w:rsidRPr="00137590">
        <w:t xml:space="preserve"> funding </w:t>
      </w:r>
      <w:r>
        <w:t xml:space="preserve">is not </w:t>
      </w:r>
      <w:r w:rsidRPr="00137590">
        <w:t xml:space="preserve">already counted towards a state or territory’s funding requirements </w:t>
      </w:r>
      <w:r>
        <w:t>through</w:t>
      </w:r>
      <w:r w:rsidRPr="00137590">
        <w:t xml:space="preserve"> NRI, regulatory costs or other </w:t>
      </w:r>
      <w:r>
        <w:t>additional funding types listed in the bilateral agreements</w:t>
      </w:r>
      <w:r w:rsidRPr="00137590">
        <w:t>.</w:t>
      </w:r>
    </w:p>
    <w:p w14:paraId="3BFEBD33" w14:textId="5A7E592B" w:rsidR="00330498" w:rsidRDefault="00590DDC" w:rsidP="00330498">
      <w:r>
        <w:t xml:space="preserve">Please contact the department for further advice if you wish to </w:t>
      </w:r>
      <w:r w:rsidR="0079316D">
        <w:t>report</w:t>
      </w:r>
      <w:r>
        <w:t xml:space="preserve"> </w:t>
      </w:r>
      <w:r w:rsidR="0079316D">
        <w:t>any reform or NEI costs separately.</w:t>
      </w:r>
    </w:p>
    <w:p w14:paraId="163B2084" w14:textId="77777777" w:rsidR="006E41FB" w:rsidRDefault="006E41FB" w:rsidP="006E41FB">
      <w:pPr>
        <w:pStyle w:val="Heading3"/>
        <w:rPr>
          <w:rFonts w:eastAsia="Calibri"/>
        </w:rPr>
      </w:pPr>
      <w:bookmarkStart w:id="22" w:name="_Toc212545672"/>
      <w:r>
        <w:rPr>
          <w:rFonts w:eastAsia="Calibri"/>
        </w:rPr>
        <w:t>Capital depreciation</w:t>
      </w:r>
      <w:bookmarkEnd w:id="22"/>
    </w:p>
    <w:p w14:paraId="518E8E98" w14:textId="4AE426D1" w:rsidR="000531BD" w:rsidRDefault="00175995" w:rsidP="00330498">
      <w:r>
        <w:t xml:space="preserve">Capital depreciation can be included where permitted in a bilateral agreement, subject to any conditions in the bilateral </w:t>
      </w:r>
      <w:r w:rsidR="00746311">
        <w:t>agreements.</w:t>
      </w:r>
      <w:r>
        <w:t xml:space="preserve"> </w:t>
      </w:r>
      <w:r w:rsidR="00B04FC6">
        <w:t xml:space="preserve">Maximum percentages that can be counted for capital depreciation are listed in </w:t>
      </w:r>
      <w:r w:rsidR="00BF5837">
        <w:t>the bilateral agreements.</w:t>
      </w:r>
    </w:p>
    <w:p w14:paraId="0EF774AA" w14:textId="5C1A4CC5" w:rsidR="006E41FB" w:rsidRDefault="00AC4DC6" w:rsidP="00330498">
      <w:r>
        <w:t>Where capital</w:t>
      </w:r>
      <w:r w:rsidR="00DD324B">
        <w:t xml:space="preserve"> depreciation is specified as an additional funding type in a bilateral agreement under the </w:t>
      </w:r>
      <w:r w:rsidR="00882BE3">
        <w:t xml:space="preserve">BFSA Full and Fair Funding, </w:t>
      </w:r>
      <w:r w:rsidR="005C3004">
        <w:t>a</w:t>
      </w:r>
      <w:r w:rsidR="0080621A">
        <w:t xml:space="preserve"> maximum of 4</w:t>
      </w:r>
      <w:r w:rsidR="00882BE3">
        <w:t xml:space="preserve"> per cent</w:t>
      </w:r>
      <w:r w:rsidR="0080621A">
        <w:t xml:space="preserve"> </w:t>
      </w:r>
      <w:r w:rsidR="001B2CD8">
        <w:t xml:space="preserve">of the SRS can be </w:t>
      </w:r>
      <w:r w:rsidR="00A533DE">
        <w:t xml:space="preserve">counted towards capital depreciation in 2025, with this amount being </w:t>
      </w:r>
      <w:r w:rsidR="000C1F1A">
        <w:t>reduced to 0</w:t>
      </w:r>
      <w:r w:rsidR="00882BE3">
        <w:t xml:space="preserve"> per cent</w:t>
      </w:r>
      <w:r w:rsidR="000C1F1A">
        <w:t xml:space="preserve"> over the lifetime of the agreement</w:t>
      </w:r>
      <w:r w:rsidR="006338B1">
        <w:t xml:space="preserve"> (see table in the bilateral agreements for maximum </w:t>
      </w:r>
      <w:r w:rsidR="0087697B">
        <w:t xml:space="preserve">amount that can be </w:t>
      </w:r>
      <w:r w:rsidR="003665AF">
        <w:t>counted</w:t>
      </w:r>
      <w:r w:rsidR="0087697B">
        <w:t xml:space="preserve"> for each year).</w:t>
      </w:r>
    </w:p>
    <w:p w14:paraId="0AA535B0" w14:textId="23946E42" w:rsidR="00330498" w:rsidRDefault="00330498" w:rsidP="00330498">
      <w:pPr>
        <w:pStyle w:val="Heading3"/>
      </w:pPr>
      <w:bookmarkStart w:id="23" w:name="_Toc212545673"/>
      <w:r>
        <w:t>Direct school transport</w:t>
      </w:r>
      <w:bookmarkEnd w:id="23"/>
    </w:p>
    <w:p w14:paraId="35433944" w14:textId="0AA6AFC1" w:rsidR="00175995" w:rsidRPr="00175995" w:rsidRDefault="00175995" w:rsidP="00175995">
      <w:r>
        <w:t xml:space="preserve">Direct school transport costs </w:t>
      </w:r>
      <w:r w:rsidR="00882BE3">
        <w:t xml:space="preserve">for government school students </w:t>
      </w:r>
      <w:r>
        <w:t>can be included where permitted in a bilateral agreement, subject to any conditions in the bilateral agreement.</w:t>
      </w:r>
    </w:p>
    <w:p w14:paraId="7FEB46E1" w14:textId="2E80E0CD" w:rsidR="00330498" w:rsidRDefault="00414D7A" w:rsidP="00330498">
      <w:pPr>
        <w:rPr>
          <w:rFonts w:ascii="Calibri" w:eastAsia="Calibri" w:hAnsi="Calibri" w:cs="Arial"/>
        </w:rPr>
      </w:pPr>
      <w:r w:rsidRPr="007F67E0">
        <w:rPr>
          <w:rFonts w:ascii="Calibri" w:eastAsia="Calibri" w:hAnsi="Calibri" w:cs="Arial"/>
        </w:rPr>
        <w:t xml:space="preserve">Direct </w:t>
      </w:r>
      <w:r w:rsidR="00E9169E">
        <w:rPr>
          <w:rFonts w:ascii="Calibri" w:eastAsia="Calibri" w:hAnsi="Calibri" w:cs="Arial"/>
        </w:rPr>
        <w:t>school</w:t>
      </w:r>
      <w:r w:rsidRPr="007F67E0">
        <w:rPr>
          <w:rFonts w:ascii="Calibri" w:eastAsia="Calibri" w:hAnsi="Calibri" w:cs="Arial"/>
        </w:rPr>
        <w:t xml:space="preserve"> transport costs include dedicated school buses but exclude general concessional student fares for public transport. Transport for students with disability may also be included as direct school transport cost. </w:t>
      </w:r>
      <w:r w:rsidRPr="00664F14">
        <w:rPr>
          <w:rFonts w:ascii="Calibri" w:eastAsia="Calibri" w:hAnsi="Calibri" w:cs="Arial"/>
        </w:rPr>
        <w:t xml:space="preserve">However, where transport for students with disability is counted as a </w:t>
      </w:r>
      <w:r w:rsidRPr="00664F14">
        <w:rPr>
          <w:rFonts w:ascii="Calibri" w:eastAsia="Calibri" w:hAnsi="Calibri" w:cs="Arial"/>
        </w:rPr>
        <w:lastRenderedPageBreak/>
        <w:t>contribution to the National Disability Insurance Scheme (NDIS), this expenditure cannot also be counted towards a state or territory’s school funding requirements.</w:t>
      </w:r>
    </w:p>
    <w:p w14:paraId="4B713BAB" w14:textId="2B836F54" w:rsidR="00175995" w:rsidRDefault="00175995" w:rsidP="00175995">
      <w:pPr>
        <w:pStyle w:val="Heading3"/>
        <w:rPr>
          <w:rFonts w:eastAsia="Calibri"/>
        </w:rPr>
      </w:pPr>
      <w:bookmarkStart w:id="24" w:name="_Toc212545674"/>
      <w:r>
        <w:rPr>
          <w:rFonts w:eastAsia="Calibri"/>
        </w:rPr>
        <w:t>Year 1 minus 2 and early childhood education</w:t>
      </w:r>
      <w:bookmarkEnd w:id="24"/>
    </w:p>
    <w:p w14:paraId="39A9CE72" w14:textId="4F70BCA4" w:rsidR="00175995" w:rsidRPr="00746311" w:rsidRDefault="00746311" w:rsidP="00746311">
      <w:r>
        <w:rPr>
          <w:rFonts w:eastAsia="Calibri"/>
        </w:rPr>
        <w:t xml:space="preserve">Year 1 minus 2 and early childhood education costs </w:t>
      </w:r>
      <w:r>
        <w:t>can be included where permitted in a bilateral agreement, subject to any conditions in the bilateral agreement.</w:t>
      </w:r>
    </w:p>
    <w:p w14:paraId="5BFFFD6E" w14:textId="63702EA4" w:rsidR="00175995" w:rsidRPr="00746311" w:rsidRDefault="00175995" w:rsidP="00746311">
      <w:pPr>
        <w:rPr>
          <w:rFonts w:ascii="Calibri" w:eastAsia="Calibri" w:hAnsi="Calibri" w:cs="Arial"/>
        </w:rPr>
      </w:pPr>
      <w:r w:rsidRPr="007F67E0">
        <w:rPr>
          <w:rFonts w:ascii="Calibri" w:eastAsia="Calibri" w:hAnsi="Calibri" w:cs="Arial"/>
        </w:rPr>
        <w:t xml:space="preserve">Costs for Year 1 minus 2 costs and early childhood learning are included where they are incurred in a school setting or are shown to have a direct impact on school outcomes in line with the Act’s requirement for funding contributions to be provided for schools. </w:t>
      </w:r>
    </w:p>
    <w:p w14:paraId="69A3B794" w14:textId="624E1BBB" w:rsidR="005C3004" w:rsidRPr="00B256F1" w:rsidRDefault="00D1170A" w:rsidP="009E30E5">
      <w:pPr>
        <w:pStyle w:val="Heading3"/>
        <w:rPr>
          <w:rFonts w:eastAsia="Calibri"/>
        </w:rPr>
      </w:pPr>
      <w:bookmarkStart w:id="25" w:name="_Toc212545675"/>
      <w:r w:rsidRPr="00B256F1">
        <w:rPr>
          <w:rFonts w:eastAsia="Calibri"/>
        </w:rPr>
        <w:t xml:space="preserve">South Australia’s mid-year </w:t>
      </w:r>
      <w:r w:rsidR="009E30E5" w:rsidRPr="00B256F1">
        <w:rPr>
          <w:rFonts w:eastAsia="Calibri"/>
        </w:rPr>
        <w:t xml:space="preserve">intake of government school reception </w:t>
      </w:r>
      <w:proofErr w:type="gramStart"/>
      <w:r w:rsidR="009E30E5" w:rsidRPr="00B256F1">
        <w:rPr>
          <w:rFonts w:eastAsia="Calibri"/>
        </w:rPr>
        <w:t>students</w:t>
      </w:r>
      <w:proofErr w:type="gramEnd"/>
      <w:r w:rsidR="009E30E5" w:rsidRPr="00B256F1">
        <w:rPr>
          <w:rFonts w:eastAsia="Calibri"/>
        </w:rPr>
        <w:t xml:space="preserve"> program</w:t>
      </w:r>
      <w:bookmarkEnd w:id="25"/>
    </w:p>
    <w:p w14:paraId="1095A5B1" w14:textId="06C622FB" w:rsidR="00957E18" w:rsidRPr="00664F14" w:rsidRDefault="0076028F" w:rsidP="0088415E">
      <w:r w:rsidRPr="00664F14">
        <w:t xml:space="preserve">See bilateral agreement for further </w:t>
      </w:r>
      <w:r w:rsidR="009A42F6" w:rsidRPr="00664F14">
        <w:t>i</w:t>
      </w:r>
      <w:r w:rsidRPr="00664F14">
        <w:t>nformation.</w:t>
      </w:r>
    </w:p>
    <w:p w14:paraId="21857362" w14:textId="77777777" w:rsidR="00090F2C" w:rsidRPr="007F67E0" w:rsidRDefault="00090F2C" w:rsidP="00146971">
      <w:pPr>
        <w:pStyle w:val="Heading2"/>
        <w:rPr>
          <w:rFonts w:eastAsia="Times New Roman"/>
        </w:rPr>
      </w:pPr>
      <w:bookmarkStart w:id="26" w:name="_Toc212545676"/>
      <w:r w:rsidRPr="007F67E0">
        <w:rPr>
          <w:rFonts w:eastAsia="Times New Roman"/>
        </w:rPr>
        <w:t>Certification requirements</w:t>
      </w:r>
      <w:bookmarkEnd w:id="26"/>
    </w:p>
    <w:p w14:paraId="17A83B77" w14:textId="77777777" w:rsidR="00090F2C" w:rsidRPr="007F67E0" w:rsidRDefault="00090F2C" w:rsidP="00090F2C">
      <w:pPr>
        <w:rPr>
          <w:rFonts w:ascii="Calibri" w:eastAsia="Calibri" w:hAnsi="Calibri" w:cs="Arial"/>
        </w:rPr>
      </w:pPr>
      <w:r w:rsidRPr="007F67E0">
        <w:rPr>
          <w:rFonts w:ascii="Calibri" w:eastAsia="Calibri" w:hAnsi="Calibri" w:cs="Arial"/>
        </w:rPr>
        <w:t>For each expenditure amount included in bilateral agreements, the state or territory should include evidence that the amount has been certified and is consistent with the agreed methodology as set out in the bilateral agreement through a reasonable assurance engagement in line with the Australian Auditing and Assurance Standards by either:</w:t>
      </w:r>
    </w:p>
    <w:p w14:paraId="2BFDF4EF" w14:textId="77777777" w:rsidR="00090F2C" w:rsidRPr="007F67E0" w:rsidRDefault="00090F2C" w:rsidP="00090F2C">
      <w:pPr>
        <w:numPr>
          <w:ilvl w:val="0"/>
          <w:numId w:val="24"/>
        </w:numPr>
        <w:spacing w:after="0" w:line="240" w:lineRule="auto"/>
        <w:contextualSpacing/>
        <w:rPr>
          <w:rFonts w:ascii="Calibri" w:eastAsia="Calibri" w:hAnsi="Calibri" w:cs="Arial"/>
        </w:rPr>
      </w:pPr>
      <w:r w:rsidRPr="007F67E0">
        <w:rPr>
          <w:rFonts w:ascii="Calibri" w:eastAsia="Calibri" w:hAnsi="Calibri" w:cs="Arial"/>
        </w:rPr>
        <w:t>the Auditor-General of the state or territory;</w:t>
      </w:r>
    </w:p>
    <w:p w14:paraId="48AA5136" w14:textId="77777777" w:rsidR="00090F2C" w:rsidRPr="007F67E0" w:rsidRDefault="00090F2C" w:rsidP="00090F2C">
      <w:pPr>
        <w:numPr>
          <w:ilvl w:val="0"/>
          <w:numId w:val="24"/>
        </w:numPr>
        <w:spacing w:after="0" w:line="240" w:lineRule="auto"/>
        <w:contextualSpacing/>
        <w:rPr>
          <w:rFonts w:ascii="Calibri" w:eastAsia="Calibri" w:hAnsi="Calibri" w:cs="Arial"/>
        </w:rPr>
      </w:pPr>
      <w:r w:rsidRPr="007F67E0">
        <w:rPr>
          <w:rFonts w:ascii="Calibri" w:eastAsia="Calibri" w:hAnsi="Calibri" w:cs="Arial"/>
        </w:rPr>
        <w:t>an independent qualified accountant;</w:t>
      </w:r>
    </w:p>
    <w:p w14:paraId="48FA5D08" w14:textId="77777777" w:rsidR="00090F2C" w:rsidRPr="007F67E0" w:rsidRDefault="00090F2C" w:rsidP="00090F2C">
      <w:pPr>
        <w:numPr>
          <w:ilvl w:val="0"/>
          <w:numId w:val="24"/>
        </w:numPr>
        <w:spacing w:after="0" w:line="240" w:lineRule="auto"/>
        <w:contextualSpacing/>
        <w:rPr>
          <w:rFonts w:ascii="Calibri" w:eastAsia="Calibri" w:hAnsi="Calibri" w:cs="Arial"/>
        </w:rPr>
      </w:pPr>
      <w:r w:rsidRPr="007F67E0">
        <w:rPr>
          <w:rFonts w:ascii="Calibri" w:eastAsia="Calibri" w:hAnsi="Calibri" w:cs="Arial"/>
        </w:rPr>
        <w:t>an independent qualified accounting organisation engaged by ACARA for NRIPS; or</w:t>
      </w:r>
    </w:p>
    <w:p w14:paraId="0D363BD1" w14:textId="66D46214" w:rsidR="00090F2C" w:rsidRDefault="00090F2C" w:rsidP="003E0002">
      <w:pPr>
        <w:numPr>
          <w:ilvl w:val="0"/>
          <w:numId w:val="24"/>
        </w:numPr>
        <w:spacing w:after="0" w:line="240" w:lineRule="auto"/>
        <w:contextualSpacing/>
        <w:rPr>
          <w:rFonts w:ascii="Calibri" w:eastAsia="Calibri" w:hAnsi="Calibri" w:cs="Arial"/>
        </w:rPr>
      </w:pPr>
      <w:r w:rsidRPr="007F67E0">
        <w:rPr>
          <w:rFonts w:ascii="Calibri" w:eastAsia="Calibri" w:hAnsi="Calibri" w:cs="Arial"/>
        </w:rPr>
        <w:t>the Director-General or equivalent of the education portfolio for the state or territory, but only up to 0.1 per cent of the SRS for all reported funding.</w:t>
      </w:r>
    </w:p>
    <w:p w14:paraId="74488044" w14:textId="77777777" w:rsidR="003E0002" w:rsidRPr="003E0002" w:rsidRDefault="003E0002" w:rsidP="003E0002">
      <w:pPr>
        <w:spacing w:after="0" w:line="240" w:lineRule="auto"/>
        <w:ind w:left="720"/>
        <w:contextualSpacing/>
        <w:rPr>
          <w:rFonts w:ascii="Calibri" w:eastAsia="Calibri" w:hAnsi="Calibri" w:cs="Arial"/>
        </w:rPr>
      </w:pPr>
    </w:p>
    <w:p w14:paraId="74A18808" w14:textId="77777777" w:rsidR="00090F2C" w:rsidRPr="007F67E0" w:rsidRDefault="00090F2C" w:rsidP="00090F2C">
      <w:pPr>
        <w:rPr>
          <w:rFonts w:ascii="Calibri" w:eastAsia="Calibri" w:hAnsi="Calibri" w:cs="Arial"/>
        </w:rPr>
      </w:pPr>
      <w:r w:rsidRPr="007F67E0">
        <w:t>In addition, it is requested that, to the extent possible, any mitigating factors be quantified. Subject to being able to quantify the factors, these may then be certified through the reasonable assurance engagement.</w:t>
      </w:r>
    </w:p>
    <w:p w14:paraId="73EC8334" w14:textId="77777777" w:rsidR="00090F2C" w:rsidRPr="007F67E0" w:rsidRDefault="00090F2C" w:rsidP="00090F2C">
      <w:pPr>
        <w:rPr>
          <w:rFonts w:ascii="Calibri" w:eastAsia="Calibri" w:hAnsi="Calibri" w:cs="Arial"/>
          <w:strike/>
        </w:rPr>
      </w:pPr>
    </w:p>
    <w:p w14:paraId="53725C19" w14:textId="77777777" w:rsidR="00090F2C" w:rsidRPr="007F67E0" w:rsidRDefault="00090F2C" w:rsidP="00090F2C">
      <w:pPr>
        <w:spacing w:after="160"/>
        <w:rPr>
          <w:rFonts w:ascii="Calibri" w:eastAsia="Calibri" w:hAnsi="Calibri" w:cs="Arial"/>
        </w:rPr>
      </w:pPr>
      <w:r w:rsidRPr="007F67E0">
        <w:rPr>
          <w:rFonts w:ascii="Calibri" w:eastAsia="Calibri" w:hAnsi="Calibri" w:cs="Arial"/>
        </w:rPr>
        <w:br w:type="page"/>
      </w:r>
    </w:p>
    <w:p w14:paraId="65440ECF" w14:textId="77777777" w:rsidR="00090F2C" w:rsidRPr="007F67E0" w:rsidRDefault="00090F2C" w:rsidP="00090F2C">
      <w:pPr>
        <w:rPr>
          <w:rFonts w:ascii="Calibri" w:eastAsia="Calibri" w:hAnsi="Calibri" w:cs="Arial"/>
        </w:rPr>
        <w:sectPr w:rsidR="00090F2C" w:rsidRPr="007F67E0" w:rsidSect="00090F2C">
          <w:pgSz w:w="11906" w:h="16838"/>
          <w:pgMar w:top="1440" w:right="1440" w:bottom="1440" w:left="1440" w:header="708" w:footer="708" w:gutter="0"/>
          <w:cols w:space="708"/>
          <w:docGrid w:linePitch="360"/>
        </w:sectPr>
      </w:pPr>
    </w:p>
    <w:p w14:paraId="7EF91255" w14:textId="77777777" w:rsidR="00090F2C" w:rsidRPr="007F67E0" w:rsidRDefault="00090F2C" w:rsidP="00146971">
      <w:pPr>
        <w:pStyle w:val="Heading2"/>
        <w:rPr>
          <w:rFonts w:eastAsia="Times New Roman"/>
        </w:rPr>
      </w:pPr>
      <w:bookmarkStart w:id="27" w:name="_Toc212545677"/>
      <w:r w:rsidRPr="007F67E0">
        <w:rPr>
          <w:rFonts w:eastAsia="Times New Roman"/>
        </w:rPr>
        <w:lastRenderedPageBreak/>
        <w:t>Reporting pro forma</w:t>
      </w:r>
      <w:bookmarkEnd w:id="27"/>
    </w:p>
    <w:p w14:paraId="34413FBD" w14:textId="77777777" w:rsidR="00090F2C" w:rsidRPr="007F67E0" w:rsidRDefault="00090F2C" w:rsidP="00090F2C">
      <w:pPr>
        <w:rPr>
          <w:rFonts w:ascii="Calibri" w:eastAsia="Calibri" w:hAnsi="Calibri" w:cs="Arial"/>
        </w:rPr>
      </w:pPr>
      <w:r w:rsidRPr="007F67E0">
        <w:rPr>
          <w:rFonts w:ascii="Calibri" w:eastAsia="Calibri" w:hAnsi="Calibri" w:cs="Arial"/>
        </w:rPr>
        <w:t>This pro forma supports annual reporting requirements set out in bilateral agreements between governments relating to state and territory minimum annual contribution amounts for schooling.</w:t>
      </w:r>
    </w:p>
    <w:p w14:paraId="46370F0D" w14:textId="77777777" w:rsidR="00090F2C" w:rsidRPr="007F67E0" w:rsidRDefault="00090F2C" w:rsidP="00090F2C">
      <w:pPr>
        <w:rPr>
          <w:rFonts w:ascii="Calibri" w:eastAsia="Calibri" w:hAnsi="Calibri" w:cs="Arial"/>
        </w:rPr>
      </w:pPr>
      <w:r w:rsidRPr="007F67E0">
        <w:rPr>
          <w:rFonts w:ascii="Calibri" w:eastAsia="Calibri" w:hAnsi="Calibri" w:cs="Arial"/>
        </w:rPr>
        <w:t xml:space="preserve">The pro forma can be edited or adapted as required by states and territories (e.g. further years could be added to tables, or additional columns may be added to justify adjustments). </w:t>
      </w:r>
    </w:p>
    <w:p w14:paraId="494933F3" w14:textId="77777777" w:rsidR="00090F2C" w:rsidRPr="007F67E0" w:rsidRDefault="00090F2C" w:rsidP="00090F2C">
      <w:pPr>
        <w:rPr>
          <w:rFonts w:ascii="Calibri" w:eastAsia="Calibri" w:hAnsi="Calibri" w:cs="Arial"/>
        </w:rPr>
      </w:pPr>
      <w:r w:rsidRPr="007F67E0">
        <w:rPr>
          <w:rFonts w:ascii="Calibri" w:eastAsia="Calibri" w:hAnsi="Calibri" w:cs="Arial"/>
        </w:rPr>
        <w:t>If a state or territory considers that this pro forma does not cover the relevant issues that need to be highlighted, the state or territory may add additional information to this pro forma; or use another format (e.g. spreadsheets or published information from its government). This information should meet the same evidence requirements as outlined in the template.</w:t>
      </w:r>
    </w:p>
    <w:p w14:paraId="185ABD08" w14:textId="77777777" w:rsidR="00090F2C" w:rsidRPr="003E0002" w:rsidRDefault="00090F2C" w:rsidP="00090F2C">
      <w:pPr>
        <w:rPr>
          <w:rFonts w:ascii="Calibri" w:eastAsia="Calibri" w:hAnsi="Calibri" w:cs="Arial"/>
        </w:rPr>
      </w:pPr>
      <w:r w:rsidRPr="007F67E0">
        <w:rPr>
          <w:rFonts w:ascii="Calibri" w:eastAsia="Calibri" w:hAnsi="Calibri" w:cs="Arial"/>
        </w:rPr>
        <w:t xml:space="preserve">The report and any additional </w:t>
      </w:r>
      <w:r w:rsidRPr="003E0002">
        <w:rPr>
          <w:rFonts w:ascii="Calibri" w:eastAsia="Calibri" w:hAnsi="Calibri" w:cs="Arial"/>
        </w:rPr>
        <w:t>information should be sent to:</w:t>
      </w:r>
    </w:p>
    <w:p w14:paraId="6C12A7E2" w14:textId="3C4FEBF2" w:rsidR="00090F2C" w:rsidRPr="007F67E0" w:rsidRDefault="00177747" w:rsidP="00090F2C">
      <w:pPr>
        <w:ind w:left="720"/>
        <w:rPr>
          <w:rFonts w:ascii="Calibri" w:eastAsia="Calibri" w:hAnsi="Calibri" w:cs="Arial"/>
          <w:u w:val="single"/>
        </w:rPr>
      </w:pPr>
      <w:hyperlink r:id="rId16" w:history="1">
        <w:r w:rsidRPr="003E0002">
          <w:rPr>
            <w:rStyle w:val="Hyperlink"/>
            <w:rFonts w:ascii="Calibri" w:eastAsia="Calibri" w:hAnsi="Calibri" w:cs="Arial"/>
          </w:rPr>
          <w:t>Section22AReporting@education.gov.au</w:t>
        </w:r>
      </w:hyperlink>
    </w:p>
    <w:p w14:paraId="3E20B8DF" w14:textId="77777777" w:rsidR="00B6778F" w:rsidRDefault="00B6778F" w:rsidP="00090F2C">
      <w:pPr>
        <w:spacing w:after="160"/>
        <w:rPr>
          <w:rFonts w:ascii="Calibri" w:eastAsia="Calibri" w:hAnsi="Calibri" w:cs="Arial"/>
        </w:rPr>
        <w:sectPr w:rsidR="00B6778F">
          <w:headerReference w:type="default" r:id="rId17"/>
          <w:pgSz w:w="11906" w:h="16838"/>
          <w:pgMar w:top="1440" w:right="1440" w:bottom="1440" w:left="1440" w:header="708" w:footer="680" w:gutter="0"/>
          <w:cols w:space="708"/>
          <w:docGrid w:linePitch="360"/>
        </w:sectPr>
      </w:pPr>
    </w:p>
    <w:p w14:paraId="2451BD25" w14:textId="77777777" w:rsidR="00090F2C" w:rsidRPr="007F67E0" w:rsidRDefault="00090F2C" w:rsidP="00090F2C">
      <w:pPr>
        <w:keepNext/>
        <w:keepLines/>
        <w:spacing w:before="240" w:after="120"/>
        <w:outlineLvl w:val="0"/>
        <w:rPr>
          <w:rFonts w:ascii="Calibri" w:eastAsia="Times New Roman" w:hAnsi="Calibri" w:cs="Times New Roman"/>
          <w:b/>
          <w:color w:val="343741"/>
          <w:sz w:val="32"/>
          <w:szCs w:val="32"/>
        </w:rPr>
      </w:pPr>
      <w:bookmarkStart w:id="28" w:name="_Toc212545678"/>
      <w:r w:rsidRPr="007F67E0">
        <w:rPr>
          <w:rFonts w:ascii="Calibri" w:eastAsia="Times New Roman" w:hAnsi="Calibri" w:cs="Times New Roman"/>
          <w:b/>
          <w:color w:val="343741"/>
          <w:sz w:val="32"/>
          <w:szCs w:val="32"/>
        </w:rPr>
        <w:lastRenderedPageBreak/>
        <w:t>[Insert State or Territory]</w:t>
      </w:r>
      <w:bookmarkEnd w:id="28"/>
    </w:p>
    <w:p w14:paraId="6ED1EAB0" w14:textId="77777777" w:rsidR="00090F2C" w:rsidRPr="007F67E0" w:rsidRDefault="00090F2C" w:rsidP="00090F2C">
      <w:pPr>
        <w:keepNext/>
        <w:keepLines/>
        <w:spacing w:before="240" w:after="120"/>
        <w:outlineLvl w:val="1"/>
        <w:rPr>
          <w:rFonts w:ascii="Calibri" w:eastAsia="Times New Roman" w:hAnsi="Calibri" w:cs="Times New Roman"/>
          <w:b/>
          <w:color w:val="287DB2"/>
          <w:sz w:val="28"/>
          <w:szCs w:val="26"/>
        </w:rPr>
      </w:pPr>
      <w:bookmarkStart w:id="29" w:name="_Toc212545679"/>
      <w:r w:rsidRPr="007F67E0">
        <w:rPr>
          <w:rFonts w:ascii="Calibri" w:eastAsia="Times New Roman" w:hAnsi="Calibri" w:cs="Times New Roman"/>
          <w:b/>
          <w:color w:val="287DB2"/>
          <w:sz w:val="28"/>
          <w:szCs w:val="26"/>
        </w:rPr>
        <w:t>Part 1 – Summary of reported state or territory funding contributions</w:t>
      </w:r>
      <w:bookmarkEnd w:id="29"/>
    </w:p>
    <w:p w14:paraId="06254F43" w14:textId="77777777" w:rsidR="00090F2C" w:rsidRPr="007F67E0" w:rsidRDefault="00090F2C" w:rsidP="00090F2C">
      <w:pPr>
        <w:keepNext/>
        <w:keepLines/>
        <w:numPr>
          <w:ilvl w:val="1"/>
          <w:numId w:val="21"/>
        </w:numPr>
        <w:pBdr>
          <w:bottom w:val="single" w:sz="4" w:space="1" w:color="auto"/>
        </w:pBdr>
        <w:spacing w:before="240" w:after="120" w:line="240" w:lineRule="auto"/>
        <w:outlineLvl w:val="2"/>
        <w:rPr>
          <w:rFonts w:ascii="Calibri" w:eastAsia="Times New Roman" w:hAnsi="Calibri" w:cs="Times New Roman"/>
          <w:b/>
          <w:color w:val="008276"/>
          <w:sz w:val="24"/>
          <w:szCs w:val="24"/>
        </w:rPr>
      </w:pPr>
      <w:bookmarkStart w:id="30" w:name="_Toc212545680"/>
      <w:r w:rsidRPr="007F67E0">
        <w:rPr>
          <w:rFonts w:ascii="Calibri" w:eastAsia="Times New Roman" w:hAnsi="Calibri" w:cs="Times New Roman"/>
          <w:b/>
          <w:color w:val="008276"/>
          <w:sz w:val="24"/>
          <w:szCs w:val="24"/>
        </w:rPr>
        <w:t>Contact details</w:t>
      </w:r>
      <w:bookmarkEnd w:id="30"/>
    </w:p>
    <w:p w14:paraId="605E716A" w14:textId="77777777" w:rsidR="00090F2C" w:rsidRPr="007F67E0" w:rsidRDefault="00090F2C" w:rsidP="00090F2C">
      <w:pPr>
        <w:rPr>
          <w:rFonts w:ascii="Calibri" w:eastAsia="Calibri" w:hAnsi="Calibri" w:cs="Arial"/>
        </w:rPr>
      </w:pPr>
      <w:r w:rsidRPr="007F67E0">
        <w:rPr>
          <w:rFonts w:ascii="Calibri" w:eastAsia="Calibri" w:hAnsi="Calibri" w:cs="Arial"/>
        </w:rPr>
        <w:t>Primary executive contact</w:t>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t>Alternative contact (optional)</w:t>
      </w:r>
    </w:p>
    <w:p w14:paraId="2231D291" w14:textId="77777777" w:rsidR="00090F2C" w:rsidRPr="007F67E0" w:rsidRDefault="00090F2C" w:rsidP="00090F2C">
      <w:pPr>
        <w:rPr>
          <w:rFonts w:ascii="Calibri" w:eastAsia="Calibri" w:hAnsi="Calibri" w:cs="Arial"/>
        </w:rPr>
      </w:pPr>
      <w:r w:rsidRPr="007F67E0">
        <w:rPr>
          <w:rFonts w:ascii="Calibri" w:eastAsia="Calibri" w:hAnsi="Calibri" w:cs="Arial"/>
        </w:rPr>
        <w:t>Name:</w:t>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t>Name:</w:t>
      </w:r>
    </w:p>
    <w:p w14:paraId="6C67BD18" w14:textId="77777777" w:rsidR="00090F2C" w:rsidRPr="007F67E0" w:rsidRDefault="00090F2C" w:rsidP="00090F2C">
      <w:pPr>
        <w:rPr>
          <w:rFonts w:ascii="Calibri" w:eastAsia="Calibri" w:hAnsi="Calibri" w:cs="Arial"/>
        </w:rPr>
      </w:pPr>
      <w:r w:rsidRPr="007F67E0">
        <w:rPr>
          <w:rFonts w:ascii="Calibri" w:eastAsia="Calibri" w:hAnsi="Calibri" w:cs="Arial"/>
        </w:rPr>
        <w:t>Position:</w:t>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t>Position:</w:t>
      </w:r>
    </w:p>
    <w:p w14:paraId="62CE394D" w14:textId="77777777" w:rsidR="00090F2C" w:rsidRPr="007F67E0" w:rsidRDefault="00090F2C" w:rsidP="00090F2C">
      <w:pPr>
        <w:rPr>
          <w:rFonts w:ascii="Calibri" w:eastAsia="Calibri" w:hAnsi="Calibri" w:cs="Arial"/>
        </w:rPr>
      </w:pPr>
      <w:r w:rsidRPr="007F67E0">
        <w:rPr>
          <w:rFonts w:ascii="Calibri" w:eastAsia="Calibri" w:hAnsi="Calibri" w:cs="Arial"/>
        </w:rPr>
        <w:t>Email:</w:t>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t>Email:</w:t>
      </w:r>
    </w:p>
    <w:p w14:paraId="1C793B48" w14:textId="77777777" w:rsidR="00090F2C" w:rsidRPr="007F67E0" w:rsidRDefault="00090F2C" w:rsidP="00090F2C">
      <w:pPr>
        <w:rPr>
          <w:rFonts w:ascii="Calibri" w:eastAsia="Calibri" w:hAnsi="Calibri" w:cs="Arial"/>
        </w:rPr>
      </w:pPr>
      <w:r w:rsidRPr="007F67E0">
        <w:rPr>
          <w:rFonts w:ascii="Calibri" w:eastAsia="Calibri" w:hAnsi="Calibri" w:cs="Arial"/>
        </w:rPr>
        <w:t>Phone:</w:t>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r>
      <w:r w:rsidRPr="007F67E0">
        <w:rPr>
          <w:rFonts w:ascii="Calibri" w:eastAsia="Calibri" w:hAnsi="Calibri" w:cs="Arial"/>
        </w:rPr>
        <w:tab/>
        <w:t>Phone:</w:t>
      </w:r>
    </w:p>
    <w:p w14:paraId="71E3F9BE" w14:textId="77777777" w:rsidR="00090F2C" w:rsidRPr="007F67E0" w:rsidRDefault="00090F2C" w:rsidP="00090F2C">
      <w:pPr>
        <w:keepNext/>
        <w:keepLines/>
        <w:numPr>
          <w:ilvl w:val="1"/>
          <w:numId w:val="21"/>
        </w:numPr>
        <w:pBdr>
          <w:bottom w:val="single" w:sz="4" w:space="1" w:color="auto"/>
        </w:pBdr>
        <w:spacing w:before="240" w:after="120" w:line="240" w:lineRule="auto"/>
        <w:outlineLvl w:val="2"/>
        <w:rPr>
          <w:rFonts w:ascii="Calibri" w:eastAsia="Times New Roman" w:hAnsi="Calibri" w:cs="Times New Roman"/>
          <w:b/>
          <w:color w:val="008276"/>
          <w:sz w:val="24"/>
          <w:szCs w:val="24"/>
        </w:rPr>
      </w:pPr>
      <w:bookmarkStart w:id="31" w:name="_Toc212545681"/>
      <w:r w:rsidRPr="007F67E0">
        <w:rPr>
          <w:rFonts w:ascii="Calibri" w:eastAsia="Times New Roman" w:hAnsi="Calibri" w:cs="Times New Roman"/>
          <w:b/>
          <w:color w:val="008276"/>
          <w:sz w:val="24"/>
          <w:szCs w:val="24"/>
        </w:rPr>
        <w:t>State or territory funding contribution requirements</w:t>
      </w:r>
      <w:bookmarkEnd w:id="31"/>
    </w:p>
    <w:p w14:paraId="51F0DDE4" w14:textId="59D8332D" w:rsidR="00090F2C" w:rsidRPr="007F67E0" w:rsidRDefault="00090F2C" w:rsidP="00090F2C">
      <w:pPr>
        <w:rPr>
          <w:rFonts w:ascii="Calibri" w:eastAsia="Calibri" w:hAnsi="Calibri" w:cs="Arial"/>
        </w:rPr>
      </w:pPr>
      <w:r w:rsidRPr="007F67E0">
        <w:rPr>
          <w:rFonts w:ascii="Calibri" w:eastAsia="Calibri" w:hAnsi="Calibri" w:cs="Arial"/>
        </w:rPr>
        <w:t xml:space="preserve">The required funding contributions are expressed as a percentage of the Schooling Resource Standard (SRS) </w:t>
      </w:r>
      <w:r w:rsidR="00564DC6">
        <w:rPr>
          <w:rFonts w:ascii="Calibri" w:eastAsia="Calibri" w:hAnsi="Calibri" w:cs="Arial"/>
        </w:rPr>
        <w:t>as</w:t>
      </w:r>
      <w:r w:rsidRPr="007F67E0">
        <w:rPr>
          <w:rFonts w:ascii="Calibri" w:eastAsia="Calibri" w:hAnsi="Calibri" w:cs="Arial"/>
        </w:rPr>
        <w:t xml:space="preserve"> calculated under the </w:t>
      </w:r>
      <w:r w:rsidRPr="007F67E0">
        <w:rPr>
          <w:rFonts w:ascii="Calibri" w:eastAsia="Calibri" w:hAnsi="Calibri" w:cs="Arial"/>
          <w:i/>
        </w:rPr>
        <w:t>Australian Education Act 2013</w:t>
      </w:r>
      <w:r w:rsidRPr="007F67E0">
        <w:rPr>
          <w:rFonts w:ascii="Calibri" w:eastAsia="Calibri" w:hAnsi="Calibri" w:cs="Arial"/>
        </w:rPr>
        <w:t xml:space="preserve"> (the Act).</w:t>
      </w:r>
    </w:p>
    <w:p w14:paraId="207D5503" w14:textId="77777777" w:rsidR="00090F2C" w:rsidRPr="007F67E0" w:rsidRDefault="00090F2C" w:rsidP="00090F2C">
      <w:pPr>
        <w:keepNext/>
        <w:keepLines/>
        <w:spacing w:before="120" w:after="0"/>
        <w:outlineLvl w:val="3"/>
        <w:rPr>
          <w:rFonts w:ascii="Calibri" w:eastAsia="Times New Roman" w:hAnsi="Calibri" w:cs="Times New Roman"/>
          <w:b/>
          <w:iCs/>
          <w:color w:val="5F6369"/>
        </w:rPr>
      </w:pPr>
      <w:r w:rsidRPr="007F67E0">
        <w:rPr>
          <w:rFonts w:ascii="Calibri" w:eastAsia="Times New Roman" w:hAnsi="Calibri" w:cs="Times New Roman"/>
          <w:b/>
          <w:iCs/>
          <w:color w:val="5F6369"/>
        </w:rPr>
        <w:t>Required minimum funding contribution requirements</w:t>
      </w:r>
    </w:p>
    <w:tbl>
      <w:tblPr>
        <w:tblStyle w:val="GridTable4-Accent612"/>
        <w:tblW w:w="8312" w:type="dxa"/>
        <w:tblLayout w:type="fixed"/>
        <w:tblLook w:val="04A0" w:firstRow="1" w:lastRow="0" w:firstColumn="1" w:lastColumn="0" w:noHBand="0" w:noVBand="1"/>
      </w:tblPr>
      <w:tblGrid>
        <w:gridCol w:w="1268"/>
        <w:gridCol w:w="3410"/>
        <w:gridCol w:w="3634"/>
      </w:tblGrid>
      <w:tr w:rsidR="00090F2C" w:rsidRPr="007F67E0" w14:paraId="2D530D78" w14:textId="7777777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763" w:type="pct"/>
          </w:tcPr>
          <w:p w14:paraId="03331E1F" w14:textId="77777777" w:rsidR="00090F2C" w:rsidRPr="007F67E0" w:rsidRDefault="00090F2C">
            <w:pPr>
              <w:spacing w:before="20" w:after="20"/>
              <w:rPr>
                <w:rFonts w:cs="Calibri"/>
                <w:sz w:val="20"/>
              </w:rPr>
            </w:pPr>
          </w:p>
        </w:tc>
        <w:tc>
          <w:tcPr>
            <w:tcW w:w="2051" w:type="pct"/>
          </w:tcPr>
          <w:p w14:paraId="5B17506B" w14:textId="77777777" w:rsidR="00090F2C" w:rsidRPr="007F67E0" w:rsidRDefault="00090F2C">
            <w:pPr>
              <w:spacing w:before="20" w:after="20"/>
              <w:cnfStyle w:val="100000000000" w:firstRow="1" w:lastRow="0" w:firstColumn="0" w:lastColumn="0" w:oddVBand="0" w:evenVBand="0" w:oddHBand="0" w:evenHBand="0" w:firstRowFirstColumn="0" w:firstRowLastColumn="0" w:lastRowFirstColumn="0" w:lastRowLastColumn="0"/>
              <w:rPr>
                <w:rFonts w:cs="Calibri"/>
                <w:sz w:val="20"/>
              </w:rPr>
            </w:pPr>
          </w:p>
        </w:tc>
        <w:tc>
          <w:tcPr>
            <w:tcW w:w="2186" w:type="pct"/>
          </w:tcPr>
          <w:p w14:paraId="28750BD1" w14:textId="77777777" w:rsidR="00090F2C" w:rsidRPr="007F67E0" w:rsidRDefault="00090F2C">
            <w:pPr>
              <w:spacing w:before="20" w:after="20"/>
              <w:jc w:val="center"/>
              <w:cnfStyle w:val="100000000000" w:firstRow="1" w:lastRow="0" w:firstColumn="0" w:lastColumn="0" w:oddVBand="0" w:evenVBand="0" w:oddHBand="0" w:evenHBand="0" w:firstRowFirstColumn="0" w:firstRowLastColumn="0" w:lastRowFirstColumn="0" w:lastRowLastColumn="0"/>
              <w:rPr>
                <w:rFonts w:cs="Calibri"/>
                <w:sz w:val="20"/>
              </w:rPr>
            </w:pPr>
            <w:r w:rsidRPr="007F67E0">
              <w:rPr>
                <w:rFonts w:cs="Calibri"/>
                <w:sz w:val="20"/>
              </w:rPr>
              <w:t>[insert year]</w:t>
            </w:r>
          </w:p>
        </w:tc>
      </w:tr>
      <w:tr w:rsidR="00090F2C" w:rsidRPr="007F67E0" w14:paraId="12462370" w14:textId="77777777">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val="restart"/>
          </w:tcPr>
          <w:p w14:paraId="66388570" w14:textId="77777777" w:rsidR="00090F2C" w:rsidRPr="007F67E0" w:rsidRDefault="00090F2C">
            <w:pPr>
              <w:spacing w:before="20" w:after="20"/>
              <w:rPr>
                <w:rFonts w:cs="Calibri"/>
                <w:color w:val="FFFFFF"/>
                <w:sz w:val="20"/>
              </w:rPr>
            </w:pPr>
            <w:r w:rsidRPr="007F67E0">
              <w:rPr>
                <w:rFonts w:cs="Calibri"/>
                <w:sz w:val="20"/>
              </w:rPr>
              <w:t>Government</w:t>
            </w:r>
          </w:p>
        </w:tc>
        <w:tc>
          <w:tcPr>
            <w:tcW w:w="2051" w:type="pct"/>
          </w:tcPr>
          <w:p w14:paraId="21641984" w14:textId="5630282D"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r w:rsidRPr="007F67E0">
              <w:rPr>
                <w:rFonts w:cs="Calibri"/>
                <w:bCs/>
                <w:color w:val="000000"/>
                <w:sz w:val="20"/>
              </w:rPr>
              <w:t>Required contribution (% SRS) *</w:t>
            </w:r>
          </w:p>
        </w:tc>
        <w:tc>
          <w:tcPr>
            <w:tcW w:w="2186" w:type="pct"/>
          </w:tcPr>
          <w:p w14:paraId="1833B226"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p>
        </w:tc>
      </w:tr>
      <w:tr w:rsidR="00090F2C" w:rsidRPr="007F67E0" w14:paraId="7FAF0EBC" w14:textId="77777777">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27CA4C0B" w14:textId="77777777" w:rsidR="00090F2C" w:rsidRPr="007F67E0" w:rsidRDefault="00090F2C">
            <w:pPr>
              <w:spacing w:before="20" w:after="20"/>
              <w:rPr>
                <w:rFonts w:cs="Calibri"/>
                <w:color w:val="FFFFFF"/>
                <w:sz w:val="20"/>
              </w:rPr>
            </w:pPr>
          </w:p>
        </w:tc>
        <w:tc>
          <w:tcPr>
            <w:tcW w:w="2051" w:type="pct"/>
          </w:tcPr>
          <w:p w14:paraId="16D3F8FF" w14:textId="2F27382B"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r w:rsidRPr="007F67E0">
              <w:rPr>
                <w:rFonts w:cs="Calibri"/>
                <w:bCs/>
                <w:color w:val="000000"/>
                <w:sz w:val="20"/>
              </w:rPr>
              <w:t>Enrolments (FTE)</w:t>
            </w:r>
            <w:r w:rsidR="00D73914">
              <w:rPr>
                <w:rFonts w:cs="Calibri"/>
                <w:bCs/>
                <w:color w:val="000000"/>
                <w:sz w:val="20"/>
              </w:rPr>
              <w:t xml:space="preserve"> ^</w:t>
            </w:r>
            <w:r w:rsidRPr="007F67E0">
              <w:rPr>
                <w:rFonts w:cs="Calibri"/>
                <w:bCs/>
                <w:color w:val="000000"/>
                <w:sz w:val="20"/>
                <w:vertAlign w:val="superscript"/>
              </w:rPr>
              <w:t xml:space="preserve"> </w:t>
            </w:r>
          </w:p>
        </w:tc>
        <w:tc>
          <w:tcPr>
            <w:tcW w:w="2186" w:type="pct"/>
          </w:tcPr>
          <w:p w14:paraId="5D040E8D"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i/>
                <w:color w:val="000000"/>
                <w:sz w:val="20"/>
              </w:rPr>
            </w:pPr>
          </w:p>
        </w:tc>
      </w:tr>
      <w:tr w:rsidR="00090F2C" w:rsidRPr="007F67E0" w14:paraId="18EDE216" w14:textId="77777777">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79D5487E" w14:textId="77777777" w:rsidR="00090F2C" w:rsidRPr="007F67E0" w:rsidRDefault="00090F2C">
            <w:pPr>
              <w:spacing w:before="20" w:after="20"/>
              <w:rPr>
                <w:rFonts w:cs="Calibri"/>
                <w:color w:val="FFFFFF"/>
                <w:sz w:val="20"/>
              </w:rPr>
            </w:pPr>
          </w:p>
        </w:tc>
        <w:tc>
          <w:tcPr>
            <w:tcW w:w="2051" w:type="pct"/>
          </w:tcPr>
          <w:p w14:paraId="064AEFE8" w14:textId="10823698"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r w:rsidRPr="007F67E0">
              <w:rPr>
                <w:rFonts w:cs="Calibri"/>
                <w:bCs/>
                <w:color w:val="000000"/>
                <w:sz w:val="20"/>
              </w:rPr>
              <w:t>Total SRS ($)</w:t>
            </w:r>
            <w:r w:rsidR="008E51E0">
              <w:rPr>
                <w:rFonts w:cs="Calibri"/>
                <w:bCs/>
                <w:color w:val="000000"/>
                <w:sz w:val="20"/>
              </w:rPr>
              <w:t xml:space="preserve"> </w:t>
            </w:r>
            <w:r w:rsidR="008E51E0" w:rsidRPr="008E51E0">
              <w:rPr>
                <w:rFonts w:cs="Calibri"/>
                <w:bCs/>
                <w:color w:val="000000"/>
                <w:sz w:val="20"/>
              </w:rPr>
              <w:t>^</w:t>
            </w:r>
          </w:p>
        </w:tc>
        <w:tc>
          <w:tcPr>
            <w:tcW w:w="2186" w:type="pct"/>
          </w:tcPr>
          <w:p w14:paraId="03E23A94"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p>
        </w:tc>
      </w:tr>
      <w:tr w:rsidR="00090F2C" w:rsidRPr="007F67E0" w14:paraId="20552ED1" w14:textId="77777777">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790720CF" w14:textId="77777777" w:rsidR="00090F2C" w:rsidRPr="007F67E0" w:rsidRDefault="00090F2C">
            <w:pPr>
              <w:spacing w:before="20" w:after="20"/>
              <w:rPr>
                <w:rFonts w:cs="Calibri"/>
                <w:color w:val="FFFFFF"/>
                <w:sz w:val="20"/>
              </w:rPr>
            </w:pPr>
          </w:p>
        </w:tc>
        <w:tc>
          <w:tcPr>
            <w:tcW w:w="2051" w:type="pct"/>
          </w:tcPr>
          <w:p w14:paraId="21829598" w14:textId="6E9611CD"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vertAlign w:val="superscript"/>
              </w:rPr>
            </w:pPr>
            <w:r w:rsidRPr="007F67E0">
              <w:rPr>
                <w:rFonts w:cs="Calibri"/>
                <w:bCs/>
                <w:color w:val="000000"/>
                <w:sz w:val="20"/>
              </w:rPr>
              <w:t>Required contribution of SRS</w:t>
            </w:r>
            <w:r w:rsidR="00EA0A37">
              <w:rPr>
                <w:rFonts w:cs="Calibri"/>
                <w:bCs/>
                <w:color w:val="000000"/>
                <w:sz w:val="20"/>
              </w:rPr>
              <w:t xml:space="preserve"> </w:t>
            </w:r>
            <w:r w:rsidRPr="007F67E0">
              <w:rPr>
                <w:rFonts w:cs="Calibri"/>
                <w:bCs/>
                <w:color w:val="000000"/>
                <w:sz w:val="20"/>
              </w:rPr>
              <w:t>($) ^</w:t>
            </w:r>
            <w:r w:rsidRPr="007F67E0">
              <w:rPr>
                <w:rFonts w:cs="Calibri"/>
                <w:bCs/>
                <w:color w:val="000000"/>
                <w:sz w:val="20"/>
                <w:vertAlign w:val="superscript"/>
              </w:rPr>
              <w:t>#</w:t>
            </w:r>
          </w:p>
        </w:tc>
        <w:tc>
          <w:tcPr>
            <w:tcW w:w="2186" w:type="pct"/>
          </w:tcPr>
          <w:p w14:paraId="29B1AD61"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p>
        </w:tc>
      </w:tr>
      <w:tr w:rsidR="00090F2C" w:rsidRPr="007F67E0" w14:paraId="28617EB7" w14:textId="77777777" w:rsidTr="0071748E">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val="restart"/>
          </w:tcPr>
          <w:p w14:paraId="7EF1D3D3" w14:textId="77777777" w:rsidR="00090F2C" w:rsidRPr="007F67E0" w:rsidRDefault="00090F2C">
            <w:pPr>
              <w:spacing w:before="20" w:after="20"/>
              <w:rPr>
                <w:rFonts w:cs="Calibri"/>
                <w:color w:val="FFFFFF"/>
                <w:sz w:val="20"/>
              </w:rPr>
            </w:pPr>
            <w:r w:rsidRPr="007F67E0">
              <w:rPr>
                <w:rFonts w:cs="Calibri"/>
                <w:sz w:val="20"/>
              </w:rPr>
              <w:t>Non-government</w:t>
            </w:r>
          </w:p>
        </w:tc>
        <w:tc>
          <w:tcPr>
            <w:tcW w:w="2051" w:type="pct"/>
          </w:tcPr>
          <w:p w14:paraId="1E5845EF" w14:textId="6E751C70"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r w:rsidRPr="007F67E0">
              <w:rPr>
                <w:rFonts w:cs="Calibri"/>
                <w:bCs/>
                <w:color w:val="000000"/>
                <w:sz w:val="20"/>
              </w:rPr>
              <w:t>Required contribution (% SRS)</w:t>
            </w:r>
            <w:r w:rsidR="00D73914">
              <w:rPr>
                <w:rFonts w:cs="Calibri"/>
                <w:bCs/>
                <w:color w:val="000000"/>
                <w:sz w:val="20"/>
              </w:rPr>
              <w:t xml:space="preserve"> *</w:t>
            </w:r>
            <w:r w:rsidRPr="007F67E0">
              <w:rPr>
                <w:rFonts w:cs="Calibri"/>
                <w:bCs/>
                <w:color w:val="000000"/>
                <w:sz w:val="20"/>
                <w:vertAlign w:val="superscript"/>
              </w:rPr>
              <w:t xml:space="preserve"> </w:t>
            </w:r>
          </w:p>
        </w:tc>
        <w:tc>
          <w:tcPr>
            <w:tcW w:w="2186" w:type="pct"/>
          </w:tcPr>
          <w:p w14:paraId="3B7F941A"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p>
        </w:tc>
      </w:tr>
      <w:tr w:rsidR="00090F2C" w:rsidRPr="007F67E0" w14:paraId="250F8ACA" w14:textId="77777777" w:rsidTr="0071748E">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3F470115" w14:textId="77777777" w:rsidR="00090F2C" w:rsidRPr="007F67E0" w:rsidRDefault="00090F2C">
            <w:pPr>
              <w:spacing w:before="20" w:after="20"/>
              <w:rPr>
                <w:rFonts w:cs="Calibri"/>
                <w:color w:val="FFFFFF"/>
                <w:sz w:val="20"/>
              </w:rPr>
            </w:pPr>
          </w:p>
        </w:tc>
        <w:tc>
          <w:tcPr>
            <w:tcW w:w="2051" w:type="pct"/>
          </w:tcPr>
          <w:p w14:paraId="22014ADD" w14:textId="79135C6B"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r w:rsidRPr="007F67E0">
              <w:rPr>
                <w:rFonts w:cs="Calibri"/>
                <w:bCs/>
                <w:color w:val="000000"/>
                <w:sz w:val="20"/>
              </w:rPr>
              <w:t>Enrolments (FTE)</w:t>
            </w:r>
            <w:r w:rsidR="00D73914">
              <w:rPr>
                <w:rFonts w:cs="Calibri"/>
                <w:bCs/>
                <w:color w:val="000000"/>
                <w:sz w:val="20"/>
              </w:rPr>
              <w:t xml:space="preserve"> ^</w:t>
            </w:r>
          </w:p>
        </w:tc>
        <w:tc>
          <w:tcPr>
            <w:tcW w:w="2186" w:type="pct"/>
          </w:tcPr>
          <w:p w14:paraId="26A1B7A9"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p>
        </w:tc>
      </w:tr>
      <w:tr w:rsidR="00090F2C" w:rsidRPr="007F67E0" w14:paraId="47622BAB" w14:textId="77777777" w:rsidTr="0071748E">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604C2A4B" w14:textId="77777777" w:rsidR="00090F2C" w:rsidRPr="007F67E0" w:rsidRDefault="00090F2C">
            <w:pPr>
              <w:spacing w:before="20" w:after="20"/>
              <w:rPr>
                <w:rFonts w:cs="Calibri"/>
                <w:color w:val="FFFFFF"/>
                <w:sz w:val="20"/>
              </w:rPr>
            </w:pPr>
          </w:p>
        </w:tc>
        <w:tc>
          <w:tcPr>
            <w:tcW w:w="2051" w:type="pct"/>
          </w:tcPr>
          <w:p w14:paraId="64FF60F3" w14:textId="1DD0EFDF"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r w:rsidRPr="007F67E0">
              <w:rPr>
                <w:rFonts w:cs="Calibri"/>
                <w:bCs/>
                <w:color w:val="000000"/>
                <w:sz w:val="20"/>
              </w:rPr>
              <w:t>Total SRS ($)</w:t>
            </w:r>
            <w:r w:rsidR="00C32775" w:rsidRPr="00C32775">
              <w:rPr>
                <w:rFonts w:cs="Calibri"/>
                <w:bCs/>
                <w:color w:val="000000"/>
                <w:sz w:val="20"/>
              </w:rPr>
              <w:t>^</w:t>
            </w:r>
          </w:p>
        </w:tc>
        <w:tc>
          <w:tcPr>
            <w:tcW w:w="2186" w:type="pct"/>
          </w:tcPr>
          <w:p w14:paraId="34374516"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p>
        </w:tc>
      </w:tr>
      <w:tr w:rsidR="00090F2C" w:rsidRPr="007F67E0" w14:paraId="4D156B9D" w14:textId="77777777" w:rsidTr="0071748E">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1C320E53" w14:textId="77777777" w:rsidR="00090F2C" w:rsidRPr="007F67E0" w:rsidRDefault="00090F2C">
            <w:pPr>
              <w:spacing w:before="20" w:after="20"/>
              <w:rPr>
                <w:rFonts w:cs="Calibri"/>
                <w:color w:val="FFFFFF"/>
                <w:sz w:val="20"/>
              </w:rPr>
            </w:pPr>
          </w:p>
        </w:tc>
        <w:tc>
          <w:tcPr>
            <w:tcW w:w="2051" w:type="pct"/>
          </w:tcPr>
          <w:p w14:paraId="475C3967"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vertAlign w:val="superscript"/>
              </w:rPr>
            </w:pPr>
            <w:r w:rsidRPr="007F67E0">
              <w:rPr>
                <w:rFonts w:cs="Calibri"/>
                <w:bCs/>
                <w:color w:val="000000"/>
                <w:sz w:val="20"/>
              </w:rPr>
              <w:t>Required contribution of SRS ($) ^</w:t>
            </w:r>
            <w:r w:rsidRPr="007F67E0">
              <w:rPr>
                <w:rFonts w:cs="Calibri"/>
                <w:bCs/>
                <w:color w:val="000000"/>
                <w:sz w:val="20"/>
                <w:vertAlign w:val="superscript"/>
              </w:rPr>
              <w:t>#</w:t>
            </w:r>
          </w:p>
        </w:tc>
        <w:tc>
          <w:tcPr>
            <w:tcW w:w="2186" w:type="pct"/>
          </w:tcPr>
          <w:p w14:paraId="3813078D"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p>
        </w:tc>
      </w:tr>
    </w:tbl>
    <w:p w14:paraId="49CE3323" w14:textId="77777777" w:rsidR="00090F2C" w:rsidRPr="007F67E0" w:rsidRDefault="00090F2C" w:rsidP="00090F2C">
      <w:pPr>
        <w:spacing w:after="0"/>
        <w:rPr>
          <w:rFonts w:ascii="Calibri" w:eastAsia="Calibri" w:hAnsi="Calibri" w:cs="Calibri"/>
          <w:sz w:val="18"/>
          <w:szCs w:val="20"/>
        </w:rPr>
      </w:pPr>
      <w:r w:rsidRPr="007F67E0">
        <w:rPr>
          <w:rFonts w:ascii="Calibri" w:eastAsia="Calibri" w:hAnsi="Calibri" w:cs="Calibri"/>
          <w:sz w:val="18"/>
          <w:szCs w:val="20"/>
        </w:rPr>
        <w:t xml:space="preserve">* </w:t>
      </w:r>
      <w:r w:rsidRPr="007F67E0">
        <w:rPr>
          <w:rFonts w:ascii="Calibri" w:eastAsia="Calibri" w:hAnsi="Calibri" w:cs="Calibri"/>
          <w:color w:val="000000"/>
          <w:sz w:val="18"/>
          <w:szCs w:val="20"/>
        </w:rPr>
        <w:t>As listed in the bilateral agreement</w:t>
      </w:r>
    </w:p>
    <w:p w14:paraId="068C9C09" w14:textId="5BE48BF0" w:rsidR="00090F2C" w:rsidRPr="007F67E0" w:rsidRDefault="00090F2C" w:rsidP="00090F2C">
      <w:pPr>
        <w:spacing w:after="0"/>
        <w:rPr>
          <w:rFonts w:ascii="Calibri" w:eastAsia="Calibri" w:hAnsi="Calibri" w:cs="Calibri"/>
          <w:sz w:val="18"/>
          <w:szCs w:val="20"/>
        </w:rPr>
      </w:pPr>
      <w:bookmarkStart w:id="32" w:name="_Hlk54961724"/>
      <w:r w:rsidRPr="007F67E0">
        <w:rPr>
          <w:rFonts w:ascii="Calibri" w:eastAsia="Calibri" w:hAnsi="Calibri" w:cs="Calibri"/>
          <w:sz w:val="18"/>
          <w:szCs w:val="20"/>
        </w:rPr>
        <w:t xml:space="preserve">^ Must be sourced from the Funding Estimation Tool (FET) provided by the Department of Education in the January following the funding year (e.g., for the </w:t>
      </w:r>
      <w:r w:rsidR="00EA0A37" w:rsidRPr="007F67E0">
        <w:rPr>
          <w:rFonts w:ascii="Calibri" w:eastAsia="Calibri" w:hAnsi="Calibri" w:cs="Calibri"/>
          <w:sz w:val="18"/>
          <w:szCs w:val="20"/>
        </w:rPr>
        <w:t>20</w:t>
      </w:r>
      <w:r w:rsidR="00EA0A37">
        <w:rPr>
          <w:rFonts w:ascii="Calibri" w:eastAsia="Calibri" w:hAnsi="Calibri" w:cs="Calibri"/>
          <w:sz w:val="18"/>
          <w:szCs w:val="20"/>
        </w:rPr>
        <w:t>25</w:t>
      </w:r>
      <w:r w:rsidR="00EA0A37" w:rsidRPr="007F67E0">
        <w:rPr>
          <w:rFonts w:ascii="Calibri" w:eastAsia="Calibri" w:hAnsi="Calibri" w:cs="Calibri"/>
          <w:sz w:val="18"/>
          <w:szCs w:val="20"/>
        </w:rPr>
        <w:t xml:space="preserve"> </w:t>
      </w:r>
      <w:r w:rsidRPr="007F67E0">
        <w:rPr>
          <w:rFonts w:ascii="Calibri" w:eastAsia="Calibri" w:hAnsi="Calibri" w:cs="Calibri"/>
          <w:sz w:val="18"/>
          <w:szCs w:val="20"/>
        </w:rPr>
        <w:t xml:space="preserve">year, </w:t>
      </w:r>
      <w:r w:rsidR="00942F7A">
        <w:rPr>
          <w:rFonts w:ascii="Calibri" w:eastAsia="Calibri" w:hAnsi="Calibri" w:cs="Calibri"/>
          <w:sz w:val="18"/>
          <w:szCs w:val="20"/>
        </w:rPr>
        <w:t xml:space="preserve">the </w:t>
      </w:r>
      <w:r w:rsidR="006704F5">
        <w:rPr>
          <w:rFonts w:ascii="Calibri" w:eastAsia="Calibri" w:hAnsi="Calibri" w:cs="Calibri"/>
          <w:sz w:val="18"/>
          <w:szCs w:val="20"/>
        </w:rPr>
        <w:t xml:space="preserve">department will provide a FET in January 2026). </w:t>
      </w:r>
    </w:p>
    <w:p w14:paraId="18E491F1" w14:textId="79F64471" w:rsidR="008D4F16" w:rsidRDefault="00090F2C" w:rsidP="00090F2C">
      <w:pPr>
        <w:spacing w:after="0"/>
        <w:rPr>
          <w:rFonts w:ascii="Calibri" w:eastAsia="Calibri" w:hAnsi="Calibri" w:cs="Calibri"/>
          <w:sz w:val="18"/>
          <w:szCs w:val="20"/>
        </w:rPr>
      </w:pPr>
      <w:r w:rsidRPr="007F67E0">
        <w:rPr>
          <w:rFonts w:ascii="Calibri" w:eastAsia="Calibri" w:hAnsi="Calibri" w:cs="Calibri"/>
          <w:sz w:val="18"/>
          <w:szCs w:val="20"/>
          <w:vertAlign w:val="superscript"/>
        </w:rPr>
        <w:t>#</w:t>
      </w:r>
      <w:r w:rsidR="00B1531F">
        <w:rPr>
          <w:rFonts w:ascii="Calibri" w:eastAsia="Calibri" w:hAnsi="Calibri" w:cs="Calibri"/>
          <w:sz w:val="18"/>
          <w:szCs w:val="20"/>
          <w:vertAlign w:val="superscript"/>
        </w:rPr>
        <w:t xml:space="preserve"> </w:t>
      </w:r>
      <w:r w:rsidRPr="007F67E0">
        <w:rPr>
          <w:rFonts w:ascii="Calibri" w:eastAsia="Calibri" w:hAnsi="Calibri" w:cs="Calibri"/>
          <w:sz w:val="18"/>
          <w:szCs w:val="20"/>
        </w:rPr>
        <w:t>The required contribution of the SRS ($) reflects</w:t>
      </w:r>
      <w:r w:rsidR="008D4F16">
        <w:rPr>
          <w:rFonts w:ascii="Calibri" w:eastAsia="Calibri" w:hAnsi="Calibri" w:cs="Calibri"/>
          <w:sz w:val="18"/>
          <w:szCs w:val="20"/>
        </w:rPr>
        <w:t>:</w:t>
      </w:r>
    </w:p>
    <w:p w14:paraId="5B4AC256" w14:textId="64C528CA" w:rsidR="00090F2C" w:rsidRDefault="00090F2C" w:rsidP="008D4F16">
      <w:pPr>
        <w:pStyle w:val="ListParagraph"/>
        <w:numPr>
          <w:ilvl w:val="0"/>
          <w:numId w:val="32"/>
        </w:numPr>
        <w:spacing w:after="0"/>
        <w:rPr>
          <w:rFonts w:ascii="Calibri" w:eastAsia="Calibri" w:hAnsi="Calibri" w:cs="Calibri"/>
          <w:sz w:val="18"/>
          <w:szCs w:val="20"/>
        </w:rPr>
      </w:pPr>
      <w:r w:rsidRPr="00664F14">
        <w:rPr>
          <w:rFonts w:ascii="Calibri" w:eastAsia="Calibri" w:hAnsi="Calibri" w:cs="Calibri"/>
          <w:sz w:val="18"/>
          <w:szCs w:val="20"/>
        </w:rPr>
        <w:t>any pro-rata adjustments, as sourced from the FET, for schools that closed or opened part way through the school year</w:t>
      </w:r>
    </w:p>
    <w:p w14:paraId="0995A719" w14:textId="3EE2024B" w:rsidR="008E0748" w:rsidRDefault="00B6185B" w:rsidP="008D4F16">
      <w:pPr>
        <w:pStyle w:val="ListParagraph"/>
        <w:numPr>
          <w:ilvl w:val="0"/>
          <w:numId w:val="32"/>
        </w:numPr>
        <w:spacing w:after="0"/>
        <w:rPr>
          <w:rFonts w:ascii="Calibri" w:eastAsia="Calibri" w:hAnsi="Calibri" w:cs="Calibri"/>
          <w:sz w:val="18"/>
          <w:szCs w:val="20"/>
        </w:rPr>
      </w:pPr>
      <w:r>
        <w:rPr>
          <w:rFonts w:ascii="Calibri" w:eastAsia="Calibri" w:hAnsi="Calibri" w:cs="Calibri"/>
          <w:sz w:val="18"/>
          <w:szCs w:val="20"/>
        </w:rPr>
        <w:t xml:space="preserve">any agreed adjustments as per clause 44 of the </w:t>
      </w:r>
      <w:r w:rsidR="00C11CE8">
        <w:rPr>
          <w:rFonts w:ascii="Calibri" w:eastAsia="Calibri" w:hAnsi="Calibri" w:cs="Calibri"/>
          <w:sz w:val="18"/>
          <w:szCs w:val="20"/>
        </w:rPr>
        <w:t>H</w:t>
      </w:r>
      <w:r>
        <w:rPr>
          <w:rFonts w:ascii="Calibri" w:eastAsia="Calibri" w:hAnsi="Calibri" w:cs="Calibri"/>
          <w:sz w:val="18"/>
          <w:szCs w:val="20"/>
        </w:rPr>
        <w:t>eads of Agreement for the Better and Fai</w:t>
      </w:r>
      <w:r w:rsidR="00C11CE8">
        <w:rPr>
          <w:rFonts w:ascii="Calibri" w:eastAsia="Calibri" w:hAnsi="Calibri" w:cs="Calibri"/>
          <w:sz w:val="18"/>
          <w:szCs w:val="20"/>
        </w:rPr>
        <w:t>r</w:t>
      </w:r>
      <w:r>
        <w:rPr>
          <w:rFonts w:ascii="Calibri" w:eastAsia="Calibri" w:hAnsi="Calibri" w:cs="Calibri"/>
          <w:sz w:val="18"/>
          <w:szCs w:val="20"/>
        </w:rPr>
        <w:t>er</w:t>
      </w:r>
      <w:r w:rsidR="00C11CE8">
        <w:rPr>
          <w:rFonts w:ascii="Calibri" w:eastAsia="Calibri" w:hAnsi="Calibri" w:cs="Calibri"/>
          <w:sz w:val="18"/>
          <w:szCs w:val="20"/>
        </w:rPr>
        <w:t xml:space="preserve"> Schools Agreement (BFSA) and BFSA – Full and Fair Funding.</w:t>
      </w:r>
    </w:p>
    <w:p w14:paraId="7F7EC0E6" w14:textId="77777777" w:rsidR="008E0748" w:rsidRDefault="008E0748">
      <w:pPr>
        <w:spacing w:after="160"/>
        <w:rPr>
          <w:rFonts w:ascii="Calibri" w:eastAsia="Calibri" w:hAnsi="Calibri" w:cs="Calibri"/>
          <w:sz w:val="18"/>
          <w:szCs w:val="20"/>
        </w:rPr>
      </w:pPr>
      <w:r>
        <w:rPr>
          <w:rFonts w:ascii="Calibri" w:eastAsia="Calibri" w:hAnsi="Calibri" w:cs="Calibri"/>
          <w:sz w:val="18"/>
          <w:szCs w:val="20"/>
        </w:rPr>
        <w:br w:type="page"/>
      </w:r>
    </w:p>
    <w:p w14:paraId="5E0E3881" w14:textId="77777777" w:rsidR="00090F2C" w:rsidRPr="007F67E0" w:rsidRDefault="00090F2C" w:rsidP="00090F2C">
      <w:pPr>
        <w:keepNext/>
        <w:keepLines/>
        <w:numPr>
          <w:ilvl w:val="1"/>
          <w:numId w:val="21"/>
        </w:numPr>
        <w:pBdr>
          <w:bottom w:val="single" w:sz="4" w:space="1" w:color="auto"/>
        </w:pBdr>
        <w:spacing w:before="240" w:after="120" w:line="240" w:lineRule="auto"/>
        <w:outlineLvl w:val="2"/>
        <w:rPr>
          <w:rFonts w:ascii="Calibri" w:eastAsia="Times New Roman" w:hAnsi="Calibri" w:cs="Times New Roman"/>
          <w:b/>
          <w:color w:val="008276"/>
          <w:sz w:val="24"/>
          <w:szCs w:val="24"/>
        </w:rPr>
      </w:pPr>
      <w:bookmarkStart w:id="33" w:name="_Toc212545682"/>
      <w:bookmarkEnd w:id="32"/>
      <w:r w:rsidRPr="007F67E0">
        <w:rPr>
          <w:rFonts w:ascii="Calibri" w:eastAsia="Times New Roman" w:hAnsi="Calibri" w:cs="Times New Roman"/>
          <w:b/>
          <w:color w:val="008276"/>
          <w:sz w:val="24"/>
          <w:szCs w:val="24"/>
        </w:rPr>
        <w:lastRenderedPageBreak/>
        <w:t>Total reported state or territory funding contributions for each sector</w:t>
      </w:r>
      <w:bookmarkEnd w:id="33"/>
    </w:p>
    <w:p w14:paraId="629A8FD7" w14:textId="77777777" w:rsidR="00090F2C" w:rsidRPr="007F67E0" w:rsidRDefault="00090F2C" w:rsidP="00090F2C">
      <w:pPr>
        <w:keepNext/>
        <w:keepLines/>
        <w:spacing w:before="120" w:after="0"/>
        <w:outlineLvl w:val="3"/>
        <w:rPr>
          <w:rFonts w:ascii="Calibri" w:eastAsia="Times New Roman" w:hAnsi="Calibri" w:cs="Times New Roman"/>
          <w:b/>
          <w:iCs/>
          <w:color w:val="5F6369"/>
        </w:rPr>
      </w:pPr>
      <w:r w:rsidRPr="007F67E0">
        <w:rPr>
          <w:rFonts w:ascii="Calibri" w:eastAsia="Times New Roman" w:hAnsi="Calibri" w:cs="Times New Roman"/>
          <w:b/>
          <w:iCs/>
          <w:color w:val="5F6369"/>
        </w:rPr>
        <w:t>Total state or territory contribution</w:t>
      </w:r>
    </w:p>
    <w:tbl>
      <w:tblPr>
        <w:tblStyle w:val="GridTable4-Accent613"/>
        <w:tblW w:w="8312" w:type="dxa"/>
        <w:tblLayout w:type="fixed"/>
        <w:tblLook w:val="04A0" w:firstRow="1" w:lastRow="0" w:firstColumn="1" w:lastColumn="0" w:noHBand="0" w:noVBand="1"/>
      </w:tblPr>
      <w:tblGrid>
        <w:gridCol w:w="1268"/>
        <w:gridCol w:w="3410"/>
        <w:gridCol w:w="3634"/>
      </w:tblGrid>
      <w:tr w:rsidR="00090F2C" w:rsidRPr="007F67E0" w14:paraId="05D556AC" w14:textId="7777777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763" w:type="pct"/>
          </w:tcPr>
          <w:p w14:paraId="5E8D2948" w14:textId="77777777" w:rsidR="00090F2C" w:rsidRPr="007F67E0" w:rsidRDefault="00090F2C">
            <w:pPr>
              <w:spacing w:before="20" w:after="20"/>
              <w:rPr>
                <w:rFonts w:cs="Calibri"/>
                <w:sz w:val="20"/>
              </w:rPr>
            </w:pPr>
          </w:p>
        </w:tc>
        <w:tc>
          <w:tcPr>
            <w:tcW w:w="2051" w:type="pct"/>
          </w:tcPr>
          <w:p w14:paraId="6875AADC" w14:textId="77777777" w:rsidR="00090F2C" w:rsidRPr="007F67E0" w:rsidRDefault="00090F2C">
            <w:pPr>
              <w:spacing w:before="20" w:after="20"/>
              <w:cnfStyle w:val="100000000000" w:firstRow="1" w:lastRow="0" w:firstColumn="0" w:lastColumn="0" w:oddVBand="0" w:evenVBand="0" w:oddHBand="0" w:evenHBand="0" w:firstRowFirstColumn="0" w:firstRowLastColumn="0" w:lastRowFirstColumn="0" w:lastRowLastColumn="0"/>
              <w:rPr>
                <w:rFonts w:cs="Calibri"/>
                <w:sz w:val="20"/>
              </w:rPr>
            </w:pPr>
          </w:p>
        </w:tc>
        <w:tc>
          <w:tcPr>
            <w:tcW w:w="2186" w:type="pct"/>
          </w:tcPr>
          <w:p w14:paraId="0528B5DB" w14:textId="77777777" w:rsidR="00090F2C" w:rsidRPr="007F67E0" w:rsidRDefault="00090F2C">
            <w:pPr>
              <w:spacing w:before="20" w:after="20"/>
              <w:jc w:val="center"/>
              <w:cnfStyle w:val="100000000000" w:firstRow="1" w:lastRow="0" w:firstColumn="0" w:lastColumn="0" w:oddVBand="0" w:evenVBand="0" w:oddHBand="0" w:evenHBand="0" w:firstRowFirstColumn="0" w:firstRowLastColumn="0" w:lastRowFirstColumn="0" w:lastRowLastColumn="0"/>
              <w:rPr>
                <w:rFonts w:cs="Calibri"/>
                <w:sz w:val="20"/>
              </w:rPr>
            </w:pPr>
            <w:r w:rsidRPr="007F67E0">
              <w:rPr>
                <w:rFonts w:cs="Calibri"/>
                <w:sz w:val="20"/>
              </w:rPr>
              <w:t>[insert year]</w:t>
            </w:r>
          </w:p>
        </w:tc>
      </w:tr>
      <w:tr w:rsidR="00090F2C" w:rsidRPr="007F67E0" w14:paraId="0F0E2C50" w14:textId="77777777">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val="restart"/>
          </w:tcPr>
          <w:p w14:paraId="646ABC3B" w14:textId="77777777" w:rsidR="00090F2C" w:rsidRPr="007F67E0" w:rsidRDefault="00090F2C">
            <w:pPr>
              <w:spacing w:before="20" w:after="20"/>
              <w:rPr>
                <w:rFonts w:cs="Calibri"/>
                <w:color w:val="FFFFFF"/>
                <w:sz w:val="20"/>
              </w:rPr>
            </w:pPr>
            <w:r w:rsidRPr="007F67E0">
              <w:rPr>
                <w:rFonts w:cs="Calibri"/>
                <w:sz w:val="20"/>
              </w:rPr>
              <w:t>Government</w:t>
            </w:r>
          </w:p>
          <w:p w14:paraId="6DC402AA" w14:textId="77777777" w:rsidR="00090F2C" w:rsidRPr="007F67E0" w:rsidRDefault="00090F2C">
            <w:pPr>
              <w:spacing w:before="20" w:after="20"/>
              <w:rPr>
                <w:rFonts w:cs="Calibri"/>
                <w:color w:val="FFFFFF"/>
                <w:sz w:val="20"/>
              </w:rPr>
            </w:pPr>
          </w:p>
        </w:tc>
        <w:tc>
          <w:tcPr>
            <w:tcW w:w="2051" w:type="pct"/>
          </w:tcPr>
          <w:p w14:paraId="13A72ECB" w14:textId="78A11D31"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r w:rsidRPr="007F67E0">
              <w:rPr>
                <w:rFonts w:cs="Calibri"/>
                <w:bCs/>
                <w:color w:val="000000"/>
                <w:sz w:val="20"/>
              </w:rPr>
              <w:t>Total contribution ($)</w:t>
            </w:r>
            <w:r w:rsidR="007B486C">
              <w:rPr>
                <w:rFonts w:cs="Calibri"/>
                <w:bCs/>
                <w:color w:val="000000"/>
                <w:sz w:val="20"/>
              </w:rPr>
              <w:t xml:space="preserve"> </w:t>
            </w:r>
            <w:r w:rsidR="00A45583">
              <w:rPr>
                <w:rFonts w:cs="Calibri"/>
                <w:bCs/>
                <w:color w:val="000000"/>
                <w:sz w:val="20"/>
              </w:rPr>
              <w:t>*</w:t>
            </w:r>
          </w:p>
        </w:tc>
        <w:tc>
          <w:tcPr>
            <w:tcW w:w="2186" w:type="pct"/>
          </w:tcPr>
          <w:p w14:paraId="0FBADF1E"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p>
        </w:tc>
      </w:tr>
      <w:tr w:rsidR="00090F2C" w:rsidRPr="007F67E0" w14:paraId="5C61B66C" w14:textId="77777777">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2DC6A532" w14:textId="77777777" w:rsidR="00090F2C" w:rsidRPr="007F67E0" w:rsidRDefault="00090F2C">
            <w:pPr>
              <w:spacing w:before="20" w:after="20"/>
              <w:rPr>
                <w:rFonts w:cs="Calibri"/>
                <w:color w:val="FFFFFF"/>
                <w:sz w:val="20"/>
              </w:rPr>
            </w:pPr>
          </w:p>
        </w:tc>
        <w:tc>
          <w:tcPr>
            <w:tcW w:w="2051" w:type="pct"/>
          </w:tcPr>
          <w:p w14:paraId="38BC487B" w14:textId="024E2244" w:rsidR="00090F2C" w:rsidRPr="007B486C"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r w:rsidRPr="007B486C">
              <w:rPr>
                <w:rFonts w:cs="Calibri"/>
                <w:bCs/>
                <w:color w:val="000000"/>
                <w:sz w:val="20"/>
              </w:rPr>
              <w:t>Enrolments (FTE)</w:t>
            </w:r>
            <w:r w:rsidR="007B486C" w:rsidRPr="007B486C">
              <w:rPr>
                <w:rFonts w:cs="Calibri"/>
                <w:bCs/>
                <w:color w:val="000000"/>
                <w:sz w:val="20"/>
              </w:rPr>
              <w:t xml:space="preserve"> ^</w:t>
            </w:r>
          </w:p>
        </w:tc>
        <w:tc>
          <w:tcPr>
            <w:tcW w:w="2186" w:type="pct"/>
          </w:tcPr>
          <w:p w14:paraId="2A355DF1"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p>
        </w:tc>
      </w:tr>
      <w:tr w:rsidR="00090F2C" w:rsidRPr="007F67E0" w14:paraId="0D7AB844" w14:textId="77777777">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2BA03F34" w14:textId="77777777" w:rsidR="00090F2C" w:rsidRPr="007F67E0" w:rsidRDefault="00090F2C">
            <w:pPr>
              <w:spacing w:before="20" w:after="20"/>
              <w:rPr>
                <w:rFonts w:cs="Calibri"/>
                <w:color w:val="FFFFFF"/>
                <w:sz w:val="20"/>
              </w:rPr>
            </w:pPr>
          </w:p>
        </w:tc>
        <w:tc>
          <w:tcPr>
            <w:tcW w:w="2051" w:type="pct"/>
          </w:tcPr>
          <w:p w14:paraId="3DA56BEF" w14:textId="73FA87F3" w:rsidR="00090F2C" w:rsidRPr="007B486C"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r w:rsidRPr="007B486C">
              <w:rPr>
                <w:rFonts w:cs="Calibri"/>
                <w:bCs/>
                <w:color w:val="000000"/>
                <w:sz w:val="20"/>
              </w:rPr>
              <w:t>% of SRS</w:t>
            </w:r>
            <w:r w:rsidR="00D21999">
              <w:rPr>
                <w:rFonts w:cs="Calibri"/>
                <w:bCs/>
                <w:color w:val="000000"/>
                <w:sz w:val="20"/>
              </w:rPr>
              <w:t xml:space="preserve"> </w:t>
            </w:r>
            <w:r w:rsidR="005146B4" w:rsidRPr="007F67E0">
              <w:rPr>
                <w:rFonts w:cs="Calibri"/>
                <w:sz w:val="18"/>
                <w:szCs w:val="20"/>
                <w:vertAlign w:val="superscript"/>
              </w:rPr>
              <w:t>#</w:t>
            </w:r>
          </w:p>
        </w:tc>
        <w:tc>
          <w:tcPr>
            <w:tcW w:w="2186" w:type="pct"/>
          </w:tcPr>
          <w:p w14:paraId="0E2A7297"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p>
        </w:tc>
      </w:tr>
      <w:tr w:rsidR="00090F2C" w:rsidRPr="007F67E0" w14:paraId="5859C034" w14:textId="77777777">
        <w:trPr>
          <w:trHeight w:val="195"/>
        </w:trPr>
        <w:tc>
          <w:tcPr>
            <w:cnfStyle w:val="001000000000" w:firstRow="0" w:lastRow="0" w:firstColumn="1" w:lastColumn="0" w:oddVBand="0" w:evenVBand="0" w:oddHBand="0" w:evenHBand="0" w:firstRowFirstColumn="0" w:firstRowLastColumn="0" w:lastRowFirstColumn="0" w:lastRowLastColumn="0"/>
            <w:tcW w:w="763" w:type="pct"/>
            <w:vMerge w:val="restart"/>
          </w:tcPr>
          <w:p w14:paraId="37FBBF07" w14:textId="77777777" w:rsidR="00090F2C" w:rsidRPr="007F67E0" w:rsidRDefault="00090F2C">
            <w:pPr>
              <w:spacing w:before="20" w:after="20"/>
              <w:rPr>
                <w:rFonts w:cs="Calibri"/>
                <w:color w:val="FFFFFF"/>
                <w:sz w:val="20"/>
              </w:rPr>
            </w:pPr>
            <w:r w:rsidRPr="007F67E0">
              <w:rPr>
                <w:rFonts w:cs="Calibri"/>
                <w:sz w:val="20"/>
              </w:rPr>
              <w:t xml:space="preserve">Non-government </w:t>
            </w:r>
          </w:p>
        </w:tc>
        <w:tc>
          <w:tcPr>
            <w:tcW w:w="2051" w:type="pct"/>
          </w:tcPr>
          <w:p w14:paraId="4FDC3D78" w14:textId="55414D5D" w:rsidR="00090F2C" w:rsidRPr="007B486C"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r w:rsidRPr="007B486C">
              <w:rPr>
                <w:rFonts w:cs="Calibri"/>
                <w:bCs/>
                <w:color w:val="000000"/>
                <w:sz w:val="20"/>
              </w:rPr>
              <w:t>Total contribution ($)</w:t>
            </w:r>
            <w:r w:rsidR="007B486C" w:rsidRPr="007B486C">
              <w:rPr>
                <w:rFonts w:cs="Calibri"/>
                <w:bCs/>
                <w:color w:val="000000"/>
                <w:sz w:val="20"/>
              </w:rPr>
              <w:t xml:space="preserve"> </w:t>
            </w:r>
            <w:r w:rsidR="00A45583" w:rsidRPr="007B486C">
              <w:rPr>
                <w:rFonts w:cs="Calibri"/>
                <w:bCs/>
                <w:color w:val="000000"/>
                <w:sz w:val="20"/>
              </w:rPr>
              <w:t>*</w:t>
            </w:r>
          </w:p>
        </w:tc>
        <w:tc>
          <w:tcPr>
            <w:tcW w:w="2186" w:type="pct"/>
          </w:tcPr>
          <w:p w14:paraId="4F2EFAD6"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p>
        </w:tc>
      </w:tr>
      <w:tr w:rsidR="00090F2C" w:rsidRPr="007F67E0" w14:paraId="39FC7A42" w14:textId="77777777">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062F6A47" w14:textId="77777777" w:rsidR="00090F2C" w:rsidRPr="007F67E0" w:rsidRDefault="00090F2C">
            <w:pPr>
              <w:spacing w:before="20" w:after="20"/>
              <w:rPr>
                <w:rFonts w:cs="Calibri"/>
                <w:color w:val="FFFFFF"/>
                <w:sz w:val="20"/>
              </w:rPr>
            </w:pPr>
          </w:p>
        </w:tc>
        <w:tc>
          <w:tcPr>
            <w:tcW w:w="2051" w:type="pct"/>
          </w:tcPr>
          <w:p w14:paraId="640CE209" w14:textId="4E3AE5DC" w:rsidR="00090F2C" w:rsidRPr="007B486C"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r w:rsidRPr="007B486C">
              <w:rPr>
                <w:rFonts w:cs="Calibri"/>
                <w:bCs/>
                <w:color w:val="000000"/>
                <w:sz w:val="20"/>
              </w:rPr>
              <w:t>Enrolments (FTE)</w:t>
            </w:r>
            <w:r w:rsidR="007B486C" w:rsidRPr="007B486C">
              <w:rPr>
                <w:rFonts w:cs="Calibri"/>
                <w:bCs/>
                <w:color w:val="000000"/>
                <w:sz w:val="20"/>
              </w:rPr>
              <w:t xml:space="preserve"> ^</w:t>
            </w:r>
          </w:p>
        </w:tc>
        <w:tc>
          <w:tcPr>
            <w:tcW w:w="2186" w:type="pct"/>
          </w:tcPr>
          <w:p w14:paraId="5D484E9B"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000000"/>
                <w:sz w:val="20"/>
              </w:rPr>
            </w:pPr>
          </w:p>
        </w:tc>
      </w:tr>
      <w:tr w:rsidR="00090F2C" w:rsidRPr="007F67E0" w14:paraId="7EF1220D" w14:textId="77777777">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14:paraId="25EB09AC" w14:textId="77777777" w:rsidR="00090F2C" w:rsidRPr="007F67E0" w:rsidRDefault="00090F2C">
            <w:pPr>
              <w:spacing w:before="20" w:after="20"/>
              <w:rPr>
                <w:rFonts w:cs="Calibri"/>
                <w:color w:val="FFFFFF"/>
                <w:sz w:val="20"/>
              </w:rPr>
            </w:pPr>
          </w:p>
        </w:tc>
        <w:tc>
          <w:tcPr>
            <w:tcW w:w="2051" w:type="pct"/>
          </w:tcPr>
          <w:p w14:paraId="44DEE134" w14:textId="52A30875"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r w:rsidRPr="007F67E0">
              <w:rPr>
                <w:rFonts w:cs="Calibri"/>
                <w:bCs/>
                <w:color w:val="000000"/>
                <w:sz w:val="20"/>
              </w:rPr>
              <w:t>% of SRS</w:t>
            </w:r>
            <w:r w:rsidR="00D21999">
              <w:rPr>
                <w:rFonts w:cs="Calibri"/>
                <w:bCs/>
                <w:color w:val="000000"/>
                <w:sz w:val="20"/>
              </w:rPr>
              <w:t xml:space="preserve"> </w:t>
            </w:r>
            <w:r w:rsidR="005146B4" w:rsidRPr="007F67E0">
              <w:rPr>
                <w:rFonts w:cs="Calibri"/>
                <w:sz w:val="18"/>
                <w:szCs w:val="20"/>
                <w:vertAlign w:val="superscript"/>
              </w:rPr>
              <w:t>#</w:t>
            </w:r>
          </w:p>
        </w:tc>
        <w:tc>
          <w:tcPr>
            <w:tcW w:w="2186" w:type="pct"/>
          </w:tcPr>
          <w:p w14:paraId="357259F0"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color w:val="000000"/>
                <w:sz w:val="20"/>
              </w:rPr>
            </w:pPr>
          </w:p>
        </w:tc>
      </w:tr>
    </w:tbl>
    <w:p w14:paraId="70BDA737" w14:textId="5B1EA760" w:rsidR="007B486C" w:rsidRDefault="00A45583" w:rsidP="00664F14">
      <w:pPr>
        <w:spacing w:after="0"/>
        <w:rPr>
          <w:rFonts w:ascii="Calibri" w:eastAsia="Calibri" w:hAnsi="Calibri" w:cs="Calibri"/>
          <w:sz w:val="18"/>
          <w:szCs w:val="20"/>
        </w:rPr>
      </w:pPr>
      <w:r w:rsidRPr="00664F14">
        <w:rPr>
          <w:rFonts w:ascii="Calibri" w:eastAsia="Calibri" w:hAnsi="Calibri" w:cs="Calibri"/>
          <w:sz w:val="18"/>
          <w:szCs w:val="20"/>
        </w:rPr>
        <w:t xml:space="preserve">* </w:t>
      </w:r>
      <w:r w:rsidR="007B486C" w:rsidRPr="00664F14">
        <w:rPr>
          <w:rFonts w:ascii="Calibri" w:eastAsia="Calibri" w:hAnsi="Calibri" w:cs="Calibri"/>
          <w:sz w:val="18"/>
          <w:szCs w:val="20"/>
        </w:rPr>
        <w:t>Total funding contribution reported by the state or territory</w:t>
      </w:r>
    </w:p>
    <w:p w14:paraId="0A77644C" w14:textId="63C67FF0" w:rsidR="007B486C" w:rsidRDefault="007B486C" w:rsidP="00B1531F">
      <w:pPr>
        <w:spacing w:after="0"/>
        <w:rPr>
          <w:rFonts w:ascii="Calibri" w:eastAsia="Calibri" w:hAnsi="Calibri" w:cs="Calibri"/>
          <w:sz w:val="18"/>
          <w:szCs w:val="20"/>
        </w:rPr>
      </w:pPr>
      <w:r w:rsidRPr="00664F14">
        <w:rPr>
          <w:rFonts w:ascii="Calibri" w:eastAsia="Calibri" w:hAnsi="Calibri" w:cs="Calibri"/>
          <w:sz w:val="18"/>
          <w:szCs w:val="20"/>
        </w:rPr>
        <w:t>^ Actual enrolments as per the state or territory’s data</w:t>
      </w:r>
    </w:p>
    <w:p w14:paraId="6B25A7E8" w14:textId="54E013B5" w:rsidR="00D21999" w:rsidRDefault="005146B4" w:rsidP="00B1531F">
      <w:pPr>
        <w:spacing w:after="0"/>
        <w:rPr>
          <w:rFonts w:ascii="Calibri" w:eastAsia="Calibri" w:hAnsi="Calibri" w:cs="Calibri"/>
          <w:sz w:val="18"/>
          <w:szCs w:val="20"/>
        </w:rPr>
      </w:pPr>
      <w:r w:rsidRPr="007F67E0">
        <w:rPr>
          <w:rFonts w:ascii="Calibri" w:eastAsia="Calibri" w:hAnsi="Calibri" w:cs="Calibri"/>
          <w:sz w:val="18"/>
          <w:szCs w:val="20"/>
          <w:vertAlign w:val="superscript"/>
        </w:rPr>
        <w:t>#</w:t>
      </w:r>
      <w:r>
        <w:rPr>
          <w:rFonts w:ascii="Calibri" w:eastAsia="Calibri" w:hAnsi="Calibri" w:cs="Calibri"/>
          <w:sz w:val="18"/>
          <w:szCs w:val="20"/>
          <w:vertAlign w:val="superscript"/>
        </w:rPr>
        <w:t xml:space="preserve"> </w:t>
      </w:r>
      <w:r w:rsidRPr="00664F14">
        <w:rPr>
          <w:rFonts w:ascii="Calibri" w:eastAsia="Calibri" w:hAnsi="Calibri" w:cs="Calibri"/>
          <w:sz w:val="18"/>
          <w:szCs w:val="20"/>
        </w:rPr>
        <w:t xml:space="preserve">Total </w:t>
      </w:r>
      <w:r w:rsidR="00EF3017">
        <w:rPr>
          <w:rFonts w:ascii="Calibri" w:eastAsia="Calibri" w:hAnsi="Calibri" w:cs="Calibri"/>
          <w:sz w:val="18"/>
          <w:szCs w:val="20"/>
        </w:rPr>
        <w:t xml:space="preserve">funding contribution reported by the state or territory as a percentage of </w:t>
      </w:r>
      <w:r w:rsidR="00DA4635">
        <w:rPr>
          <w:rFonts w:ascii="Calibri" w:eastAsia="Calibri" w:hAnsi="Calibri" w:cs="Calibri"/>
          <w:sz w:val="18"/>
          <w:szCs w:val="20"/>
        </w:rPr>
        <w:t xml:space="preserve">Total SRS ($) </w:t>
      </w:r>
    </w:p>
    <w:p w14:paraId="6BADF777" w14:textId="77777777" w:rsidR="00B1531F" w:rsidRPr="00664F14" w:rsidRDefault="00B1531F" w:rsidP="00664F14">
      <w:pPr>
        <w:spacing w:after="0"/>
        <w:rPr>
          <w:rFonts w:ascii="Calibri" w:eastAsia="Calibri" w:hAnsi="Calibri" w:cs="Calibri"/>
          <w:sz w:val="18"/>
          <w:szCs w:val="20"/>
        </w:rPr>
      </w:pPr>
    </w:p>
    <w:p w14:paraId="03B45313" w14:textId="33CA3E1D" w:rsidR="00090F2C" w:rsidRPr="007F67E0" w:rsidRDefault="00090F2C" w:rsidP="00137BAF">
      <w:pPr>
        <w:spacing w:after="160"/>
        <w:rPr>
          <w:rFonts w:ascii="Calibri" w:eastAsia="Times New Roman" w:hAnsi="Calibri" w:cs="Times New Roman"/>
          <w:color w:val="008276"/>
          <w:sz w:val="24"/>
          <w:szCs w:val="24"/>
        </w:rPr>
      </w:pPr>
      <w:r w:rsidRPr="007F67E0">
        <w:rPr>
          <w:rFonts w:ascii="Calibri" w:eastAsia="Calibri" w:hAnsi="Calibri" w:cs="Arial"/>
        </w:rPr>
        <w:br w:type="page"/>
      </w:r>
    </w:p>
    <w:p w14:paraId="37E3A73E" w14:textId="77777777" w:rsidR="00090F2C" w:rsidRPr="007F67E0" w:rsidRDefault="00090F2C" w:rsidP="00090F2C">
      <w:pPr>
        <w:keepNext/>
        <w:keepLines/>
        <w:numPr>
          <w:ilvl w:val="1"/>
          <w:numId w:val="21"/>
        </w:numPr>
        <w:pBdr>
          <w:bottom w:val="single" w:sz="4" w:space="1" w:color="auto"/>
        </w:pBdr>
        <w:spacing w:before="240" w:after="120" w:line="240" w:lineRule="auto"/>
        <w:outlineLvl w:val="2"/>
        <w:rPr>
          <w:rFonts w:ascii="Calibri" w:eastAsia="Times New Roman" w:hAnsi="Calibri" w:cs="Times New Roman"/>
          <w:b/>
          <w:color w:val="008276"/>
          <w:sz w:val="24"/>
          <w:szCs w:val="24"/>
        </w:rPr>
        <w:sectPr w:rsidR="00090F2C" w:rsidRPr="007F67E0">
          <w:pgSz w:w="11906" w:h="16838"/>
          <w:pgMar w:top="1440" w:right="1440" w:bottom="1440" w:left="1440" w:header="708" w:footer="680" w:gutter="0"/>
          <w:cols w:space="708"/>
          <w:docGrid w:linePitch="360"/>
        </w:sectPr>
      </w:pPr>
    </w:p>
    <w:p w14:paraId="3393B6DD" w14:textId="77777777" w:rsidR="00090F2C" w:rsidRPr="007F67E0" w:rsidRDefault="00090F2C" w:rsidP="00090F2C">
      <w:pPr>
        <w:keepNext/>
        <w:keepLines/>
        <w:numPr>
          <w:ilvl w:val="1"/>
          <w:numId w:val="21"/>
        </w:numPr>
        <w:pBdr>
          <w:bottom w:val="single" w:sz="4" w:space="1" w:color="auto"/>
        </w:pBdr>
        <w:spacing w:before="240" w:after="120" w:line="240" w:lineRule="auto"/>
        <w:outlineLvl w:val="2"/>
        <w:rPr>
          <w:rFonts w:ascii="Calibri" w:eastAsia="Times New Roman" w:hAnsi="Calibri" w:cs="Times New Roman"/>
          <w:b/>
          <w:color w:val="008276"/>
          <w:sz w:val="24"/>
          <w:szCs w:val="24"/>
        </w:rPr>
      </w:pPr>
      <w:bookmarkStart w:id="34" w:name="_Toc212545683"/>
      <w:r w:rsidRPr="007F67E0">
        <w:rPr>
          <w:rFonts w:ascii="Calibri" w:eastAsia="Times New Roman" w:hAnsi="Calibri" w:cs="Times New Roman"/>
          <w:b/>
          <w:color w:val="008276"/>
          <w:sz w:val="24"/>
          <w:szCs w:val="24"/>
        </w:rPr>
        <w:lastRenderedPageBreak/>
        <w:t>Reported state or territory funding contributions by expenditure type</w:t>
      </w:r>
      <w:bookmarkEnd w:id="34"/>
    </w:p>
    <w:p w14:paraId="44DAFEBF" w14:textId="77777777" w:rsidR="00090F2C" w:rsidRPr="007F67E0" w:rsidRDefault="00090F2C" w:rsidP="00090F2C">
      <w:pPr>
        <w:keepNext/>
        <w:keepLines/>
        <w:spacing w:before="120" w:after="0"/>
        <w:outlineLvl w:val="3"/>
        <w:rPr>
          <w:rFonts w:ascii="Calibri" w:eastAsia="Times New Roman" w:hAnsi="Calibri" w:cs="Times New Roman"/>
          <w:b/>
          <w:iCs/>
          <w:color w:val="5F6369"/>
        </w:rPr>
      </w:pPr>
      <w:r w:rsidRPr="007F67E0">
        <w:rPr>
          <w:rFonts w:ascii="Calibri" w:eastAsia="Times New Roman" w:hAnsi="Calibri" w:cs="Times New Roman"/>
          <w:b/>
          <w:iCs/>
          <w:color w:val="5F6369"/>
        </w:rPr>
        <w:t>Reported state and territory contribution by funding type ($)</w:t>
      </w:r>
    </w:p>
    <w:tbl>
      <w:tblPr>
        <w:tblStyle w:val="GridTable5Dark-Accent622"/>
        <w:tblW w:w="14601" w:type="dxa"/>
        <w:tblLayout w:type="fixed"/>
        <w:tblLook w:val="04A0" w:firstRow="1" w:lastRow="0" w:firstColumn="1" w:lastColumn="0" w:noHBand="0" w:noVBand="1"/>
      </w:tblPr>
      <w:tblGrid>
        <w:gridCol w:w="1277"/>
        <w:gridCol w:w="3825"/>
        <w:gridCol w:w="2269"/>
        <w:gridCol w:w="4961"/>
        <w:gridCol w:w="2269"/>
      </w:tblGrid>
      <w:tr w:rsidR="00090F2C" w:rsidRPr="007F67E0" w14:paraId="6D8D65D1" w14:textId="77777777" w:rsidTr="28F4BF2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7" w:type="pct"/>
            <w:vMerge w:val="restart"/>
            <w:shd w:val="clear" w:color="auto" w:fill="002D3F"/>
          </w:tcPr>
          <w:p w14:paraId="206BC3A6" w14:textId="77777777" w:rsidR="00090F2C" w:rsidRPr="007F67E0" w:rsidRDefault="00090F2C">
            <w:pPr>
              <w:spacing w:before="20" w:after="20"/>
              <w:rPr>
                <w:rFonts w:cs="Calibri"/>
                <w:sz w:val="20"/>
              </w:rPr>
            </w:pPr>
          </w:p>
        </w:tc>
        <w:tc>
          <w:tcPr>
            <w:tcW w:w="1310" w:type="pct"/>
            <w:vMerge w:val="restart"/>
            <w:shd w:val="clear" w:color="auto" w:fill="002D3F"/>
          </w:tcPr>
          <w:p w14:paraId="613D7E1C" w14:textId="77777777" w:rsidR="00090F2C" w:rsidRPr="007F67E0" w:rsidRDefault="00090F2C">
            <w:pPr>
              <w:spacing w:before="20" w:after="20"/>
              <w:cnfStyle w:val="100000000000" w:firstRow="1" w:lastRow="0" w:firstColumn="0" w:lastColumn="0" w:oddVBand="0" w:evenVBand="0" w:oddHBand="0" w:evenHBand="0" w:firstRowFirstColumn="0" w:firstRowLastColumn="0" w:lastRowFirstColumn="0" w:lastRowLastColumn="0"/>
              <w:rPr>
                <w:rFonts w:cs="Calibri"/>
                <w:sz w:val="20"/>
              </w:rPr>
            </w:pPr>
          </w:p>
        </w:tc>
        <w:tc>
          <w:tcPr>
            <w:tcW w:w="777" w:type="pct"/>
            <w:vMerge w:val="restart"/>
            <w:shd w:val="clear" w:color="auto" w:fill="002D3F"/>
          </w:tcPr>
          <w:p w14:paraId="0F1BEAF7" w14:textId="77777777" w:rsidR="00090F2C" w:rsidRPr="007F67E0" w:rsidRDefault="00090F2C">
            <w:pPr>
              <w:spacing w:before="20" w:after="20"/>
              <w:cnfStyle w:val="100000000000" w:firstRow="1" w:lastRow="0" w:firstColumn="0" w:lastColumn="0" w:oddVBand="0" w:evenVBand="0" w:oddHBand="0" w:evenHBand="0" w:firstRowFirstColumn="0" w:firstRowLastColumn="0" w:lastRowFirstColumn="0" w:lastRowLastColumn="0"/>
              <w:rPr>
                <w:rFonts w:cs="Calibri"/>
                <w:sz w:val="20"/>
              </w:rPr>
            </w:pPr>
            <w:r w:rsidRPr="007F67E0">
              <w:rPr>
                <w:rFonts w:cs="Calibri"/>
                <w:sz w:val="20"/>
              </w:rPr>
              <w:t>Data source ($)</w:t>
            </w:r>
          </w:p>
        </w:tc>
        <w:tc>
          <w:tcPr>
            <w:tcW w:w="2476" w:type="pct"/>
            <w:gridSpan w:val="2"/>
            <w:shd w:val="clear" w:color="auto" w:fill="002D3F"/>
          </w:tcPr>
          <w:p w14:paraId="3D11C3B2" w14:textId="213CDF6F" w:rsidR="00090F2C" w:rsidRPr="007F67E0" w:rsidRDefault="00090F2C">
            <w:pPr>
              <w:spacing w:before="20" w:after="20"/>
              <w:cnfStyle w:val="100000000000" w:firstRow="1" w:lastRow="0" w:firstColumn="0" w:lastColumn="0" w:oddVBand="0" w:evenVBand="0" w:oddHBand="0" w:evenHBand="0" w:firstRowFirstColumn="0" w:firstRowLastColumn="0" w:lastRowFirstColumn="0" w:lastRowLastColumn="0"/>
              <w:rPr>
                <w:rFonts w:cs="Calibri"/>
                <w:sz w:val="20"/>
              </w:rPr>
            </w:pPr>
            <w:r w:rsidRPr="007F67E0">
              <w:rPr>
                <w:rFonts w:cs="Calibri"/>
                <w:sz w:val="20"/>
              </w:rPr>
              <w:t xml:space="preserve">Adjustment (if </w:t>
            </w:r>
            <w:r w:rsidR="00FB6E3B">
              <w:rPr>
                <w:rFonts w:cs="Calibri"/>
                <w:sz w:val="20"/>
              </w:rPr>
              <w:t>needed</w:t>
            </w:r>
            <w:r w:rsidRPr="007F67E0">
              <w:rPr>
                <w:rFonts w:cs="Calibri"/>
                <w:sz w:val="20"/>
              </w:rPr>
              <w:t>)</w:t>
            </w:r>
            <w:r w:rsidR="00467D71">
              <w:rPr>
                <w:rFonts w:cs="Calibri"/>
                <w:sz w:val="20"/>
              </w:rPr>
              <w:t>¹</w:t>
            </w:r>
          </w:p>
        </w:tc>
      </w:tr>
      <w:tr w:rsidR="00090F2C" w:rsidRPr="007F67E0" w14:paraId="7F420239" w14:textId="77777777" w:rsidTr="28F4BF28">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7" w:type="pct"/>
            <w:vMerge/>
          </w:tcPr>
          <w:p w14:paraId="6488012E" w14:textId="77777777" w:rsidR="00090F2C" w:rsidRPr="007F67E0" w:rsidRDefault="00090F2C">
            <w:pPr>
              <w:spacing w:before="20" w:after="20"/>
              <w:rPr>
                <w:rFonts w:cs="Calibri"/>
                <w:sz w:val="20"/>
              </w:rPr>
            </w:pPr>
          </w:p>
        </w:tc>
        <w:tc>
          <w:tcPr>
            <w:tcW w:w="1310" w:type="pct"/>
            <w:vMerge/>
          </w:tcPr>
          <w:p w14:paraId="50A21E19"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FFFFFF"/>
                <w:sz w:val="20"/>
              </w:rPr>
            </w:pPr>
          </w:p>
        </w:tc>
        <w:tc>
          <w:tcPr>
            <w:tcW w:w="777" w:type="pct"/>
            <w:vMerge/>
          </w:tcPr>
          <w:p w14:paraId="76697D7F"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FFFFFF"/>
                <w:sz w:val="20"/>
              </w:rPr>
            </w:pPr>
          </w:p>
        </w:tc>
        <w:tc>
          <w:tcPr>
            <w:tcW w:w="1699" w:type="pct"/>
            <w:shd w:val="clear" w:color="auto" w:fill="002D3F"/>
          </w:tcPr>
          <w:p w14:paraId="480057DD"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FFFFFF"/>
                <w:sz w:val="20"/>
              </w:rPr>
            </w:pPr>
            <w:r w:rsidRPr="007F67E0">
              <w:rPr>
                <w:rFonts w:cs="Calibri"/>
                <w:b/>
                <w:bCs/>
                <w:color w:val="FFFFFF"/>
                <w:sz w:val="20"/>
              </w:rPr>
              <w:t>Description</w:t>
            </w:r>
          </w:p>
        </w:tc>
        <w:tc>
          <w:tcPr>
            <w:tcW w:w="777" w:type="pct"/>
            <w:shd w:val="clear" w:color="auto" w:fill="002D3F"/>
          </w:tcPr>
          <w:p w14:paraId="50379453"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color w:val="FFFFFF"/>
                <w:sz w:val="20"/>
              </w:rPr>
            </w:pPr>
            <w:r w:rsidRPr="007F67E0">
              <w:rPr>
                <w:rFonts w:cs="Calibri"/>
                <w:b/>
                <w:bCs/>
                <w:color w:val="FFFFFF"/>
                <w:sz w:val="20"/>
              </w:rPr>
              <w:t>Revised ($)</w:t>
            </w:r>
          </w:p>
        </w:tc>
      </w:tr>
      <w:tr w:rsidR="00090F2C" w:rsidRPr="007F67E0" w14:paraId="1975EB39" w14:textId="77777777" w:rsidTr="28F4BF28">
        <w:trPr>
          <w:trHeight w:val="195"/>
        </w:trPr>
        <w:tc>
          <w:tcPr>
            <w:cnfStyle w:val="001000000000" w:firstRow="0" w:lastRow="0" w:firstColumn="1" w:lastColumn="0" w:oddVBand="0" w:evenVBand="0" w:oddHBand="0" w:evenHBand="0" w:firstRowFirstColumn="0" w:firstRowLastColumn="0" w:lastRowFirstColumn="0" w:lastRowLastColumn="0"/>
            <w:tcW w:w="437" w:type="pct"/>
            <w:vMerge w:val="restart"/>
            <w:shd w:val="clear" w:color="auto" w:fill="9FCDE9"/>
          </w:tcPr>
          <w:p w14:paraId="225C4F40" w14:textId="77777777" w:rsidR="00090F2C" w:rsidRPr="00E2512C" w:rsidRDefault="00090F2C">
            <w:pPr>
              <w:spacing w:before="20" w:after="20"/>
              <w:rPr>
                <w:rFonts w:cs="Calibri"/>
                <w:color w:val="auto"/>
                <w:sz w:val="20"/>
              </w:rPr>
            </w:pPr>
            <w:r w:rsidRPr="00E2512C">
              <w:rPr>
                <w:rFonts w:cs="Calibri"/>
                <w:color w:val="auto"/>
                <w:sz w:val="20"/>
              </w:rPr>
              <w:t>Government</w:t>
            </w:r>
          </w:p>
        </w:tc>
        <w:tc>
          <w:tcPr>
            <w:tcW w:w="1310" w:type="pct"/>
          </w:tcPr>
          <w:p w14:paraId="4A591E8B" w14:textId="7DA0E53D"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r w:rsidRPr="007F67E0">
              <w:rPr>
                <w:rFonts w:cs="Calibri"/>
                <w:bCs/>
                <w:sz w:val="20"/>
              </w:rPr>
              <w:t>Net Recurrent Income</w:t>
            </w:r>
            <w:r w:rsidR="00487D89">
              <w:rPr>
                <w:rFonts w:cs="Calibri"/>
                <w:bCs/>
                <w:sz w:val="20"/>
              </w:rPr>
              <w:t xml:space="preserve"> (NRI)</w:t>
            </w:r>
            <w:r w:rsidRPr="007F67E0">
              <w:rPr>
                <w:rFonts w:cs="Calibri"/>
                <w:bCs/>
                <w:sz w:val="20"/>
              </w:rPr>
              <w:t xml:space="preserve"> for Government Schools as per ACARA Methodology</w:t>
            </w:r>
            <w:r w:rsidRPr="007F67E0">
              <w:rPr>
                <w:rFonts w:cs="Calibri"/>
                <w:bCs/>
                <w:sz w:val="20"/>
                <w:vertAlign w:val="superscript"/>
              </w:rPr>
              <w:t>2</w:t>
            </w:r>
          </w:p>
        </w:tc>
        <w:tc>
          <w:tcPr>
            <w:tcW w:w="777" w:type="pct"/>
          </w:tcPr>
          <w:p w14:paraId="57F5A199"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r w:rsidRPr="007F67E0">
              <w:rPr>
                <w:rFonts w:cs="Calibri"/>
                <w:bCs/>
                <w:sz w:val="20"/>
              </w:rPr>
              <w:t>[e.g. $X as reported to ACARA]</w:t>
            </w:r>
          </w:p>
        </w:tc>
        <w:tc>
          <w:tcPr>
            <w:tcW w:w="1699" w:type="pct"/>
          </w:tcPr>
          <w:p w14:paraId="05454207"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r w:rsidRPr="007F67E0">
              <w:rPr>
                <w:rFonts w:cs="Calibri"/>
                <w:bCs/>
                <w:sz w:val="20"/>
              </w:rPr>
              <w:t>[e.g. Removed $Y as full-fee paying overseas students by X methodology]</w:t>
            </w:r>
          </w:p>
          <w:p w14:paraId="4D02B90B"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p>
        </w:tc>
        <w:tc>
          <w:tcPr>
            <w:tcW w:w="777" w:type="pct"/>
          </w:tcPr>
          <w:p w14:paraId="7C81C52B"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r w:rsidRPr="007F67E0">
              <w:rPr>
                <w:rFonts w:cs="Calibri"/>
                <w:bCs/>
                <w:sz w:val="20"/>
              </w:rPr>
              <w:t>$X-$Y</w:t>
            </w:r>
          </w:p>
        </w:tc>
      </w:tr>
      <w:tr w:rsidR="00090F2C" w:rsidRPr="007F67E0" w14:paraId="2201B817" w14:textId="77777777" w:rsidTr="28F4BF2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437" w:type="pct"/>
            <w:vMerge/>
          </w:tcPr>
          <w:p w14:paraId="5BCDB30F" w14:textId="77777777" w:rsidR="00090F2C" w:rsidRPr="00E2512C" w:rsidRDefault="00090F2C">
            <w:pPr>
              <w:spacing w:before="20" w:after="20"/>
              <w:rPr>
                <w:rFonts w:cs="Calibri"/>
                <w:color w:val="auto"/>
                <w:sz w:val="20"/>
              </w:rPr>
            </w:pPr>
          </w:p>
        </w:tc>
        <w:tc>
          <w:tcPr>
            <w:tcW w:w="1310" w:type="pct"/>
          </w:tcPr>
          <w:p w14:paraId="7D5B3FFB"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r w:rsidRPr="007F67E0">
              <w:rPr>
                <w:rFonts w:cs="Calibri"/>
                <w:bCs/>
                <w:sz w:val="20"/>
              </w:rPr>
              <w:t>Capital depreciation</w:t>
            </w:r>
            <w:r w:rsidRPr="007F67E0">
              <w:rPr>
                <w:rFonts w:cs="Calibri"/>
                <w:bCs/>
                <w:sz w:val="20"/>
                <w:vertAlign w:val="superscript"/>
              </w:rPr>
              <w:t>3</w:t>
            </w:r>
          </w:p>
        </w:tc>
        <w:tc>
          <w:tcPr>
            <w:tcW w:w="777" w:type="pct"/>
          </w:tcPr>
          <w:p w14:paraId="30B271DA"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1699" w:type="pct"/>
          </w:tcPr>
          <w:p w14:paraId="48C680CD"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777" w:type="pct"/>
          </w:tcPr>
          <w:p w14:paraId="024812B1"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r>
      <w:tr w:rsidR="00090F2C" w:rsidRPr="007F67E0" w14:paraId="29B104DE" w14:textId="77777777" w:rsidTr="28F4BF28">
        <w:trPr>
          <w:trHeight w:val="207"/>
        </w:trPr>
        <w:tc>
          <w:tcPr>
            <w:cnfStyle w:val="001000000000" w:firstRow="0" w:lastRow="0" w:firstColumn="1" w:lastColumn="0" w:oddVBand="0" w:evenVBand="0" w:oddHBand="0" w:evenHBand="0" w:firstRowFirstColumn="0" w:firstRowLastColumn="0" w:lastRowFirstColumn="0" w:lastRowLastColumn="0"/>
            <w:tcW w:w="437" w:type="pct"/>
            <w:vMerge/>
          </w:tcPr>
          <w:p w14:paraId="37000F25" w14:textId="77777777" w:rsidR="00090F2C" w:rsidRPr="00E2512C" w:rsidRDefault="00090F2C">
            <w:pPr>
              <w:spacing w:before="20" w:after="20"/>
              <w:rPr>
                <w:rFonts w:cs="Calibri"/>
                <w:color w:val="auto"/>
                <w:sz w:val="20"/>
              </w:rPr>
            </w:pPr>
          </w:p>
        </w:tc>
        <w:tc>
          <w:tcPr>
            <w:tcW w:w="1310" w:type="pct"/>
          </w:tcPr>
          <w:p w14:paraId="1851BF2F"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r w:rsidRPr="007F67E0">
              <w:rPr>
                <w:rFonts w:cs="Calibri"/>
                <w:bCs/>
                <w:sz w:val="20"/>
              </w:rPr>
              <w:t>Direct school transport</w:t>
            </w:r>
            <w:r w:rsidRPr="007F67E0">
              <w:rPr>
                <w:rFonts w:cs="Calibri"/>
                <w:bCs/>
                <w:sz w:val="20"/>
                <w:vertAlign w:val="superscript"/>
              </w:rPr>
              <w:t>3,4</w:t>
            </w:r>
          </w:p>
        </w:tc>
        <w:tc>
          <w:tcPr>
            <w:tcW w:w="777" w:type="pct"/>
          </w:tcPr>
          <w:p w14:paraId="13201F28" w14:textId="0097E716"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r w:rsidRPr="007F67E0">
              <w:rPr>
                <w:rFonts w:cs="Calibri"/>
                <w:bCs/>
                <w:sz w:val="20"/>
              </w:rPr>
              <w:t xml:space="preserve">[e.g. Budget paper X - $X for school transport </w:t>
            </w:r>
            <w:r w:rsidR="00E140F9">
              <w:rPr>
                <w:rFonts w:cs="Calibri"/>
                <w:bCs/>
                <w:sz w:val="20"/>
              </w:rPr>
              <w:t>2025</w:t>
            </w:r>
            <w:r w:rsidRPr="007F67E0">
              <w:rPr>
                <w:rFonts w:cs="Calibri"/>
                <w:bCs/>
                <w:sz w:val="20"/>
              </w:rPr>
              <w:t>]</w:t>
            </w:r>
          </w:p>
        </w:tc>
        <w:tc>
          <w:tcPr>
            <w:tcW w:w="1699" w:type="pct"/>
          </w:tcPr>
          <w:p w14:paraId="5257F408" w14:textId="592A819D"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r w:rsidRPr="007F67E0">
              <w:rPr>
                <w:rFonts w:cs="Calibri"/>
                <w:bCs/>
                <w:sz w:val="20"/>
              </w:rPr>
              <w:t>[e.g. Removed underspend ($Y)</w:t>
            </w:r>
            <w:r w:rsidR="00FC1B24">
              <w:rPr>
                <w:rFonts w:cs="Calibri"/>
                <w:bCs/>
                <w:sz w:val="20"/>
              </w:rPr>
              <w:t xml:space="preserve">, </w:t>
            </w:r>
          </w:p>
        </w:tc>
        <w:tc>
          <w:tcPr>
            <w:tcW w:w="777" w:type="pct"/>
          </w:tcPr>
          <w:p w14:paraId="1339C115"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r w:rsidRPr="007F67E0">
              <w:rPr>
                <w:rFonts w:cs="Calibri"/>
                <w:bCs/>
                <w:sz w:val="20"/>
              </w:rPr>
              <w:t>$X-$Y</w:t>
            </w:r>
          </w:p>
        </w:tc>
      </w:tr>
      <w:tr w:rsidR="00971C19" w:rsidRPr="007F67E0" w14:paraId="621BD89B" w14:textId="77777777" w:rsidTr="28F4BF28">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437" w:type="pct"/>
            <w:vMerge/>
          </w:tcPr>
          <w:p w14:paraId="08756846" w14:textId="77777777" w:rsidR="00971C19" w:rsidRPr="00E2512C" w:rsidRDefault="00971C19">
            <w:pPr>
              <w:spacing w:before="20" w:after="20"/>
              <w:rPr>
                <w:rFonts w:cs="Calibri"/>
                <w:sz w:val="20"/>
              </w:rPr>
            </w:pPr>
          </w:p>
        </w:tc>
        <w:tc>
          <w:tcPr>
            <w:tcW w:w="1310" w:type="pct"/>
          </w:tcPr>
          <w:p w14:paraId="5DBC895A" w14:textId="77777777" w:rsidR="00971C19" w:rsidRPr="002E0964" w:rsidRDefault="688B4CCF" w:rsidP="28F4BF28">
            <w:pPr>
              <w:spacing w:before="20" w:after="20"/>
              <w:cnfStyle w:val="000000100000" w:firstRow="0" w:lastRow="0" w:firstColumn="0" w:lastColumn="0" w:oddVBand="0" w:evenVBand="0" w:oddHBand="1" w:evenHBand="0" w:firstRowFirstColumn="0" w:firstRowLastColumn="0" w:lastRowFirstColumn="0" w:lastRowLastColumn="0"/>
              <w:rPr>
                <w:rFonts w:cs="Calibri"/>
                <w:i/>
                <w:iCs/>
                <w:sz w:val="20"/>
                <w:szCs w:val="20"/>
              </w:rPr>
            </w:pPr>
            <w:r w:rsidRPr="002E0964">
              <w:rPr>
                <w:rFonts w:cs="Calibri"/>
                <w:i/>
                <w:iCs/>
                <w:sz w:val="20"/>
                <w:szCs w:val="20"/>
              </w:rPr>
              <w:t>Regulatory costs</w:t>
            </w:r>
            <w:r w:rsidRPr="002E0964">
              <w:rPr>
                <w:rFonts w:cs="Calibri"/>
                <w:i/>
                <w:iCs/>
                <w:sz w:val="20"/>
                <w:szCs w:val="20"/>
                <w:vertAlign w:val="superscript"/>
              </w:rPr>
              <w:t xml:space="preserve">3 </w:t>
            </w:r>
          </w:p>
          <w:p w14:paraId="24EE1E4F" w14:textId="1E67C547" w:rsidR="00971C19" w:rsidRPr="002E0964" w:rsidRDefault="688B4CCF" w:rsidP="28F4BF28">
            <w:pPr>
              <w:spacing w:before="20" w:after="20"/>
              <w:cnfStyle w:val="000000100000" w:firstRow="0" w:lastRow="0" w:firstColumn="0" w:lastColumn="0" w:oddVBand="0" w:evenVBand="0" w:oddHBand="1" w:evenHBand="0" w:firstRowFirstColumn="0" w:firstRowLastColumn="0" w:lastRowFirstColumn="0" w:lastRowLastColumn="0"/>
              <w:rPr>
                <w:rFonts w:cs="Calibri"/>
                <w:i/>
                <w:iCs/>
                <w:sz w:val="20"/>
                <w:szCs w:val="20"/>
              </w:rPr>
            </w:pPr>
            <w:r w:rsidRPr="002E0964">
              <w:rPr>
                <w:rFonts w:cs="Calibri"/>
                <w:i/>
                <w:iCs/>
                <w:sz w:val="20"/>
                <w:szCs w:val="20"/>
              </w:rPr>
              <w:t>[Separate row for each entity, where possible. Delete</w:t>
            </w:r>
            <w:r w:rsidR="0F8139A4" w:rsidRPr="002E0964">
              <w:rPr>
                <w:rFonts w:cs="Calibri"/>
                <w:i/>
                <w:iCs/>
                <w:sz w:val="20"/>
                <w:szCs w:val="20"/>
              </w:rPr>
              <w:t>/add</w:t>
            </w:r>
            <w:r w:rsidRPr="002E0964">
              <w:rPr>
                <w:rFonts w:cs="Calibri"/>
                <w:i/>
                <w:iCs/>
                <w:sz w:val="20"/>
                <w:szCs w:val="20"/>
              </w:rPr>
              <w:t xml:space="preserve"> rows as appropriate]</w:t>
            </w:r>
          </w:p>
          <w:p w14:paraId="1B2E03C6" w14:textId="6E69C4B9" w:rsidR="00971C19" w:rsidRPr="003B0F56" w:rsidRDefault="688B4CCF" w:rsidP="28F4BF28">
            <w:pPr>
              <w:spacing w:before="20" w:after="20"/>
              <w:cnfStyle w:val="000000100000" w:firstRow="0" w:lastRow="0" w:firstColumn="0" w:lastColumn="0" w:oddVBand="0" w:evenVBand="0" w:oddHBand="1" w:evenHBand="0" w:firstRowFirstColumn="0" w:firstRowLastColumn="0" w:lastRowFirstColumn="0" w:lastRowLastColumn="0"/>
              <w:rPr>
                <w:rFonts w:cs="Calibri"/>
                <w:i/>
                <w:iCs/>
                <w:sz w:val="20"/>
                <w:szCs w:val="20"/>
              </w:rPr>
            </w:pPr>
            <w:r w:rsidRPr="002E0964">
              <w:rPr>
                <w:rFonts w:cs="Calibri"/>
                <w:i/>
                <w:iCs/>
                <w:sz w:val="20"/>
                <w:szCs w:val="20"/>
              </w:rPr>
              <w:t>-</w:t>
            </w:r>
            <w:r w:rsidR="00971C19">
              <w:tab/>
            </w:r>
            <w:r w:rsidRPr="002E0964">
              <w:rPr>
                <w:rFonts w:cs="Calibri"/>
                <w:i/>
                <w:iCs/>
                <w:sz w:val="20"/>
                <w:szCs w:val="20"/>
              </w:rPr>
              <w:t xml:space="preserve">Regulatory Authority 1 </w:t>
            </w:r>
            <w:r w:rsidR="5A1372FA" w:rsidRPr="002E0964">
              <w:rPr>
                <w:rFonts w:cs="Calibri"/>
                <w:i/>
                <w:iCs/>
                <w:sz w:val="20"/>
                <w:szCs w:val="20"/>
              </w:rPr>
              <w:t>n</w:t>
            </w:r>
            <w:r w:rsidRPr="002E0964">
              <w:rPr>
                <w:rFonts w:cs="Calibri"/>
                <w:i/>
                <w:iCs/>
                <w:sz w:val="20"/>
                <w:szCs w:val="20"/>
              </w:rPr>
              <w:t>ame</w:t>
            </w:r>
          </w:p>
        </w:tc>
        <w:tc>
          <w:tcPr>
            <w:tcW w:w="777" w:type="pct"/>
          </w:tcPr>
          <w:p w14:paraId="4F537B33" w14:textId="6E4135AB" w:rsidR="00971C19" w:rsidRPr="007F67E0" w:rsidRDefault="00E140F9">
            <w:pPr>
              <w:spacing w:before="20" w:after="20"/>
              <w:cnfStyle w:val="000000100000" w:firstRow="0" w:lastRow="0" w:firstColumn="0" w:lastColumn="0" w:oddVBand="0" w:evenVBand="0" w:oddHBand="1" w:evenHBand="0" w:firstRowFirstColumn="0" w:firstRowLastColumn="0" w:lastRowFirstColumn="0" w:lastRowLastColumn="0"/>
              <w:rPr>
                <w:rFonts w:cs="Calibri"/>
                <w:bCs/>
                <w:sz w:val="20"/>
              </w:rPr>
            </w:pPr>
            <w:r>
              <w:rPr>
                <w:rFonts w:cs="Calibri"/>
                <w:bCs/>
                <w:sz w:val="20"/>
              </w:rPr>
              <w:t xml:space="preserve">[e.g. </w:t>
            </w:r>
            <w:r w:rsidR="002A540B">
              <w:rPr>
                <w:rFonts w:cs="Calibri"/>
                <w:bCs/>
                <w:sz w:val="20"/>
              </w:rPr>
              <w:t>X</w:t>
            </w:r>
            <w:r w:rsidR="004839E1">
              <w:rPr>
                <w:rFonts w:cs="Calibri"/>
                <w:bCs/>
                <w:sz w:val="20"/>
              </w:rPr>
              <w:t xml:space="preserve">$ as reported in financial report for 2024-25 and </w:t>
            </w:r>
            <w:r w:rsidR="008772A4">
              <w:rPr>
                <w:rFonts w:cs="Calibri"/>
                <w:bCs/>
                <w:sz w:val="20"/>
              </w:rPr>
              <w:t>$Y as reported in financial report for 2025-26</w:t>
            </w:r>
            <w:r w:rsidR="00A17EEC">
              <w:rPr>
                <w:rFonts w:cs="Calibri"/>
                <w:bCs/>
                <w:sz w:val="20"/>
              </w:rPr>
              <w:t>]</w:t>
            </w:r>
          </w:p>
        </w:tc>
        <w:tc>
          <w:tcPr>
            <w:tcW w:w="1699" w:type="pct"/>
          </w:tcPr>
          <w:p w14:paraId="50AA3D2D" w14:textId="4F087ABF" w:rsidR="00971C19" w:rsidRPr="007F67E0" w:rsidRDefault="008772A4">
            <w:pPr>
              <w:spacing w:before="20" w:after="20"/>
              <w:cnfStyle w:val="000000100000" w:firstRow="0" w:lastRow="0" w:firstColumn="0" w:lastColumn="0" w:oddVBand="0" w:evenVBand="0" w:oddHBand="1" w:evenHBand="0" w:firstRowFirstColumn="0" w:firstRowLastColumn="0" w:lastRowFirstColumn="0" w:lastRowLastColumn="0"/>
              <w:rPr>
                <w:rFonts w:cs="Calibri"/>
                <w:bCs/>
                <w:sz w:val="20"/>
              </w:rPr>
            </w:pPr>
            <w:r>
              <w:rPr>
                <w:rFonts w:cs="Calibri"/>
                <w:bCs/>
                <w:sz w:val="20"/>
              </w:rPr>
              <w:t>[e.g. converted financial years to calendar year 2025</w:t>
            </w:r>
            <w:r w:rsidR="00977FF9">
              <w:rPr>
                <w:rFonts w:cs="Calibri"/>
                <w:bCs/>
                <w:sz w:val="20"/>
              </w:rPr>
              <w:t>]</w:t>
            </w:r>
          </w:p>
        </w:tc>
        <w:tc>
          <w:tcPr>
            <w:tcW w:w="777" w:type="pct"/>
          </w:tcPr>
          <w:p w14:paraId="2DF9C589" w14:textId="22D982EA" w:rsidR="00971C19" w:rsidRPr="007F67E0" w:rsidRDefault="008A7017">
            <w:pPr>
              <w:spacing w:before="20" w:after="20"/>
              <w:cnfStyle w:val="000000100000" w:firstRow="0" w:lastRow="0" w:firstColumn="0" w:lastColumn="0" w:oddVBand="0" w:evenVBand="0" w:oddHBand="1" w:evenHBand="0" w:firstRowFirstColumn="0" w:firstRowLastColumn="0" w:lastRowFirstColumn="0" w:lastRowLastColumn="0"/>
              <w:rPr>
                <w:rFonts w:cs="Calibri"/>
                <w:bCs/>
                <w:sz w:val="20"/>
              </w:rPr>
            </w:pPr>
            <w:r>
              <w:rPr>
                <w:rFonts w:cs="Calibri"/>
                <w:bCs/>
                <w:sz w:val="20"/>
              </w:rPr>
              <w:t>(</w:t>
            </w:r>
            <w:r w:rsidR="00977FF9">
              <w:rPr>
                <w:rFonts w:cs="Calibri"/>
                <w:bCs/>
                <w:sz w:val="20"/>
              </w:rPr>
              <w:t>0.5</w:t>
            </w:r>
            <w:r>
              <w:rPr>
                <w:rFonts w:cs="Calibri"/>
                <w:bCs/>
                <w:sz w:val="20"/>
              </w:rPr>
              <w:t xml:space="preserve"> x $</w:t>
            </w:r>
            <w:r w:rsidR="00977FF9">
              <w:rPr>
                <w:rFonts w:cs="Calibri"/>
                <w:bCs/>
                <w:sz w:val="20"/>
              </w:rPr>
              <w:t>X</w:t>
            </w:r>
            <w:r>
              <w:rPr>
                <w:rFonts w:cs="Calibri"/>
                <w:bCs/>
                <w:sz w:val="20"/>
              </w:rPr>
              <w:t xml:space="preserve">) </w:t>
            </w:r>
            <w:r w:rsidR="00977FF9">
              <w:rPr>
                <w:rFonts w:cs="Calibri"/>
                <w:bCs/>
                <w:sz w:val="20"/>
              </w:rPr>
              <w:t>+</w:t>
            </w:r>
            <w:r w:rsidR="003A42E9">
              <w:rPr>
                <w:rFonts w:cs="Calibri"/>
                <w:bCs/>
                <w:sz w:val="20"/>
              </w:rPr>
              <w:t xml:space="preserve"> </w:t>
            </w:r>
            <w:r>
              <w:rPr>
                <w:rFonts w:cs="Calibri"/>
                <w:bCs/>
                <w:sz w:val="20"/>
              </w:rPr>
              <w:t>(</w:t>
            </w:r>
            <w:r w:rsidR="00977FF9">
              <w:rPr>
                <w:rFonts w:cs="Calibri"/>
                <w:bCs/>
                <w:sz w:val="20"/>
              </w:rPr>
              <w:t>0.</w:t>
            </w:r>
            <w:r>
              <w:rPr>
                <w:rFonts w:cs="Calibri"/>
                <w:bCs/>
                <w:sz w:val="20"/>
              </w:rPr>
              <w:t>5 x $Y)</w:t>
            </w:r>
          </w:p>
        </w:tc>
      </w:tr>
      <w:tr w:rsidR="00971C19" w:rsidRPr="007F67E0" w14:paraId="48600BD1" w14:textId="77777777" w:rsidTr="002E0964">
        <w:trPr>
          <w:trHeight w:val="300"/>
        </w:trPr>
        <w:tc>
          <w:tcPr>
            <w:cnfStyle w:val="001000000000" w:firstRow="0" w:lastRow="0" w:firstColumn="1" w:lastColumn="0" w:oddVBand="0" w:evenVBand="0" w:oddHBand="0" w:evenHBand="0" w:firstRowFirstColumn="0" w:firstRowLastColumn="0" w:lastRowFirstColumn="0" w:lastRowLastColumn="0"/>
            <w:tcW w:w="437" w:type="pct"/>
            <w:vMerge/>
          </w:tcPr>
          <w:p w14:paraId="60696621" w14:textId="77777777" w:rsidR="00971C19" w:rsidRPr="00E2512C" w:rsidRDefault="00971C19">
            <w:pPr>
              <w:spacing w:before="20" w:after="20"/>
              <w:rPr>
                <w:rFonts w:cs="Calibri"/>
                <w:sz w:val="20"/>
              </w:rPr>
            </w:pPr>
          </w:p>
        </w:tc>
        <w:tc>
          <w:tcPr>
            <w:tcW w:w="1310" w:type="pct"/>
          </w:tcPr>
          <w:p w14:paraId="467FE5D1" w14:textId="188A4778" w:rsidR="00971C19" w:rsidRPr="003B0F56" w:rsidRDefault="688B4CCF" w:rsidP="28F4BF28">
            <w:pPr>
              <w:spacing w:before="20" w:after="20"/>
              <w:cnfStyle w:val="000000000000" w:firstRow="0" w:lastRow="0" w:firstColumn="0" w:lastColumn="0" w:oddVBand="0" w:evenVBand="0" w:oddHBand="0" w:evenHBand="0" w:firstRowFirstColumn="0" w:firstRowLastColumn="0" w:lastRowFirstColumn="0" w:lastRowLastColumn="0"/>
              <w:rPr>
                <w:rFonts w:cs="Calibri"/>
                <w:i/>
                <w:iCs/>
                <w:sz w:val="20"/>
                <w:szCs w:val="20"/>
              </w:rPr>
            </w:pPr>
            <w:r w:rsidRPr="002E0964">
              <w:rPr>
                <w:rFonts w:cs="Calibri"/>
                <w:i/>
                <w:iCs/>
                <w:sz w:val="20"/>
                <w:szCs w:val="20"/>
              </w:rPr>
              <w:t>-</w:t>
            </w:r>
            <w:r w:rsidR="00971C19">
              <w:tab/>
            </w:r>
            <w:r w:rsidRPr="002E0964">
              <w:rPr>
                <w:rFonts w:cs="Calibri"/>
                <w:i/>
                <w:iCs/>
                <w:sz w:val="20"/>
                <w:szCs w:val="20"/>
              </w:rPr>
              <w:t xml:space="preserve">Regulatory Authority 2 </w:t>
            </w:r>
            <w:r w:rsidR="5A1372FA" w:rsidRPr="002E0964">
              <w:rPr>
                <w:rFonts w:cs="Calibri"/>
                <w:i/>
                <w:iCs/>
                <w:sz w:val="20"/>
                <w:szCs w:val="20"/>
              </w:rPr>
              <w:t>n</w:t>
            </w:r>
            <w:r w:rsidRPr="002E0964">
              <w:rPr>
                <w:rFonts w:cs="Calibri"/>
                <w:i/>
                <w:iCs/>
                <w:sz w:val="20"/>
                <w:szCs w:val="20"/>
              </w:rPr>
              <w:t>ame</w:t>
            </w:r>
          </w:p>
        </w:tc>
        <w:tc>
          <w:tcPr>
            <w:tcW w:w="777" w:type="pct"/>
          </w:tcPr>
          <w:p w14:paraId="33A056FF" w14:textId="77777777" w:rsidR="00971C19" w:rsidRPr="007F67E0" w:rsidRDefault="00971C19">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p>
        </w:tc>
        <w:tc>
          <w:tcPr>
            <w:tcW w:w="1699" w:type="pct"/>
          </w:tcPr>
          <w:p w14:paraId="293646D6" w14:textId="77777777" w:rsidR="00971C19" w:rsidRPr="007F67E0" w:rsidRDefault="00971C19">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p>
        </w:tc>
        <w:tc>
          <w:tcPr>
            <w:tcW w:w="777" w:type="pct"/>
          </w:tcPr>
          <w:p w14:paraId="22483D2F" w14:textId="77777777" w:rsidR="00971C19" w:rsidRPr="007F67E0" w:rsidRDefault="00971C19">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p>
        </w:tc>
      </w:tr>
      <w:tr w:rsidR="00090F2C" w:rsidRPr="007F67E0" w14:paraId="0120AB90" w14:textId="77777777" w:rsidTr="28F4BF2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37" w:type="pct"/>
            <w:vMerge/>
          </w:tcPr>
          <w:p w14:paraId="00CE53A2" w14:textId="77777777" w:rsidR="00090F2C" w:rsidRPr="00E2512C" w:rsidRDefault="00090F2C">
            <w:pPr>
              <w:spacing w:before="20" w:after="20"/>
              <w:rPr>
                <w:rFonts w:cs="Calibri"/>
                <w:color w:val="auto"/>
                <w:sz w:val="20"/>
              </w:rPr>
            </w:pPr>
          </w:p>
        </w:tc>
        <w:tc>
          <w:tcPr>
            <w:tcW w:w="1310" w:type="pct"/>
          </w:tcPr>
          <w:p w14:paraId="066B265A"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r w:rsidRPr="007F67E0">
              <w:rPr>
                <w:rFonts w:cs="Calibri"/>
                <w:bCs/>
                <w:sz w:val="20"/>
              </w:rPr>
              <w:t>Reform costs (excluding capital funding)</w:t>
            </w:r>
            <w:r w:rsidRPr="007F67E0">
              <w:rPr>
                <w:rFonts w:cs="Calibri"/>
                <w:bCs/>
                <w:sz w:val="20"/>
                <w:vertAlign w:val="superscript"/>
              </w:rPr>
              <w:t xml:space="preserve">5 </w:t>
            </w:r>
          </w:p>
        </w:tc>
        <w:tc>
          <w:tcPr>
            <w:tcW w:w="777" w:type="pct"/>
          </w:tcPr>
          <w:p w14:paraId="57AAFC86"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1699" w:type="pct"/>
          </w:tcPr>
          <w:p w14:paraId="55A67DFF"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777" w:type="pct"/>
          </w:tcPr>
          <w:p w14:paraId="6F3C8E01"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r>
      <w:tr w:rsidR="00B02DB4" w:rsidRPr="007F67E0" w14:paraId="4CE6E2DF" w14:textId="77777777" w:rsidTr="28F4BF28">
        <w:trPr>
          <w:trHeight w:val="328"/>
        </w:trPr>
        <w:tc>
          <w:tcPr>
            <w:cnfStyle w:val="001000000000" w:firstRow="0" w:lastRow="0" w:firstColumn="1" w:lastColumn="0" w:oddVBand="0" w:evenVBand="0" w:oddHBand="0" w:evenHBand="0" w:firstRowFirstColumn="0" w:firstRowLastColumn="0" w:lastRowFirstColumn="0" w:lastRowLastColumn="0"/>
            <w:tcW w:w="437" w:type="pct"/>
            <w:vMerge/>
          </w:tcPr>
          <w:p w14:paraId="4931E221" w14:textId="77777777" w:rsidR="00B02DB4" w:rsidRPr="00E2512C" w:rsidRDefault="00B02DB4">
            <w:pPr>
              <w:spacing w:before="20" w:after="20"/>
              <w:rPr>
                <w:rFonts w:cs="Calibri"/>
                <w:sz w:val="20"/>
              </w:rPr>
            </w:pPr>
          </w:p>
        </w:tc>
        <w:tc>
          <w:tcPr>
            <w:tcW w:w="1310" w:type="pct"/>
          </w:tcPr>
          <w:p w14:paraId="19BCDAAA" w14:textId="60C15C4D" w:rsidR="00B02DB4" w:rsidRPr="007F67E0" w:rsidRDefault="00B02DB4">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r>
              <w:rPr>
                <w:rFonts w:cs="Calibri"/>
                <w:bCs/>
                <w:sz w:val="20"/>
              </w:rPr>
              <w:t>National Enabling Initiatives (NEI) costs</w:t>
            </w:r>
          </w:p>
        </w:tc>
        <w:tc>
          <w:tcPr>
            <w:tcW w:w="777" w:type="pct"/>
          </w:tcPr>
          <w:p w14:paraId="7D1D7AF4" w14:textId="77777777" w:rsidR="00B02DB4" w:rsidRPr="007F67E0" w:rsidRDefault="00B02DB4">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p>
        </w:tc>
        <w:tc>
          <w:tcPr>
            <w:tcW w:w="1699" w:type="pct"/>
          </w:tcPr>
          <w:p w14:paraId="6F02E29E" w14:textId="77777777" w:rsidR="00B02DB4" w:rsidRPr="007F67E0" w:rsidRDefault="00B02DB4">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p>
        </w:tc>
        <w:tc>
          <w:tcPr>
            <w:tcW w:w="777" w:type="pct"/>
          </w:tcPr>
          <w:p w14:paraId="5CBCAA87" w14:textId="77777777" w:rsidR="00B02DB4" w:rsidRPr="007F67E0" w:rsidRDefault="00B02DB4">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p>
        </w:tc>
      </w:tr>
      <w:tr w:rsidR="00090F2C" w:rsidRPr="007F67E0" w14:paraId="39C5CE5E" w14:textId="77777777" w:rsidTr="28F4BF28">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37" w:type="pct"/>
            <w:vMerge/>
          </w:tcPr>
          <w:p w14:paraId="5D6255B4" w14:textId="77777777" w:rsidR="00090F2C" w:rsidRPr="00E2512C" w:rsidRDefault="00090F2C">
            <w:pPr>
              <w:spacing w:before="20" w:after="20"/>
              <w:rPr>
                <w:rFonts w:cs="Calibri"/>
                <w:color w:val="auto"/>
                <w:sz w:val="20"/>
              </w:rPr>
            </w:pPr>
          </w:p>
        </w:tc>
        <w:tc>
          <w:tcPr>
            <w:tcW w:w="1310" w:type="pct"/>
          </w:tcPr>
          <w:p w14:paraId="207EC28B" w14:textId="26BDE35F"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i/>
                <w:sz w:val="20"/>
              </w:rPr>
            </w:pPr>
            <w:r w:rsidRPr="007F67E0">
              <w:rPr>
                <w:rFonts w:cs="Calibri"/>
                <w:bCs/>
                <w:i/>
                <w:sz w:val="20"/>
              </w:rPr>
              <w:t>Other costs as agreed in bilateral agreement</w:t>
            </w:r>
            <w:r w:rsidR="005D3D3D">
              <w:rPr>
                <w:rFonts w:cs="Calibri"/>
                <w:bCs/>
                <w:i/>
                <w:sz w:val="20"/>
              </w:rPr>
              <w:t xml:space="preserve"> [Separate row for each funding type, </w:t>
            </w:r>
            <w:r w:rsidR="00643EFF">
              <w:rPr>
                <w:rFonts w:cs="Calibri"/>
                <w:bCs/>
                <w:i/>
                <w:sz w:val="20"/>
              </w:rPr>
              <w:t>please specify funding type]</w:t>
            </w:r>
            <w:r w:rsidR="000B7B1B" w:rsidRPr="000B7B1B">
              <w:rPr>
                <w:rFonts w:cs="Calibri"/>
                <w:bCs/>
                <w:i/>
                <w:sz w:val="20"/>
                <w:vertAlign w:val="superscript"/>
              </w:rPr>
              <w:t>3</w:t>
            </w:r>
          </w:p>
        </w:tc>
        <w:tc>
          <w:tcPr>
            <w:tcW w:w="777" w:type="pct"/>
          </w:tcPr>
          <w:p w14:paraId="39FA1FDE"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1699" w:type="pct"/>
          </w:tcPr>
          <w:p w14:paraId="4BA56B87" w14:textId="04FF0A39"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777" w:type="pct"/>
          </w:tcPr>
          <w:p w14:paraId="241AF8C1"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r>
      <w:tr w:rsidR="00090F2C" w:rsidRPr="007F67E0" w14:paraId="56B02526" w14:textId="77777777" w:rsidTr="28F4BF28">
        <w:trPr>
          <w:trHeight w:val="143"/>
        </w:trPr>
        <w:tc>
          <w:tcPr>
            <w:cnfStyle w:val="001000000000" w:firstRow="0" w:lastRow="0" w:firstColumn="1" w:lastColumn="0" w:oddVBand="0" w:evenVBand="0" w:oddHBand="0" w:evenHBand="0" w:firstRowFirstColumn="0" w:firstRowLastColumn="0" w:lastRowFirstColumn="0" w:lastRowLastColumn="0"/>
            <w:tcW w:w="437" w:type="pct"/>
            <w:vMerge/>
          </w:tcPr>
          <w:p w14:paraId="748AC636" w14:textId="77777777" w:rsidR="00090F2C" w:rsidRPr="00E2512C" w:rsidRDefault="00090F2C">
            <w:pPr>
              <w:spacing w:before="20" w:after="20"/>
              <w:rPr>
                <w:rFonts w:cs="Calibri"/>
                <w:color w:val="auto"/>
                <w:sz w:val="20"/>
              </w:rPr>
            </w:pPr>
          </w:p>
        </w:tc>
        <w:tc>
          <w:tcPr>
            <w:tcW w:w="1310" w:type="pct"/>
          </w:tcPr>
          <w:p w14:paraId="0AE2EC33"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vertAlign w:val="superscript"/>
              </w:rPr>
            </w:pPr>
            <w:r w:rsidRPr="007F67E0">
              <w:rPr>
                <w:rFonts w:cs="Calibri"/>
                <w:bCs/>
                <w:sz w:val="20"/>
              </w:rPr>
              <w:t>Impact of AASB 16 (leases)</w:t>
            </w:r>
            <w:r w:rsidRPr="007F67E0">
              <w:rPr>
                <w:rFonts w:cs="Calibri"/>
                <w:bCs/>
                <w:sz w:val="20"/>
                <w:vertAlign w:val="superscript"/>
              </w:rPr>
              <w:t>6</w:t>
            </w:r>
          </w:p>
        </w:tc>
        <w:tc>
          <w:tcPr>
            <w:tcW w:w="777" w:type="pct"/>
          </w:tcPr>
          <w:p w14:paraId="3E8C0744"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p>
        </w:tc>
        <w:tc>
          <w:tcPr>
            <w:tcW w:w="1699" w:type="pct"/>
          </w:tcPr>
          <w:p w14:paraId="1CFF9206"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p>
        </w:tc>
        <w:tc>
          <w:tcPr>
            <w:tcW w:w="777" w:type="pct"/>
          </w:tcPr>
          <w:p w14:paraId="1391AD40"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p>
        </w:tc>
      </w:tr>
      <w:tr w:rsidR="00090F2C" w:rsidRPr="007F67E0" w14:paraId="5E4786E7" w14:textId="77777777" w:rsidTr="28F4BF2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437" w:type="pct"/>
            <w:shd w:val="clear" w:color="auto" w:fill="9FCDE9"/>
          </w:tcPr>
          <w:p w14:paraId="0A935735" w14:textId="77777777" w:rsidR="00090F2C" w:rsidRPr="00E2512C" w:rsidRDefault="00090F2C">
            <w:pPr>
              <w:spacing w:before="20" w:after="20"/>
              <w:rPr>
                <w:rFonts w:cs="Calibri"/>
                <w:color w:val="auto"/>
                <w:sz w:val="20"/>
              </w:rPr>
            </w:pPr>
            <w:r w:rsidRPr="00E2512C">
              <w:rPr>
                <w:rFonts w:cs="Calibri"/>
                <w:color w:val="auto"/>
                <w:sz w:val="20"/>
              </w:rPr>
              <w:t>TOTAL Government</w:t>
            </w:r>
          </w:p>
        </w:tc>
        <w:tc>
          <w:tcPr>
            <w:tcW w:w="1310" w:type="pct"/>
          </w:tcPr>
          <w:p w14:paraId="51853A8F"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777" w:type="pct"/>
          </w:tcPr>
          <w:p w14:paraId="7F246386"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1699" w:type="pct"/>
          </w:tcPr>
          <w:p w14:paraId="320B1B3E"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777" w:type="pct"/>
          </w:tcPr>
          <w:p w14:paraId="6F20F442"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r>
      <w:tr w:rsidR="00B02DB4" w:rsidRPr="007F67E0" w14:paraId="525F1854" w14:textId="77777777" w:rsidTr="28F4BF28">
        <w:trPr>
          <w:trHeight w:val="195"/>
        </w:trPr>
        <w:tc>
          <w:tcPr>
            <w:cnfStyle w:val="001000000000" w:firstRow="0" w:lastRow="0" w:firstColumn="1" w:lastColumn="0" w:oddVBand="0" w:evenVBand="0" w:oddHBand="0" w:evenHBand="0" w:firstRowFirstColumn="0" w:firstRowLastColumn="0" w:lastRowFirstColumn="0" w:lastRowLastColumn="0"/>
            <w:tcW w:w="437" w:type="pct"/>
            <w:vMerge w:val="restart"/>
          </w:tcPr>
          <w:p w14:paraId="4453B8DB" w14:textId="77777777" w:rsidR="0085010C" w:rsidRDefault="0085010C">
            <w:pPr>
              <w:spacing w:before="20" w:after="20"/>
              <w:rPr>
                <w:rFonts w:cs="Calibri"/>
                <w:b w:val="0"/>
                <w:bCs w:val="0"/>
                <w:sz w:val="20"/>
              </w:rPr>
            </w:pPr>
            <w:r w:rsidRPr="00E2512C">
              <w:rPr>
                <w:rFonts w:cs="Calibri"/>
                <w:color w:val="auto"/>
                <w:sz w:val="20"/>
              </w:rPr>
              <w:t xml:space="preserve">Non-government </w:t>
            </w:r>
          </w:p>
          <w:p w14:paraId="790F40BA" w14:textId="77777777" w:rsidR="0085010C" w:rsidRPr="00664F14" w:rsidRDefault="0085010C" w:rsidP="00664F14">
            <w:pPr>
              <w:rPr>
                <w:rFonts w:cs="Calibri"/>
                <w:sz w:val="20"/>
              </w:rPr>
            </w:pPr>
          </w:p>
        </w:tc>
        <w:tc>
          <w:tcPr>
            <w:tcW w:w="1310" w:type="pct"/>
          </w:tcPr>
          <w:p w14:paraId="59332697" w14:textId="4737DF35" w:rsidR="0085010C" w:rsidRPr="007F67E0" w:rsidRDefault="0085010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r w:rsidRPr="007F67E0">
              <w:rPr>
                <w:rFonts w:cs="Calibri"/>
                <w:bCs/>
                <w:sz w:val="20"/>
              </w:rPr>
              <w:t>Net Recurrent Income</w:t>
            </w:r>
            <w:r w:rsidR="00685786">
              <w:rPr>
                <w:rFonts w:cs="Calibri"/>
                <w:bCs/>
                <w:sz w:val="20"/>
              </w:rPr>
              <w:t xml:space="preserve"> (NRI)</w:t>
            </w:r>
            <w:r w:rsidRPr="007F67E0">
              <w:rPr>
                <w:rFonts w:cs="Calibri"/>
                <w:bCs/>
                <w:sz w:val="20"/>
              </w:rPr>
              <w:t xml:space="preserve"> for non-Government Schools as per ACARA Methodology</w:t>
            </w:r>
            <w:r w:rsidRPr="007F67E0">
              <w:rPr>
                <w:rFonts w:cs="Calibri"/>
                <w:bCs/>
                <w:sz w:val="20"/>
                <w:vertAlign w:val="superscript"/>
              </w:rPr>
              <w:t>2</w:t>
            </w:r>
          </w:p>
        </w:tc>
        <w:tc>
          <w:tcPr>
            <w:tcW w:w="777" w:type="pct"/>
          </w:tcPr>
          <w:p w14:paraId="1A5C54FC" w14:textId="77777777" w:rsidR="0085010C" w:rsidRPr="007F67E0" w:rsidRDefault="0085010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p>
        </w:tc>
        <w:tc>
          <w:tcPr>
            <w:tcW w:w="1699" w:type="pct"/>
          </w:tcPr>
          <w:p w14:paraId="63351120" w14:textId="77777777" w:rsidR="0085010C" w:rsidRPr="007F67E0" w:rsidRDefault="0085010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p>
        </w:tc>
        <w:tc>
          <w:tcPr>
            <w:tcW w:w="777" w:type="pct"/>
          </w:tcPr>
          <w:p w14:paraId="05DEE0B4" w14:textId="77777777" w:rsidR="0085010C" w:rsidRPr="007F67E0" w:rsidRDefault="0085010C">
            <w:pPr>
              <w:spacing w:before="20" w:after="20"/>
              <w:cnfStyle w:val="000000000000" w:firstRow="0" w:lastRow="0" w:firstColumn="0" w:lastColumn="0" w:oddVBand="0" w:evenVBand="0" w:oddHBand="0" w:evenHBand="0" w:firstRowFirstColumn="0" w:firstRowLastColumn="0" w:lastRowFirstColumn="0" w:lastRowLastColumn="0"/>
              <w:rPr>
                <w:rFonts w:cs="Calibri"/>
                <w:b/>
                <w:bCs/>
                <w:sz w:val="20"/>
              </w:rPr>
            </w:pPr>
          </w:p>
        </w:tc>
      </w:tr>
      <w:tr w:rsidR="00971C19" w:rsidRPr="007F67E0" w14:paraId="184C81A3" w14:textId="77777777" w:rsidTr="28F4BF2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437" w:type="pct"/>
            <w:vMerge/>
          </w:tcPr>
          <w:p w14:paraId="25353E89" w14:textId="77777777" w:rsidR="0085010C" w:rsidRPr="00E2512C" w:rsidRDefault="0085010C">
            <w:pPr>
              <w:spacing w:before="20" w:after="20"/>
              <w:rPr>
                <w:rFonts w:cs="Calibri"/>
                <w:color w:val="auto"/>
                <w:sz w:val="20"/>
              </w:rPr>
            </w:pPr>
          </w:p>
        </w:tc>
        <w:tc>
          <w:tcPr>
            <w:tcW w:w="1310" w:type="pct"/>
          </w:tcPr>
          <w:p w14:paraId="50610D36" w14:textId="77777777" w:rsidR="00643EFF" w:rsidRDefault="0085010C">
            <w:pPr>
              <w:spacing w:before="20" w:after="20"/>
              <w:cnfStyle w:val="000000100000" w:firstRow="0" w:lastRow="0" w:firstColumn="0" w:lastColumn="0" w:oddVBand="0" w:evenVBand="0" w:oddHBand="1" w:evenHBand="0" w:firstRowFirstColumn="0" w:firstRowLastColumn="0" w:lastRowFirstColumn="0" w:lastRowLastColumn="0"/>
              <w:rPr>
                <w:rFonts w:cs="Calibri"/>
                <w:bCs/>
                <w:i/>
                <w:sz w:val="20"/>
              </w:rPr>
            </w:pPr>
            <w:r w:rsidRPr="007F67E0">
              <w:rPr>
                <w:rFonts w:cs="Calibri"/>
                <w:bCs/>
                <w:i/>
                <w:sz w:val="20"/>
              </w:rPr>
              <w:t>Other costs as agreed in bilateral agreement</w:t>
            </w:r>
          </w:p>
          <w:p w14:paraId="06ACD674" w14:textId="6DC123F1" w:rsidR="0085010C" w:rsidRPr="00664F14" w:rsidRDefault="00643EFF">
            <w:pPr>
              <w:spacing w:before="20" w:after="20"/>
              <w:cnfStyle w:val="000000100000" w:firstRow="0" w:lastRow="0" w:firstColumn="0" w:lastColumn="0" w:oddVBand="0" w:evenVBand="0" w:oddHBand="1" w:evenHBand="0" w:firstRowFirstColumn="0" w:firstRowLastColumn="0" w:lastRowFirstColumn="0" w:lastRowLastColumn="0"/>
              <w:rPr>
                <w:rFonts w:cs="Calibri"/>
                <w:b/>
                <w:bCs/>
                <w:i/>
                <w:iCs/>
                <w:sz w:val="20"/>
              </w:rPr>
            </w:pPr>
            <w:r w:rsidRPr="00664F14">
              <w:rPr>
                <w:rFonts w:cs="Calibri"/>
                <w:bCs/>
                <w:i/>
                <w:iCs/>
                <w:sz w:val="20"/>
              </w:rPr>
              <w:t>[Separate row for each funding type, please specify funding type]</w:t>
            </w:r>
            <w:r w:rsidR="00931BCC" w:rsidRPr="00931BCC">
              <w:rPr>
                <w:rFonts w:cs="Calibri"/>
                <w:bCs/>
                <w:i/>
                <w:iCs/>
                <w:sz w:val="20"/>
                <w:vertAlign w:val="superscript"/>
              </w:rPr>
              <w:t>3</w:t>
            </w:r>
            <w:r w:rsidR="0085010C" w:rsidRPr="00664F14">
              <w:rPr>
                <w:rFonts w:cs="Calibri"/>
                <w:bCs/>
                <w:i/>
                <w:iCs/>
                <w:sz w:val="20"/>
              </w:rPr>
              <w:t xml:space="preserve"> </w:t>
            </w:r>
          </w:p>
        </w:tc>
        <w:tc>
          <w:tcPr>
            <w:tcW w:w="777" w:type="pct"/>
          </w:tcPr>
          <w:p w14:paraId="2FABDAF6" w14:textId="77777777" w:rsidR="0085010C" w:rsidRPr="007F67E0" w:rsidRDefault="0085010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1699" w:type="pct"/>
          </w:tcPr>
          <w:p w14:paraId="6EFBD965" w14:textId="77777777" w:rsidR="0085010C" w:rsidRPr="007F67E0" w:rsidRDefault="0085010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777" w:type="pct"/>
          </w:tcPr>
          <w:p w14:paraId="4ECFE337" w14:textId="77777777" w:rsidR="0085010C" w:rsidRPr="007F67E0" w:rsidRDefault="0085010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r>
      <w:tr w:rsidR="0085010C" w:rsidRPr="007F67E0" w14:paraId="3032A6D0" w14:textId="77777777" w:rsidTr="28F4BF28">
        <w:trPr>
          <w:trHeight w:val="195"/>
        </w:trPr>
        <w:tc>
          <w:tcPr>
            <w:cnfStyle w:val="001000000000" w:firstRow="0" w:lastRow="0" w:firstColumn="1" w:lastColumn="0" w:oddVBand="0" w:evenVBand="0" w:oddHBand="0" w:evenHBand="0" w:firstRowFirstColumn="0" w:firstRowLastColumn="0" w:lastRowFirstColumn="0" w:lastRowLastColumn="0"/>
            <w:tcW w:w="437" w:type="pct"/>
          </w:tcPr>
          <w:p w14:paraId="1B0A26F5" w14:textId="77777777" w:rsidR="0085010C" w:rsidRPr="00E2512C" w:rsidRDefault="0085010C" w:rsidP="0085010C">
            <w:pPr>
              <w:spacing w:before="20" w:after="20"/>
              <w:rPr>
                <w:rFonts w:cs="Calibri"/>
                <w:color w:val="auto"/>
                <w:sz w:val="20"/>
              </w:rPr>
            </w:pPr>
            <w:r w:rsidRPr="00E2512C">
              <w:rPr>
                <w:rFonts w:cs="Calibri"/>
                <w:color w:val="auto"/>
                <w:sz w:val="20"/>
              </w:rPr>
              <w:t xml:space="preserve">TOTAL </w:t>
            </w:r>
            <w:proofErr w:type="gramStart"/>
            <w:r w:rsidRPr="00E2512C">
              <w:rPr>
                <w:rFonts w:cs="Calibri"/>
                <w:color w:val="auto"/>
                <w:sz w:val="20"/>
              </w:rPr>
              <w:t>Non-Government</w:t>
            </w:r>
            <w:proofErr w:type="gramEnd"/>
          </w:p>
        </w:tc>
        <w:tc>
          <w:tcPr>
            <w:tcW w:w="1310" w:type="pct"/>
          </w:tcPr>
          <w:p w14:paraId="6F8532EF" w14:textId="77777777" w:rsidR="0085010C" w:rsidRPr="007F67E0" w:rsidRDefault="0085010C" w:rsidP="0085010C">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p>
        </w:tc>
        <w:tc>
          <w:tcPr>
            <w:tcW w:w="777" w:type="pct"/>
          </w:tcPr>
          <w:p w14:paraId="63FFE1EC" w14:textId="77777777" w:rsidR="0085010C" w:rsidRPr="007F67E0" w:rsidRDefault="0085010C" w:rsidP="0085010C">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p>
        </w:tc>
        <w:tc>
          <w:tcPr>
            <w:tcW w:w="1699" w:type="pct"/>
          </w:tcPr>
          <w:p w14:paraId="6A8B1889" w14:textId="77777777" w:rsidR="0085010C" w:rsidRPr="007F67E0" w:rsidRDefault="0085010C" w:rsidP="0085010C">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p>
        </w:tc>
        <w:tc>
          <w:tcPr>
            <w:tcW w:w="777" w:type="pct"/>
          </w:tcPr>
          <w:p w14:paraId="75393EFF" w14:textId="77777777" w:rsidR="0085010C" w:rsidRPr="007F67E0" w:rsidRDefault="0085010C" w:rsidP="0085010C">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p>
        </w:tc>
      </w:tr>
    </w:tbl>
    <w:p w14:paraId="08C86FB8" w14:textId="77777777" w:rsidR="00105DF9" w:rsidRDefault="00105DF9" w:rsidP="00090F2C">
      <w:pPr>
        <w:spacing w:after="0"/>
        <w:rPr>
          <w:rFonts w:ascii="Calibri" w:eastAsia="Calibri" w:hAnsi="Calibri" w:cs="Arial"/>
          <w:sz w:val="18"/>
        </w:rPr>
      </w:pPr>
    </w:p>
    <w:p w14:paraId="1B7264FA" w14:textId="77777777" w:rsidR="009A6198" w:rsidRDefault="009A6198" w:rsidP="00090F2C">
      <w:pPr>
        <w:spacing w:after="0"/>
        <w:rPr>
          <w:rFonts w:ascii="Calibri" w:eastAsia="Calibri" w:hAnsi="Calibri" w:cs="Arial"/>
          <w:sz w:val="18"/>
        </w:rPr>
      </w:pPr>
    </w:p>
    <w:p w14:paraId="2DD310CF" w14:textId="5038506E" w:rsidR="00105DF9" w:rsidRDefault="00105DF9" w:rsidP="00090F2C">
      <w:pPr>
        <w:spacing w:after="0"/>
        <w:rPr>
          <w:rFonts w:ascii="Calibri" w:eastAsia="Calibri" w:hAnsi="Calibri" w:cs="Arial"/>
          <w:sz w:val="18"/>
        </w:rPr>
      </w:pPr>
      <w:r>
        <w:rPr>
          <w:rFonts w:ascii="Calibri" w:eastAsia="Calibri" w:hAnsi="Calibri" w:cs="Arial"/>
          <w:sz w:val="18"/>
        </w:rPr>
        <w:t>Notes:</w:t>
      </w:r>
    </w:p>
    <w:tbl>
      <w:tblPr>
        <w:tblStyle w:val="TableGridLight"/>
        <w:tblW w:w="0" w:type="auto"/>
        <w:tblLook w:val="04A0" w:firstRow="1" w:lastRow="0" w:firstColumn="1" w:lastColumn="0" w:noHBand="0" w:noVBand="1"/>
      </w:tblPr>
      <w:tblGrid>
        <w:gridCol w:w="421"/>
        <w:gridCol w:w="14139"/>
      </w:tblGrid>
      <w:tr w:rsidR="00931BCC" w14:paraId="4CFF8D44" w14:textId="77777777" w:rsidTr="572EFD12">
        <w:tc>
          <w:tcPr>
            <w:tcW w:w="421" w:type="dxa"/>
          </w:tcPr>
          <w:p w14:paraId="63D6D666" w14:textId="769A6CB2" w:rsidR="00931BCC" w:rsidRDefault="004D69D3" w:rsidP="004D69D3">
            <w:pPr>
              <w:spacing w:after="0"/>
              <w:jc w:val="both"/>
              <w:rPr>
                <w:rFonts w:ascii="Calibri" w:eastAsia="Calibri" w:hAnsi="Calibri" w:cs="Arial"/>
                <w:sz w:val="18"/>
              </w:rPr>
            </w:pPr>
            <w:r>
              <w:rPr>
                <w:rFonts w:ascii="Calibri" w:eastAsia="Calibri" w:hAnsi="Calibri" w:cs="Arial"/>
                <w:sz w:val="18"/>
              </w:rPr>
              <w:t>1</w:t>
            </w:r>
          </w:p>
        </w:tc>
        <w:tc>
          <w:tcPr>
            <w:tcW w:w="14139" w:type="dxa"/>
          </w:tcPr>
          <w:p w14:paraId="68C46C0C" w14:textId="47C840AD" w:rsidR="00D87058" w:rsidRDefault="00633F04" w:rsidP="28F4BF28">
            <w:pPr>
              <w:pStyle w:val="ListParagraph"/>
              <w:numPr>
                <w:ilvl w:val="0"/>
                <w:numId w:val="36"/>
              </w:numPr>
              <w:spacing w:after="0"/>
              <w:rPr>
                <w:rFonts w:ascii="Calibri" w:eastAsia="Calibri" w:hAnsi="Calibri" w:cs="Arial"/>
                <w:sz w:val="18"/>
                <w:szCs w:val="18"/>
              </w:rPr>
            </w:pPr>
            <w:r w:rsidRPr="572EFD12">
              <w:rPr>
                <w:rFonts w:ascii="Calibri" w:eastAsia="Calibri" w:hAnsi="Calibri" w:cs="Arial"/>
                <w:sz w:val="18"/>
                <w:szCs w:val="18"/>
              </w:rPr>
              <w:t xml:space="preserve">The adjustment column can be used </w:t>
            </w:r>
            <w:r w:rsidR="00FA3CB7" w:rsidRPr="572EFD12">
              <w:rPr>
                <w:rFonts w:ascii="Calibri" w:eastAsia="Calibri" w:hAnsi="Calibri" w:cs="Arial"/>
                <w:sz w:val="18"/>
                <w:szCs w:val="18"/>
              </w:rPr>
              <w:t xml:space="preserve">to </w:t>
            </w:r>
            <w:r w:rsidR="00695D59" w:rsidRPr="572EFD12">
              <w:rPr>
                <w:rFonts w:ascii="Calibri" w:eastAsia="Calibri" w:hAnsi="Calibri" w:cs="Arial"/>
                <w:sz w:val="18"/>
                <w:szCs w:val="18"/>
              </w:rPr>
              <w:t xml:space="preserve">show </w:t>
            </w:r>
            <w:r w:rsidR="00FA3CB7" w:rsidRPr="572EFD12">
              <w:rPr>
                <w:rFonts w:ascii="Calibri" w:eastAsia="Calibri" w:hAnsi="Calibri" w:cs="Arial"/>
                <w:sz w:val="18"/>
                <w:szCs w:val="18"/>
              </w:rPr>
              <w:t xml:space="preserve">adjustments </w:t>
            </w:r>
            <w:r w:rsidR="00C25E81" w:rsidRPr="572EFD12">
              <w:rPr>
                <w:rFonts w:ascii="Calibri" w:eastAsia="Calibri" w:hAnsi="Calibri" w:cs="Arial"/>
                <w:sz w:val="18"/>
                <w:szCs w:val="18"/>
              </w:rPr>
              <w:t xml:space="preserve">that have been made to derive the </w:t>
            </w:r>
            <w:r w:rsidR="00AC7E57" w:rsidRPr="572EFD12">
              <w:rPr>
                <w:rFonts w:ascii="Calibri" w:eastAsia="Calibri" w:hAnsi="Calibri" w:cs="Arial"/>
                <w:sz w:val="18"/>
                <w:szCs w:val="18"/>
              </w:rPr>
              <w:t xml:space="preserve">amount that is being reported for the </w:t>
            </w:r>
            <w:r w:rsidR="00695D59" w:rsidRPr="572EFD12">
              <w:rPr>
                <w:rFonts w:ascii="Calibri" w:eastAsia="Calibri" w:hAnsi="Calibri" w:cs="Arial"/>
                <w:sz w:val="18"/>
                <w:szCs w:val="18"/>
              </w:rPr>
              <w:t xml:space="preserve">purposes of compliance with section 22A of the Act. </w:t>
            </w:r>
            <w:r w:rsidR="007A50A8" w:rsidRPr="572EFD12">
              <w:rPr>
                <w:rFonts w:ascii="Calibri" w:eastAsia="Calibri" w:hAnsi="Calibri" w:cs="Arial"/>
                <w:sz w:val="18"/>
                <w:szCs w:val="18"/>
              </w:rPr>
              <w:t xml:space="preserve">For example, a jurisdiction may wish to </w:t>
            </w:r>
            <w:r w:rsidR="007D4ED4" w:rsidRPr="572EFD12">
              <w:rPr>
                <w:rFonts w:ascii="Calibri" w:eastAsia="Calibri" w:hAnsi="Calibri" w:cs="Arial"/>
                <w:sz w:val="18"/>
                <w:szCs w:val="18"/>
              </w:rPr>
              <w:t xml:space="preserve">show </w:t>
            </w:r>
            <w:r w:rsidR="00004F87" w:rsidRPr="572EFD12">
              <w:rPr>
                <w:rFonts w:ascii="Calibri" w:eastAsia="Calibri" w:hAnsi="Calibri" w:cs="Arial"/>
                <w:sz w:val="18"/>
                <w:szCs w:val="18"/>
              </w:rPr>
              <w:t xml:space="preserve">calculation where </w:t>
            </w:r>
            <w:r w:rsidR="007D4ED4" w:rsidRPr="572EFD12">
              <w:rPr>
                <w:rFonts w:ascii="Calibri" w:eastAsia="Calibri" w:hAnsi="Calibri" w:cs="Arial"/>
                <w:sz w:val="18"/>
                <w:szCs w:val="18"/>
              </w:rPr>
              <w:t>a</w:t>
            </w:r>
            <w:r w:rsidR="004506E9" w:rsidRPr="572EFD12">
              <w:rPr>
                <w:rFonts w:ascii="Calibri" w:eastAsia="Calibri" w:hAnsi="Calibri" w:cs="Arial"/>
                <w:sz w:val="18"/>
                <w:szCs w:val="18"/>
              </w:rPr>
              <w:t>n original</w:t>
            </w:r>
            <w:r w:rsidR="007D4ED4" w:rsidRPr="572EFD12">
              <w:rPr>
                <w:rFonts w:ascii="Calibri" w:eastAsia="Calibri" w:hAnsi="Calibri" w:cs="Arial"/>
                <w:sz w:val="18"/>
                <w:szCs w:val="18"/>
              </w:rPr>
              <w:t xml:space="preserve"> data source </w:t>
            </w:r>
            <w:r w:rsidR="00004F87" w:rsidRPr="572EFD12">
              <w:rPr>
                <w:rFonts w:ascii="Calibri" w:eastAsia="Calibri" w:hAnsi="Calibri" w:cs="Arial"/>
                <w:sz w:val="18"/>
                <w:szCs w:val="18"/>
              </w:rPr>
              <w:t xml:space="preserve">is cited that </w:t>
            </w:r>
            <w:r w:rsidR="007D4ED4" w:rsidRPr="572EFD12">
              <w:rPr>
                <w:rFonts w:ascii="Calibri" w:eastAsia="Calibri" w:hAnsi="Calibri" w:cs="Arial"/>
                <w:sz w:val="18"/>
                <w:szCs w:val="18"/>
              </w:rPr>
              <w:t xml:space="preserve">includes items </w:t>
            </w:r>
            <w:r w:rsidR="004506E9" w:rsidRPr="572EFD12">
              <w:rPr>
                <w:rFonts w:ascii="Calibri" w:eastAsia="Calibri" w:hAnsi="Calibri" w:cs="Arial"/>
                <w:sz w:val="18"/>
                <w:szCs w:val="18"/>
              </w:rPr>
              <w:t xml:space="preserve">that are not eligible to be counted towards their funding </w:t>
            </w:r>
            <w:proofErr w:type="gramStart"/>
            <w:r w:rsidR="004506E9" w:rsidRPr="572EFD12">
              <w:rPr>
                <w:rFonts w:ascii="Calibri" w:eastAsia="Calibri" w:hAnsi="Calibri" w:cs="Arial"/>
                <w:sz w:val="18"/>
                <w:szCs w:val="18"/>
              </w:rPr>
              <w:t>contribution</w:t>
            </w:r>
            <w:r w:rsidR="006F6209" w:rsidRPr="572EFD12">
              <w:rPr>
                <w:rFonts w:ascii="Calibri" w:eastAsia="Calibri" w:hAnsi="Calibri" w:cs="Arial"/>
                <w:sz w:val="18"/>
                <w:szCs w:val="18"/>
              </w:rPr>
              <w:t>, or</w:t>
            </w:r>
            <w:proofErr w:type="gramEnd"/>
            <w:r w:rsidR="006F6209" w:rsidRPr="572EFD12">
              <w:rPr>
                <w:rFonts w:ascii="Calibri" w:eastAsia="Calibri" w:hAnsi="Calibri" w:cs="Arial"/>
                <w:sz w:val="18"/>
                <w:szCs w:val="18"/>
              </w:rPr>
              <w:t xml:space="preserve"> provide visibility of the full costs </w:t>
            </w:r>
            <w:r w:rsidR="00C6046B" w:rsidRPr="572EFD12">
              <w:rPr>
                <w:rFonts w:ascii="Calibri" w:eastAsia="Calibri" w:hAnsi="Calibri" w:cs="Arial"/>
                <w:sz w:val="18"/>
                <w:szCs w:val="18"/>
              </w:rPr>
              <w:t>for items that are capped under the bilateral agreements. Jurisd</w:t>
            </w:r>
            <w:r w:rsidR="04DC97AC" w:rsidRPr="572EFD12">
              <w:rPr>
                <w:rFonts w:ascii="Calibri" w:eastAsia="Calibri" w:hAnsi="Calibri" w:cs="Arial"/>
                <w:sz w:val="18"/>
                <w:szCs w:val="18"/>
              </w:rPr>
              <w:t>i</w:t>
            </w:r>
            <w:r w:rsidR="00C6046B" w:rsidRPr="572EFD12">
              <w:rPr>
                <w:rFonts w:ascii="Calibri" w:eastAsia="Calibri" w:hAnsi="Calibri" w:cs="Arial"/>
                <w:sz w:val="18"/>
                <w:szCs w:val="18"/>
              </w:rPr>
              <w:t xml:space="preserve">ctions </w:t>
            </w:r>
            <w:r w:rsidR="00B84C36" w:rsidRPr="572EFD12">
              <w:rPr>
                <w:rFonts w:ascii="Calibri" w:eastAsia="Calibri" w:hAnsi="Calibri" w:cs="Arial"/>
                <w:sz w:val="18"/>
                <w:szCs w:val="18"/>
              </w:rPr>
              <w:t>may choose to only report amounts that are eligible to be counted towards their funding contribution</w:t>
            </w:r>
            <w:r w:rsidR="00C6046B" w:rsidRPr="572EFD12">
              <w:rPr>
                <w:rFonts w:ascii="Calibri" w:eastAsia="Calibri" w:hAnsi="Calibri" w:cs="Arial"/>
                <w:sz w:val="18"/>
                <w:szCs w:val="18"/>
              </w:rPr>
              <w:t xml:space="preserve">, </w:t>
            </w:r>
            <w:r w:rsidR="000C5A04" w:rsidRPr="572EFD12">
              <w:rPr>
                <w:rFonts w:ascii="Calibri" w:eastAsia="Calibri" w:hAnsi="Calibri" w:cs="Arial"/>
                <w:sz w:val="18"/>
                <w:szCs w:val="18"/>
              </w:rPr>
              <w:t>however if an amount</w:t>
            </w:r>
            <w:r w:rsidR="00BB18F3" w:rsidRPr="572EFD12">
              <w:rPr>
                <w:rFonts w:ascii="Calibri" w:eastAsia="Calibri" w:hAnsi="Calibri" w:cs="Arial"/>
                <w:sz w:val="18"/>
                <w:szCs w:val="18"/>
              </w:rPr>
              <w:t xml:space="preserve"> is reported</w:t>
            </w:r>
            <w:r w:rsidR="000C5A04" w:rsidRPr="572EFD12">
              <w:rPr>
                <w:rFonts w:ascii="Calibri" w:eastAsia="Calibri" w:hAnsi="Calibri" w:cs="Arial"/>
                <w:sz w:val="18"/>
                <w:szCs w:val="18"/>
              </w:rPr>
              <w:t xml:space="preserve"> in the ‘Revised ($)’ column </w:t>
            </w:r>
            <w:r w:rsidR="003C14D0" w:rsidRPr="572EFD12">
              <w:rPr>
                <w:rFonts w:ascii="Calibri" w:eastAsia="Calibri" w:hAnsi="Calibri" w:cs="Arial"/>
                <w:sz w:val="18"/>
                <w:szCs w:val="18"/>
              </w:rPr>
              <w:t>the</w:t>
            </w:r>
            <w:r w:rsidR="00B84C36" w:rsidRPr="572EFD12">
              <w:rPr>
                <w:rFonts w:ascii="Calibri" w:eastAsia="Calibri" w:hAnsi="Calibri" w:cs="Arial"/>
                <w:sz w:val="18"/>
                <w:szCs w:val="18"/>
              </w:rPr>
              <w:t xml:space="preserve">n an explanation must be provided in the </w:t>
            </w:r>
            <w:r w:rsidR="00BB027E" w:rsidRPr="572EFD12">
              <w:rPr>
                <w:rFonts w:ascii="Calibri" w:eastAsia="Calibri" w:hAnsi="Calibri" w:cs="Arial"/>
                <w:sz w:val="18"/>
                <w:szCs w:val="18"/>
              </w:rPr>
              <w:t>adjustment column.</w:t>
            </w:r>
          </w:p>
          <w:p w14:paraId="6662B1B8" w14:textId="1A1E5214" w:rsidR="004D69D3" w:rsidRPr="004D69D3" w:rsidRDefault="004D69D3" w:rsidP="0060388E">
            <w:pPr>
              <w:pStyle w:val="ListParagraph"/>
              <w:numPr>
                <w:ilvl w:val="0"/>
                <w:numId w:val="36"/>
              </w:numPr>
              <w:spacing w:after="0"/>
              <w:rPr>
                <w:rFonts w:ascii="Calibri" w:eastAsia="Calibri" w:hAnsi="Calibri" w:cs="Arial"/>
                <w:sz w:val="18"/>
              </w:rPr>
            </w:pPr>
            <w:r w:rsidRPr="004D69D3">
              <w:rPr>
                <w:rFonts w:ascii="Calibri" w:eastAsia="Calibri" w:hAnsi="Calibri" w:cs="Arial"/>
                <w:sz w:val="18"/>
              </w:rPr>
              <w:t>Budgeted expenditure cannot be included in this table without also providing certification in this report that the amount also reflects the actual funding allocated to schools. If Budgeted expenditure does not reflect actual funding allocated, it may still be included in this report but must be provided in addition to this table.</w:t>
            </w:r>
          </w:p>
          <w:p w14:paraId="43EBED68" w14:textId="314641E2" w:rsidR="00931BCC" w:rsidRPr="004D69D3" w:rsidRDefault="004D69D3" w:rsidP="00090F2C">
            <w:pPr>
              <w:pStyle w:val="ListParagraph"/>
              <w:numPr>
                <w:ilvl w:val="0"/>
                <w:numId w:val="35"/>
              </w:numPr>
              <w:spacing w:after="0"/>
              <w:rPr>
                <w:rFonts w:ascii="Calibri" w:eastAsia="Calibri" w:hAnsi="Calibri" w:cs="Arial"/>
                <w:sz w:val="18"/>
              </w:rPr>
            </w:pPr>
            <w:r w:rsidRPr="004D69D3">
              <w:rPr>
                <w:rFonts w:ascii="Calibri" w:eastAsia="Calibri" w:hAnsi="Calibri" w:cs="Arial"/>
                <w:sz w:val="18"/>
              </w:rPr>
              <w:t xml:space="preserve">If using an existing, independently certified dataset then additional adjustments to be consistent with the bilateral agreement should be outlined in this table (e.g., NRIPS as reported to ACARA would be shown in the first column and the adjustment columns would be used to show the removal of </w:t>
            </w:r>
            <w:r w:rsidRPr="00FE4545">
              <w:rPr>
                <w:rFonts w:ascii="Calibri" w:eastAsia="Calibri" w:hAnsi="Calibri" w:cs="Arial"/>
                <w:sz w:val="18"/>
              </w:rPr>
              <w:t>f</w:t>
            </w:r>
            <w:r w:rsidRPr="00664F14">
              <w:rPr>
                <w:rFonts w:ascii="Calibri" w:eastAsia="Calibri" w:hAnsi="Calibri" w:cs="Arial"/>
                <w:sz w:val="18"/>
              </w:rPr>
              <w:t>ull</w:t>
            </w:r>
            <w:r w:rsidRPr="00FE4545">
              <w:rPr>
                <w:rFonts w:ascii="Calibri" w:eastAsia="Calibri" w:hAnsi="Calibri" w:cs="Arial"/>
                <w:sz w:val="18"/>
              </w:rPr>
              <w:t xml:space="preserve"> </w:t>
            </w:r>
            <w:r w:rsidRPr="00664F14">
              <w:rPr>
                <w:rFonts w:ascii="Calibri" w:eastAsia="Calibri" w:hAnsi="Calibri" w:cs="Arial"/>
                <w:sz w:val="18"/>
              </w:rPr>
              <w:t>fee</w:t>
            </w:r>
            <w:r w:rsidRPr="00FE4545">
              <w:rPr>
                <w:rFonts w:ascii="Calibri" w:eastAsia="Calibri" w:hAnsi="Calibri" w:cs="Arial"/>
                <w:sz w:val="18"/>
              </w:rPr>
              <w:t>-</w:t>
            </w:r>
            <w:r w:rsidRPr="00664F14">
              <w:rPr>
                <w:rFonts w:ascii="Calibri" w:eastAsia="Calibri" w:hAnsi="Calibri" w:cs="Arial"/>
                <w:sz w:val="18"/>
              </w:rPr>
              <w:t>paying overseas students).</w:t>
            </w:r>
          </w:p>
        </w:tc>
      </w:tr>
      <w:tr w:rsidR="00931BCC" w14:paraId="556F8B47" w14:textId="77777777" w:rsidTr="572EFD12">
        <w:tc>
          <w:tcPr>
            <w:tcW w:w="421" w:type="dxa"/>
          </w:tcPr>
          <w:p w14:paraId="02DB456B" w14:textId="1D48F023" w:rsidR="00931BCC" w:rsidRDefault="004D69D3" w:rsidP="004D69D3">
            <w:pPr>
              <w:spacing w:after="0"/>
              <w:jc w:val="both"/>
              <w:rPr>
                <w:rFonts w:ascii="Calibri" w:eastAsia="Calibri" w:hAnsi="Calibri" w:cs="Arial"/>
                <w:sz w:val="18"/>
              </w:rPr>
            </w:pPr>
            <w:r>
              <w:rPr>
                <w:rFonts w:ascii="Calibri" w:eastAsia="Calibri" w:hAnsi="Calibri" w:cs="Arial"/>
                <w:sz w:val="18"/>
              </w:rPr>
              <w:t>2</w:t>
            </w:r>
          </w:p>
        </w:tc>
        <w:tc>
          <w:tcPr>
            <w:tcW w:w="14139" w:type="dxa"/>
          </w:tcPr>
          <w:p w14:paraId="01DCB531" w14:textId="5BE70545" w:rsidR="004D69D3" w:rsidRDefault="004D69D3" w:rsidP="004D69D3">
            <w:pPr>
              <w:spacing w:after="0"/>
              <w:rPr>
                <w:rFonts w:ascii="Calibri" w:eastAsia="Calibri" w:hAnsi="Calibri" w:cs="Arial"/>
                <w:sz w:val="18"/>
              </w:rPr>
            </w:pPr>
            <w:r>
              <w:rPr>
                <w:rFonts w:ascii="Calibri" w:eastAsia="Calibri" w:hAnsi="Calibri" w:cs="Arial"/>
                <w:sz w:val="18"/>
              </w:rPr>
              <w:t xml:space="preserve">Net Recurrent Income (NRI) </w:t>
            </w:r>
            <w:r w:rsidRPr="00E12AC0">
              <w:rPr>
                <w:rFonts w:ascii="Calibri" w:eastAsia="Calibri" w:hAnsi="Calibri" w:cs="Arial"/>
                <w:sz w:val="18"/>
              </w:rPr>
              <w:t>is the total state or territory component, at a sector level, of the Australian Curriculum, Assessment and Reporting Authority (ACARA) financial data reporting methodology for state Net Recurrent Income Per Student (NRIPS).</w:t>
            </w:r>
          </w:p>
          <w:p w14:paraId="358580E6" w14:textId="77777777" w:rsidR="00C5261A" w:rsidRDefault="00C5261A" w:rsidP="00C5261A">
            <w:pPr>
              <w:pStyle w:val="ListParagraph"/>
              <w:numPr>
                <w:ilvl w:val="0"/>
                <w:numId w:val="34"/>
              </w:numPr>
              <w:spacing w:after="0" w:line="259" w:lineRule="auto"/>
              <w:rPr>
                <w:rFonts w:ascii="Calibri" w:eastAsia="Calibri" w:hAnsi="Calibri" w:cs="Arial"/>
                <w:sz w:val="18"/>
              </w:rPr>
            </w:pPr>
            <w:r w:rsidRPr="00E12AC0">
              <w:rPr>
                <w:rFonts w:ascii="Calibri" w:eastAsia="Calibri" w:hAnsi="Calibri" w:cs="Arial"/>
                <w:sz w:val="18"/>
              </w:rPr>
              <w:t xml:space="preserve">Year 1 minus 2 costs will need to be identified and removed on an ongoing basis from the NRIPS amount (if not already excluded), using data of actual or allocated expenditure. Overhead costs which are sunk costs (e.g., on-site delivery as part of a school) should be </w:t>
            </w:r>
            <w:proofErr w:type="gramStart"/>
            <w:r w:rsidRPr="00E12AC0">
              <w:rPr>
                <w:rFonts w:ascii="Calibri" w:eastAsia="Calibri" w:hAnsi="Calibri" w:cs="Arial"/>
                <w:sz w:val="18"/>
              </w:rPr>
              <w:t>counted, but</w:t>
            </w:r>
            <w:proofErr w:type="gramEnd"/>
            <w:r w:rsidRPr="00E12AC0">
              <w:rPr>
                <w:rFonts w:ascii="Calibri" w:eastAsia="Calibri" w:hAnsi="Calibri" w:cs="Arial"/>
                <w:sz w:val="18"/>
              </w:rPr>
              <w:t xml:space="preserve"> not sunk costs (e.g. off-site delivery should be removed). Any costs of Year 1 minus 2 that are counted should be net of any other funding received for these services (e.g., Preschool Reform Agreement funding).</w:t>
            </w:r>
          </w:p>
          <w:p w14:paraId="3102D9F0" w14:textId="01F1C6B7" w:rsidR="00931BCC" w:rsidRPr="004D69D3" w:rsidRDefault="004D69D3" w:rsidP="5AA11747">
            <w:pPr>
              <w:pStyle w:val="ListParagraph"/>
              <w:numPr>
                <w:ilvl w:val="0"/>
                <w:numId w:val="34"/>
              </w:numPr>
              <w:spacing w:after="0"/>
              <w:rPr>
                <w:rFonts w:ascii="Calibri" w:eastAsia="Calibri" w:hAnsi="Calibri" w:cs="Arial"/>
                <w:sz w:val="18"/>
                <w:szCs w:val="18"/>
              </w:rPr>
            </w:pPr>
            <w:r w:rsidRPr="5AA11747">
              <w:rPr>
                <w:rFonts w:ascii="Calibri" w:eastAsia="Calibri" w:hAnsi="Calibri" w:cs="Arial"/>
                <w:sz w:val="18"/>
                <w:szCs w:val="18"/>
              </w:rPr>
              <w:t>Full-fee paying overseas student costs will need to be identified and removed on an ongoing basis from the NRIPS amount (if not already excluded), using data of actual or allocated expenditure and a methodology consistent with the guidance.</w:t>
            </w:r>
          </w:p>
        </w:tc>
      </w:tr>
      <w:tr w:rsidR="00931BCC" w14:paraId="0BDB15C9" w14:textId="77777777" w:rsidTr="572EFD12">
        <w:trPr>
          <w:trHeight w:val="420"/>
        </w:trPr>
        <w:tc>
          <w:tcPr>
            <w:tcW w:w="421" w:type="dxa"/>
          </w:tcPr>
          <w:p w14:paraId="333F1163" w14:textId="123131C7" w:rsidR="00931BCC" w:rsidRDefault="004D69D3" w:rsidP="004D69D3">
            <w:pPr>
              <w:spacing w:after="0"/>
              <w:jc w:val="both"/>
              <w:rPr>
                <w:rFonts w:ascii="Calibri" w:eastAsia="Calibri" w:hAnsi="Calibri" w:cs="Arial"/>
                <w:sz w:val="18"/>
              </w:rPr>
            </w:pPr>
            <w:r>
              <w:rPr>
                <w:rFonts w:ascii="Calibri" w:eastAsia="Calibri" w:hAnsi="Calibri" w:cs="Arial"/>
                <w:sz w:val="18"/>
              </w:rPr>
              <w:t>3</w:t>
            </w:r>
          </w:p>
        </w:tc>
        <w:tc>
          <w:tcPr>
            <w:tcW w:w="14139" w:type="dxa"/>
          </w:tcPr>
          <w:p w14:paraId="158AE0B4" w14:textId="69177611" w:rsidR="00931BCC" w:rsidRDefault="004D69D3" w:rsidP="00090F2C">
            <w:pPr>
              <w:spacing w:after="0"/>
              <w:rPr>
                <w:rFonts w:ascii="Calibri" w:eastAsia="Calibri" w:hAnsi="Calibri" w:cs="Arial"/>
                <w:sz w:val="18"/>
              </w:rPr>
            </w:pPr>
            <w:r w:rsidRPr="004D69D3">
              <w:rPr>
                <w:rFonts w:ascii="Calibri" w:eastAsia="Calibri" w:hAnsi="Calibri" w:cs="Arial"/>
                <w:sz w:val="18"/>
              </w:rPr>
              <w:t xml:space="preserve">Additional funding types can </w:t>
            </w:r>
            <w:r w:rsidR="000F5086">
              <w:rPr>
                <w:rFonts w:ascii="Calibri" w:eastAsia="Calibri" w:hAnsi="Calibri" w:cs="Arial"/>
                <w:sz w:val="18"/>
              </w:rPr>
              <w:t xml:space="preserve">only </w:t>
            </w:r>
            <w:r w:rsidRPr="004D69D3">
              <w:rPr>
                <w:rFonts w:ascii="Calibri" w:eastAsia="Calibri" w:hAnsi="Calibri" w:cs="Arial"/>
                <w:sz w:val="18"/>
              </w:rPr>
              <w:t xml:space="preserve">be counted as part of the SRS </w:t>
            </w:r>
            <w:r w:rsidR="000F5086">
              <w:rPr>
                <w:rFonts w:ascii="Calibri" w:eastAsia="Calibri" w:hAnsi="Calibri" w:cs="Arial"/>
                <w:sz w:val="18"/>
              </w:rPr>
              <w:t>if specified</w:t>
            </w:r>
            <w:r w:rsidRPr="004D69D3">
              <w:rPr>
                <w:rFonts w:ascii="Calibri" w:eastAsia="Calibri" w:hAnsi="Calibri" w:cs="Arial"/>
                <w:sz w:val="18"/>
              </w:rPr>
              <w:t xml:space="preserve"> </w:t>
            </w:r>
            <w:r w:rsidR="000F5086" w:rsidRPr="000F5086">
              <w:rPr>
                <w:rFonts w:ascii="Calibri" w:eastAsia="Calibri" w:hAnsi="Calibri" w:cs="Arial"/>
                <w:sz w:val="18"/>
              </w:rPr>
              <w:t xml:space="preserve">in the ‘Measurement of contributions’ section in the </w:t>
            </w:r>
            <w:r w:rsidR="000F5086">
              <w:rPr>
                <w:rFonts w:ascii="Calibri" w:eastAsia="Calibri" w:hAnsi="Calibri" w:cs="Arial"/>
                <w:sz w:val="18"/>
              </w:rPr>
              <w:t xml:space="preserve">relevant bilateral </w:t>
            </w:r>
            <w:proofErr w:type="gramStart"/>
            <w:r w:rsidR="000F5086">
              <w:rPr>
                <w:rFonts w:ascii="Calibri" w:eastAsia="Calibri" w:hAnsi="Calibri" w:cs="Arial"/>
                <w:sz w:val="18"/>
              </w:rPr>
              <w:t>agreement, and</w:t>
            </w:r>
            <w:proofErr w:type="gramEnd"/>
            <w:r w:rsidR="000F5086">
              <w:rPr>
                <w:rFonts w:ascii="Calibri" w:eastAsia="Calibri" w:hAnsi="Calibri" w:cs="Arial"/>
                <w:sz w:val="18"/>
              </w:rPr>
              <w:t xml:space="preserve"> </w:t>
            </w:r>
            <w:r w:rsidR="00C07FCF">
              <w:rPr>
                <w:rFonts w:ascii="Calibri" w:eastAsia="Calibri" w:hAnsi="Calibri" w:cs="Arial"/>
                <w:sz w:val="18"/>
              </w:rPr>
              <w:t xml:space="preserve">are </w:t>
            </w:r>
            <w:r w:rsidR="000F5086">
              <w:rPr>
                <w:rFonts w:ascii="Calibri" w:eastAsia="Calibri" w:hAnsi="Calibri" w:cs="Arial"/>
                <w:sz w:val="18"/>
              </w:rPr>
              <w:t xml:space="preserve">subject to any conditions specified in the </w:t>
            </w:r>
            <w:r w:rsidRPr="004D69D3">
              <w:rPr>
                <w:rFonts w:ascii="Calibri" w:eastAsia="Calibri" w:hAnsi="Calibri" w:cs="Arial"/>
                <w:sz w:val="18"/>
              </w:rPr>
              <w:t>bilateral agreement.</w:t>
            </w:r>
          </w:p>
        </w:tc>
      </w:tr>
      <w:tr w:rsidR="00931BCC" w14:paraId="3EF53411" w14:textId="77777777" w:rsidTr="572EFD12">
        <w:tc>
          <w:tcPr>
            <w:tcW w:w="421" w:type="dxa"/>
          </w:tcPr>
          <w:p w14:paraId="6EDF82EE" w14:textId="044F6894" w:rsidR="00931BCC" w:rsidRDefault="004D69D3" w:rsidP="004D69D3">
            <w:pPr>
              <w:spacing w:after="0"/>
              <w:jc w:val="both"/>
              <w:rPr>
                <w:rFonts w:ascii="Calibri" w:eastAsia="Calibri" w:hAnsi="Calibri" w:cs="Arial"/>
                <w:sz w:val="18"/>
              </w:rPr>
            </w:pPr>
            <w:r>
              <w:rPr>
                <w:rFonts w:ascii="Calibri" w:eastAsia="Calibri" w:hAnsi="Calibri" w:cs="Arial"/>
                <w:sz w:val="18"/>
              </w:rPr>
              <w:t>4</w:t>
            </w:r>
          </w:p>
        </w:tc>
        <w:tc>
          <w:tcPr>
            <w:tcW w:w="14139" w:type="dxa"/>
          </w:tcPr>
          <w:p w14:paraId="0FAEC62C" w14:textId="437031C6" w:rsidR="00931BCC" w:rsidRDefault="004D69D3" w:rsidP="00090F2C">
            <w:pPr>
              <w:spacing w:after="0"/>
              <w:rPr>
                <w:rFonts w:ascii="Calibri" w:eastAsia="Calibri" w:hAnsi="Calibri" w:cs="Arial"/>
                <w:sz w:val="18"/>
              </w:rPr>
            </w:pPr>
            <w:r w:rsidRPr="004D69D3">
              <w:rPr>
                <w:rFonts w:ascii="Calibri" w:eastAsia="Calibri" w:hAnsi="Calibri" w:cs="Arial"/>
                <w:sz w:val="18"/>
              </w:rPr>
              <w:t>Direct s</w:t>
            </w:r>
            <w:r w:rsidR="00A0670E">
              <w:rPr>
                <w:rFonts w:ascii="Calibri" w:eastAsia="Calibri" w:hAnsi="Calibri" w:cs="Arial"/>
                <w:sz w:val="18"/>
              </w:rPr>
              <w:t>chool</w:t>
            </w:r>
            <w:r w:rsidRPr="004D69D3">
              <w:rPr>
                <w:rFonts w:ascii="Calibri" w:eastAsia="Calibri" w:hAnsi="Calibri" w:cs="Arial"/>
                <w:sz w:val="18"/>
              </w:rPr>
              <w:t xml:space="preserve"> transport costs include dedicated school buses but exclude general concessional student fares for public transport. Transport for students with disability may also be included as a direct school transport cost. However, where transport for students with disability is counted as a contribution to the National Disability Insurance Scheme (NDIS), this expenditure cannot also be counted towards a state or territory’s school funding requirements.</w:t>
            </w:r>
          </w:p>
        </w:tc>
      </w:tr>
      <w:tr w:rsidR="00931BCC" w14:paraId="1CA6FC4F" w14:textId="77777777" w:rsidTr="572EFD12">
        <w:tc>
          <w:tcPr>
            <w:tcW w:w="421" w:type="dxa"/>
          </w:tcPr>
          <w:p w14:paraId="5FDB3ED9" w14:textId="1881EC75" w:rsidR="00931BCC" w:rsidRDefault="004D69D3" w:rsidP="004D69D3">
            <w:pPr>
              <w:spacing w:after="0"/>
              <w:jc w:val="both"/>
              <w:rPr>
                <w:rFonts w:ascii="Calibri" w:eastAsia="Calibri" w:hAnsi="Calibri" w:cs="Arial"/>
                <w:sz w:val="18"/>
              </w:rPr>
            </w:pPr>
            <w:r>
              <w:rPr>
                <w:rFonts w:ascii="Calibri" w:eastAsia="Calibri" w:hAnsi="Calibri" w:cs="Arial"/>
                <w:sz w:val="18"/>
              </w:rPr>
              <w:t>5</w:t>
            </w:r>
          </w:p>
        </w:tc>
        <w:tc>
          <w:tcPr>
            <w:tcW w:w="14139" w:type="dxa"/>
          </w:tcPr>
          <w:p w14:paraId="79070064" w14:textId="2773164E" w:rsidR="00931BCC" w:rsidRDefault="004D69D3" w:rsidP="00090F2C">
            <w:pPr>
              <w:spacing w:after="0"/>
              <w:rPr>
                <w:rFonts w:ascii="Calibri" w:eastAsia="Calibri" w:hAnsi="Calibri" w:cs="Arial"/>
                <w:sz w:val="18"/>
              </w:rPr>
            </w:pPr>
            <w:r w:rsidRPr="004D69D3">
              <w:rPr>
                <w:rFonts w:ascii="Calibri" w:eastAsia="Calibri" w:hAnsi="Calibri" w:cs="Arial"/>
                <w:sz w:val="18"/>
              </w:rPr>
              <w:t>Reform costs and NEI costs should be new, time-limited expenditure and should only be reported separately if the funding is not already counted towards a state or territory’s funding requirements through NRI, regulatory costs or other additional funding types listed in the bilateral agreements. Please contact the department for further advice if you wish to report any reform or NEI costs separately.</w:t>
            </w:r>
          </w:p>
        </w:tc>
      </w:tr>
      <w:tr w:rsidR="00931BCC" w14:paraId="54ED79A6" w14:textId="77777777" w:rsidTr="572EFD12">
        <w:tc>
          <w:tcPr>
            <w:tcW w:w="421" w:type="dxa"/>
          </w:tcPr>
          <w:p w14:paraId="4D2A1F77" w14:textId="4B58F4E8" w:rsidR="00931BCC" w:rsidRDefault="004D69D3" w:rsidP="004D69D3">
            <w:pPr>
              <w:spacing w:after="0"/>
              <w:jc w:val="both"/>
              <w:rPr>
                <w:rFonts w:ascii="Calibri" w:eastAsia="Calibri" w:hAnsi="Calibri" w:cs="Arial"/>
                <w:sz w:val="18"/>
              </w:rPr>
            </w:pPr>
            <w:r>
              <w:rPr>
                <w:rFonts w:ascii="Calibri" w:eastAsia="Calibri" w:hAnsi="Calibri" w:cs="Arial"/>
                <w:sz w:val="18"/>
              </w:rPr>
              <w:t>6</w:t>
            </w:r>
          </w:p>
        </w:tc>
        <w:tc>
          <w:tcPr>
            <w:tcW w:w="14139" w:type="dxa"/>
          </w:tcPr>
          <w:p w14:paraId="6405FDFB" w14:textId="328E65C0" w:rsidR="00931BCC" w:rsidRDefault="004D69D3" w:rsidP="00090F2C">
            <w:pPr>
              <w:spacing w:after="0"/>
              <w:rPr>
                <w:rFonts w:ascii="Calibri" w:eastAsia="Calibri" w:hAnsi="Calibri" w:cs="Arial"/>
                <w:sz w:val="18"/>
              </w:rPr>
            </w:pPr>
            <w:r w:rsidRPr="004D69D3">
              <w:rPr>
                <w:rFonts w:ascii="Calibri" w:eastAsia="Calibri" w:hAnsi="Calibri" w:cs="Arial"/>
                <w:sz w:val="18"/>
              </w:rPr>
              <w:t>Under AASB 16, cash funding sources used for principal payments of leases are considered as cash capital appropriations. Previously, these were considered as cash recurrent appropriations. The cash capital appropriation for repayments of leases under AASB 16 may be itemised in this table and included as part of the total contribution in table 1.3.</w:t>
            </w:r>
          </w:p>
        </w:tc>
      </w:tr>
    </w:tbl>
    <w:p w14:paraId="221657FA" w14:textId="77777777" w:rsidR="00931BCC" w:rsidRDefault="00931BCC" w:rsidP="00090F2C">
      <w:pPr>
        <w:spacing w:after="0"/>
        <w:rPr>
          <w:rFonts w:ascii="Calibri" w:eastAsia="Calibri" w:hAnsi="Calibri" w:cs="Arial"/>
          <w:sz w:val="18"/>
        </w:rPr>
      </w:pPr>
    </w:p>
    <w:p w14:paraId="4FAF1BCD" w14:textId="20BA009D" w:rsidR="00090F2C" w:rsidRPr="007F67E0" w:rsidRDefault="00090F2C" w:rsidP="00090F2C">
      <w:pPr>
        <w:spacing w:after="160"/>
        <w:rPr>
          <w:rFonts w:ascii="Calibri" w:eastAsia="Calibri" w:hAnsi="Calibri" w:cs="Arial"/>
        </w:rPr>
      </w:pPr>
      <w:r w:rsidRPr="007F67E0">
        <w:rPr>
          <w:rFonts w:ascii="Calibri" w:eastAsia="Calibri" w:hAnsi="Calibri" w:cs="Arial"/>
        </w:rPr>
        <w:br w:type="page"/>
      </w:r>
    </w:p>
    <w:p w14:paraId="0BCA6C8E" w14:textId="77777777" w:rsidR="00090F2C" w:rsidRPr="007F67E0" w:rsidRDefault="00090F2C" w:rsidP="00090F2C">
      <w:pPr>
        <w:rPr>
          <w:rFonts w:ascii="Calibri" w:eastAsia="Calibri" w:hAnsi="Calibri" w:cs="Arial"/>
        </w:rPr>
        <w:sectPr w:rsidR="00090F2C" w:rsidRPr="007F67E0">
          <w:headerReference w:type="default" r:id="rId18"/>
          <w:footerReference w:type="default" r:id="rId19"/>
          <w:footerReference w:type="first" r:id="rId20"/>
          <w:pgSz w:w="16838" w:h="11906" w:orient="landscape"/>
          <w:pgMar w:top="1134" w:right="1134" w:bottom="1134" w:left="1134" w:header="709" w:footer="709" w:gutter="0"/>
          <w:cols w:space="708"/>
          <w:docGrid w:linePitch="360"/>
        </w:sectPr>
      </w:pPr>
    </w:p>
    <w:p w14:paraId="6FB33855" w14:textId="77777777" w:rsidR="00090F2C" w:rsidRPr="007F67E0" w:rsidRDefault="00090F2C" w:rsidP="00090F2C">
      <w:pPr>
        <w:keepNext/>
        <w:keepLines/>
        <w:spacing w:before="240" w:after="120"/>
        <w:outlineLvl w:val="1"/>
        <w:rPr>
          <w:rFonts w:ascii="Calibri" w:eastAsia="Times New Roman" w:hAnsi="Calibri" w:cs="Times New Roman"/>
          <w:b/>
          <w:color w:val="287DB2"/>
          <w:sz w:val="28"/>
          <w:szCs w:val="26"/>
        </w:rPr>
      </w:pPr>
      <w:bookmarkStart w:id="35" w:name="_Toc212545684"/>
      <w:r w:rsidRPr="007F67E0">
        <w:rPr>
          <w:rFonts w:ascii="Calibri" w:eastAsia="Times New Roman" w:hAnsi="Calibri" w:cs="Times New Roman"/>
          <w:b/>
          <w:color w:val="287DB2"/>
          <w:sz w:val="28"/>
          <w:szCs w:val="26"/>
        </w:rPr>
        <w:lastRenderedPageBreak/>
        <w:t>Part 2 – Certification of funding contribution requirements</w:t>
      </w:r>
      <w:bookmarkEnd w:id="35"/>
    </w:p>
    <w:p w14:paraId="49851049" w14:textId="77777777" w:rsidR="00090F2C" w:rsidRPr="007F67E0" w:rsidRDefault="00090F2C" w:rsidP="00090F2C">
      <w:pPr>
        <w:keepNext/>
        <w:keepLines/>
        <w:pBdr>
          <w:bottom w:val="single" w:sz="4" w:space="1" w:color="auto"/>
        </w:pBdr>
        <w:spacing w:before="240" w:after="120"/>
        <w:outlineLvl w:val="2"/>
        <w:rPr>
          <w:rFonts w:ascii="Calibri" w:eastAsia="Times New Roman" w:hAnsi="Calibri" w:cs="Times New Roman"/>
          <w:b/>
          <w:color w:val="008276"/>
          <w:sz w:val="24"/>
          <w:szCs w:val="24"/>
        </w:rPr>
      </w:pPr>
      <w:bookmarkStart w:id="36" w:name="_Toc212545685"/>
      <w:r w:rsidRPr="007F67E0">
        <w:rPr>
          <w:rFonts w:ascii="Calibri" w:eastAsia="Times New Roman" w:hAnsi="Calibri" w:cs="Times New Roman"/>
          <w:b/>
          <w:color w:val="008276"/>
          <w:sz w:val="24"/>
          <w:szCs w:val="24"/>
        </w:rPr>
        <w:t>2.1 Certification of funding types</w:t>
      </w:r>
      <w:bookmarkEnd w:id="36"/>
    </w:p>
    <w:p w14:paraId="10CEA0A8" w14:textId="77777777" w:rsidR="00090F2C" w:rsidRPr="007F67E0" w:rsidRDefault="00090F2C" w:rsidP="00090F2C">
      <w:pPr>
        <w:spacing w:after="0" w:line="240" w:lineRule="auto"/>
        <w:rPr>
          <w:rFonts w:ascii="Calibri" w:eastAsia="Calibri" w:hAnsi="Calibri" w:cs="Arial"/>
          <w:sz w:val="4"/>
        </w:rPr>
      </w:pPr>
    </w:p>
    <w:tbl>
      <w:tblPr>
        <w:tblStyle w:val="GridTable4-Accent614"/>
        <w:tblW w:w="5000" w:type="pct"/>
        <w:tblLook w:val="04A0" w:firstRow="1" w:lastRow="0" w:firstColumn="1" w:lastColumn="0" w:noHBand="0" w:noVBand="1"/>
      </w:tblPr>
      <w:tblGrid>
        <w:gridCol w:w="3240"/>
        <w:gridCol w:w="1969"/>
        <w:gridCol w:w="1888"/>
        <w:gridCol w:w="1919"/>
      </w:tblGrid>
      <w:tr w:rsidR="00090F2C" w:rsidRPr="007F67E0" w14:paraId="2E126052" w14:textId="77777777" w:rsidTr="00664F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pct"/>
          </w:tcPr>
          <w:p w14:paraId="61F6023B" w14:textId="77777777" w:rsidR="00090F2C" w:rsidRPr="007F67E0" w:rsidRDefault="00090F2C">
            <w:pPr>
              <w:spacing w:before="20" w:after="20"/>
              <w:rPr>
                <w:rFonts w:eastAsia="Times New Roman" w:cs="Calibri"/>
                <w:sz w:val="20"/>
              </w:rPr>
            </w:pPr>
            <w:r w:rsidRPr="007F67E0">
              <w:rPr>
                <w:rFonts w:eastAsia="Times New Roman" w:cs="Calibri"/>
                <w:sz w:val="20"/>
              </w:rPr>
              <w:t>Description of each expenditure type listed in 1.4^</w:t>
            </w:r>
          </w:p>
        </w:tc>
        <w:tc>
          <w:tcPr>
            <w:tcW w:w="1092" w:type="pct"/>
          </w:tcPr>
          <w:p w14:paraId="35C069ED" w14:textId="77777777" w:rsidR="00090F2C" w:rsidRPr="007F67E0" w:rsidRDefault="00090F2C">
            <w:pPr>
              <w:spacing w:before="20" w:after="20"/>
              <w:cnfStyle w:val="100000000000" w:firstRow="1" w:lastRow="0" w:firstColumn="0" w:lastColumn="0" w:oddVBand="0" w:evenVBand="0" w:oddHBand="0" w:evenHBand="0" w:firstRowFirstColumn="0" w:firstRowLastColumn="0" w:lastRowFirstColumn="0" w:lastRowLastColumn="0"/>
              <w:rPr>
                <w:rFonts w:eastAsia="Times New Roman" w:cs="Calibri"/>
                <w:sz w:val="20"/>
              </w:rPr>
            </w:pPr>
            <w:r w:rsidRPr="007F67E0">
              <w:rPr>
                <w:rFonts w:eastAsia="Times New Roman" w:cs="Calibri"/>
                <w:sz w:val="20"/>
              </w:rPr>
              <w:t>Sector(s) impacted</w:t>
            </w:r>
          </w:p>
        </w:tc>
        <w:tc>
          <w:tcPr>
            <w:tcW w:w="1047" w:type="pct"/>
          </w:tcPr>
          <w:p w14:paraId="31AC706E" w14:textId="77777777" w:rsidR="00090F2C" w:rsidRPr="007F67E0" w:rsidRDefault="00090F2C">
            <w:pPr>
              <w:spacing w:before="20" w:after="20"/>
              <w:cnfStyle w:val="100000000000" w:firstRow="1" w:lastRow="0" w:firstColumn="0" w:lastColumn="0" w:oddVBand="0" w:evenVBand="0" w:oddHBand="0" w:evenHBand="0" w:firstRowFirstColumn="0" w:firstRowLastColumn="0" w:lastRowFirstColumn="0" w:lastRowLastColumn="0"/>
              <w:rPr>
                <w:rFonts w:eastAsia="Times New Roman" w:cs="Calibri"/>
                <w:sz w:val="20"/>
              </w:rPr>
            </w:pPr>
            <w:r w:rsidRPr="007F67E0">
              <w:rPr>
                <w:rFonts w:eastAsia="Times New Roman" w:cs="Calibri"/>
                <w:sz w:val="20"/>
              </w:rPr>
              <w:t>Data source</w:t>
            </w:r>
          </w:p>
        </w:tc>
        <w:tc>
          <w:tcPr>
            <w:tcW w:w="1064" w:type="pct"/>
          </w:tcPr>
          <w:p w14:paraId="3F6202CE" w14:textId="77777777" w:rsidR="00090F2C" w:rsidRPr="007F67E0" w:rsidRDefault="00090F2C">
            <w:pPr>
              <w:spacing w:before="20" w:after="20"/>
              <w:cnfStyle w:val="100000000000" w:firstRow="1" w:lastRow="0" w:firstColumn="0" w:lastColumn="0" w:oddVBand="0" w:evenVBand="0" w:oddHBand="0" w:evenHBand="0" w:firstRowFirstColumn="0" w:firstRowLastColumn="0" w:lastRowFirstColumn="0" w:lastRowLastColumn="0"/>
              <w:rPr>
                <w:rFonts w:eastAsia="Times New Roman" w:cs="Calibri"/>
                <w:sz w:val="20"/>
              </w:rPr>
            </w:pPr>
            <w:r w:rsidRPr="007F67E0">
              <w:rPr>
                <w:rFonts w:eastAsia="Times New Roman" w:cs="Calibri"/>
                <w:sz w:val="20"/>
              </w:rPr>
              <w:t>Level of assurance*</w:t>
            </w:r>
          </w:p>
        </w:tc>
      </w:tr>
      <w:tr w:rsidR="00090F2C" w:rsidRPr="007F67E0" w14:paraId="4DD1E54C" w14:textId="77777777" w:rsidTr="00664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pct"/>
          </w:tcPr>
          <w:p w14:paraId="1205E835" w14:textId="51DE83C8" w:rsidR="00090F2C" w:rsidRPr="007F67E0" w:rsidRDefault="00090F2C">
            <w:pPr>
              <w:spacing w:before="20" w:after="20"/>
              <w:rPr>
                <w:rFonts w:cs="Calibri"/>
                <w:i/>
                <w:sz w:val="20"/>
              </w:rPr>
            </w:pPr>
            <w:r w:rsidRPr="007F67E0">
              <w:rPr>
                <w:rFonts w:cs="Calibri"/>
                <w:i/>
                <w:sz w:val="20"/>
              </w:rPr>
              <w:t>[e.g. NR</w:t>
            </w:r>
            <w:r w:rsidR="00A0217A">
              <w:rPr>
                <w:rFonts w:cs="Calibri"/>
                <w:i/>
                <w:sz w:val="20"/>
              </w:rPr>
              <w:t>I</w:t>
            </w:r>
            <w:r w:rsidRPr="007F67E0">
              <w:rPr>
                <w:rFonts w:cs="Calibri"/>
                <w:i/>
                <w:sz w:val="20"/>
              </w:rPr>
              <w:t>]</w:t>
            </w:r>
          </w:p>
        </w:tc>
        <w:tc>
          <w:tcPr>
            <w:tcW w:w="1092" w:type="pct"/>
          </w:tcPr>
          <w:p w14:paraId="07A9F87F"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Cs/>
                <w:i/>
                <w:sz w:val="20"/>
              </w:rPr>
            </w:pPr>
            <w:r w:rsidRPr="007F67E0">
              <w:rPr>
                <w:rFonts w:cs="Calibri"/>
                <w:bCs/>
                <w:i/>
                <w:sz w:val="20"/>
              </w:rPr>
              <w:t>[e.g. Government</w:t>
            </w:r>
          </w:p>
          <w:p w14:paraId="1EAEDF4E"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Cs/>
                <w:sz w:val="20"/>
              </w:rPr>
            </w:pPr>
            <w:r w:rsidRPr="007F67E0">
              <w:rPr>
                <w:rFonts w:cs="Calibri"/>
                <w:bCs/>
                <w:i/>
                <w:sz w:val="20"/>
              </w:rPr>
              <w:t>Non-government]</w:t>
            </w:r>
          </w:p>
        </w:tc>
        <w:tc>
          <w:tcPr>
            <w:tcW w:w="1047" w:type="pct"/>
          </w:tcPr>
          <w:p w14:paraId="35B96B88"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Cs/>
                <w:i/>
                <w:sz w:val="20"/>
              </w:rPr>
            </w:pPr>
            <w:r w:rsidRPr="007F67E0">
              <w:rPr>
                <w:rFonts w:cs="Calibri"/>
                <w:bCs/>
                <w:i/>
                <w:sz w:val="20"/>
              </w:rPr>
              <w:t>[e.g. Reported ACARA]</w:t>
            </w:r>
          </w:p>
        </w:tc>
        <w:tc>
          <w:tcPr>
            <w:tcW w:w="1064" w:type="pct"/>
          </w:tcPr>
          <w:p w14:paraId="255F2317" w14:textId="60727E66"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Cs/>
                <w:sz w:val="20"/>
              </w:rPr>
            </w:pPr>
            <w:r w:rsidRPr="007F67E0">
              <w:rPr>
                <w:rFonts w:cs="Calibri"/>
                <w:bCs/>
                <w:i/>
                <w:sz w:val="20"/>
              </w:rPr>
              <w:t xml:space="preserve">[e.g. signed off by </w:t>
            </w:r>
            <w:r w:rsidR="000B4447">
              <w:rPr>
                <w:rFonts w:cs="Calibri"/>
                <w:bCs/>
                <w:i/>
                <w:sz w:val="20"/>
              </w:rPr>
              <w:t>auditor</w:t>
            </w:r>
            <w:r w:rsidRPr="007F67E0">
              <w:rPr>
                <w:rFonts w:cs="Calibri"/>
                <w:bCs/>
                <w:i/>
                <w:sz w:val="20"/>
              </w:rPr>
              <w:t>]</w:t>
            </w:r>
          </w:p>
        </w:tc>
      </w:tr>
      <w:tr w:rsidR="00090F2C" w:rsidRPr="007F67E0" w14:paraId="01D6E466" w14:textId="77777777" w:rsidTr="00664F14">
        <w:tc>
          <w:tcPr>
            <w:cnfStyle w:val="001000000000" w:firstRow="0" w:lastRow="0" w:firstColumn="1" w:lastColumn="0" w:oddVBand="0" w:evenVBand="0" w:oddHBand="0" w:evenHBand="0" w:firstRowFirstColumn="0" w:firstRowLastColumn="0" w:lastRowFirstColumn="0" w:lastRowLastColumn="0"/>
            <w:tcW w:w="1797" w:type="pct"/>
          </w:tcPr>
          <w:p w14:paraId="08567A71" w14:textId="1C247328" w:rsidR="00090F2C" w:rsidRPr="007F67E0" w:rsidRDefault="00090F2C">
            <w:pPr>
              <w:spacing w:before="20" w:after="20"/>
              <w:rPr>
                <w:rFonts w:cs="Calibri"/>
                <w:i/>
                <w:sz w:val="20"/>
              </w:rPr>
            </w:pPr>
            <w:r w:rsidRPr="007F67E0">
              <w:rPr>
                <w:rFonts w:cs="Calibri"/>
                <w:i/>
                <w:sz w:val="20"/>
              </w:rPr>
              <w:t>[Adjustment to NR</w:t>
            </w:r>
            <w:r w:rsidR="004952B4">
              <w:rPr>
                <w:rFonts w:cs="Calibri"/>
                <w:i/>
                <w:sz w:val="20"/>
              </w:rPr>
              <w:t>I</w:t>
            </w:r>
            <w:r w:rsidRPr="007F67E0">
              <w:rPr>
                <w:rFonts w:cs="Calibri"/>
                <w:i/>
                <w:sz w:val="20"/>
              </w:rPr>
              <w:t xml:space="preserve"> for Full</w:t>
            </w:r>
            <w:r w:rsidR="00882BE3">
              <w:rPr>
                <w:rFonts w:cs="Calibri"/>
                <w:i/>
                <w:sz w:val="20"/>
              </w:rPr>
              <w:t xml:space="preserve"> </w:t>
            </w:r>
            <w:r w:rsidRPr="007F67E0">
              <w:rPr>
                <w:rFonts w:cs="Calibri"/>
                <w:i/>
                <w:sz w:val="20"/>
              </w:rPr>
              <w:t>fee</w:t>
            </w:r>
            <w:r w:rsidR="00882BE3">
              <w:rPr>
                <w:rFonts w:cs="Calibri"/>
                <w:i/>
                <w:sz w:val="20"/>
              </w:rPr>
              <w:t>-</w:t>
            </w:r>
            <w:r w:rsidRPr="007F67E0">
              <w:rPr>
                <w:rFonts w:cs="Calibri"/>
                <w:i/>
                <w:sz w:val="20"/>
              </w:rPr>
              <w:t>paying overseas students (FFPOS), only if required]</w:t>
            </w:r>
          </w:p>
        </w:tc>
        <w:tc>
          <w:tcPr>
            <w:tcW w:w="1092" w:type="pct"/>
          </w:tcPr>
          <w:p w14:paraId="78A3EEC1"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Cs/>
                <w:i/>
                <w:sz w:val="20"/>
              </w:rPr>
            </w:pPr>
            <w:r w:rsidRPr="007F67E0">
              <w:rPr>
                <w:rFonts w:cs="Calibri"/>
                <w:bCs/>
                <w:i/>
                <w:sz w:val="20"/>
              </w:rPr>
              <w:t>[e.g. Government</w:t>
            </w:r>
          </w:p>
          <w:p w14:paraId="440B5AAC"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Cs/>
                <w:sz w:val="20"/>
              </w:rPr>
            </w:pPr>
            <w:r w:rsidRPr="007F67E0">
              <w:rPr>
                <w:rFonts w:cs="Calibri"/>
                <w:bCs/>
                <w:i/>
                <w:sz w:val="20"/>
              </w:rPr>
              <w:t>Non-government]</w:t>
            </w:r>
          </w:p>
        </w:tc>
        <w:tc>
          <w:tcPr>
            <w:tcW w:w="1047" w:type="pct"/>
          </w:tcPr>
          <w:p w14:paraId="02A25C5E" w14:textId="1AACEBA8"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Cs/>
                <w:i/>
                <w:sz w:val="20"/>
              </w:rPr>
            </w:pPr>
            <w:r w:rsidRPr="007F67E0">
              <w:rPr>
                <w:rFonts w:cs="Calibri"/>
                <w:bCs/>
                <w:i/>
                <w:sz w:val="20"/>
              </w:rPr>
              <w:t>[e.g. Departmental</w:t>
            </w:r>
            <w:r w:rsidR="00252889">
              <w:rPr>
                <w:rFonts w:cs="Calibri"/>
                <w:bCs/>
                <w:i/>
                <w:sz w:val="20"/>
              </w:rPr>
              <w:t xml:space="preserve"> </w:t>
            </w:r>
            <w:r w:rsidR="00FA7631">
              <w:rPr>
                <w:rFonts w:cs="Calibri"/>
                <w:bCs/>
                <w:i/>
                <w:sz w:val="20"/>
              </w:rPr>
              <w:t>data</w:t>
            </w:r>
            <w:r w:rsidRPr="007F67E0">
              <w:rPr>
                <w:rFonts w:cs="Calibri"/>
                <w:bCs/>
                <w:i/>
                <w:sz w:val="20"/>
              </w:rPr>
              <w:t>]</w:t>
            </w:r>
          </w:p>
        </w:tc>
        <w:tc>
          <w:tcPr>
            <w:tcW w:w="1064" w:type="pct"/>
          </w:tcPr>
          <w:p w14:paraId="29BE3A7F" w14:textId="77777777" w:rsidR="00090F2C" w:rsidRPr="007F67E0" w:rsidRDefault="00090F2C">
            <w:pPr>
              <w:spacing w:before="20" w:after="20"/>
              <w:cnfStyle w:val="000000000000" w:firstRow="0" w:lastRow="0" w:firstColumn="0" w:lastColumn="0" w:oddVBand="0" w:evenVBand="0" w:oddHBand="0" w:evenHBand="0" w:firstRowFirstColumn="0" w:firstRowLastColumn="0" w:lastRowFirstColumn="0" w:lastRowLastColumn="0"/>
              <w:rPr>
                <w:rFonts w:cs="Calibri"/>
                <w:bCs/>
                <w:i/>
                <w:sz w:val="20"/>
              </w:rPr>
            </w:pPr>
            <w:r w:rsidRPr="007F67E0">
              <w:rPr>
                <w:rFonts w:cs="Calibri"/>
                <w:bCs/>
                <w:i/>
                <w:sz w:val="20"/>
              </w:rPr>
              <w:t xml:space="preserve">[e.g. </w:t>
            </w:r>
            <w:proofErr w:type="gramStart"/>
            <w:r w:rsidRPr="007F67E0">
              <w:rPr>
                <w:rFonts w:cs="Calibri"/>
                <w:bCs/>
                <w:i/>
                <w:sz w:val="20"/>
              </w:rPr>
              <w:t>Independent</w:t>
            </w:r>
            <w:proofErr w:type="gramEnd"/>
            <w:r w:rsidRPr="007F67E0">
              <w:rPr>
                <w:rFonts w:cs="Calibri"/>
                <w:bCs/>
                <w:i/>
                <w:sz w:val="20"/>
              </w:rPr>
              <w:t xml:space="preserve"> auditor or Secretary if less than 0.1% SRS]</w:t>
            </w:r>
          </w:p>
        </w:tc>
      </w:tr>
      <w:tr w:rsidR="00090F2C" w:rsidRPr="007F67E0" w14:paraId="3C77AD34" w14:textId="77777777" w:rsidTr="00664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pct"/>
            <w:shd w:val="clear" w:color="auto" w:fill="FFFFFF"/>
          </w:tcPr>
          <w:p w14:paraId="6CE48C9B" w14:textId="77777777" w:rsidR="00090F2C" w:rsidRPr="007F67E0" w:rsidRDefault="00090F2C">
            <w:pPr>
              <w:spacing w:before="20" w:after="20"/>
              <w:rPr>
                <w:rFonts w:cs="Calibri"/>
                <w:i/>
                <w:iCs/>
                <w:sz w:val="20"/>
              </w:rPr>
            </w:pPr>
          </w:p>
        </w:tc>
        <w:tc>
          <w:tcPr>
            <w:tcW w:w="1092" w:type="pct"/>
            <w:shd w:val="clear" w:color="auto" w:fill="FFFFFF"/>
          </w:tcPr>
          <w:p w14:paraId="16F30A60"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1047" w:type="pct"/>
            <w:shd w:val="clear" w:color="auto" w:fill="FFFFFF"/>
          </w:tcPr>
          <w:p w14:paraId="04E1C64B"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c>
          <w:tcPr>
            <w:tcW w:w="1064" w:type="pct"/>
            <w:shd w:val="clear" w:color="auto" w:fill="FFFFFF"/>
          </w:tcPr>
          <w:p w14:paraId="6480CE50" w14:textId="77777777" w:rsidR="00090F2C" w:rsidRPr="007F67E0" w:rsidRDefault="00090F2C">
            <w:pPr>
              <w:spacing w:before="20" w:after="20"/>
              <w:cnfStyle w:val="000000100000" w:firstRow="0" w:lastRow="0" w:firstColumn="0" w:lastColumn="0" w:oddVBand="0" w:evenVBand="0" w:oddHBand="1" w:evenHBand="0" w:firstRowFirstColumn="0" w:firstRowLastColumn="0" w:lastRowFirstColumn="0" w:lastRowLastColumn="0"/>
              <w:rPr>
                <w:rFonts w:cs="Calibri"/>
                <w:b/>
                <w:bCs/>
                <w:sz w:val="20"/>
              </w:rPr>
            </w:pPr>
          </w:p>
        </w:tc>
      </w:tr>
    </w:tbl>
    <w:p w14:paraId="563C6B12" w14:textId="77777777" w:rsidR="00090F2C" w:rsidRPr="007F67E0" w:rsidRDefault="00090F2C" w:rsidP="00090F2C">
      <w:pPr>
        <w:tabs>
          <w:tab w:val="left" w:pos="1025"/>
        </w:tabs>
        <w:spacing w:after="0"/>
        <w:rPr>
          <w:rFonts w:ascii="Calibri" w:eastAsia="Calibri" w:hAnsi="Calibri" w:cs="Arial"/>
          <w:sz w:val="18"/>
          <w:szCs w:val="24"/>
        </w:rPr>
      </w:pPr>
      <w:r w:rsidRPr="007F67E0">
        <w:rPr>
          <w:rFonts w:ascii="Calibri" w:eastAsia="Calibri" w:hAnsi="Calibri" w:cs="Arial"/>
          <w:sz w:val="18"/>
          <w:szCs w:val="24"/>
        </w:rPr>
        <w:t>^ Any adjustments will need to be separately listed in this table.</w:t>
      </w:r>
    </w:p>
    <w:p w14:paraId="66E480CE" w14:textId="77777777" w:rsidR="00090F2C" w:rsidRPr="007F67E0" w:rsidRDefault="00090F2C" w:rsidP="00090F2C">
      <w:pPr>
        <w:tabs>
          <w:tab w:val="left" w:pos="1025"/>
        </w:tabs>
        <w:rPr>
          <w:rFonts w:ascii="Calibri" w:eastAsia="Calibri" w:hAnsi="Calibri" w:cs="Arial"/>
          <w:sz w:val="18"/>
          <w:szCs w:val="24"/>
        </w:rPr>
      </w:pPr>
      <w:r w:rsidRPr="007F67E0">
        <w:rPr>
          <w:rFonts w:ascii="Calibri" w:eastAsia="Calibri" w:hAnsi="Calibri" w:cs="Arial"/>
          <w:sz w:val="18"/>
          <w:szCs w:val="24"/>
        </w:rPr>
        <w:t>* Notes on assurance requirements</w:t>
      </w:r>
    </w:p>
    <w:p w14:paraId="672E54EC" w14:textId="77777777" w:rsidR="00090F2C" w:rsidRPr="007F67E0" w:rsidRDefault="00090F2C" w:rsidP="00090F2C">
      <w:pPr>
        <w:rPr>
          <w:rFonts w:ascii="Calibri" w:eastAsia="Calibri" w:hAnsi="Calibri" w:cs="Arial"/>
        </w:rPr>
      </w:pPr>
      <w:r w:rsidRPr="007F67E0">
        <w:rPr>
          <w:rFonts w:ascii="Calibri" w:eastAsia="Calibri" w:hAnsi="Calibri" w:cs="Arial"/>
        </w:rPr>
        <w:t>For each expenditure amount included in the bilateral agreements and for any reported mitigating factor (to the extent possible), the state or territory should include evidence that the amount has been certified and is consistent with the agreed methodology through a reasonable assurance engagement in line with the Australian Auditing and Assurance Standards by one of the following:</w:t>
      </w:r>
    </w:p>
    <w:p w14:paraId="777CC5C3" w14:textId="77777777" w:rsidR="00090F2C" w:rsidRPr="007F67E0" w:rsidRDefault="00090F2C" w:rsidP="00090F2C">
      <w:pPr>
        <w:numPr>
          <w:ilvl w:val="0"/>
          <w:numId w:val="22"/>
        </w:numPr>
        <w:spacing w:after="0" w:line="240" w:lineRule="auto"/>
        <w:contextualSpacing/>
        <w:rPr>
          <w:rFonts w:ascii="Calibri" w:eastAsia="Calibri" w:hAnsi="Calibri" w:cs="Arial"/>
        </w:rPr>
      </w:pPr>
      <w:r w:rsidRPr="007F67E0">
        <w:rPr>
          <w:rFonts w:ascii="Calibri" w:eastAsia="Calibri" w:hAnsi="Calibri" w:cs="Arial"/>
        </w:rPr>
        <w:t>the Auditor-General of the state or territory;</w:t>
      </w:r>
    </w:p>
    <w:p w14:paraId="08BBB67D" w14:textId="77777777" w:rsidR="00090F2C" w:rsidRPr="007F67E0" w:rsidRDefault="00090F2C" w:rsidP="00090F2C">
      <w:pPr>
        <w:numPr>
          <w:ilvl w:val="0"/>
          <w:numId w:val="22"/>
        </w:numPr>
        <w:spacing w:after="0" w:line="240" w:lineRule="auto"/>
        <w:contextualSpacing/>
        <w:rPr>
          <w:rFonts w:ascii="Calibri" w:eastAsia="Calibri" w:hAnsi="Calibri" w:cs="Arial"/>
        </w:rPr>
      </w:pPr>
      <w:r w:rsidRPr="007F67E0">
        <w:rPr>
          <w:rFonts w:ascii="Calibri" w:eastAsia="Calibri" w:hAnsi="Calibri" w:cs="Arial"/>
        </w:rPr>
        <w:t>an independent qualified accounting organisation; or</w:t>
      </w:r>
    </w:p>
    <w:p w14:paraId="24549B93" w14:textId="77777777" w:rsidR="00090F2C" w:rsidRPr="007F67E0" w:rsidRDefault="00090F2C" w:rsidP="00090F2C">
      <w:pPr>
        <w:numPr>
          <w:ilvl w:val="0"/>
          <w:numId w:val="22"/>
        </w:numPr>
        <w:spacing w:after="0" w:line="240" w:lineRule="auto"/>
        <w:contextualSpacing/>
        <w:rPr>
          <w:rFonts w:ascii="Calibri" w:eastAsia="Calibri" w:hAnsi="Calibri" w:cs="Arial"/>
        </w:rPr>
      </w:pPr>
      <w:r w:rsidRPr="007F67E0">
        <w:rPr>
          <w:rFonts w:ascii="Calibri" w:eastAsia="Calibri" w:hAnsi="Calibri" w:cs="Arial"/>
        </w:rPr>
        <w:t>an independent qualified accounting organisation engaged by ACARA for NRIPS.</w:t>
      </w:r>
    </w:p>
    <w:p w14:paraId="5CE118CA" w14:textId="77777777" w:rsidR="00090F2C" w:rsidRPr="007F67E0" w:rsidRDefault="00090F2C" w:rsidP="00090F2C">
      <w:pPr>
        <w:spacing w:before="200"/>
        <w:rPr>
          <w:rFonts w:ascii="Calibri" w:eastAsia="Calibri" w:hAnsi="Calibri" w:cs="Arial"/>
          <w:sz w:val="20"/>
        </w:rPr>
      </w:pPr>
      <w:r w:rsidRPr="007F67E0">
        <w:rPr>
          <w:rFonts w:ascii="Calibri" w:eastAsia="Calibri" w:hAnsi="Calibri" w:cs="Arial"/>
        </w:rPr>
        <w:t>The Director-General or equivalent of the education portfolio for the state or territory, may certify only up to 0.1 per cent of the SRS for all reported funding.</w:t>
      </w:r>
    </w:p>
    <w:p w14:paraId="4280D4AD" w14:textId="77777777" w:rsidR="00090F2C" w:rsidRPr="007F67E0" w:rsidRDefault="00090F2C" w:rsidP="00090F2C">
      <w:pPr>
        <w:spacing w:after="0" w:line="240" w:lineRule="auto"/>
        <w:rPr>
          <w:rFonts w:ascii="Calibri" w:eastAsia="Calibri" w:hAnsi="Calibri" w:cs="Arial"/>
        </w:rPr>
      </w:pPr>
      <w:r w:rsidRPr="007F67E0">
        <w:rPr>
          <w:rFonts w:ascii="Calibri" w:eastAsia="Calibri" w:hAnsi="Calibri" w:cs="Arial"/>
        </w:rPr>
        <w:br w:type="page"/>
      </w:r>
    </w:p>
    <w:p w14:paraId="636BBBC6" w14:textId="77777777" w:rsidR="00090F2C" w:rsidRPr="007F67E0" w:rsidRDefault="00090F2C" w:rsidP="00090F2C">
      <w:pPr>
        <w:keepNext/>
        <w:keepLines/>
        <w:spacing w:before="240" w:after="120"/>
        <w:outlineLvl w:val="1"/>
        <w:rPr>
          <w:rFonts w:ascii="Calibri" w:eastAsia="Times New Roman" w:hAnsi="Calibri" w:cs="Times New Roman"/>
          <w:b/>
          <w:color w:val="287DB2"/>
          <w:sz w:val="28"/>
          <w:szCs w:val="26"/>
        </w:rPr>
      </w:pPr>
      <w:bookmarkStart w:id="37" w:name="_Toc212545686"/>
      <w:r w:rsidRPr="007F67E0">
        <w:rPr>
          <w:rFonts w:ascii="Calibri" w:eastAsia="Times New Roman" w:hAnsi="Calibri" w:cs="Times New Roman"/>
          <w:b/>
          <w:color w:val="287DB2"/>
          <w:sz w:val="28"/>
          <w:szCs w:val="26"/>
        </w:rPr>
        <w:lastRenderedPageBreak/>
        <w:t>Part 3 – Mitigation factors (if required)</w:t>
      </w:r>
      <w:bookmarkEnd w:id="37"/>
    </w:p>
    <w:p w14:paraId="370F8D59" w14:textId="77777777" w:rsidR="00090F2C" w:rsidRPr="007F67E0" w:rsidRDefault="00090F2C" w:rsidP="00090F2C">
      <w:pPr>
        <w:rPr>
          <w:rFonts w:ascii="Calibri" w:eastAsia="Calibri" w:hAnsi="Calibri" w:cs="Arial"/>
        </w:rPr>
      </w:pPr>
      <w:r w:rsidRPr="007F67E0">
        <w:rPr>
          <w:rFonts w:ascii="Calibri" w:eastAsia="Calibri" w:hAnsi="Calibri" w:cs="Arial"/>
        </w:rPr>
        <w:t>This part may be used to describe any mitigating factors that may have contributed to a funding shortfall including an immaterial shortfall as set out in the bilateral agreements. This may include (but is not limited to):</w:t>
      </w:r>
    </w:p>
    <w:p w14:paraId="6AAE50D1" w14:textId="77777777" w:rsidR="00090F2C" w:rsidRPr="007F67E0" w:rsidRDefault="00090F2C" w:rsidP="00090F2C">
      <w:pPr>
        <w:numPr>
          <w:ilvl w:val="0"/>
          <w:numId w:val="23"/>
        </w:numPr>
        <w:spacing w:after="0" w:line="240" w:lineRule="auto"/>
        <w:contextualSpacing/>
        <w:rPr>
          <w:rFonts w:ascii="Calibri" w:eastAsia="Calibri" w:hAnsi="Calibri" w:cs="Arial"/>
        </w:rPr>
      </w:pPr>
      <w:r w:rsidRPr="007F67E0">
        <w:rPr>
          <w:rFonts w:ascii="Calibri" w:eastAsia="Calibri" w:hAnsi="Calibri" w:cs="Arial"/>
        </w:rPr>
        <w:t>fluctuations from year-to-year in funding;</w:t>
      </w:r>
    </w:p>
    <w:p w14:paraId="3C5F58B0" w14:textId="77777777" w:rsidR="00090F2C" w:rsidRPr="007F67E0" w:rsidRDefault="00090F2C" w:rsidP="00090F2C">
      <w:pPr>
        <w:numPr>
          <w:ilvl w:val="0"/>
          <w:numId w:val="23"/>
        </w:numPr>
        <w:spacing w:after="0" w:line="240" w:lineRule="auto"/>
        <w:contextualSpacing/>
        <w:rPr>
          <w:rFonts w:ascii="Calibri" w:eastAsia="Calibri" w:hAnsi="Calibri" w:cs="Arial"/>
        </w:rPr>
      </w:pPr>
      <w:r w:rsidRPr="007F67E0">
        <w:rPr>
          <w:rFonts w:ascii="Calibri" w:eastAsia="Calibri" w:hAnsi="Calibri" w:cs="Arial"/>
        </w:rPr>
        <w:t>unintended and unexpected budget pressures;</w:t>
      </w:r>
    </w:p>
    <w:p w14:paraId="30DA2DF5" w14:textId="77777777" w:rsidR="00090F2C" w:rsidRPr="007F67E0" w:rsidRDefault="00090F2C" w:rsidP="00090F2C">
      <w:pPr>
        <w:numPr>
          <w:ilvl w:val="0"/>
          <w:numId w:val="23"/>
        </w:numPr>
        <w:spacing w:after="0" w:line="240" w:lineRule="auto"/>
        <w:contextualSpacing/>
        <w:rPr>
          <w:rFonts w:ascii="Calibri" w:eastAsia="Calibri" w:hAnsi="Calibri" w:cs="Arial"/>
        </w:rPr>
      </w:pPr>
      <w:r w:rsidRPr="007F67E0">
        <w:rPr>
          <w:rFonts w:ascii="Calibri" w:eastAsia="Calibri" w:hAnsi="Calibri" w:cs="Arial"/>
        </w:rPr>
        <w:t>fluctuations in enrolment numbers or student characteristics;</w:t>
      </w:r>
    </w:p>
    <w:p w14:paraId="3D21D790" w14:textId="4E5598F9" w:rsidR="00090F2C" w:rsidRPr="007F67E0" w:rsidRDefault="00090F2C" w:rsidP="00090F2C">
      <w:pPr>
        <w:numPr>
          <w:ilvl w:val="0"/>
          <w:numId w:val="23"/>
        </w:numPr>
        <w:spacing w:after="0" w:line="240" w:lineRule="auto"/>
        <w:contextualSpacing/>
        <w:rPr>
          <w:rFonts w:ascii="Calibri" w:eastAsia="Calibri" w:hAnsi="Calibri" w:cs="Arial"/>
        </w:rPr>
      </w:pPr>
      <w:r w:rsidRPr="007F67E0">
        <w:rPr>
          <w:rFonts w:ascii="Calibri" w:eastAsia="Calibri" w:hAnsi="Calibri" w:cs="Arial"/>
        </w:rPr>
        <w:t xml:space="preserve">significant differences in </w:t>
      </w:r>
      <w:r w:rsidR="00B76822">
        <w:rPr>
          <w:rFonts w:ascii="Calibri" w:eastAsia="Calibri" w:hAnsi="Calibri" w:cs="Arial"/>
        </w:rPr>
        <w:t>budgeted</w:t>
      </w:r>
      <w:r w:rsidRPr="007F67E0">
        <w:rPr>
          <w:rFonts w:ascii="Calibri" w:eastAsia="Calibri" w:hAnsi="Calibri" w:cs="Arial"/>
        </w:rPr>
        <w:t xml:space="preserve"> funding compared to actual school expenditure;</w:t>
      </w:r>
    </w:p>
    <w:p w14:paraId="1E1D16E7" w14:textId="77777777" w:rsidR="00950B90" w:rsidRPr="00B6778F" w:rsidRDefault="00090F2C" w:rsidP="00090F2C">
      <w:pPr>
        <w:numPr>
          <w:ilvl w:val="0"/>
          <w:numId w:val="23"/>
        </w:numPr>
        <w:spacing w:after="0" w:line="240" w:lineRule="auto"/>
        <w:contextualSpacing/>
        <w:rPr>
          <w:rFonts w:ascii="Calibri" w:eastAsia="Calibri" w:hAnsi="Calibri" w:cs="Arial"/>
        </w:rPr>
      </w:pPr>
      <w:r w:rsidRPr="007F67E0">
        <w:rPr>
          <w:rFonts w:ascii="Calibri" w:eastAsia="Calibri" w:hAnsi="Calibri" w:cs="Arial"/>
        </w:rPr>
        <w:t xml:space="preserve">financial accounting impacts (e.g., new </w:t>
      </w:r>
      <w:r w:rsidRPr="00B6778F">
        <w:rPr>
          <w:rFonts w:ascii="Calibri" w:eastAsia="Calibri" w:hAnsi="Calibri" w:cs="Arial"/>
        </w:rPr>
        <w:t>accounting standards such as AASB 16 (leases));</w:t>
      </w:r>
    </w:p>
    <w:p w14:paraId="565774B2" w14:textId="24E979D7" w:rsidR="00090F2C" w:rsidRPr="00B6778F" w:rsidRDefault="00620609" w:rsidP="00090F2C">
      <w:pPr>
        <w:numPr>
          <w:ilvl w:val="0"/>
          <w:numId w:val="23"/>
        </w:numPr>
        <w:spacing w:after="0" w:line="240" w:lineRule="auto"/>
        <w:contextualSpacing/>
        <w:rPr>
          <w:rFonts w:ascii="Calibri" w:eastAsia="Calibri" w:hAnsi="Calibri" w:cs="Arial"/>
        </w:rPr>
      </w:pPr>
      <w:proofErr w:type="spellStart"/>
      <w:r w:rsidRPr="00B6778F">
        <w:rPr>
          <w:rFonts w:ascii="Calibri" w:eastAsia="Calibri" w:hAnsi="Calibri" w:cs="Arial"/>
        </w:rPr>
        <w:t>unfinalised</w:t>
      </w:r>
      <w:proofErr w:type="spellEnd"/>
      <w:r w:rsidR="00AC5DA8" w:rsidRPr="00B6778F">
        <w:rPr>
          <w:rFonts w:ascii="Calibri" w:eastAsia="Calibri" w:hAnsi="Calibri" w:cs="Arial"/>
        </w:rPr>
        <w:t xml:space="preserve"> adjustments to</w:t>
      </w:r>
      <w:r w:rsidRPr="00B6778F">
        <w:rPr>
          <w:rFonts w:ascii="Calibri" w:eastAsia="Calibri" w:hAnsi="Calibri" w:cs="Arial"/>
        </w:rPr>
        <w:t xml:space="preserve"> required shares</w:t>
      </w:r>
      <w:r w:rsidR="00C1123D" w:rsidRPr="00B6778F">
        <w:rPr>
          <w:rFonts w:ascii="Calibri" w:eastAsia="Calibri" w:hAnsi="Calibri" w:cs="Arial"/>
        </w:rPr>
        <w:t xml:space="preserve"> in bilateral agreements</w:t>
      </w:r>
      <w:r w:rsidRPr="00B6778F">
        <w:rPr>
          <w:rFonts w:ascii="Calibri" w:eastAsia="Calibri" w:hAnsi="Calibri" w:cs="Arial"/>
        </w:rPr>
        <w:t>;</w:t>
      </w:r>
      <w:r w:rsidR="00090F2C" w:rsidRPr="00B6778F">
        <w:rPr>
          <w:rFonts w:ascii="Calibri" w:eastAsia="Calibri" w:hAnsi="Calibri" w:cs="Arial"/>
        </w:rPr>
        <w:t xml:space="preserve"> and</w:t>
      </w:r>
    </w:p>
    <w:p w14:paraId="7424B225" w14:textId="77777777" w:rsidR="00090F2C" w:rsidRPr="00B6778F" w:rsidRDefault="00090F2C" w:rsidP="00090F2C">
      <w:pPr>
        <w:numPr>
          <w:ilvl w:val="0"/>
          <w:numId w:val="23"/>
        </w:numPr>
        <w:spacing w:after="0" w:line="240" w:lineRule="auto"/>
        <w:contextualSpacing/>
        <w:rPr>
          <w:rFonts w:ascii="Calibri" w:eastAsia="Calibri" w:hAnsi="Calibri" w:cs="Arial"/>
        </w:rPr>
      </w:pPr>
      <w:r w:rsidRPr="00B6778F">
        <w:rPr>
          <w:rFonts w:ascii="Calibri" w:eastAsia="Calibri" w:hAnsi="Calibri" w:cs="Arial"/>
        </w:rPr>
        <w:t xml:space="preserve">unforeseeable circumstances (e.g., natural disasters). </w:t>
      </w:r>
    </w:p>
    <w:p w14:paraId="3ED31B58" w14:textId="604681E1" w:rsidR="00090F2C" w:rsidRPr="00B6778F" w:rsidRDefault="00090F2C" w:rsidP="00090F2C">
      <w:pPr>
        <w:spacing w:before="200"/>
        <w:rPr>
          <w:rFonts w:ascii="Calibri" w:eastAsia="Calibri" w:hAnsi="Calibri" w:cs="Arial"/>
        </w:rPr>
      </w:pPr>
      <w:r w:rsidRPr="00B6778F">
        <w:rPr>
          <w:rFonts w:ascii="Calibri" w:eastAsia="Calibri" w:hAnsi="Calibri" w:cs="Arial"/>
        </w:rPr>
        <w:t>Any explanations of variations in contributions should be supported by relevant data and information (e.g. a three-year rolling average if funding is below the required amount, budget documents and reports from a recognised source).</w:t>
      </w:r>
      <w:r w:rsidR="00F33E7C" w:rsidRPr="00B6778F">
        <w:rPr>
          <w:rFonts w:ascii="Calibri" w:eastAsia="Calibri" w:hAnsi="Calibri" w:cs="Arial"/>
        </w:rPr>
        <w:t xml:space="preserve"> </w:t>
      </w:r>
      <w:r w:rsidR="00573015" w:rsidRPr="00B6778F">
        <w:rPr>
          <w:rFonts w:ascii="Calibri" w:eastAsia="Calibri" w:hAnsi="Calibri" w:cs="Arial"/>
        </w:rPr>
        <w:t xml:space="preserve">Additionally, </w:t>
      </w:r>
      <w:r w:rsidR="00C1123D" w:rsidRPr="00B6778F">
        <w:rPr>
          <w:rFonts w:ascii="Calibri" w:eastAsia="Calibri" w:hAnsi="Calibri" w:cs="Arial"/>
        </w:rPr>
        <w:t xml:space="preserve">jurisdictions may provide </w:t>
      </w:r>
      <w:r w:rsidR="00573015" w:rsidRPr="00B6778F">
        <w:rPr>
          <w:rFonts w:ascii="Calibri" w:eastAsia="Calibri" w:hAnsi="Calibri" w:cs="Arial"/>
        </w:rPr>
        <w:t>a</w:t>
      </w:r>
      <w:r w:rsidR="00B44094" w:rsidRPr="00B6778F">
        <w:rPr>
          <w:rFonts w:ascii="Calibri" w:eastAsia="Calibri" w:hAnsi="Calibri" w:cs="Arial"/>
        </w:rPr>
        <w:t xml:space="preserve">dvice </w:t>
      </w:r>
      <w:r w:rsidR="00D1197B" w:rsidRPr="00B6778F">
        <w:rPr>
          <w:rFonts w:ascii="Calibri" w:eastAsia="Calibri" w:hAnsi="Calibri" w:cs="Arial"/>
        </w:rPr>
        <w:t xml:space="preserve">regarding where unspent allocated funding </w:t>
      </w:r>
      <w:r w:rsidR="00024883" w:rsidRPr="00B6778F">
        <w:rPr>
          <w:rFonts w:ascii="Calibri" w:eastAsia="Calibri" w:hAnsi="Calibri" w:cs="Arial"/>
        </w:rPr>
        <w:t xml:space="preserve">has been carried forward or re-directed </w:t>
      </w:r>
      <w:r w:rsidR="00573015" w:rsidRPr="00B6778F">
        <w:rPr>
          <w:rFonts w:ascii="Calibri" w:eastAsia="Calibri" w:hAnsi="Calibri" w:cs="Arial"/>
        </w:rPr>
        <w:t>whe</w:t>
      </w:r>
      <w:r w:rsidR="00211523" w:rsidRPr="00B6778F">
        <w:rPr>
          <w:rFonts w:ascii="Calibri" w:eastAsia="Calibri" w:hAnsi="Calibri" w:cs="Arial"/>
        </w:rPr>
        <w:t>n</w:t>
      </w:r>
      <w:r w:rsidR="00573015" w:rsidRPr="00B6778F">
        <w:rPr>
          <w:rFonts w:ascii="Calibri" w:eastAsia="Calibri" w:hAnsi="Calibri" w:cs="Arial"/>
        </w:rPr>
        <w:t xml:space="preserve"> applicable.</w:t>
      </w:r>
    </w:p>
    <w:p w14:paraId="43CCDA02" w14:textId="77777777" w:rsidR="00090F2C" w:rsidRPr="007F67E0" w:rsidRDefault="00090F2C" w:rsidP="00090F2C">
      <w:pPr>
        <w:rPr>
          <w:rFonts w:ascii="Calibri" w:eastAsia="Calibri" w:hAnsi="Calibri" w:cs="Arial"/>
        </w:rPr>
      </w:pPr>
      <w:r w:rsidRPr="00B6778F">
        <w:rPr>
          <w:rFonts w:ascii="Calibri" w:eastAsia="Calibri" w:hAnsi="Calibri" w:cs="Arial"/>
        </w:rPr>
        <w:t>Each mitigating factor should be quantified and, where possible, certified through</w:t>
      </w:r>
      <w:r w:rsidRPr="007F67E0">
        <w:rPr>
          <w:rFonts w:ascii="Calibri" w:eastAsia="Calibri" w:hAnsi="Calibri" w:cs="Arial"/>
        </w:rPr>
        <w:t xml:space="preserve"> the reasonable assurance engagement. </w:t>
      </w:r>
    </w:p>
    <w:p w14:paraId="674D2505" w14:textId="1F48614C" w:rsidR="00661F80" w:rsidRPr="007F67E0" w:rsidRDefault="00661F80" w:rsidP="00661F80">
      <w:pPr>
        <w:keepNext/>
        <w:keepLines/>
        <w:spacing w:before="240" w:after="120"/>
        <w:outlineLvl w:val="1"/>
        <w:rPr>
          <w:rFonts w:ascii="Calibri" w:eastAsia="Times New Roman" w:hAnsi="Calibri" w:cs="Times New Roman"/>
          <w:b/>
          <w:color w:val="287DB2"/>
          <w:sz w:val="28"/>
          <w:szCs w:val="26"/>
        </w:rPr>
      </w:pPr>
      <w:bookmarkStart w:id="38" w:name="_Toc212545687"/>
      <w:r w:rsidRPr="007F67E0">
        <w:rPr>
          <w:rFonts w:ascii="Calibri" w:eastAsia="Times New Roman" w:hAnsi="Calibri" w:cs="Times New Roman"/>
          <w:b/>
          <w:color w:val="287DB2"/>
          <w:sz w:val="28"/>
          <w:szCs w:val="26"/>
        </w:rPr>
        <w:t xml:space="preserve">Part </w:t>
      </w:r>
      <w:r>
        <w:rPr>
          <w:rFonts w:ascii="Calibri" w:eastAsia="Times New Roman" w:hAnsi="Calibri" w:cs="Times New Roman"/>
          <w:b/>
          <w:color w:val="287DB2"/>
          <w:sz w:val="28"/>
          <w:szCs w:val="26"/>
        </w:rPr>
        <w:t>4</w:t>
      </w:r>
      <w:r w:rsidRPr="007F67E0">
        <w:rPr>
          <w:rFonts w:ascii="Calibri" w:eastAsia="Times New Roman" w:hAnsi="Calibri" w:cs="Times New Roman"/>
          <w:b/>
          <w:color w:val="287DB2"/>
          <w:sz w:val="28"/>
          <w:szCs w:val="26"/>
        </w:rPr>
        <w:t xml:space="preserve"> – </w:t>
      </w:r>
      <w:r w:rsidR="004859C0">
        <w:rPr>
          <w:rFonts w:ascii="Calibri" w:eastAsia="Times New Roman" w:hAnsi="Calibri" w:cs="Times New Roman"/>
          <w:b/>
          <w:color w:val="287DB2"/>
          <w:sz w:val="28"/>
          <w:szCs w:val="26"/>
        </w:rPr>
        <w:t>Explanatory statement</w:t>
      </w:r>
      <w:r w:rsidRPr="007F67E0">
        <w:rPr>
          <w:rFonts w:ascii="Calibri" w:eastAsia="Times New Roman" w:hAnsi="Calibri" w:cs="Times New Roman"/>
          <w:b/>
          <w:color w:val="287DB2"/>
          <w:sz w:val="28"/>
          <w:szCs w:val="26"/>
        </w:rPr>
        <w:t xml:space="preserve"> (</w:t>
      </w:r>
      <w:r w:rsidR="004859C0">
        <w:rPr>
          <w:rFonts w:ascii="Calibri" w:eastAsia="Times New Roman" w:hAnsi="Calibri" w:cs="Times New Roman"/>
          <w:b/>
          <w:color w:val="287DB2"/>
          <w:sz w:val="28"/>
          <w:szCs w:val="26"/>
        </w:rPr>
        <w:t>optional</w:t>
      </w:r>
      <w:r w:rsidRPr="007F67E0">
        <w:rPr>
          <w:rFonts w:ascii="Calibri" w:eastAsia="Times New Roman" w:hAnsi="Calibri" w:cs="Times New Roman"/>
          <w:b/>
          <w:color w:val="287DB2"/>
          <w:sz w:val="28"/>
          <w:szCs w:val="26"/>
        </w:rPr>
        <w:t>)</w:t>
      </w:r>
      <w:bookmarkEnd w:id="38"/>
    </w:p>
    <w:p w14:paraId="4D66517E" w14:textId="44DA70FB" w:rsidR="005D4133" w:rsidRDefault="004859C0" w:rsidP="0097798D">
      <w:pPr>
        <w:spacing w:before="200"/>
        <w:rPr>
          <w:rFonts w:ascii="Calibri" w:eastAsia="Calibri" w:hAnsi="Calibri" w:cs="Arial"/>
        </w:rPr>
      </w:pPr>
      <w:r w:rsidRPr="007F67E0">
        <w:rPr>
          <w:rFonts w:ascii="Calibri" w:eastAsia="Calibri" w:hAnsi="Calibri" w:cs="Arial"/>
        </w:rPr>
        <w:t xml:space="preserve">This part may be used to </w:t>
      </w:r>
      <w:r>
        <w:rPr>
          <w:rFonts w:ascii="Calibri" w:eastAsia="Calibri" w:hAnsi="Calibri" w:cs="Arial"/>
        </w:rPr>
        <w:t xml:space="preserve">provide a statement </w:t>
      </w:r>
      <w:r w:rsidR="005D4133">
        <w:rPr>
          <w:rFonts w:ascii="Calibri" w:eastAsia="Calibri" w:hAnsi="Calibri" w:cs="Arial"/>
        </w:rPr>
        <w:t>explaining</w:t>
      </w:r>
      <w:r>
        <w:rPr>
          <w:rFonts w:ascii="Calibri" w:eastAsia="Calibri" w:hAnsi="Calibri" w:cs="Arial"/>
        </w:rPr>
        <w:t xml:space="preserve"> any material variances (positive or negative) in the total amount of funding contributions between Year T and Year T-1 for </w:t>
      </w:r>
      <w:r w:rsidR="00491873">
        <w:rPr>
          <w:rFonts w:ascii="Calibri" w:eastAsia="Calibri" w:hAnsi="Calibri" w:cs="Arial"/>
        </w:rPr>
        <w:t xml:space="preserve">government and/or non-government schools in the jurisdiction. </w:t>
      </w:r>
    </w:p>
    <w:p w14:paraId="24D44CCE" w14:textId="7ACAB833" w:rsidR="00090F2C" w:rsidRPr="00664F14" w:rsidRDefault="00491873" w:rsidP="00664F14">
      <w:pPr>
        <w:spacing w:before="200"/>
        <w:rPr>
          <w:rFonts w:ascii="Calibri" w:eastAsia="Calibri" w:hAnsi="Calibri" w:cs="Arial"/>
        </w:rPr>
      </w:pPr>
      <w:r>
        <w:rPr>
          <w:rFonts w:ascii="Calibri" w:eastAsia="Calibri" w:hAnsi="Calibri" w:cs="Arial"/>
        </w:rPr>
        <w:t xml:space="preserve">Additionally, jurisdictions may wish to provide additional clarification regarding any adjustments to funding contributions outside of the </w:t>
      </w:r>
      <w:r w:rsidR="00640BC4">
        <w:rPr>
          <w:rFonts w:ascii="Calibri" w:eastAsia="Calibri" w:hAnsi="Calibri" w:cs="Arial"/>
        </w:rPr>
        <w:t>ACARA financial data reporting</w:t>
      </w:r>
      <w:r>
        <w:rPr>
          <w:rFonts w:ascii="Calibri" w:eastAsia="Calibri" w:hAnsi="Calibri" w:cs="Arial"/>
        </w:rPr>
        <w:t xml:space="preserve"> methodology</w:t>
      </w:r>
      <w:r w:rsidR="00640BC4">
        <w:rPr>
          <w:rFonts w:ascii="Calibri" w:eastAsia="Calibri" w:hAnsi="Calibri" w:cs="Arial"/>
        </w:rPr>
        <w:t xml:space="preserve"> for state NRIPS</w:t>
      </w:r>
      <w:r>
        <w:rPr>
          <w:rFonts w:ascii="Calibri" w:eastAsia="Calibri" w:hAnsi="Calibri" w:cs="Arial"/>
        </w:rPr>
        <w:t>, such as</w:t>
      </w:r>
      <w:r w:rsidR="0097798D">
        <w:rPr>
          <w:rFonts w:ascii="Calibri" w:eastAsia="Calibri" w:hAnsi="Calibri" w:cs="Arial"/>
        </w:rPr>
        <w:t>,</w:t>
      </w:r>
      <w:r>
        <w:rPr>
          <w:rFonts w:ascii="Calibri" w:eastAsia="Calibri" w:hAnsi="Calibri" w:cs="Arial"/>
        </w:rPr>
        <w:t xml:space="preserve"> but not limited to</w:t>
      </w:r>
      <w:r w:rsidR="0097798D">
        <w:rPr>
          <w:rFonts w:ascii="Calibri" w:eastAsia="Calibri" w:hAnsi="Calibri" w:cs="Arial"/>
        </w:rPr>
        <w:t>,</w:t>
      </w:r>
      <w:r>
        <w:rPr>
          <w:rFonts w:ascii="Calibri" w:eastAsia="Calibri" w:hAnsi="Calibri" w:cs="Arial"/>
        </w:rPr>
        <w:t xml:space="preserve"> timing adjustments, </w:t>
      </w:r>
      <w:r w:rsidR="0097798D">
        <w:rPr>
          <w:rFonts w:ascii="Calibri" w:eastAsia="Calibri" w:hAnsi="Calibri" w:cs="Arial"/>
        </w:rPr>
        <w:t>out-of-scope funding and unspent funds returned to the jurisdiction.</w:t>
      </w:r>
      <w:r w:rsidR="00090F2C" w:rsidRPr="00664F14">
        <w:rPr>
          <w:rFonts w:ascii="Calibri" w:eastAsia="Calibri" w:hAnsi="Calibri" w:cs="Arial"/>
        </w:rPr>
        <w:br w:type="page"/>
      </w:r>
    </w:p>
    <w:p w14:paraId="7F9338A6" w14:textId="0B2D35F0" w:rsidR="00090F2C" w:rsidRPr="007F67E0" w:rsidRDefault="00090F2C" w:rsidP="00090F2C">
      <w:pPr>
        <w:keepNext/>
        <w:keepLines/>
        <w:tabs>
          <w:tab w:val="left" w:pos="8058"/>
        </w:tabs>
        <w:spacing w:before="240" w:after="120"/>
        <w:outlineLvl w:val="1"/>
        <w:rPr>
          <w:rFonts w:ascii="Calibri" w:eastAsia="Times New Roman" w:hAnsi="Calibri" w:cs="Times New Roman"/>
          <w:b/>
          <w:color w:val="287DB2"/>
          <w:sz w:val="28"/>
          <w:szCs w:val="26"/>
        </w:rPr>
      </w:pPr>
      <w:bookmarkStart w:id="39" w:name="_Toc212545688"/>
      <w:r w:rsidRPr="007F67E0">
        <w:rPr>
          <w:rFonts w:ascii="Calibri" w:eastAsia="Times New Roman" w:hAnsi="Calibri" w:cs="Times New Roman"/>
          <w:b/>
          <w:color w:val="287DB2"/>
          <w:sz w:val="28"/>
          <w:szCs w:val="26"/>
        </w:rPr>
        <w:lastRenderedPageBreak/>
        <w:t xml:space="preserve">Part </w:t>
      </w:r>
      <w:r w:rsidR="000A6A09">
        <w:rPr>
          <w:rFonts w:ascii="Calibri" w:eastAsia="Times New Roman" w:hAnsi="Calibri" w:cs="Times New Roman"/>
          <w:b/>
          <w:color w:val="287DB2"/>
          <w:sz w:val="28"/>
          <w:szCs w:val="26"/>
        </w:rPr>
        <w:t>5</w:t>
      </w:r>
      <w:r w:rsidRPr="007F67E0">
        <w:rPr>
          <w:rFonts w:ascii="Calibri" w:eastAsia="Times New Roman" w:hAnsi="Calibri" w:cs="Times New Roman"/>
          <w:b/>
          <w:color w:val="287DB2"/>
          <w:sz w:val="28"/>
          <w:szCs w:val="26"/>
        </w:rPr>
        <w:t xml:space="preserve"> – Secretary/Director-General approval</w:t>
      </w:r>
      <w:bookmarkEnd w:id="39"/>
      <w:r w:rsidRPr="007F67E0">
        <w:rPr>
          <w:rFonts w:ascii="Calibri" w:eastAsia="Times New Roman" w:hAnsi="Calibri" w:cs="Times New Roman"/>
          <w:b/>
          <w:color w:val="287DB2"/>
          <w:sz w:val="28"/>
          <w:szCs w:val="26"/>
        </w:rPr>
        <w:tab/>
      </w:r>
    </w:p>
    <w:p w14:paraId="4DF132E3" w14:textId="77777777" w:rsidR="00090F2C" w:rsidRPr="007F67E0" w:rsidRDefault="00090F2C" w:rsidP="00090F2C">
      <w:pPr>
        <w:rPr>
          <w:rFonts w:ascii="Calibri" w:eastAsia="Calibri" w:hAnsi="Calibri" w:cs="Arial"/>
          <w:i/>
        </w:rPr>
      </w:pPr>
      <w:r w:rsidRPr="007F67E0">
        <w:rPr>
          <w:rFonts w:ascii="Calibri" w:eastAsia="Calibri" w:hAnsi="Calibri" w:cs="Arial"/>
          <w:i/>
        </w:rPr>
        <w:t>I certify, as at [DD Month YYYY] that, to the best of my knowledge and after making diligent inquiry, that the information provided in this proposal is true and accurate.</w:t>
      </w:r>
    </w:p>
    <w:p w14:paraId="393A0E99" w14:textId="77777777" w:rsidR="00090F2C" w:rsidRPr="007F67E0" w:rsidRDefault="00090F2C" w:rsidP="00090F2C">
      <w:pPr>
        <w:rPr>
          <w:rFonts w:ascii="Calibri" w:eastAsia="Calibri" w:hAnsi="Calibri" w:cs="Arial"/>
          <w:i/>
        </w:rPr>
      </w:pPr>
    </w:p>
    <w:p w14:paraId="034EDF26" w14:textId="77777777" w:rsidR="00090F2C" w:rsidRPr="007F67E0" w:rsidRDefault="00090F2C" w:rsidP="00090F2C">
      <w:pPr>
        <w:rPr>
          <w:rFonts w:ascii="Calibri" w:eastAsia="Calibri" w:hAnsi="Calibri" w:cs="Arial"/>
        </w:rPr>
      </w:pPr>
      <w:r w:rsidRPr="007F67E0">
        <w:rPr>
          <w:rFonts w:ascii="Calibri" w:eastAsia="Calibri" w:hAnsi="Calibri" w:cs="Arial"/>
        </w:rPr>
        <w:t>[Secretary/Director-General Name]</w:t>
      </w:r>
    </w:p>
    <w:p w14:paraId="03D366F0" w14:textId="77777777" w:rsidR="00090F2C" w:rsidRPr="007F67E0" w:rsidRDefault="00090F2C" w:rsidP="00090F2C">
      <w:pPr>
        <w:rPr>
          <w:rFonts w:ascii="Calibri" w:eastAsia="Calibri" w:hAnsi="Calibri" w:cs="Arial"/>
        </w:rPr>
      </w:pPr>
      <w:r w:rsidRPr="007F67E0">
        <w:rPr>
          <w:rFonts w:ascii="Calibri" w:eastAsia="Calibri" w:hAnsi="Calibri" w:cs="Arial"/>
        </w:rPr>
        <w:t>[Portfolio]</w:t>
      </w:r>
    </w:p>
    <w:p w14:paraId="6020A628" w14:textId="77777777" w:rsidR="00090F2C" w:rsidRPr="007F67E0" w:rsidRDefault="00090F2C" w:rsidP="00090F2C">
      <w:pPr>
        <w:rPr>
          <w:rFonts w:ascii="Calibri" w:eastAsia="Calibri" w:hAnsi="Calibri" w:cs="Arial"/>
        </w:rPr>
      </w:pPr>
      <w:r w:rsidRPr="007F67E0">
        <w:rPr>
          <w:rFonts w:ascii="Calibri" w:eastAsia="Calibri" w:hAnsi="Calibri" w:cs="Arial"/>
        </w:rPr>
        <w:t>[Date]</w:t>
      </w:r>
    </w:p>
    <w:bookmarkEnd w:id="3"/>
    <w:bookmarkEnd w:id="4"/>
    <w:bookmarkEnd w:id="5"/>
    <w:p w14:paraId="5F933A5D" w14:textId="77777777" w:rsidR="00090F2C" w:rsidRPr="007F67E0" w:rsidRDefault="00090F2C" w:rsidP="00090F2C">
      <w:pPr>
        <w:keepNext/>
        <w:keepLines/>
        <w:spacing w:before="360" w:after="120"/>
        <w:outlineLvl w:val="0"/>
        <w:rPr>
          <w:rFonts w:ascii="Calibri" w:eastAsia="Times New Roman" w:hAnsi="Calibri" w:cs="Times New Roman"/>
          <w:b/>
          <w:color w:val="343741"/>
          <w:sz w:val="32"/>
          <w:szCs w:val="32"/>
        </w:rPr>
      </w:pPr>
    </w:p>
    <w:sectPr w:rsidR="00090F2C" w:rsidRPr="007F67E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350FD" w14:textId="77777777" w:rsidR="00967212" w:rsidRDefault="00967212" w:rsidP="000A6228">
      <w:pPr>
        <w:spacing w:after="0" w:line="240" w:lineRule="auto"/>
      </w:pPr>
      <w:r>
        <w:separator/>
      </w:r>
    </w:p>
  </w:endnote>
  <w:endnote w:type="continuationSeparator" w:id="0">
    <w:p w14:paraId="3BFAE44C" w14:textId="77777777" w:rsidR="00967212" w:rsidRDefault="0096721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995411"/>
      <w:docPartObj>
        <w:docPartGallery w:val="Page Numbers (Bottom of Page)"/>
        <w:docPartUnique/>
      </w:docPartObj>
    </w:sdtPr>
    <w:sdtEndPr>
      <w:rPr>
        <w:rFonts w:ascii="Calibri" w:hAnsi="Calibri" w:cs="Calibri"/>
        <w:noProof/>
      </w:rPr>
    </w:sdtEndPr>
    <w:sdtContent>
      <w:p w14:paraId="1D1BAF2C" w14:textId="76A43241" w:rsidR="00090F2C" w:rsidRPr="003631C5" w:rsidRDefault="00090F2C">
        <w:pPr>
          <w:pStyle w:val="Footer"/>
          <w:rPr>
            <w:rFonts w:ascii="Calibri" w:hAnsi="Calibri" w:cs="Calibri"/>
          </w:rPr>
        </w:pPr>
        <w:r w:rsidRPr="00216BCD">
          <w:rPr>
            <w:rFonts w:ascii="Calibri" w:hAnsi="Calibri" w:cs="Calibri"/>
          </w:rPr>
          <w:fldChar w:fldCharType="begin"/>
        </w:r>
        <w:r w:rsidRPr="00216BCD">
          <w:rPr>
            <w:rFonts w:ascii="Calibri" w:hAnsi="Calibri" w:cs="Calibri"/>
          </w:rPr>
          <w:instrText xml:space="preserve"> PAGE   \* MERGEFORMAT </w:instrText>
        </w:r>
        <w:r w:rsidRPr="00216BCD">
          <w:rPr>
            <w:rFonts w:ascii="Calibri" w:hAnsi="Calibri" w:cs="Calibri"/>
          </w:rPr>
          <w:fldChar w:fldCharType="separate"/>
        </w:r>
        <w:r w:rsidRPr="00216BCD">
          <w:rPr>
            <w:rFonts w:ascii="Calibri" w:hAnsi="Calibri" w:cs="Calibri"/>
            <w:noProof/>
          </w:rPr>
          <w:t>12</w:t>
        </w:r>
        <w:r w:rsidRPr="00216BCD">
          <w:rPr>
            <w:rFonts w:ascii="Calibri" w:hAnsi="Calibri" w:cs="Calibr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345995"/>
      <w:docPartObj>
        <w:docPartGallery w:val="Page Numbers (Bottom of Page)"/>
        <w:docPartUnique/>
      </w:docPartObj>
    </w:sdtPr>
    <w:sdtEndPr>
      <w:rPr>
        <w:rFonts w:ascii="Calibri" w:hAnsi="Calibri" w:cs="Calibri"/>
        <w:noProof/>
      </w:rPr>
    </w:sdtEndPr>
    <w:sdtContent>
      <w:p w14:paraId="11CAFE1D" w14:textId="6DB70288" w:rsidR="00090F2C" w:rsidRPr="00B4651E" w:rsidRDefault="00090F2C">
        <w:pPr>
          <w:pStyle w:val="Footer"/>
          <w:rPr>
            <w:rFonts w:ascii="Calibri" w:hAnsi="Calibri" w:cs="Calibri"/>
          </w:rPr>
        </w:pPr>
        <w:r w:rsidRPr="00216BCD">
          <w:rPr>
            <w:rFonts w:ascii="Calibri" w:hAnsi="Calibri" w:cs="Calibri"/>
          </w:rPr>
          <w:fldChar w:fldCharType="begin"/>
        </w:r>
        <w:r w:rsidRPr="00216BCD">
          <w:rPr>
            <w:rFonts w:ascii="Calibri" w:hAnsi="Calibri" w:cs="Calibri"/>
          </w:rPr>
          <w:instrText xml:space="preserve"> PAGE   \* MERGEFORMAT </w:instrText>
        </w:r>
        <w:r w:rsidRPr="00216BCD">
          <w:rPr>
            <w:rFonts w:ascii="Calibri" w:hAnsi="Calibri" w:cs="Calibri"/>
          </w:rPr>
          <w:fldChar w:fldCharType="separate"/>
        </w:r>
        <w:r w:rsidRPr="00216BCD">
          <w:rPr>
            <w:rFonts w:ascii="Calibri" w:hAnsi="Calibri" w:cs="Calibri"/>
            <w:noProof/>
          </w:rPr>
          <w:t>3</w:t>
        </w:r>
        <w:r w:rsidRPr="00216BCD">
          <w:rPr>
            <w:rFonts w:ascii="Calibri" w:hAnsi="Calibri" w:cs="Calibr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536020"/>
      <w:docPartObj>
        <w:docPartGallery w:val="Page Numbers (Bottom of Page)"/>
        <w:docPartUnique/>
      </w:docPartObj>
    </w:sdtPr>
    <w:sdtEndPr>
      <w:rPr>
        <w:noProof/>
      </w:rPr>
    </w:sdtEndPr>
    <w:sdtContent>
      <w:p w14:paraId="4EAC1D3F" w14:textId="7C8CFA5D" w:rsidR="00090F2C" w:rsidRDefault="00090F2C">
        <w:pPr>
          <w:pStyle w:val="Footer"/>
        </w:pPr>
        <w:r>
          <w:fldChar w:fldCharType="begin"/>
        </w:r>
        <w:r>
          <w:instrText xml:space="preserve"> PAGE   \* MERGEFORMAT </w:instrText>
        </w:r>
        <w:r>
          <w:fldChar w:fldCharType="separate"/>
        </w:r>
        <w:r>
          <w:rPr>
            <w:noProof/>
          </w:rPr>
          <w:t>1</w:t>
        </w:r>
        <w:r>
          <w:rPr>
            <w:noProof/>
          </w:rPr>
          <w:fldChar w:fldCharType="end"/>
        </w:r>
      </w:p>
    </w:sdtContent>
  </w:sdt>
  <w:p w14:paraId="3BEAD47A" w14:textId="77777777" w:rsidR="00090F2C" w:rsidRDefault="00090F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383B24EC" w:rsidR="00221D8F" w:rsidRDefault="00221D8F">
    <w:pPr>
      <w:pStyle w:val="Footer"/>
    </w:pPr>
    <w:r w:rsidRPr="00AF1F18">
      <w:fldChar w:fldCharType="begin"/>
    </w:r>
    <w:r w:rsidRPr="00AF1F18">
      <w:instrText xml:space="preserve"> PAGE   \* MERGEFORMAT </w:instrText>
    </w:r>
    <w:r w:rsidRPr="00AF1F18">
      <w:fldChar w:fldCharType="separate"/>
    </w:r>
    <w:r w:rsidRPr="00AF1F18">
      <w:t>1</w:t>
    </w:r>
    <w:r w:rsidRPr="00AF1F18">
      <w:fldChar w:fldCharType="end"/>
    </w:r>
    <w:r>
      <w:rPr>
        <w:noProof/>
      </w:rPr>
      <w:drawing>
        <wp:anchor distT="0" distB="0" distL="114300" distR="114300" simplePos="0" relativeHeight="251658240" behindDoc="1" locked="1" layoutInCell="1" allowOverlap="1" wp14:anchorId="5B404273" wp14:editId="431D2B0E">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6970" w14:textId="77777777" w:rsidR="00967212" w:rsidRDefault="00967212" w:rsidP="000A6228">
      <w:pPr>
        <w:spacing w:after="0" w:line="240" w:lineRule="auto"/>
      </w:pPr>
      <w:r>
        <w:separator/>
      </w:r>
    </w:p>
  </w:footnote>
  <w:footnote w:type="continuationSeparator" w:id="0">
    <w:p w14:paraId="64C82620" w14:textId="77777777" w:rsidR="00967212" w:rsidRDefault="00967212" w:rsidP="000A6228">
      <w:pPr>
        <w:spacing w:after="0" w:line="240" w:lineRule="auto"/>
      </w:pPr>
      <w:r>
        <w:continuationSeparator/>
      </w:r>
    </w:p>
  </w:footnote>
  <w:footnote w:id="1">
    <w:p w14:paraId="0DA4213B" w14:textId="18D3DAC5" w:rsidR="0051785E" w:rsidRDefault="0051785E">
      <w:pPr>
        <w:pStyle w:val="FootnoteText"/>
      </w:pPr>
      <w:r>
        <w:rPr>
          <w:rStyle w:val="FootnoteReference"/>
        </w:rPr>
        <w:footnoteRef/>
      </w:r>
      <w:r>
        <w:t xml:space="preserve"> </w:t>
      </w:r>
      <w:r w:rsidRPr="0051785E">
        <w:rPr>
          <w:rFonts w:asciiTheme="minorHAnsi" w:hAnsiTheme="minorHAnsi" w:cstheme="minorHAnsi"/>
        </w:rPr>
        <w:t>If a jurisdiction would also like to provide visibility of a funding amount that is greater than the maximum percentage specified in their bilateral agreement, there is space to do so in the reporting template at Attachment A – see Table 1.4</w:t>
      </w:r>
      <w:r>
        <w:rPr>
          <w:rFonts w:asciiTheme="minorHAnsi" w:hAnsiTheme="minorHAnsi" w:cstheme="minorHAnsi"/>
        </w:rPr>
        <w:t>, Note 1 for further information</w:t>
      </w:r>
      <w:r w:rsidRPr="0051785E">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9132" w14:textId="11A4A8B4" w:rsidR="00090F2C" w:rsidRPr="003631C5" w:rsidRDefault="00090F2C">
    <w:pPr>
      <w:pStyle w:val="Header"/>
      <w:jc w:val="right"/>
      <w:rPr>
        <w:rFonts w:ascii="Calibri" w:hAnsi="Calibri" w:cs="Cambria"/>
        <w:b/>
      </w:rPr>
    </w:pPr>
    <w:r w:rsidRPr="003631C5">
      <w:rPr>
        <w:rFonts w:ascii="Calibri" w:hAnsi="Calibri" w:cs="Cambria"/>
      </w:rPr>
      <w:t xml:space="preserve">Guidance to </w:t>
    </w:r>
    <w:r w:rsidR="00075A6E">
      <w:rPr>
        <w:rFonts w:ascii="Calibri" w:hAnsi="Calibri" w:cs="Cambria"/>
      </w:rPr>
      <w:t>R</w:t>
    </w:r>
    <w:r w:rsidRPr="003631C5">
      <w:rPr>
        <w:rFonts w:ascii="Calibri" w:hAnsi="Calibri" w:cs="Cambria"/>
      </w:rPr>
      <w:t>eporting – State and Territory Funding Contribution Requirements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C52D" w14:textId="77777777" w:rsidR="00090F2C" w:rsidRPr="00216BCD" w:rsidRDefault="00090F2C">
    <w:pPr>
      <w:pStyle w:val="Header"/>
      <w:jc w:val="right"/>
      <w:rPr>
        <w:rFonts w:ascii="Calibri" w:hAnsi="Calibri" w:cs="Calibri"/>
        <w:b/>
      </w:rPr>
    </w:pPr>
    <w:r w:rsidRPr="00216BCD">
      <w:rPr>
        <w:rFonts w:ascii="Calibri" w:hAnsi="Calibri" w:cs="Calibri"/>
      </w:rPr>
      <w:t>Attachment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9838" w14:textId="77777777" w:rsidR="00090F2C" w:rsidRPr="00353185" w:rsidRDefault="00090F2C">
    <w:pPr>
      <w:pStyle w:val="Header"/>
      <w:tabs>
        <w:tab w:val="right" w:pos="14175"/>
      </w:tabs>
      <w:jc w:val="right"/>
      <w:rPr>
        <w:rFonts w:ascii="Calibri" w:hAnsi="Calibri" w:cs="Calibri"/>
        <w:b/>
      </w:rPr>
    </w:pPr>
    <w:r>
      <w:tab/>
    </w:r>
    <w:r w:rsidRPr="00353185">
      <w:rPr>
        <w:rFonts w:ascii="Calibri" w:hAnsi="Calibri" w:cs="Calibri"/>
      </w:rPr>
      <w:t>Attachment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489"/>
        </w:tabs>
        <w:ind w:left="48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B50C0B"/>
    <w:multiLevelType w:val="hybridMultilevel"/>
    <w:tmpl w:val="8DDE1312"/>
    <w:lvl w:ilvl="0" w:tplc="25383ABE">
      <w:start w:val="1"/>
      <w:numFmt w:val="bullet"/>
      <w:lvlText w:val=""/>
      <w:lvlJc w:val="left"/>
      <w:pPr>
        <w:ind w:left="720" w:hanging="360"/>
      </w:pPr>
      <w:rPr>
        <w:rFonts w:ascii="Symbol" w:hAnsi="Symbol" w:hint="default"/>
      </w:rPr>
    </w:lvl>
    <w:lvl w:ilvl="1" w:tplc="023ACF04" w:tentative="1">
      <w:start w:val="1"/>
      <w:numFmt w:val="bullet"/>
      <w:lvlText w:val="o"/>
      <w:lvlJc w:val="left"/>
      <w:pPr>
        <w:ind w:left="1440" w:hanging="360"/>
      </w:pPr>
      <w:rPr>
        <w:rFonts w:ascii="Courier New" w:hAnsi="Courier New" w:cs="Courier New" w:hint="default"/>
      </w:rPr>
    </w:lvl>
    <w:lvl w:ilvl="2" w:tplc="7E4231BE" w:tentative="1">
      <w:start w:val="1"/>
      <w:numFmt w:val="bullet"/>
      <w:lvlText w:val=""/>
      <w:lvlJc w:val="left"/>
      <w:pPr>
        <w:ind w:left="2160" w:hanging="360"/>
      </w:pPr>
      <w:rPr>
        <w:rFonts w:ascii="Wingdings" w:hAnsi="Wingdings" w:hint="default"/>
      </w:rPr>
    </w:lvl>
    <w:lvl w:ilvl="3" w:tplc="C1FC73A4" w:tentative="1">
      <w:start w:val="1"/>
      <w:numFmt w:val="bullet"/>
      <w:lvlText w:val=""/>
      <w:lvlJc w:val="left"/>
      <w:pPr>
        <w:ind w:left="2880" w:hanging="360"/>
      </w:pPr>
      <w:rPr>
        <w:rFonts w:ascii="Symbol" w:hAnsi="Symbol" w:hint="default"/>
      </w:rPr>
    </w:lvl>
    <w:lvl w:ilvl="4" w:tplc="F4145476" w:tentative="1">
      <w:start w:val="1"/>
      <w:numFmt w:val="bullet"/>
      <w:lvlText w:val="o"/>
      <w:lvlJc w:val="left"/>
      <w:pPr>
        <w:ind w:left="3600" w:hanging="360"/>
      </w:pPr>
      <w:rPr>
        <w:rFonts w:ascii="Courier New" w:hAnsi="Courier New" w:cs="Courier New" w:hint="default"/>
      </w:rPr>
    </w:lvl>
    <w:lvl w:ilvl="5" w:tplc="8626C9A6" w:tentative="1">
      <w:start w:val="1"/>
      <w:numFmt w:val="bullet"/>
      <w:lvlText w:val=""/>
      <w:lvlJc w:val="left"/>
      <w:pPr>
        <w:ind w:left="4320" w:hanging="360"/>
      </w:pPr>
      <w:rPr>
        <w:rFonts w:ascii="Wingdings" w:hAnsi="Wingdings" w:hint="default"/>
      </w:rPr>
    </w:lvl>
    <w:lvl w:ilvl="6" w:tplc="5D1A0A5E" w:tentative="1">
      <w:start w:val="1"/>
      <w:numFmt w:val="bullet"/>
      <w:lvlText w:val=""/>
      <w:lvlJc w:val="left"/>
      <w:pPr>
        <w:ind w:left="5040" w:hanging="360"/>
      </w:pPr>
      <w:rPr>
        <w:rFonts w:ascii="Symbol" w:hAnsi="Symbol" w:hint="default"/>
      </w:rPr>
    </w:lvl>
    <w:lvl w:ilvl="7" w:tplc="1D9E8992" w:tentative="1">
      <w:start w:val="1"/>
      <w:numFmt w:val="bullet"/>
      <w:lvlText w:val="o"/>
      <w:lvlJc w:val="left"/>
      <w:pPr>
        <w:ind w:left="5760" w:hanging="360"/>
      </w:pPr>
      <w:rPr>
        <w:rFonts w:ascii="Courier New" w:hAnsi="Courier New" w:cs="Courier New" w:hint="default"/>
      </w:rPr>
    </w:lvl>
    <w:lvl w:ilvl="8" w:tplc="159ED276" w:tentative="1">
      <w:start w:val="1"/>
      <w:numFmt w:val="bullet"/>
      <w:lvlText w:val=""/>
      <w:lvlJc w:val="left"/>
      <w:pPr>
        <w:ind w:left="6480"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B541A18"/>
    <w:multiLevelType w:val="hybridMultilevel"/>
    <w:tmpl w:val="52C0F644"/>
    <w:lvl w:ilvl="0" w:tplc="1B80740C">
      <w:numFmt w:val="bullet"/>
      <w:lvlText w:val="-"/>
      <w:lvlJc w:val="left"/>
      <w:pPr>
        <w:ind w:left="405" w:hanging="360"/>
      </w:pPr>
      <w:rPr>
        <w:rFonts w:ascii="Calibri" w:eastAsia="Calibr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5" w15:restartNumberingAfterBreak="0">
    <w:nsid w:val="222E7F6B"/>
    <w:multiLevelType w:val="hybridMultilevel"/>
    <w:tmpl w:val="0F0A6AD6"/>
    <w:lvl w:ilvl="0" w:tplc="246A4700">
      <w:start w:val="1"/>
      <w:numFmt w:val="bullet"/>
      <w:lvlText w:val=""/>
      <w:lvlJc w:val="left"/>
      <w:pPr>
        <w:ind w:left="720" w:hanging="360"/>
      </w:pPr>
      <w:rPr>
        <w:rFonts w:ascii="Symbol" w:hAnsi="Symbol" w:hint="default"/>
      </w:rPr>
    </w:lvl>
    <w:lvl w:ilvl="1" w:tplc="2C1EE688" w:tentative="1">
      <w:start w:val="1"/>
      <w:numFmt w:val="bullet"/>
      <w:lvlText w:val="o"/>
      <w:lvlJc w:val="left"/>
      <w:pPr>
        <w:ind w:left="1440" w:hanging="360"/>
      </w:pPr>
      <w:rPr>
        <w:rFonts w:ascii="Courier New" w:hAnsi="Courier New" w:cs="Courier New" w:hint="default"/>
      </w:rPr>
    </w:lvl>
    <w:lvl w:ilvl="2" w:tplc="81D2EC88" w:tentative="1">
      <w:start w:val="1"/>
      <w:numFmt w:val="bullet"/>
      <w:lvlText w:val=""/>
      <w:lvlJc w:val="left"/>
      <w:pPr>
        <w:ind w:left="2160" w:hanging="360"/>
      </w:pPr>
      <w:rPr>
        <w:rFonts w:ascii="Wingdings" w:hAnsi="Wingdings" w:hint="default"/>
      </w:rPr>
    </w:lvl>
    <w:lvl w:ilvl="3" w:tplc="9BC42E12" w:tentative="1">
      <w:start w:val="1"/>
      <w:numFmt w:val="bullet"/>
      <w:lvlText w:val=""/>
      <w:lvlJc w:val="left"/>
      <w:pPr>
        <w:ind w:left="2880" w:hanging="360"/>
      </w:pPr>
      <w:rPr>
        <w:rFonts w:ascii="Symbol" w:hAnsi="Symbol" w:hint="default"/>
      </w:rPr>
    </w:lvl>
    <w:lvl w:ilvl="4" w:tplc="DFB60966" w:tentative="1">
      <w:start w:val="1"/>
      <w:numFmt w:val="bullet"/>
      <w:lvlText w:val="o"/>
      <w:lvlJc w:val="left"/>
      <w:pPr>
        <w:ind w:left="3600" w:hanging="360"/>
      </w:pPr>
      <w:rPr>
        <w:rFonts w:ascii="Courier New" w:hAnsi="Courier New" w:cs="Courier New" w:hint="default"/>
      </w:rPr>
    </w:lvl>
    <w:lvl w:ilvl="5" w:tplc="02A272AC" w:tentative="1">
      <w:start w:val="1"/>
      <w:numFmt w:val="bullet"/>
      <w:lvlText w:val=""/>
      <w:lvlJc w:val="left"/>
      <w:pPr>
        <w:ind w:left="4320" w:hanging="360"/>
      </w:pPr>
      <w:rPr>
        <w:rFonts w:ascii="Wingdings" w:hAnsi="Wingdings" w:hint="default"/>
      </w:rPr>
    </w:lvl>
    <w:lvl w:ilvl="6" w:tplc="C5502BA0" w:tentative="1">
      <w:start w:val="1"/>
      <w:numFmt w:val="bullet"/>
      <w:lvlText w:val=""/>
      <w:lvlJc w:val="left"/>
      <w:pPr>
        <w:ind w:left="5040" w:hanging="360"/>
      </w:pPr>
      <w:rPr>
        <w:rFonts w:ascii="Symbol" w:hAnsi="Symbol" w:hint="default"/>
      </w:rPr>
    </w:lvl>
    <w:lvl w:ilvl="7" w:tplc="26747CD8" w:tentative="1">
      <w:start w:val="1"/>
      <w:numFmt w:val="bullet"/>
      <w:lvlText w:val="o"/>
      <w:lvlJc w:val="left"/>
      <w:pPr>
        <w:ind w:left="5760" w:hanging="360"/>
      </w:pPr>
      <w:rPr>
        <w:rFonts w:ascii="Courier New" w:hAnsi="Courier New" w:cs="Courier New" w:hint="default"/>
      </w:rPr>
    </w:lvl>
    <w:lvl w:ilvl="8" w:tplc="ECA4ED04" w:tentative="1">
      <w:start w:val="1"/>
      <w:numFmt w:val="bullet"/>
      <w:lvlText w:val=""/>
      <w:lvlJc w:val="left"/>
      <w:pPr>
        <w:ind w:left="6480" w:hanging="360"/>
      </w:pPr>
      <w:rPr>
        <w:rFonts w:ascii="Wingdings" w:hAnsi="Wingdings" w:hint="default"/>
      </w:rPr>
    </w:lvl>
  </w:abstractNum>
  <w:abstractNum w:abstractNumId="16" w15:restartNumberingAfterBreak="0">
    <w:nsid w:val="286435C0"/>
    <w:multiLevelType w:val="hybridMultilevel"/>
    <w:tmpl w:val="85E2C4EC"/>
    <w:lvl w:ilvl="0" w:tplc="3A2C2B96">
      <w:numFmt w:val="bullet"/>
      <w:lvlText w:val="-"/>
      <w:lvlJc w:val="left"/>
      <w:pPr>
        <w:ind w:left="720" w:hanging="360"/>
      </w:pPr>
      <w:rPr>
        <w:rFonts w:ascii="Calibri" w:eastAsia="Calibri" w:hAnsi="Calibri" w:cs="Calibr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8E231C"/>
    <w:multiLevelType w:val="hybridMultilevel"/>
    <w:tmpl w:val="354AE822"/>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8" w15:restartNumberingAfterBreak="0">
    <w:nsid w:val="2DD27FD0"/>
    <w:multiLevelType w:val="hybridMultilevel"/>
    <w:tmpl w:val="314A69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094698E"/>
    <w:multiLevelType w:val="multilevel"/>
    <w:tmpl w:val="7C80B6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DA074F"/>
    <w:multiLevelType w:val="hybridMultilevel"/>
    <w:tmpl w:val="1910EF40"/>
    <w:lvl w:ilvl="0" w:tplc="6B6C69A2">
      <w:start w:val="1"/>
      <w:numFmt w:val="bullet"/>
      <w:lvlText w:val=""/>
      <w:lvlJc w:val="left"/>
      <w:pPr>
        <w:ind w:left="720" w:hanging="360"/>
      </w:pPr>
      <w:rPr>
        <w:rFonts w:ascii="Symbol" w:hAnsi="Symbol" w:hint="default"/>
      </w:rPr>
    </w:lvl>
    <w:lvl w:ilvl="1" w:tplc="EAAC6442">
      <w:start w:val="1"/>
      <w:numFmt w:val="bullet"/>
      <w:lvlText w:val="o"/>
      <w:lvlJc w:val="left"/>
      <w:pPr>
        <w:ind w:left="1440" w:hanging="360"/>
      </w:pPr>
      <w:rPr>
        <w:rFonts w:ascii="Courier New" w:hAnsi="Courier New" w:cs="Courier New" w:hint="default"/>
      </w:rPr>
    </w:lvl>
    <w:lvl w:ilvl="2" w:tplc="9EE2E688">
      <w:start w:val="1"/>
      <w:numFmt w:val="bullet"/>
      <w:lvlText w:val=""/>
      <w:lvlJc w:val="left"/>
      <w:pPr>
        <w:ind w:left="2160" w:hanging="360"/>
      </w:pPr>
      <w:rPr>
        <w:rFonts w:ascii="Wingdings" w:hAnsi="Wingdings" w:hint="default"/>
      </w:rPr>
    </w:lvl>
    <w:lvl w:ilvl="3" w:tplc="8F9E0C30">
      <w:start w:val="1"/>
      <w:numFmt w:val="bullet"/>
      <w:lvlText w:val=""/>
      <w:lvlJc w:val="left"/>
      <w:pPr>
        <w:ind w:left="2880" w:hanging="360"/>
      </w:pPr>
      <w:rPr>
        <w:rFonts w:ascii="Symbol" w:hAnsi="Symbol" w:hint="default"/>
      </w:rPr>
    </w:lvl>
    <w:lvl w:ilvl="4" w:tplc="D1E24DF2">
      <w:start w:val="1"/>
      <w:numFmt w:val="bullet"/>
      <w:lvlText w:val="o"/>
      <w:lvlJc w:val="left"/>
      <w:pPr>
        <w:ind w:left="3600" w:hanging="360"/>
      </w:pPr>
      <w:rPr>
        <w:rFonts w:ascii="Courier New" w:hAnsi="Courier New" w:cs="Courier New" w:hint="default"/>
      </w:rPr>
    </w:lvl>
    <w:lvl w:ilvl="5" w:tplc="8CA4F8DC">
      <w:start w:val="1"/>
      <w:numFmt w:val="bullet"/>
      <w:lvlText w:val=""/>
      <w:lvlJc w:val="left"/>
      <w:pPr>
        <w:ind w:left="4320" w:hanging="360"/>
      </w:pPr>
      <w:rPr>
        <w:rFonts w:ascii="Wingdings" w:hAnsi="Wingdings" w:hint="default"/>
      </w:rPr>
    </w:lvl>
    <w:lvl w:ilvl="6" w:tplc="C0EA7484">
      <w:start w:val="1"/>
      <w:numFmt w:val="bullet"/>
      <w:lvlText w:val=""/>
      <w:lvlJc w:val="left"/>
      <w:pPr>
        <w:ind w:left="5040" w:hanging="360"/>
      </w:pPr>
      <w:rPr>
        <w:rFonts w:ascii="Symbol" w:hAnsi="Symbol" w:hint="default"/>
      </w:rPr>
    </w:lvl>
    <w:lvl w:ilvl="7" w:tplc="78000EA0">
      <w:start w:val="1"/>
      <w:numFmt w:val="bullet"/>
      <w:lvlText w:val="o"/>
      <w:lvlJc w:val="left"/>
      <w:pPr>
        <w:ind w:left="5760" w:hanging="360"/>
      </w:pPr>
      <w:rPr>
        <w:rFonts w:ascii="Courier New" w:hAnsi="Courier New" w:cs="Courier New" w:hint="default"/>
      </w:rPr>
    </w:lvl>
    <w:lvl w:ilvl="8" w:tplc="4ECEC50A">
      <w:start w:val="1"/>
      <w:numFmt w:val="bullet"/>
      <w:lvlText w:val=""/>
      <w:lvlJc w:val="left"/>
      <w:pPr>
        <w:ind w:left="6480" w:hanging="360"/>
      </w:pPr>
      <w:rPr>
        <w:rFonts w:ascii="Wingdings" w:hAnsi="Wingding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A7F4F1E"/>
    <w:multiLevelType w:val="hybridMultilevel"/>
    <w:tmpl w:val="E4646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1636"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0B07F20"/>
    <w:multiLevelType w:val="hybridMultilevel"/>
    <w:tmpl w:val="E7FE922A"/>
    <w:lvl w:ilvl="0" w:tplc="F7FE82E0">
      <w:start w:val="1"/>
      <w:numFmt w:val="lowerLetter"/>
      <w:pStyle w:val="ListRecommendation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0A64DD"/>
    <w:multiLevelType w:val="hybridMultilevel"/>
    <w:tmpl w:val="8EA6F4E6"/>
    <w:lvl w:ilvl="0" w:tplc="ED404B4E">
      <w:start w:val="1"/>
      <w:numFmt w:val="bullet"/>
      <w:lvlText w:val=""/>
      <w:lvlJc w:val="left"/>
      <w:pPr>
        <w:ind w:left="720" w:hanging="360"/>
      </w:pPr>
      <w:rPr>
        <w:rFonts w:ascii="Symbol" w:hAnsi="Symbol" w:hint="default"/>
      </w:rPr>
    </w:lvl>
    <w:lvl w:ilvl="1" w:tplc="68166AE6" w:tentative="1">
      <w:start w:val="1"/>
      <w:numFmt w:val="bullet"/>
      <w:lvlText w:val="o"/>
      <w:lvlJc w:val="left"/>
      <w:pPr>
        <w:ind w:left="1440" w:hanging="360"/>
      </w:pPr>
      <w:rPr>
        <w:rFonts w:ascii="Courier New" w:hAnsi="Courier New" w:cs="Courier New" w:hint="default"/>
      </w:rPr>
    </w:lvl>
    <w:lvl w:ilvl="2" w:tplc="756050D6" w:tentative="1">
      <w:start w:val="1"/>
      <w:numFmt w:val="bullet"/>
      <w:lvlText w:val=""/>
      <w:lvlJc w:val="left"/>
      <w:pPr>
        <w:ind w:left="2160" w:hanging="360"/>
      </w:pPr>
      <w:rPr>
        <w:rFonts w:ascii="Wingdings" w:hAnsi="Wingdings" w:hint="default"/>
      </w:rPr>
    </w:lvl>
    <w:lvl w:ilvl="3" w:tplc="98C8BA36" w:tentative="1">
      <w:start w:val="1"/>
      <w:numFmt w:val="bullet"/>
      <w:lvlText w:val=""/>
      <w:lvlJc w:val="left"/>
      <w:pPr>
        <w:ind w:left="2880" w:hanging="360"/>
      </w:pPr>
      <w:rPr>
        <w:rFonts w:ascii="Symbol" w:hAnsi="Symbol" w:hint="default"/>
      </w:rPr>
    </w:lvl>
    <w:lvl w:ilvl="4" w:tplc="40905562" w:tentative="1">
      <w:start w:val="1"/>
      <w:numFmt w:val="bullet"/>
      <w:lvlText w:val="o"/>
      <w:lvlJc w:val="left"/>
      <w:pPr>
        <w:ind w:left="3600" w:hanging="360"/>
      </w:pPr>
      <w:rPr>
        <w:rFonts w:ascii="Courier New" w:hAnsi="Courier New" w:cs="Courier New" w:hint="default"/>
      </w:rPr>
    </w:lvl>
    <w:lvl w:ilvl="5" w:tplc="25B6FC84" w:tentative="1">
      <w:start w:val="1"/>
      <w:numFmt w:val="bullet"/>
      <w:lvlText w:val=""/>
      <w:lvlJc w:val="left"/>
      <w:pPr>
        <w:ind w:left="4320" w:hanging="360"/>
      </w:pPr>
      <w:rPr>
        <w:rFonts w:ascii="Wingdings" w:hAnsi="Wingdings" w:hint="default"/>
      </w:rPr>
    </w:lvl>
    <w:lvl w:ilvl="6" w:tplc="1EDA0BB4" w:tentative="1">
      <w:start w:val="1"/>
      <w:numFmt w:val="bullet"/>
      <w:lvlText w:val=""/>
      <w:lvlJc w:val="left"/>
      <w:pPr>
        <w:ind w:left="5040" w:hanging="360"/>
      </w:pPr>
      <w:rPr>
        <w:rFonts w:ascii="Symbol" w:hAnsi="Symbol" w:hint="default"/>
      </w:rPr>
    </w:lvl>
    <w:lvl w:ilvl="7" w:tplc="7C8C79B6" w:tentative="1">
      <w:start w:val="1"/>
      <w:numFmt w:val="bullet"/>
      <w:lvlText w:val="o"/>
      <w:lvlJc w:val="left"/>
      <w:pPr>
        <w:ind w:left="5760" w:hanging="360"/>
      </w:pPr>
      <w:rPr>
        <w:rFonts w:ascii="Courier New" w:hAnsi="Courier New" w:cs="Courier New" w:hint="default"/>
      </w:rPr>
    </w:lvl>
    <w:lvl w:ilvl="8" w:tplc="CD6C60AE" w:tentative="1">
      <w:start w:val="1"/>
      <w:numFmt w:val="bullet"/>
      <w:lvlText w:val=""/>
      <w:lvlJc w:val="left"/>
      <w:pPr>
        <w:ind w:left="6480" w:hanging="360"/>
      </w:pPr>
      <w:rPr>
        <w:rFonts w:ascii="Wingdings" w:hAnsi="Wingdings" w:hint="default"/>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2C006CE"/>
    <w:multiLevelType w:val="hybridMultilevel"/>
    <w:tmpl w:val="968CDF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3A3081A"/>
    <w:multiLevelType w:val="hybridMultilevel"/>
    <w:tmpl w:val="514430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404078A"/>
    <w:multiLevelType w:val="hybridMultilevel"/>
    <w:tmpl w:val="C7FA4038"/>
    <w:lvl w:ilvl="0" w:tplc="E7E8620C">
      <w:start w:val="1"/>
      <w:numFmt w:val="bullet"/>
      <w:lvlText w:val=""/>
      <w:lvlJc w:val="left"/>
      <w:pPr>
        <w:ind w:left="720" w:hanging="360"/>
      </w:pPr>
      <w:rPr>
        <w:rFonts w:ascii="Symbol" w:hAnsi="Symbol" w:hint="default"/>
      </w:rPr>
    </w:lvl>
    <w:lvl w:ilvl="1" w:tplc="DA241B4E" w:tentative="1">
      <w:start w:val="1"/>
      <w:numFmt w:val="bullet"/>
      <w:lvlText w:val="o"/>
      <w:lvlJc w:val="left"/>
      <w:pPr>
        <w:ind w:left="1440" w:hanging="360"/>
      </w:pPr>
      <w:rPr>
        <w:rFonts w:ascii="Courier New" w:hAnsi="Courier New" w:cs="Courier New" w:hint="default"/>
      </w:rPr>
    </w:lvl>
    <w:lvl w:ilvl="2" w:tplc="BED206CC" w:tentative="1">
      <w:start w:val="1"/>
      <w:numFmt w:val="bullet"/>
      <w:lvlText w:val=""/>
      <w:lvlJc w:val="left"/>
      <w:pPr>
        <w:ind w:left="2160" w:hanging="360"/>
      </w:pPr>
      <w:rPr>
        <w:rFonts w:ascii="Wingdings" w:hAnsi="Wingdings" w:hint="default"/>
      </w:rPr>
    </w:lvl>
    <w:lvl w:ilvl="3" w:tplc="10329F78" w:tentative="1">
      <w:start w:val="1"/>
      <w:numFmt w:val="bullet"/>
      <w:lvlText w:val=""/>
      <w:lvlJc w:val="left"/>
      <w:pPr>
        <w:ind w:left="2880" w:hanging="360"/>
      </w:pPr>
      <w:rPr>
        <w:rFonts w:ascii="Symbol" w:hAnsi="Symbol" w:hint="default"/>
      </w:rPr>
    </w:lvl>
    <w:lvl w:ilvl="4" w:tplc="6EB464F8" w:tentative="1">
      <w:start w:val="1"/>
      <w:numFmt w:val="bullet"/>
      <w:lvlText w:val="o"/>
      <w:lvlJc w:val="left"/>
      <w:pPr>
        <w:ind w:left="3600" w:hanging="360"/>
      </w:pPr>
      <w:rPr>
        <w:rFonts w:ascii="Courier New" w:hAnsi="Courier New" w:cs="Courier New" w:hint="default"/>
      </w:rPr>
    </w:lvl>
    <w:lvl w:ilvl="5" w:tplc="19285D2C" w:tentative="1">
      <w:start w:val="1"/>
      <w:numFmt w:val="bullet"/>
      <w:lvlText w:val=""/>
      <w:lvlJc w:val="left"/>
      <w:pPr>
        <w:ind w:left="4320" w:hanging="360"/>
      </w:pPr>
      <w:rPr>
        <w:rFonts w:ascii="Wingdings" w:hAnsi="Wingdings" w:hint="default"/>
      </w:rPr>
    </w:lvl>
    <w:lvl w:ilvl="6" w:tplc="DB087DE0" w:tentative="1">
      <w:start w:val="1"/>
      <w:numFmt w:val="bullet"/>
      <w:lvlText w:val=""/>
      <w:lvlJc w:val="left"/>
      <w:pPr>
        <w:ind w:left="5040" w:hanging="360"/>
      </w:pPr>
      <w:rPr>
        <w:rFonts w:ascii="Symbol" w:hAnsi="Symbol" w:hint="default"/>
      </w:rPr>
    </w:lvl>
    <w:lvl w:ilvl="7" w:tplc="8668BD0E" w:tentative="1">
      <w:start w:val="1"/>
      <w:numFmt w:val="bullet"/>
      <w:lvlText w:val="o"/>
      <w:lvlJc w:val="left"/>
      <w:pPr>
        <w:ind w:left="5760" w:hanging="360"/>
      </w:pPr>
      <w:rPr>
        <w:rFonts w:ascii="Courier New" w:hAnsi="Courier New" w:cs="Courier New" w:hint="default"/>
      </w:rPr>
    </w:lvl>
    <w:lvl w:ilvl="8" w:tplc="3BA467AE" w:tentative="1">
      <w:start w:val="1"/>
      <w:numFmt w:val="bullet"/>
      <w:lvlText w:val=""/>
      <w:lvlJc w:val="left"/>
      <w:pPr>
        <w:ind w:left="6480" w:hanging="360"/>
      </w:pPr>
      <w:rPr>
        <w:rFonts w:ascii="Wingdings" w:hAnsi="Wingdings" w:hint="default"/>
      </w:rPr>
    </w:lvl>
  </w:abstractNum>
  <w:abstractNum w:abstractNumId="33" w15:restartNumberingAfterBreak="0">
    <w:nsid w:val="79CC6860"/>
    <w:multiLevelType w:val="hybridMultilevel"/>
    <w:tmpl w:val="DD92D3E6"/>
    <w:lvl w:ilvl="0" w:tplc="C220E9B2">
      <w:start w:val="1"/>
      <w:numFmt w:val="bullet"/>
      <w:lvlText w:val=""/>
      <w:lvlJc w:val="left"/>
      <w:pPr>
        <w:ind w:left="720" w:hanging="360"/>
      </w:pPr>
      <w:rPr>
        <w:rFonts w:ascii="Symbol" w:hAnsi="Symbol" w:hint="default"/>
      </w:rPr>
    </w:lvl>
    <w:lvl w:ilvl="1" w:tplc="F03A95F8" w:tentative="1">
      <w:start w:val="1"/>
      <w:numFmt w:val="bullet"/>
      <w:lvlText w:val="o"/>
      <w:lvlJc w:val="left"/>
      <w:pPr>
        <w:ind w:left="1440" w:hanging="360"/>
      </w:pPr>
      <w:rPr>
        <w:rFonts w:ascii="Courier New" w:hAnsi="Courier New" w:cs="Courier New" w:hint="default"/>
      </w:rPr>
    </w:lvl>
    <w:lvl w:ilvl="2" w:tplc="AF6C7864" w:tentative="1">
      <w:start w:val="1"/>
      <w:numFmt w:val="bullet"/>
      <w:lvlText w:val=""/>
      <w:lvlJc w:val="left"/>
      <w:pPr>
        <w:ind w:left="2160" w:hanging="360"/>
      </w:pPr>
      <w:rPr>
        <w:rFonts w:ascii="Wingdings" w:hAnsi="Wingdings" w:hint="default"/>
      </w:rPr>
    </w:lvl>
    <w:lvl w:ilvl="3" w:tplc="F2286F8E" w:tentative="1">
      <w:start w:val="1"/>
      <w:numFmt w:val="bullet"/>
      <w:lvlText w:val=""/>
      <w:lvlJc w:val="left"/>
      <w:pPr>
        <w:ind w:left="2880" w:hanging="360"/>
      </w:pPr>
      <w:rPr>
        <w:rFonts w:ascii="Symbol" w:hAnsi="Symbol" w:hint="default"/>
      </w:rPr>
    </w:lvl>
    <w:lvl w:ilvl="4" w:tplc="38BCD078" w:tentative="1">
      <w:start w:val="1"/>
      <w:numFmt w:val="bullet"/>
      <w:lvlText w:val="o"/>
      <w:lvlJc w:val="left"/>
      <w:pPr>
        <w:ind w:left="3600" w:hanging="360"/>
      </w:pPr>
      <w:rPr>
        <w:rFonts w:ascii="Courier New" w:hAnsi="Courier New" w:cs="Courier New" w:hint="default"/>
      </w:rPr>
    </w:lvl>
    <w:lvl w:ilvl="5" w:tplc="263E9E58" w:tentative="1">
      <w:start w:val="1"/>
      <w:numFmt w:val="bullet"/>
      <w:lvlText w:val=""/>
      <w:lvlJc w:val="left"/>
      <w:pPr>
        <w:ind w:left="4320" w:hanging="360"/>
      </w:pPr>
      <w:rPr>
        <w:rFonts w:ascii="Wingdings" w:hAnsi="Wingdings" w:hint="default"/>
      </w:rPr>
    </w:lvl>
    <w:lvl w:ilvl="6" w:tplc="198A07BA" w:tentative="1">
      <w:start w:val="1"/>
      <w:numFmt w:val="bullet"/>
      <w:lvlText w:val=""/>
      <w:lvlJc w:val="left"/>
      <w:pPr>
        <w:ind w:left="5040" w:hanging="360"/>
      </w:pPr>
      <w:rPr>
        <w:rFonts w:ascii="Symbol" w:hAnsi="Symbol" w:hint="default"/>
      </w:rPr>
    </w:lvl>
    <w:lvl w:ilvl="7" w:tplc="DF5C7DC0" w:tentative="1">
      <w:start w:val="1"/>
      <w:numFmt w:val="bullet"/>
      <w:lvlText w:val="o"/>
      <w:lvlJc w:val="left"/>
      <w:pPr>
        <w:ind w:left="5760" w:hanging="360"/>
      </w:pPr>
      <w:rPr>
        <w:rFonts w:ascii="Courier New" w:hAnsi="Courier New" w:cs="Courier New" w:hint="default"/>
      </w:rPr>
    </w:lvl>
    <w:lvl w:ilvl="8" w:tplc="9AE25E4A" w:tentative="1">
      <w:start w:val="1"/>
      <w:numFmt w:val="bullet"/>
      <w:lvlText w:val=""/>
      <w:lvlJc w:val="left"/>
      <w:pPr>
        <w:ind w:left="6480" w:hanging="360"/>
      </w:pPr>
      <w:rPr>
        <w:rFonts w:ascii="Wingdings" w:hAnsi="Wingdings" w:hint="default"/>
      </w:rPr>
    </w:lvl>
  </w:abstractNum>
  <w:num w:numId="1" w16cid:durableId="2057771331">
    <w:abstractNumId w:val="13"/>
  </w:num>
  <w:num w:numId="2" w16cid:durableId="1026830571">
    <w:abstractNumId w:val="6"/>
  </w:num>
  <w:num w:numId="3" w16cid:durableId="300886962">
    <w:abstractNumId w:val="5"/>
  </w:num>
  <w:num w:numId="4" w16cid:durableId="398595289">
    <w:abstractNumId w:val="4"/>
  </w:num>
  <w:num w:numId="5" w16cid:durableId="192810015">
    <w:abstractNumId w:val="20"/>
  </w:num>
  <w:num w:numId="6" w16cid:durableId="1961837841">
    <w:abstractNumId w:val="2"/>
  </w:num>
  <w:num w:numId="7" w16cid:durableId="1082020473">
    <w:abstractNumId w:val="1"/>
  </w:num>
  <w:num w:numId="8" w16cid:durableId="892811551">
    <w:abstractNumId w:val="0"/>
  </w:num>
  <w:num w:numId="9" w16cid:durableId="1625384039">
    <w:abstractNumId w:val="19"/>
  </w:num>
  <w:num w:numId="10" w16cid:durableId="830802015">
    <w:abstractNumId w:val="8"/>
  </w:num>
  <w:num w:numId="11" w16cid:durableId="1851023052">
    <w:abstractNumId w:val="28"/>
  </w:num>
  <w:num w:numId="12" w16cid:durableId="1201165341">
    <w:abstractNumId w:val="11"/>
  </w:num>
  <w:num w:numId="13" w16cid:durableId="14196693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0650449">
    <w:abstractNumId w:val="10"/>
  </w:num>
  <w:num w:numId="15" w16cid:durableId="1838154833">
    <w:abstractNumId w:val="7"/>
  </w:num>
  <w:num w:numId="16" w16cid:durableId="580454271">
    <w:abstractNumId w:val="31"/>
  </w:num>
  <w:num w:numId="17" w16cid:durableId="1154950949">
    <w:abstractNumId w:val="23"/>
  </w:num>
  <w:num w:numId="18" w16cid:durableId="2015691380">
    <w:abstractNumId w:val="9"/>
  </w:num>
  <w:num w:numId="19" w16cid:durableId="2033533161">
    <w:abstractNumId w:val="25"/>
  </w:num>
  <w:num w:numId="20" w16cid:durableId="1181773441">
    <w:abstractNumId w:val="3"/>
  </w:num>
  <w:num w:numId="21" w16cid:durableId="328026088">
    <w:abstractNumId w:val="21"/>
  </w:num>
  <w:num w:numId="22" w16cid:durableId="1296908481">
    <w:abstractNumId w:val="27"/>
  </w:num>
  <w:num w:numId="23" w16cid:durableId="1718508035">
    <w:abstractNumId w:val="15"/>
  </w:num>
  <w:num w:numId="24" w16cid:durableId="1711106548">
    <w:abstractNumId w:val="12"/>
  </w:num>
  <w:num w:numId="25" w16cid:durableId="158737520">
    <w:abstractNumId w:val="32"/>
  </w:num>
  <w:num w:numId="26" w16cid:durableId="427507410">
    <w:abstractNumId w:val="33"/>
  </w:num>
  <w:num w:numId="27" w16cid:durableId="136650240">
    <w:abstractNumId w:val="14"/>
  </w:num>
  <w:num w:numId="28" w16cid:durableId="1283882953">
    <w:abstractNumId w:val="26"/>
  </w:num>
  <w:num w:numId="29" w16cid:durableId="499083910">
    <w:abstractNumId w:val="26"/>
    <w:lvlOverride w:ilvl="0">
      <w:startOverride w:val="1"/>
    </w:lvlOverride>
  </w:num>
  <w:num w:numId="30" w16cid:durableId="462116445">
    <w:abstractNumId w:val="22"/>
  </w:num>
  <w:num w:numId="31" w16cid:durableId="1766000658">
    <w:abstractNumId w:val="24"/>
  </w:num>
  <w:num w:numId="32" w16cid:durableId="879778148">
    <w:abstractNumId w:val="17"/>
  </w:num>
  <w:num w:numId="33" w16cid:durableId="1009911371">
    <w:abstractNumId w:val="16"/>
  </w:num>
  <w:num w:numId="34" w16cid:durableId="457840034">
    <w:abstractNumId w:val="18"/>
  </w:num>
  <w:num w:numId="35" w16cid:durableId="215628025">
    <w:abstractNumId w:val="30"/>
  </w:num>
  <w:num w:numId="36" w16cid:durableId="2147308795">
    <w:abstractNumId w:val="29"/>
  </w:num>
  <w:num w:numId="37" w16cid:durableId="108063903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F9"/>
    <w:rsid w:val="0000164D"/>
    <w:rsid w:val="00002395"/>
    <w:rsid w:val="000048FA"/>
    <w:rsid w:val="00004F87"/>
    <w:rsid w:val="00007E60"/>
    <w:rsid w:val="000102F3"/>
    <w:rsid w:val="00012366"/>
    <w:rsid w:val="000123A2"/>
    <w:rsid w:val="000151C1"/>
    <w:rsid w:val="000166E6"/>
    <w:rsid w:val="00016810"/>
    <w:rsid w:val="00017241"/>
    <w:rsid w:val="0002006C"/>
    <w:rsid w:val="000205B9"/>
    <w:rsid w:val="00021CA1"/>
    <w:rsid w:val="00021FBE"/>
    <w:rsid w:val="00024180"/>
    <w:rsid w:val="00024316"/>
    <w:rsid w:val="00024454"/>
    <w:rsid w:val="00024883"/>
    <w:rsid w:val="0002643A"/>
    <w:rsid w:val="0002708B"/>
    <w:rsid w:val="0002762A"/>
    <w:rsid w:val="00031F1E"/>
    <w:rsid w:val="00037B31"/>
    <w:rsid w:val="00040F74"/>
    <w:rsid w:val="00044CCB"/>
    <w:rsid w:val="00046370"/>
    <w:rsid w:val="00046BFA"/>
    <w:rsid w:val="00046E1E"/>
    <w:rsid w:val="00047965"/>
    <w:rsid w:val="000521D7"/>
    <w:rsid w:val="00052DB7"/>
    <w:rsid w:val="000531BD"/>
    <w:rsid w:val="00054CE0"/>
    <w:rsid w:val="00055DA3"/>
    <w:rsid w:val="00065DEF"/>
    <w:rsid w:val="00066409"/>
    <w:rsid w:val="000674CA"/>
    <w:rsid w:val="00072EBB"/>
    <w:rsid w:val="00074323"/>
    <w:rsid w:val="0007469B"/>
    <w:rsid w:val="00075A6E"/>
    <w:rsid w:val="000826AB"/>
    <w:rsid w:val="00087E65"/>
    <w:rsid w:val="00090F2C"/>
    <w:rsid w:val="000935E3"/>
    <w:rsid w:val="00095112"/>
    <w:rsid w:val="000957F4"/>
    <w:rsid w:val="000A0B58"/>
    <w:rsid w:val="000A6228"/>
    <w:rsid w:val="000A6A09"/>
    <w:rsid w:val="000A7582"/>
    <w:rsid w:val="000A75EF"/>
    <w:rsid w:val="000B0160"/>
    <w:rsid w:val="000B365B"/>
    <w:rsid w:val="000B3806"/>
    <w:rsid w:val="000B3913"/>
    <w:rsid w:val="000B4447"/>
    <w:rsid w:val="000B596A"/>
    <w:rsid w:val="000B5D40"/>
    <w:rsid w:val="000B7B1B"/>
    <w:rsid w:val="000B7EC6"/>
    <w:rsid w:val="000C0C5E"/>
    <w:rsid w:val="000C1039"/>
    <w:rsid w:val="000C1F1A"/>
    <w:rsid w:val="000C21F0"/>
    <w:rsid w:val="000C3BB9"/>
    <w:rsid w:val="000C5A04"/>
    <w:rsid w:val="000D2E5C"/>
    <w:rsid w:val="000E1DCB"/>
    <w:rsid w:val="000E626B"/>
    <w:rsid w:val="000E6D17"/>
    <w:rsid w:val="000F0407"/>
    <w:rsid w:val="000F29E6"/>
    <w:rsid w:val="000F5086"/>
    <w:rsid w:val="000F5F71"/>
    <w:rsid w:val="001021C9"/>
    <w:rsid w:val="00105A9F"/>
    <w:rsid w:val="00105DF9"/>
    <w:rsid w:val="00106333"/>
    <w:rsid w:val="00107D87"/>
    <w:rsid w:val="00107DD5"/>
    <w:rsid w:val="0011174D"/>
    <w:rsid w:val="00112BED"/>
    <w:rsid w:val="001131A6"/>
    <w:rsid w:val="0012343A"/>
    <w:rsid w:val="00123B0F"/>
    <w:rsid w:val="00133B8D"/>
    <w:rsid w:val="001352B8"/>
    <w:rsid w:val="0013611E"/>
    <w:rsid w:val="00136449"/>
    <w:rsid w:val="00137172"/>
    <w:rsid w:val="00137590"/>
    <w:rsid w:val="00137BAF"/>
    <w:rsid w:val="001412F1"/>
    <w:rsid w:val="0014487A"/>
    <w:rsid w:val="0014551A"/>
    <w:rsid w:val="00146971"/>
    <w:rsid w:val="00146EB2"/>
    <w:rsid w:val="001470C7"/>
    <w:rsid w:val="00147BE7"/>
    <w:rsid w:val="0015142D"/>
    <w:rsid w:val="00151527"/>
    <w:rsid w:val="001515BF"/>
    <w:rsid w:val="00151C86"/>
    <w:rsid w:val="0015433E"/>
    <w:rsid w:val="00154ACC"/>
    <w:rsid w:val="0016095D"/>
    <w:rsid w:val="00161326"/>
    <w:rsid w:val="00166008"/>
    <w:rsid w:val="0016651E"/>
    <w:rsid w:val="0017134D"/>
    <w:rsid w:val="00171E95"/>
    <w:rsid w:val="00175995"/>
    <w:rsid w:val="00177747"/>
    <w:rsid w:val="0018013D"/>
    <w:rsid w:val="00181B19"/>
    <w:rsid w:val="00184A6B"/>
    <w:rsid w:val="00185DA0"/>
    <w:rsid w:val="0018601A"/>
    <w:rsid w:val="001877E9"/>
    <w:rsid w:val="001905E0"/>
    <w:rsid w:val="0019113C"/>
    <w:rsid w:val="001939B6"/>
    <w:rsid w:val="00196010"/>
    <w:rsid w:val="001976BA"/>
    <w:rsid w:val="00197F09"/>
    <w:rsid w:val="001A04C7"/>
    <w:rsid w:val="001A13C6"/>
    <w:rsid w:val="001A29D6"/>
    <w:rsid w:val="001A5453"/>
    <w:rsid w:val="001A779A"/>
    <w:rsid w:val="001A7D42"/>
    <w:rsid w:val="001B0A09"/>
    <w:rsid w:val="001B1583"/>
    <w:rsid w:val="001B2CD8"/>
    <w:rsid w:val="001B3406"/>
    <w:rsid w:val="001B56FC"/>
    <w:rsid w:val="001C1523"/>
    <w:rsid w:val="001C16C9"/>
    <w:rsid w:val="001C27F5"/>
    <w:rsid w:val="001C54F0"/>
    <w:rsid w:val="001C5736"/>
    <w:rsid w:val="001D1783"/>
    <w:rsid w:val="001D721F"/>
    <w:rsid w:val="001D79AF"/>
    <w:rsid w:val="001E27F9"/>
    <w:rsid w:val="001E379C"/>
    <w:rsid w:val="001E4AA2"/>
    <w:rsid w:val="001E5452"/>
    <w:rsid w:val="001E7A2B"/>
    <w:rsid w:val="001F2386"/>
    <w:rsid w:val="001F4968"/>
    <w:rsid w:val="001F5201"/>
    <w:rsid w:val="001F5B72"/>
    <w:rsid w:val="001F63E5"/>
    <w:rsid w:val="001F7847"/>
    <w:rsid w:val="00200E27"/>
    <w:rsid w:val="0020319B"/>
    <w:rsid w:val="00207C0A"/>
    <w:rsid w:val="00211523"/>
    <w:rsid w:val="00211668"/>
    <w:rsid w:val="0021442F"/>
    <w:rsid w:val="00214546"/>
    <w:rsid w:val="002168CA"/>
    <w:rsid w:val="00217CA4"/>
    <w:rsid w:val="00221083"/>
    <w:rsid w:val="00221D8F"/>
    <w:rsid w:val="00222822"/>
    <w:rsid w:val="00223BAA"/>
    <w:rsid w:val="00225796"/>
    <w:rsid w:val="002272DB"/>
    <w:rsid w:val="00230247"/>
    <w:rsid w:val="00236584"/>
    <w:rsid w:val="002434DD"/>
    <w:rsid w:val="00246604"/>
    <w:rsid w:val="0025006F"/>
    <w:rsid w:val="002508A0"/>
    <w:rsid w:val="002524A4"/>
    <w:rsid w:val="00252889"/>
    <w:rsid w:val="002636EF"/>
    <w:rsid w:val="00267E5E"/>
    <w:rsid w:val="00275E48"/>
    <w:rsid w:val="00276047"/>
    <w:rsid w:val="00280467"/>
    <w:rsid w:val="00280FC7"/>
    <w:rsid w:val="0028381E"/>
    <w:rsid w:val="002852E2"/>
    <w:rsid w:val="00287329"/>
    <w:rsid w:val="002907D1"/>
    <w:rsid w:val="00292797"/>
    <w:rsid w:val="00294836"/>
    <w:rsid w:val="002A0710"/>
    <w:rsid w:val="002A4458"/>
    <w:rsid w:val="002A540B"/>
    <w:rsid w:val="002A7EAE"/>
    <w:rsid w:val="002B2903"/>
    <w:rsid w:val="002B51C7"/>
    <w:rsid w:val="002B7052"/>
    <w:rsid w:val="002C11BE"/>
    <w:rsid w:val="002C122C"/>
    <w:rsid w:val="002C13AC"/>
    <w:rsid w:val="002C3601"/>
    <w:rsid w:val="002C53A4"/>
    <w:rsid w:val="002C64DE"/>
    <w:rsid w:val="002C72B5"/>
    <w:rsid w:val="002D589A"/>
    <w:rsid w:val="002D5920"/>
    <w:rsid w:val="002D70E7"/>
    <w:rsid w:val="002E0964"/>
    <w:rsid w:val="002E19D6"/>
    <w:rsid w:val="002E1C53"/>
    <w:rsid w:val="002E2725"/>
    <w:rsid w:val="002E3930"/>
    <w:rsid w:val="002E5937"/>
    <w:rsid w:val="002F134D"/>
    <w:rsid w:val="002F3969"/>
    <w:rsid w:val="002F39D9"/>
    <w:rsid w:val="002F6A31"/>
    <w:rsid w:val="002F7005"/>
    <w:rsid w:val="002F72F6"/>
    <w:rsid w:val="00301C0C"/>
    <w:rsid w:val="00301D57"/>
    <w:rsid w:val="003054F3"/>
    <w:rsid w:val="00307DE1"/>
    <w:rsid w:val="00324F68"/>
    <w:rsid w:val="003252DD"/>
    <w:rsid w:val="0032699F"/>
    <w:rsid w:val="00327B17"/>
    <w:rsid w:val="00330498"/>
    <w:rsid w:val="00331BE9"/>
    <w:rsid w:val="00335BF1"/>
    <w:rsid w:val="003379D2"/>
    <w:rsid w:val="0034300C"/>
    <w:rsid w:val="00343EAE"/>
    <w:rsid w:val="00343F6E"/>
    <w:rsid w:val="00346F46"/>
    <w:rsid w:val="00350336"/>
    <w:rsid w:val="00351D87"/>
    <w:rsid w:val="00355856"/>
    <w:rsid w:val="003566B9"/>
    <w:rsid w:val="003605F9"/>
    <w:rsid w:val="00363977"/>
    <w:rsid w:val="003665AF"/>
    <w:rsid w:val="003722F7"/>
    <w:rsid w:val="00375A16"/>
    <w:rsid w:val="00380D34"/>
    <w:rsid w:val="0038323F"/>
    <w:rsid w:val="00383C9B"/>
    <w:rsid w:val="00387307"/>
    <w:rsid w:val="00393D66"/>
    <w:rsid w:val="003959D0"/>
    <w:rsid w:val="003967D3"/>
    <w:rsid w:val="0039689C"/>
    <w:rsid w:val="003A085E"/>
    <w:rsid w:val="003A2B0B"/>
    <w:rsid w:val="003A2CB8"/>
    <w:rsid w:val="003A42E9"/>
    <w:rsid w:val="003A666C"/>
    <w:rsid w:val="003B0AF1"/>
    <w:rsid w:val="003B0F56"/>
    <w:rsid w:val="003B3B11"/>
    <w:rsid w:val="003C14D0"/>
    <w:rsid w:val="003C338D"/>
    <w:rsid w:val="003C6730"/>
    <w:rsid w:val="003D1165"/>
    <w:rsid w:val="003D51DD"/>
    <w:rsid w:val="003E0002"/>
    <w:rsid w:val="003E068C"/>
    <w:rsid w:val="003E35A5"/>
    <w:rsid w:val="003E3BBC"/>
    <w:rsid w:val="003E4B29"/>
    <w:rsid w:val="003E4BB4"/>
    <w:rsid w:val="003F19EA"/>
    <w:rsid w:val="003F335F"/>
    <w:rsid w:val="00400743"/>
    <w:rsid w:val="0040155D"/>
    <w:rsid w:val="00405CCE"/>
    <w:rsid w:val="00405FBF"/>
    <w:rsid w:val="0040772B"/>
    <w:rsid w:val="00414843"/>
    <w:rsid w:val="00414D7A"/>
    <w:rsid w:val="0041713E"/>
    <w:rsid w:val="0042097A"/>
    <w:rsid w:val="00421D3F"/>
    <w:rsid w:val="00423785"/>
    <w:rsid w:val="00424725"/>
    <w:rsid w:val="00424C7B"/>
    <w:rsid w:val="00430392"/>
    <w:rsid w:val="004326E6"/>
    <w:rsid w:val="00435E22"/>
    <w:rsid w:val="004379D7"/>
    <w:rsid w:val="004404E1"/>
    <w:rsid w:val="00442D1B"/>
    <w:rsid w:val="00446753"/>
    <w:rsid w:val="00447E95"/>
    <w:rsid w:val="004506E9"/>
    <w:rsid w:val="00452CFF"/>
    <w:rsid w:val="00452D26"/>
    <w:rsid w:val="004548B3"/>
    <w:rsid w:val="004628E8"/>
    <w:rsid w:val="00467188"/>
    <w:rsid w:val="00467D71"/>
    <w:rsid w:val="004803CD"/>
    <w:rsid w:val="0048386C"/>
    <w:rsid w:val="004839E1"/>
    <w:rsid w:val="004859C0"/>
    <w:rsid w:val="0048601C"/>
    <w:rsid w:val="004862A2"/>
    <w:rsid w:val="00486B11"/>
    <w:rsid w:val="00487D89"/>
    <w:rsid w:val="00491873"/>
    <w:rsid w:val="0049294A"/>
    <w:rsid w:val="004952B4"/>
    <w:rsid w:val="00495302"/>
    <w:rsid w:val="004953DE"/>
    <w:rsid w:val="004A06CD"/>
    <w:rsid w:val="004A1DF4"/>
    <w:rsid w:val="004A46B1"/>
    <w:rsid w:val="004A4B6F"/>
    <w:rsid w:val="004A4CF9"/>
    <w:rsid w:val="004B08AB"/>
    <w:rsid w:val="004B2523"/>
    <w:rsid w:val="004B4ED2"/>
    <w:rsid w:val="004B5D7E"/>
    <w:rsid w:val="004B6F07"/>
    <w:rsid w:val="004B6FAE"/>
    <w:rsid w:val="004C0459"/>
    <w:rsid w:val="004C183A"/>
    <w:rsid w:val="004D2965"/>
    <w:rsid w:val="004D29E8"/>
    <w:rsid w:val="004D6706"/>
    <w:rsid w:val="004D69D3"/>
    <w:rsid w:val="004D6CF0"/>
    <w:rsid w:val="004D78E9"/>
    <w:rsid w:val="004E14F6"/>
    <w:rsid w:val="004E3C4E"/>
    <w:rsid w:val="004E794D"/>
    <w:rsid w:val="004F07A6"/>
    <w:rsid w:val="004F2018"/>
    <w:rsid w:val="0050309C"/>
    <w:rsid w:val="00505245"/>
    <w:rsid w:val="00505A00"/>
    <w:rsid w:val="00505A63"/>
    <w:rsid w:val="00506E4F"/>
    <w:rsid w:val="005146B4"/>
    <w:rsid w:val="005159E6"/>
    <w:rsid w:val="005166B5"/>
    <w:rsid w:val="0051785E"/>
    <w:rsid w:val="00517C50"/>
    <w:rsid w:val="005203A1"/>
    <w:rsid w:val="00523DF0"/>
    <w:rsid w:val="00525EFD"/>
    <w:rsid w:val="005317FF"/>
    <w:rsid w:val="0053233F"/>
    <w:rsid w:val="00533C56"/>
    <w:rsid w:val="00534A9A"/>
    <w:rsid w:val="00534BD3"/>
    <w:rsid w:val="0053651D"/>
    <w:rsid w:val="0053653F"/>
    <w:rsid w:val="00540D5C"/>
    <w:rsid w:val="00541B6F"/>
    <w:rsid w:val="00542D5A"/>
    <w:rsid w:val="005434E0"/>
    <w:rsid w:val="00552237"/>
    <w:rsid w:val="00552B2D"/>
    <w:rsid w:val="00557D1E"/>
    <w:rsid w:val="00564DC6"/>
    <w:rsid w:val="005674EA"/>
    <w:rsid w:val="00570D3C"/>
    <w:rsid w:val="00572888"/>
    <w:rsid w:val="00573015"/>
    <w:rsid w:val="0057375E"/>
    <w:rsid w:val="00575782"/>
    <w:rsid w:val="005769EC"/>
    <w:rsid w:val="0057717E"/>
    <w:rsid w:val="0058095B"/>
    <w:rsid w:val="00580BAB"/>
    <w:rsid w:val="00581B47"/>
    <w:rsid w:val="005826FF"/>
    <w:rsid w:val="0058381C"/>
    <w:rsid w:val="005864EA"/>
    <w:rsid w:val="00590DDC"/>
    <w:rsid w:val="005931D8"/>
    <w:rsid w:val="00595EB3"/>
    <w:rsid w:val="0059690E"/>
    <w:rsid w:val="005A556C"/>
    <w:rsid w:val="005A631A"/>
    <w:rsid w:val="005A6D16"/>
    <w:rsid w:val="005A75C9"/>
    <w:rsid w:val="005B101E"/>
    <w:rsid w:val="005B187D"/>
    <w:rsid w:val="005C3004"/>
    <w:rsid w:val="005C3AD2"/>
    <w:rsid w:val="005C737C"/>
    <w:rsid w:val="005C76F9"/>
    <w:rsid w:val="005C7B46"/>
    <w:rsid w:val="005D2A68"/>
    <w:rsid w:val="005D3D3D"/>
    <w:rsid w:val="005D3F3C"/>
    <w:rsid w:val="005D4133"/>
    <w:rsid w:val="005E0378"/>
    <w:rsid w:val="005E13AE"/>
    <w:rsid w:val="005E2E23"/>
    <w:rsid w:val="005E5282"/>
    <w:rsid w:val="005E69A7"/>
    <w:rsid w:val="005F0491"/>
    <w:rsid w:val="005F36F1"/>
    <w:rsid w:val="005F3B8A"/>
    <w:rsid w:val="005F4BA6"/>
    <w:rsid w:val="005F557D"/>
    <w:rsid w:val="005F590E"/>
    <w:rsid w:val="005F7670"/>
    <w:rsid w:val="005F7965"/>
    <w:rsid w:val="00602573"/>
    <w:rsid w:val="0060388E"/>
    <w:rsid w:val="00605291"/>
    <w:rsid w:val="00605524"/>
    <w:rsid w:val="00610529"/>
    <w:rsid w:val="006120F5"/>
    <w:rsid w:val="0061230E"/>
    <w:rsid w:val="006132C1"/>
    <w:rsid w:val="0061373E"/>
    <w:rsid w:val="006159D6"/>
    <w:rsid w:val="006169CE"/>
    <w:rsid w:val="00620609"/>
    <w:rsid w:val="00620891"/>
    <w:rsid w:val="0062140B"/>
    <w:rsid w:val="00622360"/>
    <w:rsid w:val="00622950"/>
    <w:rsid w:val="006232DC"/>
    <w:rsid w:val="00623617"/>
    <w:rsid w:val="0063094F"/>
    <w:rsid w:val="006338B1"/>
    <w:rsid w:val="00633ACC"/>
    <w:rsid w:val="00633F04"/>
    <w:rsid w:val="00635ABC"/>
    <w:rsid w:val="00636B1E"/>
    <w:rsid w:val="00636EDB"/>
    <w:rsid w:val="006379BB"/>
    <w:rsid w:val="00640BC4"/>
    <w:rsid w:val="00640DF8"/>
    <w:rsid w:val="00643EFF"/>
    <w:rsid w:val="0065036D"/>
    <w:rsid w:val="00655501"/>
    <w:rsid w:val="006605EE"/>
    <w:rsid w:val="00661F80"/>
    <w:rsid w:val="00662994"/>
    <w:rsid w:val="00663A0D"/>
    <w:rsid w:val="00664F14"/>
    <w:rsid w:val="006704F5"/>
    <w:rsid w:val="00676CE4"/>
    <w:rsid w:val="00685786"/>
    <w:rsid w:val="00690D10"/>
    <w:rsid w:val="00690E15"/>
    <w:rsid w:val="00692BAF"/>
    <w:rsid w:val="00695AC6"/>
    <w:rsid w:val="00695D59"/>
    <w:rsid w:val="0069732A"/>
    <w:rsid w:val="006A0779"/>
    <w:rsid w:val="006A1D36"/>
    <w:rsid w:val="006A2398"/>
    <w:rsid w:val="006A2B90"/>
    <w:rsid w:val="006A3658"/>
    <w:rsid w:val="006A38DB"/>
    <w:rsid w:val="006A3B0B"/>
    <w:rsid w:val="006A50DF"/>
    <w:rsid w:val="006B2C8F"/>
    <w:rsid w:val="006B3392"/>
    <w:rsid w:val="006B3C40"/>
    <w:rsid w:val="006B3CD8"/>
    <w:rsid w:val="006B4049"/>
    <w:rsid w:val="006B5A35"/>
    <w:rsid w:val="006C12D9"/>
    <w:rsid w:val="006C5E27"/>
    <w:rsid w:val="006C778A"/>
    <w:rsid w:val="006D1043"/>
    <w:rsid w:val="006D35FC"/>
    <w:rsid w:val="006D4B2B"/>
    <w:rsid w:val="006D67F3"/>
    <w:rsid w:val="006E07AE"/>
    <w:rsid w:val="006E1127"/>
    <w:rsid w:val="006E41FB"/>
    <w:rsid w:val="006E69BA"/>
    <w:rsid w:val="006F1FFF"/>
    <w:rsid w:val="006F23A7"/>
    <w:rsid w:val="006F2E28"/>
    <w:rsid w:val="006F4A1A"/>
    <w:rsid w:val="006F4F36"/>
    <w:rsid w:val="006F6209"/>
    <w:rsid w:val="006F696B"/>
    <w:rsid w:val="006F6D10"/>
    <w:rsid w:val="00700CA1"/>
    <w:rsid w:val="00705F34"/>
    <w:rsid w:val="00706649"/>
    <w:rsid w:val="00707312"/>
    <w:rsid w:val="00711065"/>
    <w:rsid w:val="00712B94"/>
    <w:rsid w:val="0071748E"/>
    <w:rsid w:val="00721783"/>
    <w:rsid w:val="00722316"/>
    <w:rsid w:val="007362C8"/>
    <w:rsid w:val="00736AD0"/>
    <w:rsid w:val="00743BBA"/>
    <w:rsid w:val="007447DA"/>
    <w:rsid w:val="00746311"/>
    <w:rsid w:val="007506AA"/>
    <w:rsid w:val="0076028F"/>
    <w:rsid w:val="00760917"/>
    <w:rsid w:val="00762738"/>
    <w:rsid w:val="007633DD"/>
    <w:rsid w:val="007644D0"/>
    <w:rsid w:val="007648DF"/>
    <w:rsid w:val="00764AE0"/>
    <w:rsid w:val="00771206"/>
    <w:rsid w:val="0077263C"/>
    <w:rsid w:val="007815FA"/>
    <w:rsid w:val="00785114"/>
    <w:rsid w:val="00785819"/>
    <w:rsid w:val="00786E0B"/>
    <w:rsid w:val="0079316D"/>
    <w:rsid w:val="007941CD"/>
    <w:rsid w:val="00795D2D"/>
    <w:rsid w:val="00795FEF"/>
    <w:rsid w:val="00797F94"/>
    <w:rsid w:val="007A0FB0"/>
    <w:rsid w:val="007A11FE"/>
    <w:rsid w:val="007A3E72"/>
    <w:rsid w:val="007A4465"/>
    <w:rsid w:val="007A50A8"/>
    <w:rsid w:val="007A7445"/>
    <w:rsid w:val="007B1464"/>
    <w:rsid w:val="007B2CA1"/>
    <w:rsid w:val="007B486C"/>
    <w:rsid w:val="007B56D0"/>
    <w:rsid w:val="007B7B78"/>
    <w:rsid w:val="007C392F"/>
    <w:rsid w:val="007C54BE"/>
    <w:rsid w:val="007C673D"/>
    <w:rsid w:val="007C787D"/>
    <w:rsid w:val="007D0ABC"/>
    <w:rsid w:val="007D33DC"/>
    <w:rsid w:val="007D35BC"/>
    <w:rsid w:val="007D4ED4"/>
    <w:rsid w:val="007D6605"/>
    <w:rsid w:val="007D767B"/>
    <w:rsid w:val="007D7AD8"/>
    <w:rsid w:val="007E2E94"/>
    <w:rsid w:val="007E5360"/>
    <w:rsid w:val="007E6F54"/>
    <w:rsid w:val="007E7321"/>
    <w:rsid w:val="007E7E71"/>
    <w:rsid w:val="007F3EB1"/>
    <w:rsid w:val="007F6A30"/>
    <w:rsid w:val="00801CAA"/>
    <w:rsid w:val="00802AC8"/>
    <w:rsid w:val="008042F5"/>
    <w:rsid w:val="008047CC"/>
    <w:rsid w:val="00805B14"/>
    <w:rsid w:val="0080621A"/>
    <w:rsid w:val="00806B5C"/>
    <w:rsid w:val="0082036B"/>
    <w:rsid w:val="00820554"/>
    <w:rsid w:val="008205A1"/>
    <w:rsid w:val="008250FB"/>
    <w:rsid w:val="0082563E"/>
    <w:rsid w:val="00832457"/>
    <w:rsid w:val="00832E01"/>
    <w:rsid w:val="008334E7"/>
    <w:rsid w:val="00834102"/>
    <w:rsid w:val="0083514D"/>
    <w:rsid w:val="00844286"/>
    <w:rsid w:val="0084652F"/>
    <w:rsid w:val="0085010C"/>
    <w:rsid w:val="00852DAB"/>
    <w:rsid w:val="00857956"/>
    <w:rsid w:val="00864A12"/>
    <w:rsid w:val="0086515B"/>
    <w:rsid w:val="00866DD0"/>
    <w:rsid w:val="00871CEE"/>
    <w:rsid w:val="0087422C"/>
    <w:rsid w:val="0087697B"/>
    <w:rsid w:val="008772A4"/>
    <w:rsid w:val="00880FC6"/>
    <w:rsid w:val="00882BE3"/>
    <w:rsid w:val="0088415E"/>
    <w:rsid w:val="0088466B"/>
    <w:rsid w:val="0088619D"/>
    <w:rsid w:val="00886959"/>
    <w:rsid w:val="00886D21"/>
    <w:rsid w:val="00887A6B"/>
    <w:rsid w:val="00887E59"/>
    <w:rsid w:val="00891146"/>
    <w:rsid w:val="00896ADB"/>
    <w:rsid w:val="008A36E1"/>
    <w:rsid w:val="008A37A7"/>
    <w:rsid w:val="008A5BD4"/>
    <w:rsid w:val="008A6193"/>
    <w:rsid w:val="008A6A5E"/>
    <w:rsid w:val="008A7017"/>
    <w:rsid w:val="008B03A7"/>
    <w:rsid w:val="008B0736"/>
    <w:rsid w:val="008B193E"/>
    <w:rsid w:val="008B6989"/>
    <w:rsid w:val="008B6D8C"/>
    <w:rsid w:val="008C05F4"/>
    <w:rsid w:val="008C1E63"/>
    <w:rsid w:val="008C3340"/>
    <w:rsid w:val="008C4A6B"/>
    <w:rsid w:val="008C5F1E"/>
    <w:rsid w:val="008C7BD1"/>
    <w:rsid w:val="008D26F1"/>
    <w:rsid w:val="008D2791"/>
    <w:rsid w:val="008D3075"/>
    <w:rsid w:val="008D44F4"/>
    <w:rsid w:val="008D4F16"/>
    <w:rsid w:val="008D5252"/>
    <w:rsid w:val="008D73EA"/>
    <w:rsid w:val="008D7E17"/>
    <w:rsid w:val="008E04AA"/>
    <w:rsid w:val="008E0748"/>
    <w:rsid w:val="008E0F3F"/>
    <w:rsid w:val="008E1D31"/>
    <w:rsid w:val="008E2839"/>
    <w:rsid w:val="008E3AEE"/>
    <w:rsid w:val="008E51E0"/>
    <w:rsid w:val="008E5EE5"/>
    <w:rsid w:val="008F0EEF"/>
    <w:rsid w:val="008F1B05"/>
    <w:rsid w:val="008F235E"/>
    <w:rsid w:val="008F5709"/>
    <w:rsid w:val="0090355E"/>
    <w:rsid w:val="00903901"/>
    <w:rsid w:val="0090448A"/>
    <w:rsid w:val="009056E5"/>
    <w:rsid w:val="00910D15"/>
    <w:rsid w:val="00913395"/>
    <w:rsid w:val="00913470"/>
    <w:rsid w:val="009142AA"/>
    <w:rsid w:val="00914C68"/>
    <w:rsid w:val="009161A9"/>
    <w:rsid w:val="00920C77"/>
    <w:rsid w:val="00921C64"/>
    <w:rsid w:val="009257E5"/>
    <w:rsid w:val="009274D8"/>
    <w:rsid w:val="009301C6"/>
    <w:rsid w:val="00931BCC"/>
    <w:rsid w:val="009324DA"/>
    <w:rsid w:val="00933775"/>
    <w:rsid w:val="009341E0"/>
    <w:rsid w:val="0093495E"/>
    <w:rsid w:val="00934A4E"/>
    <w:rsid w:val="0093619B"/>
    <w:rsid w:val="00942F7A"/>
    <w:rsid w:val="009435CD"/>
    <w:rsid w:val="00944030"/>
    <w:rsid w:val="00944336"/>
    <w:rsid w:val="00945124"/>
    <w:rsid w:val="009469C4"/>
    <w:rsid w:val="00950330"/>
    <w:rsid w:val="00950B06"/>
    <w:rsid w:val="00950B90"/>
    <w:rsid w:val="00951F99"/>
    <w:rsid w:val="00956FE7"/>
    <w:rsid w:val="00957E08"/>
    <w:rsid w:val="00957E18"/>
    <w:rsid w:val="00960A78"/>
    <w:rsid w:val="00960F5B"/>
    <w:rsid w:val="009627F7"/>
    <w:rsid w:val="0096378C"/>
    <w:rsid w:val="00963927"/>
    <w:rsid w:val="00965F49"/>
    <w:rsid w:val="00967212"/>
    <w:rsid w:val="00970069"/>
    <w:rsid w:val="0097069D"/>
    <w:rsid w:val="00971C19"/>
    <w:rsid w:val="009721EB"/>
    <w:rsid w:val="0097370D"/>
    <w:rsid w:val="00973A84"/>
    <w:rsid w:val="009759B2"/>
    <w:rsid w:val="009776E8"/>
    <w:rsid w:val="0097798D"/>
    <w:rsid w:val="00977C2F"/>
    <w:rsid w:val="00977FF9"/>
    <w:rsid w:val="00981C83"/>
    <w:rsid w:val="0098228A"/>
    <w:rsid w:val="00983DDD"/>
    <w:rsid w:val="0098465D"/>
    <w:rsid w:val="009865F0"/>
    <w:rsid w:val="00987BF3"/>
    <w:rsid w:val="009A12D9"/>
    <w:rsid w:val="009A23AB"/>
    <w:rsid w:val="009A3458"/>
    <w:rsid w:val="009A42F6"/>
    <w:rsid w:val="009A4CF4"/>
    <w:rsid w:val="009A5A73"/>
    <w:rsid w:val="009A6198"/>
    <w:rsid w:val="009B26BD"/>
    <w:rsid w:val="009B39BF"/>
    <w:rsid w:val="009B58EA"/>
    <w:rsid w:val="009B706E"/>
    <w:rsid w:val="009C1981"/>
    <w:rsid w:val="009C24E8"/>
    <w:rsid w:val="009C2E24"/>
    <w:rsid w:val="009C423A"/>
    <w:rsid w:val="009C51E7"/>
    <w:rsid w:val="009D0E06"/>
    <w:rsid w:val="009D2584"/>
    <w:rsid w:val="009D3283"/>
    <w:rsid w:val="009D7F72"/>
    <w:rsid w:val="009E30E5"/>
    <w:rsid w:val="009E4083"/>
    <w:rsid w:val="009E41FE"/>
    <w:rsid w:val="009E44C8"/>
    <w:rsid w:val="009E5DC3"/>
    <w:rsid w:val="009E5DF1"/>
    <w:rsid w:val="009E79ED"/>
    <w:rsid w:val="009F1708"/>
    <w:rsid w:val="009F3EEA"/>
    <w:rsid w:val="009F6165"/>
    <w:rsid w:val="00A020B0"/>
    <w:rsid w:val="00A02172"/>
    <w:rsid w:val="00A0217A"/>
    <w:rsid w:val="00A04D50"/>
    <w:rsid w:val="00A0568D"/>
    <w:rsid w:val="00A0670E"/>
    <w:rsid w:val="00A06AFB"/>
    <w:rsid w:val="00A07596"/>
    <w:rsid w:val="00A07882"/>
    <w:rsid w:val="00A12080"/>
    <w:rsid w:val="00A13ED1"/>
    <w:rsid w:val="00A15ABA"/>
    <w:rsid w:val="00A17115"/>
    <w:rsid w:val="00A17A08"/>
    <w:rsid w:val="00A17EEC"/>
    <w:rsid w:val="00A20B57"/>
    <w:rsid w:val="00A232BE"/>
    <w:rsid w:val="00A24154"/>
    <w:rsid w:val="00A252A0"/>
    <w:rsid w:val="00A25F6E"/>
    <w:rsid w:val="00A27A13"/>
    <w:rsid w:val="00A30406"/>
    <w:rsid w:val="00A30FB0"/>
    <w:rsid w:val="00A3236E"/>
    <w:rsid w:val="00A3413F"/>
    <w:rsid w:val="00A352D8"/>
    <w:rsid w:val="00A4179D"/>
    <w:rsid w:val="00A45583"/>
    <w:rsid w:val="00A46DC1"/>
    <w:rsid w:val="00A533DE"/>
    <w:rsid w:val="00A54CD3"/>
    <w:rsid w:val="00A54D5E"/>
    <w:rsid w:val="00A55683"/>
    <w:rsid w:val="00A56C5C"/>
    <w:rsid w:val="00A600A3"/>
    <w:rsid w:val="00A60673"/>
    <w:rsid w:val="00A634DC"/>
    <w:rsid w:val="00A659E7"/>
    <w:rsid w:val="00A76FF5"/>
    <w:rsid w:val="00A91145"/>
    <w:rsid w:val="00A93C2B"/>
    <w:rsid w:val="00A97077"/>
    <w:rsid w:val="00A97779"/>
    <w:rsid w:val="00AA03E8"/>
    <w:rsid w:val="00AA219E"/>
    <w:rsid w:val="00AA313E"/>
    <w:rsid w:val="00AA4429"/>
    <w:rsid w:val="00AA45FA"/>
    <w:rsid w:val="00AA67E7"/>
    <w:rsid w:val="00AB33C2"/>
    <w:rsid w:val="00AB5548"/>
    <w:rsid w:val="00AB70DE"/>
    <w:rsid w:val="00AC1500"/>
    <w:rsid w:val="00AC1872"/>
    <w:rsid w:val="00AC498B"/>
    <w:rsid w:val="00AC4A6C"/>
    <w:rsid w:val="00AC4DC6"/>
    <w:rsid w:val="00AC5DA8"/>
    <w:rsid w:val="00AC7235"/>
    <w:rsid w:val="00AC7E57"/>
    <w:rsid w:val="00AD3ABD"/>
    <w:rsid w:val="00AD40A8"/>
    <w:rsid w:val="00AD424C"/>
    <w:rsid w:val="00AD5DD3"/>
    <w:rsid w:val="00AD631F"/>
    <w:rsid w:val="00AE003F"/>
    <w:rsid w:val="00AE21FF"/>
    <w:rsid w:val="00AE3242"/>
    <w:rsid w:val="00AE3509"/>
    <w:rsid w:val="00AE4DCD"/>
    <w:rsid w:val="00AF1F18"/>
    <w:rsid w:val="00AF2382"/>
    <w:rsid w:val="00AF2E51"/>
    <w:rsid w:val="00AF3084"/>
    <w:rsid w:val="00AF4292"/>
    <w:rsid w:val="00AF53FC"/>
    <w:rsid w:val="00B02DB4"/>
    <w:rsid w:val="00B04FC6"/>
    <w:rsid w:val="00B0722F"/>
    <w:rsid w:val="00B0726E"/>
    <w:rsid w:val="00B07A99"/>
    <w:rsid w:val="00B07FF5"/>
    <w:rsid w:val="00B13996"/>
    <w:rsid w:val="00B14103"/>
    <w:rsid w:val="00B1531F"/>
    <w:rsid w:val="00B1550A"/>
    <w:rsid w:val="00B16558"/>
    <w:rsid w:val="00B20E3A"/>
    <w:rsid w:val="00B219D1"/>
    <w:rsid w:val="00B24830"/>
    <w:rsid w:val="00B256F1"/>
    <w:rsid w:val="00B25AE1"/>
    <w:rsid w:val="00B37527"/>
    <w:rsid w:val="00B408B1"/>
    <w:rsid w:val="00B44094"/>
    <w:rsid w:val="00B44BDE"/>
    <w:rsid w:val="00B473FA"/>
    <w:rsid w:val="00B54591"/>
    <w:rsid w:val="00B616DB"/>
    <w:rsid w:val="00B6185B"/>
    <w:rsid w:val="00B62A54"/>
    <w:rsid w:val="00B6504C"/>
    <w:rsid w:val="00B66732"/>
    <w:rsid w:val="00B6778F"/>
    <w:rsid w:val="00B755E5"/>
    <w:rsid w:val="00B76822"/>
    <w:rsid w:val="00B77911"/>
    <w:rsid w:val="00B813C1"/>
    <w:rsid w:val="00B814E7"/>
    <w:rsid w:val="00B81FA4"/>
    <w:rsid w:val="00B84AB0"/>
    <w:rsid w:val="00B84C36"/>
    <w:rsid w:val="00B85F32"/>
    <w:rsid w:val="00B866C2"/>
    <w:rsid w:val="00B8794C"/>
    <w:rsid w:val="00B90231"/>
    <w:rsid w:val="00B935D9"/>
    <w:rsid w:val="00B95EF4"/>
    <w:rsid w:val="00B9759E"/>
    <w:rsid w:val="00BA0177"/>
    <w:rsid w:val="00BA23B5"/>
    <w:rsid w:val="00BA25AD"/>
    <w:rsid w:val="00BA36E3"/>
    <w:rsid w:val="00BB027E"/>
    <w:rsid w:val="00BB18F3"/>
    <w:rsid w:val="00BB2CFF"/>
    <w:rsid w:val="00BB42C7"/>
    <w:rsid w:val="00BB4478"/>
    <w:rsid w:val="00BB6509"/>
    <w:rsid w:val="00BC20B2"/>
    <w:rsid w:val="00BC248C"/>
    <w:rsid w:val="00BC3A41"/>
    <w:rsid w:val="00BC3B66"/>
    <w:rsid w:val="00BC4887"/>
    <w:rsid w:val="00BC4914"/>
    <w:rsid w:val="00BD049B"/>
    <w:rsid w:val="00BD45F4"/>
    <w:rsid w:val="00BD4BEC"/>
    <w:rsid w:val="00BD52F1"/>
    <w:rsid w:val="00BD5778"/>
    <w:rsid w:val="00BE22FD"/>
    <w:rsid w:val="00BE3F98"/>
    <w:rsid w:val="00BE3FA2"/>
    <w:rsid w:val="00BE708E"/>
    <w:rsid w:val="00BF4D03"/>
    <w:rsid w:val="00BF52A6"/>
    <w:rsid w:val="00BF5837"/>
    <w:rsid w:val="00BF63BF"/>
    <w:rsid w:val="00C01EC0"/>
    <w:rsid w:val="00C02DA8"/>
    <w:rsid w:val="00C03351"/>
    <w:rsid w:val="00C04AB3"/>
    <w:rsid w:val="00C0625A"/>
    <w:rsid w:val="00C0667A"/>
    <w:rsid w:val="00C07FCF"/>
    <w:rsid w:val="00C101C8"/>
    <w:rsid w:val="00C1123D"/>
    <w:rsid w:val="00C11CE8"/>
    <w:rsid w:val="00C13D11"/>
    <w:rsid w:val="00C13DE7"/>
    <w:rsid w:val="00C14751"/>
    <w:rsid w:val="00C15A00"/>
    <w:rsid w:val="00C244EE"/>
    <w:rsid w:val="00C25D47"/>
    <w:rsid w:val="00C25E81"/>
    <w:rsid w:val="00C32775"/>
    <w:rsid w:val="00C41F98"/>
    <w:rsid w:val="00C4348A"/>
    <w:rsid w:val="00C46831"/>
    <w:rsid w:val="00C47B5F"/>
    <w:rsid w:val="00C5261A"/>
    <w:rsid w:val="00C54C6C"/>
    <w:rsid w:val="00C55D8F"/>
    <w:rsid w:val="00C6046B"/>
    <w:rsid w:val="00C61637"/>
    <w:rsid w:val="00C63761"/>
    <w:rsid w:val="00C65977"/>
    <w:rsid w:val="00C65FDC"/>
    <w:rsid w:val="00C72224"/>
    <w:rsid w:val="00C73369"/>
    <w:rsid w:val="00C73F02"/>
    <w:rsid w:val="00C74B3C"/>
    <w:rsid w:val="00C75706"/>
    <w:rsid w:val="00C8330D"/>
    <w:rsid w:val="00C8415E"/>
    <w:rsid w:val="00C87023"/>
    <w:rsid w:val="00C907AF"/>
    <w:rsid w:val="00C91CD4"/>
    <w:rsid w:val="00C9239D"/>
    <w:rsid w:val="00C9248A"/>
    <w:rsid w:val="00C94A62"/>
    <w:rsid w:val="00C95A12"/>
    <w:rsid w:val="00C9723B"/>
    <w:rsid w:val="00CA3EEC"/>
    <w:rsid w:val="00CA4815"/>
    <w:rsid w:val="00CA7584"/>
    <w:rsid w:val="00CB400A"/>
    <w:rsid w:val="00CB4D7A"/>
    <w:rsid w:val="00CB5C6C"/>
    <w:rsid w:val="00CC4F87"/>
    <w:rsid w:val="00CC4FB2"/>
    <w:rsid w:val="00CC6CB7"/>
    <w:rsid w:val="00CC7CB1"/>
    <w:rsid w:val="00CD2F5A"/>
    <w:rsid w:val="00CD337B"/>
    <w:rsid w:val="00CE0072"/>
    <w:rsid w:val="00CE1600"/>
    <w:rsid w:val="00CE1752"/>
    <w:rsid w:val="00CE5908"/>
    <w:rsid w:val="00CE7919"/>
    <w:rsid w:val="00CE7BB0"/>
    <w:rsid w:val="00CF0A45"/>
    <w:rsid w:val="00CF5952"/>
    <w:rsid w:val="00CF6562"/>
    <w:rsid w:val="00D01258"/>
    <w:rsid w:val="00D0283E"/>
    <w:rsid w:val="00D0437F"/>
    <w:rsid w:val="00D04539"/>
    <w:rsid w:val="00D05961"/>
    <w:rsid w:val="00D0761D"/>
    <w:rsid w:val="00D07B72"/>
    <w:rsid w:val="00D1170A"/>
    <w:rsid w:val="00D1197B"/>
    <w:rsid w:val="00D141BB"/>
    <w:rsid w:val="00D1489E"/>
    <w:rsid w:val="00D17A53"/>
    <w:rsid w:val="00D21999"/>
    <w:rsid w:val="00D22414"/>
    <w:rsid w:val="00D23981"/>
    <w:rsid w:val="00D244D7"/>
    <w:rsid w:val="00D25F3D"/>
    <w:rsid w:val="00D318E5"/>
    <w:rsid w:val="00D34520"/>
    <w:rsid w:val="00D371E6"/>
    <w:rsid w:val="00D37860"/>
    <w:rsid w:val="00D44D39"/>
    <w:rsid w:val="00D5321E"/>
    <w:rsid w:val="00D533EF"/>
    <w:rsid w:val="00D53AEF"/>
    <w:rsid w:val="00D54500"/>
    <w:rsid w:val="00D547C2"/>
    <w:rsid w:val="00D55939"/>
    <w:rsid w:val="00D5688A"/>
    <w:rsid w:val="00D644C8"/>
    <w:rsid w:val="00D712B4"/>
    <w:rsid w:val="00D73914"/>
    <w:rsid w:val="00D75598"/>
    <w:rsid w:val="00D77A09"/>
    <w:rsid w:val="00D82251"/>
    <w:rsid w:val="00D87058"/>
    <w:rsid w:val="00D915C3"/>
    <w:rsid w:val="00D96361"/>
    <w:rsid w:val="00D96855"/>
    <w:rsid w:val="00DA3E9D"/>
    <w:rsid w:val="00DA4635"/>
    <w:rsid w:val="00DA610B"/>
    <w:rsid w:val="00DA7A49"/>
    <w:rsid w:val="00DA7E9B"/>
    <w:rsid w:val="00DB3A81"/>
    <w:rsid w:val="00DB3FF4"/>
    <w:rsid w:val="00DB4087"/>
    <w:rsid w:val="00DC0FEF"/>
    <w:rsid w:val="00DC45BE"/>
    <w:rsid w:val="00DC4B5C"/>
    <w:rsid w:val="00DC5980"/>
    <w:rsid w:val="00DC5CD1"/>
    <w:rsid w:val="00DC605F"/>
    <w:rsid w:val="00DD2022"/>
    <w:rsid w:val="00DD2B46"/>
    <w:rsid w:val="00DD31AA"/>
    <w:rsid w:val="00DD324B"/>
    <w:rsid w:val="00DD44E6"/>
    <w:rsid w:val="00DD7F9F"/>
    <w:rsid w:val="00DE0B14"/>
    <w:rsid w:val="00DE6193"/>
    <w:rsid w:val="00DE6EE4"/>
    <w:rsid w:val="00DE7368"/>
    <w:rsid w:val="00DF0320"/>
    <w:rsid w:val="00DF592E"/>
    <w:rsid w:val="00DF6B5A"/>
    <w:rsid w:val="00DF6DB6"/>
    <w:rsid w:val="00E008AE"/>
    <w:rsid w:val="00E042F6"/>
    <w:rsid w:val="00E071BA"/>
    <w:rsid w:val="00E07A70"/>
    <w:rsid w:val="00E1044E"/>
    <w:rsid w:val="00E12AC0"/>
    <w:rsid w:val="00E13121"/>
    <w:rsid w:val="00E131E0"/>
    <w:rsid w:val="00E140F9"/>
    <w:rsid w:val="00E205D5"/>
    <w:rsid w:val="00E226D5"/>
    <w:rsid w:val="00E23D18"/>
    <w:rsid w:val="00E247DD"/>
    <w:rsid w:val="00E2512C"/>
    <w:rsid w:val="00E26404"/>
    <w:rsid w:val="00E26807"/>
    <w:rsid w:val="00E2714E"/>
    <w:rsid w:val="00E2752A"/>
    <w:rsid w:val="00E30CBA"/>
    <w:rsid w:val="00E316C7"/>
    <w:rsid w:val="00E32E60"/>
    <w:rsid w:val="00E40EE9"/>
    <w:rsid w:val="00E4474A"/>
    <w:rsid w:val="00E529E5"/>
    <w:rsid w:val="00E53A44"/>
    <w:rsid w:val="00E57692"/>
    <w:rsid w:val="00E63A99"/>
    <w:rsid w:val="00E63C3C"/>
    <w:rsid w:val="00E651D1"/>
    <w:rsid w:val="00E65377"/>
    <w:rsid w:val="00E65AD0"/>
    <w:rsid w:val="00E67EC9"/>
    <w:rsid w:val="00E72B21"/>
    <w:rsid w:val="00E73B11"/>
    <w:rsid w:val="00E759B1"/>
    <w:rsid w:val="00E801DA"/>
    <w:rsid w:val="00E8599D"/>
    <w:rsid w:val="00E877C6"/>
    <w:rsid w:val="00E9169E"/>
    <w:rsid w:val="00E91D7B"/>
    <w:rsid w:val="00E91DEE"/>
    <w:rsid w:val="00E93159"/>
    <w:rsid w:val="00E9569C"/>
    <w:rsid w:val="00EA0A37"/>
    <w:rsid w:val="00EA4380"/>
    <w:rsid w:val="00EA46B6"/>
    <w:rsid w:val="00EB2EE8"/>
    <w:rsid w:val="00EB4C2F"/>
    <w:rsid w:val="00EB5FCC"/>
    <w:rsid w:val="00EB6570"/>
    <w:rsid w:val="00EB748B"/>
    <w:rsid w:val="00EC0890"/>
    <w:rsid w:val="00EC120A"/>
    <w:rsid w:val="00EC6C69"/>
    <w:rsid w:val="00ED0DDF"/>
    <w:rsid w:val="00ED1F66"/>
    <w:rsid w:val="00ED6941"/>
    <w:rsid w:val="00ED712D"/>
    <w:rsid w:val="00ED7847"/>
    <w:rsid w:val="00EE5B84"/>
    <w:rsid w:val="00EE7C33"/>
    <w:rsid w:val="00EF3017"/>
    <w:rsid w:val="00EF479B"/>
    <w:rsid w:val="00EF47C3"/>
    <w:rsid w:val="00EF4D6C"/>
    <w:rsid w:val="00EF5C3B"/>
    <w:rsid w:val="00EF6034"/>
    <w:rsid w:val="00EF7AE7"/>
    <w:rsid w:val="00F0236D"/>
    <w:rsid w:val="00F02F2A"/>
    <w:rsid w:val="00F04AE9"/>
    <w:rsid w:val="00F1000D"/>
    <w:rsid w:val="00F104FC"/>
    <w:rsid w:val="00F10E50"/>
    <w:rsid w:val="00F1247F"/>
    <w:rsid w:val="00F13203"/>
    <w:rsid w:val="00F16119"/>
    <w:rsid w:val="00F16E1D"/>
    <w:rsid w:val="00F264B0"/>
    <w:rsid w:val="00F27050"/>
    <w:rsid w:val="00F27DC4"/>
    <w:rsid w:val="00F311A4"/>
    <w:rsid w:val="00F316E7"/>
    <w:rsid w:val="00F320B2"/>
    <w:rsid w:val="00F3265A"/>
    <w:rsid w:val="00F33B5F"/>
    <w:rsid w:val="00F33E7C"/>
    <w:rsid w:val="00F3517F"/>
    <w:rsid w:val="00F3550A"/>
    <w:rsid w:val="00F3595B"/>
    <w:rsid w:val="00F42324"/>
    <w:rsid w:val="00F42EEC"/>
    <w:rsid w:val="00F47D8C"/>
    <w:rsid w:val="00F53AA1"/>
    <w:rsid w:val="00F5442C"/>
    <w:rsid w:val="00F55097"/>
    <w:rsid w:val="00F5513A"/>
    <w:rsid w:val="00F553D7"/>
    <w:rsid w:val="00F577CF"/>
    <w:rsid w:val="00F60B78"/>
    <w:rsid w:val="00F634D9"/>
    <w:rsid w:val="00F63DB5"/>
    <w:rsid w:val="00F63DFF"/>
    <w:rsid w:val="00F6567B"/>
    <w:rsid w:val="00F7144D"/>
    <w:rsid w:val="00F72F9C"/>
    <w:rsid w:val="00F82C2C"/>
    <w:rsid w:val="00F843C4"/>
    <w:rsid w:val="00F84EED"/>
    <w:rsid w:val="00F85913"/>
    <w:rsid w:val="00F86959"/>
    <w:rsid w:val="00F911F5"/>
    <w:rsid w:val="00F93083"/>
    <w:rsid w:val="00F946C9"/>
    <w:rsid w:val="00F95545"/>
    <w:rsid w:val="00F96237"/>
    <w:rsid w:val="00FA25A0"/>
    <w:rsid w:val="00FA3CB7"/>
    <w:rsid w:val="00FA6195"/>
    <w:rsid w:val="00FA72A3"/>
    <w:rsid w:val="00FA7631"/>
    <w:rsid w:val="00FB2144"/>
    <w:rsid w:val="00FB2585"/>
    <w:rsid w:val="00FB36E2"/>
    <w:rsid w:val="00FB4773"/>
    <w:rsid w:val="00FB5200"/>
    <w:rsid w:val="00FB536C"/>
    <w:rsid w:val="00FB6E3B"/>
    <w:rsid w:val="00FC1B24"/>
    <w:rsid w:val="00FC2932"/>
    <w:rsid w:val="00FC43A0"/>
    <w:rsid w:val="00FC4661"/>
    <w:rsid w:val="00FC4903"/>
    <w:rsid w:val="00FC743A"/>
    <w:rsid w:val="00FD4D6E"/>
    <w:rsid w:val="00FE1E3F"/>
    <w:rsid w:val="00FE278C"/>
    <w:rsid w:val="00FE3DEE"/>
    <w:rsid w:val="00FE4545"/>
    <w:rsid w:val="00FE6DC3"/>
    <w:rsid w:val="00FF3C45"/>
    <w:rsid w:val="00FF5BC8"/>
    <w:rsid w:val="04DC97AC"/>
    <w:rsid w:val="0E117064"/>
    <w:rsid w:val="0F8139A4"/>
    <w:rsid w:val="0FE8621B"/>
    <w:rsid w:val="1083E49B"/>
    <w:rsid w:val="1C818A1F"/>
    <w:rsid w:val="1CCB2A02"/>
    <w:rsid w:val="1E390CB8"/>
    <w:rsid w:val="28F4BF28"/>
    <w:rsid w:val="2A42D961"/>
    <w:rsid w:val="39D36EBE"/>
    <w:rsid w:val="47A8AF60"/>
    <w:rsid w:val="527D4E5B"/>
    <w:rsid w:val="54BA62E2"/>
    <w:rsid w:val="572EFD12"/>
    <w:rsid w:val="5A1372FA"/>
    <w:rsid w:val="5A6AFD35"/>
    <w:rsid w:val="5AA11747"/>
    <w:rsid w:val="5F8CF444"/>
    <w:rsid w:val="620B5E6D"/>
    <w:rsid w:val="64A7AA2F"/>
    <w:rsid w:val="676656FD"/>
    <w:rsid w:val="688B4CCF"/>
    <w:rsid w:val="6FDFE480"/>
    <w:rsid w:val="74E8B502"/>
    <w:rsid w:val="7B86BF77"/>
    <w:rsid w:val="7D5A1C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FCF9E8F3-17C6-4546-9615-99A226A88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59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cPr>
      <w:shd w:val="clear" w:color="auto" w:fill="5F646A"/>
      <w:vAlign w:val="center"/>
    </w:tcPr>
    <w:tblStylePr w:type="firstRow">
      <w:pPr>
        <w:jc w:val="left"/>
      </w:pPr>
      <w:rPr>
        <w:color w:val="FFFFFF" w:themeColor="background1"/>
      </w:r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FootnoteText">
    <w:name w:val="footnote text"/>
    <w:basedOn w:val="Normal"/>
    <w:link w:val="FootnoteTextChar"/>
    <w:semiHidden/>
    <w:unhideWhenUsed/>
    <w:rsid w:val="00090F2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90F2C"/>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90F2C"/>
    <w:rPr>
      <w:vertAlign w:val="superscript"/>
    </w:rPr>
  </w:style>
  <w:style w:type="table" w:customStyle="1" w:styleId="GridTable4-Accent612">
    <w:name w:val="Grid Table 4 - Accent 612"/>
    <w:basedOn w:val="TableNormal"/>
    <w:next w:val="GridTable4-Accent6"/>
    <w:uiPriority w:val="49"/>
    <w:rsid w:val="00090F2C"/>
    <w:pPr>
      <w:spacing w:after="0" w:line="240" w:lineRule="auto"/>
    </w:pPr>
    <w:rPr>
      <w:rFonts w:ascii="Calibri" w:eastAsia="Calibri" w:hAnsi="Calibri" w:cs="Arial"/>
    </w:rPr>
    <w:tblPr>
      <w:tblStyleRowBandSize w:val="1"/>
      <w:tblStyleColBandSize w:val="1"/>
      <w:tblBorders>
        <w:top w:val="single" w:sz="4" w:space="0" w:color="6FB4DE"/>
        <w:left w:val="single" w:sz="4" w:space="0" w:color="6FB4DE"/>
        <w:bottom w:val="single" w:sz="4" w:space="0" w:color="6FB4DE"/>
        <w:right w:val="single" w:sz="4" w:space="0" w:color="6FB4DE"/>
        <w:insideH w:val="single" w:sz="4" w:space="0" w:color="6FB4DE"/>
        <w:insideV w:val="single" w:sz="4" w:space="0" w:color="6FB4DE"/>
      </w:tblBorders>
    </w:tblPr>
    <w:tblStylePr w:type="firstRow">
      <w:rPr>
        <w:b/>
        <w:bCs/>
        <w:color w:val="FFFFFF"/>
      </w:rPr>
      <w:tblPr/>
      <w:tcPr>
        <w:tcBorders>
          <w:top w:val="single" w:sz="4" w:space="0" w:color="287DB2"/>
          <w:left w:val="single" w:sz="4" w:space="0" w:color="287DB2"/>
          <w:bottom w:val="single" w:sz="4" w:space="0" w:color="287DB2"/>
          <w:right w:val="single" w:sz="4" w:space="0" w:color="287DB2"/>
          <w:insideH w:val="nil"/>
          <w:insideV w:val="nil"/>
        </w:tcBorders>
        <w:shd w:val="clear" w:color="auto" w:fill="287DB2"/>
      </w:tcPr>
    </w:tblStylePr>
    <w:tblStylePr w:type="lastRow">
      <w:rPr>
        <w:b/>
        <w:bCs/>
      </w:rPr>
      <w:tblPr/>
      <w:tcPr>
        <w:tcBorders>
          <w:top w:val="double" w:sz="4" w:space="0" w:color="287DB2"/>
        </w:tcBorders>
      </w:tcPr>
    </w:tblStylePr>
    <w:tblStylePr w:type="firstCol">
      <w:rPr>
        <w:b/>
        <w:bCs/>
      </w:rPr>
    </w:tblStylePr>
    <w:tblStylePr w:type="lastCol">
      <w:rPr>
        <w:b/>
        <w:bCs/>
      </w:rPr>
    </w:tblStylePr>
    <w:tblStylePr w:type="band1Vert">
      <w:tblPr/>
      <w:tcPr>
        <w:shd w:val="clear" w:color="auto" w:fill="CFE5F4"/>
      </w:tcPr>
    </w:tblStylePr>
    <w:tblStylePr w:type="band1Horz">
      <w:tblPr/>
      <w:tcPr>
        <w:shd w:val="clear" w:color="auto" w:fill="CFE5F4"/>
      </w:tcPr>
    </w:tblStylePr>
  </w:style>
  <w:style w:type="table" w:customStyle="1" w:styleId="GridTable4-Accent613">
    <w:name w:val="Grid Table 4 - Accent 613"/>
    <w:basedOn w:val="TableNormal"/>
    <w:next w:val="GridTable4-Accent6"/>
    <w:uiPriority w:val="49"/>
    <w:rsid w:val="00090F2C"/>
    <w:pPr>
      <w:spacing w:after="0" w:line="240" w:lineRule="auto"/>
    </w:pPr>
    <w:rPr>
      <w:rFonts w:ascii="Calibri" w:eastAsia="Calibri" w:hAnsi="Calibri" w:cs="Arial"/>
    </w:rPr>
    <w:tblPr>
      <w:tblStyleRowBandSize w:val="1"/>
      <w:tblStyleColBandSize w:val="1"/>
      <w:tblBorders>
        <w:top w:val="single" w:sz="4" w:space="0" w:color="6FB4DE"/>
        <w:left w:val="single" w:sz="4" w:space="0" w:color="6FB4DE"/>
        <w:bottom w:val="single" w:sz="4" w:space="0" w:color="6FB4DE"/>
        <w:right w:val="single" w:sz="4" w:space="0" w:color="6FB4DE"/>
        <w:insideH w:val="single" w:sz="4" w:space="0" w:color="6FB4DE"/>
        <w:insideV w:val="single" w:sz="4" w:space="0" w:color="6FB4DE"/>
      </w:tblBorders>
    </w:tblPr>
    <w:tblStylePr w:type="firstRow">
      <w:rPr>
        <w:b/>
        <w:bCs/>
        <w:color w:val="FFFFFF"/>
      </w:rPr>
      <w:tblPr/>
      <w:tcPr>
        <w:tcBorders>
          <w:top w:val="single" w:sz="4" w:space="0" w:color="287DB2"/>
          <w:left w:val="single" w:sz="4" w:space="0" w:color="287DB2"/>
          <w:bottom w:val="single" w:sz="4" w:space="0" w:color="287DB2"/>
          <w:right w:val="single" w:sz="4" w:space="0" w:color="287DB2"/>
          <w:insideH w:val="nil"/>
          <w:insideV w:val="nil"/>
        </w:tcBorders>
        <w:shd w:val="clear" w:color="auto" w:fill="287DB2"/>
      </w:tcPr>
    </w:tblStylePr>
    <w:tblStylePr w:type="lastRow">
      <w:rPr>
        <w:b/>
        <w:bCs/>
      </w:rPr>
      <w:tblPr/>
      <w:tcPr>
        <w:tcBorders>
          <w:top w:val="double" w:sz="4" w:space="0" w:color="287DB2"/>
        </w:tcBorders>
      </w:tcPr>
    </w:tblStylePr>
    <w:tblStylePr w:type="firstCol">
      <w:rPr>
        <w:b/>
        <w:bCs/>
      </w:rPr>
    </w:tblStylePr>
    <w:tblStylePr w:type="lastCol">
      <w:rPr>
        <w:b/>
        <w:bCs/>
      </w:rPr>
    </w:tblStylePr>
    <w:tblStylePr w:type="band1Vert">
      <w:tblPr/>
      <w:tcPr>
        <w:shd w:val="clear" w:color="auto" w:fill="CFE5F4"/>
      </w:tcPr>
    </w:tblStylePr>
    <w:tblStylePr w:type="band1Horz">
      <w:tblPr/>
      <w:tcPr>
        <w:shd w:val="clear" w:color="auto" w:fill="CFE5F4"/>
      </w:tcPr>
    </w:tblStylePr>
  </w:style>
  <w:style w:type="table" w:customStyle="1" w:styleId="GridTable5Dark-Accent622">
    <w:name w:val="Grid Table 5 Dark - Accent 622"/>
    <w:basedOn w:val="TableNormal"/>
    <w:next w:val="GridTable5Dark-Accent6"/>
    <w:uiPriority w:val="50"/>
    <w:rsid w:val="00090F2C"/>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FE5F4"/>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87DB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87DB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87DB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87DB2"/>
      </w:tcPr>
    </w:tblStylePr>
    <w:tblStylePr w:type="band1Vert">
      <w:tblPr/>
      <w:tcPr>
        <w:shd w:val="clear" w:color="auto" w:fill="9FCDE9"/>
      </w:tcPr>
    </w:tblStylePr>
    <w:tblStylePr w:type="band1Horz">
      <w:tblPr/>
      <w:tcPr>
        <w:shd w:val="clear" w:color="auto" w:fill="9FCDE9"/>
      </w:tcPr>
    </w:tblStylePr>
  </w:style>
  <w:style w:type="table" w:customStyle="1" w:styleId="GridTable4-Accent614">
    <w:name w:val="Grid Table 4 - Accent 614"/>
    <w:basedOn w:val="TableNormal"/>
    <w:next w:val="GridTable4-Accent6"/>
    <w:uiPriority w:val="49"/>
    <w:rsid w:val="00090F2C"/>
    <w:pPr>
      <w:spacing w:after="0" w:line="240" w:lineRule="auto"/>
    </w:pPr>
    <w:rPr>
      <w:rFonts w:ascii="Calibri" w:eastAsia="Calibri" w:hAnsi="Calibri" w:cs="Arial"/>
    </w:rPr>
    <w:tblPr>
      <w:tblStyleRowBandSize w:val="1"/>
      <w:tblStyleColBandSize w:val="1"/>
      <w:tblBorders>
        <w:top w:val="single" w:sz="4" w:space="0" w:color="6FB4DE"/>
        <w:left w:val="single" w:sz="4" w:space="0" w:color="6FB4DE"/>
        <w:bottom w:val="single" w:sz="4" w:space="0" w:color="6FB4DE"/>
        <w:right w:val="single" w:sz="4" w:space="0" w:color="6FB4DE"/>
        <w:insideH w:val="single" w:sz="4" w:space="0" w:color="6FB4DE"/>
        <w:insideV w:val="single" w:sz="4" w:space="0" w:color="6FB4DE"/>
      </w:tblBorders>
    </w:tblPr>
    <w:tblStylePr w:type="firstRow">
      <w:rPr>
        <w:b/>
        <w:bCs/>
        <w:color w:val="FFFFFF"/>
      </w:rPr>
      <w:tblPr/>
      <w:tcPr>
        <w:tcBorders>
          <w:top w:val="single" w:sz="4" w:space="0" w:color="287DB2"/>
          <w:left w:val="single" w:sz="4" w:space="0" w:color="287DB2"/>
          <w:bottom w:val="single" w:sz="4" w:space="0" w:color="287DB2"/>
          <w:right w:val="single" w:sz="4" w:space="0" w:color="287DB2"/>
          <w:insideH w:val="nil"/>
          <w:insideV w:val="nil"/>
        </w:tcBorders>
        <w:shd w:val="clear" w:color="auto" w:fill="287DB2"/>
      </w:tcPr>
    </w:tblStylePr>
    <w:tblStylePr w:type="lastRow">
      <w:rPr>
        <w:b/>
        <w:bCs/>
      </w:rPr>
      <w:tblPr/>
      <w:tcPr>
        <w:tcBorders>
          <w:top w:val="double" w:sz="4" w:space="0" w:color="287DB2"/>
        </w:tcBorders>
      </w:tcPr>
    </w:tblStylePr>
    <w:tblStylePr w:type="firstCol">
      <w:rPr>
        <w:b/>
        <w:bCs/>
      </w:rPr>
    </w:tblStylePr>
    <w:tblStylePr w:type="lastCol">
      <w:rPr>
        <w:b/>
        <w:bCs/>
      </w:rPr>
    </w:tblStylePr>
    <w:tblStylePr w:type="band1Vert">
      <w:tblPr/>
      <w:tcPr>
        <w:shd w:val="clear" w:color="auto" w:fill="CFE5F4"/>
      </w:tcPr>
    </w:tblStylePr>
    <w:tblStylePr w:type="band1Horz">
      <w:tblPr/>
      <w:tcPr>
        <w:shd w:val="clear" w:color="auto" w:fill="CFE5F4"/>
      </w:tcPr>
    </w:tblStylePr>
  </w:style>
  <w:style w:type="table" w:styleId="GridTable4-Accent6">
    <w:name w:val="Grid Table 4 Accent 6"/>
    <w:basedOn w:val="TableNormal"/>
    <w:uiPriority w:val="49"/>
    <w:rsid w:val="00090F2C"/>
    <w:pPr>
      <w:spacing w:after="0" w:line="240" w:lineRule="auto"/>
    </w:pPr>
    <w:tblPr>
      <w:tblStyleRowBandSize w:val="1"/>
      <w:tblStyleColBandSize w:val="1"/>
      <w:tblBorders>
        <w:top w:val="single" w:sz="4" w:space="0" w:color="FBC37E" w:themeColor="accent6" w:themeTint="99"/>
        <w:left w:val="single" w:sz="4" w:space="0" w:color="FBC37E" w:themeColor="accent6" w:themeTint="99"/>
        <w:bottom w:val="single" w:sz="4" w:space="0" w:color="FBC37E" w:themeColor="accent6" w:themeTint="99"/>
        <w:right w:val="single" w:sz="4" w:space="0" w:color="FBC37E" w:themeColor="accent6" w:themeTint="99"/>
        <w:insideH w:val="single" w:sz="4" w:space="0" w:color="FBC37E" w:themeColor="accent6" w:themeTint="99"/>
        <w:insideV w:val="single" w:sz="4" w:space="0" w:color="FBC37E" w:themeColor="accent6" w:themeTint="99"/>
      </w:tblBorders>
    </w:tblPr>
    <w:tblStylePr w:type="firstRow">
      <w:rPr>
        <w:b/>
        <w:bCs/>
        <w:color w:val="FFFFFF" w:themeColor="background1"/>
      </w:rPr>
      <w:tblPr/>
      <w:tcPr>
        <w:tcBorders>
          <w:top w:val="single" w:sz="4" w:space="0" w:color="F99D2A" w:themeColor="accent6"/>
          <w:left w:val="single" w:sz="4" w:space="0" w:color="F99D2A" w:themeColor="accent6"/>
          <w:bottom w:val="single" w:sz="4" w:space="0" w:color="F99D2A" w:themeColor="accent6"/>
          <w:right w:val="single" w:sz="4" w:space="0" w:color="F99D2A" w:themeColor="accent6"/>
          <w:insideH w:val="nil"/>
          <w:insideV w:val="nil"/>
        </w:tcBorders>
        <w:shd w:val="clear" w:color="auto" w:fill="F99D2A" w:themeFill="accent6"/>
      </w:tcPr>
    </w:tblStylePr>
    <w:tblStylePr w:type="lastRow">
      <w:rPr>
        <w:b/>
        <w:bCs/>
      </w:rPr>
      <w:tblPr/>
      <w:tcPr>
        <w:tcBorders>
          <w:top w:val="double" w:sz="4" w:space="0" w:color="F99D2A" w:themeColor="accent6"/>
        </w:tcBorders>
      </w:tcPr>
    </w:tblStylePr>
    <w:tblStylePr w:type="firstCol">
      <w:rPr>
        <w:b/>
        <w:bCs/>
      </w:rPr>
    </w:tblStylePr>
    <w:tblStylePr w:type="lastCol">
      <w:rPr>
        <w:b/>
        <w:bCs/>
      </w:rPr>
    </w:tblStylePr>
    <w:tblStylePr w:type="band1Vert">
      <w:tblPr/>
      <w:tcPr>
        <w:shd w:val="clear" w:color="auto" w:fill="FDEBD4" w:themeFill="accent6" w:themeFillTint="33"/>
      </w:tcPr>
    </w:tblStylePr>
    <w:tblStylePr w:type="band1Horz">
      <w:tblPr/>
      <w:tcPr>
        <w:shd w:val="clear" w:color="auto" w:fill="FDEBD4" w:themeFill="accent6" w:themeFillTint="33"/>
      </w:tcPr>
    </w:tblStylePr>
  </w:style>
  <w:style w:type="table" w:styleId="GridTable5Dark-Accent6">
    <w:name w:val="Grid Table 5 Dark Accent 6"/>
    <w:basedOn w:val="TableNormal"/>
    <w:uiPriority w:val="50"/>
    <w:rsid w:val="00090F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BD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9D2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9D2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9D2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9D2A" w:themeFill="accent6"/>
      </w:tcPr>
    </w:tblStylePr>
    <w:tblStylePr w:type="band1Vert">
      <w:tblPr/>
      <w:tcPr>
        <w:shd w:val="clear" w:color="auto" w:fill="FCD7A9" w:themeFill="accent6" w:themeFillTint="66"/>
      </w:tcPr>
    </w:tblStylePr>
    <w:tblStylePr w:type="band1Horz">
      <w:tblPr/>
      <w:tcPr>
        <w:shd w:val="clear" w:color="auto" w:fill="FCD7A9" w:themeFill="accent6" w:themeFillTint="66"/>
      </w:tcPr>
    </w:tblStylePr>
  </w:style>
  <w:style w:type="character" w:styleId="FollowedHyperlink">
    <w:name w:val="FollowedHyperlink"/>
    <w:basedOn w:val="DefaultParagraphFont"/>
    <w:uiPriority w:val="99"/>
    <w:semiHidden/>
    <w:unhideWhenUsed/>
    <w:rsid w:val="00177747"/>
    <w:rPr>
      <w:color w:val="CE372F" w:themeColor="followedHyperlink"/>
      <w:u w:val="single"/>
    </w:rPr>
  </w:style>
  <w:style w:type="paragraph" w:styleId="Revision">
    <w:name w:val="Revision"/>
    <w:hidden/>
    <w:uiPriority w:val="99"/>
    <w:semiHidden/>
    <w:rsid w:val="00705F34"/>
    <w:pPr>
      <w:spacing w:after="0" w:line="240" w:lineRule="auto"/>
    </w:pPr>
  </w:style>
  <w:style w:type="character" w:styleId="CommentReference">
    <w:name w:val="annotation reference"/>
    <w:basedOn w:val="DefaultParagraphFont"/>
    <w:uiPriority w:val="99"/>
    <w:semiHidden/>
    <w:unhideWhenUsed/>
    <w:rsid w:val="00DE7368"/>
    <w:rPr>
      <w:sz w:val="16"/>
      <w:szCs w:val="16"/>
    </w:rPr>
  </w:style>
  <w:style w:type="paragraph" w:styleId="CommentText">
    <w:name w:val="annotation text"/>
    <w:basedOn w:val="Normal"/>
    <w:link w:val="CommentTextChar"/>
    <w:uiPriority w:val="99"/>
    <w:unhideWhenUsed/>
    <w:rsid w:val="00DE7368"/>
    <w:pPr>
      <w:spacing w:line="240" w:lineRule="auto"/>
    </w:pPr>
    <w:rPr>
      <w:sz w:val="20"/>
      <w:szCs w:val="20"/>
    </w:rPr>
  </w:style>
  <w:style w:type="character" w:customStyle="1" w:styleId="CommentTextChar">
    <w:name w:val="Comment Text Char"/>
    <w:basedOn w:val="DefaultParagraphFont"/>
    <w:link w:val="CommentText"/>
    <w:uiPriority w:val="99"/>
    <w:rsid w:val="00DE7368"/>
    <w:rPr>
      <w:sz w:val="20"/>
      <w:szCs w:val="20"/>
    </w:rPr>
  </w:style>
  <w:style w:type="paragraph" w:styleId="CommentSubject">
    <w:name w:val="annotation subject"/>
    <w:basedOn w:val="CommentText"/>
    <w:next w:val="CommentText"/>
    <w:link w:val="CommentSubjectChar"/>
    <w:uiPriority w:val="99"/>
    <w:semiHidden/>
    <w:unhideWhenUsed/>
    <w:rsid w:val="00DE7368"/>
    <w:rPr>
      <w:b/>
      <w:bCs/>
    </w:rPr>
  </w:style>
  <w:style w:type="character" w:customStyle="1" w:styleId="CommentSubjectChar">
    <w:name w:val="Comment Subject Char"/>
    <w:basedOn w:val="CommentTextChar"/>
    <w:link w:val="CommentSubject"/>
    <w:uiPriority w:val="99"/>
    <w:semiHidden/>
    <w:rsid w:val="00DE7368"/>
    <w:rPr>
      <w:b/>
      <w:bCs/>
      <w:sz w:val="20"/>
      <w:szCs w:val="20"/>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85010C"/>
    <w:pPr>
      <w:ind w:left="720"/>
      <w:contextualSpacing/>
    </w:pPr>
  </w:style>
  <w:style w:type="paragraph" w:customStyle="1" w:styleId="ListRecommendations">
    <w:name w:val="List Recommendations"/>
    <w:basedOn w:val="ListParagraph"/>
    <w:qFormat/>
    <w:rsid w:val="000C1039"/>
    <w:pPr>
      <w:numPr>
        <w:numId w:val="28"/>
      </w:numPr>
      <w:spacing w:after="120" w:line="240" w:lineRule="auto"/>
      <w:ind w:hanging="357"/>
      <w:contextualSpacing w:val="0"/>
    </w:p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locked/>
    <w:rsid w:val="000C1039"/>
  </w:style>
  <w:style w:type="character" w:styleId="Mention">
    <w:name w:val="Mention"/>
    <w:basedOn w:val="DefaultParagraphFont"/>
    <w:uiPriority w:val="99"/>
    <w:unhideWhenUsed/>
    <w:rsid w:val="00DF0320"/>
    <w:rPr>
      <w:color w:val="2B579A"/>
      <w:shd w:val="clear" w:color="auto" w:fill="E1DFDD"/>
    </w:rPr>
  </w:style>
  <w:style w:type="table" w:styleId="TableGridLight">
    <w:name w:val="Grid Table Light"/>
    <w:basedOn w:val="TableNormal"/>
    <w:uiPriority w:val="40"/>
    <w:rsid w:val="005F590E"/>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83442">
      <w:bodyDiv w:val="1"/>
      <w:marLeft w:val="0"/>
      <w:marRight w:val="0"/>
      <w:marTop w:val="0"/>
      <w:marBottom w:val="0"/>
      <w:divBdr>
        <w:top w:val="none" w:sz="0" w:space="0" w:color="auto"/>
        <w:left w:val="none" w:sz="0" w:space="0" w:color="auto"/>
        <w:bottom w:val="none" w:sz="0" w:space="0" w:color="auto"/>
        <w:right w:val="none" w:sz="0" w:space="0" w:color="auto"/>
      </w:divBdr>
    </w:div>
    <w:div w:id="1323849658">
      <w:bodyDiv w:val="1"/>
      <w:marLeft w:val="0"/>
      <w:marRight w:val="0"/>
      <w:marTop w:val="0"/>
      <w:marBottom w:val="0"/>
      <w:divBdr>
        <w:top w:val="none" w:sz="0" w:space="0" w:color="auto"/>
        <w:left w:val="none" w:sz="0" w:space="0" w:color="auto"/>
        <w:bottom w:val="none" w:sz="0" w:space="0" w:color="auto"/>
        <w:right w:val="none" w:sz="0" w:space="0" w:color="auto"/>
      </w:divBdr>
      <w:divsChild>
        <w:div w:id="111486808">
          <w:marLeft w:val="0"/>
          <w:marRight w:val="0"/>
          <w:marTop w:val="0"/>
          <w:marBottom w:val="0"/>
          <w:divBdr>
            <w:top w:val="none" w:sz="0" w:space="0" w:color="auto"/>
            <w:left w:val="none" w:sz="0" w:space="0" w:color="auto"/>
            <w:bottom w:val="none" w:sz="0" w:space="0" w:color="auto"/>
            <w:right w:val="none" w:sz="0" w:space="0" w:color="auto"/>
          </w:divBdr>
        </w:div>
        <w:div w:id="494423662">
          <w:marLeft w:val="0"/>
          <w:marRight w:val="0"/>
          <w:marTop w:val="0"/>
          <w:marBottom w:val="0"/>
          <w:divBdr>
            <w:top w:val="none" w:sz="0" w:space="0" w:color="auto"/>
            <w:left w:val="none" w:sz="0" w:space="0" w:color="auto"/>
            <w:bottom w:val="none" w:sz="0" w:space="0" w:color="auto"/>
            <w:right w:val="none" w:sz="0" w:space="0" w:color="auto"/>
          </w:divBdr>
        </w:div>
        <w:div w:id="1871916810">
          <w:marLeft w:val="0"/>
          <w:marRight w:val="0"/>
          <w:marTop w:val="0"/>
          <w:marBottom w:val="0"/>
          <w:divBdr>
            <w:top w:val="none" w:sz="0" w:space="0" w:color="auto"/>
            <w:left w:val="none" w:sz="0" w:space="0" w:color="auto"/>
            <w:bottom w:val="none" w:sz="0" w:space="0" w:color="auto"/>
            <w:right w:val="none" w:sz="0" w:space="0" w:color="auto"/>
          </w:divBdr>
        </w:div>
        <w:div w:id="1902523889">
          <w:marLeft w:val="0"/>
          <w:marRight w:val="0"/>
          <w:marTop w:val="0"/>
          <w:marBottom w:val="0"/>
          <w:divBdr>
            <w:top w:val="none" w:sz="0" w:space="0" w:color="auto"/>
            <w:left w:val="none" w:sz="0" w:space="0" w:color="auto"/>
            <w:bottom w:val="none" w:sz="0" w:space="0" w:color="auto"/>
            <w:right w:val="none" w:sz="0" w:space="0" w:color="auto"/>
          </w:divBdr>
        </w:div>
        <w:div w:id="1923251434">
          <w:marLeft w:val="0"/>
          <w:marRight w:val="0"/>
          <w:marTop w:val="0"/>
          <w:marBottom w:val="0"/>
          <w:divBdr>
            <w:top w:val="none" w:sz="0" w:space="0" w:color="auto"/>
            <w:left w:val="none" w:sz="0" w:space="0" w:color="auto"/>
            <w:bottom w:val="none" w:sz="0" w:space="0" w:color="auto"/>
            <w:right w:val="none" w:sz="0" w:space="0" w:color="auto"/>
          </w:divBdr>
        </w:div>
        <w:div w:id="2022779133">
          <w:marLeft w:val="0"/>
          <w:marRight w:val="0"/>
          <w:marTop w:val="0"/>
          <w:marBottom w:val="0"/>
          <w:divBdr>
            <w:top w:val="none" w:sz="0" w:space="0" w:color="auto"/>
            <w:left w:val="none" w:sz="0" w:space="0" w:color="auto"/>
            <w:bottom w:val="none" w:sz="0" w:space="0" w:color="auto"/>
            <w:right w:val="none" w:sz="0" w:space="0" w:color="auto"/>
          </w:divBdr>
        </w:div>
      </w:divsChild>
    </w:div>
    <w:div w:id="1517574239">
      <w:bodyDiv w:val="1"/>
      <w:marLeft w:val="0"/>
      <w:marRight w:val="0"/>
      <w:marTop w:val="0"/>
      <w:marBottom w:val="0"/>
      <w:divBdr>
        <w:top w:val="none" w:sz="0" w:space="0" w:color="auto"/>
        <w:left w:val="none" w:sz="0" w:space="0" w:color="auto"/>
        <w:bottom w:val="none" w:sz="0" w:space="0" w:color="auto"/>
        <w:right w:val="none" w:sz="0" w:space="0" w:color="auto"/>
      </w:divBdr>
      <w:divsChild>
        <w:div w:id="792401063">
          <w:marLeft w:val="0"/>
          <w:marRight w:val="0"/>
          <w:marTop w:val="0"/>
          <w:marBottom w:val="0"/>
          <w:divBdr>
            <w:top w:val="none" w:sz="0" w:space="0" w:color="auto"/>
            <w:left w:val="none" w:sz="0" w:space="0" w:color="auto"/>
            <w:bottom w:val="none" w:sz="0" w:space="0" w:color="auto"/>
            <w:right w:val="none" w:sz="0" w:space="0" w:color="auto"/>
          </w:divBdr>
        </w:div>
        <w:div w:id="947665682">
          <w:marLeft w:val="0"/>
          <w:marRight w:val="0"/>
          <w:marTop w:val="0"/>
          <w:marBottom w:val="0"/>
          <w:divBdr>
            <w:top w:val="none" w:sz="0" w:space="0" w:color="auto"/>
            <w:left w:val="none" w:sz="0" w:space="0" w:color="auto"/>
            <w:bottom w:val="none" w:sz="0" w:space="0" w:color="auto"/>
            <w:right w:val="none" w:sz="0" w:space="0" w:color="auto"/>
          </w:divBdr>
        </w:div>
        <w:div w:id="1169371526">
          <w:marLeft w:val="0"/>
          <w:marRight w:val="0"/>
          <w:marTop w:val="0"/>
          <w:marBottom w:val="0"/>
          <w:divBdr>
            <w:top w:val="none" w:sz="0" w:space="0" w:color="auto"/>
            <w:left w:val="none" w:sz="0" w:space="0" w:color="auto"/>
            <w:bottom w:val="none" w:sz="0" w:space="0" w:color="auto"/>
            <w:right w:val="none" w:sz="0" w:space="0" w:color="auto"/>
          </w:divBdr>
        </w:div>
        <w:div w:id="1620452332">
          <w:marLeft w:val="0"/>
          <w:marRight w:val="0"/>
          <w:marTop w:val="0"/>
          <w:marBottom w:val="0"/>
          <w:divBdr>
            <w:top w:val="none" w:sz="0" w:space="0" w:color="auto"/>
            <w:left w:val="none" w:sz="0" w:space="0" w:color="auto"/>
            <w:bottom w:val="none" w:sz="0" w:space="0" w:color="auto"/>
            <w:right w:val="none" w:sz="0" w:space="0" w:color="auto"/>
          </w:divBdr>
        </w:div>
        <w:div w:id="1800955453">
          <w:marLeft w:val="0"/>
          <w:marRight w:val="0"/>
          <w:marTop w:val="0"/>
          <w:marBottom w:val="0"/>
          <w:divBdr>
            <w:top w:val="none" w:sz="0" w:space="0" w:color="auto"/>
            <w:left w:val="none" w:sz="0" w:space="0" w:color="auto"/>
            <w:bottom w:val="none" w:sz="0" w:space="0" w:color="auto"/>
            <w:right w:val="none" w:sz="0" w:space="0" w:color="auto"/>
          </w:divBdr>
        </w:div>
        <w:div w:id="2139060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ection22AReporting@education.gov.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7" ma:contentTypeDescription="Create a new document." ma:contentTypeScope="" ma:versionID="f7a0e31ba59a7f2850ce7954720608e9">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e309973f45688a12fdfd21c098a254f8"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cf05cde-0cf7-4cec-b691-9b56ccfb7941}"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e7c9846-b409-431d-9ec7-76b30568bf70"/>
    <lcf76f155ced4ddcb4097134ff3c332f xmlns="811bef87-b317-4239-89d2-1f3b6fba655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BD665-57B9-4C08-85D4-081336207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9821C6-3292-4866-B0DE-6FC54768DCE6}">
  <ds:schemaRefs>
    <ds:schemaRef ds:uri="http://schemas.openxmlformats.org/officeDocument/2006/bibliography"/>
  </ds:schemaRefs>
</ds:datastoreItem>
</file>

<file path=customXml/itemProps3.xml><?xml version="1.0" encoding="utf-8"?>
<ds:datastoreItem xmlns:ds="http://schemas.openxmlformats.org/officeDocument/2006/customXml" ds:itemID="{4679BA0A-D375-44F0-B968-B036705E36B6}">
  <ds:schemaRefs>
    <ds:schemaRef ds:uri="http://schemas.microsoft.com/office/2006/metadata/properties"/>
    <ds:schemaRef ds:uri="http://schemas.microsoft.com/office/infopath/2007/PartnerControls"/>
    <ds:schemaRef ds:uri="ae7c9846-b409-431d-9ec7-76b30568bf70"/>
    <ds:schemaRef ds:uri="811bef87-b317-4239-89d2-1f3b6fba6559"/>
  </ds:schemaRefs>
</ds:datastoreItem>
</file>

<file path=customXml/itemProps4.xml><?xml version="1.0" encoding="utf-8"?>
<ds:datastoreItem xmlns:ds="http://schemas.openxmlformats.org/officeDocument/2006/customXml" ds:itemID="{937AEF2A-4A65-4376-B52C-6A34F4B227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16</Pages>
  <Words>4470</Words>
  <Characters>25484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Guidance to Reporting - state and territory funding contribution requirements</vt:lpstr>
    </vt:vector>
  </TitlesOfParts>
  <Company/>
  <LinksUpToDate>false</LinksUpToDate>
  <CharactersWithSpaces>29895</CharactersWithSpaces>
  <SharedDoc>false</SharedDoc>
  <HLinks>
    <vt:vector size="144" baseType="variant">
      <vt:variant>
        <vt:i4>4128836</vt:i4>
      </vt:variant>
      <vt:variant>
        <vt:i4>141</vt:i4>
      </vt:variant>
      <vt:variant>
        <vt:i4>0</vt:i4>
      </vt:variant>
      <vt:variant>
        <vt:i4>5</vt:i4>
      </vt:variant>
      <vt:variant>
        <vt:lpwstr>mailto:Section22AReporting@education.gov.au</vt:lpwstr>
      </vt:variant>
      <vt:variant>
        <vt:lpwstr/>
      </vt:variant>
      <vt:variant>
        <vt:i4>1966130</vt:i4>
      </vt:variant>
      <vt:variant>
        <vt:i4>134</vt:i4>
      </vt:variant>
      <vt:variant>
        <vt:i4>0</vt:i4>
      </vt:variant>
      <vt:variant>
        <vt:i4>5</vt:i4>
      </vt:variant>
      <vt:variant>
        <vt:lpwstr/>
      </vt:variant>
      <vt:variant>
        <vt:lpwstr>_Toc212545688</vt:lpwstr>
      </vt:variant>
      <vt:variant>
        <vt:i4>1966130</vt:i4>
      </vt:variant>
      <vt:variant>
        <vt:i4>128</vt:i4>
      </vt:variant>
      <vt:variant>
        <vt:i4>0</vt:i4>
      </vt:variant>
      <vt:variant>
        <vt:i4>5</vt:i4>
      </vt:variant>
      <vt:variant>
        <vt:lpwstr/>
      </vt:variant>
      <vt:variant>
        <vt:lpwstr>_Toc212545687</vt:lpwstr>
      </vt:variant>
      <vt:variant>
        <vt:i4>1966130</vt:i4>
      </vt:variant>
      <vt:variant>
        <vt:i4>122</vt:i4>
      </vt:variant>
      <vt:variant>
        <vt:i4>0</vt:i4>
      </vt:variant>
      <vt:variant>
        <vt:i4>5</vt:i4>
      </vt:variant>
      <vt:variant>
        <vt:lpwstr/>
      </vt:variant>
      <vt:variant>
        <vt:lpwstr>_Toc212545686</vt:lpwstr>
      </vt:variant>
      <vt:variant>
        <vt:i4>1966130</vt:i4>
      </vt:variant>
      <vt:variant>
        <vt:i4>116</vt:i4>
      </vt:variant>
      <vt:variant>
        <vt:i4>0</vt:i4>
      </vt:variant>
      <vt:variant>
        <vt:i4>5</vt:i4>
      </vt:variant>
      <vt:variant>
        <vt:lpwstr/>
      </vt:variant>
      <vt:variant>
        <vt:lpwstr>_Toc212545684</vt:lpwstr>
      </vt:variant>
      <vt:variant>
        <vt:i4>1114162</vt:i4>
      </vt:variant>
      <vt:variant>
        <vt:i4>110</vt:i4>
      </vt:variant>
      <vt:variant>
        <vt:i4>0</vt:i4>
      </vt:variant>
      <vt:variant>
        <vt:i4>5</vt:i4>
      </vt:variant>
      <vt:variant>
        <vt:lpwstr/>
      </vt:variant>
      <vt:variant>
        <vt:lpwstr>_Toc212545679</vt:lpwstr>
      </vt:variant>
      <vt:variant>
        <vt:i4>1114162</vt:i4>
      </vt:variant>
      <vt:variant>
        <vt:i4>104</vt:i4>
      </vt:variant>
      <vt:variant>
        <vt:i4>0</vt:i4>
      </vt:variant>
      <vt:variant>
        <vt:i4>5</vt:i4>
      </vt:variant>
      <vt:variant>
        <vt:lpwstr/>
      </vt:variant>
      <vt:variant>
        <vt:lpwstr>_Toc212545677</vt:lpwstr>
      </vt:variant>
      <vt:variant>
        <vt:i4>1114162</vt:i4>
      </vt:variant>
      <vt:variant>
        <vt:i4>98</vt:i4>
      </vt:variant>
      <vt:variant>
        <vt:i4>0</vt:i4>
      </vt:variant>
      <vt:variant>
        <vt:i4>5</vt:i4>
      </vt:variant>
      <vt:variant>
        <vt:lpwstr/>
      </vt:variant>
      <vt:variant>
        <vt:lpwstr>_Toc212545676</vt:lpwstr>
      </vt:variant>
      <vt:variant>
        <vt:i4>1114162</vt:i4>
      </vt:variant>
      <vt:variant>
        <vt:i4>92</vt:i4>
      </vt:variant>
      <vt:variant>
        <vt:i4>0</vt:i4>
      </vt:variant>
      <vt:variant>
        <vt:i4>5</vt:i4>
      </vt:variant>
      <vt:variant>
        <vt:lpwstr/>
      </vt:variant>
      <vt:variant>
        <vt:lpwstr>_Toc212545675</vt:lpwstr>
      </vt:variant>
      <vt:variant>
        <vt:i4>1114162</vt:i4>
      </vt:variant>
      <vt:variant>
        <vt:i4>86</vt:i4>
      </vt:variant>
      <vt:variant>
        <vt:i4>0</vt:i4>
      </vt:variant>
      <vt:variant>
        <vt:i4>5</vt:i4>
      </vt:variant>
      <vt:variant>
        <vt:lpwstr/>
      </vt:variant>
      <vt:variant>
        <vt:lpwstr>_Toc212545674</vt:lpwstr>
      </vt:variant>
      <vt:variant>
        <vt:i4>1114162</vt:i4>
      </vt:variant>
      <vt:variant>
        <vt:i4>80</vt:i4>
      </vt:variant>
      <vt:variant>
        <vt:i4>0</vt:i4>
      </vt:variant>
      <vt:variant>
        <vt:i4>5</vt:i4>
      </vt:variant>
      <vt:variant>
        <vt:lpwstr/>
      </vt:variant>
      <vt:variant>
        <vt:lpwstr>_Toc212545673</vt:lpwstr>
      </vt:variant>
      <vt:variant>
        <vt:i4>1114162</vt:i4>
      </vt:variant>
      <vt:variant>
        <vt:i4>74</vt:i4>
      </vt:variant>
      <vt:variant>
        <vt:i4>0</vt:i4>
      </vt:variant>
      <vt:variant>
        <vt:i4>5</vt:i4>
      </vt:variant>
      <vt:variant>
        <vt:lpwstr/>
      </vt:variant>
      <vt:variant>
        <vt:lpwstr>_Toc212545672</vt:lpwstr>
      </vt:variant>
      <vt:variant>
        <vt:i4>1114162</vt:i4>
      </vt:variant>
      <vt:variant>
        <vt:i4>68</vt:i4>
      </vt:variant>
      <vt:variant>
        <vt:i4>0</vt:i4>
      </vt:variant>
      <vt:variant>
        <vt:i4>5</vt:i4>
      </vt:variant>
      <vt:variant>
        <vt:lpwstr/>
      </vt:variant>
      <vt:variant>
        <vt:lpwstr>_Toc212545671</vt:lpwstr>
      </vt:variant>
      <vt:variant>
        <vt:i4>1114162</vt:i4>
      </vt:variant>
      <vt:variant>
        <vt:i4>62</vt:i4>
      </vt:variant>
      <vt:variant>
        <vt:i4>0</vt:i4>
      </vt:variant>
      <vt:variant>
        <vt:i4>5</vt:i4>
      </vt:variant>
      <vt:variant>
        <vt:lpwstr/>
      </vt:variant>
      <vt:variant>
        <vt:lpwstr>_Toc212545670</vt:lpwstr>
      </vt:variant>
      <vt:variant>
        <vt:i4>1048626</vt:i4>
      </vt:variant>
      <vt:variant>
        <vt:i4>56</vt:i4>
      </vt:variant>
      <vt:variant>
        <vt:i4>0</vt:i4>
      </vt:variant>
      <vt:variant>
        <vt:i4>5</vt:i4>
      </vt:variant>
      <vt:variant>
        <vt:lpwstr/>
      </vt:variant>
      <vt:variant>
        <vt:lpwstr>_Toc212545669</vt:lpwstr>
      </vt:variant>
      <vt:variant>
        <vt:i4>1048626</vt:i4>
      </vt:variant>
      <vt:variant>
        <vt:i4>50</vt:i4>
      </vt:variant>
      <vt:variant>
        <vt:i4>0</vt:i4>
      </vt:variant>
      <vt:variant>
        <vt:i4>5</vt:i4>
      </vt:variant>
      <vt:variant>
        <vt:lpwstr/>
      </vt:variant>
      <vt:variant>
        <vt:lpwstr>_Toc212545668</vt:lpwstr>
      </vt:variant>
      <vt:variant>
        <vt:i4>1048626</vt:i4>
      </vt:variant>
      <vt:variant>
        <vt:i4>44</vt:i4>
      </vt:variant>
      <vt:variant>
        <vt:i4>0</vt:i4>
      </vt:variant>
      <vt:variant>
        <vt:i4>5</vt:i4>
      </vt:variant>
      <vt:variant>
        <vt:lpwstr/>
      </vt:variant>
      <vt:variant>
        <vt:lpwstr>_Toc212545667</vt:lpwstr>
      </vt:variant>
      <vt:variant>
        <vt:i4>1048626</vt:i4>
      </vt:variant>
      <vt:variant>
        <vt:i4>38</vt:i4>
      </vt:variant>
      <vt:variant>
        <vt:i4>0</vt:i4>
      </vt:variant>
      <vt:variant>
        <vt:i4>5</vt:i4>
      </vt:variant>
      <vt:variant>
        <vt:lpwstr/>
      </vt:variant>
      <vt:variant>
        <vt:lpwstr>_Toc212545666</vt:lpwstr>
      </vt:variant>
      <vt:variant>
        <vt:i4>1048626</vt:i4>
      </vt:variant>
      <vt:variant>
        <vt:i4>32</vt:i4>
      </vt:variant>
      <vt:variant>
        <vt:i4>0</vt:i4>
      </vt:variant>
      <vt:variant>
        <vt:i4>5</vt:i4>
      </vt:variant>
      <vt:variant>
        <vt:lpwstr/>
      </vt:variant>
      <vt:variant>
        <vt:lpwstr>_Toc212545665</vt:lpwstr>
      </vt:variant>
      <vt:variant>
        <vt:i4>1048626</vt:i4>
      </vt:variant>
      <vt:variant>
        <vt:i4>26</vt:i4>
      </vt:variant>
      <vt:variant>
        <vt:i4>0</vt:i4>
      </vt:variant>
      <vt:variant>
        <vt:i4>5</vt:i4>
      </vt:variant>
      <vt:variant>
        <vt:lpwstr/>
      </vt:variant>
      <vt:variant>
        <vt:lpwstr>_Toc212545664</vt:lpwstr>
      </vt:variant>
      <vt:variant>
        <vt:i4>1048626</vt:i4>
      </vt:variant>
      <vt:variant>
        <vt:i4>20</vt:i4>
      </vt:variant>
      <vt:variant>
        <vt:i4>0</vt:i4>
      </vt:variant>
      <vt:variant>
        <vt:i4>5</vt:i4>
      </vt:variant>
      <vt:variant>
        <vt:lpwstr/>
      </vt:variant>
      <vt:variant>
        <vt:lpwstr>_Toc212545663</vt:lpwstr>
      </vt:variant>
      <vt:variant>
        <vt:i4>1048626</vt:i4>
      </vt:variant>
      <vt:variant>
        <vt:i4>14</vt:i4>
      </vt:variant>
      <vt:variant>
        <vt:i4>0</vt:i4>
      </vt:variant>
      <vt:variant>
        <vt:i4>5</vt:i4>
      </vt:variant>
      <vt:variant>
        <vt:lpwstr/>
      </vt:variant>
      <vt:variant>
        <vt:lpwstr>_Toc212545662</vt:lpwstr>
      </vt:variant>
      <vt:variant>
        <vt:i4>1048626</vt:i4>
      </vt:variant>
      <vt:variant>
        <vt:i4>8</vt:i4>
      </vt:variant>
      <vt:variant>
        <vt:i4>0</vt:i4>
      </vt:variant>
      <vt:variant>
        <vt:i4>5</vt:i4>
      </vt:variant>
      <vt:variant>
        <vt:lpwstr/>
      </vt:variant>
      <vt:variant>
        <vt:lpwstr>_Toc212545661</vt:lpwstr>
      </vt:variant>
      <vt:variant>
        <vt:i4>1048626</vt:i4>
      </vt:variant>
      <vt:variant>
        <vt:i4>2</vt:i4>
      </vt:variant>
      <vt:variant>
        <vt:i4>0</vt:i4>
      </vt:variant>
      <vt:variant>
        <vt:i4>5</vt:i4>
      </vt:variant>
      <vt:variant>
        <vt:lpwstr/>
      </vt:variant>
      <vt:variant>
        <vt:lpwstr>_Toc212545660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to Reporting - state and territory funding contribution requirements</dc:title>
  <dc:subject/>
  <dc:creator/>
  <cp:keywords/>
  <dc:description/>
  <cp:lastModifiedBy>HEYS,Olivia</cp:lastModifiedBy>
  <cp:revision>12</cp:revision>
  <cp:lastPrinted>2026-08-18T02:05:00Z</cp:lastPrinted>
  <dcterms:created xsi:type="dcterms:W3CDTF">2026-08-18T01:55:00Z</dcterms:created>
  <dcterms:modified xsi:type="dcterms:W3CDTF">2026-08-18T05:05:00Z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2023-08-30T01:56:42Z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a0700c5f-b863-43e1-9097-b4304ffd525b</vt:lpwstr>
  </property>
  <property fmtid="{D5CDD505-2E9C-101B-9397-08002B2CF9AE}" pid="8" name="MSIP_Label_79d889eb-932f-4752-8739-64d25806ef64_ContentBits">
    <vt:lpwstr>0</vt:lpwstr>
  </property>
  <property fmtid="{D5CDD505-2E9C-101B-9397-08002B2CF9AE}" pid="9" name="ContentTypeId">
    <vt:lpwstr>0x0101001CC6DC4A76C44E4B9C98E6677AE0C2DE</vt:lpwstr>
  </property>
  <property fmtid="{D5CDD505-2E9C-101B-9397-08002B2CF9AE}" pid="10" name="MediaServiceImageTags">
    <vt:lpwstr/>
  </property>
  <property fmtid="{D5CDD505-2E9C-101B-9397-08002B2CF9AE}" pid="11" name="docLang">
    <vt:lpwstr>en</vt:lpwstr>
  </property>
</Properties>
</file>