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BA53A" w14:textId="2BB86668" w:rsidR="00E26DFE" w:rsidRDefault="00753131" w:rsidP="009F02FE">
      <w:pPr>
        <w:pStyle w:val="Title"/>
        <w:rPr>
          <w:sz w:val="24"/>
          <w:szCs w:val="24"/>
        </w:rPr>
      </w:pPr>
      <w:bookmarkStart w:id="0" w:name="_GoBack"/>
      <w:bookmarkEnd w:id="0"/>
      <w:r>
        <w:rPr>
          <w:noProof/>
          <w:lang w:eastAsia="en-AU"/>
        </w:rPr>
        <w:drawing>
          <wp:anchor distT="0" distB="0" distL="114300" distR="114300" simplePos="0" relativeHeight="251659264" behindDoc="0" locked="0" layoutInCell="1" allowOverlap="1" wp14:anchorId="0D41DDCB" wp14:editId="2FF218B2">
            <wp:simplePos x="0" y="0"/>
            <wp:positionH relativeFrom="column">
              <wp:posOffset>-405765</wp:posOffset>
            </wp:positionH>
            <wp:positionV relativeFrom="paragraph">
              <wp:posOffset>-491490</wp:posOffset>
            </wp:positionV>
            <wp:extent cx="6120130" cy="1956895"/>
            <wp:effectExtent l="0" t="0" r="0" b="5715"/>
            <wp:wrapNone/>
            <wp:docPr id="2" name="Picture 2"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fact sheet head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1956895"/>
                    </a:xfrm>
                    <a:prstGeom prst="rect">
                      <a:avLst/>
                    </a:prstGeom>
                  </pic:spPr>
                </pic:pic>
              </a:graphicData>
            </a:graphic>
            <wp14:sizeRelH relativeFrom="page">
              <wp14:pctWidth>0</wp14:pctWidth>
            </wp14:sizeRelH>
            <wp14:sizeRelV relativeFrom="page">
              <wp14:pctHeight>0</wp14:pctHeight>
            </wp14:sizeRelV>
          </wp:anchor>
        </w:drawing>
      </w:r>
    </w:p>
    <w:p w14:paraId="10C3C478" w14:textId="27CE2D9B" w:rsidR="006107DF" w:rsidRDefault="006107DF" w:rsidP="009F02FE">
      <w:pPr>
        <w:pStyle w:val="Title"/>
        <w:rPr>
          <w:sz w:val="24"/>
          <w:szCs w:val="24"/>
        </w:rPr>
      </w:pPr>
    </w:p>
    <w:p w14:paraId="4154EF22" w14:textId="77777777" w:rsidR="0091573D" w:rsidRDefault="0091573D" w:rsidP="0091573D"/>
    <w:p w14:paraId="7266C663" w14:textId="77777777" w:rsidR="0091573D" w:rsidRDefault="0091573D" w:rsidP="0091573D"/>
    <w:p w14:paraId="6BD5B867" w14:textId="77777777" w:rsidR="009F02FE" w:rsidRDefault="009F02FE" w:rsidP="009F02FE">
      <w:pPr>
        <w:pStyle w:val="Title"/>
      </w:pPr>
      <w:r>
        <w:t xml:space="preserve">Discussion Paper – </w:t>
      </w:r>
      <w:r w:rsidR="00AD09C9">
        <w:t>re</w:t>
      </w:r>
      <w:r>
        <w:t xml:space="preserve">distribution pool </w:t>
      </w:r>
      <w:r w:rsidR="00AD09C9">
        <w:t>of</w:t>
      </w:r>
      <w:r>
        <w:t xml:space="preserve"> medical places</w:t>
      </w:r>
    </w:p>
    <w:p w14:paraId="01102BC0" w14:textId="77777777" w:rsidR="00EF1D51" w:rsidRPr="00545F8B" w:rsidRDefault="00AE378A" w:rsidP="00B05309">
      <w:pPr>
        <w:pStyle w:val="Heading1"/>
        <w:spacing w:after="120" w:line="276" w:lineRule="auto"/>
        <w:contextualSpacing w:val="0"/>
      </w:pPr>
      <w:r>
        <w:t>Introduction</w:t>
      </w:r>
    </w:p>
    <w:p w14:paraId="646B209E" w14:textId="77777777" w:rsidR="003155A8" w:rsidRPr="00F85A22" w:rsidRDefault="00A3189F" w:rsidP="00B05309">
      <w:pPr>
        <w:pStyle w:val="Heading2"/>
        <w:spacing w:before="120" w:after="120"/>
      </w:pPr>
      <w:r>
        <w:t>Establishing a redistribution pool of medical places</w:t>
      </w:r>
    </w:p>
    <w:p w14:paraId="7CCF2C41" w14:textId="77777777" w:rsidR="003D6D06" w:rsidRPr="007B40C5" w:rsidRDefault="003D6D06" w:rsidP="00DD3210">
      <w:pPr>
        <w:rPr>
          <w:rFonts w:cstheme="minorHAnsi"/>
          <w:color w:val="000000" w:themeColor="text1"/>
        </w:rPr>
      </w:pPr>
      <w:bookmarkStart w:id="1" w:name="_Toc364946115"/>
      <w:bookmarkStart w:id="2" w:name="_Toc364946116"/>
      <w:r w:rsidRPr="007B40C5">
        <w:rPr>
          <w:rFonts w:cstheme="minorHAnsi"/>
          <w:color w:val="000000" w:themeColor="text1"/>
        </w:rPr>
        <w:t xml:space="preserve">As announced in the 2018–19 Budget, the Australian Government is implementing new medical education strategies to better manage the supply of medical graduates and expand opportunities for learning and training in rural Australia. Together with workforce measures through the </w:t>
      </w:r>
      <w:r w:rsidRPr="007B40C5">
        <w:rPr>
          <w:rFonts w:cstheme="minorHAnsi"/>
          <w:i/>
          <w:color w:val="000000" w:themeColor="text1"/>
        </w:rPr>
        <w:t>Stronger Rural Health Strategy</w:t>
      </w:r>
      <w:r w:rsidRPr="007B40C5">
        <w:rPr>
          <w:rFonts w:cstheme="minorHAnsi"/>
          <w:color w:val="000000" w:themeColor="text1"/>
        </w:rPr>
        <w:t xml:space="preserve"> in the Health portfolio, these strategies will help improve the recruitment and retention of doctors in rural and regional Australia and increase access to medical and health care in these communities.</w:t>
      </w:r>
    </w:p>
    <w:p w14:paraId="32E1C3A2" w14:textId="59C3FE80" w:rsidR="003D6D06" w:rsidRPr="007B40C5" w:rsidRDefault="003D6D06" w:rsidP="00DD3210">
      <w:pPr>
        <w:rPr>
          <w:rFonts w:cstheme="minorHAnsi"/>
          <w:color w:val="000000" w:themeColor="text1"/>
        </w:rPr>
      </w:pPr>
      <w:r w:rsidRPr="007B40C5">
        <w:rPr>
          <w:rFonts w:cstheme="minorHAnsi"/>
          <w:color w:val="000000" w:themeColor="text1"/>
        </w:rPr>
        <w:t>The medical workforce is expanding, with the Department of Health national modelling predicting:</w:t>
      </w:r>
    </w:p>
    <w:p w14:paraId="1A1AE7CF" w14:textId="6D8F1226" w:rsidR="003D6D06" w:rsidRPr="007B40C5" w:rsidRDefault="003D6D06" w:rsidP="00DD3210">
      <w:pPr>
        <w:pStyle w:val="ListParagraph"/>
        <w:numPr>
          <w:ilvl w:val="0"/>
          <w:numId w:val="12"/>
        </w:numPr>
        <w:ind w:hanging="502"/>
        <w:rPr>
          <w:rFonts w:cstheme="minorHAnsi"/>
          <w:color w:val="000000" w:themeColor="text1"/>
        </w:rPr>
      </w:pPr>
      <w:r w:rsidRPr="007B40C5">
        <w:rPr>
          <w:rFonts w:cstheme="minorHAnsi"/>
          <w:color w:val="000000" w:themeColor="text1"/>
        </w:rPr>
        <w:t>a potential oversupply of around 7,000 doctors by 2030</w:t>
      </w:r>
    </w:p>
    <w:p w14:paraId="153BAE65" w14:textId="24B8206F" w:rsidR="003D6D06" w:rsidRPr="007B40C5" w:rsidRDefault="003D6D06" w:rsidP="00DD3210">
      <w:pPr>
        <w:pStyle w:val="ListParagraph"/>
        <w:numPr>
          <w:ilvl w:val="0"/>
          <w:numId w:val="12"/>
        </w:numPr>
        <w:ind w:hanging="502"/>
        <w:rPr>
          <w:rFonts w:cstheme="minorHAnsi"/>
          <w:color w:val="000000" w:themeColor="text1"/>
        </w:rPr>
      </w:pPr>
      <w:r w:rsidRPr="007B40C5">
        <w:rPr>
          <w:rFonts w:cstheme="minorHAnsi"/>
          <w:color w:val="000000" w:themeColor="text1"/>
        </w:rPr>
        <w:t>a shortage of medical specialist training places of more than 1,000 places by 2030</w:t>
      </w:r>
    </w:p>
    <w:p w14:paraId="2D9E0307" w14:textId="77777777" w:rsidR="003D6D06" w:rsidRPr="007B40C5" w:rsidRDefault="003D6D06" w:rsidP="00DD3210">
      <w:pPr>
        <w:pStyle w:val="ListParagraph"/>
        <w:numPr>
          <w:ilvl w:val="0"/>
          <w:numId w:val="12"/>
        </w:numPr>
        <w:ind w:hanging="502"/>
        <w:rPr>
          <w:rFonts w:cstheme="minorHAnsi"/>
          <w:color w:val="000000" w:themeColor="text1"/>
        </w:rPr>
      </w:pPr>
      <w:r w:rsidRPr="007B40C5">
        <w:rPr>
          <w:rFonts w:cstheme="minorHAnsi"/>
          <w:color w:val="000000" w:themeColor="text1"/>
        </w:rPr>
        <w:t>an imbalance in the distribution of the medical workforce across geography and specialities.</w:t>
      </w:r>
      <w:r w:rsidRPr="007B40C5">
        <w:rPr>
          <w:rStyle w:val="FootnoteReference"/>
          <w:rFonts w:cstheme="minorHAnsi"/>
          <w:color w:val="000000" w:themeColor="text1"/>
        </w:rPr>
        <w:footnoteReference w:id="1"/>
      </w:r>
    </w:p>
    <w:p w14:paraId="21E6EF13" w14:textId="194CC91B" w:rsidR="003D6D06" w:rsidRPr="007B40C5" w:rsidRDefault="003D6D06" w:rsidP="00DD3210">
      <w:pPr>
        <w:rPr>
          <w:rFonts w:cstheme="minorHAnsi"/>
          <w:color w:val="000000" w:themeColor="text1"/>
        </w:rPr>
      </w:pPr>
      <w:r w:rsidRPr="007B40C5">
        <w:rPr>
          <w:rFonts w:cstheme="minorHAnsi"/>
          <w:color w:val="000000" w:themeColor="text1"/>
        </w:rPr>
        <w:t>Between 2001 and 2008, the number of Australian universities with medical schools almost doubled from 10 to 18. Since then, three more universities have started operating medical schools, bringing the total number of medical schools to 21. Two of these schools offer only fee-paying places and 19 have allocations of medical</w:t>
      </w:r>
      <w:r w:rsidR="008F1B42" w:rsidRPr="007B40C5">
        <w:rPr>
          <w:rFonts w:cstheme="minorHAnsi"/>
          <w:color w:val="000000" w:themeColor="text1"/>
        </w:rPr>
        <w:t xml:space="preserve"> Commonwealth supported places</w:t>
      </w:r>
      <w:r w:rsidRPr="007B40C5">
        <w:rPr>
          <w:rFonts w:cstheme="minorHAnsi"/>
          <w:color w:val="000000" w:themeColor="text1"/>
        </w:rPr>
        <w:t xml:space="preserve"> </w:t>
      </w:r>
      <w:r w:rsidR="008F1B42" w:rsidRPr="007B40C5">
        <w:rPr>
          <w:rFonts w:cstheme="minorHAnsi"/>
          <w:color w:val="000000" w:themeColor="text1"/>
        </w:rPr>
        <w:t>(CSPs).</w:t>
      </w:r>
      <w:r w:rsidRPr="007B40C5">
        <w:rPr>
          <w:rFonts w:cstheme="minorHAnsi"/>
          <w:color w:val="000000" w:themeColor="text1"/>
        </w:rPr>
        <w:t xml:space="preserve"> </w:t>
      </w:r>
    </w:p>
    <w:p w14:paraId="336E62FA" w14:textId="77777777" w:rsidR="003D6D06" w:rsidRPr="007B40C5" w:rsidRDefault="003D6D06" w:rsidP="00DD3210">
      <w:pPr>
        <w:rPr>
          <w:rFonts w:cstheme="minorHAnsi"/>
          <w:color w:val="000000" w:themeColor="text1"/>
        </w:rPr>
      </w:pPr>
      <w:r w:rsidRPr="007B40C5">
        <w:rPr>
          <w:rFonts w:cstheme="minorHAnsi"/>
          <w:color w:val="000000" w:themeColor="text1"/>
        </w:rPr>
        <w:t xml:space="preserve">Increases in medical schools and medical CSPs in Australia have largely been through Council of Australian Government (COAG) decisions in response to medical workforce shortages experienced in the early–mid 2000s. The establishment of the Curtin University medical school in 2017 occurred bilaterally outside COAG to address health workforce issues in Western Australia, which has fewer doctors per head of population than the rest of Australia. </w:t>
      </w:r>
    </w:p>
    <w:p w14:paraId="2CD7D7B4" w14:textId="77777777" w:rsidR="003D6D06" w:rsidRPr="007B40C5" w:rsidRDefault="003D6D06" w:rsidP="00DD3210">
      <w:pPr>
        <w:rPr>
          <w:rFonts w:cstheme="minorHAnsi"/>
          <w:color w:val="000000" w:themeColor="text1"/>
        </w:rPr>
      </w:pPr>
      <w:r w:rsidRPr="007B40C5">
        <w:rPr>
          <w:rFonts w:cstheme="minorHAnsi"/>
          <w:color w:val="000000" w:themeColor="text1"/>
        </w:rPr>
        <w:t>More broadly, ongoing shortages of doctors in regional, rural and remote communities around Australia are likely to persist, indicating a need for new policy responses.</w:t>
      </w:r>
    </w:p>
    <w:p w14:paraId="6F7AE7C9" w14:textId="77777777" w:rsidR="003D6D06" w:rsidRPr="007B40C5" w:rsidRDefault="003D6D06" w:rsidP="00DD3210">
      <w:pPr>
        <w:rPr>
          <w:color w:val="000000" w:themeColor="text1"/>
        </w:rPr>
      </w:pPr>
      <w:r w:rsidRPr="007B40C5">
        <w:rPr>
          <w:color w:val="000000" w:themeColor="text1"/>
        </w:rPr>
        <w:t xml:space="preserve">In the absence of additional medical CSPs, the Government is establishing a small pool of medical CSPs drawn from existing university allocations to provide it with flexibility to support key Government health workforce priorities as they emerge. </w:t>
      </w:r>
    </w:p>
    <w:p w14:paraId="591AEA3A" w14:textId="77777777" w:rsidR="000712A2" w:rsidRDefault="000712A2">
      <w:pPr>
        <w:spacing w:before="0" w:after="200"/>
      </w:pPr>
      <w:r>
        <w:br w:type="page"/>
      </w:r>
    </w:p>
    <w:p w14:paraId="10B00951" w14:textId="77777777" w:rsidR="003D6D06" w:rsidRPr="007B40C5" w:rsidRDefault="003D6D06" w:rsidP="00DD3210">
      <w:pPr>
        <w:rPr>
          <w:color w:val="000000" w:themeColor="text1"/>
        </w:rPr>
      </w:pPr>
      <w:r w:rsidRPr="007B40C5">
        <w:rPr>
          <w:color w:val="000000" w:themeColor="text1"/>
        </w:rPr>
        <w:lastRenderedPageBreak/>
        <w:t>The pool will withhold up to 60 commencing medical CSPs every three years, to be reallocated between universities through a competitive process to support health workforce priorities. A pool of 60 commencing CSPs is sufficient to support a major new medical education initiative or a number of smaller initiatives.</w:t>
      </w:r>
    </w:p>
    <w:p w14:paraId="526CE31C" w14:textId="309398FD" w:rsidR="00812D3B" w:rsidRPr="007B40C5" w:rsidRDefault="003D6D06" w:rsidP="00DD3210">
      <w:pPr>
        <w:rPr>
          <w:color w:val="000000" w:themeColor="text1"/>
        </w:rPr>
      </w:pPr>
      <w:r w:rsidRPr="007B40C5">
        <w:rPr>
          <w:color w:val="000000" w:themeColor="text1"/>
        </w:rPr>
        <w:t xml:space="preserve">The policy priority for the first redistribution </w:t>
      </w:r>
      <w:r w:rsidR="0003152C" w:rsidRPr="007B40C5">
        <w:rPr>
          <w:color w:val="000000" w:themeColor="text1"/>
        </w:rPr>
        <w:t xml:space="preserve">pool </w:t>
      </w:r>
      <w:r w:rsidR="008F1B42" w:rsidRPr="007B40C5">
        <w:rPr>
          <w:color w:val="000000" w:themeColor="text1"/>
        </w:rPr>
        <w:t>round for</w:t>
      </w:r>
      <w:r w:rsidRPr="007B40C5">
        <w:rPr>
          <w:color w:val="000000" w:themeColor="text1"/>
        </w:rPr>
        <w:t xml:space="preserve"> 2021 </w:t>
      </w:r>
      <w:r w:rsidR="008F1B42" w:rsidRPr="007B40C5">
        <w:rPr>
          <w:color w:val="000000" w:themeColor="text1"/>
        </w:rPr>
        <w:t xml:space="preserve">is </w:t>
      </w:r>
      <w:r w:rsidRPr="007B40C5">
        <w:rPr>
          <w:color w:val="000000" w:themeColor="text1"/>
        </w:rPr>
        <w:t xml:space="preserve">to help build the rural and regional medical workforce. </w:t>
      </w:r>
    </w:p>
    <w:p w14:paraId="18EEBB87" w14:textId="07443550" w:rsidR="003D6D06" w:rsidRPr="007B40C5" w:rsidRDefault="003D6D06" w:rsidP="00DD3210">
      <w:pPr>
        <w:rPr>
          <w:color w:val="000000" w:themeColor="text1"/>
        </w:rPr>
      </w:pPr>
      <w:r w:rsidRPr="007B40C5">
        <w:rPr>
          <w:color w:val="000000" w:themeColor="text1"/>
        </w:rPr>
        <w:t>Subsequent rounds, informed by triennial national medical workforce data assessments, will focus on emerging medical workforce pressures and policy priorities.</w:t>
      </w:r>
    </w:p>
    <w:p w14:paraId="199CEE4E" w14:textId="77777777" w:rsidR="003D6D06" w:rsidRPr="007B40C5" w:rsidRDefault="003D6D06" w:rsidP="00DD3210">
      <w:pPr>
        <w:rPr>
          <w:color w:val="000000" w:themeColor="text1"/>
        </w:rPr>
      </w:pPr>
      <w:r w:rsidRPr="007B40C5">
        <w:rPr>
          <w:color w:val="000000" w:themeColor="text1"/>
        </w:rPr>
        <w:t>The outcomes from the first redistribution round will be put into effect through Commonwealth Grant Scheme (CGS) funding agreements with universities from 2021.</w:t>
      </w:r>
    </w:p>
    <w:p w14:paraId="346EEC05" w14:textId="53D9D0F9" w:rsidR="003D6D06" w:rsidRPr="007B40C5" w:rsidRDefault="003D6D06" w:rsidP="00DD3210">
      <w:pPr>
        <w:rPr>
          <w:color w:val="000000" w:themeColor="text1"/>
        </w:rPr>
      </w:pPr>
      <w:r w:rsidRPr="007B40C5">
        <w:rPr>
          <w:color w:val="000000" w:themeColor="text1"/>
        </w:rPr>
        <w:t xml:space="preserve">As a transition arrangement for the first round only, universities with a net reduction to their medical CSP allocation will be permitted a commensurate increase in their international full-fee paying (IFFP) medical enrolments. </w:t>
      </w:r>
      <w:r w:rsidR="005D427C" w:rsidRPr="007B40C5">
        <w:rPr>
          <w:color w:val="000000" w:themeColor="text1"/>
        </w:rPr>
        <w:t>Should</w:t>
      </w:r>
      <w:r w:rsidRPr="007B40C5">
        <w:rPr>
          <w:color w:val="000000" w:themeColor="text1"/>
        </w:rPr>
        <w:t xml:space="preserve"> regulatory controls on IFFP medical enrolments </w:t>
      </w:r>
      <w:r w:rsidR="005D427C" w:rsidRPr="007B40C5">
        <w:rPr>
          <w:color w:val="000000" w:themeColor="text1"/>
        </w:rPr>
        <w:t>be</w:t>
      </w:r>
      <w:r w:rsidRPr="007B40C5">
        <w:rPr>
          <w:color w:val="000000" w:themeColor="text1"/>
        </w:rPr>
        <w:t xml:space="preserve"> introduced ahead of 2021, universities would be able to retain this one-off increase.</w:t>
      </w:r>
    </w:p>
    <w:bookmarkEnd w:id="1"/>
    <w:p w14:paraId="1E6152CF" w14:textId="55B877C2" w:rsidR="00AB78F2" w:rsidRPr="007B40C5" w:rsidRDefault="00CF7058" w:rsidP="00DD3210">
      <w:pPr>
        <w:pStyle w:val="Heading2"/>
        <w:spacing w:before="120" w:after="120"/>
        <w:rPr>
          <w:color w:val="000000" w:themeColor="text1"/>
        </w:rPr>
      </w:pPr>
      <w:r w:rsidRPr="007B40C5">
        <w:rPr>
          <w:color w:val="000000" w:themeColor="text1"/>
        </w:rPr>
        <w:t>Po</w:t>
      </w:r>
      <w:r w:rsidR="000A5BEA" w:rsidRPr="007B40C5">
        <w:rPr>
          <w:color w:val="000000" w:themeColor="text1"/>
        </w:rPr>
        <w:t xml:space="preserve">licy priority </w:t>
      </w:r>
      <w:r w:rsidRPr="007B40C5">
        <w:rPr>
          <w:color w:val="000000" w:themeColor="text1"/>
        </w:rPr>
        <w:t>for the</w:t>
      </w:r>
      <w:r w:rsidR="008F1B42" w:rsidRPr="007B40C5">
        <w:rPr>
          <w:color w:val="000000" w:themeColor="text1"/>
        </w:rPr>
        <w:t xml:space="preserve"> first</w:t>
      </w:r>
      <w:r w:rsidRPr="007B40C5">
        <w:rPr>
          <w:color w:val="000000" w:themeColor="text1"/>
        </w:rPr>
        <w:t xml:space="preserve"> </w:t>
      </w:r>
      <w:r w:rsidR="006F1EB4" w:rsidRPr="007B40C5">
        <w:rPr>
          <w:color w:val="000000" w:themeColor="text1"/>
        </w:rPr>
        <w:t xml:space="preserve">redistribution </w:t>
      </w:r>
      <w:r w:rsidR="008F1B42" w:rsidRPr="007B40C5">
        <w:rPr>
          <w:color w:val="000000" w:themeColor="text1"/>
        </w:rPr>
        <w:t>process</w:t>
      </w:r>
      <w:r w:rsidR="006F1EB4" w:rsidRPr="007B40C5">
        <w:rPr>
          <w:color w:val="000000" w:themeColor="text1"/>
        </w:rPr>
        <w:t xml:space="preserve"> for 2021</w:t>
      </w:r>
    </w:p>
    <w:p w14:paraId="16B2A49F" w14:textId="77777777" w:rsidR="003D6D06" w:rsidRPr="007B40C5" w:rsidRDefault="003D6D06" w:rsidP="00DD3210">
      <w:pPr>
        <w:rPr>
          <w:color w:val="000000" w:themeColor="text1"/>
        </w:rPr>
      </w:pPr>
      <w:r w:rsidRPr="007B40C5">
        <w:rPr>
          <w:color w:val="000000" w:themeColor="text1"/>
        </w:rPr>
        <w:t>Shortages of doctors persist in parts of rural Australia. Research evidence shows that enrolling students who undertake long-term training in rural areas increases the likelihood they will practise in rural areas upon graduation</w:t>
      </w:r>
      <w:r w:rsidRPr="007B40C5">
        <w:rPr>
          <w:rStyle w:val="FootnoteReference"/>
          <w:color w:val="000000" w:themeColor="text1"/>
        </w:rPr>
        <w:footnoteReference w:id="2"/>
      </w:r>
      <w:r w:rsidRPr="007B40C5">
        <w:rPr>
          <w:color w:val="000000" w:themeColor="text1"/>
        </w:rPr>
        <w:t>. It is internationally recognised that locating health worker schools outside major cities is of value for health worker retention.</w:t>
      </w:r>
      <w:r w:rsidRPr="007B40C5">
        <w:rPr>
          <w:rStyle w:val="FootnoteReference"/>
          <w:color w:val="000000" w:themeColor="text1"/>
        </w:rPr>
        <w:footnoteReference w:id="3"/>
      </w:r>
    </w:p>
    <w:p w14:paraId="7523402C" w14:textId="77777777" w:rsidR="003D6D06" w:rsidRPr="007B40C5" w:rsidRDefault="003D6D06" w:rsidP="00DD3210">
      <w:pPr>
        <w:rPr>
          <w:color w:val="000000" w:themeColor="text1"/>
        </w:rPr>
      </w:pPr>
      <w:r w:rsidRPr="007B40C5">
        <w:rPr>
          <w:color w:val="000000" w:themeColor="text1"/>
        </w:rPr>
        <w:t xml:space="preserve">In the 2018–19 Budget, the Government announced funding through the </w:t>
      </w:r>
      <w:r w:rsidRPr="007B40C5">
        <w:rPr>
          <w:i/>
          <w:color w:val="000000" w:themeColor="text1"/>
        </w:rPr>
        <w:t xml:space="preserve">Stronger Rural Health Strategy </w:t>
      </w:r>
      <w:r w:rsidRPr="007B40C5">
        <w:rPr>
          <w:color w:val="000000" w:themeColor="text1"/>
        </w:rPr>
        <w:t xml:space="preserve">managed through the Health portfolio, to build a sustainable, high-quality health workforce that is distributed across the country according to community need, particularly in rural and remote communities, including: </w:t>
      </w:r>
    </w:p>
    <w:p w14:paraId="6461DCD5" w14:textId="11F56555" w:rsidR="003D6D06" w:rsidRPr="007B40C5" w:rsidRDefault="003D6D06" w:rsidP="00DD3210">
      <w:pPr>
        <w:pStyle w:val="ListParagraph"/>
        <w:numPr>
          <w:ilvl w:val="1"/>
          <w:numId w:val="21"/>
        </w:numPr>
        <w:ind w:left="425" w:hanging="425"/>
        <w:contextualSpacing w:val="0"/>
        <w:rPr>
          <w:color w:val="000000" w:themeColor="text1"/>
        </w:rPr>
      </w:pPr>
      <w:r w:rsidRPr="007B40C5">
        <w:rPr>
          <w:color w:val="000000" w:themeColor="text1"/>
        </w:rPr>
        <w:t>the establishment of the Murray–Darling Medical Schools Network (MDMSN) to deliver five ‘end</w:t>
      </w:r>
      <w:r w:rsidR="007A5D09" w:rsidRPr="007B40C5">
        <w:rPr>
          <w:color w:val="000000" w:themeColor="text1"/>
        </w:rPr>
        <w:noBreakHyphen/>
      </w:r>
      <w:r w:rsidRPr="007B40C5">
        <w:rPr>
          <w:color w:val="000000" w:themeColor="text1"/>
        </w:rPr>
        <w:t>to</w:t>
      </w:r>
      <w:r w:rsidR="007A5D09" w:rsidRPr="007B40C5">
        <w:rPr>
          <w:color w:val="000000" w:themeColor="text1"/>
        </w:rPr>
        <w:noBreakHyphen/>
      </w:r>
      <w:r w:rsidRPr="007B40C5">
        <w:rPr>
          <w:color w:val="000000" w:themeColor="text1"/>
        </w:rPr>
        <w:t>end’ rural medical school programs across the Murray-Darling region of Victoria and New South Wales</w:t>
      </w:r>
      <w:r w:rsidR="00C03B10" w:rsidRPr="007B40C5">
        <w:rPr>
          <w:color w:val="000000" w:themeColor="text1"/>
        </w:rPr>
        <w:t>;</w:t>
      </w:r>
    </w:p>
    <w:p w14:paraId="1961B32B" w14:textId="285A6901" w:rsidR="003D6D06" w:rsidRPr="007B40C5" w:rsidRDefault="003D6D06" w:rsidP="00DD3210">
      <w:pPr>
        <w:pStyle w:val="ListParagraph"/>
        <w:numPr>
          <w:ilvl w:val="1"/>
          <w:numId w:val="21"/>
        </w:numPr>
        <w:ind w:left="426" w:hanging="426"/>
        <w:contextualSpacing w:val="0"/>
        <w:rPr>
          <w:color w:val="000000" w:themeColor="text1"/>
        </w:rPr>
      </w:pPr>
      <w:r w:rsidRPr="007B40C5">
        <w:rPr>
          <w:color w:val="000000" w:themeColor="text1"/>
        </w:rPr>
        <w:t xml:space="preserve">more opportunities for Australian-trained doctors to work in rural areas, such as through the Junior Doctor Training Program </w:t>
      </w:r>
      <w:r w:rsidR="00D13BD4" w:rsidRPr="007B40C5">
        <w:rPr>
          <w:color w:val="000000" w:themeColor="text1"/>
        </w:rPr>
        <w:t xml:space="preserve">and </w:t>
      </w:r>
      <w:r w:rsidRPr="007B40C5">
        <w:rPr>
          <w:color w:val="000000" w:themeColor="text1"/>
        </w:rPr>
        <w:t>the More Doctors for Rural Australia Program</w:t>
      </w:r>
      <w:r w:rsidR="00C03B10" w:rsidRPr="007B40C5">
        <w:rPr>
          <w:color w:val="000000" w:themeColor="text1"/>
        </w:rPr>
        <w:t>; and</w:t>
      </w:r>
    </w:p>
    <w:p w14:paraId="54233FA7" w14:textId="77777777" w:rsidR="003D6D06" w:rsidRPr="007B40C5" w:rsidRDefault="003D6D06" w:rsidP="00DD3210">
      <w:pPr>
        <w:pStyle w:val="ListParagraph"/>
        <w:numPr>
          <w:ilvl w:val="1"/>
          <w:numId w:val="21"/>
        </w:numPr>
        <w:ind w:left="426" w:hanging="426"/>
        <w:contextualSpacing w:val="0"/>
        <w:rPr>
          <w:color w:val="000000" w:themeColor="text1"/>
        </w:rPr>
      </w:pPr>
      <w:r w:rsidRPr="007B40C5">
        <w:rPr>
          <w:color w:val="000000" w:themeColor="text1"/>
        </w:rPr>
        <w:t>an additional 100 General Practitioner (GP) training places from 2021 to support rural generalist postgraduate medical training</w:t>
      </w:r>
      <w:r w:rsidR="008D55CD" w:rsidRPr="007B40C5">
        <w:rPr>
          <w:color w:val="000000" w:themeColor="text1"/>
        </w:rPr>
        <w:t>.</w:t>
      </w:r>
    </w:p>
    <w:p w14:paraId="674DCAFF" w14:textId="6D74A66B" w:rsidR="003D6D06" w:rsidRPr="007B40C5" w:rsidRDefault="003D6D06" w:rsidP="00DD3210">
      <w:pPr>
        <w:rPr>
          <w:color w:val="000000" w:themeColor="text1"/>
        </w:rPr>
      </w:pPr>
      <w:r w:rsidRPr="007B40C5">
        <w:rPr>
          <w:color w:val="000000" w:themeColor="text1"/>
        </w:rPr>
        <w:t xml:space="preserve">The Government has agreed the first redistribution round will </w:t>
      </w:r>
      <w:r w:rsidR="005A60B5" w:rsidRPr="007B40C5">
        <w:rPr>
          <w:color w:val="000000" w:themeColor="text1"/>
        </w:rPr>
        <w:t>focus on regional medical students and integrated regional training to</w:t>
      </w:r>
      <w:r w:rsidRPr="007B40C5">
        <w:rPr>
          <w:color w:val="000000" w:themeColor="text1"/>
        </w:rPr>
        <w:t xml:space="preserve"> help build the rural and regional medical workforce. </w:t>
      </w:r>
    </w:p>
    <w:p w14:paraId="337E8746" w14:textId="265B6F8A" w:rsidR="00DD0CF8" w:rsidRPr="007B40C5" w:rsidRDefault="008F1B42" w:rsidP="00DD3210">
      <w:r w:rsidRPr="007B40C5">
        <w:rPr>
          <w:color w:val="000000" w:themeColor="text1"/>
        </w:rPr>
        <w:t>The initial redistribution will allocate</w:t>
      </w:r>
      <w:r w:rsidR="003D6D06" w:rsidRPr="007B40C5">
        <w:rPr>
          <w:color w:val="000000" w:themeColor="text1"/>
        </w:rPr>
        <w:t xml:space="preserve"> </w:t>
      </w:r>
      <w:r w:rsidR="005D427C" w:rsidRPr="007B40C5">
        <w:rPr>
          <w:color w:val="000000" w:themeColor="text1"/>
        </w:rPr>
        <w:t>32</w:t>
      </w:r>
      <w:r w:rsidR="003D6D06" w:rsidRPr="007B40C5">
        <w:rPr>
          <w:color w:val="000000" w:themeColor="text1"/>
        </w:rPr>
        <w:t xml:space="preserve"> </w:t>
      </w:r>
      <w:r w:rsidRPr="007B40C5">
        <w:rPr>
          <w:color w:val="000000" w:themeColor="text1"/>
        </w:rPr>
        <w:t xml:space="preserve">places from the </w:t>
      </w:r>
      <w:r w:rsidR="003D6D06" w:rsidRPr="007B40C5">
        <w:rPr>
          <w:color w:val="000000" w:themeColor="text1"/>
        </w:rPr>
        <w:t xml:space="preserve">pool to Charles Sturt University (CSU) </w:t>
      </w:r>
      <w:r w:rsidR="00801E25" w:rsidRPr="007B40C5">
        <w:rPr>
          <w:color w:val="000000" w:themeColor="text1"/>
        </w:rPr>
        <w:t>to establish</w:t>
      </w:r>
      <w:r w:rsidR="003D6D06" w:rsidRPr="007B40C5">
        <w:rPr>
          <w:color w:val="000000" w:themeColor="text1"/>
        </w:rPr>
        <w:t xml:space="preserve"> a </w:t>
      </w:r>
      <w:r w:rsidR="00801E25" w:rsidRPr="007B40C5">
        <w:rPr>
          <w:color w:val="000000" w:themeColor="text1"/>
        </w:rPr>
        <w:t xml:space="preserve">new fully regional medical school for the MDMSN at Orange, NSW in </w:t>
      </w:r>
      <w:r w:rsidR="003D6D06" w:rsidRPr="007B40C5">
        <w:rPr>
          <w:color w:val="000000" w:themeColor="text1"/>
        </w:rPr>
        <w:t xml:space="preserve">partnership with Western Sydney </w:t>
      </w:r>
      <w:r w:rsidR="003D6D06" w:rsidRPr="007B40C5">
        <w:t>University (WSU)</w:t>
      </w:r>
      <w:r w:rsidR="008D55CD" w:rsidRPr="007B40C5">
        <w:t>.</w:t>
      </w:r>
      <w:r w:rsidR="00DD0CF8" w:rsidRPr="007B40C5">
        <w:t xml:space="preserve"> Th</w:t>
      </w:r>
      <w:r w:rsidR="00A17A38" w:rsidRPr="007B40C5">
        <w:t>is will leav</w:t>
      </w:r>
      <w:r w:rsidR="00DD0CF8" w:rsidRPr="007B40C5">
        <w:t xml:space="preserve">e </w:t>
      </w:r>
      <w:r w:rsidR="00A17A38" w:rsidRPr="007B40C5">
        <w:t>up to 28</w:t>
      </w:r>
      <w:r w:rsidR="00461AB2" w:rsidRPr="007B40C5">
        <w:t xml:space="preserve"> </w:t>
      </w:r>
      <w:r w:rsidR="00DD0CF8" w:rsidRPr="007B40C5">
        <w:t xml:space="preserve">remaining pool places </w:t>
      </w:r>
      <w:r w:rsidR="00801E25" w:rsidRPr="007B40C5">
        <w:t>for redistribution</w:t>
      </w:r>
      <w:r w:rsidR="00DD0CF8" w:rsidRPr="007B40C5">
        <w:t xml:space="preserve"> </w:t>
      </w:r>
      <w:r w:rsidR="00801E25" w:rsidRPr="007B40C5">
        <w:t>to</w:t>
      </w:r>
      <w:r w:rsidR="00DD0CF8" w:rsidRPr="007B40C5">
        <w:t xml:space="preserve"> align with the round’s rural and regional policy focus.</w:t>
      </w:r>
    </w:p>
    <w:p w14:paraId="649E9042" w14:textId="680E1509" w:rsidR="008F1B42" w:rsidRPr="007B40C5" w:rsidRDefault="008F1B42" w:rsidP="00DD3210">
      <w:r w:rsidRPr="007B40C5">
        <w:t xml:space="preserve">The </w:t>
      </w:r>
      <w:r w:rsidR="00DD0CF8" w:rsidRPr="007B40C5">
        <w:t>first round</w:t>
      </w:r>
      <w:r w:rsidRPr="007B40C5">
        <w:t xml:space="preserve"> will prioritise support to universities whose medical programs currently serve the needs of rural and regional communities and those committed to delivering a genuine increase in regional medical places.</w:t>
      </w:r>
      <w:r w:rsidR="00DD0CF8" w:rsidRPr="007B40C5">
        <w:t xml:space="preserve"> </w:t>
      </w:r>
      <w:r w:rsidR="00C24F4B" w:rsidRPr="007B40C5">
        <w:t>This</w:t>
      </w:r>
      <w:r w:rsidR="00045152" w:rsidRPr="007B40C5">
        <w:t xml:space="preserve"> is discussed in more detail as part of the consultation and issues for feedback process</w:t>
      </w:r>
      <w:r w:rsidR="00C24F4B" w:rsidRPr="007B40C5">
        <w:t xml:space="preserve"> below</w:t>
      </w:r>
      <w:r w:rsidR="00045152" w:rsidRPr="007B40C5">
        <w:t>.</w:t>
      </w:r>
    </w:p>
    <w:p w14:paraId="388E5ABB" w14:textId="77777777" w:rsidR="00B05309" w:rsidRPr="007B40C5" w:rsidRDefault="00CF7058" w:rsidP="00DD3210">
      <w:pPr>
        <w:pStyle w:val="Heading2"/>
        <w:spacing w:before="120" w:after="120"/>
      </w:pPr>
      <w:r w:rsidRPr="007B40C5">
        <w:t>Assessment Framework</w:t>
      </w:r>
    </w:p>
    <w:p w14:paraId="483B8F00" w14:textId="0360FFA5" w:rsidR="003D6D06" w:rsidRPr="007B40C5" w:rsidRDefault="00AD4155" w:rsidP="00DD3210">
      <w:r w:rsidRPr="007B40C5">
        <w:t>A robust and transparent</w:t>
      </w:r>
      <w:r w:rsidR="007A5D09" w:rsidRPr="007B40C5">
        <w:t xml:space="preserve"> Assessment Framework </w:t>
      </w:r>
      <w:r w:rsidRPr="007B40C5">
        <w:t xml:space="preserve">will set out clear </w:t>
      </w:r>
      <w:r w:rsidR="00A82D42" w:rsidRPr="007B40C5">
        <w:t xml:space="preserve">principles </w:t>
      </w:r>
      <w:r w:rsidR="00C84BC6" w:rsidRPr="007B40C5">
        <w:t xml:space="preserve">to </w:t>
      </w:r>
      <w:r w:rsidR="00A82D42" w:rsidRPr="007B40C5">
        <w:t xml:space="preserve">help </w:t>
      </w:r>
      <w:r w:rsidR="007A5D09" w:rsidRPr="007B40C5">
        <w:t>u</w:t>
      </w:r>
      <w:r w:rsidR="003D6D06" w:rsidRPr="007B40C5">
        <w:t xml:space="preserve">niversities </w:t>
      </w:r>
      <w:r w:rsidR="00A82D42" w:rsidRPr="007B40C5">
        <w:t xml:space="preserve">develop proposals for </w:t>
      </w:r>
      <w:r w:rsidR="003D6D06" w:rsidRPr="007B40C5">
        <w:t xml:space="preserve">new or expanded medical school programs. </w:t>
      </w:r>
    </w:p>
    <w:p w14:paraId="00F0C8E7" w14:textId="17CE88DB" w:rsidR="00AD4155" w:rsidRPr="007B40C5" w:rsidRDefault="00AD4155" w:rsidP="00DD3210">
      <w:pPr>
        <w:pStyle w:val="Heading2"/>
        <w:spacing w:before="120" w:after="120"/>
        <w:rPr>
          <w:rFonts w:asciiTheme="minorHAnsi" w:eastAsiaTheme="minorEastAsia" w:hAnsiTheme="minorHAnsi" w:cstheme="minorBidi"/>
          <w:b w:val="0"/>
          <w:bCs w:val="0"/>
          <w:noProof/>
          <w:sz w:val="22"/>
          <w:szCs w:val="22"/>
        </w:rPr>
      </w:pPr>
      <w:r w:rsidRPr="007B40C5">
        <w:rPr>
          <w:rFonts w:asciiTheme="minorHAnsi" w:eastAsiaTheme="minorEastAsia" w:hAnsiTheme="minorHAnsi" w:cstheme="minorBidi"/>
          <w:b w:val="0"/>
          <w:bCs w:val="0"/>
          <w:noProof/>
          <w:sz w:val="22"/>
          <w:szCs w:val="22"/>
        </w:rPr>
        <w:t xml:space="preserve">The Department of Education and the Department of Health will establish a panel of senior staff with the relevant expertise to evaluate, rank and recommend proposals for funding. Panel members will have access to external expert advice (e.g. regional, medical education) as required. </w:t>
      </w:r>
    </w:p>
    <w:p w14:paraId="23B1A2E1" w14:textId="77777777" w:rsidR="00C84BC6" w:rsidRPr="007B40C5" w:rsidRDefault="00C84BC6" w:rsidP="00DD3210">
      <w:pPr>
        <w:rPr>
          <w:rFonts w:eastAsia="Times New Roman" w:cstheme="minorHAnsi"/>
          <w:lang w:val="en" w:eastAsia="en-AU"/>
        </w:rPr>
      </w:pPr>
      <w:r w:rsidRPr="007B40C5">
        <w:t xml:space="preserve">The panel will assess university proposals for places from the redistribution pool against all the principles of the Assessment </w:t>
      </w:r>
      <w:r w:rsidRPr="007B40C5">
        <w:rPr>
          <w:noProof/>
        </w:rPr>
        <w:t xml:space="preserve">Framework. Proposals must </w:t>
      </w:r>
      <w:r w:rsidRPr="007B40C5">
        <w:rPr>
          <w:i/>
          <w:noProof/>
        </w:rPr>
        <w:t>satisfactorily address</w:t>
      </w:r>
      <w:r w:rsidRPr="007B40C5">
        <w:rPr>
          <w:noProof/>
        </w:rPr>
        <w:t xml:space="preserve"> all the Assessment Framework principles to be eligible for recommendation to the Minister for Education for approval.</w:t>
      </w:r>
    </w:p>
    <w:p w14:paraId="0A147696" w14:textId="1C653DD7" w:rsidR="00AD4155" w:rsidRPr="007B40C5" w:rsidRDefault="00C24F4B" w:rsidP="00DD3210">
      <w:pPr>
        <w:pStyle w:val="Heading2"/>
        <w:spacing w:before="120" w:after="120"/>
        <w:rPr>
          <w:rFonts w:asciiTheme="minorHAnsi" w:eastAsiaTheme="minorEastAsia" w:hAnsiTheme="minorHAnsi" w:cstheme="minorBidi"/>
          <w:b w:val="0"/>
          <w:bCs w:val="0"/>
          <w:sz w:val="22"/>
          <w:szCs w:val="22"/>
        </w:rPr>
      </w:pPr>
      <w:r w:rsidRPr="007B40C5">
        <w:rPr>
          <w:rFonts w:asciiTheme="minorHAnsi" w:eastAsiaTheme="minorEastAsia" w:hAnsiTheme="minorHAnsi" w:cstheme="minorBidi"/>
          <w:b w:val="0"/>
          <w:bCs w:val="0"/>
          <w:sz w:val="22"/>
          <w:szCs w:val="22"/>
        </w:rPr>
        <w:t>P</w:t>
      </w:r>
      <w:r w:rsidR="00AD4155" w:rsidRPr="007B40C5">
        <w:rPr>
          <w:rFonts w:asciiTheme="minorHAnsi" w:eastAsiaTheme="minorEastAsia" w:hAnsiTheme="minorHAnsi" w:cstheme="minorBidi"/>
          <w:b w:val="0"/>
          <w:bCs w:val="0"/>
          <w:sz w:val="22"/>
          <w:szCs w:val="22"/>
        </w:rPr>
        <w:t xml:space="preserve">roposals </w:t>
      </w:r>
      <w:r w:rsidRPr="007B40C5">
        <w:rPr>
          <w:rFonts w:asciiTheme="minorHAnsi" w:eastAsiaTheme="minorEastAsia" w:hAnsiTheme="minorHAnsi" w:cstheme="minorBidi"/>
          <w:b w:val="0"/>
          <w:bCs w:val="0"/>
          <w:sz w:val="22"/>
          <w:szCs w:val="22"/>
        </w:rPr>
        <w:t xml:space="preserve">seeking </w:t>
      </w:r>
      <w:r w:rsidR="00AD4155" w:rsidRPr="007B40C5">
        <w:rPr>
          <w:rFonts w:asciiTheme="minorHAnsi" w:eastAsiaTheme="minorEastAsia" w:hAnsiTheme="minorHAnsi" w:cstheme="minorBidi"/>
          <w:b w:val="0"/>
          <w:bCs w:val="0"/>
          <w:sz w:val="22"/>
          <w:szCs w:val="22"/>
        </w:rPr>
        <w:t xml:space="preserve">places from the redistribution pool will </w:t>
      </w:r>
      <w:r w:rsidR="00C84BC6" w:rsidRPr="007B40C5">
        <w:rPr>
          <w:rFonts w:asciiTheme="minorHAnsi" w:eastAsiaTheme="minorEastAsia" w:hAnsiTheme="minorHAnsi" w:cstheme="minorBidi"/>
          <w:b w:val="0"/>
          <w:bCs w:val="0"/>
          <w:sz w:val="22"/>
          <w:szCs w:val="22"/>
        </w:rPr>
        <w:t xml:space="preserve">also be considered in the context of </w:t>
      </w:r>
      <w:r w:rsidR="00AD4155" w:rsidRPr="007B40C5">
        <w:rPr>
          <w:rFonts w:asciiTheme="minorHAnsi" w:eastAsiaTheme="minorEastAsia" w:hAnsiTheme="minorHAnsi" w:cstheme="minorBidi"/>
          <w:b w:val="0"/>
          <w:bCs w:val="0"/>
          <w:sz w:val="22"/>
          <w:szCs w:val="22"/>
        </w:rPr>
        <w:t>the policy priority and associated policy criteria/parameters established for the respective redistribution round</w:t>
      </w:r>
      <w:r w:rsidR="00C84BC6" w:rsidRPr="007B40C5">
        <w:rPr>
          <w:rFonts w:asciiTheme="minorHAnsi" w:eastAsiaTheme="minorEastAsia" w:hAnsiTheme="minorHAnsi" w:cstheme="minorBidi"/>
          <w:b w:val="0"/>
          <w:bCs w:val="0"/>
          <w:sz w:val="22"/>
          <w:szCs w:val="22"/>
        </w:rPr>
        <w:t>.</w:t>
      </w:r>
      <w:r w:rsidRPr="007B40C5">
        <w:rPr>
          <w:rFonts w:asciiTheme="minorHAnsi" w:eastAsiaTheme="minorEastAsia" w:hAnsiTheme="minorHAnsi" w:cstheme="minorBidi"/>
          <w:b w:val="0"/>
          <w:bCs w:val="0"/>
          <w:sz w:val="22"/>
          <w:szCs w:val="22"/>
        </w:rPr>
        <w:t xml:space="preserve"> This is discussed in more detail as part of the consultation and issues for feedback process below.</w:t>
      </w:r>
    </w:p>
    <w:p w14:paraId="3E46413B" w14:textId="59FFB660" w:rsidR="00AD4155" w:rsidRPr="007B40C5" w:rsidRDefault="00AD4155" w:rsidP="00DD3210">
      <w:r w:rsidRPr="007B40C5">
        <w:rPr>
          <w:noProof/>
        </w:rPr>
        <w:t>The panel will make recommendations to the Minister for Education for decision, in consultation with the minister with responsibility for medical schools policy</w:t>
      </w:r>
      <w:r w:rsidR="00775F9E">
        <w:rPr>
          <w:noProof/>
        </w:rPr>
        <w:t xml:space="preserve"> within the Health portfolio</w:t>
      </w:r>
      <w:r w:rsidRPr="007B40C5">
        <w:rPr>
          <w:noProof/>
        </w:rPr>
        <w:t>. This is currently the Hon Mark Coulton MP, Minister for Regional Services, Decentralisation and Local Government.</w:t>
      </w:r>
    </w:p>
    <w:p w14:paraId="00E25BA2" w14:textId="77777777" w:rsidR="00AD4155" w:rsidRPr="007B40C5" w:rsidRDefault="00AD4155" w:rsidP="00DD3210">
      <w:pPr>
        <w:rPr>
          <w:noProof/>
        </w:rPr>
      </w:pPr>
      <w:r w:rsidRPr="007B40C5">
        <w:rPr>
          <w:noProof/>
        </w:rPr>
        <w:t xml:space="preserve">The Assessment Framework is provided as an attachment to this paper. </w:t>
      </w:r>
    </w:p>
    <w:bookmarkEnd w:id="2"/>
    <w:p w14:paraId="1438C093" w14:textId="42821D19" w:rsidR="00D27006" w:rsidRPr="00F85A22" w:rsidRDefault="00AE378A" w:rsidP="00DD3210">
      <w:pPr>
        <w:pStyle w:val="Heading1"/>
        <w:spacing w:after="120" w:line="276" w:lineRule="auto"/>
        <w:contextualSpacing w:val="0"/>
      </w:pPr>
      <w:r>
        <w:t>Consultation and issues for feedback</w:t>
      </w:r>
    </w:p>
    <w:p w14:paraId="604083CB" w14:textId="77777777" w:rsidR="003D6D06" w:rsidRPr="007B40C5" w:rsidRDefault="003D6D06" w:rsidP="00DD3210">
      <w:pPr>
        <w:rPr>
          <w:noProof/>
        </w:rPr>
      </w:pPr>
      <w:r w:rsidRPr="007B40C5">
        <w:rPr>
          <w:noProof/>
        </w:rPr>
        <w:t>The Government recognises the high standard of Australian medical schools programs</w:t>
      </w:r>
      <w:r w:rsidR="0079302F" w:rsidRPr="007B40C5">
        <w:rPr>
          <w:noProof/>
        </w:rPr>
        <w:t>,</w:t>
      </w:r>
      <w:r w:rsidRPr="007B40C5">
        <w:rPr>
          <w:noProof/>
        </w:rPr>
        <w:t xml:space="preserve"> which are accredited by the Australian Medical Council (AMC) and approved by the Medical Board of Australia as programs leading to registration to practise in Australia.</w:t>
      </w:r>
    </w:p>
    <w:p w14:paraId="260CEC06" w14:textId="327FF5C8" w:rsidR="003D6D06" w:rsidRPr="007B40C5" w:rsidRDefault="003D6D06" w:rsidP="00DD3210">
      <w:pPr>
        <w:rPr>
          <w:rFonts w:eastAsia="Times New Roman"/>
          <w:lang w:val="en" w:eastAsia="en-AU"/>
        </w:rPr>
      </w:pPr>
      <w:r w:rsidRPr="007B40C5">
        <w:rPr>
          <w:rFonts w:eastAsia="Times New Roman" w:cstheme="minorHAnsi"/>
          <w:lang w:val="en" w:eastAsia="en-AU"/>
        </w:rPr>
        <w:t xml:space="preserve">The Government aims to work with the </w:t>
      </w:r>
      <w:r w:rsidR="00E10762" w:rsidRPr="007B40C5">
        <w:rPr>
          <w:rFonts w:eastAsia="Times New Roman" w:cstheme="minorHAnsi"/>
          <w:lang w:val="en" w:eastAsia="en-AU"/>
        </w:rPr>
        <w:t>universi</w:t>
      </w:r>
      <w:r w:rsidR="00A82D42" w:rsidRPr="007B40C5">
        <w:rPr>
          <w:rFonts w:eastAsia="Times New Roman" w:cstheme="minorHAnsi"/>
          <w:lang w:val="en" w:eastAsia="en-AU"/>
        </w:rPr>
        <w:t xml:space="preserve">ty </w:t>
      </w:r>
      <w:r w:rsidRPr="007B40C5">
        <w:rPr>
          <w:rFonts w:eastAsia="Times New Roman" w:cstheme="minorHAnsi"/>
          <w:lang w:val="en" w:eastAsia="en-AU"/>
        </w:rPr>
        <w:t>sector to establish a redistribution pool mechanism that provides a genuine opportunity every three years for universities to respond to emerging medical workforce needs with innovative approaches that are supported by additional places</w:t>
      </w:r>
      <w:r w:rsidR="00C03B10" w:rsidRPr="007B40C5">
        <w:rPr>
          <w:rFonts w:eastAsia="Times New Roman" w:cstheme="minorHAnsi"/>
          <w:lang w:val="en" w:eastAsia="en-AU"/>
        </w:rPr>
        <w:t xml:space="preserve"> from a transparent and fair redistribution process</w:t>
      </w:r>
      <w:r w:rsidRPr="007B40C5">
        <w:rPr>
          <w:rFonts w:eastAsia="Times New Roman" w:cstheme="minorHAnsi"/>
          <w:lang w:val="en" w:eastAsia="en-AU"/>
        </w:rPr>
        <w:t>.</w:t>
      </w:r>
    </w:p>
    <w:p w14:paraId="58C75D86" w14:textId="48B9CB83" w:rsidR="003D6D06" w:rsidRPr="007B40C5" w:rsidRDefault="003D6D06" w:rsidP="00DD3210">
      <w:pPr>
        <w:rPr>
          <w:rFonts w:eastAsia="Times New Roman" w:cstheme="minorHAnsi"/>
          <w:lang w:val="en" w:eastAsia="en-AU"/>
        </w:rPr>
      </w:pPr>
      <w:r w:rsidRPr="007B40C5">
        <w:rPr>
          <w:rFonts w:eastAsia="Times New Roman" w:cstheme="minorHAnsi"/>
          <w:lang w:val="en" w:eastAsia="en-AU"/>
        </w:rPr>
        <w:t>The Rural Health Multidiscip</w:t>
      </w:r>
      <w:r w:rsidR="00E128F7" w:rsidRPr="007B40C5">
        <w:rPr>
          <w:rFonts w:eastAsia="Times New Roman" w:cstheme="minorHAnsi"/>
          <w:lang w:val="en" w:eastAsia="en-AU"/>
        </w:rPr>
        <w:t xml:space="preserve">linary Training (RHMT) Program </w:t>
      </w:r>
      <w:r w:rsidRPr="007B40C5">
        <w:rPr>
          <w:rFonts w:eastAsia="Times New Roman" w:cstheme="minorHAnsi"/>
          <w:lang w:val="en" w:eastAsia="en-AU"/>
        </w:rPr>
        <w:t xml:space="preserve">administered by the Department of Health </w:t>
      </w:r>
      <w:r w:rsidR="00E128F7" w:rsidRPr="007B40C5">
        <w:rPr>
          <w:rFonts w:eastAsia="Times New Roman" w:cstheme="minorHAnsi"/>
          <w:lang w:val="en" w:eastAsia="en-AU"/>
        </w:rPr>
        <w:t>provides</w:t>
      </w:r>
      <w:r w:rsidRPr="007B40C5">
        <w:rPr>
          <w:rFonts w:eastAsia="Times New Roman" w:cstheme="minorHAnsi"/>
          <w:lang w:val="en" w:eastAsia="en-AU"/>
        </w:rPr>
        <w:t xml:space="preserve"> Commonwealth funding to </w:t>
      </w:r>
      <w:r w:rsidR="00E128F7" w:rsidRPr="007B40C5">
        <w:rPr>
          <w:rFonts w:eastAsia="Times New Roman" w:cstheme="minorHAnsi"/>
          <w:lang w:val="en" w:eastAsia="en-AU"/>
        </w:rPr>
        <w:t>operate</w:t>
      </w:r>
      <w:r w:rsidRPr="007B40C5">
        <w:rPr>
          <w:rFonts w:eastAsia="Times New Roman" w:cstheme="minorHAnsi"/>
          <w:lang w:val="en" w:eastAsia="en-AU"/>
        </w:rPr>
        <w:t xml:space="preserve"> rural clinical schools (RCSs). These RCSs aim to increase rural training and the recruitment of students with rural backgrounds, to address rural health workforce needs.</w:t>
      </w:r>
    </w:p>
    <w:p w14:paraId="02F5915B" w14:textId="77777777" w:rsidR="007B40C5" w:rsidRPr="007B40C5" w:rsidRDefault="003D6D06" w:rsidP="00DD3210">
      <w:r w:rsidRPr="007B40C5">
        <w:t>In implementing the pool, the Government’s intent is that any redistribution will not undermine its policy goal of increasing the total number of medical graduates trained outside major cities or supporting long periods of training in rural areas, whether through the RHMT program, the MDMSN initiative, or investment in human resources and infrastructure in rural areas as part of these initiatives.</w:t>
      </w:r>
    </w:p>
    <w:p w14:paraId="630A1AF6" w14:textId="11CD7B0E" w:rsidR="00FC09C5" w:rsidRDefault="00FC09C5">
      <w:pPr>
        <w:spacing w:before="0" w:after="200"/>
      </w:pPr>
      <w:r>
        <w:br w:type="page"/>
      </w:r>
    </w:p>
    <w:p w14:paraId="0B79B837" w14:textId="4DA6F5A0" w:rsidR="00045152" w:rsidRPr="007B40C5" w:rsidRDefault="00045152" w:rsidP="00DD3210">
      <w:r w:rsidRPr="007B40C5">
        <w:t>This discussion paper invites sector feedback on three proposed options for managing the initial redistribution process.</w:t>
      </w:r>
      <w:r w:rsidR="00795790" w:rsidRPr="007B40C5">
        <w:t xml:space="preserve"> These options are detailed below.</w:t>
      </w:r>
    </w:p>
    <w:p w14:paraId="579CCF26" w14:textId="21F580D3" w:rsidR="00045152" w:rsidRPr="007B40C5" w:rsidRDefault="00045152" w:rsidP="00DD3210">
      <w:pPr>
        <w:rPr>
          <w:rFonts w:eastAsia="Times New Roman" w:cstheme="minorHAnsi"/>
          <w:lang w:val="en" w:eastAsia="en-AU"/>
        </w:rPr>
      </w:pPr>
      <w:r w:rsidRPr="007B40C5">
        <w:rPr>
          <w:rFonts w:eastAsia="Times New Roman" w:cstheme="minorHAnsi"/>
          <w:lang w:val="en" w:eastAsia="en-AU"/>
        </w:rPr>
        <w:t xml:space="preserve">The </w:t>
      </w:r>
      <w:r w:rsidR="00795790" w:rsidRPr="007B40C5">
        <w:rPr>
          <w:rFonts w:eastAsia="Times New Roman" w:cstheme="minorHAnsi"/>
          <w:lang w:val="en" w:eastAsia="en-AU"/>
        </w:rPr>
        <w:t>consultation process will also invite</w:t>
      </w:r>
      <w:r w:rsidRPr="007B40C5">
        <w:rPr>
          <w:rFonts w:eastAsia="Times New Roman" w:cstheme="minorHAnsi"/>
          <w:lang w:val="en" w:eastAsia="en-AU"/>
        </w:rPr>
        <w:t xml:space="preserve"> sector input to establish specific policy criteria/parameters for the redistribution process. These policy parameters will help universities develop proposals seeking places from the pool and will be used with the Assessment Framework to evaluate proposals. </w:t>
      </w:r>
    </w:p>
    <w:p w14:paraId="33FEB91D" w14:textId="4700938F" w:rsidR="00795790" w:rsidRPr="007B40C5" w:rsidRDefault="00795790" w:rsidP="00DD3210">
      <w:pPr>
        <w:rPr>
          <w:rFonts w:eastAsia="Times New Roman" w:cstheme="minorHAnsi"/>
          <w:lang w:val="en" w:eastAsia="en-AU"/>
        </w:rPr>
      </w:pPr>
      <w:r w:rsidRPr="007B40C5">
        <w:rPr>
          <w:rFonts w:eastAsia="Times New Roman" w:cstheme="minorHAnsi"/>
          <w:lang w:val="en" w:eastAsia="en-AU"/>
        </w:rPr>
        <w:t xml:space="preserve">In conjunction with the consultation process, the department proposes to request data from each university on the volume of regional medical education delivery undertaken during the past three years. This will provide </w:t>
      </w:r>
      <w:r w:rsidR="00FE76DB" w:rsidRPr="007B40C5">
        <w:rPr>
          <w:rFonts w:eastAsia="Times New Roman" w:cstheme="minorHAnsi"/>
          <w:lang w:val="en" w:eastAsia="en-AU"/>
        </w:rPr>
        <w:t>us</w:t>
      </w:r>
      <w:r w:rsidRPr="007B40C5">
        <w:rPr>
          <w:rFonts w:eastAsia="Times New Roman" w:cstheme="minorHAnsi"/>
          <w:lang w:val="en" w:eastAsia="en-AU"/>
        </w:rPr>
        <w:t xml:space="preserve"> with a more detailed understanding of each university’s regional </w:t>
      </w:r>
      <w:r w:rsidR="00F979E7" w:rsidRPr="007B40C5">
        <w:rPr>
          <w:rFonts w:eastAsia="Times New Roman" w:cstheme="minorHAnsi"/>
          <w:lang w:val="en" w:eastAsia="en-AU"/>
        </w:rPr>
        <w:t xml:space="preserve">delivery </w:t>
      </w:r>
      <w:r w:rsidRPr="007B40C5">
        <w:rPr>
          <w:rFonts w:eastAsia="Times New Roman" w:cstheme="minorHAnsi"/>
          <w:lang w:val="en" w:eastAsia="en-AU"/>
        </w:rPr>
        <w:t>focus</w:t>
      </w:r>
      <w:r w:rsidR="00FE76DB" w:rsidRPr="007B40C5">
        <w:rPr>
          <w:rFonts w:eastAsia="Times New Roman" w:cstheme="minorHAnsi"/>
          <w:lang w:val="en" w:eastAsia="en-AU"/>
        </w:rPr>
        <w:t>,</w:t>
      </w:r>
      <w:r w:rsidRPr="007B40C5">
        <w:rPr>
          <w:rFonts w:eastAsia="Times New Roman" w:cstheme="minorHAnsi"/>
          <w:lang w:val="en" w:eastAsia="en-AU"/>
        </w:rPr>
        <w:t xml:space="preserve"> </w:t>
      </w:r>
      <w:r w:rsidR="00FE76DB" w:rsidRPr="007B40C5">
        <w:rPr>
          <w:rFonts w:eastAsia="Times New Roman" w:cstheme="minorHAnsi"/>
          <w:lang w:val="en" w:eastAsia="en-AU"/>
        </w:rPr>
        <w:t>for</w:t>
      </w:r>
      <w:r w:rsidRPr="007B40C5">
        <w:rPr>
          <w:rFonts w:eastAsia="Times New Roman" w:cstheme="minorHAnsi"/>
          <w:lang w:val="en" w:eastAsia="en-AU"/>
        </w:rPr>
        <w:t xml:space="preserve"> consideration with other feedback provided by the sector on the </w:t>
      </w:r>
      <w:r w:rsidR="00FE76DB" w:rsidRPr="007B40C5">
        <w:rPr>
          <w:rFonts w:eastAsia="Times New Roman" w:cstheme="minorHAnsi"/>
          <w:lang w:val="en" w:eastAsia="en-AU"/>
        </w:rPr>
        <w:t>proposed options for managing the redistribution process.</w:t>
      </w:r>
    </w:p>
    <w:p w14:paraId="66630C65" w14:textId="77777777" w:rsidR="00FE76DB" w:rsidRPr="007B40C5" w:rsidRDefault="00FE76DB" w:rsidP="00DD3210">
      <w:pPr>
        <w:pStyle w:val="Heading2"/>
        <w:spacing w:before="120" w:after="120"/>
      </w:pPr>
      <w:r w:rsidRPr="007B40C5">
        <w:t>Timeline for developing the redistribution pool approach</w:t>
      </w:r>
    </w:p>
    <w:p w14:paraId="00DF74B5" w14:textId="77777777" w:rsidR="00FE76DB" w:rsidRPr="007B40C5" w:rsidRDefault="00FE76DB" w:rsidP="00DD3210">
      <w:pPr>
        <w:rPr>
          <w:rFonts w:eastAsia="Times New Roman" w:cstheme="minorHAnsi"/>
          <w:lang w:val="en" w:eastAsia="en-AU"/>
        </w:rPr>
      </w:pPr>
      <w:r w:rsidRPr="007B40C5">
        <w:rPr>
          <w:rFonts w:eastAsia="Times New Roman" w:cstheme="minorHAnsi"/>
          <w:lang w:val="en" w:eastAsia="en-AU"/>
        </w:rPr>
        <w:t>It is a priority for the Government to settle the arrangements for the first redistribution round in a timely way, to ensure universities have certainty in forward planning for their medical programs.</w:t>
      </w:r>
    </w:p>
    <w:p w14:paraId="178CFA74" w14:textId="77777777" w:rsidR="00FE76DB" w:rsidRPr="007B40C5" w:rsidRDefault="00FE76DB" w:rsidP="00DD3210">
      <w:pPr>
        <w:rPr>
          <w:rFonts w:eastAsia="Times New Roman" w:cstheme="minorHAnsi"/>
          <w:lang w:val="en" w:eastAsia="en-AU"/>
        </w:rPr>
      </w:pPr>
      <w:r w:rsidRPr="007B40C5">
        <w:rPr>
          <w:rFonts w:eastAsia="Times New Roman" w:cstheme="minorHAnsi"/>
          <w:lang w:val="en" w:eastAsia="en-AU"/>
        </w:rPr>
        <w:t>Accordingly, the department proposes to finalise the redistribution pool approach and advise universities in 2019 of the process that will be used to determine their 2021 allocations of medical CSPs.</w:t>
      </w:r>
    </w:p>
    <w:p w14:paraId="1670FE8C" w14:textId="186A3AD2" w:rsidR="00FE76DB" w:rsidRPr="007B40C5" w:rsidRDefault="00FE76DB" w:rsidP="00DD3210">
      <w:pPr>
        <w:rPr>
          <w:rFonts w:eastAsia="Times New Roman" w:cstheme="minorHAnsi"/>
          <w:lang w:val="en" w:eastAsia="en-AU"/>
        </w:rPr>
      </w:pPr>
      <w:r w:rsidRPr="007B40C5">
        <w:rPr>
          <w:rFonts w:eastAsia="Times New Roman" w:cstheme="minorHAnsi"/>
          <w:lang w:val="en" w:eastAsia="en-AU"/>
        </w:rPr>
        <w:t>An indicative timeframe for developing the redistribution pool approach is set out below.</w:t>
      </w:r>
    </w:p>
    <w:p w14:paraId="3E5F3E97" w14:textId="77777777" w:rsidR="00FE76DB" w:rsidRPr="007B40C5" w:rsidRDefault="00FE76DB" w:rsidP="00DD3210">
      <w:pPr>
        <w:rPr>
          <w:rFonts w:eastAsia="Times New Roman" w:cstheme="minorHAnsi"/>
          <w:lang w:val="en" w:eastAsia="en-AU"/>
        </w:rPr>
      </w:pPr>
    </w:p>
    <w:tbl>
      <w:tblPr>
        <w:tblStyle w:val="PlainTable21"/>
        <w:tblW w:w="5000" w:type="pct"/>
        <w:tblBorders>
          <w:top w:val="none" w:sz="0" w:space="0" w:color="auto"/>
          <w:bottom w:val="none" w:sz="0" w:space="0" w:color="auto"/>
        </w:tblBorders>
        <w:tblLook w:val="04A0" w:firstRow="1" w:lastRow="0" w:firstColumn="1" w:lastColumn="0" w:noHBand="0" w:noVBand="1"/>
      </w:tblPr>
      <w:tblGrid>
        <w:gridCol w:w="2265"/>
        <w:gridCol w:w="7373"/>
      </w:tblGrid>
      <w:tr w:rsidR="00FE76DB" w:rsidRPr="007B40C5" w14:paraId="18F57EBB" w14:textId="77777777" w:rsidTr="001E13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Borders>
              <w:bottom w:val="none" w:sz="0" w:space="0" w:color="auto"/>
            </w:tcBorders>
          </w:tcPr>
          <w:p w14:paraId="07E20E00" w14:textId="6EAE4116" w:rsidR="00FE76DB" w:rsidRPr="007B40C5" w:rsidRDefault="005B6141" w:rsidP="004D3929">
            <w:pPr>
              <w:rPr>
                <w:b w:val="0"/>
              </w:rPr>
            </w:pPr>
            <w:r>
              <w:rPr>
                <w:b w:val="0"/>
              </w:rPr>
              <w:t xml:space="preserve">23 </w:t>
            </w:r>
            <w:r w:rsidR="004D3929" w:rsidRPr="007B40C5">
              <w:rPr>
                <w:b w:val="0"/>
              </w:rPr>
              <w:t>September</w:t>
            </w:r>
            <w:r w:rsidR="00FE76DB" w:rsidRPr="007B40C5">
              <w:rPr>
                <w:b w:val="0"/>
              </w:rPr>
              <w:t xml:space="preserve"> 2019</w:t>
            </w:r>
          </w:p>
        </w:tc>
        <w:tc>
          <w:tcPr>
            <w:tcW w:w="3825" w:type="pct"/>
            <w:tcBorders>
              <w:bottom w:val="none" w:sz="0" w:space="0" w:color="auto"/>
            </w:tcBorders>
          </w:tcPr>
          <w:p w14:paraId="063FDCA0" w14:textId="77777777" w:rsidR="00FE76DB" w:rsidRPr="007B40C5" w:rsidRDefault="00FE76DB" w:rsidP="001E1306">
            <w:pPr>
              <w:cnfStyle w:val="100000000000" w:firstRow="1" w:lastRow="0" w:firstColumn="0" w:lastColumn="0" w:oddVBand="0" w:evenVBand="0" w:oddHBand="0" w:evenHBand="0" w:firstRowFirstColumn="0" w:firstRowLastColumn="0" w:lastRowFirstColumn="0" w:lastRowLastColumn="0"/>
              <w:rPr>
                <w:b w:val="0"/>
              </w:rPr>
            </w:pPr>
            <w:r w:rsidRPr="007B40C5">
              <w:rPr>
                <w:b w:val="0"/>
              </w:rPr>
              <w:t>Release discussion paper inviting stakeholder feedback on redistribution pool options.</w:t>
            </w:r>
          </w:p>
          <w:p w14:paraId="5AFF8DF3" w14:textId="77777777" w:rsidR="00FE76DB" w:rsidRPr="007B40C5" w:rsidRDefault="00FE76DB" w:rsidP="001E1306">
            <w:pPr>
              <w:cnfStyle w:val="100000000000" w:firstRow="1" w:lastRow="0" w:firstColumn="0" w:lastColumn="0" w:oddVBand="0" w:evenVBand="0" w:oddHBand="0" w:evenHBand="0" w:firstRowFirstColumn="0" w:firstRowLastColumn="0" w:lastRowFirstColumn="0" w:lastRowLastColumn="0"/>
              <w:rPr>
                <w:b w:val="0"/>
              </w:rPr>
            </w:pPr>
            <w:r w:rsidRPr="007B40C5">
              <w:rPr>
                <w:b w:val="0"/>
              </w:rPr>
              <w:t>Seek institutional data on current rural medical education training.</w:t>
            </w:r>
          </w:p>
        </w:tc>
      </w:tr>
      <w:tr w:rsidR="00FE76DB" w:rsidRPr="007B40C5" w14:paraId="18FEC4BA" w14:textId="77777777" w:rsidTr="001E13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1D0B86D4" w14:textId="69C77231" w:rsidR="00FE76DB" w:rsidRPr="007B40C5" w:rsidRDefault="005B6141" w:rsidP="004D3929">
            <w:pPr>
              <w:rPr>
                <w:b w:val="0"/>
              </w:rPr>
            </w:pPr>
            <w:r>
              <w:rPr>
                <w:b w:val="0"/>
              </w:rPr>
              <w:t xml:space="preserve">25 </w:t>
            </w:r>
            <w:r w:rsidR="004D3929" w:rsidRPr="007B40C5">
              <w:rPr>
                <w:b w:val="0"/>
              </w:rPr>
              <w:t>October</w:t>
            </w:r>
            <w:r w:rsidR="00FE76DB" w:rsidRPr="007B40C5">
              <w:rPr>
                <w:b w:val="0"/>
              </w:rPr>
              <w:t xml:space="preserve"> 2019</w:t>
            </w:r>
          </w:p>
        </w:tc>
        <w:tc>
          <w:tcPr>
            <w:tcW w:w="3825" w:type="pct"/>
          </w:tcPr>
          <w:p w14:paraId="5E404403" w14:textId="77777777" w:rsidR="00FE76DB" w:rsidRPr="007B40C5" w:rsidRDefault="00FE76DB" w:rsidP="001E1306">
            <w:pPr>
              <w:cnfStyle w:val="000000100000" w:firstRow="0" w:lastRow="0" w:firstColumn="0" w:lastColumn="0" w:oddVBand="0" w:evenVBand="0" w:oddHBand="1" w:evenHBand="0" w:firstRowFirstColumn="0" w:firstRowLastColumn="0" w:lastRowFirstColumn="0" w:lastRowLastColumn="0"/>
            </w:pPr>
            <w:r w:rsidRPr="007B40C5">
              <w:t>Stakeholder feedback on discussion paper options due.</w:t>
            </w:r>
          </w:p>
          <w:p w14:paraId="627E0E7D" w14:textId="77777777" w:rsidR="00FE76DB" w:rsidRPr="007B40C5" w:rsidRDefault="00FE76DB" w:rsidP="001E1306">
            <w:pPr>
              <w:cnfStyle w:val="000000100000" w:firstRow="0" w:lastRow="0" w:firstColumn="0" w:lastColumn="0" w:oddVBand="0" w:evenVBand="0" w:oddHBand="1" w:evenHBand="0" w:firstRowFirstColumn="0" w:firstRowLastColumn="0" w:lastRowFirstColumn="0" w:lastRowLastColumn="0"/>
            </w:pPr>
            <w:r w:rsidRPr="007B40C5">
              <w:t>Institutional data on current rural medical education training due.</w:t>
            </w:r>
          </w:p>
        </w:tc>
      </w:tr>
      <w:tr w:rsidR="00FE76DB" w:rsidRPr="007B40C5" w14:paraId="4E00A92C" w14:textId="77777777" w:rsidTr="001E1306">
        <w:tc>
          <w:tcPr>
            <w:cnfStyle w:val="001000000000" w:firstRow="0" w:lastRow="0" w:firstColumn="1" w:lastColumn="0" w:oddVBand="0" w:evenVBand="0" w:oddHBand="0" w:evenHBand="0" w:firstRowFirstColumn="0" w:firstRowLastColumn="0" w:lastRowFirstColumn="0" w:lastRowLastColumn="0"/>
            <w:tcW w:w="1175" w:type="pct"/>
          </w:tcPr>
          <w:p w14:paraId="54C2F2F2" w14:textId="1F7862DA" w:rsidR="00FE76DB" w:rsidRPr="007B40C5" w:rsidRDefault="005B6141" w:rsidP="004D3929">
            <w:pPr>
              <w:rPr>
                <w:b w:val="0"/>
              </w:rPr>
            </w:pPr>
            <w:r>
              <w:rPr>
                <w:b w:val="0"/>
              </w:rPr>
              <w:t>End-</w:t>
            </w:r>
            <w:r w:rsidR="00FB519F" w:rsidRPr="007B40C5">
              <w:rPr>
                <w:b w:val="0"/>
              </w:rPr>
              <w:t>November</w:t>
            </w:r>
            <w:r w:rsidR="00FE76DB" w:rsidRPr="007B40C5">
              <w:rPr>
                <w:b w:val="0"/>
              </w:rPr>
              <w:t xml:space="preserve"> 2019</w:t>
            </w:r>
          </w:p>
        </w:tc>
        <w:tc>
          <w:tcPr>
            <w:tcW w:w="3825" w:type="pct"/>
          </w:tcPr>
          <w:p w14:paraId="55EF0787" w14:textId="77777777" w:rsidR="00FE76DB" w:rsidRPr="007B40C5" w:rsidRDefault="00FE76DB" w:rsidP="001E1306">
            <w:pPr>
              <w:cnfStyle w:val="000000000000" w:firstRow="0" w:lastRow="0" w:firstColumn="0" w:lastColumn="0" w:oddVBand="0" w:evenVBand="0" w:oddHBand="0" w:evenHBand="0" w:firstRowFirstColumn="0" w:firstRowLastColumn="0" w:lastRowFirstColumn="0" w:lastRowLastColumn="0"/>
            </w:pPr>
            <w:r w:rsidRPr="007B40C5">
              <w:t>Department of Education provides final advice on the redistribution pool mechanism to the Minister for Education.</w:t>
            </w:r>
          </w:p>
        </w:tc>
      </w:tr>
    </w:tbl>
    <w:p w14:paraId="42A3ECE9" w14:textId="49D93EBA" w:rsidR="00CE505B" w:rsidRPr="007B40C5" w:rsidRDefault="00FE76DB">
      <w:pPr>
        <w:spacing w:before="0" w:after="200"/>
        <w:rPr>
          <w:rFonts w:ascii="Calibri" w:eastAsiaTheme="majorEastAsia" w:hAnsi="Calibri" w:cstheme="majorBidi"/>
          <w:b/>
          <w:bCs/>
          <w:sz w:val="28"/>
          <w:szCs w:val="26"/>
        </w:rPr>
      </w:pPr>
      <w:r w:rsidRPr="007B40C5">
        <w:br w:type="page"/>
      </w:r>
    </w:p>
    <w:p w14:paraId="1FCD444D" w14:textId="3B621919" w:rsidR="003D6D06" w:rsidRPr="007B40C5" w:rsidRDefault="000B5997" w:rsidP="00DD3210">
      <w:pPr>
        <w:pStyle w:val="Heading2"/>
        <w:spacing w:before="120" w:after="120"/>
      </w:pPr>
      <w:r w:rsidRPr="007B40C5">
        <w:t>The approach to creating</w:t>
      </w:r>
      <w:r w:rsidR="00E72B31" w:rsidRPr="007B40C5">
        <w:t xml:space="preserve"> the redistribution pool</w:t>
      </w:r>
      <w:r w:rsidRPr="007B40C5">
        <w:t xml:space="preserve"> (Stage 1)</w:t>
      </w:r>
    </w:p>
    <w:p w14:paraId="20C20D53" w14:textId="097B39A6" w:rsidR="003D6D06" w:rsidRPr="007B40C5" w:rsidRDefault="00E72B31" w:rsidP="00DD3210">
      <w:pPr>
        <w:rPr>
          <w:rFonts w:eastAsia="Times New Roman" w:cstheme="minorHAnsi"/>
          <w:lang w:val="en" w:eastAsia="en-AU"/>
        </w:rPr>
      </w:pPr>
      <w:r w:rsidRPr="007B40C5">
        <w:rPr>
          <w:rFonts w:eastAsia="Times New Roman" w:cstheme="minorHAnsi"/>
          <w:lang w:val="en" w:eastAsia="en-AU"/>
        </w:rPr>
        <w:t>Th</w:t>
      </w:r>
      <w:r w:rsidR="000B5997" w:rsidRPr="007B40C5">
        <w:rPr>
          <w:rFonts w:eastAsia="Times New Roman" w:cstheme="minorHAnsi"/>
          <w:lang w:val="en" w:eastAsia="en-AU"/>
        </w:rPr>
        <w:t xml:space="preserve">is stage </w:t>
      </w:r>
      <w:r w:rsidR="00261CBF" w:rsidRPr="007B40C5">
        <w:rPr>
          <w:rFonts w:eastAsia="Times New Roman" w:cstheme="minorHAnsi"/>
          <w:lang w:val="en" w:eastAsia="en-AU"/>
        </w:rPr>
        <w:t>involves creating</w:t>
      </w:r>
      <w:r w:rsidR="003D6D06" w:rsidRPr="007B40C5">
        <w:rPr>
          <w:rFonts w:eastAsia="Times New Roman" w:cstheme="minorHAnsi"/>
          <w:lang w:val="en" w:eastAsia="en-AU"/>
        </w:rPr>
        <w:t xml:space="preserve"> a </w:t>
      </w:r>
      <w:r w:rsidR="00655353" w:rsidRPr="007B40C5">
        <w:rPr>
          <w:rFonts w:eastAsia="Times New Roman" w:cstheme="minorHAnsi"/>
          <w:lang w:val="en" w:eastAsia="en-AU"/>
        </w:rPr>
        <w:t xml:space="preserve">redistribution </w:t>
      </w:r>
      <w:r w:rsidR="003D6D06" w:rsidRPr="007B40C5">
        <w:rPr>
          <w:rFonts w:eastAsia="Times New Roman" w:cstheme="minorHAnsi"/>
          <w:lang w:val="en" w:eastAsia="en-AU"/>
        </w:rPr>
        <w:t>pool of up to 60 commencing medical CSPs</w:t>
      </w:r>
      <w:r w:rsidR="00FE76DB" w:rsidRPr="007B40C5">
        <w:rPr>
          <w:rFonts w:eastAsia="Times New Roman" w:cstheme="minorHAnsi"/>
          <w:lang w:val="en" w:eastAsia="en-AU"/>
        </w:rPr>
        <w:t>. In the first round, the pool will prioritise support to</w:t>
      </w:r>
      <w:r w:rsidR="00AE4BFC" w:rsidRPr="007B40C5">
        <w:rPr>
          <w:rFonts w:eastAsia="Times New Roman" w:cstheme="minorHAnsi"/>
          <w:lang w:val="en" w:eastAsia="en-AU"/>
        </w:rPr>
        <w:t xml:space="preserve"> university</w:t>
      </w:r>
      <w:r w:rsidRPr="007B40C5">
        <w:rPr>
          <w:rFonts w:eastAsia="Times New Roman" w:cstheme="minorHAnsi"/>
          <w:lang w:val="en" w:eastAsia="en-AU"/>
        </w:rPr>
        <w:t xml:space="preserve"> medical programs</w:t>
      </w:r>
      <w:r w:rsidR="00AE4BFC" w:rsidRPr="007B40C5">
        <w:rPr>
          <w:rFonts w:eastAsia="Times New Roman" w:cstheme="minorHAnsi"/>
          <w:lang w:val="en" w:eastAsia="en-AU"/>
        </w:rPr>
        <w:t xml:space="preserve"> </w:t>
      </w:r>
      <w:r w:rsidR="00BD7087" w:rsidRPr="007B40C5">
        <w:rPr>
          <w:rFonts w:eastAsia="Times New Roman" w:cstheme="minorHAnsi"/>
          <w:lang w:val="en" w:eastAsia="en-AU"/>
        </w:rPr>
        <w:t>currently serving</w:t>
      </w:r>
      <w:r w:rsidR="008455F7" w:rsidRPr="007B40C5">
        <w:rPr>
          <w:rFonts w:eastAsia="Times New Roman" w:cstheme="minorHAnsi"/>
          <w:lang w:val="en" w:eastAsia="en-AU"/>
        </w:rPr>
        <w:t xml:space="preserve"> the needs of r</w:t>
      </w:r>
      <w:r w:rsidR="00655353" w:rsidRPr="007B40C5">
        <w:rPr>
          <w:rFonts w:eastAsia="Times New Roman" w:cstheme="minorHAnsi"/>
          <w:lang w:val="en" w:eastAsia="en-AU"/>
        </w:rPr>
        <w:t xml:space="preserve">ural and regional </w:t>
      </w:r>
      <w:r w:rsidR="008455F7" w:rsidRPr="007B40C5">
        <w:rPr>
          <w:rFonts w:eastAsia="Times New Roman" w:cstheme="minorHAnsi"/>
          <w:lang w:val="en" w:eastAsia="en-AU"/>
        </w:rPr>
        <w:t xml:space="preserve">communities </w:t>
      </w:r>
      <w:r w:rsidR="00AE4BFC" w:rsidRPr="007B40C5">
        <w:rPr>
          <w:rFonts w:eastAsia="Times New Roman" w:cstheme="minorHAnsi"/>
          <w:lang w:val="en" w:eastAsia="en-AU"/>
        </w:rPr>
        <w:t>and those with a commitment to delivering a genuine increase in regional medical places.</w:t>
      </w:r>
    </w:p>
    <w:p w14:paraId="4F85EA57" w14:textId="010D6AF2" w:rsidR="008455F7" w:rsidRPr="007B40C5" w:rsidRDefault="008455F7" w:rsidP="00DD3210">
      <w:pPr>
        <w:rPr>
          <w:rFonts w:eastAsia="Times New Roman" w:cstheme="minorHAnsi"/>
          <w:lang w:val="en" w:eastAsia="en-AU"/>
        </w:rPr>
      </w:pPr>
      <w:r w:rsidRPr="007B40C5">
        <w:rPr>
          <w:rFonts w:eastAsia="Times New Roman" w:cstheme="minorHAnsi"/>
          <w:lang w:val="en" w:eastAsia="en-AU"/>
        </w:rPr>
        <w:t>The process for creating the pool must</w:t>
      </w:r>
      <w:r w:rsidR="00655353" w:rsidRPr="007B40C5">
        <w:rPr>
          <w:rFonts w:eastAsia="Times New Roman" w:cstheme="minorHAnsi"/>
          <w:lang w:val="en" w:eastAsia="en-AU"/>
        </w:rPr>
        <w:t xml:space="preserve"> </w:t>
      </w:r>
      <w:r w:rsidRPr="007B40C5">
        <w:rPr>
          <w:rFonts w:eastAsia="Times New Roman" w:cstheme="minorHAnsi"/>
          <w:lang w:val="en" w:eastAsia="en-AU"/>
        </w:rPr>
        <w:t>be transparent, managed fairly across providers</w:t>
      </w:r>
      <w:r w:rsidR="00FC2B6E" w:rsidRPr="007B40C5">
        <w:rPr>
          <w:rFonts w:eastAsia="Times New Roman" w:cstheme="minorHAnsi"/>
          <w:lang w:val="en" w:eastAsia="en-AU"/>
        </w:rPr>
        <w:t>,</w:t>
      </w:r>
      <w:r w:rsidRPr="007B40C5">
        <w:rPr>
          <w:rFonts w:eastAsia="Times New Roman" w:cstheme="minorHAnsi"/>
          <w:lang w:val="en" w:eastAsia="en-AU"/>
        </w:rPr>
        <w:t xml:space="preserve"> and consistent with the health workforce policy priority </w:t>
      </w:r>
      <w:r w:rsidR="00655353" w:rsidRPr="007B40C5">
        <w:rPr>
          <w:rFonts w:eastAsia="Times New Roman" w:cstheme="minorHAnsi"/>
          <w:lang w:val="en" w:eastAsia="en-AU"/>
        </w:rPr>
        <w:t>to ensure</w:t>
      </w:r>
      <w:r w:rsidRPr="007B40C5">
        <w:rPr>
          <w:rFonts w:eastAsia="Times New Roman" w:cstheme="minorHAnsi"/>
          <w:lang w:val="en" w:eastAsia="en-AU"/>
        </w:rPr>
        <w:t xml:space="preserve"> all Australians across the country can access the right mix of health professionals in the right place at the right time and receive high quality health care. </w:t>
      </w:r>
    </w:p>
    <w:p w14:paraId="38CD226D" w14:textId="312CB382" w:rsidR="00113FB2" w:rsidRPr="007B40C5" w:rsidRDefault="008455F7" w:rsidP="00DD3210">
      <w:pPr>
        <w:rPr>
          <w:rFonts w:eastAsia="Times New Roman" w:cstheme="minorHAnsi"/>
          <w:lang w:val="en" w:eastAsia="en-AU"/>
        </w:rPr>
      </w:pPr>
      <w:r w:rsidRPr="007B40C5">
        <w:rPr>
          <w:rFonts w:eastAsia="Times New Roman" w:cstheme="minorHAnsi"/>
          <w:lang w:val="en" w:eastAsia="en-AU"/>
        </w:rPr>
        <w:t>The department recognises that determining the extent of each university’s r</w:t>
      </w:r>
      <w:r w:rsidR="00655353" w:rsidRPr="007B40C5">
        <w:rPr>
          <w:rFonts w:eastAsia="Times New Roman" w:cstheme="minorHAnsi"/>
          <w:lang w:val="en" w:eastAsia="en-AU"/>
        </w:rPr>
        <w:t>ural/r</w:t>
      </w:r>
      <w:r w:rsidRPr="007B40C5">
        <w:rPr>
          <w:rFonts w:eastAsia="Times New Roman" w:cstheme="minorHAnsi"/>
          <w:lang w:val="en" w:eastAsia="en-AU"/>
        </w:rPr>
        <w:t xml:space="preserve">egional contribution </w:t>
      </w:r>
      <w:r w:rsidR="00AE4BFC" w:rsidRPr="007B40C5">
        <w:rPr>
          <w:rFonts w:eastAsia="Times New Roman" w:cstheme="minorHAnsi"/>
          <w:lang w:val="en" w:eastAsia="en-AU"/>
        </w:rPr>
        <w:t>is</w:t>
      </w:r>
      <w:r w:rsidRPr="007B40C5">
        <w:rPr>
          <w:rFonts w:eastAsia="Times New Roman" w:cstheme="minorHAnsi"/>
          <w:lang w:val="en" w:eastAsia="en-AU"/>
        </w:rPr>
        <w:t xml:space="preserve"> complex, particularly as all medical schools </w:t>
      </w:r>
      <w:r w:rsidR="0003152C" w:rsidRPr="007B40C5">
        <w:rPr>
          <w:rFonts w:eastAsia="Times New Roman" w:cstheme="minorHAnsi"/>
          <w:lang w:val="en" w:eastAsia="en-AU"/>
        </w:rPr>
        <w:t xml:space="preserve">with CSPs </w:t>
      </w:r>
      <w:r w:rsidRPr="007B40C5">
        <w:rPr>
          <w:rFonts w:eastAsia="Times New Roman" w:cstheme="minorHAnsi"/>
          <w:lang w:val="en" w:eastAsia="en-AU"/>
        </w:rPr>
        <w:t xml:space="preserve">have an existing rural presence, made possible through </w:t>
      </w:r>
      <w:r w:rsidR="00FC2B6E" w:rsidRPr="007B40C5">
        <w:rPr>
          <w:rFonts w:eastAsia="Times New Roman" w:cstheme="minorHAnsi"/>
          <w:lang w:val="en" w:eastAsia="en-AU"/>
        </w:rPr>
        <w:t>H</w:t>
      </w:r>
      <w:r w:rsidRPr="007B40C5">
        <w:rPr>
          <w:rFonts w:eastAsia="Times New Roman" w:cstheme="minorHAnsi"/>
          <w:lang w:val="en" w:eastAsia="en-AU"/>
        </w:rPr>
        <w:t xml:space="preserve">ealth portfolio investment. </w:t>
      </w:r>
    </w:p>
    <w:p w14:paraId="5F7BE67E" w14:textId="30AE77E8" w:rsidR="008455F7" w:rsidRPr="007B40C5" w:rsidRDefault="008455F7" w:rsidP="00DD3210">
      <w:pPr>
        <w:rPr>
          <w:rFonts w:eastAsia="Times New Roman" w:cstheme="minorHAnsi"/>
          <w:lang w:val="en" w:eastAsia="en-AU"/>
        </w:rPr>
      </w:pPr>
      <w:r w:rsidRPr="007B40C5">
        <w:rPr>
          <w:rFonts w:eastAsia="Times New Roman" w:cstheme="minorHAnsi"/>
          <w:lang w:val="en" w:eastAsia="en-AU"/>
        </w:rPr>
        <w:t xml:space="preserve">Providing clinical training experiences across both metropolitan and rural environments is also an </w:t>
      </w:r>
      <w:r w:rsidR="00FC2B6E" w:rsidRPr="007B40C5">
        <w:rPr>
          <w:rFonts w:eastAsia="Times New Roman" w:cstheme="minorHAnsi"/>
          <w:lang w:val="en" w:eastAsia="en-AU"/>
        </w:rPr>
        <w:t xml:space="preserve">AMC </w:t>
      </w:r>
      <w:r w:rsidRPr="007B40C5">
        <w:rPr>
          <w:rFonts w:eastAsia="Times New Roman" w:cstheme="minorHAnsi"/>
          <w:lang w:val="en" w:eastAsia="en-AU"/>
        </w:rPr>
        <w:t>accreditation requirement (Standard 8.3.2)</w:t>
      </w:r>
      <w:r w:rsidRPr="007B40C5">
        <w:rPr>
          <w:vertAlign w:val="superscript"/>
        </w:rPr>
        <w:footnoteReference w:id="4"/>
      </w:r>
      <w:r w:rsidRPr="007B40C5">
        <w:rPr>
          <w:rFonts w:eastAsia="Times New Roman" w:cstheme="minorHAnsi"/>
          <w:lang w:val="en" w:eastAsia="en-AU"/>
        </w:rPr>
        <w:t xml:space="preserve">. </w:t>
      </w:r>
    </w:p>
    <w:p w14:paraId="2F465647" w14:textId="372693A8" w:rsidR="003D6D06" w:rsidRPr="007B40C5" w:rsidRDefault="00C075BB" w:rsidP="00DD3210">
      <w:pPr>
        <w:rPr>
          <w:rFonts w:eastAsia="Times New Roman" w:cstheme="minorHAnsi"/>
          <w:lang w:val="en" w:eastAsia="en-AU"/>
        </w:rPr>
      </w:pPr>
      <w:r w:rsidRPr="007B40C5">
        <w:rPr>
          <w:rFonts w:eastAsia="Times New Roman" w:cstheme="minorHAnsi"/>
          <w:lang w:val="en" w:eastAsia="en-AU"/>
        </w:rPr>
        <w:t>In addition, m</w:t>
      </w:r>
      <w:r w:rsidR="003D6D06" w:rsidRPr="007B40C5">
        <w:rPr>
          <w:rFonts w:eastAsia="Times New Roman" w:cstheme="minorHAnsi"/>
          <w:lang w:val="en" w:eastAsia="en-AU"/>
        </w:rPr>
        <w:t>edical school programs are diverse, ranging in length from four to six years. Medical courses with a longer duration may increase a university’s overall medical load at a regional campus and rural clinical school. A</w:t>
      </w:r>
      <w:r w:rsidR="007F7468" w:rsidRPr="007B40C5">
        <w:rPr>
          <w:rFonts w:eastAsia="Times New Roman" w:cstheme="minorHAnsi"/>
          <w:lang w:val="en" w:eastAsia="en-AU"/>
        </w:rPr>
        <w:t> </w:t>
      </w:r>
      <w:r w:rsidR="003D6D06" w:rsidRPr="007B40C5">
        <w:rPr>
          <w:rFonts w:eastAsia="Times New Roman" w:cstheme="minorHAnsi"/>
          <w:lang w:val="en" w:eastAsia="en-AU"/>
        </w:rPr>
        <w:t xml:space="preserve">university’s rural presence </w:t>
      </w:r>
      <w:r w:rsidR="009A4621" w:rsidRPr="007B40C5">
        <w:rPr>
          <w:rFonts w:eastAsia="Times New Roman" w:cstheme="minorHAnsi"/>
          <w:lang w:val="en" w:eastAsia="en-AU"/>
        </w:rPr>
        <w:t xml:space="preserve">or contribution </w:t>
      </w:r>
      <w:r w:rsidR="00FC2B6E" w:rsidRPr="007B40C5">
        <w:rPr>
          <w:rFonts w:eastAsia="Times New Roman" w:cstheme="minorHAnsi"/>
          <w:lang w:val="en" w:eastAsia="en-AU"/>
        </w:rPr>
        <w:t xml:space="preserve">can be influenced </w:t>
      </w:r>
      <w:r w:rsidR="003D6D06" w:rsidRPr="007B40C5">
        <w:rPr>
          <w:rFonts w:eastAsia="Times New Roman" w:cstheme="minorHAnsi"/>
          <w:lang w:val="en" w:eastAsia="en-AU"/>
        </w:rPr>
        <w:t xml:space="preserve">by its </w:t>
      </w:r>
      <w:r w:rsidR="00113FB2" w:rsidRPr="007B40C5">
        <w:rPr>
          <w:rFonts w:eastAsia="Times New Roman" w:cstheme="minorHAnsi"/>
          <w:lang w:val="en" w:eastAsia="en-AU"/>
        </w:rPr>
        <w:t>overall business model</w:t>
      </w:r>
      <w:r w:rsidR="009A4621" w:rsidRPr="007B40C5">
        <w:rPr>
          <w:rFonts w:eastAsia="Times New Roman" w:cstheme="minorHAnsi"/>
          <w:lang w:val="en" w:eastAsia="en-AU"/>
        </w:rPr>
        <w:t>,</w:t>
      </w:r>
      <w:r w:rsidR="00113FB2" w:rsidRPr="007B40C5">
        <w:rPr>
          <w:rFonts w:eastAsia="Times New Roman" w:cstheme="minorHAnsi"/>
          <w:lang w:val="en" w:eastAsia="en-AU"/>
        </w:rPr>
        <w:t xml:space="preserve"> or its </w:t>
      </w:r>
      <w:r w:rsidR="003D6D06" w:rsidRPr="007B40C5">
        <w:rPr>
          <w:rFonts w:eastAsia="Times New Roman" w:cstheme="minorHAnsi"/>
          <w:lang w:val="en" w:eastAsia="en-AU"/>
        </w:rPr>
        <w:t xml:space="preserve">medical program design and operation, including the extent to which each university supports investment in campuses outside major cities.  </w:t>
      </w:r>
    </w:p>
    <w:p w14:paraId="49487B9E" w14:textId="3DA7FBE6" w:rsidR="00726F66" w:rsidRPr="007B40C5" w:rsidRDefault="00726F66" w:rsidP="00DD3210">
      <w:pPr>
        <w:rPr>
          <w:rFonts w:eastAsia="Times New Roman" w:cstheme="minorHAnsi"/>
          <w:lang w:val="en" w:eastAsia="en-AU"/>
        </w:rPr>
      </w:pPr>
      <w:r w:rsidRPr="007B40C5">
        <w:rPr>
          <w:rFonts w:eastAsia="Times New Roman" w:cstheme="minorHAnsi"/>
          <w:u w:val="single"/>
          <w:lang w:val="en" w:eastAsia="en-AU"/>
        </w:rPr>
        <w:t>Table 1</w:t>
      </w:r>
      <w:r w:rsidRPr="007B40C5">
        <w:rPr>
          <w:rFonts w:eastAsia="Times New Roman" w:cstheme="minorHAnsi"/>
          <w:lang w:val="en" w:eastAsia="en-AU"/>
        </w:rPr>
        <w:t xml:space="preserve"> below sets out the projected distribution of medical CSPs and the </w:t>
      </w:r>
      <w:r w:rsidR="00E43539" w:rsidRPr="007B40C5">
        <w:rPr>
          <w:rFonts w:eastAsia="Times New Roman" w:cstheme="minorHAnsi"/>
          <w:lang w:val="en" w:eastAsia="en-AU"/>
        </w:rPr>
        <w:t xml:space="preserve">projected </w:t>
      </w:r>
      <w:r w:rsidRPr="007B40C5">
        <w:rPr>
          <w:rFonts w:eastAsia="Times New Roman" w:cstheme="minorHAnsi"/>
          <w:lang w:val="en" w:eastAsia="en-AU"/>
        </w:rPr>
        <w:t>number of domestic medical graduations in 2021 by university medical program. This table uses 2019 allocations and approvals already in place for changes to medical CSPs by 2021.</w:t>
      </w:r>
      <w:r w:rsidR="00BD7087" w:rsidRPr="007B40C5">
        <w:rPr>
          <w:rFonts w:eastAsia="Times New Roman" w:cstheme="minorHAnsi"/>
          <w:lang w:val="en" w:eastAsia="en-AU"/>
        </w:rPr>
        <w:t xml:space="preserve"> </w:t>
      </w:r>
    </w:p>
    <w:p w14:paraId="00AA95B9" w14:textId="556043E1" w:rsidR="002336BA" w:rsidRPr="007B40C5" w:rsidRDefault="002336BA" w:rsidP="00DD3210">
      <w:pPr>
        <w:rPr>
          <w:rFonts w:eastAsia="Times New Roman" w:cstheme="minorHAnsi"/>
          <w:lang w:val="en" w:eastAsia="en-AU"/>
        </w:rPr>
      </w:pPr>
      <w:r w:rsidRPr="007B40C5">
        <w:rPr>
          <w:rFonts w:eastAsia="Times New Roman" w:cstheme="minorHAnsi"/>
          <w:u w:val="single"/>
          <w:lang w:val="en" w:eastAsia="en-AU"/>
        </w:rPr>
        <w:t>Table 2</w:t>
      </w:r>
      <w:r w:rsidRPr="007B40C5">
        <w:rPr>
          <w:rFonts w:eastAsia="Times New Roman" w:cstheme="minorHAnsi"/>
          <w:lang w:val="en" w:eastAsia="en-AU"/>
        </w:rPr>
        <w:t xml:space="preserve"> below sets out the projected number of medical CSP commencements in 2021.</w:t>
      </w:r>
    </w:p>
    <w:p w14:paraId="30E643E0" w14:textId="07CF5076" w:rsidR="00BD618A" w:rsidRPr="007B40C5" w:rsidRDefault="00BD618A" w:rsidP="00DD3210">
      <w:pPr>
        <w:rPr>
          <w:rFonts w:eastAsia="Times New Roman" w:cstheme="minorHAnsi"/>
          <w:lang w:val="en" w:eastAsia="en-AU"/>
        </w:rPr>
      </w:pPr>
      <w:r w:rsidRPr="007B40C5">
        <w:rPr>
          <w:rFonts w:eastAsia="Times New Roman" w:cstheme="minorHAnsi"/>
          <w:lang w:val="en" w:eastAsia="en-AU"/>
        </w:rPr>
        <w:t>A</w:t>
      </w:r>
      <w:r w:rsidR="00886BDD" w:rsidRPr="007B40C5">
        <w:rPr>
          <w:rFonts w:eastAsia="Times New Roman" w:cstheme="minorHAnsi"/>
          <w:lang w:val="en" w:eastAsia="en-AU"/>
        </w:rPr>
        <w:t>s CGS funding agreements do not specify the number of medical CSP commencements for each medical program, t</w:t>
      </w:r>
      <w:r w:rsidR="00BD7087" w:rsidRPr="007B40C5">
        <w:rPr>
          <w:rFonts w:eastAsia="Times New Roman" w:cstheme="minorHAnsi"/>
          <w:lang w:val="en" w:eastAsia="en-AU"/>
        </w:rPr>
        <w:t xml:space="preserve">he discussion paper uses </w:t>
      </w:r>
      <w:r w:rsidRPr="007B40C5">
        <w:rPr>
          <w:rFonts w:eastAsia="Times New Roman" w:cstheme="minorHAnsi"/>
          <w:lang w:val="en" w:eastAsia="en-AU"/>
        </w:rPr>
        <w:t xml:space="preserve">the projected distribution of </w:t>
      </w:r>
      <w:r w:rsidR="00BD7087" w:rsidRPr="007B40C5">
        <w:rPr>
          <w:rFonts w:eastAsia="Times New Roman" w:cstheme="minorHAnsi"/>
          <w:lang w:val="en" w:eastAsia="en-AU"/>
        </w:rPr>
        <w:t>Commonwealth supported medical graduations as a proxy for medical CSP commencements</w:t>
      </w:r>
      <w:r w:rsidR="00886BDD" w:rsidRPr="007B40C5">
        <w:rPr>
          <w:rFonts w:eastAsia="Times New Roman" w:cstheme="minorHAnsi"/>
          <w:lang w:val="en" w:eastAsia="en-AU"/>
        </w:rPr>
        <w:t xml:space="preserve">. This </w:t>
      </w:r>
      <w:r w:rsidR="00E43539" w:rsidRPr="007B40C5">
        <w:rPr>
          <w:rFonts w:eastAsia="Times New Roman" w:cstheme="minorHAnsi"/>
          <w:lang w:val="en" w:eastAsia="en-AU"/>
        </w:rPr>
        <w:t xml:space="preserve">approach is consistent with </w:t>
      </w:r>
      <w:r w:rsidR="00FE76DB" w:rsidRPr="007B40C5">
        <w:rPr>
          <w:rFonts w:eastAsia="Times New Roman" w:cstheme="minorHAnsi"/>
          <w:lang w:val="en" w:eastAsia="en-AU"/>
        </w:rPr>
        <w:t xml:space="preserve">the </w:t>
      </w:r>
      <w:r w:rsidR="00E43539" w:rsidRPr="007B40C5">
        <w:rPr>
          <w:rFonts w:eastAsia="Times New Roman" w:cstheme="minorHAnsi"/>
          <w:lang w:val="en" w:eastAsia="en-AU"/>
        </w:rPr>
        <w:t xml:space="preserve">CGS </w:t>
      </w:r>
      <w:r w:rsidR="00FE76DB" w:rsidRPr="007B40C5">
        <w:rPr>
          <w:rFonts w:eastAsia="Times New Roman" w:cstheme="minorHAnsi"/>
          <w:lang w:val="en" w:eastAsia="en-AU"/>
        </w:rPr>
        <w:t>funding assumption of zero attrition for medical courses.</w:t>
      </w:r>
    </w:p>
    <w:p w14:paraId="49EBE2A4" w14:textId="53E910C5" w:rsidR="00BD7087" w:rsidRPr="007B40C5" w:rsidRDefault="00E43539" w:rsidP="00DD3210">
      <w:pPr>
        <w:rPr>
          <w:rFonts w:eastAsia="Times New Roman" w:cstheme="minorHAnsi"/>
          <w:lang w:val="en" w:eastAsia="en-AU"/>
        </w:rPr>
      </w:pPr>
      <w:r w:rsidRPr="007B40C5">
        <w:rPr>
          <w:rFonts w:eastAsia="Times New Roman" w:cstheme="minorHAnsi"/>
          <w:u w:val="single"/>
          <w:lang w:val="en" w:eastAsia="en-AU"/>
        </w:rPr>
        <w:t>Table 2</w:t>
      </w:r>
      <w:r w:rsidR="00BD618A" w:rsidRPr="007B40C5">
        <w:rPr>
          <w:rFonts w:eastAsia="Times New Roman" w:cstheme="minorHAnsi"/>
          <w:lang w:val="en" w:eastAsia="en-AU"/>
        </w:rPr>
        <w:t xml:space="preserve"> adjusts p</w:t>
      </w:r>
      <w:r w:rsidR="00886BDD" w:rsidRPr="007B40C5">
        <w:rPr>
          <w:rFonts w:eastAsia="Times New Roman" w:cstheme="minorHAnsi"/>
          <w:lang w:val="en" w:eastAsia="en-AU"/>
        </w:rPr>
        <w:t>rojected medical commencements to reflect approvals already in place for changes to medical CSP</w:t>
      </w:r>
      <w:r w:rsidR="00BD618A" w:rsidRPr="007B40C5">
        <w:rPr>
          <w:rFonts w:eastAsia="Times New Roman" w:cstheme="minorHAnsi"/>
          <w:lang w:val="en" w:eastAsia="en-AU"/>
        </w:rPr>
        <w:t xml:space="preserve"> allocation</w:t>
      </w:r>
      <w:r w:rsidR="00886BDD" w:rsidRPr="007B40C5">
        <w:rPr>
          <w:rFonts w:eastAsia="Times New Roman" w:cstheme="minorHAnsi"/>
          <w:lang w:val="en" w:eastAsia="en-AU"/>
        </w:rPr>
        <w:t>s by 2021</w:t>
      </w:r>
      <w:r w:rsidR="00E703E6" w:rsidRPr="007B40C5">
        <w:rPr>
          <w:rFonts w:eastAsia="Times New Roman" w:cstheme="minorHAnsi"/>
          <w:lang w:val="en" w:eastAsia="en-AU"/>
        </w:rPr>
        <w:t>. These include</w:t>
      </w:r>
      <w:r w:rsidR="00886BDD" w:rsidRPr="007B40C5">
        <w:rPr>
          <w:rFonts w:eastAsia="Times New Roman" w:cstheme="minorHAnsi"/>
          <w:lang w:val="en" w:eastAsia="en-AU"/>
        </w:rPr>
        <w:t xml:space="preserve"> </w:t>
      </w:r>
      <w:r w:rsidR="00E703E6" w:rsidRPr="007B40C5">
        <w:rPr>
          <w:rFonts w:eastAsia="Times New Roman" w:cstheme="minorHAnsi"/>
          <w:lang w:val="en" w:eastAsia="en-AU"/>
        </w:rPr>
        <w:t>growth in annual intakes during the establishment phase of</w:t>
      </w:r>
      <w:r w:rsidR="00BD618A" w:rsidRPr="007B40C5">
        <w:rPr>
          <w:rFonts w:eastAsia="Times New Roman" w:cstheme="minorHAnsi"/>
          <w:lang w:val="en" w:eastAsia="en-AU"/>
        </w:rPr>
        <w:t xml:space="preserve"> Curtin University’s</w:t>
      </w:r>
      <w:r w:rsidR="00E703E6" w:rsidRPr="007B40C5">
        <w:rPr>
          <w:rFonts w:eastAsia="Times New Roman" w:cstheme="minorHAnsi"/>
          <w:lang w:val="en" w:eastAsia="en-AU"/>
        </w:rPr>
        <w:t xml:space="preserve"> new</w:t>
      </w:r>
      <w:r w:rsidR="00BD618A" w:rsidRPr="007B40C5">
        <w:rPr>
          <w:rFonts w:eastAsia="Times New Roman" w:cstheme="minorHAnsi"/>
          <w:lang w:val="en" w:eastAsia="en-AU"/>
        </w:rPr>
        <w:t xml:space="preserve"> medical program and </w:t>
      </w:r>
      <w:r w:rsidR="00E703E6" w:rsidRPr="007B40C5">
        <w:rPr>
          <w:rFonts w:eastAsia="Times New Roman" w:cstheme="minorHAnsi"/>
          <w:lang w:val="en" w:eastAsia="en-AU"/>
        </w:rPr>
        <w:t>changes in medical places for the universities involved in transfers of</w:t>
      </w:r>
      <w:r w:rsidR="00886BDD" w:rsidRPr="007B40C5">
        <w:rPr>
          <w:rFonts w:eastAsia="Times New Roman" w:cstheme="minorHAnsi"/>
          <w:lang w:val="en" w:eastAsia="en-AU"/>
        </w:rPr>
        <w:t xml:space="preserve"> </w:t>
      </w:r>
      <w:r w:rsidR="00BD618A" w:rsidRPr="007B40C5">
        <w:rPr>
          <w:rFonts w:eastAsia="Times New Roman" w:cstheme="minorHAnsi"/>
          <w:lang w:val="en" w:eastAsia="en-AU"/>
        </w:rPr>
        <w:t xml:space="preserve">medical </w:t>
      </w:r>
      <w:r w:rsidR="00886BDD" w:rsidRPr="007B40C5">
        <w:rPr>
          <w:rFonts w:eastAsia="Times New Roman" w:cstheme="minorHAnsi"/>
          <w:lang w:val="en" w:eastAsia="en-AU"/>
        </w:rPr>
        <w:t xml:space="preserve">places to Griffith University </w:t>
      </w:r>
      <w:r w:rsidR="00BD618A" w:rsidRPr="007B40C5">
        <w:rPr>
          <w:rFonts w:eastAsia="Times New Roman" w:cstheme="minorHAnsi"/>
          <w:lang w:val="en" w:eastAsia="en-AU"/>
        </w:rPr>
        <w:t xml:space="preserve">for </w:t>
      </w:r>
      <w:r w:rsidR="00E703E6" w:rsidRPr="007B40C5">
        <w:rPr>
          <w:rFonts w:eastAsia="Times New Roman" w:cstheme="minorHAnsi"/>
          <w:lang w:val="en" w:eastAsia="en-AU"/>
        </w:rPr>
        <w:t>its</w:t>
      </w:r>
      <w:r w:rsidR="00BD618A" w:rsidRPr="007B40C5">
        <w:rPr>
          <w:rFonts w:eastAsia="Times New Roman" w:cstheme="minorHAnsi"/>
          <w:lang w:val="en" w:eastAsia="en-AU"/>
        </w:rPr>
        <w:t xml:space="preserve"> new Sunshine Coast </w:t>
      </w:r>
      <w:r w:rsidR="00E703E6" w:rsidRPr="007B40C5">
        <w:rPr>
          <w:rFonts w:eastAsia="Times New Roman" w:cstheme="minorHAnsi"/>
          <w:lang w:val="en" w:eastAsia="en-AU"/>
        </w:rPr>
        <w:t>medical school</w:t>
      </w:r>
      <w:r w:rsidR="00BD618A" w:rsidRPr="007B40C5">
        <w:rPr>
          <w:rFonts w:eastAsia="Times New Roman" w:cstheme="minorHAnsi"/>
          <w:lang w:val="en" w:eastAsia="en-AU"/>
        </w:rPr>
        <w:t>.</w:t>
      </w:r>
    </w:p>
    <w:p w14:paraId="3757A0E9" w14:textId="77777777" w:rsidR="00CE505B" w:rsidRPr="007B40C5" w:rsidRDefault="00CE505B">
      <w:pPr>
        <w:spacing w:before="0" w:after="200"/>
        <w:rPr>
          <w:rFonts w:eastAsia="Times New Roman" w:cstheme="minorHAnsi"/>
          <w:b/>
          <w:u w:val="single"/>
          <w:lang w:val="en" w:eastAsia="en-AU"/>
        </w:rPr>
      </w:pPr>
      <w:r w:rsidRPr="007B40C5">
        <w:rPr>
          <w:rFonts w:eastAsia="Times New Roman" w:cstheme="minorHAnsi"/>
          <w:b/>
          <w:u w:val="single"/>
          <w:lang w:val="en" w:eastAsia="en-AU"/>
        </w:rPr>
        <w:br w:type="page"/>
      </w:r>
    </w:p>
    <w:p w14:paraId="3F8517EE" w14:textId="77777777" w:rsidR="00CE505B" w:rsidRDefault="00CE505B" w:rsidP="007C27A6">
      <w:pPr>
        <w:spacing w:before="0" w:after="0" w:line="240" w:lineRule="auto"/>
        <w:rPr>
          <w:rFonts w:eastAsia="Times New Roman" w:cstheme="minorHAnsi"/>
          <w:b/>
          <w:color w:val="333333"/>
          <w:u w:val="single"/>
          <w:lang w:val="en" w:eastAsia="en-AU"/>
        </w:rPr>
      </w:pPr>
    </w:p>
    <w:p w14:paraId="4382F054" w14:textId="5BF61C0A" w:rsidR="00034E0F" w:rsidRPr="007B40C5" w:rsidRDefault="00034E0F" w:rsidP="007C27A6">
      <w:pPr>
        <w:spacing w:before="0" w:after="0" w:line="240" w:lineRule="auto"/>
        <w:rPr>
          <w:rFonts w:eastAsia="Times New Roman" w:cstheme="minorHAnsi"/>
          <w:b/>
          <w:lang w:val="en" w:eastAsia="en-AU"/>
        </w:rPr>
      </w:pPr>
      <w:r w:rsidRPr="007B40C5">
        <w:rPr>
          <w:rFonts w:eastAsia="Times New Roman" w:cstheme="minorHAnsi"/>
          <w:b/>
          <w:u w:val="single"/>
          <w:lang w:val="en" w:eastAsia="en-AU"/>
        </w:rPr>
        <w:t>Table 1</w:t>
      </w:r>
      <w:r w:rsidRPr="007B40C5">
        <w:rPr>
          <w:rFonts w:eastAsia="Times New Roman" w:cstheme="minorHAnsi"/>
          <w:b/>
          <w:lang w:val="en" w:eastAsia="en-AU"/>
        </w:rPr>
        <w:t>: Projected medical CSP enrolments and domestic medical completions</w:t>
      </w:r>
      <w:r w:rsidR="00210507" w:rsidRPr="007B40C5">
        <w:rPr>
          <w:rFonts w:eastAsia="Times New Roman" w:cstheme="minorHAnsi"/>
          <w:b/>
          <w:lang w:val="en" w:eastAsia="en-AU"/>
        </w:rPr>
        <w:t xml:space="preserve"> in 2021</w:t>
      </w:r>
    </w:p>
    <w:p w14:paraId="114AA959" w14:textId="77777777" w:rsidR="00034E0F" w:rsidRPr="007B40C5" w:rsidRDefault="00034E0F" w:rsidP="007C27A6">
      <w:pPr>
        <w:spacing w:before="0" w:after="0" w:line="240" w:lineRule="auto"/>
        <w:ind w:left="-851"/>
        <w:rPr>
          <w:rFonts w:eastAsia="Times New Roman" w:cstheme="minorHAnsi"/>
          <w:b/>
          <w:lang w:val="en" w:eastAsia="en-AU"/>
        </w:rPr>
      </w:pPr>
    </w:p>
    <w:tbl>
      <w:tblPr>
        <w:tblW w:w="4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1"/>
        <w:gridCol w:w="1418"/>
        <w:gridCol w:w="993"/>
        <w:gridCol w:w="937"/>
        <w:gridCol w:w="973"/>
      </w:tblGrid>
      <w:tr w:rsidR="00034E0F" w:rsidRPr="007B40C5" w14:paraId="06B403E0" w14:textId="77777777" w:rsidTr="00034E0F">
        <w:trPr>
          <w:trHeight w:val="490"/>
          <w:jc w:val="center"/>
        </w:trPr>
        <w:tc>
          <w:tcPr>
            <w:tcW w:w="2303" w:type="pct"/>
            <w:tcBorders>
              <w:bottom w:val="single" w:sz="4" w:space="0" w:color="auto"/>
            </w:tcBorders>
            <w:shd w:val="clear" w:color="auto" w:fill="8193D1" w:themeFill="accent1" w:themeFillTint="99"/>
            <w:vAlign w:val="center"/>
          </w:tcPr>
          <w:p w14:paraId="784F8535" w14:textId="77777777" w:rsidR="00034E0F" w:rsidRPr="007B40C5" w:rsidRDefault="00034E0F" w:rsidP="007C27A6">
            <w:pPr>
              <w:contextualSpacing/>
              <w:rPr>
                <w:rFonts w:cstheme="minorHAnsi"/>
                <w:b/>
                <w:bCs/>
                <w:sz w:val="18"/>
                <w:szCs w:val="18"/>
              </w:rPr>
            </w:pPr>
            <w:r w:rsidRPr="007B40C5">
              <w:rPr>
                <w:rFonts w:cstheme="minorHAnsi"/>
                <w:b/>
                <w:bCs/>
                <w:sz w:val="18"/>
                <w:szCs w:val="18"/>
              </w:rPr>
              <w:t>University</w:t>
            </w:r>
          </w:p>
        </w:tc>
        <w:tc>
          <w:tcPr>
            <w:tcW w:w="885" w:type="pct"/>
            <w:tcBorders>
              <w:bottom w:val="single" w:sz="4" w:space="0" w:color="auto"/>
            </w:tcBorders>
            <w:shd w:val="clear" w:color="auto" w:fill="8193D1" w:themeFill="accent1" w:themeFillTint="99"/>
            <w:vAlign w:val="center"/>
          </w:tcPr>
          <w:p w14:paraId="1DB64634" w14:textId="77777777" w:rsidR="00034E0F" w:rsidRPr="007B40C5" w:rsidRDefault="00034E0F" w:rsidP="007C27A6">
            <w:pPr>
              <w:contextualSpacing/>
              <w:jc w:val="center"/>
              <w:rPr>
                <w:rFonts w:cstheme="minorHAnsi"/>
                <w:b/>
                <w:bCs/>
                <w:sz w:val="18"/>
                <w:szCs w:val="18"/>
              </w:rPr>
            </w:pPr>
            <w:r w:rsidRPr="007B40C5">
              <w:rPr>
                <w:rFonts w:cstheme="minorHAnsi"/>
                <w:b/>
                <w:bCs/>
                <w:sz w:val="18"/>
                <w:szCs w:val="18"/>
              </w:rPr>
              <w:t>Campus Location</w:t>
            </w:r>
          </w:p>
        </w:tc>
        <w:tc>
          <w:tcPr>
            <w:tcW w:w="620" w:type="pct"/>
            <w:tcBorders>
              <w:bottom w:val="single" w:sz="4" w:space="0" w:color="auto"/>
            </w:tcBorders>
            <w:shd w:val="clear" w:color="auto" w:fill="8193D1" w:themeFill="accent1" w:themeFillTint="99"/>
            <w:vAlign w:val="center"/>
          </w:tcPr>
          <w:p w14:paraId="74B00DC8" w14:textId="77777777" w:rsidR="00034E0F" w:rsidRPr="007B40C5" w:rsidRDefault="00034E0F" w:rsidP="007C27A6">
            <w:pPr>
              <w:contextualSpacing/>
              <w:jc w:val="center"/>
              <w:rPr>
                <w:rFonts w:cstheme="minorHAnsi"/>
                <w:b/>
                <w:bCs/>
                <w:sz w:val="18"/>
                <w:szCs w:val="18"/>
              </w:rPr>
            </w:pPr>
            <w:r w:rsidRPr="007B40C5">
              <w:rPr>
                <w:rFonts w:cstheme="minorHAnsi"/>
                <w:b/>
                <w:bCs/>
                <w:sz w:val="18"/>
                <w:szCs w:val="18"/>
              </w:rPr>
              <w:t>Course duration (yrs)</w:t>
            </w:r>
          </w:p>
        </w:tc>
        <w:tc>
          <w:tcPr>
            <w:tcW w:w="585" w:type="pct"/>
            <w:tcBorders>
              <w:bottom w:val="single" w:sz="4" w:space="0" w:color="auto"/>
            </w:tcBorders>
            <w:shd w:val="clear" w:color="auto" w:fill="8193D1" w:themeFill="accent1" w:themeFillTint="99"/>
            <w:vAlign w:val="center"/>
          </w:tcPr>
          <w:p w14:paraId="210DAA25" w14:textId="77777777" w:rsidR="00034E0F" w:rsidRPr="007B40C5" w:rsidRDefault="00034E0F" w:rsidP="007C27A6">
            <w:pPr>
              <w:contextualSpacing/>
              <w:jc w:val="center"/>
              <w:rPr>
                <w:rFonts w:cstheme="minorHAnsi"/>
                <w:b/>
                <w:bCs/>
                <w:sz w:val="18"/>
                <w:szCs w:val="18"/>
              </w:rPr>
            </w:pPr>
            <w:r w:rsidRPr="007B40C5">
              <w:rPr>
                <w:rFonts w:cstheme="minorHAnsi"/>
                <w:b/>
                <w:bCs/>
                <w:sz w:val="18"/>
                <w:szCs w:val="18"/>
              </w:rPr>
              <w:t>Total CSP alloc’n</w:t>
            </w:r>
            <w:r w:rsidRPr="007B40C5">
              <w:rPr>
                <w:rFonts w:ascii="Arial" w:hAnsi="Arial" w:cs="Arial"/>
                <w:sz w:val="20"/>
                <w:szCs w:val="20"/>
                <w:vertAlign w:val="superscript"/>
              </w:rPr>
              <w:t>1</w:t>
            </w:r>
          </w:p>
        </w:tc>
        <w:tc>
          <w:tcPr>
            <w:tcW w:w="608" w:type="pct"/>
            <w:tcBorders>
              <w:bottom w:val="single" w:sz="4" w:space="0" w:color="auto"/>
            </w:tcBorders>
            <w:shd w:val="clear" w:color="auto" w:fill="8193D1" w:themeFill="accent1" w:themeFillTint="99"/>
            <w:vAlign w:val="center"/>
          </w:tcPr>
          <w:p w14:paraId="244503EB" w14:textId="77777777" w:rsidR="00034E0F" w:rsidRPr="007B40C5" w:rsidRDefault="00034E0F" w:rsidP="007C27A6">
            <w:pPr>
              <w:contextualSpacing/>
              <w:jc w:val="center"/>
              <w:rPr>
                <w:rFonts w:cstheme="minorHAnsi"/>
                <w:b/>
                <w:bCs/>
                <w:sz w:val="18"/>
                <w:szCs w:val="18"/>
              </w:rPr>
            </w:pPr>
            <w:r w:rsidRPr="007B40C5">
              <w:rPr>
                <w:rFonts w:cstheme="minorHAnsi"/>
                <w:b/>
                <w:bCs/>
                <w:sz w:val="18"/>
                <w:szCs w:val="18"/>
              </w:rPr>
              <w:t>Permitted domestic grads</w:t>
            </w:r>
            <w:r w:rsidRPr="007B40C5">
              <w:rPr>
                <w:rFonts w:ascii="Arial" w:hAnsi="Arial" w:cs="Arial"/>
                <w:sz w:val="20"/>
                <w:szCs w:val="20"/>
                <w:vertAlign w:val="superscript"/>
              </w:rPr>
              <w:t>2</w:t>
            </w:r>
          </w:p>
        </w:tc>
      </w:tr>
      <w:tr w:rsidR="00034E0F" w:rsidRPr="007B40C5" w14:paraId="71D4CA9B" w14:textId="77777777" w:rsidTr="00034E0F">
        <w:trPr>
          <w:trHeight w:val="375"/>
          <w:jc w:val="center"/>
        </w:trPr>
        <w:tc>
          <w:tcPr>
            <w:tcW w:w="2303" w:type="pct"/>
            <w:tcBorders>
              <w:bottom w:val="single" w:sz="4" w:space="0" w:color="auto"/>
            </w:tcBorders>
            <w:shd w:val="clear" w:color="auto" w:fill="auto"/>
            <w:vAlign w:val="center"/>
          </w:tcPr>
          <w:p w14:paraId="43055003" w14:textId="77777777" w:rsidR="00034E0F" w:rsidRPr="007B40C5" w:rsidRDefault="00034E0F" w:rsidP="007C27A6">
            <w:pPr>
              <w:contextualSpacing/>
              <w:rPr>
                <w:rFonts w:cstheme="minorHAnsi"/>
                <w:sz w:val="18"/>
                <w:szCs w:val="18"/>
              </w:rPr>
            </w:pPr>
            <w:r w:rsidRPr="007B40C5">
              <w:rPr>
                <w:rFonts w:cstheme="minorHAnsi"/>
                <w:sz w:val="18"/>
                <w:szCs w:val="18"/>
              </w:rPr>
              <w:t>Deakin University</w:t>
            </w:r>
          </w:p>
        </w:tc>
        <w:tc>
          <w:tcPr>
            <w:tcW w:w="885" w:type="pct"/>
            <w:tcBorders>
              <w:bottom w:val="single" w:sz="4" w:space="0" w:color="auto"/>
            </w:tcBorders>
            <w:shd w:val="clear" w:color="auto" w:fill="auto"/>
            <w:vAlign w:val="center"/>
          </w:tcPr>
          <w:p w14:paraId="3DDB604D" w14:textId="77777777" w:rsidR="00034E0F" w:rsidRPr="007B40C5" w:rsidRDefault="00034E0F" w:rsidP="007C27A6">
            <w:pPr>
              <w:contextualSpacing/>
              <w:jc w:val="center"/>
              <w:rPr>
                <w:rFonts w:cstheme="minorHAnsi"/>
                <w:sz w:val="18"/>
                <w:szCs w:val="18"/>
              </w:rPr>
            </w:pPr>
            <w:r w:rsidRPr="007B40C5">
              <w:rPr>
                <w:rFonts w:cstheme="minorHAnsi"/>
                <w:sz w:val="18"/>
                <w:szCs w:val="18"/>
              </w:rPr>
              <w:t>Geelong</w:t>
            </w:r>
          </w:p>
        </w:tc>
        <w:tc>
          <w:tcPr>
            <w:tcW w:w="620" w:type="pct"/>
            <w:tcBorders>
              <w:bottom w:val="single" w:sz="4" w:space="0" w:color="auto"/>
            </w:tcBorders>
            <w:shd w:val="clear" w:color="auto" w:fill="auto"/>
            <w:vAlign w:val="center"/>
          </w:tcPr>
          <w:p w14:paraId="240A4251" w14:textId="77777777" w:rsidR="00034E0F" w:rsidRPr="007B40C5" w:rsidRDefault="00034E0F" w:rsidP="007C27A6">
            <w:pPr>
              <w:contextualSpacing/>
              <w:jc w:val="center"/>
              <w:rPr>
                <w:rFonts w:cstheme="minorHAnsi"/>
                <w:sz w:val="18"/>
                <w:szCs w:val="18"/>
              </w:rPr>
            </w:pPr>
            <w:r w:rsidRPr="007B40C5">
              <w:rPr>
                <w:rFonts w:cstheme="minorHAnsi"/>
                <w:sz w:val="18"/>
                <w:szCs w:val="18"/>
              </w:rPr>
              <w:t>4</w:t>
            </w:r>
          </w:p>
        </w:tc>
        <w:tc>
          <w:tcPr>
            <w:tcW w:w="585" w:type="pct"/>
            <w:tcBorders>
              <w:bottom w:val="single" w:sz="4" w:space="0" w:color="auto"/>
            </w:tcBorders>
            <w:vAlign w:val="center"/>
          </w:tcPr>
          <w:p w14:paraId="389ED6D2" w14:textId="77777777" w:rsidR="00034E0F" w:rsidRPr="007B40C5" w:rsidRDefault="00034E0F" w:rsidP="007C27A6">
            <w:pPr>
              <w:contextualSpacing/>
              <w:jc w:val="center"/>
              <w:rPr>
                <w:rFonts w:cstheme="minorHAnsi"/>
                <w:sz w:val="18"/>
                <w:szCs w:val="18"/>
              </w:rPr>
            </w:pPr>
            <w:r w:rsidRPr="007B40C5">
              <w:rPr>
                <w:rFonts w:cstheme="minorHAnsi"/>
                <w:sz w:val="18"/>
                <w:szCs w:val="18"/>
              </w:rPr>
              <w:t>520</w:t>
            </w:r>
          </w:p>
        </w:tc>
        <w:tc>
          <w:tcPr>
            <w:tcW w:w="608" w:type="pct"/>
            <w:tcBorders>
              <w:bottom w:val="single" w:sz="4" w:space="0" w:color="auto"/>
            </w:tcBorders>
            <w:vAlign w:val="center"/>
          </w:tcPr>
          <w:p w14:paraId="40A41560" w14:textId="77777777" w:rsidR="00034E0F" w:rsidRPr="007B40C5" w:rsidRDefault="00034E0F" w:rsidP="007C27A6">
            <w:pPr>
              <w:contextualSpacing/>
              <w:jc w:val="center"/>
              <w:rPr>
                <w:rFonts w:cstheme="minorHAnsi"/>
                <w:sz w:val="18"/>
                <w:szCs w:val="18"/>
              </w:rPr>
            </w:pPr>
            <w:r w:rsidRPr="007B40C5">
              <w:rPr>
                <w:rFonts w:cstheme="minorHAnsi"/>
                <w:sz w:val="18"/>
                <w:szCs w:val="18"/>
              </w:rPr>
              <w:t>130</w:t>
            </w:r>
          </w:p>
        </w:tc>
      </w:tr>
      <w:tr w:rsidR="00034E0F" w:rsidRPr="007B40C5" w14:paraId="2EC9CF1A" w14:textId="77777777" w:rsidTr="00034E0F">
        <w:trPr>
          <w:trHeight w:val="599"/>
          <w:jc w:val="center"/>
        </w:trPr>
        <w:tc>
          <w:tcPr>
            <w:tcW w:w="2303" w:type="pct"/>
            <w:shd w:val="clear" w:color="auto" w:fill="D5DBEF" w:themeFill="accent1" w:themeFillTint="33"/>
            <w:vAlign w:val="center"/>
          </w:tcPr>
          <w:p w14:paraId="0B6D8822" w14:textId="77777777" w:rsidR="00034E0F" w:rsidRPr="007B40C5" w:rsidRDefault="00034E0F" w:rsidP="007C27A6">
            <w:pPr>
              <w:contextualSpacing/>
              <w:rPr>
                <w:rFonts w:cstheme="minorHAnsi"/>
                <w:sz w:val="18"/>
                <w:szCs w:val="18"/>
              </w:rPr>
            </w:pPr>
            <w:r w:rsidRPr="007B40C5">
              <w:rPr>
                <w:rFonts w:cstheme="minorHAnsi"/>
                <w:sz w:val="18"/>
                <w:szCs w:val="18"/>
              </w:rPr>
              <w:t>Griffith University</w:t>
            </w:r>
          </w:p>
        </w:tc>
        <w:tc>
          <w:tcPr>
            <w:tcW w:w="885" w:type="pct"/>
            <w:shd w:val="clear" w:color="auto" w:fill="D5DBEF" w:themeFill="accent1" w:themeFillTint="33"/>
            <w:vAlign w:val="center"/>
          </w:tcPr>
          <w:p w14:paraId="040C4284" w14:textId="77777777" w:rsidR="00034E0F" w:rsidRPr="007B40C5" w:rsidRDefault="00034E0F" w:rsidP="007C27A6">
            <w:pPr>
              <w:contextualSpacing/>
              <w:jc w:val="center"/>
              <w:rPr>
                <w:rFonts w:cstheme="minorHAnsi"/>
                <w:sz w:val="18"/>
                <w:szCs w:val="18"/>
              </w:rPr>
            </w:pPr>
            <w:r w:rsidRPr="007B40C5">
              <w:rPr>
                <w:rFonts w:cstheme="minorHAnsi"/>
                <w:sz w:val="18"/>
                <w:szCs w:val="18"/>
              </w:rPr>
              <w:t>Gold Coast</w:t>
            </w:r>
          </w:p>
        </w:tc>
        <w:tc>
          <w:tcPr>
            <w:tcW w:w="620" w:type="pct"/>
            <w:shd w:val="clear" w:color="auto" w:fill="D5DBEF" w:themeFill="accent1" w:themeFillTint="33"/>
            <w:vAlign w:val="center"/>
          </w:tcPr>
          <w:p w14:paraId="65608456" w14:textId="77777777" w:rsidR="00034E0F" w:rsidRPr="007B40C5" w:rsidRDefault="00034E0F" w:rsidP="007C27A6">
            <w:pPr>
              <w:contextualSpacing/>
              <w:jc w:val="center"/>
              <w:rPr>
                <w:rFonts w:cstheme="minorHAnsi"/>
                <w:sz w:val="18"/>
                <w:szCs w:val="18"/>
              </w:rPr>
            </w:pPr>
            <w:r w:rsidRPr="007B40C5">
              <w:rPr>
                <w:rFonts w:cstheme="minorHAnsi"/>
                <w:sz w:val="18"/>
                <w:szCs w:val="18"/>
              </w:rPr>
              <w:t>4</w:t>
            </w:r>
          </w:p>
        </w:tc>
        <w:tc>
          <w:tcPr>
            <w:tcW w:w="585" w:type="pct"/>
            <w:shd w:val="clear" w:color="auto" w:fill="D5DBEF" w:themeFill="accent1" w:themeFillTint="33"/>
            <w:vAlign w:val="center"/>
          </w:tcPr>
          <w:p w14:paraId="42C1D4E6" w14:textId="77777777" w:rsidR="00034E0F" w:rsidRPr="007B40C5" w:rsidRDefault="00034E0F" w:rsidP="007C27A6">
            <w:pPr>
              <w:contextualSpacing/>
              <w:jc w:val="center"/>
              <w:rPr>
                <w:rFonts w:cstheme="minorHAnsi"/>
                <w:sz w:val="18"/>
                <w:szCs w:val="18"/>
              </w:rPr>
            </w:pPr>
            <w:r w:rsidRPr="007B40C5">
              <w:rPr>
                <w:rFonts w:cstheme="minorHAnsi"/>
                <w:sz w:val="18"/>
                <w:szCs w:val="18"/>
              </w:rPr>
              <w:t>785</w:t>
            </w:r>
          </w:p>
        </w:tc>
        <w:tc>
          <w:tcPr>
            <w:tcW w:w="608" w:type="pct"/>
            <w:shd w:val="clear" w:color="auto" w:fill="D5DBEF" w:themeFill="accent1" w:themeFillTint="33"/>
            <w:vAlign w:val="center"/>
          </w:tcPr>
          <w:p w14:paraId="2111467C" w14:textId="77777777" w:rsidR="00034E0F" w:rsidRPr="007B40C5" w:rsidRDefault="00034E0F" w:rsidP="007C27A6">
            <w:pPr>
              <w:contextualSpacing/>
              <w:jc w:val="center"/>
              <w:rPr>
                <w:rFonts w:cstheme="minorHAnsi"/>
                <w:sz w:val="18"/>
                <w:szCs w:val="18"/>
              </w:rPr>
            </w:pPr>
            <w:r w:rsidRPr="007B40C5">
              <w:rPr>
                <w:rFonts w:cstheme="minorHAnsi"/>
                <w:sz w:val="18"/>
                <w:szCs w:val="18"/>
              </w:rPr>
              <w:t>185</w:t>
            </w:r>
          </w:p>
        </w:tc>
      </w:tr>
      <w:tr w:rsidR="00034E0F" w:rsidRPr="007B40C5" w14:paraId="7006EDFE" w14:textId="77777777" w:rsidTr="00034E0F">
        <w:trPr>
          <w:trHeight w:val="185"/>
          <w:jc w:val="center"/>
        </w:trPr>
        <w:tc>
          <w:tcPr>
            <w:tcW w:w="2303" w:type="pct"/>
            <w:tcBorders>
              <w:bottom w:val="single" w:sz="4" w:space="0" w:color="auto"/>
            </w:tcBorders>
            <w:shd w:val="clear" w:color="auto" w:fill="auto"/>
            <w:vAlign w:val="center"/>
          </w:tcPr>
          <w:p w14:paraId="0F1AD9F0" w14:textId="77777777" w:rsidR="00034E0F" w:rsidRPr="007B40C5" w:rsidRDefault="00034E0F" w:rsidP="007C27A6">
            <w:pPr>
              <w:contextualSpacing/>
              <w:rPr>
                <w:rFonts w:cstheme="minorHAnsi"/>
                <w:sz w:val="18"/>
                <w:szCs w:val="18"/>
              </w:rPr>
            </w:pPr>
            <w:r w:rsidRPr="007B40C5">
              <w:rPr>
                <w:rFonts w:cstheme="minorHAnsi"/>
                <w:sz w:val="18"/>
                <w:szCs w:val="18"/>
              </w:rPr>
              <w:t>James Cook University</w:t>
            </w:r>
          </w:p>
        </w:tc>
        <w:tc>
          <w:tcPr>
            <w:tcW w:w="885" w:type="pct"/>
            <w:tcBorders>
              <w:bottom w:val="single" w:sz="4" w:space="0" w:color="auto"/>
            </w:tcBorders>
            <w:shd w:val="clear" w:color="auto" w:fill="auto"/>
            <w:vAlign w:val="center"/>
          </w:tcPr>
          <w:p w14:paraId="1427763A" w14:textId="77777777" w:rsidR="00034E0F" w:rsidRPr="007B40C5" w:rsidRDefault="00034E0F" w:rsidP="007C27A6">
            <w:pPr>
              <w:contextualSpacing/>
              <w:jc w:val="center"/>
              <w:rPr>
                <w:rFonts w:cstheme="minorHAnsi"/>
                <w:sz w:val="18"/>
                <w:szCs w:val="18"/>
              </w:rPr>
            </w:pPr>
            <w:r w:rsidRPr="007B40C5">
              <w:rPr>
                <w:rFonts w:cstheme="minorHAnsi"/>
                <w:sz w:val="18"/>
                <w:szCs w:val="18"/>
              </w:rPr>
              <w:t>Townsville</w:t>
            </w:r>
          </w:p>
        </w:tc>
        <w:tc>
          <w:tcPr>
            <w:tcW w:w="620" w:type="pct"/>
            <w:tcBorders>
              <w:bottom w:val="single" w:sz="4" w:space="0" w:color="auto"/>
            </w:tcBorders>
            <w:shd w:val="clear" w:color="auto" w:fill="auto"/>
            <w:vAlign w:val="center"/>
          </w:tcPr>
          <w:p w14:paraId="48EF3EB9" w14:textId="77777777" w:rsidR="00034E0F" w:rsidRPr="007B40C5" w:rsidRDefault="00034E0F" w:rsidP="007C27A6">
            <w:pPr>
              <w:contextualSpacing/>
              <w:jc w:val="center"/>
              <w:rPr>
                <w:rFonts w:cstheme="minorHAnsi"/>
                <w:sz w:val="18"/>
                <w:szCs w:val="18"/>
              </w:rPr>
            </w:pPr>
            <w:r w:rsidRPr="007B40C5">
              <w:rPr>
                <w:rFonts w:cstheme="minorHAnsi"/>
                <w:sz w:val="18"/>
                <w:szCs w:val="18"/>
              </w:rPr>
              <w:t>6</w:t>
            </w:r>
          </w:p>
        </w:tc>
        <w:tc>
          <w:tcPr>
            <w:tcW w:w="585" w:type="pct"/>
            <w:tcBorders>
              <w:bottom w:val="single" w:sz="4" w:space="0" w:color="auto"/>
            </w:tcBorders>
            <w:vAlign w:val="center"/>
          </w:tcPr>
          <w:p w14:paraId="1D462D21" w14:textId="77777777" w:rsidR="00034E0F" w:rsidRPr="007B40C5" w:rsidRDefault="00034E0F" w:rsidP="007C27A6">
            <w:pPr>
              <w:contextualSpacing/>
              <w:jc w:val="center"/>
              <w:rPr>
                <w:rFonts w:cstheme="minorHAnsi"/>
                <w:sz w:val="18"/>
                <w:szCs w:val="18"/>
              </w:rPr>
            </w:pPr>
            <w:r w:rsidRPr="007B40C5">
              <w:rPr>
                <w:rFonts w:cstheme="minorHAnsi"/>
                <w:sz w:val="18"/>
                <w:szCs w:val="18"/>
              </w:rPr>
              <w:t>922</w:t>
            </w:r>
          </w:p>
        </w:tc>
        <w:tc>
          <w:tcPr>
            <w:tcW w:w="608" w:type="pct"/>
            <w:tcBorders>
              <w:bottom w:val="single" w:sz="4" w:space="0" w:color="auto"/>
            </w:tcBorders>
            <w:vAlign w:val="center"/>
          </w:tcPr>
          <w:p w14:paraId="283E1060" w14:textId="77777777" w:rsidR="00034E0F" w:rsidRPr="007B40C5" w:rsidRDefault="00034E0F" w:rsidP="007C27A6">
            <w:pPr>
              <w:contextualSpacing/>
              <w:jc w:val="center"/>
              <w:rPr>
                <w:rFonts w:cstheme="minorHAnsi"/>
                <w:sz w:val="18"/>
                <w:szCs w:val="18"/>
              </w:rPr>
            </w:pPr>
            <w:r w:rsidRPr="007B40C5">
              <w:rPr>
                <w:rFonts w:cstheme="minorHAnsi"/>
                <w:sz w:val="18"/>
                <w:szCs w:val="18"/>
              </w:rPr>
              <w:t>154</w:t>
            </w:r>
          </w:p>
        </w:tc>
      </w:tr>
      <w:tr w:rsidR="00034E0F" w:rsidRPr="007B40C5" w14:paraId="033C0A93" w14:textId="77777777" w:rsidTr="00034E0F">
        <w:trPr>
          <w:trHeight w:val="386"/>
          <w:jc w:val="center"/>
        </w:trPr>
        <w:tc>
          <w:tcPr>
            <w:tcW w:w="2303" w:type="pct"/>
            <w:vMerge w:val="restart"/>
            <w:tcBorders>
              <w:left w:val="single" w:sz="6" w:space="0" w:color="auto"/>
              <w:right w:val="single" w:sz="6" w:space="0" w:color="auto"/>
            </w:tcBorders>
            <w:shd w:val="clear" w:color="auto" w:fill="D5DBEF" w:themeFill="accent1" w:themeFillTint="33"/>
            <w:vAlign w:val="center"/>
          </w:tcPr>
          <w:p w14:paraId="54E50F2D" w14:textId="77777777" w:rsidR="00034E0F" w:rsidRPr="007B40C5" w:rsidRDefault="00034E0F" w:rsidP="007C27A6">
            <w:pPr>
              <w:contextualSpacing/>
              <w:rPr>
                <w:rFonts w:cstheme="minorHAnsi"/>
                <w:sz w:val="18"/>
                <w:szCs w:val="18"/>
              </w:rPr>
            </w:pPr>
            <w:r w:rsidRPr="007B40C5">
              <w:rPr>
                <w:rFonts w:cstheme="minorHAnsi"/>
                <w:sz w:val="18"/>
                <w:szCs w:val="18"/>
              </w:rPr>
              <w:t>Monash University</w:t>
            </w:r>
          </w:p>
        </w:tc>
        <w:tc>
          <w:tcPr>
            <w:tcW w:w="885" w:type="pct"/>
            <w:tcBorders>
              <w:left w:val="single" w:sz="6" w:space="0" w:color="auto"/>
              <w:bottom w:val="single" w:sz="4" w:space="0" w:color="auto"/>
              <w:right w:val="single" w:sz="6" w:space="0" w:color="auto"/>
            </w:tcBorders>
            <w:shd w:val="clear" w:color="auto" w:fill="D5DBEF" w:themeFill="accent1" w:themeFillTint="33"/>
            <w:vAlign w:val="center"/>
          </w:tcPr>
          <w:p w14:paraId="72840C62" w14:textId="77777777" w:rsidR="00034E0F" w:rsidRPr="007B40C5" w:rsidRDefault="00034E0F" w:rsidP="007C27A6">
            <w:pPr>
              <w:contextualSpacing/>
              <w:jc w:val="center"/>
              <w:rPr>
                <w:rFonts w:cstheme="minorHAnsi"/>
                <w:sz w:val="18"/>
                <w:szCs w:val="18"/>
              </w:rPr>
            </w:pPr>
            <w:r w:rsidRPr="007B40C5">
              <w:rPr>
                <w:rFonts w:cstheme="minorHAnsi"/>
                <w:sz w:val="18"/>
                <w:szCs w:val="18"/>
              </w:rPr>
              <w:t>Melbourne</w:t>
            </w:r>
          </w:p>
        </w:tc>
        <w:tc>
          <w:tcPr>
            <w:tcW w:w="620" w:type="pct"/>
            <w:tcBorders>
              <w:left w:val="single" w:sz="6" w:space="0" w:color="auto"/>
              <w:bottom w:val="single" w:sz="4" w:space="0" w:color="auto"/>
              <w:right w:val="single" w:sz="6" w:space="0" w:color="auto"/>
            </w:tcBorders>
            <w:shd w:val="clear" w:color="auto" w:fill="D5DBEF" w:themeFill="accent1" w:themeFillTint="33"/>
            <w:vAlign w:val="center"/>
          </w:tcPr>
          <w:p w14:paraId="4EDC000A" w14:textId="77777777" w:rsidR="00034E0F" w:rsidRPr="007B40C5" w:rsidRDefault="00034E0F" w:rsidP="007C27A6">
            <w:pPr>
              <w:contextualSpacing/>
              <w:jc w:val="center"/>
              <w:rPr>
                <w:rFonts w:cstheme="minorHAnsi"/>
                <w:sz w:val="18"/>
                <w:szCs w:val="18"/>
              </w:rPr>
            </w:pPr>
            <w:r w:rsidRPr="007B40C5">
              <w:rPr>
                <w:rFonts w:cstheme="minorHAnsi"/>
                <w:sz w:val="18"/>
                <w:szCs w:val="18"/>
              </w:rPr>
              <w:t>5</w:t>
            </w:r>
          </w:p>
        </w:tc>
        <w:tc>
          <w:tcPr>
            <w:tcW w:w="585" w:type="pct"/>
            <w:vMerge w:val="restart"/>
            <w:tcBorders>
              <w:left w:val="single" w:sz="6" w:space="0" w:color="auto"/>
              <w:bottom w:val="single" w:sz="4" w:space="0" w:color="auto"/>
              <w:right w:val="single" w:sz="6" w:space="0" w:color="auto"/>
            </w:tcBorders>
            <w:shd w:val="clear" w:color="auto" w:fill="D5DBEF" w:themeFill="accent1" w:themeFillTint="33"/>
            <w:vAlign w:val="center"/>
          </w:tcPr>
          <w:p w14:paraId="68FA63F6" w14:textId="77777777" w:rsidR="00034E0F" w:rsidRPr="007B40C5" w:rsidRDefault="00034E0F" w:rsidP="007C27A6">
            <w:pPr>
              <w:contextualSpacing/>
              <w:jc w:val="center"/>
              <w:rPr>
                <w:rFonts w:cstheme="minorHAnsi"/>
                <w:sz w:val="18"/>
                <w:szCs w:val="18"/>
              </w:rPr>
            </w:pPr>
            <w:r w:rsidRPr="007B40C5">
              <w:rPr>
                <w:rFonts w:cstheme="minorHAnsi"/>
                <w:sz w:val="18"/>
                <w:szCs w:val="18"/>
              </w:rPr>
              <w:t>1489</w:t>
            </w:r>
          </w:p>
        </w:tc>
        <w:tc>
          <w:tcPr>
            <w:tcW w:w="608" w:type="pct"/>
            <w:tcBorders>
              <w:left w:val="single" w:sz="6" w:space="0" w:color="auto"/>
              <w:bottom w:val="single" w:sz="4" w:space="0" w:color="auto"/>
            </w:tcBorders>
            <w:shd w:val="clear" w:color="auto" w:fill="D5DBEF" w:themeFill="accent1" w:themeFillTint="33"/>
            <w:vAlign w:val="center"/>
          </w:tcPr>
          <w:p w14:paraId="68D9B685" w14:textId="77777777" w:rsidR="00034E0F" w:rsidRPr="007B40C5" w:rsidRDefault="00034E0F" w:rsidP="007C27A6">
            <w:pPr>
              <w:contextualSpacing/>
              <w:jc w:val="center"/>
              <w:rPr>
                <w:rFonts w:cstheme="minorHAnsi"/>
                <w:sz w:val="18"/>
                <w:szCs w:val="18"/>
              </w:rPr>
            </w:pPr>
            <w:r w:rsidRPr="007B40C5">
              <w:rPr>
                <w:rFonts w:cstheme="minorHAnsi"/>
                <w:sz w:val="18"/>
                <w:szCs w:val="18"/>
              </w:rPr>
              <w:t>242</w:t>
            </w:r>
          </w:p>
        </w:tc>
      </w:tr>
      <w:tr w:rsidR="00034E0F" w:rsidRPr="007B40C5" w14:paraId="26A4655C" w14:textId="77777777" w:rsidTr="00034E0F">
        <w:trPr>
          <w:trHeight w:val="388"/>
          <w:jc w:val="center"/>
        </w:trPr>
        <w:tc>
          <w:tcPr>
            <w:tcW w:w="2303" w:type="pct"/>
            <w:vMerge/>
            <w:shd w:val="clear" w:color="auto" w:fill="F2F2F2"/>
            <w:vAlign w:val="center"/>
          </w:tcPr>
          <w:p w14:paraId="316E5F5A" w14:textId="77777777" w:rsidR="00034E0F" w:rsidRPr="007B40C5" w:rsidRDefault="00034E0F" w:rsidP="007C27A6">
            <w:pPr>
              <w:contextualSpacing/>
              <w:rPr>
                <w:rFonts w:cstheme="minorHAnsi"/>
                <w:sz w:val="18"/>
                <w:szCs w:val="18"/>
              </w:rPr>
            </w:pPr>
          </w:p>
        </w:tc>
        <w:tc>
          <w:tcPr>
            <w:tcW w:w="885" w:type="pct"/>
            <w:shd w:val="clear" w:color="auto" w:fill="D5DBEF" w:themeFill="accent1" w:themeFillTint="33"/>
            <w:vAlign w:val="center"/>
          </w:tcPr>
          <w:p w14:paraId="724CD124" w14:textId="77777777" w:rsidR="00034E0F" w:rsidRPr="007B40C5" w:rsidRDefault="00034E0F" w:rsidP="007C27A6">
            <w:pPr>
              <w:contextualSpacing/>
              <w:jc w:val="center"/>
              <w:rPr>
                <w:rFonts w:cstheme="minorHAnsi"/>
                <w:sz w:val="18"/>
                <w:szCs w:val="18"/>
              </w:rPr>
            </w:pPr>
            <w:r w:rsidRPr="007B40C5">
              <w:rPr>
                <w:rFonts w:cstheme="minorHAnsi"/>
                <w:sz w:val="18"/>
                <w:szCs w:val="18"/>
              </w:rPr>
              <w:t>Gippsland</w:t>
            </w:r>
          </w:p>
        </w:tc>
        <w:tc>
          <w:tcPr>
            <w:tcW w:w="620" w:type="pct"/>
            <w:shd w:val="clear" w:color="auto" w:fill="D5DBEF" w:themeFill="accent1" w:themeFillTint="33"/>
            <w:vAlign w:val="center"/>
          </w:tcPr>
          <w:p w14:paraId="080053EF" w14:textId="77777777" w:rsidR="00034E0F" w:rsidRPr="007B40C5" w:rsidRDefault="00034E0F" w:rsidP="007C27A6">
            <w:pPr>
              <w:contextualSpacing/>
              <w:jc w:val="center"/>
              <w:rPr>
                <w:rFonts w:cstheme="minorHAnsi"/>
                <w:sz w:val="18"/>
                <w:szCs w:val="18"/>
              </w:rPr>
            </w:pPr>
            <w:r w:rsidRPr="007B40C5">
              <w:rPr>
                <w:rFonts w:cstheme="minorHAnsi"/>
                <w:sz w:val="18"/>
                <w:szCs w:val="18"/>
              </w:rPr>
              <w:t>4</w:t>
            </w:r>
          </w:p>
        </w:tc>
        <w:tc>
          <w:tcPr>
            <w:tcW w:w="585" w:type="pct"/>
            <w:vMerge/>
            <w:shd w:val="clear" w:color="auto" w:fill="D5DBEF" w:themeFill="accent1" w:themeFillTint="33"/>
            <w:vAlign w:val="center"/>
          </w:tcPr>
          <w:p w14:paraId="0FA0A310" w14:textId="77777777" w:rsidR="00034E0F" w:rsidRPr="007B40C5" w:rsidRDefault="00034E0F" w:rsidP="007C27A6">
            <w:pPr>
              <w:contextualSpacing/>
              <w:jc w:val="center"/>
              <w:rPr>
                <w:rFonts w:cstheme="minorHAnsi"/>
                <w:sz w:val="18"/>
                <w:szCs w:val="18"/>
              </w:rPr>
            </w:pPr>
          </w:p>
        </w:tc>
        <w:tc>
          <w:tcPr>
            <w:tcW w:w="608" w:type="pct"/>
            <w:shd w:val="clear" w:color="auto" w:fill="D5DBEF" w:themeFill="accent1" w:themeFillTint="33"/>
            <w:vAlign w:val="center"/>
          </w:tcPr>
          <w:p w14:paraId="209C48DF" w14:textId="77777777" w:rsidR="00034E0F" w:rsidRPr="007B40C5" w:rsidRDefault="00034E0F" w:rsidP="007C27A6">
            <w:pPr>
              <w:contextualSpacing/>
              <w:jc w:val="center"/>
              <w:rPr>
                <w:rFonts w:cstheme="minorHAnsi"/>
                <w:sz w:val="18"/>
                <w:szCs w:val="18"/>
              </w:rPr>
            </w:pPr>
            <w:r w:rsidRPr="007B40C5">
              <w:rPr>
                <w:rFonts w:cstheme="minorHAnsi"/>
                <w:sz w:val="18"/>
                <w:szCs w:val="18"/>
              </w:rPr>
              <w:t>75</w:t>
            </w:r>
          </w:p>
        </w:tc>
      </w:tr>
      <w:tr w:rsidR="00034E0F" w:rsidRPr="007B40C5" w14:paraId="3B79BA17" w14:textId="77777777" w:rsidTr="00034E0F">
        <w:trPr>
          <w:trHeight w:val="185"/>
          <w:jc w:val="center"/>
        </w:trPr>
        <w:tc>
          <w:tcPr>
            <w:tcW w:w="2303" w:type="pct"/>
            <w:tcBorders>
              <w:bottom w:val="single" w:sz="4" w:space="0" w:color="auto"/>
            </w:tcBorders>
            <w:shd w:val="clear" w:color="auto" w:fill="auto"/>
            <w:vAlign w:val="center"/>
          </w:tcPr>
          <w:p w14:paraId="0BD145CE" w14:textId="77777777" w:rsidR="00034E0F" w:rsidRPr="007B40C5" w:rsidRDefault="00034E0F" w:rsidP="007C27A6">
            <w:pPr>
              <w:contextualSpacing/>
              <w:rPr>
                <w:rFonts w:cstheme="minorHAnsi"/>
                <w:sz w:val="18"/>
                <w:szCs w:val="18"/>
              </w:rPr>
            </w:pPr>
            <w:r w:rsidRPr="007B40C5">
              <w:rPr>
                <w:rFonts w:cstheme="minorHAnsi"/>
                <w:sz w:val="18"/>
                <w:szCs w:val="18"/>
              </w:rPr>
              <w:t xml:space="preserve">Australian </w:t>
            </w:r>
            <w:r w:rsidRPr="007B40C5">
              <w:rPr>
                <w:rFonts w:cstheme="minorHAnsi"/>
                <w:sz w:val="18"/>
                <w:szCs w:val="18"/>
              </w:rPr>
              <w:br/>
              <w:t>National University</w:t>
            </w:r>
          </w:p>
        </w:tc>
        <w:tc>
          <w:tcPr>
            <w:tcW w:w="885" w:type="pct"/>
            <w:tcBorders>
              <w:bottom w:val="single" w:sz="4" w:space="0" w:color="auto"/>
            </w:tcBorders>
            <w:shd w:val="clear" w:color="auto" w:fill="auto"/>
            <w:vAlign w:val="center"/>
          </w:tcPr>
          <w:p w14:paraId="766F98F8" w14:textId="77777777" w:rsidR="00034E0F" w:rsidRPr="007B40C5" w:rsidRDefault="00034E0F" w:rsidP="007C27A6">
            <w:pPr>
              <w:contextualSpacing/>
              <w:jc w:val="center"/>
              <w:rPr>
                <w:rFonts w:cstheme="minorHAnsi"/>
                <w:sz w:val="18"/>
                <w:szCs w:val="18"/>
              </w:rPr>
            </w:pPr>
            <w:r w:rsidRPr="007B40C5">
              <w:rPr>
                <w:rFonts w:cstheme="minorHAnsi"/>
                <w:sz w:val="18"/>
                <w:szCs w:val="18"/>
              </w:rPr>
              <w:t>Canberra</w:t>
            </w:r>
          </w:p>
        </w:tc>
        <w:tc>
          <w:tcPr>
            <w:tcW w:w="620" w:type="pct"/>
            <w:tcBorders>
              <w:bottom w:val="single" w:sz="4" w:space="0" w:color="auto"/>
            </w:tcBorders>
            <w:shd w:val="clear" w:color="auto" w:fill="auto"/>
            <w:vAlign w:val="center"/>
          </w:tcPr>
          <w:p w14:paraId="324C5795" w14:textId="77777777" w:rsidR="00034E0F" w:rsidRPr="007B40C5" w:rsidRDefault="00034E0F" w:rsidP="007C27A6">
            <w:pPr>
              <w:contextualSpacing/>
              <w:jc w:val="center"/>
              <w:rPr>
                <w:rFonts w:cstheme="minorHAnsi"/>
                <w:sz w:val="18"/>
                <w:szCs w:val="18"/>
              </w:rPr>
            </w:pPr>
            <w:r w:rsidRPr="007B40C5">
              <w:rPr>
                <w:rFonts w:cstheme="minorHAnsi"/>
                <w:sz w:val="18"/>
                <w:szCs w:val="18"/>
              </w:rPr>
              <w:t>4</w:t>
            </w:r>
          </w:p>
        </w:tc>
        <w:tc>
          <w:tcPr>
            <w:tcW w:w="585" w:type="pct"/>
            <w:tcBorders>
              <w:bottom w:val="single" w:sz="4" w:space="0" w:color="auto"/>
            </w:tcBorders>
            <w:vAlign w:val="center"/>
          </w:tcPr>
          <w:p w14:paraId="35C8C1C7" w14:textId="77777777" w:rsidR="00034E0F" w:rsidRPr="007B40C5" w:rsidRDefault="00034E0F" w:rsidP="007C27A6">
            <w:pPr>
              <w:contextualSpacing/>
              <w:jc w:val="center"/>
              <w:rPr>
                <w:rFonts w:cstheme="minorHAnsi"/>
                <w:sz w:val="18"/>
                <w:szCs w:val="18"/>
              </w:rPr>
            </w:pPr>
            <w:r w:rsidRPr="007B40C5">
              <w:rPr>
                <w:rFonts w:cstheme="minorHAnsi"/>
                <w:sz w:val="18"/>
                <w:szCs w:val="18"/>
              </w:rPr>
              <w:t>360</w:t>
            </w:r>
          </w:p>
        </w:tc>
        <w:tc>
          <w:tcPr>
            <w:tcW w:w="608" w:type="pct"/>
            <w:tcBorders>
              <w:bottom w:val="single" w:sz="4" w:space="0" w:color="auto"/>
            </w:tcBorders>
            <w:vAlign w:val="center"/>
          </w:tcPr>
          <w:p w14:paraId="71BEB02E" w14:textId="77777777" w:rsidR="00034E0F" w:rsidRPr="007B40C5" w:rsidRDefault="00034E0F" w:rsidP="007C27A6">
            <w:pPr>
              <w:contextualSpacing/>
              <w:jc w:val="center"/>
              <w:rPr>
                <w:rFonts w:cstheme="minorHAnsi"/>
                <w:sz w:val="18"/>
                <w:szCs w:val="18"/>
              </w:rPr>
            </w:pPr>
            <w:r w:rsidRPr="007B40C5">
              <w:rPr>
                <w:rFonts w:cstheme="minorHAnsi"/>
                <w:sz w:val="18"/>
                <w:szCs w:val="18"/>
              </w:rPr>
              <w:t>90</w:t>
            </w:r>
          </w:p>
        </w:tc>
      </w:tr>
      <w:tr w:rsidR="00034E0F" w:rsidRPr="007B40C5" w14:paraId="225B7BF0" w14:textId="77777777" w:rsidTr="00034E0F">
        <w:trPr>
          <w:trHeight w:val="755"/>
          <w:jc w:val="center"/>
        </w:trPr>
        <w:tc>
          <w:tcPr>
            <w:tcW w:w="2303" w:type="pct"/>
            <w:shd w:val="clear" w:color="auto" w:fill="D5DBEF" w:themeFill="accent1" w:themeFillTint="33"/>
            <w:vAlign w:val="center"/>
          </w:tcPr>
          <w:p w14:paraId="47E4D50E" w14:textId="77777777" w:rsidR="00034E0F" w:rsidRPr="007B40C5" w:rsidRDefault="00034E0F" w:rsidP="007C27A6">
            <w:pPr>
              <w:contextualSpacing/>
              <w:rPr>
                <w:rFonts w:cstheme="minorHAnsi"/>
                <w:sz w:val="18"/>
                <w:szCs w:val="18"/>
              </w:rPr>
            </w:pPr>
            <w:r w:rsidRPr="007B40C5">
              <w:rPr>
                <w:rFonts w:cstheme="minorHAnsi"/>
                <w:sz w:val="18"/>
                <w:szCs w:val="18"/>
              </w:rPr>
              <w:t>Flinders University</w:t>
            </w:r>
          </w:p>
        </w:tc>
        <w:tc>
          <w:tcPr>
            <w:tcW w:w="885" w:type="pct"/>
            <w:shd w:val="clear" w:color="auto" w:fill="D5DBEF" w:themeFill="accent1" w:themeFillTint="33"/>
            <w:vAlign w:val="center"/>
          </w:tcPr>
          <w:p w14:paraId="30CE459D" w14:textId="77777777" w:rsidR="00034E0F" w:rsidRPr="007B40C5" w:rsidRDefault="00034E0F" w:rsidP="007C27A6">
            <w:pPr>
              <w:contextualSpacing/>
              <w:jc w:val="center"/>
              <w:rPr>
                <w:rFonts w:cstheme="minorHAnsi"/>
                <w:sz w:val="18"/>
                <w:szCs w:val="18"/>
              </w:rPr>
            </w:pPr>
            <w:r w:rsidRPr="007B40C5">
              <w:rPr>
                <w:rFonts w:cstheme="minorHAnsi"/>
                <w:sz w:val="18"/>
                <w:szCs w:val="18"/>
              </w:rPr>
              <w:t>Adelaide and Darwin</w:t>
            </w:r>
          </w:p>
        </w:tc>
        <w:tc>
          <w:tcPr>
            <w:tcW w:w="620" w:type="pct"/>
            <w:shd w:val="clear" w:color="auto" w:fill="D5DBEF" w:themeFill="accent1" w:themeFillTint="33"/>
            <w:vAlign w:val="center"/>
          </w:tcPr>
          <w:p w14:paraId="74517578" w14:textId="77777777" w:rsidR="00034E0F" w:rsidRPr="007B40C5" w:rsidRDefault="00034E0F" w:rsidP="007C27A6">
            <w:pPr>
              <w:contextualSpacing/>
              <w:jc w:val="center"/>
              <w:rPr>
                <w:rFonts w:cstheme="minorHAnsi"/>
                <w:sz w:val="18"/>
                <w:szCs w:val="18"/>
              </w:rPr>
            </w:pPr>
            <w:r w:rsidRPr="007B40C5">
              <w:rPr>
                <w:rFonts w:cstheme="minorHAnsi"/>
                <w:sz w:val="18"/>
                <w:szCs w:val="18"/>
              </w:rPr>
              <w:t>4</w:t>
            </w:r>
          </w:p>
          <w:p w14:paraId="741469D6" w14:textId="77777777" w:rsidR="00034E0F" w:rsidRPr="007B40C5" w:rsidRDefault="00034E0F" w:rsidP="007C27A6">
            <w:pPr>
              <w:contextualSpacing/>
              <w:jc w:val="center"/>
              <w:rPr>
                <w:rFonts w:cstheme="minorHAnsi"/>
                <w:sz w:val="18"/>
                <w:szCs w:val="18"/>
              </w:rPr>
            </w:pPr>
          </w:p>
        </w:tc>
        <w:tc>
          <w:tcPr>
            <w:tcW w:w="585" w:type="pct"/>
            <w:shd w:val="clear" w:color="auto" w:fill="D5DBEF" w:themeFill="accent1" w:themeFillTint="33"/>
            <w:vAlign w:val="center"/>
          </w:tcPr>
          <w:p w14:paraId="4E2D30A6" w14:textId="77777777" w:rsidR="00034E0F" w:rsidRPr="007B40C5" w:rsidRDefault="00034E0F" w:rsidP="007C27A6">
            <w:pPr>
              <w:contextualSpacing/>
              <w:jc w:val="center"/>
              <w:rPr>
                <w:rFonts w:cstheme="minorHAnsi"/>
                <w:sz w:val="18"/>
                <w:szCs w:val="18"/>
              </w:rPr>
            </w:pPr>
            <w:r w:rsidRPr="007B40C5">
              <w:rPr>
                <w:rFonts w:cstheme="minorHAnsi"/>
                <w:sz w:val="18"/>
                <w:szCs w:val="18"/>
              </w:rPr>
              <w:t>444</w:t>
            </w:r>
          </w:p>
        </w:tc>
        <w:tc>
          <w:tcPr>
            <w:tcW w:w="608" w:type="pct"/>
            <w:shd w:val="clear" w:color="auto" w:fill="D5DBEF" w:themeFill="accent1" w:themeFillTint="33"/>
            <w:vAlign w:val="center"/>
          </w:tcPr>
          <w:p w14:paraId="36B03E86" w14:textId="77777777" w:rsidR="00034E0F" w:rsidRPr="007B40C5" w:rsidRDefault="00034E0F" w:rsidP="007C27A6">
            <w:pPr>
              <w:contextualSpacing/>
              <w:jc w:val="center"/>
              <w:rPr>
                <w:rFonts w:cstheme="minorHAnsi"/>
                <w:sz w:val="18"/>
                <w:szCs w:val="18"/>
              </w:rPr>
            </w:pPr>
            <w:r w:rsidRPr="007B40C5">
              <w:rPr>
                <w:rFonts w:cstheme="minorHAnsi"/>
                <w:sz w:val="18"/>
                <w:szCs w:val="18"/>
              </w:rPr>
              <w:t>135</w:t>
            </w:r>
          </w:p>
        </w:tc>
      </w:tr>
      <w:tr w:rsidR="00034E0F" w:rsidRPr="007B40C5" w14:paraId="76FF0759" w14:textId="77777777" w:rsidTr="00034E0F">
        <w:trPr>
          <w:trHeight w:val="185"/>
          <w:jc w:val="center"/>
        </w:trPr>
        <w:tc>
          <w:tcPr>
            <w:tcW w:w="2303" w:type="pct"/>
            <w:tcBorders>
              <w:bottom w:val="single" w:sz="4" w:space="0" w:color="auto"/>
            </w:tcBorders>
            <w:shd w:val="clear" w:color="auto" w:fill="auto"/>
            <w:vAlign w:val="center"/>
          </w:tcPr>
          <w:p w14:paraId="2AAE7730" w14:textId="77777777" w:rsidR="00034E0F" w:rsidRPr="007B40C5" w:rsidRDefault="00034E0F" w:rsidP="007C27A6">
            <w:pPr>
              <w:contextualSpacing/>
              <w:rPr>
                <w:rFonts w:cstheme="minorHAnsi"/>
                <w:sz w:val="18"/>
                <w:szCs w:val="18"/>
              </w:rPr>
            </w:pPr>
            <w:r w:rsidRPr="007B40C5">
              <w:rPr>
                <w:rFonts w:cstheme="minorHAnsi"/>
                <w:sz w:val="18"/>
                <w:szCs w:val="18"/>
              </w:rPr>
              <w:t>University of Adelaide</w:t>
            </w:r>
          </w:p>
        </w:tc>
        <w:tc>
          <w:tcPr>
            <w:tcW w:w="885" w:type="pct"/>
            <w:tcBorders>
              <w:bottom w:val="single" w:sz="4" w:space="0" w:color="auto"/>
            </w:tcBorders>
            <w:shd w:val="clear" w:color="auto" w:fill="auto"/>
            <w:vAlign w:val="center"/>
          </w:tcPr>
          <w:p w14:paraId="021F2D7B" w14:textId="77777777" w:rsidR="00034E0F" w:rsidRPr="007B40C5" w:rsidRDefault="00034E0F" w:rsidP="007C27A6">
            <w:pPr>
              <w:contextualSpacing/>
              <w:jc w:val="center"/>
              <w:rPr>
                <w:rFonts w:cstheme="minorHAnsi"/>
                <w:sz w:val="18"/>
                <w:szCs w:val="18"/>
              </w:rPr>
            </w:pPr>
            <w:r w:rsidRPr="007B40C5">
              <w:rPr>
                <w:rFonts w:cstheme="minorHAnsi"/>
                <w:sz w:val="18"/>
                <w:szCs w:val="18"/>
              </w:rPr>
              <w:t>Adelaide</w:t>
            </w:r>
          </w:p>
        </w:tc>
        <w:tc>
          <w:tcPr>
            <w:tcW w:w="620" w:type="pct"/>
            <w:tcBorders>
              <w:bottom w:val="single" w:sz="4" w:space="0" w:color="auto"/>
            </w:tcBorders>
            <w:shd w:val="clear" w:color="auto" w:fill="auto"/>
            <w:vAlign w:val="center"/>
          </w:tcPr>
          <w:p w14:paraId="01206E47" w14:textId="77777777" w:rsidR="00034E0F" w:rsidRPr="007B40C5" w:rsidRDefault="00034E0F" w:rsidP="007C27A6">
            <w:pPr>
              <w:contextualSpacing/>
              <w:jc w:val="center"/>
              <w:rPr>
                <w:rFonts w:cstheme="minorHAnsi"/>
                <w:sz w:val="18"/>
                <w:szCs w:val="18"/>
              </w:rPr>
            </w:pPr>
            <w:r w:rsidRPr="007B40C5">
              <w:rPr>
                <w:rFonts w:cstheme="minorHAnsi"/>
                <w:sz w:val="18"/>
                <w:szCs w:val="18"/>
              </w:rPr>
              <w:t>6</w:t>
            </w:r>
          </w:p>
        </w:tc>
        <w:tc>
          <w:tcPr>
            <w:tcW w:w="585" w:type="pct"/>
            <w:tcBorders>
              <w:bottom w:val="single" w:sz="4" w:space="0" w:color="auto"/>
            </w:tcBorders>
            <w:vAlign w:val="center"/>
          </w:tcPr>
          <w:p w14:paraId="54333BD0" w14:textId="77777777" w:rsidR="00034E0F" w:rsidRPr="007B40C5" w:rsidRDefault="00034E0F" w:rsidP="007C27A6">
            <w:pPr>
              <w:contextualSpacing/>
              <w:jc w:val="center"/>
              <w:rPr>
                <w:rFonts w:cstheme="minorHAnsi"/>
                <w:sz w:val="18"/>
                <w:szCs w:val="18"/>
              </w:rPr>
            </w:pPr>
            <w:r w:rsidRPr="007B40C5">
              <w:rPr>
                <w:rFonts w:cstheme="minorHAnsi"/>
                <w:sz w:val="18"/>
                <w:szCs w:val="18"/>
              </w:rPr>
              <w:t>804</w:t>
            </w:r>
          </w:p>
        </w:tc>
        <w:tc>
          <w:tcPr>
            <w:tcW w:w="608" w:type="pct"/>
            <w:tcBorders>
              <w:bottom w:val="single" w:sz="4" w:space="0" w:color="auto"/>
            </w:tcBorders>
            <w:vAlign w:val="center"/>
          </w:tcPr>
          <w:p w14:paraId="4C8A76DE" w14:textId="77777777" w:rsidR="00034E0F" w:rsidRPr="007B40C5" w:rsidRDefault="00034E0F" w:rsidP="007C27A6">
            <w:pPr>
              <w:contextualSpacing/>
              <w:jc w:val="center"/>
              <w:rPr>
                <w:rFonts w:cstheme="minorHAnsi"/>
                <w:sz w:val="18"/>
                <w:szCs w:val="18"/>
              </w:rPr>
            </w:pPr>
            <w:r w:rsidRPr="007B40C5">
              <w:rPr>
                <w:rFonts w:cstheme="minorHAnsi"/>
                <w:sz w:val="18"/>
                <w:szCs w:val="18"/>
              </w:rPr>
              <w:t>134</w:t>
            </w:r>
          </w:p>
        </w:tc>
      </w:tr>
      <w:tr w:rsidR="00034E0F" w:rsidRPr="007B40C5" w14:paraId="1B98F008" w14:textId="77777777" w:rsidTr="00034E0F">
        <w:trPr>
          <w:trHeight w:val="330"/>
          <w:jc w:val="center"/>
        </w:trPr>
        <w:tc>
          <w:tcPr>
            <w:tcW w:w="2303" w:type="pct"/>
            <w:vMerge w:val="restart"/>
            <w:shd w:val="clear" w:color="auto" w:fill="D5DBEF" w:themeFill="accent1" w:themeFillTint="33"/>
            <w:vAlign w:val="center"/>
          </w:tcPr>
          <w:p w14:paraId="30C9E655" w14:textId="77777777" w:rsidR="00034E0F" w:rsidRPr="007B40C5" w:rsidRDefault="00034E0F" w:rsidP="007C27A6">
            <w:pPr>
              <w:contextualSpacing/>
              <w:rPr>
                <w:rFonts w:cstheme="minorHAnsi"/>
                <w:sz w:val="18"/>
                <w:szCs w:val="18"/>
              </w:rPr>
            </w:pPr>
            <w:r w:rsidRPr="007B40C5">
              <w:rPr>
                <w:rFonts w:cstheme="minorHAnsi"/>
                <w:sz w:val="18"/>
                <w:szCs w:val="18"/>
              </w:rPr>
              <w:t>University of</w:t>
            </w:r>
          </w:p>
          <w:p w14:paraId="4C960E3D" w14:textId="77777777" w:rsidR="00034E0F" w:rsidRPr="007B40C5" w:rsidRDefault="00034E0F" w:rsidP="007C27A6">
            <w:pPr>
              <w:contextualSpacing/>
              <w:rPr>
                <w:rFonts w:cstheme="minorHAnsi"/>
                <w:sz w:val="18"/>
                <w:szCs w:val="18"/>
              </w:rPr>
            </w:pPr>
            <w:r w:rsidRPr="007B40C5">
              <w:rPr>
                <w:rFonts w:cstheme="minorHAnsi"/>
                <w:sz w:val="18"/>
                <w:szCs w:val="18"/>
              </w:rPr>
              <w:t>New South Wales</w:t>
            </w:r>
          </w:p>
        </w:tc>
        <w:tc>
          <w:tcPr>
            <w:tcW w:w="885" w:type="pct"/>
            <w:vMerge w:val="restart"/>
            <w:shd w:val="clear" w:color="auto" w:fill="D5DBEF" w:themeFill="accent1" w:themeFillTint="33"/>
            <w:vAlign w:val="center"/>
          </w:tcPr>
          <w:p w14:paraId="33AD1F50" w14:textId="77777777" w:rsidR="00034E0F" w:rsidRPr="007B40C5" w:rsidRDefault="00034E0F" w:rsidP="007C27A6">
            <w:pPr>
              <w:contextualSpacing/>
              <w:jc w:val="center"/>
              <w:rPr>
                <w:rFonts w:cstheme="minorHAnsi"/>
                <w:sz w:val="18"/>
                <w:szCs w:val="18"/>
              </w:rPr>
            </w:pPr>
            <w:r w:rsidRPr="007B40C5">
              <w:rPr>
                <w:rFonts w:cstheme="minorHAnsi"/>
                <w:sz w:val="18"/>
                <w:szCs w:val="18"/>
              </w:rPr>
              <w:t>Sydney and Port Macquarie</w:t>
            </w:r>
          </w:p>
        </w:tc>
        <w:tc>
          <w:tcPr>
            <w:tcW w:w="620" w:type="pct"/>
            <w:shd w:val="clear" w:color="auto" w:fill="D5DBEF" w:themeFill="accent1" w:themeFillTint="33"/>
            <w:vAlign w:val="center"/>
          </w:tcPr>
          <w:p w14:paraId="13972226" w14:textId="77777777" w:rsidR="00034E0F" w:rsidRPr="007B40C5" w:rsidRDefault="00034E0F" w:rsidP="007C27A6">
            <w:pPr>
              <w:contextualSpacing/>
              <w:jc w:val="center"/>
              <w:rPr>
                <w:rFonts w:cstheme="minorHAnsi"/>
                <w:sz w:val="18"/>
                <w:szCs w:val="18"/>
              </w:rPr>
            </w:pPr>
            <w:r w:rsidRPr="007B40C5">
              <w:rPr>
                <w:rFonts w:cstheme="minorHAnsi"/>
                <w:sz w:val="18"/>
                <w:szCs w:val="18"/>
              </w:rPr>
              <w:t>6</w:t>
            </w:r>
          </w:p>
          <w:p w14:paraId="2805B65E" w14:textId="77777777" w:rsidR="00034E0F" w:rsidRPr="007B40C5" w:rsidRDefault="00034E0F" w:rsidP="007C27A6">
            <w:pPr>
              <w:contextualSpacing/>
              <w:rPr>
                <w:rFonts w:cstheme="minorHAnsi"/>
                <w:sz w:val="18"/>
                <w:szCs w:val="18"/>
              </w:rPr>
            </w:pPr>
          </w:p>
        </w:tc>
        <w:tc>
          <w:tcPr>
            <w:tcW w:w="585" w:type="pct"/>
            <w:vMerge w:val="restart"/>
            <w:shd w:val="clear" w:color="auto" w:fill="D5DBEF" w:themeFill="accent1" w:themeFillTint="33"/>
            <w:vAlign w:val="center"/>
          </w:tcPr>
          <w:p w14:paraId="7E31EE37" w14:textId="77777777" w:rsidR="00034E0F" w:rsidRPr="007B40C5" w:rsidRDefault="00034E0F" w:rsidP="007C27A6">
            <w:pPr>
              <w:contextualSpacing/>
              <w:jc w:val="center"/>
              <w:rPr>
                <w:rFonts w:cstheme="minorHAnsi"/>
                <w:sz w:val="18"/>
                <w:szCs w:val="18"/>
              </w:rPr>
            </w:pPr>
            <w:r w:rsidRPr="007B40C5">
              <w:rPr>
                <w:rFonts w:cstheme="minorHAnsi"/>
                <w:sz w:val="18"/>
                <w:szCs w:val="18"/>
              </w:rPr>
              <w:t>1191</w:t>
            </w:r>
          </w:p>
        </w:tc>
        <w:tc>
          <w:tcPr>
            <w:tcW w:w="608" w:type="pct"/>
            <w:vMerge w:val="restart"/>
            <w:shd w:val="clear" w:color="auto" w:fill="D5DBEF" w:themeFill="accent1" w:themeFillTint="33"/>
            <w:vAlign w:val="center"/>
          </w:tcPr>
          <w:p w14:paraId="5C8CAB6A" w14:textId="77777777" w:rsidR="00034E0F" w:rsidRPr="007B40C5" w:rsidRDefault="00034E0F" w:rsidP="007C27A6">
            <w:pPr>
              <w:contextualSpacing/>
              <w:jc w:val="center"/>
              <w:rPr>
                <w:rFonts w:cstheme="minorHAnsi"/>
                <w:sz w:val="18"/>
                <w:szCs w:val="18"/>
              </w:rPr>
            </w:pPr>
            <w:r w:rsidRPr="007B40C5">
              <w:rPr>
                <w:rFonts w:cstheme="minorHAnsi"/>
                <w:sz w:val="18"/>
                <w:szCs w:val="18"/>
              </w:rPr>
              <w:t>199</w:t>
            </w:r>
          </w:p>
        </w:tc>
      </w:tr>
      <w:tr w:rsidR="00034E0F" w:rsidRPr="007B40C5" w14:paraId="2394EE92" w14:textId="77777777" w:rsidTr="00034E0F">
        <w:trPr>
          <w:trHeight w:val="330"/>
          <w:jc w:val="center"/>
        </w:trPr>
        <w:tc>
          <w:tcPr>
            <w:tcW w:w="2303" w:type="pct"/>
            <w:vMerge/>
            <w:shd w:val="clear" w:color="auto" w:fill="D5DBEF" w:themeFill="accent1" w:themeFillTint="33"/>
            <w:vAlign w:val="center"/>
          </w:tcPr>
          <w:p w14:paraId="553D134F" w14:textId="77777777" w:rsidR="00034E0F" w:rsidRPr="007B40C5" w:rsidRDefault="00034E0F" w:rsidP="007C27A6">
            <w:pPr>
              <w:contextualSpacing/>
              <w:rPr>
                <w:rFonts w:cstheme="minorHAnsi"/>
                <w:sz w:val="18"/>
                <w:szCs w:val="18"/>
              </w:rPr>
            </w:pPr>
          </w:p>
        </w:tc>
        <w:tc>
          <w:tcPr>
            <w:tcW w:w="885" w:type="pct"/>
            <w:vMerge/>
            <w:shd w:val="clear" w:color="auto" w:fill="D5DBEF" w:themeFill="accent1" w:themeFillTint="33"/>
            <w:vAlign w:val="center"/>
          </w:tcPr>
          <w:p w14:paraId="231AA494" w14:textId="77777777" w:rsidR="00034E0F" w:rsidRPr="007B40C5" w:rsidRDefault="00034E0F" w:rsidP="007C27A6">
            <w:pPr>
              <w:contextualSpacing/>
              <w:jc w:val="center"/>
              <w:rPr>
                <w:rFonts w:cstheme="minorHAnsi"/>
                <w:sz w:val="18"/>
                <w:szCs w:val="18"/>
              </w:rPr>
            </w:pPr>
          </w:p>
        </w:tc>
        <w:tc>
          <w:tcPr>
            <w:tcW w:w="620" w:type="pct"/>
            <w:shd w:val="clear" w:color="auto" w:fill="D5DBEF" w:themeFill="accent1" w:themeFillTint="33"/>
            <w:vAlign w:val="center"/>
          </w:tcPr>
          <w:p w14:paraId="5028844D" w14:textId="77777777" w:rsidR="00034E0F" w:rsidRPr="007B40C5" w:rsidRDefault="00034E0F" w:rsidP="007C27A6">
            <w:pPr>
              <w:contextualSpacing/>
              <w:jc w:val="center"/>
              <w:rPr>
                <w:rFonts w:cstheme="minorHAnsi"/>
                <w:sz w:val="18"/>
                <w:szCs w:val="18"/>
              </w:rPr>
            </w:pPr>
            <w:r w:rsidRPr="007B40C5">
              <w:rPr>
                <w:rFonts w:cstheme="minorHAnsi"/>
                <w:sz w:val="18"/>
                <w:szCs w:val="18"/>
              </w:rPr>
              <w:t>3</w:t>
            </w:r>
          </w:p>
        </w:tc>
        <w:tc>
          <w:tcPr>
            <w:tcW w:w="585" w:type="pct"/>
            <w:vMerge/>
            <w:shd w:val="clear" w:color="auto" w:fill="D5DBEF" w:themeFill="accent1" w:themeFillTint="33"/>
            <w:vAlign w:val="center"/>
          </w:tcPr>
          <w:p w14:paraId="3D686334" w14:textId="77777777" w:rsidR="00034E0F" w:rsidRPr="007B40C5" w:rsidRDefault="00034E0F" w:rsidP="007C27A6">
            <w:pPr>
              <w:contextualSpacing/>
              <w:jc w:val="center"/>
              <w:rPr>
                <w:rFonts w:cstheme="minorHAnsi"/>
                <w:sz w:val="18"/>
                <w:szCs w:val="18"/>
              </w:rPr>
            </w:pPr>
          </w:p>
        </w:tc>
        <w:tc>
          <w:tcPr>
            <w:tcW w:w="608" w:type="pct"/>
            <w:vMerge/>
            <w:shd w:val="clear" w:color="auto" w:fill="D5DBEF" w:themeFill="accent1" w:themeFillTint="33"/>
            <w:vAlign w:val="center"/>
          </w:tcPr>
          <w:p w14:paraId="68B28493" w14:textId="77777777" w:rsidR="00034E0F" w:rsidRPr="007B40C5" w:rsidRDefault="00034E0F" w:rsidP="007C27A6">
            <w:pPr>
              <w:contextualSpacing/>
              <w:jc w:val="center"/>
              <w:rPr>
                <w:rFonts w:cstheme="minorHAnsi"/>
                <w:sz w:val="18"/>
                <w:szCs w:val="18"/>
              </w:rPr>
            </w:pPr>
          </w:p>
        </w:tc>
      </w:tr>
      <w:tr w:rsidR="00034E0F" w:rsidRPr="007B40C5" w14:paraId="4539EF82" w14:textId="77777777" w:rsidTr="00034E0F">
        <w:trPr>
          <w:trHeight w:val="347"/>
          <w:jc w:val="center"/>
        </w:trPr>
        <w:tc>
          <w:tcPr>
            <w:tcW w:w="2303" w:type="pct"/>
            <w:tcBorders>
              <w:bottom w:val="single" w:sz="4" w:space="0" w:color="auto"/>
            </w:tcBorders>
            <w:shd w:val="clear" w:color="auto" w:fill="auto"/>
            <w:vAlign w:val="center"/>
          </w:tcPr>
          <w:p w14:paraId="2391117C" w14:textId="77777777" w:rsidR="00034E0F" w:rsidRPr="007B40C5" w:rsidRDefault="00034E0F" w:rsidP="007C27A6">
            <w:pPr>
              <w:contextualSpacing/>
              <w:rPr>
                <w:rFonts w:cstheme="minorHAnsi"/>
                <w:sz w:val="18"/>
                <w:szCs w:val="18"/>
              </w:rPr>
            </w:pPr>
            <w:r w:rsidRPr="007B40C5">
              <w:rPr>
                <w:rFonts w:cstheme="minorHAnsi"/>
                <w:sz w:val="18"/>
                <w:szCs w:val="18"/>
              </w:rPr>
              <w:t>University of Sydney</w:t>
            </w:r>
          </w:p>
        </w:tc>
        <w:tc>
          <w:tcPr>
            <w:tcW w:w="885" w:type="pct"/>
            <w:tcBorders>
              <w:bottom w:val="single" w:sz="4" w:space="0" w:color="auto"/>
            </w:tcBorders>
            <w:shd w:val="clear" w:color="auto" w:fill="auto"/>
            <w:vAlign w:val="center"/>
          </w:tcPr>
          <w:p w14:paraId="0F588F9A" w14:textId="77777777" w:rsidR="00034E0F" w:rsidRPr="007B40C5" w:rsidRDefault="00034E0F" w:rsidP="007C27A6">
            <w:pPr>
              <w:contextualSpacing/>
              <w:jc w:val="center"/>
              <w:rPr>
                <w:rFonts w:cstheme="minorHAnsi"/>
                <w:sz w:val="18"/>
                <w:szCs w:val="18"/>
              </w:rPr>
            </w:pPr>
            <w:r w:rsidRPr="007B40C5">
              <w:rPr>
                <w:rFonts w:cstheme="minorHAnsi"/>
                <w:sz w:val="18"/>
                <w:szCs w:val="18"/>
              </w:rPr>
              <w:t>Sydney</w:t>
            </w:r>
          </w:p>
        </w:tc>
        <w:tc>
          <w:tcPr>
            <w:tcW w:w="620" w:type="pct"/>
            <w:tcBorders>
              <w:bottom w:val="single" w:sz="4" w:space="0" w:color="auto"/>
            </w:tcBorders>
            <w:shd w:val="clear" w:color="auto" w:fill="auto"/>
            <w:vAlign w:val="center"/>
          </w:tcPr>
          <w:p w14:paraId="5389BA58" w14:textId="77777777" w:rsidR="00034E0F" w:rsidRPr="007B40C5" w:rsidRDefault="00034E0F" w:rsidP="007C27A6">
            <w:pPr>
              <w:contextualSpacing/>
              <w:jc w:val="center"/>
              <w:rPr>
                <w:rFonts w:cstheme="minorHAnsi"/>
                <w:sz w:val="18"/>
                <w:szCs w:val="18"/>
              </w:rPr>
            </w:pPr>
            <w:r w:rsidRPr="007B40C5">
              <w:rPr>
                <w:rFonts w:cstheme="minorHAnsi"/>
                <w:sz w:val="18"/>
                <w:szCs w:val="18"/>
              </w:rPr>
              <w:t>4</w:t>
            </w:r>
          </w:p>
        </w:tc>
        <w:tc>
          <w:tcPr>
            <w:tcW w:w="585" w:type="pct"/>
            <w:tcBorders>
              <w:bottom w:val="single" w:sz="4" w:space="0" w:color="auto"/>
            </w:tcBorders>
            <w:vAlign w:val="center"/>
          </w:tcPr>
          <w:p w14:paraId="65BEB309" w14:textId="77777777" w:rsidR="00034E0F" w:rsidRPr="007B40C5" w:rsidRDefault="00034E0F" w:rsidP="007C27A6">
            <w:pPr>
              <w:contextualSpacing/>
              <w:jc w:val="center"/>
              <w:rPr>
                <w:rFonts w:cstheme="minorHAnsi"/>
                <w:sz w:val="18"/>
                <w:szCs w:val="18"/>
              </w:rPr>
            </w:pPr>
            <w:r w:rsidRPr="007B40C5">
              <w:rPr>
                <w:rFonts w:cstheme="minorHAnsi"/>
                <w:sz w:val="18"/>
                <w:szCs w:val="18"/>
              </w:rPr>
              <w:t>907</w:t>
            </w:r>
          </w:p>
        </w:tc>
        <w:tc>
          <w:tcPr>
            <w:tcW w:w="608" w:type="pct"/>
            <w:tcBorders>
              <w:bottom w:val="single" w:sz="4" w:space="0" w:color="auto"/>
            </w:tcBorders>
            <w:vAlign w:val="center"/>
          </w:tcPr>
          <w:p w14:paraId="5FE73DC7" w14:textId="77777777" w:rsidR="00034E0F" w:rsidRPr="007B40C5" w:rsidRDefault="00034E0F" w:rsidP="007C27A6">
            <w:pPr>
              <w:contextualSpacing/>
              <w:jc w:val="center"/>
              <w:rPr>
                <w:rFonts w:cstheme="minorHAnsi"/>
                <w:sz w:val="18"/>
                <w:szCs w:val="18"/>
              </w:rPr>
            </w:pPr>
            <w:r w:rsidRPr="007B40C5">
              <w:rPr>
                <w:rFonts w:cstheme="minorHAnsi"/>
                <w:sz w:val="18"/>
                <w:szCs w:val="18"/>
              </w:rPr>
              <w:t>227</w:t>
            </w:r>
          </w:p>
        </w:tc>
      </w:tr>
      <w:tr w:rsidR="00034E0F" w:rsidRPr="007B40C5" w14:paraId="7AD6AF15" w14:textId="77777777" w:rsidTr="00034E0F">
        <w:trPr>
          <w:trHeight w:val="367"/>
          <w:jc w:val="center"/>
        </w:trPr>
        <w:tc>
          <w:tcPr>
            <w:tcW w:w="2303" w:type="pct"/>
            <w:shd w:val="clear" w:color="auto" w:fill="D5DBEF" w:themeFill="accent1" w:themeFillTint="33"/>
            <w:vAlign w:val="center"/>
          </w:tcPr>
          <w:p w14:paraId="5AA61D80" w14:textId="77777777" w:rsidR="00034E0F" w:rsidRPr="007B40C5" w:rsidRDefault="00034E0F" w:rsidP="007C27A6">
            <w:pPr>
              <w:contextualSpacing/>
              <w:rPr>
                <w:rFonts w:cstheme="minorHAnsi"/>
                <w:sz w:val="18"/>
                <w:szCs w:val="18"/>
              </w:rPr>
            </w:pPr>
            <w:r w:rsidRPr="007B40C5">
              <w:rPr>
                <w:rFonts w:cstheme="minorHAnsi"/>
                <w:sz w:val="18"/>
                <w:szCs w:val="18"/>
              </w:rPr>
              <w:t>University of Western Australia</w:t>
            </w:r>
          </w:p>
        </w:tc>
        <w:tc>
          <w:tcPr>
            <w:tcW w:w="885" w:type="pct"/>
            <w:shd w:val="clear" w:color="auto" w:fill="D5DBEF" w:themeFill="accent1" w:themeFillTint="33"/>
            <w:vAlign w:val="center"/>
          </w:tcPr>
          <w:p w14:paraId="31C69815" w14:textId="77777777" w:rsidR="00034E0F" w:rsidRPr="007B40C5" w:rsidRDefault="00034E0F" w:rsidP="007C27A6">
            <w:pPr>
              <w:contextualSpacing/>
              <w:jc w:val="center"/>
              <w:rPr>
                <w:rFonts w:cstheme="minorHAnsi"/>
                <w:sz w:val="18"/>
                <w:szCs w:val="18"/>
              </w:rPr>
            </w:pPr>
            <w:r w:rsidRPr="007B40C5">
              <w:rPr>
                <w:rFonts w:cstheme="minorHAnsi"/>
                <w:sz w:val="18"/>
                <w:szCs w:val="18"/>
              </w:rPr>
              <w:t>Perth</w:t>
            </w:r>
          </w:p>
        </w:tc>
        <w:tc>
          <w:tcPr>
            <w:tcW w:w="620" w:type="pct"/>
            <w:shd w:val="clear" w:color="auto" w:fill="D5DBEF" w:themeFill="accent1" w:themeFillTint="33"/>
            <w:vAlign w:val="center"/>
          </w:tcPr>
          <w:p w14:paraId="2AC53CA4" w14:textId="77777777" w:rsidR="00034E0F" w:rsidRPr="007B40C5" w:rsidRDefault="00034E0F" w:rsidP="007C27A6">
            <w:pPr>
              <w:contextualSpacing/>
              <w:jc w:val="center"/>
              <w:rPr>
                <w:rFonts w:cstheme="minorHAnsi"/>
                <w:sz w:val="18"/>
                <w:szCs w:val="18"/>
              </w:rPr>
            </w:pPr>
            <w:r w:rsidRPr="007B40C5">
              <w:rPr>
                <w:rFonts w:cstheme="minorHAnsi"/>
                <w:sz w:val="18"/>
                <w:szCs w:val="18"/>
              </w:rPr>
              <w:t>4</w:t>
            </w:r>
          </w:p>
        </w:tc>
        <w:tc>
          <w:tcPr>
            <w:tcW w:w="585" w:type="pct"/>
            <w:shd w:val="clear" w:color="auto" w:fill="D5DBEF" w:themeFill="accent1" w:themeFillTint="33"/>
            <w:vAlign w:val="center"/>
          </w:tcPr>
          <w:p w14:paraId="6BB41F57" w14:textId="77777777" w:rsidR="00034E0F" w:rsidRPr="007B40C5" w:rsidRDefault="00034E0F" w:rsidP="007C27A6">
            <w:pPr>
              <w:contextualSpacing/>
              <w:jc w:val="center"/>
              <w:rPr>
                <w:rFonts w:cstheme="minorHAnsi"/>
                <w:sz w:val="18"/>
                <w:szCs w:val="18"/>
              </w:rPr>
            </w:pPr>
            <w:r w:rsidRPr="007B40C5">
              <w:rPr>
                <w:rFonts w:cstheme="minorHAnsi"/>
                <w:sz w:val="18"/>
                <w:szCs w:val="18"/>
              </w:rPr>
              <w:t>820</w:t>
            </w:r>
          </w:p>
        </w:tc>
        <w:tc>
          <w:tcPr>
            <w:tcW w:w="608" w:type="pct"/>
            <w:shd w:val="clear" w:color="auto" w:fill="D5DBEF" w:themeFill="accent1" w:themeFillTint="33"/>
            <w:vAlign w:val="center"/>
          </w:tcPr>
          <w:p w14:paraId="78233C8C" w14:textId="77777777" w:rsidR="00034E0F" w:rsidRPr="007B40C5" w:rsidRDefault="00034E0F" w:rsidP="007C27A6">
            <w:pPr>
              <w:contextualSpacing/>
              <w:jc w:val="center"/>
              <w:rPr>
                <w:rFonts w:cstheme="minorHAnsi"/>
                <w:sz w:val="18"/>
                <w:szCs w:val="18"/>
              </w:rPr>
            </w:pPr>
            <w:r w:rsidRPr="007B40C5">
              <w:rPr>
                <w:rFonts w:cstheme="minorHAnsi"/>
                <w:sz w:val="18"/>
                <w:szCs w:val="18"/>
              </w:rPr>
              <w:t>205</w:t>
            </w:r>
          </w:p>
        </w:tc>
      </w:tr>
      <w:tr w:rsidR="00034E0F" w:rsidRPr="007B40C5" w14:paraId="4CF061A8" w14:textId="77777777" w:rsidTr="00034E0F">
        <w:trPr>
          <w:trHeight w:val="474"/>
          <w:jc w:val="center"/>
        </w:trPr>
        <w:tc>
          <w:tcPr>
            <w:tcW w:w="2303" w:type="pct"/>
            <w:tcBorders>
              <w:bottom w:val="single" w:sz="4" w:space="0" w:color="auto"/>
            </w:tcBorders>
            <w:shd w:val="clear" w:color="auto" w:fill="auto"/>
            <w:vAlign w:val="center"/>
          </w:tcPr>
          <w:p w14:paraId="1907ABF2" w14:textId="77777777" w:rsidR="00034E0F" w:rsidRPr="007B40C5" w:rsidRDefault="00034E0F" w:rsidP="007C27A6">
            <w:pPr>
              <w:contextualSpacing/>
              <w:rPr>
                <w:rFonts w:cstheme="minorHAnsi"/>
                <w:sz w:val="18"/>
                <w:szCs w:val="18"/>
              </w:rPr>
            </w:pPr>
            <w:r w:rsidRPr="007B40C5">
              <w:rPr>
                <w:rFonts w:cstheme="minorHAnsi"/>
                <w:sz w:val="18"/>
                <w:szCs w:val="18"/>
              </w:rPr>
              <w:t>University of Melbourne</w:t>
            </w:r>
          </w:p>
        </w:tc>
        <w:tc>
          <w:tcPr>
            <w:tcW w:w="885" w:type="pct"/>
            <w:tcBorders>
              <w:bottom w:val="single" w:sz="4" w:space="0" w:color="auto"/>
            </w:tcBorders>
            <w:shd w:val="clear" w:color="auto" w:fill="auto"/>
            <w:vAlign w:val="center"/>
          </w:tcPr>
          <w:p w14:paraId="565C2B5E" w14:textId="77777777" w:rsidR="00034E0F" w:rsidRPr="007B40C5" w:rsidRDefault="00034E0F" w:rsidP="007C27A6">
            <w:pPr>
              <w:contextualSpacing/>
              <w:jc w:val="center"/>
              <w:rPr>
                <w:rFonts w:cstheme="minorHAnsi"/>
                <w:sz w:val="18"/>
                <w:szCs w:val="18"/>
              </w:rPr>
            </w:pPr>
            <w:r w:rsidRPr="007B40C5">
              <w:rPr>
                <w:rFonts w:cstheme="minorHAnsi"/>
                <w:sz w:val="18"/>
                <w:szCs w:val="18"/>
              </w:rPr>
              <w:t>Melbourne</w:t>
            </w:r>
          </w:p>
        </w:tc>
        <w:tc>
          <w:tcPr>
            <w:tcW w:w="620" w:type="pct"/>
            <w:tcBorders>
              <w:bottom w:val="single" w:sz="4" w:space="0" w:color="auto"/>
            </w:tcBorders>
            <w:shd w:val="clear" w:color="auto" w:fill="auto"/>
            <w:vAlign w:val="center"/>
          </w:tcPr>
          <w:p w14:paraId="28F8A7CA" w14:textId="77777777" w:rsidR="00034E0F" w:rsidRPr="007B40C5" w:rsidRDefault="00034E0F" w:rsidP="007C27A6">
            <w:pPr>
              <w:contextualSpacing/>
              <w:jc w:val="center"/>
              <w:rPr>
                <w:rFonts w:cstheme="minorHAnsi"/>
                <w:sz w:val="18"/>
                <w:szCs w:val="18"/>
              </w:rPr>
            </w:pPr>
            <w:r w:rsidRPr="007B40C5">
              <w:rPr>
                <w:rFonts w:cstheme="minorHAnsi"/>
                <w:sz w:val="18"/>
                <w:szCs w:val="18"/>
              </w:rPr>
              <w:t>4</w:t>
            </w:r>
          </w:p>
        </w:tc>
        <w:tc>
          <w:tcPr>
            <w:tcW w:w="585" w:type="pct"/>
            <w:tcBorders>
              <w:bottom w:val="single" w:sz="4" w:space="0" w:color="auto"/>
            </w:tcBorders>
            <w:vAlign w:val="center"/>
          </w:tcPr>
          <w:p w14:paraId="6649C6C6" w14:textId="77777777" w:rsidR="00034E0F" w:rsidRPr="007B40C5" w:rsidRDefault="00034E0F" w:rsidP="007C27A6">
            <w:pPr>
              <w:contextualSpacing/>
              <w:jc w:val="center"/>
              <w:rPr>
                <w:rFonts w:cstheme="minorHAnsi"/>
                <w:sz w:val="18"/>
                <w:szCs w:val="18"/>
              </w:rPr>
            </w:pPr>
            <w:r w:rsidRPr="007B40C5">
              <w:rPr>
                <w:rFonts w:cstheme="minorHAnsi"/>
                <w:sz w:val="18"/>
                <w:szCs w:val="18"/>
              </w:rPr>
              <w:t>1005</w:t>
            </w:r>
          </w:p>
        </w:tc>
        <w:tc>
          <w:tcPr>
            <w:tcW w:w="608" w:type="pct"/>
            <w:tcBorders>
              <w:bottom w:val="single" w:sz="4" w:space="0" w:color="auto"/>
            </w:tcBorders>
            <w:vAlign w:val="center"/>
          </w:tcPr>
          <w:p w14:paraId="375B8454" w14:textId="77777777" w:rsidR="00034E0F" w:rsidRPr="007B40C5" w:rsidRDefault="00034E0F" w:rsidP="007C27A6">
            <w:pPr>
              <w:contextualSpacing/>
              <w:jc w:val="center"/>
              <w:rPr>
                <w:rFonts w:cstheme="minorHAnsi"/>
                <w:sz w:val="18"/>
                <w:szCs w:val="18"/>
              </w:rPr>
            </w:pPr>
            <w:r w:rsidRPr="007B40C5">
              <w:rPr>
                <w:rFonts w:cstheme="minorHAnsi"/>
                <w:sz w:val="18"/>
                <w:szCs w:val="18"/>
              </w:rPr>
              <w:t>300</w:t>
            </w:r>
          </w:p>
        </w:tc>
      </w:tr>
      <w:tr w:rsidR="00034E0F" w:rsidRPr="007B40C5" w14:paraId="0AF1EC62" w14:textId="77777777" w:rsidTr="00461AB2">
        <w:trPr>
          <w:trHeight w:val="451"/>
          <w:jc w:val="center"/>
        </w:trPr>
        <w:tc>
          <w:tcPr>
            <w:tcW w:w="2303" w:type="pct"/>
            <w:shd w:val="clear" w:color="auto" w:fill="D5DBEF" w:themeFill="accent1" w:themeFillTint="33"/>
            <w:vAlign w:val="center"/>
          </w:tcPr>
          <w:p w14:paraId="3CDF4D63" w14:textId="77777777" w:rsidR="00034E0F" w:rsidRPr="007B40C5" w:rsidRDefault="00034E0F" w:rsidP="007C27A6">
            <w:pPr>
              <w:contextualSpacing/>
              <w:rPr>
                <w:rFonts w:cstheme="minorHAnsi"/>
                <w:sz w:val="18"/>
                <w:szCs w:val="18"/>
              </w:rPr>
            </w:pPr>
            <w:r w:rsidRPr="007B40C5">
              <w:rPr>
                <w:rFonts w:cstheme="minorHAnsi"/>
                <w:sz w:val="18"/>
                <w:szCs w:val="18"/>
              </w:rPr>
              <w:t>University of New England</w:t>
            </w:r>
            <w:r w:rsidRPr="007B40C5">
              <w:rPr>
                <w:rFonts w:ascii="Arial" w:hAnsi="Arial" w:cs="Arial"/>
                <w:sz w:val="20"/>
                <w:szCs w:val="20"/>
                <w:vertAlign w:val="superscript"/>
              </w:rPr>
              <w:t>3</w:t>
            </w:r>
          </w:p>
        </w:tc>
        <w:tc>
          <w:tcPr>
            <w:tcW w:w="885" w:type="pct"/>
            <w:shd w:val="clear" w:color="auto" w:fill="D5DBEF" w:themeFill="accent1" w:themeFillTint="33"/>
            <w:vAlign w:val="center"/>
          </w:tcPr>
          <w:p w14:paraId="5DA8A342" w14:textId="77777777" w:rsidR="00034E0F" w:rsidRPr="007B40C5" w:rsidRDefault="00034E0F" w:rsidP="007C27A6">
            <w:pPr>
              <w:contextualSpacing/>
              <w:jc w:val="center"/>
              <w:rPr>
                <w:rFonts w:cstheme="minorHAnsi"/>
                <w:sz w:val="18"/>
                <w:szCs w:val="18"/>
              </w:rPr>
            </w:pPr>
            <w:r w:rsidRPr="007B40C5">
              <w:rPr>
                <w:rFonts w:cstheme="minorHAnsi"/>
                <w:sz w:val="18"/>
                <w:szCs w:val="18"/>
              </w:rPr>
              <w:t>Armidale</w:t>
            </w:r>
          </w:p>
        </w:tc>
        <w:tc>
          <w:tcPr>
            <w:tcW w:w="620" w:type="pct"/>
            <w:vMerge w:val="restart"/>
            <w:shd w:val="clear" w:color="auto" w:fill="D5DBEF" w:themeFill="accent1" w:themeFillTint="33"/>
            <w:vAlign w:val="center"/>
          </w:tcPr>
          <w:p w14:paraId="298C0214" w14:textId="77777777" w:rsidR="00034E0F" w:rsidRPr="007B40C5" w:rsidRDefault="00034E0F" w:rsidP="007C27A6">
            <w:pPr>
              <w:contextualSpacing/>
              <w:jc w:val="center"/>
              <w:rPr>
                <w:rFonts w:cstheme="minorHAnsi"/>
                <w:sz w:val="18"/>
                <w:szCs w:val="18"/>
              </w:rPr>
            </w:pPr>
            <w:r w:rsidRPr="007B40C5">
              <w:rPr>
                <w:rFonts w:cstheme="minorHAnsi"/>
                <w:sz w:val="18"/>
                <w:szCs w:val="18"/>
              </w:rPr>
              <w:t>5</w:t>
            </w:r>
          </w:p>
        </w:tc>
        <w:tc>
          <w:tcPr>
            <w:tcW w:w="585" w:type="pct"/>
            <w:shd w:val="clear" w:color="auto" w:fill="D5DBEF" w:themeFill="accent1" w:themeFillTint="33"/>
            <w:vAlign w:val="center"/>
          </w:tcPr>
          <w:p w14:paraId="7B3890B4" w14:textId="77777777" w:rsidR="00034E0F" w:rsidRPr="007B40C5" w:rsidRDefault="00034E0F" w:rsidP="007C27A6">
            <w:pPr>
              <w:contextualSpacing/>
              <w:jc w:val="center"/>
              <w:rPr>
                <w:rFonts w:cstheme="minorHAnsi"/>
                <w:sz w:val="18"/>
                <w:szCs w:val="18"/>
              </w:rPr>
            </w:pPr>
            <w:r w:rsidRPr="007B40C5">
              <w:rPr>
                <w:rFonts w:cstheme="minorHAnsi"/>
                <w:sz w:val="18"/>
                <w:szCs w:val="18"/>
              </w:rPr>
              <w:t>300</w:t>
            </w:r>
          </w:p>
        </w:tc>
        <w:tc>
          <w:tcPr>
            <w:tcW w:w="608" w:type="pct"/>
            <w:shd w:val="clear" w:color="auto" w:fill="D5DBEF" w:themeFill="accent1" w:themeFillTint="33"/>
            <w:vAlign w:val="center"/>
          </w:tcPr>
          <w:p w14:paraId="4414489E" w14:textId="77777777" w:rsidR="00034E0F" w:rsidRPr="007B40C5" w:rsidRDefault="00034E0F" w:rsidP="00461AB2">
            <w:pPr>
              <w:spacing w:before="40"/>
              <w:jc w:val="center"/>
              <w:rPr>
                <w:rFonts w:cstheme="minorHAnsi"/>
                <w:sz w:val="18"/>
                <w:szCs w:val="18"/>
              </w:rPr>
            </w:pPr>
            <w:r w:rsidRPr="007B40C5">
              <w:rPr>
                <w:rFonts w:cstheme="minorHAnsi"/>
                <w:sz w:val="18"/>
                <w:szCs w:val="18"/>
              </w:rPr>
              <w:t>60</w:t>
            </w:r>
          </w:p>
          <w:p w14:paraId="5932BFB8" w14:textId="62D34F60" w:rsidR="00034E0F" w:rsidRPr="007B40C5" w:rsidRDefault="00034E0F" w:rsidP="00461AB2">
            <w:pPr>
              <w:contextualSpacing/>
              <w:jc w:val="center"/>
              <w:rPr>
                <w:rFonts w:cstheme="minorHAnsi"/>
                <w:sz w:val="18"/>
                <w:szCs w:val="18"/>
              </w:rPr>
            </w:pPr>
          </w:p>
        </w:tc>
      </w:tr>
      <w:tr w:rsidR="00034E0F" w:rsidRPr="007B40C5" w14:paraId="3424FB92" w14:textId="77777777" w:rsidTr="00034E0F">
        <w:trPr>
          <w:trHeight w:val="185"/>
          <w:jc w:val="center"/>
        </w:trPr>
        <w:tc>
          <w:tcPr>
            <w:tcW w:w="2303" w:type="pct"/>
            <w:shd w:val="clear" w:color="auto" w:fill="D5DBEF" w:themeFill="accent1" w:themeFillTint="33"/>
            <w:vAlign w:val="center"/>
          </w:tcPr>
          <w:p w14:paraId="7E062CB6" w14:textId="77777777" w:rsidR="00034E0F" w:rsidRPr="007B40C5" w:rsidRDefault="00034E0F" w:rsidP="007C27A6">
            <w:pPr>
              <w:contextualSpacing/>
              <w:rPr>
                <w:rFonts w:cstheme="minorHAnsi"/>
                <w:sz w:val="18"/>
                <w:szCs w:val="18"/>
              </w:rPr>
            </w:pPr>
            <w:r w:rsidRPr="007B40C5">
              <w:rPr>
                <w:rFonts w:cstheme="minorHAnsi"/>
                <w:sz w:val="18"/>
                <w:szCs w:val="18"/>
              </w:rPr>
              <w:t>University of Newcastle</w:t>
            </w:r>
          </w:p>
        </w:tc>
        <w:tc>
          <w:tcPr>
            <w:tcW w:w="885" w:type="pct"/>
            <w:shd w:val="clear" w:color="auto" w:fill="D5DBEF" w:themeFill="accent1" w:themeFillTint="33"/>
            <w:vAlign w:val="center"/>
          </w:tcPr>
          <w:p w14:paraId="4DEE3C66" w14:textId="77777777" w:rsidR="00034E0F" w:rsidRPr="007B40C5" w:rsidRDefault="00034E0F" w:rsidP="007C27A6">
            <w:pPr>
              <w:contextualSpacing/>
              <w:jc w:val="center"/>
              <w:rPr>
                <w:rFonts w:cstheme="minorHAnsi"/>
                <w:sz w:val="18"/>
                <w:szCs w:val="18"/>
              </w:rPr>
            </w:pPr>
            <w:r w:rsidRPr="007B40C5">
              <w:rPr>
                <w:rFonts w:cstheme="minorHAnsi"/>
                <w:sz w:val="18"/>
                <w:szCs w:val="18"/>
              </w:rPr>
              <w:t>Newcastle</w:t>
            </w:r>
          </w:p>
        </w:tc>
        <w:tc>
          <w:tcPr>
            <w:tcW w:w="620" w:type="pct"/>
            <w:vMerge/>
            <w:shd w:val="clear" w:color="auto" w:fill="D5DBEF" w:themeFill="accent1" w:themeFillTint="33"/>
            <w:vAlign w:val="center"/>
          </w:tcPr>
          <w:p w14:paraId="478FFFAD" w14:textId="77777777" w:rsidR="00034E0F" w:rsidRPr="007B40C5" w:rsidRDefault="00034E0F" w:rsidP="007C27A6">
            <w:pPr>
              <w:contextualSpacing/>
              <w:jc w:val="center"/>
              <w:rPr>
                <w:rFonts w:cstheme="minorHAnsi"/>
                <w:sz w:val="18"/>
                <w:szCs w:val="18"/>
              </w:rPr>
            </w:pPr>
          </w:p>
        </w:tc>
        <w:tc>
          <w:tcPr>
            <w:tcW w:w="585" w:type="pct"/>
            <w:shd w:val="clear" w:color="auto" w:fill="D5DBEF" w:themeFill="accent1" w:themeFillTint="33"/>
            <w:vAlign w:val="center"/>
          </w:tcPr>
          <w:p w14:paraId="7A507BE4" w14:textId="77777777" w:rsidR="00034E0F" w:rsidRPr="007B40C5" w:rsidRDefault="00034E0F" w:rsidP="007C27A6">
            <w:pPr>
              <w:contextualSpacing/>
              <w:jc w:val="center"/>
              <w:rPr>
                <w:rFonts w:cstheme="minorHAnsi"/>
                <w:sz w:val="18"/>
                <w:szCs w:val="18"/>
              </w:rPr>
            </w:pPr>
            <w:r w:rsidRPr="007B40C5">
              <w:rPr>
                <w:rFonts w:cstheme="minorHAnsi"/>
                <w:sz w:val="18"/>
                <w:szCs w:val="18"/>
              </w:rPr>
              <w:t>536</w:t>
            </w:r>
          </w:p>
        </w:tc>
        <w:tc>
          <w:tcPr>
            <w:tcW w:w="608" w:type="pct"/>
            <w:shd w:val="clear" w:color="auto" w:fill="D5DBEF" w:themeFill="accent1" w:themeFillTint="33"/>
            <w:vAlign w:val="center"/>
          </w:tcPr>
          <w:p w14:paraId="7CADD72E" w14:textId="77777777" w:rsidR="00034E0F" w:rsidRPr="007B40C5" w:rsidRDefault="00034E0F" w:rsidP="007C27A6">
            <w:pPr>
              <w:contextualSpacing/>
              <w:jc w:val="center"/>
              <w:rPr>
                <w:rFonts w:cstheme="minorHAnsi"/>
                <w:sz w:val="18"/>
                <w:szCs w:val="18"/>
              </w:rPr>
            </w:pPr>
            <w:r w:rsidRPr="007B40C5">
              <w:rPr>
                <w:rFonts w:cstheme="minorHAnsi"/>
                <w:sz w:val="18"/>
                <w:szCs w:val="18"/>
              </w:rPr>
              <w:t>108</w:t>
            </w:r>
          </w:p>
        </w:tc>
      </w:tr>
      <w:tr w:rsidR="00034E0F" w:rsidRPr="007B40C5" w14:paraId="25A2E01F" w14:textId="77777777" w:rsidTr="00034E0F">
        <w:trPr>
          <w:trHeight w:val="395"/>
          <w:jc w:val="center"/>
        </w:trPr>
        <w:tc>
          <w:tcPr>
            <w:tcW w:w="2303" w:type="pct"/>
            <w:vMerge w:val="restart"/>
            <w:shd w:val="clear" w:color="auto" w:fill="auto"/>
            <w:vAlign w:val="center"/>
          </w:tcPr>
          <w:p w14:paraId="09D3CD42" w14:textId="77777777" w:rsidR="00034E0F" w:rsidRPr="007B40C5" w:rsidRDefault="00034E0F" w:rsidP="007C27A6">
            <w:pPr>
              <w:contextualSpacing/>
              <w:rPr>
                <w:rFonts w:cstheme="minorHAnsi"/>
                <w:sz w:val="18"/>
                <w:szCs w:val="18"/>
              </w:rPr>
            </w:pPr>
            <w:r w:rsidRPr="007B40C5">
              <w:rPr>
                <w:rFonts w:cstheme="minorHAnsi"/>
                <w:sz w:val="18"/>
                <w:szCs w:val="18"/>
              </w:rPr>
              <w:t>University of Notre Dame Australia</w:t>
            </w:r>
          </w:p>
        </w:tc>
        <w:tc>
          <w:tcPr>
            <w:tcW w:w="885" w:type="pct"/>
            <w:shd w:val="clear" w:color="auto" w:fill="auto"/>
            <w:vAlign w:val="center"/>
          </w:tcPr>
          <w:p w14:paraId="1D761FD1" w14:textId="77777777" w:rsidR="00034E0F" w:rsidRPr="007B40C5" w:rsidRDefault="00034E0F" w:rsidP="007C27A6">
            <w:pPr>
              <w:contextualSpacing/>
              <w:jc w:val="center"/>
              <w:rPr>
                <w:rFonts w:cstheme="minorHAnsi"/>
                <w:sz w:val="18"/>
                <w:szCs w:val="18"/>
              </w:rPr>
            </w:pPr>
            <w:r w:rsidRPr="007B40C5">
              <w:rPr>
                <w:rFonts w:cstheme="minorHAnsi"/>
                <w:sz w:val="18"/>
                <w:szCs w:val="18"/>
              </w:rPr>
              <w:t>Fremantle</w:t>
            </w:r>
          </w:p>
        </w:tc>
        <w:tc>
          <w:tcPr>
            <w:tcW w:w="620" w:type="pct"/>
            <w:vMerge w:val="restart"/>
            <w:shd w:val="clear" w:color="auto" w:fill="auto"/>
            <w:vAlign w:val="center"/>
          </w:tcPr>
          <w:p w14:paraId="57AF494D" w14:textId="77777777" w:rsidR="00034E0F" w:rsidRPr="007B40C5" w:rsidRDefault="00034E0F" w:rsidP="007C27A6">
            <w:pPr>
              <w:contextualSpacing/>
              <w:jc w:val="center"/>
              <w:rPr>
                <w:rFonts w:cstheme="minorHAnsi"/>
                <w:sz w:val="18"/>
                <w:szCs w:val="18"/>
              </w:rPr>
            </w:pPr>
            <w:r w:rsidRPr="007B40C5">
              <w:rPr>
                <w:rFonts w:cstheme="minorHAnsi"/>
                <w:sz w:val="18"/>
                <w:szCs w:val="18"/>
              </w:rPr>
              <w:t>4</w:t>
            </w:r>
          </w:p>
        </w:tc>
        <w:tc>
          <w:tcPr>
            <w:tcW w:w="585" w:type="pct"/>
            <w:vMerge w:val="restart"/>
            <w:vAlign w:val="center"/>
          </w:tcPr>
          <w:p w14:paraId="7A9BE789" w14:textId="77777777" w:rsidR="00034E0F" w:rsidRPr="007B40C5" w:rsidRDefault="00034E0F" w:rsidP="007C27A6">
            <w:pPr>
              <w:contextualSpacing/>
              <w:jc w:val="center"/>
              <w:rPr>
                <w:rFonts w:cstheme="minorHAnsi"/>
                <w:sz w:val="18"/>
                <w:szCs w:val="18"/>
              </w:rPr>
            </w:pPr>
            <w:r w:rsidRPr="007B40C5">
              <w:rPr>
                <w:rFonts w:cstheme="minorHAnsi"/>
                <w:sz w:val="18"/>
                <w:szCs w:val="18"/>
              </w:rPr>
              <w:t>640</w:t>
            </w:r>
          </w:p>
        </w:tc>
        <w:tc>
          <w:tcPr>
            <w:tcW w:w="608" w:type="pct"/>
            <w:vMerge w:val="restart"/>
            <w:vAlign w:val="center"/>
          </w:tcPr>
          <w:p w14:paraId="4A0E676F" w14:textId="77777777" w:rsidR="00034E0F" w:rsidRPr="007B40C5" w:rsidRDefault="00034E0F" w:rsidP="007C27A6">
            <w:pPr>
              <w:contextualSpacing/>
              <w:jc w:val="center"/>
              <w:rPr>
                <w:rFonts w:cstheme="minorHAnsi"/>
                <w:sz w:val="18"/>
                <w:szCs w:val="18"/>
              </w:rPr>
            </w:pPr>
            <w:r w:rsidRPr="007B40C5">
              <w:rPr>
                <w:rFonts w:cstheme="minorHAnsi"/>
                <w:sz w:val="18"/>
                <w:szCs w:val="18"/>
              </w:rPr>
              <w:t>212</w:t>
            </w:r>
          </w:p>
        </w:tc>
      </w:tr>
      <w:tr w:rsidR="00034E0F" w:rsidRPr="007B40C5" w14:paraId="0553E6ED" w14:textId="77777777" w:rsidTr="00034E0F">
        <w:trPr>
          <w:trHeight w:val="70"/>
          <w:jc w:val="center"/>
        </w:trPr>
        <w:tc>
          <w:tcPr>
            <w:tcW w:w="2303" w:type="pct"/>
            <w:vMerge/>
            <w:tcBorders>
              <w:bottom w:val="single" w:sz="4" w:space="0" w:color="auto"/>
            </w:tcBorders>
            <w:shd w:val="clear" w:color="auto" w:fill="auto"/>
            <w:vAlign w:val="center"/>
          </w:tcPr>
          <w:p w14:paraId="747CD415" w14:textId="77777777" w:rsidR="00034E0F" w:rsidRPr="007B40C5" w:rsidRDefault="00034E0F" w:rsidP="007C27A6">
            <w:pPr>
              <w:contextualSpacing/>
              <w:rPr>
                <w:rFonts w:cstheme="minorHAnsi"/>
                <w:sz w:val="18"/>
                <w:szCs w:val="18"/>
              </w:rPr>
            </w:pPr>
          </w:p>
        </w:tc>
        <w:tc>
          <w:tcPr>
            <w:tcW w:w="885" w:type="pct"/>
            <w:tcBorders>
              <w:bottom w:val="single" w:sz="4" w:space="0" w:color="auto"/>
            </w:tcBorders>
            <w:shd w:val="clear" w:color="auto" w:fill="auto"/>
            <w:vAlign w:val="center"/>
          </w:tcPr>
          <w:p w14:paraId="73E12D20" w14:textId="77777777" w:rsidR="00034E0F" w:rsidRPr="007B40C5" w:rsidRDefault="00034E0F" w:rsidP="007C27A6">
            <w:pPr>
              <w:contextualSpacing/>
              <w:jc w:val="center"/>
              <w:rPr>
                <w:rFonts w:cstheme="minorHAnsi"/>
                <w:sz w:val="18"/>
                <w:szCs w:val="18"/>
              </w:rPr>
            </w:pPr>
            <w:r w:rsidRPr="007B40C5">
              <w:rPr>
                <w:rFonts w:cstheme="minorHAnsi"/>
                <w:sz w:val="18"/>
                <w:szCs w:val="18"/>
              </w:rPr>
              <w:t>Sydney</w:t>
            </w:r>
          </w:p>
        </w:tc>
        <w:tc>
          <w:tcPr>
            <w:tcW w:w="620" w:type="pct"/>
            <w:vMerge/>
            <w:tcBorders>
              <w:bottom w:val="single" w:sz="4" w:space="0" w:color="auto"/>
            </w:tcBorders>
            <w:shd w:val="clear" w:color="auto" w:fill="auto"/>
            <w:vAlign w:val="center"/>
          </w:tcPr>
          <w:p w14:paraId="208D1C70" w14:textId="77777777" w:rsidR="00034E0F" w:rsidRPr="007B40C5" w:rsidRDefault="00034E0F" w:rsidP="007C27A6">
            <w:pPr>
              <w:contextualSpacing/>
              <w:jc w:val="center"/>
              <w:rPr>
                <w:rFonts w:cstheme="minorHAnsi"/>
                <w:sz w:val="18"/>
                <w:szCs w:val="18"/>
              </w:rPr>
            </w:pPr>
          </w:p>
        </w:tc>
        <w:tc>
          <w:tcPr>
            <w:tcW w:w="585" w:type="pct"/>
            <w:vMerge/>
            <w:tcBorders>
              <w:bottom w:val="single" w:sz="4" w:space="0" w:color="auto"/>
            </w:tcBorders>
            <w:vAlign w:val="center"/>
          </w:tcPr>
          <w:p w14:paraId="6088B93F" w14:textId="77777777" w:rsidR="00034E0F" w:rsidRPr="007B40C5" w:rsidRDefault="00034E0F" w:rsidP="007C27A6">
            <w:pPr>
              <w:contextualSpacing/>
              <w:jc w:val="center"/>
              <w:rPr>
                <w:rFonts w:cstheme="minorHAnsi"/>
                <w:sz w:val="18"/>
                <w:szCs w:val="18"/>
              </w:rPr>
            </w:pPr>
          </w:p>
        </w:tc>
        <w:tc>
          <w:tcPr>
            <w:tcW w:w="608" w:type="pct"/>
            <w:vMerge/>
            <w:tcBorders>
              <w:bottom w:val="single" w:sz="4" w:space="0" w:color="auto"/>
            </w:tcBorders>
            <w:vAlign w:val="center"/>
          </w:tcPr>
          <w:p w14:paraId="78378771" w14:textId="77777777" w:rsidR="00034E0F" w:rsidRPr="007B40C5" w:rsidRDefault="00034E0F" w:rsidP="007C27A6">
            <w:pPr>
              <w:contextualSpacing/>
              <w:jc w:val="center"/>
              <w:rPr>
                <w:rFonts w:cstheme="minorHAnsi"/>
                <w:sz w:val="18"/>
                <w:szCs w:val="18"/>
              </w:rPr>
            </w:pPr>
          </w:p>
        </w:tc>
      </w:tr>
      <w:tr w:rsidR="00034E0F" w:rsidRPr="007B40C5" w14:paraId="79A2A363" w14:textId="77777777" w:rsidTr="00034E0F">
        <w:trPr>
          <w:trHeight w:val="185"/>
          <w:jc w:val="center"/>
        </w:trPr>
        <w:tc>
          <w:tcPr>
            <w:tcW w:w="2303" w:type="pct"/>
            <w:shd w:val="clear" w:color="auto" w:fill="D5DBEF" w:themeFill="accent1" w:themeFillTint="33"/>
            <w:vAlign w:val="center"/>
          </w:tcPr>
          <w:p w14:paraId="7ECEC2B9" w14:textId="77777777" w:rsidR="00034E0F" w:rsidRPr="007B40C5" w:rsidRDefault="00034E0F" w:rsidP="007C27A6">
            <w:pPr>
              <w:contextualSpacing/>
              <w:rPr>
                <w:rFonts w:cstheme="minorHAnsi"/>
                <w:sz w:val="18"/>
                <w:szCs w:val="18"/>
              </w:rPr>
            </w:pPr>
            <w:r w:rsidRPr="007B40C5">
              <w:rPr>
                <w:rFonts w:cstheme="minorHAnsi"/>
                <w:sz w:val="18"/>
                <w:szCs w:val="18"/>
              </w:rPr>
              <w:t>University of Queensland</w:t>
            </w:r>
          </w:p>
        </w:tc>
        <w:tc>
          <w:tcPr>
            <w:tcW w:w="885" w:type="pct"/>
            <w:shd w:val="clear" w:color="auto" w:fill="D5DBEF" w:themeFill="accent1" w:themeFillTint="33"/>
            <w:vAlign w:val="center"/>
          </w:tcPr>
          <w:p w14:paraId="5D112EFD" w14:textId="77777777" w:rsidR="00034E0F" w:rsidRPr="007B40C5" w:rsidRDefault="00034E0F" w:rsidP="007C27A6">
            <w:pPr>
              <w:contextualSpacing/>
              <w:jc w:val="center"/>
              <w:rPr>
                <w:rFonts w:cstheme="minorHAnsi"/>
                <w:sz w:val="18"/>
                <w:szCs w:val="18"/>
              </w:rPr>
            </w:pPr>
            <w:r w:rsidRPr="007B40C5">
              <w:rPr>
                <w:rFonts w:cstheme="minorHAnsi"/>
                <w:sz w:val="18"/>
                <w:szCs w:val="18"/>
              </w:rPr>
              <w:t>Brisbane</w:t>
            </w:r>
          </w:p>
        </w:tc>
        <w:tc>
          <w:tcPr>
            <w:tcW w:w="620" w:type="pct"/>
            <w:shd w:val="clear" w:color="auto" w:fill="D5DBEF" w:themeFill="accent1" w:themeFillTint="33"/>
            <w:vAlign w:val="center"/>
          </w:tcPr>
          <w:p w14:paraId="77447C72" w14:textId="77777777" w:rsidR="00034E0F" w:rsidRPr="007B40C5" w:rsidRDefault="00034E0F" w:rsidP="007C27A6">
            <w:pPr>
              <w:contextualSpacing/>
              <w:jc w:val="center"/>
              <w:rPr>
                <w:rFonts w:cstheme="minorHAnsi"/>
                <w:sz w:val="18"/>
                <w:szCs w:val="18"/>
              </w:rPr>
            </w:pPr>
            <w:r w:rsidRPr="007B40C5">
              <w:rPr>
                <w:rFonts w:cstheme="minorHAnsi"/>
                <w:sz w:val="18"/>
                <w:szCs w:val="18"/>
              </w:rPr>
              <w:t>4</w:t>
            </w:r>
          </w:p>
        </w:tc>
        <w:tc>
          <w:tcPr>
            <w:tcW w:w="585" w:type="pct"/>
            <w:shd w:val="clear" w:color="auto" w:fill="D5DBEF" w:themeFill="accent1" w:themeFillTint="33"/>
            <w:vAlign w:val="center"/>
          </w:tcPr>
          <w:p w14:paraId="196707C5" w14:textId="77777777" w:rsidR="00034E0F" w:rsidRPr="007B40C5" w:rsidRDefault="00034E0F" w:rsidP="007C27A6">
            <w:pPr>
              <w:contextualSpacing/>
              <w:jc w:val="center"/>
              <w:rPr>
                <w:rFonts w:cstheme="minorHAnsi"/>
                <w:sz w:val="18"/>
                <w:szCs w:val="18"/>
              </w:rPr>
            </w:pPr>
            <w:r w:rsidRPr="007B40C5">
              <w:rPr>
                <w:rFonts w:cstheme="minorHAnsi"/>
                <w:sz w:val="18"/>
                <w:szCs w:val="18"/>
              </w:rPr>
              <w:t>1084</w:t>
            </w:r>
          </w:p>
        </w:tc>
        <w:tc>
          <w:tcPr>
            <w:tcW w:w="608" w:type="pct"/>
            <w:shd w:val="clear" w:color="auto" w:fill="D5DBEF" w:themeFill="accent1" w:themeFillTint="33"/>
            <w:vAlign w:val="center"/>
          </w:tcPr>
          <w:p w14:paraId="20A1C8D7" w14:textId="77777777" w:rsidR="00034E0F" w:rsidRPr="007B40C5" w:rsidRDefault="00034E0F" w:rsidP="007C27A6">
            <w:pPr>
              <w:ind w:right="-403"/>
              <w:contextualSpacing/>
              <w:rPr>
                <w:rFonts w:cstheme="minorHAnsi"/>
                <w:sz w:val="18"/>
                <w:szCs w:val="18"/>
              </w:rPr>
            </w:pPr>
            <w:r w:rsidRPr="007B40C5">
              <w:rPr>
                <w:rFonts w:cstheme="minorHAnsi"/>
                <w:sz w:val="18"/>
                <w:szCs w:val="18"/>
              </w:rPr>
              <w:t xml:space="preserve">     271</w:t>
            </w:r>
          </w:p>
        </w:tc>
      </w:tr>
      <w:tr w:rsidR="00034E0F" w:rsidRPr="007B40C5" w14:paraId="090D0A0A" w14:textId="77777777" w:rsidTr="00034E0F">
        <w:trPr>
          <w:trHeight w:val="411"/>
          <w:jc w:val="center"/>
        </w:trPr>
        <w:tc>
          <w:tcPr>
            <w:tcW w:w="2303" w:type="pct"/>
            <w:tcBorders>
              <w:bottom w:val="single" w:sz="4" w:space="0" w:color="auto"/>
            </w:tcBorders>
            <w:shd w:val="clear" w:color="auto" w:fill="auto"/>
            <w:vAlign w:val="center"/>
          </w:tcPr>
          <w:p w14:paraId="6F631183" w14:textId="77777777" w:rsidR="00034E0F" w:rsidRPr="007B40C5" w:rsidRDefault="00034E0F" w:rsidP="007C27A6">
            <w:pPr>
              <w:contextualSpacing/>
              <w:rPr>
                <w:rFonts w:cstheme="minorHAnsi"/>
                <w:sz w:val="18"/>
                <w:szCs w:val="18"/>
              </w:rPr>
            </w:pPr>
            <w:r w:rsidRPr="007B40C5">
              <w:rPr>
                <w:rFonts w:cstheme="minorHAnsi"/>
                <w:sz w:val="18"/>
                <w:szCs w:val="18"/>
              </w:rPr>
              <w:t>University of Tasmania</w:t>
            </w:r>
          </w:p>
        </w:tc>
        <w:tc>
          <w:tcPr>
            <w:tcW w:w="885" w:type="pct"/>
            <w:tcBorders>
              <w:bottom w:val="single" w:sz="4" w:space="0" w:color="auto"/>
            </w:tcBorders>
            <w:shd w:val="clear" w:color="auto" w:fill="auto"/>
            <w:vAlign w:val="center"/>
          </w:tcPr>
          <w:p w14:paraId="46A3B4DE" w14:textId="77777777" w:rsidR="00034E0F" w:rsidRPr="007B40C5" w:rsidRDefault="00034E0F" w:rsidP="007C27A6">
            <w:pPr>
              <w:contextualSpacing/>
              <w:jc w:val="center"/>
              <w:rPr>
                <w:rFonts w:cstheme="minorHAnsi"/>
                <w:sz w:val="18"/>
                <w:szCs w:val="18"/>
              </w:rPr>
            </w:pPr>
            <w:r w:rsidRPr="007B40C5">
              <w:rPr>
                <w:rFonts w:cstheme="minorHAnsi"/>
                <w:sz w:val="18"/>
                <w:szCs w:val="18"/>
              </w:rPr>
              <w:t>Hobart</w:t>
            </w:r>
          </w:p>
        </w:tc>
        <w:tc>
          <w:tcPr>
            <w:tcW w:w="620" w:type="pct"/>
            <w:tcBorders>
              <w:bottom w:val="single" w:sz="4" w:space="0" w:color="auto"/>
            </w:tcBorders>
            <w:shd w:val="clear" w:color="auto" w:fill="auto"/>
            <w:vAlign w:val="center"/>
          </w:tcPr>
          <w:p w14:paraId="115E803E" w14:textId="77777777" w:rsidR="00034E0F" w:rsidRPr="007B40C5" w:rsidRDefault="00034E0F" w:rsidP="007C27A6">
            <w:pPr>
              <w:contextualSpacing/>
              <w:jc w:val="center"/>
              <w:rPr>
                <w:rFonts w:cstheme="minorHAnsi"/>
                <w:sz w:val="18"/>
                <w:szCs w:val="18"/>
              </w:rPr>
            </w:pPr>
            <w:r w:rsidRPr="007B40C5">
              <w:rPr>
                <w:rFonts w:cstheme="minorHAnsi"/>
                <w:sz w:val="18"/>
                <w:szCs w:val="18"/>
              </w:rPr>
              <w:t>5</w:t>
            </w:r>
          </w:p>
        </w:tc>
        <w:tc>
          <w:tcPr>
            <w:tcW w:w="585" w:type="pct"/>
            <w:tcBorders>
              <w:bottom w:val="single" w:sz="4" w:space="0" w:color="auto"/>
            </w:tcBorders>
            <w:vAlign w:val="center"/>
          </w:tcPr>
          <w:p w14:paraId="716A8AF6" w14:textId="77777777" w:rsidR="00034E0F" w:rsidRPr="007B40C5" w:rsidRDefault="00034E0F" w:rsidP="007C27A6">
            <w:pPr>
              <w:contextualSpacing/>
              <w:jc w:val="center"/>
              <w:rPr>
                <w:rFonts w:cstheme="minorHAnsi"/>
                <w:sz w:val="18"/>
                <w:szCs w:val="18"/>
              </w:rPr>
            </w:pPr>
            <w:r w:rsidRPr="007B40C5">
              <w:rPr>
                <w:rFonts w:cstheme="minorHAnsi"/>
                <w:sz w:val="18"/>
                <w:szCs w:val="18"/>
              </w:rPr>
              <w:t>465</w:t>
            </w:r>
          </w:p>
        </w:tc>
        <w:tc>
          <w:tcPr>
            <w:tcW w:w="608" w:type="pct"/>
            <w:tcBorders>
              <w:bottom w:val="single" w:sz="4" w:space="0" w:color="auto"/>
            </w:tcBorders>
            <w:vAlign w:val="center"/>
          </w:tcPr>
          <w:p w14:paraId="1F61E14D" w14:textId="77777777" w:rsidR="00034E0F" w:rsidRPr="007B40C5" w:rsidRDefault="00034E0F" w:rsidP="007C27A6">
            <w:pPr>
              <w:contextualSpacing/>
              <w:jc w:val="center"/>
              <w:rPr>
                <w:rFonts w:cstheme="minorHAnsi"/>
                <w:sz w:val="18"/>
                <w:szCs w:val="18"/>
              </w:rPr>
            </w:pPr>
            <w:r w:rsidRPr="007B40C5">
              <w:rPr>
                <w:rFonts w:cstheme="minorHAnsi"/>
                <w:sz w:val="18"/>
                <w:szCs w:val="18"/>
              </w:rPr>
              <w:t>93</w:t>
            </w:r>
          </w:p>
        </w:tc>
      </w:tr>
      <w:tr w:rsidR="00034E0F" w:rsidRPr="007B40C5" w14:paraId="5C300DC0" w14:textId="77777777" w:rsidTr="00034E0F">
        <w:trPr>
          <w:trHeight w:val="185"/>
          <w:jc w:val="center"/>
        </w:trPr>
        <w:tc>
          <w:tcPr>
            <w:tcW w:w="2303" w:type="pct"/>
            <w:tcBorders>
              <w:bottom w:val="single" w:sz="4" w:space="0" w:color="auto"/>
            </w:tcBorders>
            <w:shd w:val="clear" w:color="auto" w:fill="D5DBEF" w:themeFill="accent1" w:themeFillTint="33"/>
            <w:vAlign w:val="center"/>
          </w:tcPr>
          <w:p w14:paraId="5446C48C" w14:textId="77777777" w:rsidR="00034E0F" w:rsidRPr="007B40C5" w:rsidRDefault="00034E0F" w:rsidP="007C27A6">
            <w:pPr>
              <w:contextualSpacing/>
              <w:rPr>
                <w:rFonts w:cstheme="minorHAnsi"/>
                <w:sz w:val="18"/>
                <w:szCs w:val="18"/>
              </w:rPr>
            </w:pPr>
            <w:r w:rsidRPr="007B40C5">
              <w:rPr>
                <w:rFonts w:cstheme="minorHAnsi"/>
                <w:sz w:val="18"/>
                <w:szCs w:val="18"/>
              </w:rPr>
              <w:t>Western Sydney University</w:t>
            </w:r>
          </w:p>
        </w:tc>
        <w:tc>
          <w:tcPr>
            <w:tcW w:w="885" w:type="pct"/>
            <w:tcBorders>
              <w:bottom w:val="single" w:sz="4" w:space="0" w:color="auto"/>
            </w:tcBorders>
            <w:shd w:val="clear" w:color="auto" w:fill="D5DBEF" w:themeFill="accent1" w:themeFillTint="33"/>
            <w:vAlign w:val="center"/>
          </w:tcPr>
          <w:p w14:paraId="39EF216D" w14:textId="77777777" w:rsidR="00034E0F" w:rsidRPr="007B40C5" w:rsidRDefault="00034E0F" w:rsidP="007C27A6">
            <w:pPr>
              <w:contextualSpacing/>
              <w:jc w:val="center"/>
              <w:rPr>
                <w:rFonts w:cstheme="minorHAnsi"/>
                <w:sz w:val="17"/>
                <w:szCs w:val="17"/>
              </w:rPr>
            </w:pPr>
            <w:r w:rsidRPr="007B40C5">
              <w:rPr>
                <w:rFonts w:cstheme="minorHAnsi"/>
                <w:sz w:val="17"/>
                <w:szCs w:val="17"/>
              </w:rPr>
              <w:t>Sydney</w:t>
            </w:r>
          </w:p>
        </w:tc>
        <w:tc>
          <w:tcPr>
            <w:tcW w:w="620" w:type="pct"/>
            <w:tcBorders>
              <w:bottom w:val="single" w:sz="4" w:space="0" w:color="auto"/>
            </w:tcBorders>
            <w:shd w:val="clear" w:color="auto" w:fill="D5DBEF" w:themeFill="accent1" w:themeFillTint="33"/>
            <w:vAlign w:val="center"/>
          </w:tcPr>
          <w:p w14:paraId="25E22206" w14:textId="77777777" w:rsidR="00034E0F" w:rsidRPr="007B40C5" w:rsidRDefault="00034E0F" w:rsidP="007C27A6">
            <w:pPr>
              <w:contextualSpacing/>
              <w:jc w:val="center"/>
              <w:rPr>
                <w:rFonts w:cstheme="minorHAnsi"/>
                <w:sz w:val="18"/>
                <w:szCs w:val="18"/>
              </w:rPr>
            </w:pPr>
            <w:r w:rsidRPr="007B40C5">
              <w:rPr>
                <w:rFonts w:cstheme="minorHAnsi"/>
                <w:sz w:val="18"/>
                <w:szCs w:val="18"/>
              </w:rPr>
              <w:t>5</w:t>
            </w:r>
          </w:p>
        </w:tc>
        <w:tc>
          <w:tcPr>
            <w:tcW w:w="585" w:type="pct"/>
            <w:tcBorders>
              <w:bottom w:val="single" w:sz="4" w:space="0" w:color="auto"/>
            </w:tcBorders>
            <w:shd w:val="clear" w:color="auto" w:fill="D5DBEF" w:themeFill="accent1" w:themeFillTint="33"/>
            <w:vAlign w:val="center"/>
          </w:tcPr>
          <w:p w14:paraId="6F400855" w14:textId="77777777" w:rsidR="00034E0F" w:rsidRPr="007B40C5" w:rsidRDefault="00034E0F" w:rsidP="007C27A6">
            <w:pPr>
              <w:contextualSpacing/>
              <w:jc w:val="center"/>
              <w:rPr>
                <w:rFonts w:cstheme="minorHAnsi"/>
                <w:sz w:val="18"/>
                <w:szCs w:val="18"/>
              </w:rPr>
            </w:pPr>
            <w:r w:rsidRPr="007B40C5">
              <w:rPr>
                <w:rFonts w:cstheme="minorHAnsi"/>
                <w:sz w:val="18"/>
                <w:szCs w:val="18"/>
              </w:rPr>
              <w:t>505</w:t>
            </w:r>
          </w:p>
        </w:tc>
        <w:tc>
          <w:tcPr>
            <w:tcW w:w="608" w:type="pct"/>
            <w:tcBorders>
              <w:bottom w:val="single" w:sz="4" w:space="0" w:color="auto"/>
            </w:tcBorders>
            <w:shd w:val="clear" w:color="auto" w:fill="D5DBEF" w:themeFill="accent1" w:themeFillTint="33"/>
            <w:vAlign w:val="center"/>
          </w:tcPr>
          <w:p w14:paraId="068CA203" w14:textId="77777777" w:rsidR="00034E0F" w:rsidRPr="007B40C5" w:rsidRDefault="00034E0F" w:rsidP="007C27A6">
            <w:pPr>
              <w:contextualSpacing/>
              <w:jc w:val="center"/>
              <w:rPr>
                <w:rFonts w:cstheme="minorHAnsi"/>
                <w:sz w:val="18"/>
                <w:szCs w:val="18"/>
              </w:rPr>
            </w:pPr>
            <w:r w:rsidRPr="007B40C5">
              <w:rPr>
                <w:rFonts w:cstheme="minorHAnsi"/>
                <w:sz w:val="18"/>
                <w:szCs w:val="18"/>
              </w:rPr>
              <w:t>101</w:t>
            </w:r>
          </w:p>
        </w:tc>
      </w:tr>
      <w:tr w:rsidR="00034E0F" w:rsidRPr="007B40C5" w14:paraId="22920198" w14:textId="77777777" w:rsidTr="00034E0F">
        <w:trPr>
          <w:trHeight w:val="218"/>
          <w:jc w:val="center"/>
        </w:trPr>
        <w:tc>
          <w:tcPr>
            <w:tcW w:w="2303" w:type="pct"/>
            <w:tcBorders>
              <w:bottom w:val="single" w:sz="4" w:space="0" w:color="auto"/>
            </w:tcBorders>
            <w:shd w:val="clear" w:color="auto" w:fill="auto"/>
            <w:vAlign w:val="center"/>
          </w:tcPr>
          <w:p w14:paraId="3A8C7596" w14:textId="77777777" w:rsidR="00034E0F" w:rsidRPr="007B40C5" w:rsidRDefault="00034E0F" w:rsidP="007C27A6">
            <w:pPr>
              <w:contextualSpacing/>
              <w:rPr>
                <w:rFonts w:cstheme="minorHAnsi"/>
                <w:sz w:val="18"/>
                <w:szCs w:val="18"/>
              </w:rPr>
            </w:pPr>
            <w:r w:rsidRPr="007B40C5">
              <w:rPr>
                <w:rFonts w:cstheme="minorHAnsi"/>
                <w:sz w:val="18"/>
                <w:szCs w:val="18"/>
              </w:rPr>
              <w:t>University of Wollongong</w:t>
            </w:r>
          </w:p>
        </w:tc>
        <w:tc>
          <w:tcPr>
            <w:tcW w:w="885" w:type="pct"/>
            <w:tcBorders>
              <w:bottom w:val="single" w:sz="4" w:space="0" w:color="auto"/>
            </w:tcBorders>
            <w:shd w:val="clear" w:color="auto" w:fill="auto"/>
            <w:vAlign w:val="center"/>
          </w:tcPr>
          <w:p w14:paraId="3987D87B" w14:textId="77777777" w:rsidR="00034E0F" w:rsidRPr="007B40C5" w:rsidRDefault="00034E0F" w:rsidP="007C27A6">
            <w:pPr>
              <w:contextualSpacing/>
              <w:jc w:val="center"/>
              <w:rPr>
                <w:rFonts w:cstheme="minorHAnsi"/>
                <w:sz w:val="18"/>
                <w:szCs w:val="18"/>
              </w:rPr>
            </w:pPr>
            <w:r w:rsidRPr="007B40C5">
              <w:rPr>
                <w:rFonts w:cstheme="minorHAnsi"/>
                <w:sz w:val="18"/>
                <w:szCs w:val="18"/>
              </w:rPr>
              <w:t>Wollongong and Nowra</w:t>
            </w:r>
          </w:p>
        </w:tc>
        <w:tc>
          <w:tcPr>
            <w:tcW w:w="620" w:type="pct"/>
            <w:tcBorders>
              <w:bottom w:val="single" w:sz="4" w:space="0" w:color="auto"/>
            </w:tcBorders>
            <w:shd w:val="clear" w:color="auto" w:fill="auto"/>
            <w:vAlign w:val="center"/>
          </w:tcPr>
          <w:p w14:paraId="2B88AA1F" w14:textId="77777777" w:rsidR="00034E0F" w:rsidRPr="007B40C5" w:rsidRDefault="00034E0F" w:rsidP="007C27A6">
            <w:pPr>
              <w:contextualSpacing/>
              <w:jc w:val="center"/>
              <w:rPr>
                <w:rFonts w:cstheme="minorHAnsi"/>
                <w:sz w:val="18"/>
                <w:szCs w:val="18"/>
              </w:rPr>
            </w:pPr>
            <w:r w:rsidRPr="007B40C5">
              <w:rPr>
                <w:rFonts w:cstheme="minorHAnsi"/>
                <w:sz w:val="18"/>
                <w:szCs w:val="18"/>
              </w:rPr>
              <w:t>4</w:t>
            </w:r>
          </w:p>
        </w:tc>
        <w:tc>
          <w:tcPr>
            <w:tcW w:w="585" w:type="pct"/>
            <w:tcBorders>
              <w:bottom w:val="single" w:sz="4" w:space="0" w:color="auto"/>
            </w:tcBorders>
            <w:shd w:val="clear" w:color="auto" w:fill="auto"/>
            <w:vAlign w:val="center"/>
          </w:tcPr>
          <w:p w14:paraId="34F32D05" w14:textId="77777777" w:rsidR="00034E0F" w:rsidRPr="007B40C5" w:rsidRDefault="00034E0F" w:rsidP="007C27A6">
            <w:pPr>
              <w:contextualSpacing/>
              <w:jc w:val="center"/>
              <w:rPr>
                <w:rFonts w:cstheme="minorHAnsi"/>
                <w:sz w:val="18"/>
                <w:szCs w:val="18"/>
              </w:rPr>
            </w:pPr>
            <w:r w:rsidRPr="007B40C5">
              <w:rPr>
                <w:rFonts w:cstheme="minorHAnsi"/>
                <w:sz w:val="18"/>
                <w:szCs w:val="18"/>
              </w:rPr>
              <w:t>279</w:t>
            </w:r>
          </w:p>
        </w:tc>
        <w:tc>
          <w:tcPr>
            <w:tcW w:w="608" w:type="pct"/>
            <w:tcBorders>
              <w:bottom w:val="single" w:sz="4" w:space="0" w:color="auto"/>
            </w:tcBorders>
            <w:shd w:val="clear" w:color="auto" w:fill="auto"/>
            <w:vAlign w:val="center"/>
          </w:tcPr>
          <w:p w14:paraId="7012F6C6" w14:textId="77777777" w:rsidR="00034E0F" w:rsidRPr="007B40C5" w:rsidRDefault="00034E0F" w:rsidP="007C27A6">
            <w:pPr>
              <w:contextualSpacing/>
              <w:jc w:val="center"/>
              <w:rPr>
                <w:rFonts w:cstheme="minorHAnsi"/>
                <w:sz w:val="18"/>
                <w:szCs w:val="18"/>
              </w:rPr>
            </w:pPr>
            <w:r w:rsidRPr="007B40C5">
              <w:rPr>
                <w:rFonts w:cstheme="minorHAnsi"/>
                <w:sz w:val="18"/>
                <w:szCs w:val="18"/>
              </w:rPr>
              <w:t>72</w:t>
            </w:r>
          </w:p>
        </w:tc>
      </w:tr>
      <w:tr w:rsidR="00034E0F" w:rsidRPr="007B40C5" w14:paraId="09246DDF" w14:textId="77777777" w:rsidTr="00034E0F">
        <w:trPr>
          <w:trHeight w:val="185"/>
          <w:jc w:val="center"/>
        </w:trPr>
        <w:tc>
          <w:tcPr>
            <w:tcW w:w="2303" w:type="pct"/>
            <w:shd w:val="clear" w:color="auto" w:fill="D5DBEF" w:themeFill="accent1" w:themeFillTint="33"/>
            <w:vAlign w:val="center"/>
          </w:tcPr>
          <w:p w14:paraId="5653DAD7" w14:textId="77777777" w:rsidR="00034E0F" w:rsidRPr="007B40C5" w:rsidRDefault="00034E0F" w:rsidP="007C27A6">
            <w:pPr>
              <w:contextualSpacing/>
              <w:rPr>
                <w:rFonts w:cstheme="minorHAnsi"/>
                <w:sz w:val="18"/>
                <w:szCs w:val="18"/>
              </w:rPr>
            </w:pPr>
            <w:r w:rsidRPr="007B40C5">
              <w:rPr>
                <w:rFonts w:cstheme="minorHAnsi"/>
                <w:sz w:val="18"/>
                <w:szCs w:val="18"/>
              </w:rPr>
              <w:t>Curtin University</w:t>
            </w:r>
          </w:p>
        </w:tc>
        <w:tc>
          <w:tcPr>
            <w:tcW w:w="885" w:type="pct"/>
            <w:shd w:val="clear" w:color="auto" w:fill="D5DBEF" w:themeFill="accent1" w:themeFillTint="33"/>
            <w:vAlign w:val="center"/>
          </w:tcPr>
          <w:p w14:paraId="69FF53E7" w14:textId="77777777" w:rsidR="00034E0F" w:rsidRPr="007B40C5" w:rsidRDefault="00034E0F" w:rsidP="007C27A6">
            <w:pPr>
              <w:contextualSpacing/>
              <w:jc w:val="center"/>
              <w:rPr>
                <w:rFonts w:cstheme="minorHAnsi"/>
                <w:sz w:val="18"/>
                <w:szCs w:val="18"/>
              </w:rPr>
            </w:pPr>
            <w:r w:rsidRPr="007B40C5">
              <w:rPr>
                <w:rFonts w:cstheme="minorHAnsi"/>
                <w:sz w:val="18"/>
                <w:szCs w:val="18"/>
              </w:rPr>
              <w:t>Perth</w:t>
            </w:r>
          </w:p>
        </w:tc>
        <w:tc>
          <w:tcPr>
            <w:tcW w:w="620" w:type="pct"/>
            <w:shd w:val="clear" w:color="auto" w:fill="D5DBEF" w:themeFill="accent1" w:themeFillTint="33"/>
            <w:vAlign w:val="center"/>
          </w:tcPr>
          <w:p w14:paraId="0342B10B" w14:textId="77777777" w:rsidR="00034E0F" w:rsidRPr="007B40C5" w:rsidRDefault="00034E0F" w:rsidP="007C27A6">
            <w:pPr>
              <w:contextualSpacing/>
              <w:jc w:val="center"/>
              <w:rPr>
                <w:rFonts w:cstheme="minorHAnsi"/>
                <w:sz w:val="18"/>
                <w:szCs w:val="18"/>
              </w:rPr>
            </w:pPr>
            <w:r w:rsidRPr="007B40C5">
              <w:rPr>
                <w:rFonts w:cstheme="minorHAnsi"/>
                <w:sz w:val="18"/>
                <w:szCs w:val="18"/>
              </w:rPr>
              <w:t>5</w:t>
            </w:r>
          </w:p>
        </w:tc>
        <w:tc>
          <w:tcPr>
            <w:tcW w:w="585" w:type="pct"/>
            <w:shd w:val="clear" w:color="auto" w:fill="D5DBEF" w:themeFill="accent1" w:themeFillTint="33"/>
            <w:vAlign w:val="center"/>
          </w:tcPr>
          <w:p w14:paraId="308EAA98" w14:textId="77777777" w:rsidR="00034E0F" w:rsidRPr="007B40C5" w:rsidRDefault="00034E0F" w:rsidP="007C27A6">
            <w:pPr>
              <w:contextualSpacing/>
              <w:jc w:val="center"/>
              <w:rPr>
                <w:rFonts w:cstheme="minorHAnsi"/>
                <w:sz w:val="18"/>
                <w:szCs w:val="18"/>
              </w:rPr>
            </w:pPr>
            <w:r w:rsidRPr="007B40C5">
              <w:rPr>
                <w:rFonts w:cstheme="minorHAnsi"/>
                <w:sz w:val="18"/>
                <w:szCs w:val="18"/>
              </w:rPr>
              <w:t>400</w:t>
            </w:r>
          </w:p>
        </w:tc>
        <w:tc>
          <w:tcPr>
            <w:tcW w:w="608" w:type="pct"/>
            <w:shd w:val="clear" w:color="auto" w:fill="D5DBEF" w:themeFill="accent1" w:themeFillTint="33"/>
            <w:vAlign w:val="center"/>
          </w:tcPr>
          <w:p w14:paraId="6C335A84" w14:textId="77777777" w:rsidR="00034E0F" w:rsidRPr="007B40C5" w:rsidRDefault="00034E0F" w:rsidP="007C27A6">
            <w:pPr>
              <w:contextualSpacing/>
              <w:jc w:val="center"/>
              <w:rPr>
                <w:rFonts w:cstheme="minorHAnsi"/>
                <w:sz w:val="18"/>
                <w:szCs w:val="18"/>
              </w:rPr>
            </w:pPr>
            <w:r w:rsidRPr="007B40C5">
              <w:rPr>
                <w:rFonts w:cstheme="minorHAnsi"/>
                <w:sz w:val="18"/>
                <w:szCs w:val="18"/>
              </w:rPr>
              <w:t>0</w:t>
            </w:r>
          </w:p>
        </w:tc>
      </w:tr>
    </w:tbl>
    <w:p w14:paraId="5597B77D" w14:textId="77777777" w:rsidR="00034E0F" w:rsidRPr="007B40C5" w:rsidRDefault="00034E0F" w:rsidP="007C27A6">
      <w:pPr>
        <w:spacing w:before="0" w:after="0" w:line="240" w:lineRule="auto"/>
        <w:ind w:right="-568"/>
        <w:contextualSpacing/>
        <w:rPr>
          <w:rFonts w:cstheme="minorHAnsi"/>
          <w:sz w:val="18"/>
          <w:szCs w:val="18"/>
        </w:rPr>
      </w:pPr>
    </w:p>
    <w:p w14:paraId="38670815" w14:textId="77777777" w:rsidR="00034E0F" w:rsidRPr="007B40C5" w:rsidRDefault="00034E0F" w:rsidP="00DD3210">
      <w:pPr>
        <w:numPr>
          <w:ilvl w:val="0"/>
          <w:numId w:val="20"/>
        </w:numPr>
        <w:ind w:left="284" w:right="-568" w:hanging="284"/>
        <w:contextualSpacing/>
        <w:rPr>
          <w:rFonts w:cstheme="minorHAnsi"/>
          <w:sz w:val="18"/>
          <w:szCs w:val="18"/>
        </w:rPr>
      </w:pPr>
      <w:r w:rsidRPr="007B40C5">
        <w:rPr>
          <w:rFonts w:cstheme="minorHAnsi"/>
          <w:sz w:val="18"/>
          <w:szCs w:val="18"/>
        </w:rPr>
        <w:t>The ‘Total CSP alloc’n’ column represents the total number of medical CSPs across the medical degree pipeline, not just commencing students.</w:t>
      </w:r>
    </w:p>
    <w:p w14:paraId="63ADE704" w14:textId="536C9772" w:rsidR="00034E0F" w:rsidRPr="007B40C5" w:rsidRDefault="00D01CC5" w:rsidP="00DD3210">
      <w:pPr>
        <w:numPr>
          <w:ilvl w:val="0"/>
          <w:numId w:val="20"/>
        </w:numPr>
        <w:ind w:left="284" w:right="-567" w:hanging="284"/>
        <w:contextualSpacing/>
        <w:rPr>
          <w:sz w:val="18"/>
          <w:szCs w:val="18"/>
        </w:rPr>
      </w:pPr>
      <w:r w:rsidRPr="007B40C5">
        <w:rPr>
          <w:sz w:val="18"/>
          <w:szCs w:val="18"/>
        </w:rPr>
        <w:t>‘</w:t>
      </w:r>
      <w:r w:rsidR="00414465" w:rsidRPr="007B40C5">
        <w:rPr>
          <w:sz w:val="18"/>
          <w:szCs w:val="18"/>
        </w:rPr>
        <w:t>P</w:t>
      </w:r>
      <w:r w:rsidRPr="007B40C5">
        <w:rPr>
          <w:sz w:val="18"/>
          <w:szCs w:val="18"/>
        </w:rPr>
        <w:t>ermitted domestic graduates’ p</w:t>
      </w:r>
      <w:r w:rsidR="00414465" w:rsidRPr="007B40C5">
        <w:rPr>
          <w:sz w:val="18"/>
          <w:szCs w:val="18"/>
        </w:rPr>
        <w:t xml:space="preserve">rojections are based on data </w:t>
      </w:r>
      <w:r w:rsidR="00034E0F" w:rsidRPr="007B40C5">
        <w:rPr>
          <w:sz w:val="18"/>
          <w:szCs w:val="18"/>
        </w:rPr>
        <w:t xml:space="preserve">from the </w:t>
      </w:r>
      <w:r w:rsidR="0060018D" w:rsidRPr="007B40C5">
        <w:rPr>
          <w:sz w:val="18"/>
          <w:szCs w:val="18"/>
        </w:rPr>
        <w:t>2018</w:t>
      </w:r>
      <w:r w:rsidR="00414465" w:rsidRPr="007B40C5">
        <w:rPr>
          <w:sz w:val="18"/>
          <w:szCs w:val="18"/>
        </w:rPr>
        <w:t>-2020</w:t>
      </w:r>
      <w:r w:rsidR="00034E0F" w:rsidRPr="007B40C5">
        <w:rPr>
          <w:sz w:val="18"/>
          <w:szCs w:val="18"/>
        </w:rPr>
        <w:t xml:space="preserve"> Commonwealth Grant Scheme (CGS) Funding Agreement with each university</w:t>
      </w:r>
      <w:r w:rsidR="00414465" w:rsidRPr="007B40C5">
        <w:rPr>
          <w:sz w:val="18"/>
          <w:szCs w:val="18"/>
        </w:rPr>
        <w:t xml:space="preserve"> and approvals already in place </w:t>
      </w:r>
      <w:r w:rsidR="005D427C" w:rsidRPr="007B40C5">
        <w:rPr>
          <w:sz w:val="18"/>
          <w:szCs w:val="18"/>
        </w:rPr>
        <w:t>for changes to medical CSPs by 2021</w:t>
      </w:r>
      <w:r w:rsidR="00414465" w:rsidRPr="007B40C5">
        <w:rPr>
          <w:sz w:val="18"/>
          <w:szCs w:val="18"/>
        </w:rPr>
        <w:t>.</w:t>
      </w:r>
      <w:r w:rsidR="00034E0F" w:rsidRPr="007B40C5">
        <w:rPr>
          <w:sz w:val="18"/>
          <w:szCs w:val="18"/>
        </w:rPr>
        <w:t xml:space="preserve"> The University of Melbourne and the University of Notre Dame Australia include domestic full-fee paying students, and Flinders University includes Northern Territory Medical Program (NTMP) students. NTMP places are jointly funded by the Department of Health (through the RHMT Program) and the NT Government. </w:t>
      </w:r>
    </w:p>
    <w:p w14:paraId="6957316C" w14:textId="0366312E" w:rsidR="00034E0F" w:rsidRPr="007B40C5" w:rsidRDefault="00886B9D" w:rsidP="00DD3210">
      <w:pPr>
        <w:numPr>
          <w:ilvl w:val="0"/>
          <w:numId w:val="20"/>
        </w:numPr>
        <w:ind w:left="284" w:right="-567" w:hanging="284"/>
        <w:contextualSpacing/>
        <w:rPr>
          <w:rFonts w:eastAsia="Times New Roman" w:cstheme="minorHAnsi"/>
          <w:sz w:val="18"/>
          <w:szCs w:val="18"/>
          <w:lang w:val="en" w:eastAsia="en-AU"/>
        </w:rPr>
      </w:pPr>
      <w:r w:rsidRPr="007B40C5">
        <w:rPr>
          <w:sz w:val="18"/>
          <w:szCs w:val="18"/>
        </w:rPr>
        <w:t>The University of Newcastle and University of New England operate a Joint Medical Program. However, each university has a separate allocation of medical CSPs.</w:t>
      </w:r>
    </w:p>
    <w:p w14:paraId="03D8CA03" w14:textId="45FEFA24" w:rsidR="00DD3210" w:rsidRDefault="00DD3210" w:rsidP="007C27A6">
      <w:pPr>
        <w:rPr>
          <w:rFonts w:eastAsia="Times New Roman" w:cstheme="minorHAnsi"/>
          <w:color w:val="333333"/>
          <w:lang w:val="en" w:eastAsia="en-AU"/>
        </w:rPr>
      </w:pPr>
    </w:p>
    <w:p w14:paraId="61CF15A3" w14:textId="77777777" w:rsidR="00DD3210" w:rsidRPr="007C27A6" w:rsidRDefault="00DD3210" w:rsidP="007C27A6">
      <w:pPr>
        <w:rPr>
          <w:rFonts w:eastAsia="Times New Roman" w:cstheme="minorHAnsi"/>
          <w:color w:val="333333"/>
          <w:lang w:val="en" w:eastAsia="en-AU"/>
        </w:rPr>
        <w:sectPr w:rsidR="00DD3210" w:rsidRPr="007C27A6" w:rsidSect="000F2EC1">
          <w:headerReference w:type="even" r:id="rId12"/>
          <w:headerReference w:type="default" r:id="rId13"/>
          <w:footerReference w:type="even" r:id="rId14"/>
          <w:footerReference w:type="default" r:id="rId15"/>
          <w:headerReference w:type="first" r:id="rId16"/>
          <w:footerReference w:type="first" r:id="rId17"/>
          <w:pgSz w:w="11906" w:h="16838"/>
          <w:pgMar w:top="0" w:right="1134" w:bottom="1134" w:left="1134" w:header="680" w:footer="567" w:gutter="0"/>
          <w:cols w:space="708"/>
          <w:titlePg/>
          <w:docGrid w:linePitch="360"/>
        </w:sectPr>
      </w:pPr>
    </w:p>
    <w:p w14:paraId="156BDD79" w14:textId="53B0E6D8" w:rsidR="00034E0F" w:rsidRPr="00275AC9" w:rsidRDefault="00034E0F" w:rsidP="002336BA">
      <w:pPr>
        <w:ind w:left="425"/>
        <w:rPr>
          <w:rFonts w:eastAsia="Times New Roman" w:cstheme="minorHAnsi"/>
          <w:b/>
          <w:lang w:val="en" w:eastAsia="en-AU"/>
        </w:rPr>
      </w:pPr>
      <w:r w:rsidRPr="00275AC9">
        <w:rPr>
          <w:rFonts w:eastAsia="Times New Roman" w:cstheme="minorHAnsi"/>
          <w:b/>
          <w:u w:val="single"/>
          <w:lang w:val="en" w:eastAsia="en-AU"/>
        </w:rPr>
        <w:t>Table 2</w:t>
      </w:r>
      <w:r w:rsidRPr="00275AC9">
        <w:rPr>
          <w:rFonts w:eastAsia="Times New Roman" w:cstheme="minorHAnsi"/>
          <w:b/>
          <w:lang w:val="en" w:eastAsia="en-AU"/>
        </w:rPr>
        <w:t xml:space="preserve">: </w:t>
      </w:r>
      <w:r w:rsidR="007F1C0C" w:rsidRPr="00275AC9">
        <w:rPr>
          <w:rFonts w:eastAsia="Times New Roman" w:cstheme="minorHAnsi"/>
          <w:b/>
          <w:lang w:val="en" w:eastAsia="en-AU"/>
        </w:rPr>
        <w:t>Projected medical commencements in 2021</w:t>
      </w:r>
    </w:p>
    <w:tbl>
      <w:tblPr>
        <w:tblStyle w:val="TableGrid11"/>
        <w:tblW w:w="7796" w:type="dxa"/>
        <w:tblInd w:w="421" w:type="dxa"/>
        <w:tblLook w:val="04A0" w:firstRow="1" w:lastRow="0" w:firstColumn="1" w:lastColumn="0" w:noHBand="0" w:noVBand="1"/>
      </w:tblPr>
      <w:tblGrid>
        <w:gridCol w:w="4536"/>
        <w:gridCol w:w="3260"/>
      </w:tblGrid>
      <w:tr w:rsidR="00275AC9" w:rsidRPr="00275AC9" w14:paraId="55BAE926" w14:textId="77777777" w:rsidTr="007B40C5">
        <w:trPr>
          <w:trHeight w:val="645"/>
        </w:trPr>
        <w:tc>
          <w:tcPr>
            <w:tcW w:w="4536" w:type="dxa"/>
            <w:shd w:val="clear" w:color="auto" w:fill="8193D1" w:themeFill="text2" w:themeFillTint="99"/>
            <w:vAlign w:val="center"/>
            <w:hideMark/>
          </w:tcPr>
          <w:p w14:paraId="587129AE" w14:textId="77777777" w:rsidR="003546B7" w:rsidRPr="00275AC9" w:rsidRDefault="003546B7" w:rsidP="007B40C5">
            <w:pPr>
              <w:spacing w:before="0" w:after="0"/>
              <w:rPr>
                <w:rFonts w:ascii="Calibri" w:hAnsi="Calibri" w:cs="Times New Roman"/>
              </w:rPr>
            </w:pPr>
            <w:r w:rsidRPr="00275AC9">
              <w:rPr>
                <w:rFonts w:ascii="Calibri" w:hAnsi="Calibri" w:cs="Times New Roman"/>
              </w:rPr>
              <w:t>University</w:t>
            </w:r>
          </w:p>
        </w:tc>
        <w:tc>
          <w:tcPr>
            <w:tcW w:w="3260" w:type="dxa"/>
            <w:shd w:val="clear" w:color="auto" w:fill="8193D1" w:themeFill="text2" w:themeFillTint="99"/>
            <w:hideMark/>
          </w:tcPr>
          <w:p w14:paraId="0858E7A2" w14:textId="68560EA9" w:rsidR="003546B7" w:rsidRPr="00275AC9" w:rsidRDefault="00812D3B" w:rsidP="00812D3B">
            <w:pPr>
              <w:spacing w:before="0" w:after="0"/>
              <w:rPr>
                <w:rFonts w:ascii="Calibri" w:hAnsi="Calibri" w:cs="Times New Roman"/>
              </w:rPr>
            </w:pPr>
            <w:r w:rsidRPr="00275AC9">
              <w:rPr>
                <w:rFonts w:ascii="Calibri" w:hAnsi="Calibri" w:cs="Times New Roman"/>
              </w:rPr>
              <w:t>Projected m</w:t>
            </w:r>
            <w:r w:rsidR="003546B7" w:rsidRPr="00275AC9">
              <w:rPr>
                <w:rFonts w:ascii="Calibri" w:hAnsi="Calibri" w:cs="Times New Roman"/>
              </w:rPr>
              <w:t>edical CSP commencements in 2021*</w:t>
            </w:r>
          </w:p>
        </w:tc>
      </w:tr>
      <w:tr w:rsidR="00210507" w:rsidRPr="00275AC9" w14:paraId="0DD2AA3A" w14:textId="77777777" w:rsidTr="001E1306">
        <w:trPr>
          <w:trHeight w:val="300"/>
        </w:trPr>
        <w:tc>
          <w:tcPr>
            <w:tcW w:w="7796" w:type="dxa"/>
            <w:gridSpan w:val="2"/>
            <w:shd w:val="clear" w:color="auto" w:fill="D5DBEF" w:themeFill="text2" w:themeFillTint="33"/>
            <w:noWrap/>
          </w:tcPr>
          <w:p w14:paraId="5F34F61D" w14:textId="1303F54D" w:rsidR="00210507" w:rsidRPr="00275AC9" w:rsidRDefault="00210507" w:rsidP="00210507">
            <w:pPr>
              <w:spacing w:before="0" w:after="0"/>
              <w:rPr>
                <w:rFonts w:ascii="Calibri" w:hAnsi="Calibri" w:cs="Times New Roman"/>
              </w:rPr>
            </w:pPr>
            <w:r w:rsidRPr="00275AC9">
              <w:rPr>
                <w:rFonts w:ascii="Calibri" w:hAnsi="Calibri" w:cs="Times New Roman"/>
                <w:b/>
              </w:rPr>
              <w:t>New South Wales</w:t>
            </w:r>
          </w:p>
        </w:tc>
      </w:tr>
      <w:tr w:rsidR="003546B7" w:rsidRPr="00275AC9" w14:paraId="226D5095" w14:textId="77777777" w:rsidTr="002336BA">
        <w:trPr>
          <w:trHeight w:val="300"/>
        </w:trPr>
        <w:tc>
          <w:tcPr>
            <w:tcW w:w="4536" w:type="dxa"/>
            <w:noWrap/>
            <w:hideMark/>
          </w:tcPr>
          <w:p w14:paraId="7E8F3297" w14:textId="77777777" w:rsidR="003546B7" w:rsidRPr="00275AC9" w:rsidRDefault="003546B7" w:rsidP="00121B40">
            <w:pPr>
              <w:spacing w:before="0" w:after="0"/>
              <w:rPr>
                <w:rFonts w:ascii="Calibri" w:hAnsi="Calibri" w:cs="Times New Roman"/>
              </w:rPr>
            </w:pPr>
            <w:r w:rsidRPr="00275AC9">
              <w:rPr>
                <w:rFonts w:ascii="Calibri" w:hAnsi="Calibri" w:cs="Times New Roman"/>
              </w:rPr>
              <w:t>University of New England</w:t>
            </w:r>
          </w:p>
        </w:tc>
        <w:tc>
          <w:tcPr>
            <w:tcW w:w="3260" w:type="dxa"/>
            <w:noWrap/>
            <w:hideMark/>
          </w:tcPr>
          <w:p w14:paraId="5694B840" w14:textId="77777777" w:rsidR="003546B7" w:rsidRPr="00275AC9" w:rsidRDefault="003546B7" w:rsidP="00121B40">
            <w:pPr>
              <w:spacing w:before="0" w:after="0"/>
              <w:jc w:val="right"/>
              <w:rPr>
                <w:rFonts w:ascii="Calibri" w:hAnsi="Calibri" w:cs="Times New Roman"/>
              </w:rPr>
            </w:pPr>
            <w:r w:rsidRPr="00275AC9">
              <w:rPr>
                <w:rFonts w:ascii="Calibri" w:hAnsi="Calibri" w:cs="Times New Roman"/>
              </w:rPr>
              <w:t>60</w:t>
            </w:r>
          </w:p>
        </w:tc>
      </w:tr>
      <w:tr w:rsidR="003546B7" w:rsidRPr="00275AC9" w14:paraId="7F2DF553" w14:textId="77777777" w:rsidTr="002336BA">
        <w:trPr>
          <w:trHeight w:val="300"/>
        </w:trPr>
        <w:tc>
          <w:tcPr>
            <w:tcW w:w="4536" w:type="dxa"/>
            <w:noWrap/>
            <w:hideMark/>
          </w:tcPr>
          <w:p w14:paraId="56B93C18" w14:textId="77777777" w:rsidR="003546B7" w:rsidRPr="00275AC9" w:rsidRDefault="003546B7" w:rsidP="00121B40">
            <w:pPr>
              <w:spacing w:before="0" w:after="0"/>
              <w:rPr>
                <w:rFonts w:ascii="Calibri" w:hAnsi="Calibri" w:cs="Times New Roman"/>
              </w:rPr>
            </w:pPr>
            <w:r w:rsidRPr="00275AC9">
              <w:rPr>
                <w:rFonts w:ascii="Calibri" w:hAnsi="Calibri" w:cs="Times New Roman"/>
              </w:rPr>
              <w:t>University of New South Wales</w:t>
            </w:r>
          </w:p>
        </w:tc>
        <w:tc>
          <w:tcPr>
            <w:tcW w:w="3260" w:type="dxa"/>
            <w:noWrap/>
            <w:hideMark/>
          </w:tcPr>
          <w:p w14:paraId="1B434800" w14:textId="77777777" w:rsidR="003546B7" w:rsidRPr="00275AC9" w:rsidRDefault="003546B7" w:rsidP="00121B40">
            <w:pPr>
              <w:spacing w:before="0" w:after="0"/>
              <w:jc w:val="right"/>
              <w:rPr>
                <w:rFonts w:ascii="Calibri" w:hAnsi="Calibri" w:cs="Times New Roman"/>
              </w:rPr>
            </w:pPr>
            <w:r w:rsidRPr="00275AC9">
              <w:rPr>
                <w:rFonts w:ascii="Calibri" w:hAnsi="Calibri" w:cs="Times New Roman"/>
              </w:rPr>
              <w:t>199</w:t>
            </w:r>
          </w:p>
        </w:tc>
      </w:tr>
      <w:tr w:rsidR="003546B7" w:rsidRPr="00275AC9" w14:paraId="34F2CACF" w14:textId="77777777" w:rsidTr="002336BA">
        <w:trPr>
          <w:trHeight w:val="300"/>
        </w:trPr>
        <w:tc>
          <w:tcPr>
            <w:tcW w:w="4536" w:type="dxa"/>
            <w:noWrap/>
            <w:hideMark/>
          </w:tcPr>
          <w:p w14:paraId="21295C60" w14:textId="77777777" w:rsidR="003546B7" w:rsidRPr="00275AC9" w:rsidRDefault="003546B7" w:rsidP="00121B40">
            <w:pPr>
              <w:spacing w:before="0" w:after="0"/>
              <w:rPr>
                <w:rFonts w:ascii="Calibri" w:hAnsi="Calibri" w:cs="Times New Roman"/>
              </w:rPr>
            </w:pPr>
            <w:r w:rsidRPr="00275AC9">
              <w:rPr>
                <w:rFonts w:ascii="Calibri" w:hAnsi="Calibri" w:cs="Times New Roman"/>
              </w:rPr>
              <w:t>University of Newcastle</w:t>
            </w:r>
          </w:p>
        </w:tc>
        <w:tc>
          <w:tcPr>
            <w:tcW w:w="3260" w:type="dxa"/>
            <w:noWrap/>
            <w:hideMark/>
          </w:tcPr>
          <w:p w14:paraId="4AC9A604" w14:textId="77777777" w:rsidR="003546B7" w:rsidRPr="00275AC9" w:rsidRDefault="003546B7" w:rsidP="00121B40">
            <w:pPr>
              <w:spacing w:before="0" w:after="0"/>
              <w:jc w:val="right"/>
              <w:rPr>
                <w:rFonts w:ascii="Calibri" w:hAnsi="Calibri" w:cs="Times New Roman"/>
              </w:rPr>
            </w:pPr>
            <w:r w:rsidRPr="00275AC9">
              <w:rPr>
                <w:rFonts w:ascii="Calibri" w:hAnsi="Calibri" w:cs="Times New Roman"/>
              </w:rPr>
              <w:t>108</w:t>
            </w:r>
          </w:p>
        </w:tc>
      </w:tr>
      <w:tr w:rsidR="003546B7" w:rsidRPr="00275AC9" w14:paraId="7D9A63D0" w14:textId="77777777" w:rsidTr="002336BA">
        <w:trPr>
          <w:trHeight w:val="300"/>
        </w:trPr>
        <w:tc>
          <w:tcPr>
            <w:tcW w:w="4536" w:type="dxa"/>
            <w:noWrap/>
            <w:hideMark/>
          </w:tcPr>
          <w:p w14:paraId="615B3B7E" w14:textId="77777777" w:rsidR="003546B7" w:rsidRPr="00275AC9" w:rsidRDefault="003546B7" w:rsidP="00121B40">
            <w:pPr>
              <w:spacing w:before="0" w:after="0"/>
              <w:rPr>
                <w:rFonts w:ascii="Calibri" w:hAnsi="Calibri" w:cs="Times New Roman"/>
              </w:rPr>
            </w:pPr>
            <w:r w:rsidRPr="00275AC9">
              <w:rPr>
                <w:rFonts w:ascii="Calibri" w:hAnsi="Calibri" w:cs="Times New Roman"/>
              </w:rPr>
              <w:t>University of Wollongong</w:t>
            </w:r>
          </w:p>
        </w:tc>
        <w:tc>
          <w:tcPr>
            <w:tcW w:w="3260" w:type="dxa"/>
            <w:noWrap/>
            <w:hideMark/>
          </w:tcPr>
          <w:p w14:paraId="040637E1" w14:textId="77777777" w:rsidR="003546B7" w:rsidRPr="00275AC9" w:rsidRDefault="003546B7" w:rsidP="00121B40">
            <w:pPr>
              <w:spacing w:before="0" w:after="0"/>
              <w:jc w:val="right"/>
              <w:rPr>
                <w:rFonts w:ascii="Calibri" w:hAnsi="Calibri" w:cs="Times New Roman"/>
              </w:rPr>
            </w:pPr>
            <w:r w:rsidRPr="00275AC9">
              <w:rPr>
                <w:rFonts w:ascii="Calibri" w:hAnsi="Calibri" w:cs="Times New Roman"/>
              </w:rPr>
              <w:t>69</w:t>
            </w:r>
          </w:p>
        </w:tc>
      </w:tr>
      <w:tr w:rsidR="003546B7" w:rsidRPr="00275AC9" w14:paraId="53DCEBED" w14:textId="77777777" w:rsidTr="002336BA">
        <w:trPr>
          <w:trHeight w:val="300"/>
        </w:trPr>
        <w:tc>
          <w:tcPr>
            <w:tcW w:w="4536" w:type="dxa"/>
            <w:noWrap/>
            <w:hideMark/>
          </w:tcPr>
          <w:p w14:paraId="26F421CB" w14:textId="77777777" w:rsidR="003546B7" w:rsidRPr="00275AC9" w:rsidRDefault="003546B7" w:rsidP="00121B40">
            <w:pPr>
              <w:spacing w:before="0" w:after="0"/>
              <w:rPr>
                <w:rFonts w:ascii="Calibri" w:hAnsi="Calibri" w:cs="Times New Roman"/>
              </w:rPr>
            </w:pPr>
            <w:r w:rsidRPr="00275AC9">
              <w:rPr>
                <w:rFonts w:ascii="Calibri" w:hAnsi="Calibri" w:cs="Times New Roman"/>
              </w:rPr>
              <w:t>University of Sydney</w:t>
            </w:r>
          </w:p>
        </w:tc>
        <w:tc>
          <w:tcPr>
            <w:tcW w:w="3260" w:type="dxa"/>
            <w:noWrap/>
            <w:hideMark/>
          </w:tcPr>
          <w:p w14:paraId="7EC12CB4" w14:textId="77777777" w:rsidR="003546B7" w:rsidRPr="00275AC9" w:rsidRDefault="003546B7" w:rsidP="00121B40">
            <w:pPr>
              <w:spacing w:before="0" w:after="0"/>
              <w:jc w:val="right"/>
              <w:rPr>
                <w:rFonts w:ascii="Calibri" w:hAnsi="Calibri" w:cs="Times New Roman"/>
              </w:rPr>
            </w:pPr>
            <w:r w:rsidRPr="00275AC9">
              <w:rPr>
                <w:rFonts w:ascii="Calibri" w:hAnsi="Calibri" w:cs="Times New Roman"/>
              </w:rPr>
              <w:t>227</w:t>
            </w:r>
          </w:p>
        </w:tc>
      </w:tr>
      <w:tr w:rsidR="003546B7" w:rsidRPr="00275AC9" w14:paraId="58BD3131" w14:textId="77777777" w:rsidTr="002336BA">
        <w:trPr>
          <w:trHeight w:val="300"/>
        </w:trPr>
        <w:tc>
          <w:tcPr>
            <w:tcW w:w="4536" w:type="dxa"/>
            <w:noWrap/>
            <w:hideMark/>
          </w:tcPr>
          <w:p w14:paraId="5D53CAB9" w14:textId="6A71C099" w:rsidR="003546B7" w:rsidRPr="00275AC9" w:rsidRDefault="003546B7" w:rsidP="00121B40">
            <w:pPr>
              <w:spacing w:before="0" w:after="0"/>
              <w:rPr>
                <w:rFonts w:ascii="Calibri" w:hAnsi="Calibri" w:cs="Times New Roman"/>
              </w:rPr>
            </w:pPr>
            <w:r w:rsidRPr="00275AC9">
              <w:rPr>
                <w:rFonts w:ascii="Calibri" w:hAnsi="Calibri" w:cs="Times New Roman"/>
              </w:rPr>
              <w:t>Western Sydney</w:t>
            </w:r>
            <w:r w:rsidR="00D01CC5" w:rsidRPr="00275AC9">
              <w:rPr>
                <w:rFonts w:ascii="Calibri" w:hAnsi="Calibri" w:cs="Times New Roman"/>
              </w:rPr>
              <w:t xml:space="preserve"> University</w:t>
            </w:r>
          </w:p>
        </w:tc>
        <w:tc>
          <w:tcPr>
            <w:tcW w:w="3260" w:type="dxa"/>
            <w:noWrap/>
            <w:hideMark/>
          </w:tcPr>
          <w:p w14:paraId="7294FD10" w14:textId="77777777" w:rsidR="003546B7" w:rsidRPr="00275AC9" w:rsidRDefault="003546B7" w:rsidP="00121B40">
            <w:pPr>
              <w:spacing w:before="0" w:after="0"/>
              <w:jc w:val="right"/>
              <w:rPr>
                <w:rFonts w:ascii="Calibri" w:hAnsi="Calibri" w:cs="Times New Roman"/>
              </w:rPr>
            </w:pPr>
            <w:r w:rsidRPr="00275AC9">
              <w:rPr>
                <w:rFonts w:ascii="Calibri" w:hAnsi="Calibri" w:cs="Times New Roman"/>
              </w:rPr>
              <w:t>101</w:t>
            </w:r>
          </w:p>
        </w:tc>
      </w:tr>
      <w:tr w:rsidR="003546B7" w:rsidRPr="00275AC9" w14:paraId="15889FDF" w14:textId="77777777" w:rsidTr="002336BA">
        <w:trPr>
          <w:trHeight w:val="600"/>
        </w:trPr>
        <w:tc>
          <w:tcPr>
            <w:tcW w:w="4536" w:type="dxa"/>
            <w:hideMark/>
          </w:tcPr>
          <w:p w14:paraId="6D1511AB" w14:textId="77777777" w:rsidR="003546B7" w:rsidRPr="00275AC9" w:rsidRDefault="003546B7" w:rsidP="00121B40">
            <w:pPr>
              <w:spacing w:before="0" w:after="0"/>
              <w:rPr>
                <w:rFonts w:ascii="Calibri" w:hAnsi="Calibri" w:cs="Times New Roman"/>
              </w:rPr>
            </w:pPr>
            <w:r w:rsidRPr="00275AC9">
              <w:rPr>
                <w:rFonts w:ascii="Calibri" w:hAnsi="Calibri" w:cs="Times New Roman"/>
              </w:rPr>
              <w:t>University of Notre Dame Australia</w:t>
            </w:r>
            <w:r w:rsidRPr="00275AC9">
              <w:rPr>
                <w:rFonts w:ascii="Calibri" w:hAnsi="Calibri" w:cs="Times New Roman"/>
              </w:rPr>
              <w:br/>
              <w:t>(Sydney campus)**</w:t>
            </w:r>
          </w:p>
        </w:tc>
        <w:tc>
          <w:tcPr>
            <w:tcW w:w="3260" w:type="dxa"/>
            <w:noWrap/>
            <w:hideMark/>
          </w:tcPr>
          <w:p w14:paraId="5C53CA66" w14:textId="77777777" w:rsidR="003546B7" w:rsidRPr="00275AC9" w:rsidRDefault="003546B7" w:rsidP="00121B40">
            <w:pPr>
              <w:spacing w:before="0" w:after="0"/>
              <w:jc w:val="right"/>
              <w:rPr>
                <w:rFonts w:ascii="Calibri" w:hAnsi="Calibri" w:cs="Times New Roman"/>
              </w:rPr>
            </w:pPr>
            <w:r w:rsidRPr="00275AC9">
              <w:rPr>
                <w:rFonts w:ascii="Calibri" w:hAnsi="Calibri" w:cs="Times New Roman"/>
              </w:rPr>
              <w:t>60</w:t>
            </w:r>
          </w:p>
        </w:tc>
      </w:tr>
      <w:tr w:rsidR="003546B7" w:rsidRPr="00275AC9" w14:paraId="51BA8511" w14:textId="77777777" w:rsidTr="002336BA">
        <w:trPr>
          <w:trHeight w:val="300"/>
        </w:trPr>
        <w:tc>
          <w:tcPr>
            <w:tcW w:w="4536" w:type="dxa"/>
            <w:noWrap/>
            <w:hideMark/>
          </w:tcPr>
          <w:p w14:paraId="3569E84F" w14:textId="77777777" w:rsidR="003546B7" w:rsidRPr="00275AC9" w:rsidRDefault="003546B7" w:rsidP="00121B40">
            <w:pPr>
              <w:spacing w:before="0" w:after="0"/>
              <w:rPr>
                <w:rFonts w:ascii="Calibri" w:hAnsi="Calibri" w:cs="Times New Roman"/>
                <w:b/>
                <w:i/>
                <w:iCs/>
              </w:rPr>
            </w:pPr>
            <w:r w:rsidRPr="00275AC9">
              <w:rPr>
                <w:rFonts w:ascii="Calibri" w:hAnsi="Calibri" w:cs="Times New Roman"/>
                <w:b/>
                <w:i/>
                <w:iCs/>
              </w:rPr>
              <w:t>TOTAL</w:t>
            </w:r>
          </w:p>
        </w:tc>
        <w:tc>
          <w:tcPr>
            <w:tcW w:w="3260" w:type="dxa"/>
            <w:noWrap/>
            <w:hideMark/>
          </w:tcPr>
          <w:p w14:paraId="3B01DE50" w14:textId="77777777" w:rsidR="003546B7" w:rsidRPr="00275AC9" w:rsidRDefault="003546B7" w:rsidP="00121B40">
            <w:pPr>
              <w:spacing w:before="0" w:after="0"/>
              <w:jc w:val="right"/>
              <w:rPr>
                <w:rFonts w:ascii="Calibri" w:hAnsi="Calibri" w:cs="Times New Roman"/>
                <w:b/>
              </w:rPr>
            </w:pPr>
            <w:r w:rsidRPr="00275AC9">
              <w:rPr>
                <w:rFonts w:ascii="Calibri" w:hAnsi="Calibri" w:cs="Times New Roman"/>
                <w:b/>
              </w:rPr>
              <w:t>824</w:t>
            </w:r>
          </w:p>
        </w:tc>
      </w:tr>
      <w:tr w:rsidR="00210507" w:rsidRPr="00275AC9" w14:paraId="26B0DC97" w14:textId="77777777" w:rsidTr="001E1306">
        <w:trPr>
          <w:trHeight w:val="300"/>
        </w:trPr>
        <w:tc>
          <w:tcPr>
            <w:tcW w:w="7796" w:type="dxa"/>
            <w:gridSpan w:val="2"/>
            <w:shd w:val="clear" w:color="auto" w:fill="D5DBEF" w:themeFill="text2" w:themeFillTint="33"/>
            <w:noWrap/>
          </w:tcPr>
          <w:p w14:paraId="248BEA86" w14:textId="06847858" w:rsidR="00210507" w:rsidRPr="00275AC9" w:rsidRDefault="00210507" w:rsidP="00210507">
            <w:pPr>
              <w:spacing w:before="0" w:after="0"/>
              <w:rPr>
                <w:rFonts w:ascii="Calibri" w:hAnsi="Calibri" w:cs="Times New Roman"/>
                <w:b/>
              </w:rPr>
            </w:pPr>
            <w:r w:rsidRPr="00275AC9">
              <w:rPr>
                <w:rFonts w:ascii="Calibri" w:hAnsi="Calibri" w:cs="Times New Roman"/>
                <w:b/>
              </w:rPr>
              <w:t>Victoria</w:t>
            </w:r>
          </w:p>
        </w:tc>
      </w:tr>
      <w:tr w:rsidR="003546B7" w:rsidRPr="00275AC9" w14:paraId="4E494A5D" w14:textId="77777777" w:rsidTr="002336BA">
        <w:trPr>
          <w:trHeight w:val="300"/>
        </w:trPr>
        <w:tc>
          <w:tcPr>
            <w:tcW w:w="4536" w:type="dxa"/>
            <w:noWrap/>
            <w:hideMark/>
          </w:tcPr>
          <w:p w14:paraId="7B8FCD7D" w14:textId="77777777" w:rsidR="003546B7" w:rsidRPr="00275AC9" w:rsidRDefault="003546B7" w:rsidP="00121B40">
            <w:pPr>
              <w:spacing w:before="0" w:after="0"/>
              <w:rPr>
                <w:rFonts w:ascii="Calibri" w:hAnsi="Calibri" w:cs="Times New Roman"/>
              </w:rPr>
            </w:pPr>
            <w:r w:rsidRPr="00275AC9">
              <w:rPr>
                <w:rFonts w:ascii="Calibri" w:hAnsi="Calibri" w:cs="Times New Roman"/>
              </w:rPr>
              <w:t>Deakin University</w:t>
            </w:r>
          </w:p>
        </w:tc>
        <w:tc>
          <w:tcPr>
            <w:tcW w:w="3260" w:type="dxa"/>
            <w:noWrap/>
            <w:hideMark/>
          </w:tcPr>
          <w:p w14:paraId="56CB3F53" w14:textId="77777777" w:rsidR="003546B7" w:rsidRPr="00275AC9" w:rsidRDefault="003546B7" w:rsidP="00121B40">
            <w:pPr>
              <w:spacing w:before="0" w:after="0"/>
              <w:jc w:val="right"/>
              <w:rPr>
                <w:rFonts w:ascii="Calibri" w:hAnsi="Calibri" w:cs="Times New Roman"/>
              </w:rPr>
            </w:pPr>
            <w:r w:rsidRPr="00275AC9">
              <w:rPr>
                <w:rFonts w:ascii="Calibri" w:hAnsi="Calibri" w:cs="Times New Roman"/>
              </w:rPr>
              <w:t>130</w:t>
            </w:r>
          </w:p>
        </w:tc>
      </w:tr>
      <w:tr w:rsidR="003546B7" w:rsidRPr="00275AC9" w14:paraId="12F65C20" w14:textId="77777777" w:rsidTr="002336BA">
        <w:trPr>
          <w:trHeight w:val="300"/>
        </w:trPr>
        <w:tc>
          <w:tcPr>
            <w:tcW w:w="4536" w:type="dxa"/>
            <w:noWrap/>
            <w:hideMark/>
          </w:tcPr>
          <w:p w14:paraId="6CB6AB3F" w14:textId="77777777" w:rsidR="003546B7" w:rsidRPr="00275AC9" w:rsidRDefault="003546B7" w:rsidP="00121B40">
            <w:pPr>
              <w:spacing w:before="0" w:after="0"/>
              <w:rPr>
                <w:rFonts w:ascii="Calibri" w:hAnsi="Calibri" w:cs="Times New Roman"/>
              </w:rPr>
            </w:pPr>
            <w:r w:rsidRPr="00275AC9">
              <w:rPr>
                <w:rFonts w:ascii="Calibri" w:hAnsi="Calibri" w:cs="Times New Roman"/>
              </w:rPr>
              <w:t>Monash University (5yr)</w:t>
            </w:r>
          </w:p>
        </w:tc>
        <w:tc>
          <w:tcPr>
            <w:tcW w:w="3260" w:type="dxa"/>
            <w:noWrap/>
            <w:hideMark/>
          </w:tcPr>
          <w:p w14:paraId="36D48B72" w14:textId="77777777" w:rsidR="003546B7" w:rsidRPr="00275AC9" w:rsidRDefault="003546B7" w:rsidP="00121B40">
            <w:pPr>
              <w:spacing w:before="0" w:after="0"/>
              <w:jc w:val="right"/>
              <w:rPr>
                <w:rFonts w:ascii="Calibri" w:hAnsi="Calibri" w:cs="Times New Roman"/>
              </w:rPr>
            </w:pPr>
            <w:r w:rsidRPr="00275AC9">
              <w:rPr>
                <w:rFonts w:ascii="Calibri" w:hAnsi="Calibri" w:cs="Times New Roman"/>
              </w:rPr>
              <w:t>237</w:t>
            </w:r>
          </w:p>
        </w:tc>
      </w:tr>
      <w:tr w:rsidR="003546B7" w:rsidRPr="00275AC9" w14:paraId="088F59CE" w14:textId="77777777" w:rsidTr="002336BA">
        <w:trPr>
          <w:trHeight w:val="300"/>
        </w:trPr>
        <w:tc>
          <w:tcPr>
            <w:tcW w:w="4536" w:type="dxa"/>
            <w:noWrap/>
            <w:hideMark/>
          </w:tcPr>
          <w:p w14:paraId="1038E496" w14:textId="77777777" w:rsidR="003546B7" w:rsidRPr="00275AC9" w:rsidRDefault="003546B7" w:rsidP="00121B40">
            <w:pPr>
              <w:spacing w:before="0" w:after="0"/>
              <w:rPr>
                <w:rFonts w:ascii="Calibri" w:hAnsi="Calibri" w:cs="Times New Roman"/>
              </w:rPr>
            </w:pPr>
            <w:r w:rsidRPr="00275AC9">
              <w:rPr>
                <w:rFonts w:ascii="Calibri" w:hAnsi="Calibri" w:cs="Times New Roman"/>
              </w:rPr>
              <w:t>Monash University (4yr)</w:t>
            </w:r>
          </w:p>
        </w:tc>
        <w:tc>
          <w:tcPr>
            <w:tcW w:w="3260" w:type="dxa"/>
            <w:noWrap/>
            <w:hideMark/>
          </w:tcPr>
          <w:p w14:paraId="71A6015E" w14:textId="77777777" w:rsidR="003546B7" w:rsidRPr="00275AC9" w:rsidRDefault="003546B7" w:rsidP="00121B40">
            <w:pPr>
              <w:spacing w:before="0" w:after="0"/>
              <w:jc w:val="right"/>
              <w:rPr>
                <w:rFonts w:ascii="Calibri" w:hAnsi="Calibri" w:cs="Times New Roman"/>
              </w:rPr>
            </w:pPr>
            <w:r w:rsidRPr="00275AC9">
              <w:rPr>
                <w:rFonts w:ascii="Calibri" w:hAnsi="Calibri" w:cs="Times New Roman"/>
              </w:rPr>
              <w:t>73</w:t>
            </w:r>
          </w:p>
        </w:tc>
      </w:tr>
      <w:tr w:rsidR="003546B7" w:rsidRPr="00275AC9" w14:paraId="562CCB25" w14:textId="77777777" w:rsidTr="002336BA">
        <w:trPr>
          <w:trHeight w:val="300"/>
        </w:trPr>
        <w:tc>
          <w:tcPr>
            <w:tcW w:w="4536" w:type="dxa"/>
            <w:noWrap/>
            <w:hideMark/>
          </w:tcPr>
          <w:p w14:paraId="7E74E19D" w14:textId="77777777" w:rsidR="003546B7" w:rsidRPr="00275AC9" w:rsidRDefault="003546B7" w:rsidP="00121B40">
            <w:pPr>
              <w:spacing w:before="0" w:after="0"/>
              <w:rPr>
                <w:rFonts w:ascii="Calibri" w:hAnsi="Calibri" w:cs="Times New Roman"/>
              </w:rPr>
            </w:pPr>
            <w:r w:rsidRPr="00275AC9">
              <w:rPr>
                <w:rFonts w:ascii="Calibri" w:hAnsi="Calibri" w:cs="Times New Roman"/>
              </w:rPr>
              <w:t>University of Melbourne</w:t>
            </w:r>
          </w:p>
        </w:tc>
        <w:tc>
          <w:tcPr>
            <w:tcW w:w="3260" w:type="dxa"/>
            <w:noWrap/>
            <w:hideMark/>
          </w:tcPr>
          <w:p w14:paraId="65004390" w14:textId="77777777" w:rsidR="003546B7" w:rsidRPr="00275AC9" w:rsidRDefault="003546B7" w:rsidP="00121B40">
            <w:pPr>
              <w:spacing w:before="0" w:after="0"/>
              <w:jc w:val="right"/>
              <w:rPr>
                <w:rFonts w:ascii="Calibri" w:hAnsi="Calibri" w:cs="Times New Roman"/>
              </w:rPr>
            </w:pPr>
            <w:r w:rsidRPr="00275AC9">
              <w:rPr>
                <w:rFonts w:ascii="Calibri" w:hAnsi="Calibri" w:cs="Times New Roman"/>
              </w:rPr>
              <w:t>250</w:t>
            </w:r>
          </w:p>
        </w:tc>
      </w:tr>
      <w:tr w:rsidR="003546B7" w:rsidRPr="00275AC9" w14:paraId="5A119D95" w14:textId="77777777" w:rsidTr="002336BA">
        <w:trPr>
          <w:trHeight w:val="300"/>
        </w:trPr>
        <w:tc>
          <w:tcPr>
            <w:tcW w:w="4536" w:type="dxa"/>
            <w:noWrap/>
            <w:hideMark/>
          </w:tcPr>
          <w:p w14:paraId="0F7A307F" w14:textId="77777777" w:rsidR="003546B7" w:rsidRPr="00275AC9" w:rsidRDefault="003546B7" w:rsidP="00121B40">
            <w:pPr>
              <w:spacing w:before="0" w:after="0"/>
              <w:rPr>
                <w:rFonts w:ascii="Calibri" w:hAnsi="Calibri" w:cs="Times New Roman"/>
                <w:b/>
                <w:i/>
                <w:iCs/>
              </w:rPr>
            </w:pPr>
            <w:r w:rsidRPr="00275AC9">
              <w:rPr>
                <w:rFonts w:ascii="Calibri" w:hAnsi="Calibri" w:cs="Times New Roman"/>
                <w:b/>
                <w:i/>
                <w:iCs/>
              </w:rPr>
              <w:t>TOTAL</w:t>
            </w:r>
          </w:p>
        </w:tc>
        <w:tc>
          <w:tcPr>
            <w:tcW w:w="3260" w:type="dxa"/>
            <w:noWrap/>
            <w:hideMark/>
          </w:tcPr>
          <w:p w14:paraId="5DA33ABF" w14:textId="77777777" w:rsidR="003546B7" w:rsidRPr="00275AC9" w:rsidRDefault="003546B7" w:rsidP="00121B40">
            <w:pPr>
              <w:spacing w:before="0" w:after="0"/>
              <w:jc w:val="right"/>
              <w:rPr>
                <w:rFonts w:ascii="Calibri" w:hAnsi="Calibri" w:cs="Times New Roman"/>
                <w:b/>
              </w:rPr>
            </w:pPr>
            <w:r w:rsidRPr="00275AC9">
              <w:rPr>
                <w:rFonts w:ascii="Calibri" w:hAnsi="Calibri" w:cs="Times New Roman"/>
                <w:b/>
              </w:rPr>
              <w:t>690</w:t>
            </w:r>
          </w:p>
        </w:tc>
      </w:tr>
      <w:tr w:rsidR="00210507" w:rsidRPr="00275AC9" w14:paraId="379EF9F3" w14:textId="77777777" w:rsidTr="001E1306">
        <w:trPr>
          <w:trHeight w:val="300"/>
        </w:trPr>
        <w:tc>
          <w:tcPr>
            <w:tcW w:w="7796" w:type="dxa"/>
            <w:gridSpan w:val="2"/>
            <w:shd w:val="clear" w:color="auto" w:fill="D5DBEF" w:themeFill="text2" w:themeFillTint="33"/>
            <w:noWrap/>
          </w:tcPr>
          <w:p w14:paraId="4E3DE5A0" w14:textId="1AD934AF" w:rsidR="00210507" w:rsidRPr="00275AC9" w:rsidRDefault="00210507" w:rsidP="00210507">
            <w:pPr>
              <w:spacing w:before="0" w:after="0"/>
              <w:rPr>
                <w:rFonts w:ascii="Calibri" w:hAnsi="Calibri" w:cs="Times New Roman"/>
              </w:rPr>
            </w:pPr>
            <w:r w:rsidRPr="00275AC9">
              <w:rPr>
                <w:rFonts w:ascii="Calibri" w:hAnsi="Calibri" w:cs="Times New Roman"/>
                <w:b/>
              </w:rPr>
              <w:t>Queensland</w:t>
            </w:r>
          </w:p>
        </w:tc>
      </w:tr>
      <w:tr w:rsidR="003546B7" w:rsidRPr="00275AC9" w14:paraId="6E21058F" w14:textId="77777777" w:rsidTr="002336BA">
        <w:trPr>
          <w:trHeight w:val="300"/>
        </w:trPr>
        <w:tc>
          <w:tcPr>
            <w:tcW w:w="4536" w:type="dxa"/>
            <w:noWrap/>
            <w:hideMark/>
          </w:tcPr>
          <w:p w14:paraId="70D7420E" w14:textId="77777777" w:rsidR="003546B7" w:rsidRPr="00275AC9" w:rsidRDefault="003546B7" w:rsidP="00121B40">
            <w:pPr>
              <w:spacing w:before="0" w:after="0"/>
              <w:rPr>
                <w:rFonts w:ascii="Calibri" w:hAnsi="Calibri" w:cs="Times New Roman"/>
              </w:rPr>
            </w:pPr>
            <w:r w:rsidRPr="00275AC9">
              <w:rPr>
                <w:rFonts w:ascii="Calibri" w:hAnsi="Calibri" w:cs="Times New Roman"/>
              </w:rPr>
              <w:t>Griffith University</w:t>
            </w:r>
          </w:p>
        </w:tc>
        <w:tc>
          <w:tcPr>
            <w:tcW w:w="3260" w:type="dxa"/>
            <w:noWrap/>
            <w:hideMark/>
          </w:tcPr>
          <w:p w14:paraId="0D0E06A1" w14:textId="77777777" w:rsidR="003546B7" w:rsidRPr="00275AC9" w:rsidRDefault="003546B7" w:rsidP="00121B40">
            <w:pPr>
              <w:spacing w:before="0" w:after="0"/>
              <w:jc w:val="right"/>
              <w:rPr>
                <w:rFonts w:ascii="Calibri" w:hAnsi="Calibri" w:cs="Times New Roman"/>
              </w:rPr>
            </w:pPr>
            <w:r w:rsidRPr="00275AC9">
              <w:rPr>
                <w:rFonts w:ascii="Calibri" w:hAnsi="Calibri" w:cs="Times New Roman"/>
              </w:rPr>
              <w:t>200</w:t>
            </w:r>
          </w:p>
        </w:tc>
      </w:tr>
      <w:tr w:rsidR="003546B7" w:rsidRPr="00275AC9" w14:paraId="174506E7" w14:textId="77777777" w:rsidTr="002336BA">
        <w:trPr>
          <w:trHeight w:val="300"/>
        </w:trPr>
        <w:tc>
          <w:tcPr>
            <w:tcW w:w="4536" w:type="dxa"/>
            <w:noWrap/>
            <w:hideMark/>
          </w:tcPr>
          <w:p w14:paraId="03DF2C33" w14:textId="77777777" w:rsidR="003546B7" w:rsidRPr="00275AC9" w:rsidRDefault="003546B7" w:rsidP="00121B40">
            <w:pPr>
              <w:spacing w:before="0" w:after="0"/>
              <w:rPr>
                <w:rFonts w:ascii="Calibri" w:hAnsi="Calibri" w:cs="Times New Roman"/>
              </w:rPr>
            </w:pPr>
            <w:r w:rsidRPr="00275AC9">
              <w:rPr>
                <w:rFonts w:ascii="Calibri" w:hAnsi="Calibri" w:cs="Times New Roman"/>
              </w:rPr>
              <w:t>James Cook University</w:t>
            </w:r>
          </w:p>
        </w:tc>
        <w:tc>
          <w:tcPr>
            <w:tcW w:w="3260" w:type="dxa"/>
            <w:noWrap/>
            <w:hideMark/>
          </w:tcPr>
          <w:p w14:paraId="23AF4DB6" w14:textId="77777777" w:rsidR="003546B7" w:rsidRPr="00275AC9" w:rsidRDefault="003546B7" w:rsidP="00121B40">
            <w:pPr>
              <w:spacing w:before="0" w:after="0"/>
              <w:jc w:val="right"/>
              <w:rPr>
                <w:rFonts w:ascii="Calibri" w:hAnsi="Calibri" w:cs="Times New Roman"/>
              </w:rPr>
            </w:pPr>
            <w:r w:rsidRPr="00275AC9">
              <w:rPr>
                <w:rFonts w:ascii="Calibri" w:hAnsi="Calibri" w:cs="Times New Roman"/>
              </w:rPr>
              <w:t>154</w:t>
            </w:r>
          </w:p>
        </w:tc>
      </w:tr>
      <w:tr w:rsidR="003546B7" w:rsidRPr="00275AC9" w14:paraId="391D9F85" w14:textId="77777777" w:rsidTr="002336BA">
        <w:trPr>
          <w:trHeight w:val="300"/>
        </w:trPr>
        <w:tc>
          <w:tcPr>
            <w:tcW w:w="4536" w:type="dxa"/>
            <w:noWrap/>
            <w:hideMark/>
          </w:tcPr>
          <w:p w14:paraId="4E267FD8" w14:textId="77777777" w:rsidR="003546B7" w:rsidRPr="00275AC9" w:rsidRDefault="003546B7" w:rsidP="00121B40">
            <w:pPr>
              <w:spacing w:before="0" w:after="0"/>
              <w:rPr>
                <w:rFonts w:ascii="Calibri" w:hAnsi="Calibri" w:cs="Times New Roman"/>
              </w:rPr>
            </w:pPr>
            <w:r w:rsidRPr="00275AC9">
              <w:rPr>
                <w:rFonts w:ascii="Calibri" w:hAnsi="Calibri" w:cs="Times New Roman"/>
              </w:rPr>
              <w:t>University of Queensland</w:t>
            </w:r>
          </w:p>
        </w:tc>
        <w:tc>
          <w:tcPr>
            <w:tcW w:w="3260" w:type="dxa"/>
            <w:noWrap/>
            <w:hideMark/>
          </w:tcPr>
          <w:p w14:paraId="36035697" w14:textId="77777777" w:rsidR="003546B7" w:rsidRPr="00275AC9" w:rsidRDefault="003546B7" w:rsidP="00121B40">
            <w:pPr>
              <w:spacing w:before="0" w:after="0"/>
              <w:jc w:val="right"/>
              <w:rPr>
                <w:rFonts w:ascii="Calibri" w:hAnsi="Calibri" w:cs="Times New Roman"/>
              </w:rPr>
            </w:pPr>
            <w:r w:rsidRPr="00275AC9">
              <w:rPr>
                <w:rFonts w:ascii="Calibri" w:hAnsi="Calibri" w:cs="Times New Roman"/>
              </w:rPr>
              <w:t>271</w:t>
            </w:r>
          </w:p>
        </w:tc>
      </w:tr>
      <w:tr w:rsidR="003546B7" w:rsidRPr="00275AC9" w14:paraId="6A99A2F2" w14:textId="77777777" w:rsidTr="002336BA">
        <w:trPr>
          <w:trHeight w:val="300"/>
        </w:trPr>
        <w:tc>
          <w:tcPr>
            <w:tcW w:w="4536" w:type="dxa"/>
            <w:hideMark/>
          </w:tcPr>
          <w:p w14:paraId="407D81CA" w14:textId="77777777" w:rsidR="003546B7" w:rsidRPr="00275AC9" w:rsidRDefault="003546B7" w:rsidP="00121B40">
            <w:pPr>
              <w:spacing w:before="0" w:after="0"/>
              <w:rPr>
                <w:rFonts w:ascii="Calibri" w:hAnsi="Calibri" w:cs="Times New Roman"/>
                <w:b/>
                <w:i/>
                <w:iCs/>
              </w:rPr>
            </w:pPr>
            <w:r w:rsidRPr="00275AC9">
              <w:rPr>
                <w:rFonts w:ascii="Calibri" w:hAnsi="Calibri" w:cs="Times New Roman"/>
                <w:b/>
                <w:i/>
                <w:iCs/>
              </w:rPr>
              <w:t>TOTAL</w:t>
            </w:r>
          </w:p>
        </w:tc>
        <w:tc>
          <w:tcPr>
            <w:tcW w:w="3260" w:type="dxa"/>
            <w:hideMark/>
          </w:tcPr>
          <w:p w14:paraId="29E8FF5F" w14:textId="77777777" w:rsidR="003546B7" w:rsidRPr="00275AC9" w:rsidRDefault="003546B7" w:rsidP="00121B40">
            <w:pPr>
              <w:spacing w:before="0" w:after="0"/>
              <w:jc w:val="right"/>
              <w:rPr>
                <w:rFonts w:ascii="Calibri" w:hAnsi="Calibri" w:cs="Times New Roman"/>
                <w:b/>
              </w:rPr>
            </w:pPr>
            <w:r w:rsidRPr="00275AC9">
              <w:rPr>
                <w:rFonts w:ascii="Calibri" w:hAnsi="Calibri" w:cs="Times New Roman"/>
                <w:b/>
              </w:rPr>
              <w:t>625</w:t>
            </w:r>
          </w:p>
        </w:tc>
      </w:tr>
      <w:tr w:rsidR="00210507" w:rsidRPr="00275AC9" w14:paraId="27087DBC" w14:textId="77777777" w:rsidTr="001E1306">
        <w:trPr>
          <w:trHeight w:val="300"/>
        </w:trPr>
        <w:tc>
          <w:tcPr>
            <w:tcW w:w="7796" w:type="dxa"/>
            <w:gridSpan w:val="2"/>
            <w:shd w:val="clear" w:color="auto" w:fill="D5DBEF" w:themeFill="text2" w:themeFillTint="33"/>
            <w:noWrap/>
            <w:hideMark/>
          </w:tcPr>
          <w:p w14:paraId="4646D93B" w14:textId="4E4F7775" w:rsidR="00210507" w:rsidRPr="00275AC9" w:rsidRDefault="00210507" w:rsidP="00210507">
            <w:pPr>
              <w:spacing w:before="0" w:after="0"/>
              <w:rPr>
                <w:rFonts w:ascii="Calibri" w:hAnsi="Calibri" w:cs="Times New Roman"/>
              </w:rPr>
            </w:pPr>
            <w:r w:rsidRPr="00275AC9">
              <w:rPr>
                <w:rFonts w:ascii="Calibri" w:hAnsi="Calibri" w:cs="Times New Roman"/>
                <w:b/>
                <w:bCs/>
              </w:rPr>
              <w:t>Western Australia</w:t>
            </w:r>
            <w:r w:rsidRPr="00275AC9">
              <w:rPr>
                <w:rFonts w:ascii="Calibri" w:hAnsi="Calibri" w:cs="Times New Roman"/>
              </w:rPr>
              <w:t> </w:t>
            </w:r>
          </w:p>
        </w:tc>
      </w:tr>
      <w:tr w:rsidR="003546B7" w:rsidRPr="00275AC9" w14:paraId="3DF4D3DA" w14:textId="77777777" w:rsidTr="002336BA">
        <w:trPr>
          <w:trHeight w:val="600"/>
        </w:trPr>
        <w:tc>
          <w:tcPr>
            <w:tcW w:w="4536" w:type="dxa"/>
            <w:hideMark/>
          </w:tcPr>
          <w:p w14:paraId="0BCC4BD9" w14:textId="77777777" w:rsidR="003546B7" w:rsidRPr="00275AC9" w:rsidRDefault="003546B7" w:rsidP="00121B40">
            <w:pPr>
              <w:spacing w:before="0" w:after="0"/>
              <w:rPr>
                <w:rFonts w:ascii="Calibri" w:hAnsi="Calibri" w:cs="Times New Roman"/>
              </w:rPr>
            </w:pPr>
            <w:r w:rsidRPr="00275AC9">
              <w:rPr>
                <w:rFonts w:ascii="Calibri" w:hAnsi="Calibri" w:cs="Times New Roman"/>
              </w:rPr>
              <w:t>University of Notre Dame Australia</w:t>
            </w:r>
            <w:r w:rsidRPr="00275AC9">
              <w:rPr>
                <w:rFonts w:ascii="Calibri" w:hAnsi="Calibri" w:cs="Times New Roman"/>
              </w:rPr>
              <w:br/>
              <w:t>(Fremantle campus)**</w:t>
            </w:r>
          </w:p>
        </w:tc>
        <w:tc>
          <w:tcPr>
            <w:tcW w:w="3260" w:type="dxa"/>
            <w:noWrap/>
            <w:hideMark/>
          </w:tcPr>
          <w:p w14:paraId="3786804D" w14:textId="77777777" w:rsidR="003546B7" w:rsidRPr="00275AC9" w:rsidRDefault="003546B7" w:rsidP="00121B40">
            <w:pPr>
              <w:spacing w:before="0" w:after="0"/>
              <w:jc w:val="right"/>
              <w:rPr>
                <w:rFonts w:ascii="Calibri" w:hAnsi="Calibri" w:cs="Times New Roman"/>
              </w:rPr>
            </w:pPr>
            <w:r w:rsidRPr="00275AC9">
              <w:rPr>
                <w:rFonts w:ascii="Calibri" w:hAnsi="Calibri" w:cs="Times New Roman"/>
              </w:rPr>
              <w:t>100</w:t>
            </w:r>
          </w:p>
        </w:tc>
      </w:tr>
      <w:tr w:rsidR="003546B7" w:rsidRPr="00275AC9" w14:paraId="23E1737A" w14:textId="77777777" w:rsidTr="002336BA">
        <w:trPr>
          <w:trHeight w:val="300"/>
        </w:trPr>
        <w:tc>
          <w:tcPr>
            <w:tcW w:w="4536" w:type="dxa"/>
            <w:noWrap/>
            <w:hideMark/>
          </w:tcPr>
          <w:p w14:paraId="74702FC7" w14:textId="77777777" w:rsidR="003546B7" w:rsidRPr="00275AC9" w:rsidRDefault="003546B7" w:rsidP="00121B40">
            <w:pPr>
              <w:spacing w:before="0" w:after="0"/>
              <w:rPr>
                <w:rFonts w:ascii="Calibri" w:hAnsi="Calibri" w:cs="Times New Roman"/>
              </w:rPr>
            </w:pPr>
            <w:r w:rsidRPr="00275AC9">
              <w:rPr>
                <w:rFonts w:ascii="Calibri" w:hAnsi="Calibri" w:cs="Times New Roman"/>
              </w:rPr>
              <w:t>University of Western Australia</w:t>
            </w:r>
          </w:p>
        </w:tc>
        <w:tc>
          <w:tcPr>
            <w:tcW w:w="3260" w:type="dxa"/>
            <w:noWrap/>
            <w:hideMark/>
          </w:tcPr>
          <w:p w14:paraId="0EE5E07A" w14:textId="77777777" w:rsidR="003546B7" w:rsidRPr="00275AC9" w:rsidRDefault="003546B7" w:rsidP="00121B40">
            <w:pPr>
              <w:spacing w:before="0" w:after="0"/>
              <w:jc w:val="right"/>
              <w:rPr>
                <w:rFonts w:ascii="Calibri" w:hAnsi="Calibri" w:cs="Times New Roman"/>
              </w:rPr>
            </w:pPr>
            <w:r w:rsidRPr="00275AC9">
              <w:rPr>
                <w:rFonts w:ascii="Calibri" w:hAnsi="Calibri" w:cs="Times New Roman"/>
              </w:rPr>
              <w:t>205</w:t>
            </w:r>
          </w:p>
        </w:tc>
      </w:tr>
      <w:tr w:rsidR="003546B7" w:rsidRPr="00275AC9" w14:paraId="64A266A8" w14:textId="77777777" w:rsidTr="002336BA">
        <w:trPr>
          <w:trHeight w:val="300"/>
        </w:trPr>
        <w:tc>
          <w:tcPr>
            <w:tcW w:w="4536" w:type="dxa"/>
            <w:noWrap/>
            <w:hideMark/>
          </w:tcPr>
          <w:p w14:paraId="1B17C9EB" w14:textId="77777777" w:rsidR="003546B7" w:rsidRPr="00275AC9" w:rsidRDefault="003546B7" w:rsidP="00121B40">
            <w:pPr>
              <w:spacing w:before="0" w:after="0"/>
              <w:rPr>
                <w:rFonts w:ascii="Calibri" w:hAnsi="Calibri" w:cs="Times New Roman"/>
              </w:rPr>
            </w:pPr>
            <w:r w:rsidRPr="00275AC9">
              <w:rPr>
                <w:rFonts w:ascii="Calibri" w:hAnsi="Calibri" w:cs="Times New Roman"/>
              </w:rPr>
              <w:t>Curtin University</w:t>
            </w:r>
          </w:p>
        </w:tc>
        <w:tc>
          <w:tcPr>
            <w:tcW w:w="3260" w:type="dxa"/>
            <w:noWrap/>
            <w:hideMark/>
          </w:tcPr>
          <w:p w14:paraId="7AA9F17E" w14:textId="77777777" w:rsidR="003546B7" w:rsidRPr="00275AC9" w:rsidRDefault="003546B7" w:rsidP="00121B40">
            <w:pPr>
              <w:spacing w:before="0" w:after="0"/>
              <w:jc w:val="right"/>
              <w:rPr>
                <w:rFonts w:ascii="Calibri" w:hAnsi="Calibri" w:cs="Times New Roman"/>
              </w:rPr>
            </w:pPr>
            <w:r w:rsidRPr="00275AC9">
              <w:rPr>
                <w:rFonts w:ascii="Calibri" w:hAnsi="Calibri" w:cs="Times New Roman"/>
              </w:rPr>
              <w:t>100</w:t>
            </w:r>
          </w:p>
        </w:tc>
      </w:tr>
      <w:tr w:rsidR="003546B7" w:rsidRPr="00275AC9" w14:paraId="7603EFF9" w14:textId="77777777" w:rsidTr="002336BA">
        <w:trPr>
          <w:trHeight w:val="300"/>
        </w:trPr>
        <w:tc>
          <w:tcPr>
            <w:tcW w:w="4536" w:type="dxa"/>
            <w:noWrap/>
            <w:hideMark/>
          </w:tcPr>
          <w:p w14:paraId="45492CD9" w14:textId="77777777" w:rsidR="003546B7" w:rsidRPr="00275AC9" w:rsidRDefault="003546B7" w:rsidP="00121B40">
            <w:pPr>
              <w:spacing w:before="0" w:after="0"/>
              <w:rPr>
                <w:rFonts w:ascii="Calibri" w:hAnsi="Calibri" w:cs="Times New Roman"/>
                <w:b/>
                <w:i/>
                <w:iCs/>
              </w:rPr>
            </w:pPr>
            <w:r w:rsidRPr="00275AC9">
              <w:rPr>
                <w:rFonts w:ascii="Calibri" w:hAnsi="Calibri" w:cs="Times New Roman"/>
                <w:b/>
                <w:i/>
                <w:iCs/>
              </w:rPr>
              <w:t>TOTAL</w:t>
            </w:r>
          </w:p>
        </w:tc>
        <w:tc>
          <w:tcPr>
            <w:tcW w:w="3260" w:type="dxa"/>
            <w:noWrap/>
            <w:hideMark/>
          </w:tcPr>
          <w:p w14:paraId="234A574D" w14:textId="77777777" w:rsidR="003546B7" w:rsidRPr="00275AC9" w:rsidRDefault="003546B7" w:rsidP="00121B40">
            <w:pPr>
              <w:spacing w:before="0" w:after="0"/>
              <w:jc w:val="right"/>
              <w:rPr>
                <w:rFonts w:ascii="Calibri" w:hAnsi="Calibri" w:cs="Times New Roman"/>
                <w:b/>
              </w:rPr>
            </w:pPr>
            <w:r w:rsidRPr="00275AC9">
              <w:rPr>
                <w:rFonts w:ascii="Calibri" w:hAnsi="Calibri" w:cs="Times New Roman"/>
                <w:b/>
              </w:rPr>
              <w:t>405</w:t>
            </w:r>
          </w:p>
        </w:tc>
      </w:tr>
      <w:tr w:rsidR="00210507" w:rsidRPr="00275AC9" w14:paraId="09564C9A" w14:textId="77777777" w:rsidTr="001E1306">
        <w:trPr>
          <w:trHeight w:val="300"/>
        </w:trPr>
        <w:tc>
          <w:tcPr>
            <w:tcW w:w="7796" w:type="dxa"/>
            <w:gridSpan w:val="2"/>
            <w:shd w:val="clear" w:color="auto" w:fill="D5DBEF" w:themeFill="text2" w:themeFillTint="33"/>
            <w:noWrap/>
          </w:tcPr>
          <w:p w14:paraId="259968CD" w14:textId="17045EC3" w:rsidR="00210507" w:rsidRPr="00275AC9" w:rsidRDefault="00210507" w:rsidP="00210507">
            <w:pPr>
              <w:spacing w:before="0" w:after="0"/>
              <w:rPr>
                <w:rFonts w:ascii="Calibri" w:hAnsi="Calibri" w:cs="Times New Roman"/>
                <w:b/>
              </w:rPr>
            </w:pPr>
            <w:r w:rsidRPr="00275AC9">
              <w:rPr>
                <w:rFonts w:ascii="Calibri" w:hAnsi="Calibri" w:cs="Times New Roman"/>
                <w:b/>
              </w:rPr>
              <w:t>South Australia</w:t>
            </w:r>
          </w:p>
        </w:tc>
      </w:tr>
      <w:tr w:rsidR="003546B7" w:rsidRPr="00275AC9" w14:paraId="7BBDAD83" w14:textId="77777777" w:rsidTr="002336BA">
        <w:trPr>
          <w:trHeight w:val="300"/>
        </w:trPr>
        <w:tc>
          <w:tcPr>
            <w:tcW w:w="4536" w:type="dxa"/>
            <w:noWrap/>
            <w:hideMark/>
          </w:tcPr>
          <w:p w14:paraId="101A1CD8" w14:textId="77777777" w:rsidR="003546B7" w:rsidRPr="00275AC9" w:rsidRDefault="003546B7" w:rsidP="00121B40">
            <w:pPr>
              <w:spacing w:before="0" w:after="0"/>
              <w:rPr>
                <w:rFonts w:ascii="Calibri" w:hAnsi="Calibri" w:cs="Times New Roman"/>
              </w:rPr>
            </w:pPr>
            <w:r w:rsidRPr="00275AC9">
              <w:rPr>
                <w:rFonts w:ascii="Calibri" w:hAnsi="Calibri" w:cs="Times New Roman"/>
              </w:rPr>
              <w:t>Flinders University</w:t>
            </w:r>
          </w:p>
        </w:tc>
        <w:tc>
          <w:tcPr>
            <w:tcW w:w="3260" w:type="dxa"/>
            <w:noWrap/>
            <w:hideMark/>
          </w:tcPr>
          <w:p w14:paraId="54D147D6" w14:textId="77777777" w:rsidR="003546B7" w:rsidRPr="00275AC9" w:rsidRDefault="003546B7" w:rsidP="00121B40">
            <w:pPr>
              <w:spacing w:before="0" w:after="0"/>
              <w:jc w:val="right"/>
              <w:rPr>
                <w:rFonts w:ascii="Calibri" w:hAnsi="Calibri" w:cs="Times New Roman"/>
              </w:rPr>
            </w:pPr>
            <w:r w:rsidRPr="00275AC9">
              <w:rPr>
                <w:rFonts w:ascii="Calibri" w:hAnsi="Calibri" w:cs="Times New Roman"/>
              </w:rPr>
              <w:t>111</w:t>
            </w:r>
          </w:p>
        </w:tc>
      </w:tr>
      <w:tr w:rsidR="003546B7" w:rsidRPr="00275AC9" w14:paraId="61462BD8" w14:textId="77777777" w:rsidTr="002336BA">
        <w:trPr>
          <w:trHeight w:val="300"/>
        </w:trPr>
        <w:tc>
          <w:tcPr>
            <w:tcW w:w="4536" w:type="dxa"/>
            <w:noWrap/>
            <w:hideMark/>
          </w:tcPr>
          <w:p w14:paraId="36B67373" w14:textId="77777777" w:rsidR="003546B7" w:rsidRPr="00275AC9" w:rsidRDefault="003546B7" w:rsidP="00121B40">
            <w:pPr>
              <w:spacing w:before="0" w:after="0"/>
              <w:rPr>
                <w:rFonts w:ascii="Calibri" w:hAnsi="Calibri" w:cs="Times New Roman"/>
              </w:rPr>
            </w:pPr>
            <w:r w:rsidRPr="00275AC9">
              <w:rPr>
                <w:rFonts w:ascii="Calibri" w:hAnsi="Calibri" w:cs="Times New Roman"/>
              </w:rPr>
              <w:t>University of Adelaide</w:t>
            </w:r>
          </w:p>
        </w:tc>
        <w:tc>
          <w:tcPr>
            <w:tcW w:w="3260" w:type="dxa"/>
            <w:noWrap/>
            <w:hideMark/>
          </w:tcPr>
          <w:p w14:paraId="1077DC2C" w14:textId="77777777" w:rsidR="003546B7" w:rsidRPr="00275AC9" w:rsidRDefault="003546B7" w:rsidP="00121B40">
            <w:pPr>
              <w:spacing w:before="0" w:after="0"/>
              <w:jc w:val="right"/>
              <w:rPr>
                <w:rFonts w:ascii="Calibri" w:hAnsi="Calibri" w:cs="Times New Roman"/>
              </w:rPr>
            </w:pPr>
            <w:r w:rsidRPr="00275AC9">
              <w:rPr>
                <w:rFonts w:ascii="Calibri" w:hAnsi="Calibri" w:cs="Times New Roman"/>
              </w:rPr>
              <w:t>134</w:t>
            </w:r>
          </w:p>
        </w:tc>
      </w:tr>
      <w:tr w:rsidR="003546B7" w:rsidRPr="00275AC9" w14:paraId="56EDF17A" w14:textId="77777777" w:rsidTr="002336BA">
        <w:trPr>
          <w:trHeight w:val="300"/>
        </w:trPr>
        <w:tc>
          <w:tcPr>
            <w:tcW w:w="4536" w:type="dxa"/>
            <w:noWrap/>
            <w:hideMark/>
          </w:tcPr>
          <w:p w14:paraId="5C0CEF95" w14:textId="77777777" w:rsidR="003546B7" w:rsidRPr="00275AC9" w:rsidRDefault="003546B7" w:rsidP="00121B40">
            <w:pPr>
              <w:spacing w:before="0" w:after="0"/>
              <w:rPr>
                <w:rFonts w:ascii="Calibri" w:hAnsi="Calibri" w:cs="Times New Roman"/>
                <w:b/>
                <w:i/>
                <w:iCs/>
              </w:rPr>
            </w:pPr>
            <w:r w:rsidRPr="00275AC9">
              <w:rPr>
                <w:rFonts w:ascii="Calibri" w:hAnsi="Calibri" w:cs="Times New Roman"/>
                <w:b/>
                <w:i/>
                <w:iCs/>
              </w:rPr>
              <w:t>TOTAL</w:t>
            </w:r>
          </w:p>
        </w:tc>
        <w:tc>
          <w:tcPr>
            <w:tcW w:w="3260" w:type="dxa"/>
            <w:noWrap/>
            <w:hideMark/>
          </w:tcPr>
          <w:p w14:paraId="77501977" w14:textId="77777777" w:rsidR="003546B7" w:rsidRPr="00275AC9" w:rsidRDefault="003546B7" w:rsidP="00121B40">
            <w:pPr>
              <w:spacing w:before="0" w:after="0"/>
              <w:jc w:val="right"/>
              <w:rPr>
                <w:rFonts w:ascii="Calibri" w:hAnsi="Calibri" w:cs="Times New Roman"/>
                <w:b/>
              </w:rPr>
            </w:pPr>
            <w:r w:rsidRPr="00275AC9">
              <w:rPr>
                <w:rFonts w:ascii="Calibri" w:hAnsi="Calibri" w:cs="Times New Roman"/>
                <w:b/>
              </w:rPr>
              <w:t>245</w:t>
            </w:r>
          </w:p>
        </w:tc>
      </w:tr>
      <w:tr w:rsidR="00210507" w:rsidRPr="00275AC9" w14:paraId="02EDA052" w14:textId="77777777" w:rsidTr="001E1306">
        <w:trPr>
          <w:trHeight w:val="300"/>
        </w:trPr>
        <w:tc>
          <w:tcPr>
            <w:tcW w:w="7796" w:type="dxa"/>
            <w:gridSpan w:val="2"/>
            <w:shd w:val="clear" w:color="auto" w:fill="D5DBEF" w:themeFill="text2" w:themeFillTint="33"/>
            <w:noWrap/>
          </w:tcPr>
          <w:p w14:paraId="52F7AE7C" w14:textId="21226327" w:rsidR="00210507" w:rsidRPr="00275AC9" w:rsidRDefault="00210507" w:rsidP="00210507">
            <w:pPr>
              <w:spacing w:before="0" w:after="0"/>
              <w:rPr>
                <w:rFonts w:ascii="Calibri" w:hAnsi="Calibri" w:cs="Times New Roman"/>
              </w:rPr>
            </w:pPr>
            <w:r w:rsidRPr="00275AC9">
              <w:rPr>
                <w:rFonts w:ascii="Calibri" w:hAnsi="Calibri" w:cs="Times New Roman"/>
                <w:b/>
              </w:rPr>
              <w:t>Tasmania</w:t>
            </w:r>
          </w:p>
        </w:tc>
      </w:tr>
      <w:tr w:rsidR="003546B7" w:rsidRPr="00275AC9" w14:paraId="79C264B7" w14:textId="77777777" w:rsidTr="002336BA">
        <w:trPr>
          <w:trHeight w:val="300"/>
        </w:trPr>
        <w:tc>
          <w:tcPr>
            <w:tcW w:w="4536" w:type="dxa"/>
            <w:noWrap/>
            <w:hideMark/>
          </w:tcPr>
          <w:p w14:paraId="0155A9EB" w14:textId="77777777" w:rsidR="003546B7" w:rsidRPr="00275AC9" w:rsidRDefault="003546B7" w:rsidP="00121B40">
            <w:pPr>
              <w:spacing w:before="0" w:after="0"/>
              <w:rPr>
                <w:rFonts w:ascii="Calibri" w:hAnsi="Calibri" w:cs="Times New Roman"/>
              </w:rPr>
            </w:pPr>
            <w:r w:rsidRPr="00275AC9">
              <w:rPr>
                <w:rFonts w:ascii="Calibri" w:hAnsi="Calibri" w:cs="Times New Roman"/>
              </w:rPr>
              <w:t>University of Tasmania</w:t>
            </w:r>
          </w:p>
        </w:tc>
        <w:tc>
          <w:tcPr>
            <w:tcW w:w="3260" w:type="dxa"/>
            <w:noWrap/>
            <w:hideMark/>
          </w:tcPr>
          <w:p w14:paraId="4E64529E" w14:textId="77777777" w:rsidR="003546B7" w:rsidRPr="00275AC9" w:rsidRDefault="003546B7" w:rsidP="00121B40">
            <w:pPr>
              <w:spacing w:before="0" w:after="0"/>
              <w:jc w:val="right"/>
              <w:rPr>
                <w:rFonts w:ascii="Calibri" w:hAnsi="Calibri" w:cs="Times New Roman"/>
              </w:rPr>
            </w:pPr>
            <w:r w:rsidRPr="00275AC9">
              <w:rPr>
                <w:rFonts w:ascii="Calibri" w:hAnsi="Calibri" w:cs="Times New Roman"/>
              </w:rPr>
              <w:t>93</w:t>
            </w:r>
          </w:p>
        </w:tc>
      </w:tr>
      <w:tr w:rsidR="00210507" w:rsidRPr="00275AC9" w14:paraId="22E15C18" w14:textId="77777777" w:rsidTr="001E1306">
        <w:trPr>
          <w:trHeight w:val="300"/>
        </w:trPr>
        <w:tc>
          <w:tcPr>
            <w:tcW w:w="7796" w:type="dxa"/>
            <w:gridSpan w:val="2"/>
            <w:shd w:val="clear" w:color="auto" w:fill="D5DBEF" w:themeFill="text2" w:themeFillTint="33"/>
            <w:noWrap/>
          </w:tcPr>
          <w:p w14:paraId="6D564D53" w14:textId="265907DE" w:rsidR="00210507" w:rsidRPr="00275AC9" w:rsidRDefault="00210507" w:rsidP="00210507">
            <w:pPr>
              <w:spacing w:before="0" w:after="0"/>
              <w:rPr>
                <w:rFonts w:ascii="Calibri" w:hAnsi="Calibri" w:cs="Times New Roman"/>
                <w:b/>
              </w:rPr>
            </w:pPr>
            <w:r w:rsidRPr="00275AC9">
              <w:rPr>
                <w:rFonts w:ascii="Calibri" w:hAnsi="Calibri" w:cs="Times New Roman"/>
                <w:b/>
              </w:rPr>
              <w:t>Australian Capital Territory</w:t>
            </w:r>
          </w:p>
        </w:tc>
      </w:tr>
      <w:tr w:rsidR="003546B7" w:rsidRPr="00275AC9" w14:paraId="195117A8" w14:textId="77777777" w:rsidTr="002336BA">
        <w:trPr>
          <w:trHeight w:val="300"/>
        </w:trPr>
        <w:tc>
          <w:tcPr>
            <w:tcW w:w="4536" w:type="dxa"/>
            <w:noWrap/>
            <w:hideMark/>
          </w:tcPr>
          <w:p w14:paraId="319ECCAC" w14:textId="77777777" w:rsidR="003546B7" w:rsidRPr="00275AC9" w:rsidRDefault="003546B7" w:rsidP="00121B40">
            <w:pPr>
              <w:spacing w:before="0" w:after="0"/>
              <w:rPr>
                <w:rFonts w:ascii="Calibri" w:hAnsi="Calibri" w:cs="Times New Roman"/>
              </w:rPr>
            </w:pPr>
            <w:r w:rsidRPr="00275AC9">
              <w:rPr>
                <w:rFonts w:ascii="Calibri" w:hAnsi="Calibri" w:cs="Times New Roman"/>
              </w:rPr>
              <w:t>Australian National University</w:t>
            </w:r>
          </w:p>
        </w:tc>
        <w:tc>
          <w:tcPr>
            <w:tcW w:w="3260" w:type="dxa"/>
            <w:noWrap/>
            <w:hideMark/>
          </w:tcPr>
          <w:p w14:paraId="341EB6A1" w14:textId="77777777" w:rsidR="003546B7" w:rsidRPr="00275AC9" w:rsidRDefault="003546B7" w:rsidP="00121B40">
            <w:pPr>
              <w:spacing w:before="0" w:after="0"/>
              <w:jc w:val="right"/>
              <w:rPr>
                <w:rFonts w:ascii="Calibri" w:hAnsi="Calibri" w:cs="Times New Roman"/>
              </w:rPr>
            </w:pPr>
            <w:r w:rsidRPr="00275AC9">
              <w:rPr>
                <w:rFonts w:ascii="Calibri" w:hAnsi="Calibri" w:cs="Times New Roman"/>
              </w:rPr>
              <w:t>90</w:t>
            </w:r>
          </w:p>
        </w:tc>
      </w:tr>
      <w:tr w:rsidR="003546B7" w:rsidRPr="00275AC9" w14:paraId="0F51836B" w14:textId="77777777" w:rsidTr="002336BA">
        <w:trPr>
          <w:trHeight w:val="300"/>
        </w:trPr>
        <w:tc>
          <w:tcPr>
            <w:tcW w:w="4536" w:type="dxa"/>
            <w:shd w:val="clear" w:color="auto" w:fill="D9D9D9"/>
            <w:noWrap/>
            <w:hideMark/>
          </w:tcPr>
          <w:p w14:paraId="5705415A" w14:textId="77777777" w:rsidR="003546B7" w:rsidRPr="00275AC9" w:rsidRDefault="003546B7" w:rsidP="00121B40">
            <w:pPr>
              <w:spacing w:before="0" w:after="0"/>
              <w:rPr>
                <w:rFonts w:ascii="Calibri" w:hAnsi="Calibri" w:cs="Times New Roman"/>
                <w:b/>
              </w:rPr>
            </w:pPr>
            <w:r w:rsidRPr="00275AC9">
              <w:rPr>
                <w:rFonts w:ascii="Calibri" w:hAnsi="Calibri" w:cs="Times New Roman"/>
                <w:b/>
              </w:rPr>
              <w:t>TOTAL</w:t>
            </w:r>
          </w:p>
        </w:tc>
        <w:tc>
          <w:tcPr>
            <w:tcW w:w="3260" w:type="dxa"/>
            <w:shd w:val="clear" w:color="auto" w:fill="D9D9D9"/>
            <w:noWrap/>
            <w:hideMark/>
          </w:tcPr>
          <w:p w14:paraId="7FA8F1CF" w14:textId="77777777" w:rsidR="003546B7" w:rsidRPr="00275AC9" w:rsidRDefault="003546B7" w:rsidP="00121B40">
            <w:pPr>
              <w:spacing w:before="0" w:after="0"/>
              <w:jc w:val="right"/>
              <w:rPr>
                <w:rFonts w:ascii="Calibri" w:hAnsi="Calibri" w:cs="Times New Roman"/>
                <w:b/>
              </w:rPr>
            </w:pPr>
            <w:r w:rsidRPr="00275AC9">
              <w:rPr>
                <w:rFonts w:ascii="Calibri" w:hAnsi="Calibri" w:cs="Times New Roman"/>
                <w:b/>
              </w:rPr>
              <w:t>2972</w:t>
            </w:r>
          </w:p>
        </w:tc>
      </w:tr>
    </w:tbl>
    <w:p w14:paraId="0D9C1DF0" w14:textId="77777777" w:rsidR="00034E0F" w:rsidRPr="00275AC9" w:rsidRDefault="00034E0F" w:rsidP="00DD3210">
      <w:pPr>
        <w:ind w:left="425"/>
        <w:rPr>
          <w:sz w:val="18"/>
          <w:szCs w:val="18"/>
        </w:rPr>
      </w:pPr>
      <w:r w:rsidRPr="00275AC9">
        <w:t xml:space="preserve">* </w:t>
      </w:r>
      <w:r w:rsidRPr="00275AC9">
        <w:rPr>
          <w:sz w:val="18"/>
          <w:szCs w:val="18"/>
        </w:rPr>
        <w:t>Commencement estimates are based on the number of medical CSP graduates anticipated to be permitted in 2021 Commonwealth Grant Scheme funding agreements, and assume a 100 per cent pipeline. Commencements for the University of Melbourne and the University of Notre Dame Australia (UNDA) exclude domestic full-fee paying medical enrolments. Flinders University commencements excludes NT Medical School Program places as these places are supported by the NT Government and are not CSPs.</w:t>
      </w:r>
    </w:p>
    <w:p w14:paraId="39353709" w14:textId="77777777" w:rsidR="00034E0F" w:rsidRPr="00275AC9" w:rsidRDefault="00034E0F" w:rsidP="00DD3210">
      <w:pPr>
        <w:ind w:left="425"/>
        <w:rPr>
          <w:sz w:val="18"/>
          <w:szCs w:val="18"/>
        </w:rPr>
      </w:pPr>
      <w:r w:rsidRPr="00275AC9">
        <w:rPr>
          <w:sz w:val="18"/>
          <w:szCs w:val="18"/>
        </w:rPr>
        <w:t>** As UNDA operates in both Western Australia and New South Wales, its estimated 160 total medical CSP commencements has been split accordingly between both campuses, based on initial allocations approved for each campus between 2005-2009.</w:t>
      </w:r>
    </w:p>
    <w:p w14:paraId="55E651A1" w14:textId="77777777" w:rsidR="00034E0F" w:rsidRPr="007C27A6" w:rsidRDefault="00034E0F" w:rsidP="007C27A6">
      <w:pPr>
        <w:rPr>
          <w:rFonts w:eastAsia="Times New Roman" w:cstheme="minorHAnsi"/>
          <w:color w:val="333333"/>
          <w:lang w:val="en" w:eastAsia="en-AU"/>
        </w:rPr>
        <w:sectPr w:rsidR="00034E0F" w:rsidRPr="007C27A6" w:rsidSect="000F2EC1">
          <w:pgSz w:w="11906" w:h="16838"/>
          <w:pgMar w:top="0" w:right="1134" w:bottom="1134" w:left="1134" w:header="680" w:footer="567" w:gutter="0"/>
          <w:cols w:space="708"/>
          <w:titlePg/>
          <w:docGrid w:linePitch="360"/>
        </w:sectPr>
      </w:pPr>
    </w:p>
    <w:p w14:paraId="21FC29AB" w14:textId="77777777" w:rsidR="003D6D06" w:rsidRPr="006F3FEE" w:rsidRDefault="003D6D06" w:rsidP="00DD3210">
      <w:r w:rsidRPr="006F3FEE">
        <w:rPr>
          <w:rFonts w:eastAsia="Times New Roman" w:cstheme="minorHAnsi"/>
          <w:lang w:val="en" w:eastAsia="en-AU"/>
        </w:rPr>
        <w:t>Universities make a</w:t>
      </w:r>
      <w:r w:rsidRPr="006F3FEE">
        <w:t xml:space="preserve"> significant commitment to rural medical education through their participation in the Department of Health’s RHMT program. Every university course that offers medical CSPs, apart from Curtin and Griffith universities, participated in the RHMT program during the 2013–17 period.</w:t>
      </w:r>
      <w:r w:rsidRPr="006F3FEE">
        <w:rPr>
          <w:rStyle w:val="FootnoteReference"/>
        </w:rPr>
        <w:footnoteReference w:id="5"/>
      </w:r>
    </w:p>
    <w:p w14:paraId="61D745EF" w14:textId="77777777" w:rsidR="003D6D06" w:rsidRPr="006F3FEE" w:rsidRDefault="003D6D06" w:rsidP="00DD3210">
      <w:r w:rsidRPr="006F3FEE">
        <w:t xml:space="preserve">RHMT program targets include a requirement for at least 50 per cent of medical CSPs to complete a minimum four consecutive weeks rural clinical training in </w:t>
      </w:r>
      <w:r w:rsidR="00D13BD4" w:rsidRPr="006F3FEE">
        <w:t xml:space="preserve">Australian Statistical Geography Standard-Remoteness </w:t>
      </w:r>
      <w:r w:rsidR="00D11E28" w:rsidRPr="006F3FEE">
        <w:t>Areas</w:t>
      </w:r>
      <w:r w:rsidRPr="006F3FEE">
        <w:t xml:space="preserve">-RA </w:t>
      </w:r>
      <w:r w:rsidR="004540F5" w:rsidRPr="006F3FEE">
        <w:t xml:space="preserve">(ASGS-RA) </w:t>
      </w:r>
      <w:r w:rsidRPr="006F3FEE">
        <w:t>2-5 locations; and at least 25 per cent to complete a minimum 12 months rural clinical training in ASGS-RA 2-5 locations.</w:t>
      </w:r>
    </w:p>
    <w:p w14:paraId="1AA2C03D" w14:textId="4FD07E25" w:rsidR="003D6D06" w:rsidRPr="006F3FEE" w:rsidRDefault="003D6D06" w:rsidP="00DD3210">
      <w:pPr>
        <w:rPr>
          <w:rFonts w:eastAsia="Times New Roman" w:cstheme="minorHAnsi"/>
          <w:lang w:val="en" w:eastAsia="en-AU"/>
        </w:rPr>
      </w:pPr>
      <w:r w:rsidRPr="006F3FEE">
        <w:rPr>
          <w:rFonts w:eastAsia="Times New Roman" w:cstheme="minorHAnsi"/>
          <w:lang w:val="en" w:eastAsia="en-AU"/>
        </w:rPr>
        <w:t>As part of their RHMT rural training commitment, universities also agree that 25 per cent of their medical enrolments will be drawn from a rural background (defined as residency of at least ten years cumulatively or any five years consecutively in an ASGS-RA 2-5 area).</w:t>
      </w:r>
      <w:r w:rsidR="00A474E8" w:rsidRPr="006F3FEE">
        <w:rPr>
          <w:rStyle w:val="FootnoteReference"/>
          <w:rFonts w:eastAsia="Times New Roman" w:cstheme="minorHAnsi"/>
          <w:lang w:val="en" w:eastAsia="en-AU"/>
        </w:rPr>
        <w:footnoteReference w:id="6"/>
      </w:r>
      <w:r w:rsidRPr="006F3FEE">
        <w:rPr>
          <w:rFonts w:eastAsia="Times New Roman" w:cstheme="minorHAnsi"/>
          <w:lang w:val="en" w:eastAsia="en-AU"/>
        </w:rPr>
        <w:t xml:space="preserve"> Universities are also required to set a growth target</w:t>
      </w:r>
      <w:r w:rsidR="00E128F7" w:rsidRPr="006F3FEE">
        <w:rPr>
          <w:rFonts w:eastAsia="Times New Roman" w:cstheme="minorHAnsi"/>
          <w:lang w:val="en" w:eastAsia="en-AU"/>
        </w:rPr>
        <w:t>, and with the exception of newer entrants, all are currently committed</w:t>
      </w:r>
      <w:r w:rsidR="00DC0505" w:rsidRPr="006F3FEE">
        <w:rPr>
          <w:rFonts w:eastAsia="Times New Roman" w:cstheme="minorHAnsi"/>
          <w:lang w:val="en" w:eastAsia="en-AU"/>
        </w:rPr>
        <w:t xml:space="preserve"> to a target of at least 27 per </w:t>
      </w:r>
      <w:r w:rsidR="00E128F7" w:rsidRPr="006F3FEE">
        <w:rPr>
          <w:rFonts w:eastAsia="Times New Roman" w:cstheme="minorHAnsi"/>
          <w:lang w:val="en" w:eastAsia="en-AU"/>
        </w:rPr>
        <w:t>cent. According to Medical Deans Australia and New Zealand (MDANZ) in</w:t>
      </w:r>
      <w:r w:rsidRPr="006F3FEE">
        <w:rPr>
          <w:rFonts w:eastAsia="Times New Roman" w:cstheme="minorHAnsi"/>
          <w:lang w:val="en" w:eastAsia="en-AU"/>
        </w:rPr>
        <w:t xml:space="preserve"> 2017, almost 27 per cent of commencing domestic medical students came from a rural background.</w:t>
      </w:r>
      <w:r w:rsidR="00D61878" w:rsidRPr="006F3FEE">
        <w:rPr>
          <w:rStyle w:val="FootnoteReference"/>
          <w:rFonts w:eastAsia="Times New Roman" w:cstheme="minorHAnsi"/>
          <w:lang w:val="en" w:eastAsia="en-AU"/>
        </w:rPr>
        <w:footnoteReference w:id="7"/>
      </w:r>
    </w:p>
    <w:p w14:paraId="70B5928A" w14:textId="3BF29E96" w:rsidR="003D6D06" w:rsidRPr="006F3FEE" w:rsidRDefault="003D6D06" w:rsidP="00DD3210">
      <w:pPr>
        <w:rPr>
          <w:rFonts w:eastAsia="Times New Roman" w:cstheme="minorHAnsi"/>
          <w:lang w:val="en" w:eastAsia="en-AU"/>
        </w:rPr>
      </w:pPr>
      <w:r w:rsidRPr="006F3FEE">
        <w:rPr>
          <w:rFonts w:eastAsia="Times New Roman" w:cstheme="minorHAnsi"/>
          <w:lang w:val="en" w:eastAsia="en-AU"/>
        </w:rPr>
        <w:t xml:space="preserve">The Medical Schools Outcomes Database (MSOD), managed by </w:t>
      </w:r>
      <w:r w:rsidR="00DC0505" w:rsidRPr="006F3FEE">
        <w:rPr>
          <w:rFonts w:eastAsia="Times New Roman" w:cstheme="minorHAnsi"/>
          <w:lang w:val="en" w:eastAsia="en-AU"/>
        </w:rPr>
        <w:t>MDANZ</w:t>
      </w:r>
      <w:r w:rsidRPr="006F3FEE">
        <w:rPr>
          <w:rFonts w:eastAsia="Times New Roman" w:cstheme="minorHAnsi"/>
          <w:lang w:val="en" w:eastAsia="en-AU"/>
        </w:rPr>
        <w:t>, provides annual survey data from graduating medical students on their rural practice intentions and the proportion of medical enrolments from a rural background. Recent MSOD data</w:t>
      </w:r>
      <w:r w:rsidRPr="006F3FEE">
        <w:rPr>
          <w:rStyle w:val="FootnoteReference"/>
          <w:rFonts w:eastAsia="Times New Roman" w:cstheme="minorHAnsi"/>
          <w:lang w:val="en" w:eastAsia="en-AU"/>
        </w:rPr>
        <w:footnoteReference w:id="8"/>
      </w:r>
      <w:r w:rsidRPr="006F3FEE">
        <w:rPr>
          <w:rFonts w:eastAsia="Times New Roman" w:cstheme="minorHAnsi"/>
          <w:lang w:val="en" w:eastAsia="en-AU"/>
        </w:rPr>
        <w:t xml:space="preserve"> indicates that around 18.4 per cent of those who intend to practi</w:t>
      </w:r>
      <w:r w:rsidR="004540F5" w:rsidRPr="006F3FEE">
        <w:rPr>
          <w:rFonts w:eastAsia="Times New Roman" w:cstheme="minorHAnsi"/>
          <w:lang w:val="en" w:eastAsia="en-AU"/>
        </w:rPr>
        <w:t>s</w:t>
      </w:r>
      <w:r w:rsidRPr="006F3FEE">
        <w:rPr>
          <w:rFonts w:eastAsia="Times New Roman" w:cstheme="minorHAnsi"/>
          <w:lang w:val="en" w:eastAsia="en-AU"/>
        </w:rPr>
        <w:t>e in Australia propose to work outside capital cities/major urban centres in small communities/towns or large towns/regional cities (up to 99,999 population</w:t>
      </w:r>
      <w:r w:rsidR="00666323" w:rsidRPr="006F3FEE">
        <w:rPr>
          <w:rFonts w:eastAsia="Times New Roman" w:cstheme="minorHAnsi"/>
          <w:lang w:val="en" w:eastAsia="en-AU"/>
        </w:rPr>
        <w:t>)</w:t>
      </w:r>
      <w:r w:rsidRPr="006F3FEE">
        <w:rPr>
          <w:rFonts w:eastAsia="Times New Roman" w:cstheme="minorHAnsi"/>
          <w:lang w:val="en" w:eastAsia="en-AU"/>
        </w:rPr>
        <w:t>.</w:t>
      </w:r>
    </w:p>
    <w:p w14:paraId="05D87E00" w14:textId="77777777" w:rsidR="00210507" w:rsidRPr="006F3FEE" w:rsidRDefault="008D2ADD" w:rsidP="00DD3210">
      <w:pPr>
        <w:rPr>
          <w:rFonts w:cstheme="minorHAnsi"/>
        </w:rPr>
      </w:pPr>
      <w:r w:rsidRPr="006F3FEE">
        <w:rPr>
          <w:rFonts w:cstheme="minorHAnsi"/>
        </w:rPr>
        <w:t>Ideally, t</w:t>
      </w:r>
      <w:r w:rsidR="0067798B" w:rsidRPr="006F3FEE">
        <w:rPr>
          <w:rFonts w:cstheme="minorHAnsi"/>
        </w:rPr>
        <w:t>he approach chosen to create the pool should allow for consideration of a range of factors that influence how a university currently serves the needs of rural and regional communities</w:t>
      </w:r>
      <w:r w:rsidR="00261CBF" w:rsidRPr="006F3FEE">
        <w:rPr>
          <w:rFonts w:cstheme="minorHAnsi"/>
        </w:rPr>
        <w:t xml:space="preserve">. These could include </w:t>
      </w:r>
      <w:r w:rsidR="009A4621" w:rsidRPr="006F3FEE">
        <w:rPr>
          <w:rFonts w:cstheme="minorHAnsi"/>
        </w:rPr>
        <w:t>the extent of rural presence</w:t>
      </w:r>
      <w:r w:rsidR="0067798B" w:rsidRPr="006F3FEE">
        <w:rPr>
          <w:rFonts w:cstheme="minorHAnsi"/>
        </w:rPr>
        <w:t>;</w:t>
      </w:r>
      <w:r w:rsidR="009A4621" w:rsidRPr="006F3FEE">
        <w:rPr>
          <w:rFonts w:cstheme="minorHAnsi"/>
        </w:rPr>
        <w:t xml:space="preserve"> engagement with local rural communities</w:t>
      </w:r>
      <w:r w:rsidR="0067798B" w:rsidRPr="006F3FEE">
        <w:rPr>
          <w:rFonts w:cstheme="minorHAnsi"/>
        </w:rPr>
        <w:t>;</w:t>
      </w:r>
      <w:r w:rsidR="009A4621" w:rsidRPr="006F3FEE">
        <w:rPr>
          <w:rFonts w:cstheme="minorHAnsi"/>
        </w:rPr>
        <w:t xml:space="preserve"> the amount</w:t>
      </w:r>
      <w:r w:rsidR="00C12A36" w:rsidRPr="006F3FEE">
        <w:rPr>
          <w:rFonts w:cstheme="minorHAnsi"/>
        </w:rPr>
        <w:t xml:space="preserve"> of</w:t>
      </w:r>
      <w:r w:rsidR="009A4621" w:rsidRPr="006F3FEE">
        <w:rPr>
          <w:rFonts w:cstheme="minorHAnsi"/>
        </w:rPr>
        <w:t xml:space="preserve"> rural training </w:t>
      </w:r>
      <w:r w:rsidR="0067798B" w:rsidRPr="006F3FEE">
        <w:rPr>
          <w:rFonts w:cstheme="minorHAnsi"/>
        </w:rPr>
        <w:t xml:space="preserve">undertaken; </w:t>
      </w:r>
      <w:r w:rsidR="009A4621" w:rsidRPr="006F3FEE">
        <w:rPr>
          <w:rFonts w:cstheme="minorHAnsi"/>
        </w:rPr>
        <w:t xml:space="preserve">relative length of rural </w:t>
      </w:r>
      <w:r w:rsidR="0067798B" w:rsidRPr="006F3FEE">
        <w:rPr>
          <w:rFonts w:cstheme="minorHAnsi"/>
        </w:rPr>
        <w:t xml:space="preserve">clinical </w:t>
      </w:r>
      <w:r w:rsidR="009A4621" w:rsidRPr="006F3FEE">
        <w:rPr>
          <w:rFonts w:cstheme="minorHAnsi"/>
        </w:rPr>
        <w:t>placements by rurality</w:t>
      </w:r>
      <w:r w:rsidR="0067798B" w:rsidRPr="006F3FEE">
        <w:rPr>
          <w:rFonts w:cstheme="minorHAnsi"/>
        </w:rPr>
        <w:t>;</w:t>
      </w:r>
      <w:r w:rsidR="009A4621" w:rsidRPr="006F3FEE">
        <w:rPr>
          <w:rFonts w:cstheme="minorHAnsi"/>
        </w:rPr>
        <w:t xml:space="preserve"> rural workforce outcomes</w:t>
      </w:r>
      <w:r w:rsidR="0067798B" w:rsidRPr="006F3FEE">
        <w:rPr>
          <w:rFonts w:cstheme="minorHAnsi"/>
        </w:rPr>
        <w:t>;</w:t>
      </w:r>
      <w:r w:rsidR="009A4621" w:rsidRPr="006F3FEE">
        <w:rPr>
          <w:rFonts w:cstheme="minorHAnsi"/>
        </w:rPr>
        <w:t xml:space="preserve"> and available evidence of success in serving rural communities.</w:t>
      </w:r>
    </w:p>
    <w:p w14:paraId="76E4E1CE" w14:textId="4A7DB1E9" w:rsidR="009A4621" w:rsidRPr="006F3FEE" w:rsidRDefault="008D2ADD" w:rsidP="00DD3210">
      <w:pPr>
        <w:rPr>
          <w:rFonts w:cstheme="minorHAnsi"/>
        </w:rPr>
      </w:pPr>
      <w:r w:rsidRPr="006F3FEE">
        <w:rPr>
          <w:rFonts w:cstheme="minorHAnsi"/>
        </w:rPr>
        <w:t>In reality</w:t>
      </w:r>
      <w:r w:rsidR="00C12A36" w:rsidRPr="006F3FEE">
        <w:rPr>
          <w:rFonts w:cstheme="minorHAnsi"/>
        </w:rPr>
        <w:t>, there is no</w:t>
      </w:r>
      <w:r w:rsidRPr="006F3FEE">
        <w:rPr>
          <w:rFonts w:cstheme="minorHAnsi"/>
        </w:rPr>
        <w:t xml:space="preserve"> </w:t>
      </w:r>
      <w:r w:rsidR="00C12A36" w:rsidRPr="006F3FEE">
        <w:rPr>
          <w:rFonts w:cstheme="minorHAnsi"/>
        </w:rPr>
        <w:t xml:space="preserve">public, </w:t>
      </w:r>
      <w:r w:rsidRPr="006F3FEE">
        <w:rPr>
          <w:rFonts w:cstheme="minorHAnsi"/>
        </w:rPr>
        <w:t xml:space="preserve">nationally available </w:t>
      </w:r>
      <w:r w:rsidR="00C12A36" w:rsidRPr="006F3FEE">
        <w:rPr>
          <w:rFonts w:cstheme="minorHAnsi"/>
        </w:rPr>
        <w:t>data at this time</w:t>
      </w:r>
      <w:r w:rsidRPr="006F3FEE">
        <w:rPr>
          <w:rFonts w:cstheme="minorHAnsi"/>
        </w:rPr>
        <w:t xml:space="preserve"> </w:t>
      </w:r>
      <w:r w:rsidR="00C12A36" w:rsidRPr="006F3FEE">
        <w:rPr>
          <w:rFonts w:cstheme="minorHAnsi"/>
        </w:rPr>
        <w:t xml:space="preserve">that provides </w:t>
      </w:r>
      <w:r w:rsidR="00C24F4B" w:rsidRPr="006F3FEE">
        <w:rPr>
          <w:rFonts w:cstheme="minorHAnsi"/>
        </w:rPr>
        <w:t xml:space="preserve">comparative </w:t>
      </w:r>
      <w:r w:rsidR="00B81CA7" w:rsidRPr="006F3FEE">
        <w:rPr>
          <w:rFonts w:cstheme="minorHAnsi"/>
        </w:rPr>
        <w:t>evidence t</w:t>
      </w:r>
      <w:r w:rsidR="008E5836" w:rsidRPr="006F3FEE">
        <w:rPr>
          <w:rFonts w:cstheme="minorHAnsi"/>
        </w:rPr>
        <w:t>hat demonstrates direct relationship</w:t>
      </w:r>
      <w:r w:rsidR="00B81CA7" w:rsidRPr="006F3FEE">
        <w:rPr>
          <w:rFonts w:cstheme="minorHAnsi"/>
        </w:rPr>
        <w:t>s</w:t>
      </w:r>
      <w:r w:rsidR="008E5836" w:rsidRPr="006F3FEE">
        <w:rPr>
          <w:rFonts w:cstheme="minorHAnsi"/>
        </w:rPr>
        <w:t xml:space="preserve"> between</w:t>
      </w:r>
      <w:r w:rsidR="00B81CA7" w:rsidRPr="006F3FEE">
        <w:rPr>
          <w:rFonts w:cstheme="minorHAnsi"/>
        </w:rPr>
        <w:t xml:space="preserve"> particular </w:t>
      </w:r>
      <w:r w:rsidR="00C12A36" w:rsidRPr="006F3FEE">
        <w:rPr>
          <w:rFonts w:cstheme="minorHAnsi"/>
        </w:rPr>
        <w:t xml:space="preserve">regional medical education initiatives </w:t>
      </w:r>
      <w:r w:rsidR="008E5836" w:rsidRPr="006F3FEE">
        <w:rPr>
          <w:rFonts w:cstheme="minorHAnsi"/>
        </w:rPr>
        <w:t>and</w:t>
      </w:r>
      <w:r w:rsidR="00B81CA7" w:rsidRPr="006F3FEE">
        <w:rPr>
          <w:rFonts w:cstheme="minorHAnsi"/>
        </w:rPr>
        <w:t xml:space="preserve"> improved</w:t>
      </w:r>
      <w:r w:rsidR="00C12A36" w:rsidRPr="006F3FEE">
        <w:rPr>
          <w:rFonts w:cstheme="minorHAnsi"/>
        </w:rPr>
        <w:t xml:space="preserve"> regional medical workforce outcomes.</w:t>
      </w:r>
    </w:p>
    <w:p w14:paraId="00C3A2AF" w14:textId="64645600" w:rsidR="00661C78" w:rsidRPr="006F3FEE" w:rsidRDefault="00661C78" w:rsidP="00DD3210">
      <w:pPr>
        <w:rPr>
          <w:rFonts w:eastAsia="Times New Roman" w:cstheme="minorHAnsi"/>
          <w:lang w:val="en" w:eastAsia="en-AU"/>
        </w:rPr>
      </w:pPr>
      <w:r w:rsidRPr="006F3FEE">
        <w:rPr>
          <w:rFonts w:eastAsia="Times New Roman" w:cstheme="minorHAnsi"/>
          <w:lang w:val="en" w:eastAsia="en-AU"/>
        </w:rPr>
        <w:t>Th</w:t>
      </w:r>
      <w:r w:rsidR="00B81CA7" w:rsidRPr="006F3FEE">
        <w:rPr>
          <w:rFonts w:eastAsia="Times New Roman" w:cstheme="minorHAnsi"/>
          <w:lang w:val="en" w:eastAsia="en-AU"/>
        </w:rPr>
        <w:t>rough th</w:t>
      </w:r>
      <w:r w:rsidRPr="006F3FEE">
        <w:rPr>
          <w:rFonts w:eastAsia="Times New Roman" w:cstheme="minorHAnsi"/>
          <w:lang w:val="en" w:eastAsia="en-AU"/>
        </w:rPr>
        <w:t>e department</w:t>
      </w:r>
      <w:r w:rsidR="00B81CA7" w:rsidRPr="006F3FEE">
        <w:rPr>
          <w:rFonts w:eastAsia="Times New Roman" w:cstheme="minorHAnsi"/>
          <w:lang w:val="en" w:eastAsia="en-AU"/>
        </w:rPr>
        <w:t>’s</w:t>
      </w:r>
      <w:r w:rsidR="00B033C3" w:rsidRPr="006F3FEE">
        <w:t xml:space="preserve"> internal analysis of enrolment data on the current distribution of regional medical load for university medical courses</w:t>
      </w:r>
      <w:r w:rsidR="00B81CA7" w:rsidRPr="006F3FEE">
        <w:rPr>
          <w:rFonts w:eastAsia="Times New Roman" w:cstheme="minorHAnsi"/>
          <w:lang w:val="en" w:eastAsia="en-AU"/>
        </w:rPr>
        <w:t>, we</w:t>
      </w:r>
      <w:r w:rsidRPr="006F3FEE">
        <w:rPr>
          <w:rFonts w:eastAsia="Times New Roman" w:cstheme="minorHAnsi"/>
          <w:lang w:val="en" w:eastAsia="en-AU"/>
        </w:rPr>
        <w:t xml:space="preserve"> anticipate </w:t>
      </w:r>
      <w:r w:rsidR="00B81CA7" w:rsidRPr="006F3FEE">
        <w:rPr>
          <w:rFonts w:eastAsia="Times New Roman" w:cstheme="minorHAnsi"/>
          <w:lang w:val="en" w:eastAsia="en-AU"/>
        </w:rPr>
        <w:t>a 2 per cent contribution that preserves</w:t>
      </w:r>
      <w:r w:rsidRPr="006F3FEE">
        <w:rPr>
          <w:rFonts w:eastAsia="Times New Roman" w:cstheme="minorHAnsi"/>
          <w:lang w:val="en" w:eastAsia="en-AU"/>
        </w:rPr>
        <w:t xml:space="preserve"> medical CSP allocations for universities </w:t>
      </w:r>
      <w:r w:rsidR="00B643F1" w:rsidRPr="006F3FEE">
        <w:rPr>
          <w:rFonts w:eastAsia="Times New Roman" w:cstheme="minorHAnsi"/>
          <w:lang w:val="en" w:eastAsia="en-AU"/>
        </w:rPr>
        <w:t xml:space="preserve">serving rural communities </w:t>
      </w:r>
      <w:r w:rsidR="0083454E" w:rsidRPr="006F3FEE">
        <w:rPr>
          <w:rFonts w:eastAsia="Times New Roman" w:cstheme="minorHAnsi"/>
          <w:lang w:val="en" w:eastAsia="en-AU"/>
        </w:rPr>
        <w:t>will potentially</w:t>
      </w:r>
      <w:r w:rsidRPr="006F3FEE">
        <w:rPr>
          <w:rFonts w:eastAsia="Times New Roman" w:cstheme="minorHAnsi"/>
          <w:lang w:val="en" w:eastAsia="en-AU"/>
        </w:rPr>
        <w:t xml:space="preserve"> reduce the size of the redistribution pool from 60 to around 30 commencing medical places, depending on the approach taken. </w:t>
      </w:r>
      <w:r w:rsidR="00817EA2" w:rsidRPr="006F3FEE">
        <w:rPr>
          <w:rFonts w:eastAsia="Times New Roman" w:cstheme="minorHAnsi"/>
          <w:lang w:val="en" w:eastAsia="en-AU"/>
        </w:rPr>
        <w:t xml:space="preserve">As </w:t>
      </w:r>
      <w:r w:rsidR="00CF57A0" w:rsidRPr="006F3FEE">
        <w:t>32</w:t>
      </w:r>
      <w:r w:rsidR="00817EA2" w:rsidRPr="006F3FEE">
        <w:t xml:space="preserve"> </w:t>
      </w:r>
      <w:r w:rsidR="00B81CA7" w:rsidRPr="006F3FEE">
        <w:t xml:space="preserve">pool </w:t>
      </w:r>
      <w:r w:rsidR="00817EA2" w:rsidRPr="006F3FEE">
        <w:t xml:space="preserve">places </w:t>
      </w:r>
      <w:r w:rsidR="00C12A36" w:rsidRPr="006F3FEE">
        <w:t>are to</w:t>
      </w:r>
      <w:r w:rsidR="00817EA2" w:rsidRPr="006F3FEE">
        <w:t xml:space="preserve"> be allocated to CSU for its partnership with WSU </w:t>
      </w:r>
      <w:r w:rsidR="00A474E8" w:rsidRPr="006F3FEE">
        <w:t>for</w:t>
      </w:r>
      <w:r w:rsidR="00817EA2" w:rsidRPr="006F3FEE">
        <w:t xml:space="preserve"> the MDMSN</w:t>
      </w:r>
      <w:r w:rsidRPr="006F3FEE">
        <w:rPr>
          <w:rFonts w:eastAsia="Times New Roman" w:cstheme="minorHAnsi"/>
          <w:lang w:val="en" w:eastAsia="en-AU"/>
        </w:rPr>
        <w:t xml:space="preserve">, this </w:t>
      </w:r>
      <w:r w:rsidR="00C12A36" w:rsidRPr="006F3FEE">
        <w:rPr>
          <w:rFonts w:eastAsia="Times New Roman" w:cstheme="minorHAnsi"/>
          <w:lang w:val="en" w:eastAsia="en-AU"/>
        </w:rPr>
        <w:t>could</w:t>
      </w:r>
      <w:r w:rsidR="00817EA2" w:rsidRPr="006F3FEE">
        <w:rPr>
          <w:rFonts w:eastAsia="Times New Roman" w:cstheme="minorHAnsi"/>
          <w:lang w:val="en" w:eastAsia="en-AU"/>
        </w:rPr>
        <w:t xml:space="preserve"> result in </w:t>
      </w:r>
      <w:r w:rsidR="00B81CA7" w:rsidRPr="006F3FEE">
        <w:rPr>
          <w:rFonts w:eastAsia="Times New Roman" w:cstheme="minorHAnsi"/>
          <w:lang w:val="en" w:eastAsia="en-AU"/>
        </w:rPr>
        <w:t>no</w:t>
      </w:r>
      <w:r w:rsidRPr="006F3FEE">
        <w:rPr>
          <w:rFonts w:eastAsia="Times New Roman" w:cstheme="minorHAnsi"/>
          <w:lang w:val="en" w:eastAsia="en-AU"/>
        </w:rPr>
        <w:t xml:space="preserve"> places </w:t>
      </w:r>
      <w:r w:rsidR="00817EA2" w:rsidRPr="006F3FEE">
        <w:rPr>
          <w:rFonts w:eastAsia="Times New Roman" w:cstheme="minorHAnsi"/>
          <w:lang w:val="en" w:eastAsia="en-AU"/>
        </w:rPr>
        <w:t xml:space="preserve">being </w:t>
      </w:r>
      <w:r w:rsidRPr="006F3FEE">
        <w:rPr>
          <w:rFonts w:eastAsia="Times New Roman" w:cstheme="minorHAnsi"/>
          <w:lang w:val="en" w:eastAsia="en-AU"/>
        </w:rPr>
        <w:t xml:space="preserve">available to support other initiatives </w:t>
      </w:r>
      <w:r w:rsidR="00B81CA7" w:rsidRPr="006F3FEE">
        <w:rPr>
          <w:rFonts w:eastAsia="Times New Roman" w:cstheme="minorHAnsi"/>
          <w:lang w:val="en" w:eastAsia="en-AU"/>
        </w:rPr>
        <w:t>for</w:t>
      </w:r>
      <w:r w:rsidRPr="006F3FEE">
        <w:rPr>
          <w:rFonts w:eastAsia="Times New Roman" w:cstheme="minorHAnsi"/>
          <w:lang w:val="en" w:eastAsia="en-AU"/>
        </w:rPr>
        <w:t xml:space="preserve"> 2021.</w:t>
      </w:r>
    </w:p>
    <w:p w14:paraId="01BF3635" w14:textId="43836297" w:rsidR="002336BA" w:rsidRPr="006F3FEE" w:rsidRDefault="00FC2B6E" w:rsidP="00DD3210">
      <w:r w:rsidRPr="006F3FEE">
        <w:rPr>
          <w:rFonts w:eastAsia="Times New Roman" w:cstheme="minorHAnsi"/>
          <w:lang w:val="en" w:eastAsia="en-AU"/>
        </w:rPr>
        <w:t>T</w:t>
      </w:r>
      <w:r w:rsidR="00661C78" w:rsidRPr="006F3FEE">
        <w:rPr>
          <w:rFonts w:eastAsia="Times New Roman" w:cstheme="minorHAnsi"/>
          <w:lang w:val="en" w:eastAsia="en-AU"/>
        </w:rPr>
        <w:t xml:space="preserve">o produce a pool of </w:t>
      </w:r>
      <w:r w:rsidR="00661C78" w:rsidRPr="006F3FEE">
        <w:t xml:space="preserve">sufficient size to target priorities while making exemptions for universities </w:t>
      </w:r>
      <w:r w:rsidR="00B643F1" w:rsidRPr="006F3FEE">
        <w:t xml:space="preserve">serving rural communities </w:t>
      </w:r>
      <w:r w:rsidR="00661C78" w:rsidRPr="006F3FEE">
        <w:t>will mean reconsidering the percentage of commencing places other universities would need to contribute</w:t>
      </w:r>
      <w:r w:rsidRPr="006F3FEE">
        <w:t xml:space="preserve"> to the pool</w:t>
      </w:r>
      <w:r w:rsidR="00661C78" w:rsidRPr="006F3FEE">
        <w:t xml:space="preserve">. The department estimates this </w:t>
      </w:r>
      <w:r w:rsidR="008D2ADD" w:rsidRPr="006F3FEE">
        <w:t>could r</w:t>
      </w:r>
      <w:r w:rsidR="00661C78" w:rsidRPr="006F3FEE">
        <w:t xml:space="preserve">equire a contribution of </w:t>
      </w:r>
      <w:r w:rsidR="008D2ADD" w:rsidRPr="006F3FEE">
        <w:t>around</w:t>
      </w:r>
      <w:r w:rsidR="00661C78" w:rsidRPr="006F3FEE">
        <w:t xml:space="preserve"> 4.1 per cent from those universities to maintain the same quantum of places, depending on the approach taken to exempting universities.</w:t>
      </w:r>
    </w:p>
    <w:p w14:paraId="10276C30" w14:textId="77777777" w:rsidR="009E0414" w:rsidRDefault="009E0414" w:rsidP="00DD3210">
      <w:pPr>
        <w:pStyle w:val="Heading2"/>
        <w:spacing w:before="120" w:after="120"/>
      </w:pPr>
      <w:r>
        <w:t>The process for redistributing places between universities (Stage 2)</w:t>
      </w:r>
    </w:p>
    <w:p w14:paraId="754F4B29" w14:textId="14517220" w:rsidR="00203A2F" w:rsidRPr="002153E3" w:rsidRDefault="003D6D06" w:rsidP="00DD3210">
      <w:r w:rsidRPr="002153E3">
        <w:t xml:space="preserve">The </w:t>
      </w:r>
      <w:r w:rsidR="00203A2F" w:rsidRPr="002153E3">
        <w:t>priority</w:t>
      </w:r>
      <w:r w:rsidRPr="002153E3">
        <w:t xml:space="preserve"> for the initial redistribution round will be to increase the overall number of medical students and medical practitioners trained outside major cities, while building on activities currently supported through rural campuses and rural clinical schools. </w:t>
      </w:r>
      <w:r w:rsidR="00203A2F" w:rsidRPr="002153E3">
        <w:t xml:space="preserve">The Government’s key objective from this round is to increase the overall number of medical practitioners trained in rural and regional area health settings for two or more years of the medical school program, especially in later clinical training years.  </w:t>
      </w:r>
    </w:p>
    <w:p w14:paraId="7E036D4F" w14:textId="77777777" w:rsidR="00203A2F" w:rsidRPr="002153E3" w:rsidRDefault="00203A2F" w:rsidP="00DD3210">
      <w:r w:rsidRPr="002153E3">
        <w:t>To ensure rural campuses remain sustainable, universities whose main campus is in a metropolitan location will be required to contribute CSPs from that location, and maintain any existing rural based medical CSPs, campuses and programs.</w:t>
      </w:r>
    </w:p>
    <w:p w14:paraId="69C9E331" w14:textId="3E1551E7" w:rsidR="00203A2F" w:rsidRPr="00EA1D7F" w:rsidRDefault="00203A2F" w:rsidP="00DD3210">
      <w:pPr>
        <w:rPr>
          <w:rFonts w:eastAsia="Times New Roman" w:cstheme="minorHAnsi"/>
          <w:color w:val="333333"/>
          <w:lang w:val="en" w:eastAsia="en-AU"/>
        </w:rPr>
      </w:pPr>
      <w:r w:rsidRPr="00EA1D7F">
        <w:t xml:space="preserve">Universities with positive track records serving rural communities, positive rural training track records, strong existing rural training sites, </w:t>
      </w:r>
      <w:r w:rsidR="00261CBF" w:rsidRPr="00EA1D7F">
        <w:t>well-developed</w:t>
      </w:r>
      <w:r w:rsidRPr="00EA1D7F">
        <w:t xml:space="preserve"> relationships with local communities and clinical placement providers, and success with rural practice outcomes will be soundly placed to make a case seeking medical CSPs from the pool to strengthen their efforts to grow the rural medical workforce</w:t>
      </w:r>
      <w:r w:rsidRPr="00EA1D7F">
        <w:rPr>
          <w:rFonts w:eastAsia="Times New Roman" w:cstheme="minorHAnsi"/>
          <w:color w:val="333333"/>
          <w:lang w:val="en" w:eastAsia="en-AU"/>
        </w:rPr>
        <w:t>.</w:t>
      </w:r>
    </w:p>
    <w:p w14:paraId="2F21E6CD" w14:textId="77B5EE0C" w:rsidR="003D6D06" w:rsidRPr="00CE505B" w:rsidRDefault="0082485D" w:rsidP="00DD3210">
      <w:r w:rsidRPr="00EA1D7F">
        <w:t xml:space="preserve">As stated earlier in this paper, </w:t>
      </w:r>
      <w:r w:rsidR="003D6D06" w:rsidRPr="00EA1D7F">
        <w:t xml:space="preserve">proposals seeking places from the redistribution pool will be evaluated against, and will need to satisfactorily address, </w:t>
      </w:r>
      <w:r w:rsidRPr="00EA1D7F">
        <w:t xml:space="preserve">all principles in </w:t>
      </w:r>
      <w:r w:rsidR="003D6D06" w:rsidRPr="00EA1D7F">
        <w:t>the Assessment Framework.</w:t>
      </w:r>
      <w:r w:rsidR="003D6D06" w:rsidRPr="00CE505B">
        <w:t xml:space="preserve"> </w:t>
      </w:r>
    </w:p>
    <w:p w14:paraId="42A0051D" w14:textId="10A18250" w:rsidR="00FE04E2" w:rsidRDefault="0082485D" w:rsidP="00DD3210">
      <w:r w:rsidRPr="00CE505B">
        <w:t>I</w:t>
      </w:r>
      <w:r w:rsidR="003D6D06" w:rsidRPr="00CE505B">
        <w:t xml:space="preserve">t will also be important to establish policy criteria/parameters to ensure </w:t>
      </w:r>
      <w:r w:rsidR="00203A2F">
        <w:t xml:space="preserve">places sought from the </w:t>
      </w:r>
      <w:r w:rsidR="003D6D06" w:rsidRPr="00CE505B">
        <w:t xml:space="preserve">pool are reallocated across universities to maximise outcomes that will help to strengthen the rural and regional medical workforce. </w:t>
      </w:r>
    </w:p>
    <w:p w14:paraId="6850327D" w14:textId="5D8A7FF0" w:rsidR="00203A2F" w:rsidRDefault="00203A2F" w:rsidP="00DD3210">
      <w:pPr>
        <w:pStyle w:val="Heading2"/>
        <w:spacing w:before="120" w:after="120"/>
      </w:pPr>
      <w:r>
        <w:t>Options for managing the redistribution process for the 2021 round</w:t>
      </w:r>
    </w:p>
    <w:p w14:paraId="0DB5E4C6" w14:textId="5588E7BD" w:rsidR="00B033C3" w:rsidRDefault="00B033C3" w:rsidP="00DD3210">
      <w:r>
        <w:t xml:space="preserve">Three potential options for managing the redistribution pool for 2021 are set out below as a basis for discussion with the sector. </w:t>
      </w:r>
    </w:p>
    <w:p w14:paraId="4D399C47" w14:textId="77777777" w:rsidR="00C73854" w:rsidRDefault="00F053F6" w:rsidP="00DD3210">
      <w:r>
        <w:t xml:space="preserve">These options all propose to create a redistribution pool of 60 commencing medical places, </w:t>
      </w:r>
      <w:r w:rsidR="00C73854">
        <w:t xml:space="preserve">using a transparent and equitable process </w:t>
      </w:r>
      <w:r>
        <w:t>based on each university’s share of the national allocation of medical CSPs.</w:t>
      </w:r>
      <w:r w:rsidR="00C73854">
        <w:t xml:space="preserve"> The department considers this approach will minimise each provider’s contribution to establish the pool. </w:t>
      </w:r>
    </w:p>
    <w:p w14:paraId="0294940B" w14:textId="6774D634" w:rsidR="00C73854" w:rsidRDefault="00C73854" w:rsidP="00DD3210">
      <w:r>
        <w:t xml:space="preserve">However, each option proposes a different approach to the </w:t>
      </w:r>
      <w:r w:rsidR="00F053F6">
        <w:t xml:space="preserve">way in which pool places are </w:t>
      </w:r>
      <w:r w:rsidR="00D55D33">
        <w:t>redistributed</w:t>
      </w:r>
      <w:r w:rsidR="00F053F6">
        <w:t xml:space="preserve"> to providers to support regional medical education initiatives</w:t>
      </w:r>
      <w:r>
        <w:t xml:space="preserve"> in 2021</w:t>
      </w:r>
      <w:r w:rsidR="00F47376">
        <w:t>. Each option aims</w:t>
      </w:r>
      <w:r>
        <w:t xml:space="preserve"> to strike </w:t>
      </w:r>
      <w:r w:rsidR="00F47376">
        <w:t>a</w:t>
      </w:r>
      <w:r w:rsidR="00F053F6">
        <w:t xml:space="preserve"> balance between rewarding the strongest </w:t>
      </w:r>
      <w:r>
        <w:t xml:space="preserve">regional initiatives; minimising </w:t>
      </w:r>
      <w:r w:rsidR="00F053F6">
        <w:t>change</w:t>
      </w:r>
      <w:r>
        <w:t>s</w:t>
      </w:r>
      <w:r w:rsidR="00F053F6">
        <w:t xml:space="preserve"> to programs with strong records of regional medical </w:t>
      </w:r>
      <w:r>
        <w:t xml:space="preserve">education </w:t>
      </w:r>
      <w:r w:rsidR="00F053F6">
        <w:t>delivery</w:t>
      </w:r>
      <w:r>
        <w:t>;</w:t>
      </w:r>
      <w:r w:rsidR="00F053F6">
        <w:t xml:space="preserve"> and </w:t>
      </w:r>
      <w:r>
        <w:t>providing</w:t>
      </w:r>
      <w:r w:rsidR="00F053F6">
        <w:t xml:space="preserve"> timely advice to the sector of </w:t>
      </w:r>
      <w:r>
        <w:t>their</w:t>
      </w:r>
      <w:r w:rsidR="00F053F6">
        <w:t xml:space="preserve"> medical </w:t>
      </w:r>
      <w:r>
        <w:t xml:space="preserve">CSP </w:t>
      </w:r>
      <w:r w:rsidR="00F053F6">
        <w:t>allocations for 2021.</w:t>
      </w:r>
    </w:p>
    <w:p w14:paraId="1616295F" w14:textId="7ED2C952" w:rsidR="00B033C3" w:rsidRDefault="00C73854" w:rsidP="00DD3210">
      <w:r>
        <w:t xml:space="preserve">These options are based on the </w:t>
      </w:r>
      <w:r w:rsidRPr="002C053A">
        <w:t xml:space="preserve">department’s </w:t>
      </w:r>
      <w:r>
        <w:t>internal</w:t>
      </w:r>
      <w:r w:rsidRPr="002C053A">
        <w:t xml:space="preserve"> analysis of </w:t>
      </w:r>
      <w:r>
        <w:t xml:space="preserve">enrolment data on the current </w:t>
      </w:r>
      <w:r w:rsidRPr="002C053A">
        <w:t xml:space="preserve">distribution of regional medical </w:t>
      </w:r>
      <w:r>
        <w:t>load for university medical courses</w:t>
      </w:r>
      <w:r w:rsidR="00B2448B">
        <w:t>, with input from the Department of Health</w:t>
      </w:r>
      <w:r>
        <w:t xml:space="preserve">. </w:t>
      </w:r>
      <w:r w:rsidR="00B033C3">
        <w:t xml:space="preserve">In conjunction with inviting feedback on the discussion paper, the department proposes to </w:t>
      </w:r>
      <w:r w:rsidR="0012293C">
        <w:t xml:space="preserve">separately </w:t>
      </w:r>
      <w:r w:rsidR="00B033C3">
        <w:t xml:space="preserve">seek </w:t>
      </w:r>
      <w:r w:rsidR="0012293C">
        <w:t>detailed</w:t>
      </w:r>
      <w:r w:rsidR="00B033C3" w:rsidRPr="002C053A">
        <w:t xml:space="preserve"> </w:t>
      </w:r>
      <w:r w:rsidR="00B033C3">
        <w:t>data on regional medical load</w:t>
      </w:r>
      <w:r w:rsidR="00B033C3" w:rsidRPr="002C053A">
        <w:t xml:space="preserve"> from each university </w:t>
      </w:r>
      <w:r w:rsidR="00B033C3">
        <w:t>to</w:t>
      </w:r>
      <w:r w:rsidR="00B033C3" w:rsidRPr="002C053A">
        <w:t xml:space="preserve"> validate the</w:t>
      </w:r>
      <w:r w:rsidR="00B033C3">
        <w:t xml:space="preserve"> </w:t>
      </w:r>
      <w:r w:rsidR="00B033C3" w:rsidRPr="002C053A">
        <w:t>accuracy</w:t>
      </w:r>
      <w:r w:rsidR="00B033C3">
        <w:t xml:space="preserve"> and completeness of this analysis. </w:t>
      </w:r>
    </w:p>
    <w:p w14:paraId="6878B5EC" w14:textId="61DE5BCE" w:rsidR="00C73854" w:rsidRDefault="00B033C3" w:rsidP="00DD3210">
      <w:r>
        <w:t>This is particularly important as national</w:t>
      </w:r>
      <w:r w:rsidR="00EA1D7F">
        <w:t>ly consistent</w:t>
      </w:r>
      <w:r>
        <w:t xml:space="preserve"> data to demonstrate (or compare) linkages between regional medical education initiatives and eventual locations of medical practice is not available at this time.</w:t>
      </w:r>
      <w:r w:rsidR="00C73854">
        <w:br w:type="page"/>
      </w:r>
    </w:p>
    <w:tbl>
      <w:tblPr>
        <w:tblStyle w:val="TableGrid"/>
        <w:tblW w:w="0" w:type="auto"/>
        <w:shd w:val="clear" w:color="auto" w:fill="D5DBEF" w:themeFill="accent1" w:themeFillTint="33"/>
        <w:tblLook w:val="04A0" w:firstRow="1" w:lastRow="0" w:firstColumn="1" w:lastColumn="0" w:noHBand="0" w:noVBand="1"/>
      </w:tblPr>
      <w:tblGrid>
        <w:gridCol w:w="9628"/>
      </w:tblGrid>
      <w:tr w:rsidR="002336BA" w14:paraId="4900A365" w14:textId="77777777" w:rsidTr="003F6E03">
        <w:tc>
          <w:tcPr>
            <w:tcW w:w="9628" w:type="dxa"/>
            <w:shd w:val="clear" w:color="auto" w:fill="D5DBEF" w:themeFill="accent1" w:themeFillTint="33"/>
          </w:tcPr>
          <w:p w14:paraId="386D025E" w14:textId="1E4CF228" w:rsidR="002336BA" w:rsidRPr="002336BA" w:rsidRDefault="002336BA" w:rsidP="00DD3210">
            <w:pPr>
              <w:spacing w:line="276" w:lineRule="auto"/>
              <w:rPr>
                <w:b/>
              </w:rPr>
            </w:pPr>
            <w:r w:rsidRPr="007F1C0C">
              <w:rPr>
                <w:b/>
              </w:rPr>
              <w:t>Option 1</w:t>
            </w:r>
            <w:r>
              <w:rPr>
                <w:b/>
              </w:rPr>
              <w:t>: All universit</w:t>
            </w:r>
            <w:r w:rsidR="00F458EC">
              <w:rPr>
                <w:b/>
              </w:rPr>
              <w:t xml:space="preserve">ies </w:t>
            </w:r>
            <w:r w:rsidR="00884047">
              <w:rPr>
                <w:b/>
              </w:rPr>
              <w:t xml:space="preserve">would </w:t>
            </w:r>
            <w:r>
              <w:rPr>
                <w:b/>
              </w:rPr>
              <w:t>contribute 2</w:t>
            </w:r>
            <w:r w:rsidR="00884047">
              <w:rPr>
                <w:b/>
              </w:rPr>
              <w:t>.03</w:t>
            </w:r>
            <w:r>
              <w:rPr>
                <w:b/>
              </w:rPr>
              <w:t xml:space="preserve"> per cent of commencing medical CSPs to the redistribution pool; and all universities </w:t>
            </w:r>
            <w:r w:rsidR="00884047">
              <w:rPr>
                <w:b/>
              </w:rPr>
              <w:t>could</w:t>
            </w:r>
            <w:r>
              <w:rPr>
                <w:b/>
              </w:rPr>
              <w:t xml:space="preserve"> bid for the 28 places remaining after CSU’s allocation</w:t>
            </w:r>
            <w:r w:rsidR="00884047">
              <w:rPr>
                <w:b/>
              </w:rPr>
              <w:t xml:space="preserve"> of 32 commencing medical places.</w:t>
            </w:r>
          </w:p>
        </w:tc>
      </w:tr>
    </w:tbl>
    <w:p w14:paraId="71879E93" w14:textId="095004C1" w:rsidR="002336BA" w:rsidRDefault="002336BA" w:rsidP="00DD3210">
      <w:r>
        <w:t>This option proposes that:</w:t>
      </w:r>
    </w:p>
    <w:p w14:paraId="1D7C0316" w14:textId="08F2A467" w:rsidR="002336BA" w:rsidRDefault="00012E46" w:rsidP="00DD3210">
      <w:pPr>
        <w:pStyle w:val="ListParagraph"/>
        <w:numPr>
          <w:ilvl w:val="0"/>
          <w:numId w:val="45"/>
        </w:numPr>
        <w:ind w:left="426" w:hanging="426"/>
      </w:pPr>
      <w:r>
        <w:t>a</w:t>
      </w:r>
      <w:r w:rsidR="002336BA">
        <w:t xml:space="preserve">ll </w:t>
      </w:r>
      <w:r w:rsidR="00F458EC">
        <w:t>universities</w:t>
      </w:r>
      <w:r w:rsidR="002336BA">
        <w:t xml:space="preserve"> </w:t>
      </w:r>
      <w:r w:rsidR="00B13D2D">
        <w:t xml:space="preserve">would </w:t>
      </w:r>
      <w:r w:rsidR="002336BA">
        <w:t>contribute 2</w:t>
      </w:r>
      <w:r w:rsidR="00884047">
        <w:t>.03</w:t>
      </w:r>
      <w:r w:rsidR="002336BA">
        <w:t xml:space="preserve"> per cent of their commencing medical </w:t>
      </w:r>
      <w:r w:rsidR="00B13D2D">
        <w:t>places</w:t>
      </w:r>
      <w:r w:rsidR="008E5836">
        <w:t xml:space="preserve"> (rounded)</w:t>
      </w:r>
      <w:r w:rsidR="00B13D2D">
        <w:t xml:space="preserve"> </w:t>
      </w:r>
      <w:r w:rsidR="002336BA">
        <w:t>to create a pool of 60 </w:t>
      </w:r>
      <w:r w:rsidR="00B13D2D">
        <w:t>co</w:t>
      </w:r>
      <w:r w:rsidR="00FC78E3">
        <w:t>mmencing medical CSPs.</w:t>
      </w:r>
    </w:p>
    <w:p w14:paraId="398F3557" w14:textId="506F9661" w:rsidR="002336BA" w:rsidRDefault="00012E46" w:rsidP="00DD3210">
      <w:pPr>
        <w:pStyle w:val="ListParagraph"/>
        <w:numPr>
          <w:ilvl w:val="0"/>
          <w:numId w:val="45"/>
        </w:numPr>
        <w:ind w:left="426" w:hanging="426"/>
      </w:pPr>
      <w:r>
        <w:t>a</w:t>
      </w:r>
      <w:r w:rsidR="00B13D2D">
        <w:t xml:space="preserve"> total of </w:t>
      </w:r>
      <w:r w:rsidR="002336BA">
        <w:t>32 commencing medical CSPs would be allocated to CSU</w:t>
      </w:r>
      <w:r w:rsidR="00B13D2D">
        <w:t xml:space="preserve"> for the </w:t>
      </w:r>
      <w:r w:rsidR="002336BA">
        <w:t>MDMSN</w:t>
      </w:r>
      <w:r w:rsidR="00B13D2D">
        <w:t>.</w:t>
      </w:r>
    </w:p>
    <w:p w14:paraId="50D05AA0" w14:textId="02C7A183" w:rsidR="00C73854" w:rsidRDefault="00012E46" w:rsidP="00DD3210">
      <w:pPr>
        <w:pStyle w:val="ListParagraph"/>
        <w:numPr>
          <w:ilvl w:val="0"/>
          <w:numId w:val="45"/>
        </w:numPr>
        <w:ind w:left="425" w:hanging="425"/>
        <w:contextualSpacing w:val="0"/>
      </w:pPr>
      <w:r>
        <w:t>t</w:t>
      </w:r>
      <w:r w:rsidR="00B13D2D">
        <w:t xml:space="preserve">he remaining </w:t>
      </w:r>
      <w:r w:rsidR="002336BA">
        <w:t xml:space="preserve">28 </w:t>
      </w:r>
      <w:r w:rsidR="00B13D2D">
        <w:t xml:space="preserve">commencing medical </w:t>
      </w:r>
      <w:r w:rsidR="002336BA">
        <w:t xml:space="preserve">places </w:t>
      </w:r>
      <w:r w:rsidR="00B13D2D">
        <w:t>would be redistributed using a competitive bidding process</w:t>
      </w:r>
      <w:r w:rsidR="002336BA">
        <w:t xml:space="preserve"> based on the Assessment Framework and agreed policy parameters.</w:t>
      </w:r>
    </w:p>
    <w:p w14:paraId="1F1F24CD" w14:textId="65F7D664" w:rsidR="00FC78E3" w:rsidRDefault="00C73854" w:rsidP="00DD3210">
      <w:pPr>
        <w:pStyle w:val="ListParagraph"/>
        <w:ind w:left="0"/>
        <w:contextualSpacing w:val="0"/>
      </w:pPr>
      <w:r w:rsidRPr="002153E3">
        <w:t xml:space="preserve">This option provides a transparent, equitable process that creates </w:t>
      </w:r>
      <w:r w:rsidR="00012E46" w:rsidRPr="002153E3">
        <w:t>a redistribution pool</w:t>
      </w:r>
      <w:r w:rsidRPr="002153E3">
        <w:t xml:space="preserve"> based on each university’s</w:t>
      </w:r>
      <w:r>
        <w:t xml:space="preserve"> share of the national allocation of medical CSPs. By involving all </w:t>
      </w:r>
      <w:r w:rsidR="00F458EC">
        <w:t>universities</w:t>
      </w:r>
      <w:r>
        <w:t xml:space="preserve"> proportionately, </w:t>
      </w:r>
      <w:r w:rsidR="00012E46">
        <w:t xml:space="preserve">this approach </w:t>
      </w:r>
      <w:r>
        <w:t>minimise</w:t>
      </w:r>
      <w:r w:rsidR="00012E46">
        <w:t>s</w:t>
      </w:r>
      <w:r>
        <w:t xml:space="preserve"> the </w:t>
      </w:r>
      <w:r w:rsidR="00012E46">
        <w:t>contribution made</w:t>
      </w:r>
      <w:r>
        <w:t xml:space="preserve"> by any single pro</w:t>
      </w:r>
      <w:r w:rsidR="0012293C">
        <w:t>vider</w:t>
      </w:r>
      <w:r>
        <w:t xml:space="preserve"> to establish the pool</w:t>
      </w:r>
      <w:r w:rsidR="00FC78E3">
        <w:t>.</w:t>
      </w:r>
    </w:p>
    <w:p w14:paraId="0EC74126" w14:textId="314CDFA1" w:rsidR="00C73854" w:rsidRDefault="00C73854" w:rsidP="00DD3210">
      <w:pPr>
        <w:pStyle w:val="ListParagraph"/>
        <w:ind w:left="0"/>
        <w:contextualSpacing w:val="0"/>
      </w:pPr>
      <w:r w:rsidRPr="00EA1D7F">
        <w:t>All universities w</w:t>
      </w:r>
      <w:r w:rsidR="00012E46" w:rsidRPr="00EA1D7F">
        <w:t>ould</w:t>
      </w:r>
      <w:r w:rsidRPr="00EA1D7F">
        <w:t xml:space="preserve"> have an opportunity to bid for </w:t>
      </w:r>
      <w:r w:rsidR="00012E46" w:rsidRPr="00EA1D7F">
        <w:t xml:space="preserve">the return of </w:t>
      </w:r>
      <w:r w:rsidRPr="00EA1D7F">
        <w:t>places they contribute</w:t>
      </w:r>
      <w:r w:rsidR="00F458EC" w:rsidRPr="00EA1D7F">
        <w:t>d</w:t>
      </w:r>
      <w:r w:rsidRPr="00EA1D7F">
        <w:t xml:space="preserve"> to the pool or to seek additional places, based on their regional medical education focus. Outcomes</w:t>
      </w:r>
      <w:r>
        <w:t xml:space="preserve"> for this competitive bidding process would be unlikely to be finalised until early 2020.</w:t>
      </w:r>
    </w:p>
    <w:p w14:paraId="6194E5EB" w14:textId="4F08D5B3" w:rsidR="00C73854" w:rsidRPr="002153E3" w:rsidRDefault="00C73854" w:rsidP="00DD3210">
      <w:pPr>
        <w:pStyle w:val="ListParagraph"/>
        <w:ind w:left="0"/>
        <w:contextualSpacing w:val="0"/>
      </w:pPr>
      <w:r w:rsidRPr="002153E3">
        <w:t xml:space="preserve">This option provides an opportunity to reward new and innovative medical education initiatives but does not provide any guarantee that </w:t>
      </w:r>
      <w:r w:rsidR="00012E46" w:rsidRPr="002153E3">
        <w:t>a provider will maintain (or increase) its</w:t>
      </w:r>
      <w:r w:rsidRPr="002153E3">
        <w:t xml:space="preserve"> share of the national allocation. As the limited number of available competitive places would be redistributed to the strongest regional proposals</w:t>
      </w:r>
      <w:r w:rsidR="00FC78E3" w:rsidRPr="002153E3">
        <w:t>, it is unlikely that sufficient places w</w:t>
      </w:r>
      <w:r w:rsidR="00D55D33" w:rsidRPr="002153E3">
        <w:t>ould</w:t>
      </w:r>
      <w:r w:rsidR="00FC78E3" w:rsidRPr="002153E3">
        <w:t xml:space="preserve"> be</w:t>
      </w:r>
      <w:r w:rsidRPr="002153E3">
        <w:t xml:space="preserve"> available to reward all proposals with a strong regional commitment.</w:t>
      </w:r>
    </w:p>
    <w:p w14:paraId="51FB3234" w14:textId="1DC09051" w:rsidR="00012E46" w:rsidRPr="002153E3" w:rsidRDefault="00FC78E3" w:rsidP="00DD3210">
      <w:pPr>
        <w:pStyle w:val="ListParagraph"/>
        <w:ind w:left="0"/>
        <w:contextualSpacing w:val="0"/>
      </w:pPr>
      <w:r w:rsidRPr="002153E3">
        <w:rPr>
          <w:u w:val="single"/>
        </w:rPr>
        <w:t>Table 3</w:t>
      </w:r>
      <w:r w:rsidRPr="002153E3">
        <w:t xml:space="preserve"> below shows that this approach would result in each university contributing between one and six commencing medical CSPs to the redistribution pool for 2021 (</w:t>
      </w:r>
      <w:r w:rsidR="00F458EC" w:rsidRPr="002153E3">
        <w:t>totaling</w:t>
      </w:r>
      <w:r w:rsidRPr="002153E3">
        <w:t xml:space="preserve"> between four and </w:t>
      </w:r>
      <w:r w:rsidR="0012293C">
        <w:t>30</w:t>
      </w:r>
      <w:r w:rsidRPr="002153E3">
        <w:t xml:space="preserve"> EFTSL at full capacity, depending on the duration of the medical program).</w:t>
      </w:r>
    </w:p>
    <w:p w14:paraId="0DA41764" w14:textId="4B1DD026" w:rsidR="00FC78E3" w:rsidRPr="002153E3" w:rsidRDefault="00FC78E3" w:rsidP="00DD3210">
      <w:pPr>
        <w:pStyle w:val="ListParagraph"/>
        <w:ind w:left="0"/>
        <w:contextualSpacing w:val="0"/>
      </w:pPr>
      <w:r w:rsidRPr="002153E3">
        <w:t>Universities may regain some or all of these places or increase their allocation through the competitive redistribution process. Universities with a net loss of places in the initial</w:t>
      </w:r>
      <w:r w:rsidR="00012E46" w:rsidRPr="002153E3">
        <w:t xml:space="preserve"> redistribution</w:t>
      </w:r>
      <w:r w:rsidRPr="002153E3">
        <w:t xml:space="preserve"> round would be permitted to enrol </w:t>
      </w:r>
      <w:r w:rsidR="0012293C">
        <w:t>IFFP</w:t>
      </w:r>
      <w:r w:rsidRPr="002153E3">
        <w:t xml:space="preserve"> medical students to compensate for the reduction in their medical CSP allocation.</w:t>
      </w:r>
    </w:p>
    <w:p w14:paraId="03A0AC9C" w14:textId="5DA7E2BE" w:rsidR="008E5836" w:rsidRDefault="008E5836" w:rsidP="00C73854">
      <w:pPr>
        <w:spacing w:before="0" w:after="200"/>
      </w:pPr>
      <w:r>
        <w:br w:type="page"/>
      </w:r>
    </w:p>
    <w:p w14:paraId="16FD8CD3" w14:textId="3B62180C" w:rsidR="002336BA" w:rsidRPr="00B13D2D" w:rsidRDefault="002336BA" w:rsidP="000B5997">
      <w:pPr>
        <w:rPr>
          <w:b/>
        </w:rPr>
      </w:pPr>
      <w:r>
        <w:rPr>
          <w:b/>
          <w:u w:val="single"/>
        </w:rPr>
        <w:t>Table 3</w:t>
      </w:r>
      <w:r w:rsidR="00B13D2D">
        <w:rPr>
          <w:b/>
        </w:rPr>
        <w:t>: 2</w:t>
      </w:r>
      <w:r w:rsidR="00461AB2">
        <w:rPr>
          <w:b/>
        </w:rPr>
        <w:t>.03</w:t>
      </w:r>
      <w:r w:rsidR="00AF01E5">
        <w:rPr>
          <w:b/>
        </w:rPr>
        <w:t xml:space="preserve"> </w:t>
      </w:r>
      <w:r w:rsidR="00B13D2D">
        <w:rPr>
          <w:b/>
        </w:rPr>
        <w:t xml:space="preserve">per cent allocation of medical </w:t>
      </w:r>
      <w:r w:rsidR="007369CD">
        <w:rPr>
          <w:b/>
        </w:rPr>
        <w:t>CSPs to the redistribution pool–all providers</w:t>
      </w:r>
    </w:p>
    <w:tbl>
      <w:tblPr>
        <w:tblStyle w:val="TableGrid11"/>
        <w:tblW w:w="9072" w:type="dxa"/>
        <w:tblInd w:w="250" w:type="dxa"/>
        <w:tblLook w:val="04A0" w:firstRow="1" w:lastRow="0" w:firstColumn="1" w:lastColumn="0" w:noHBand="0" w:noVBand="1"/>
      </w:tblPr>
      <w:tblGrid>
        <w:gridCol w:w="3544"/>
        <w:gridCol w:w="2693"/>
        <w:gridCol w:w="2835"/>
      </w:tblGrid>
      <w:tr w:rsidR="007F1C0C" w:rsidRPr="007C27A6" w14:paraId="5EB810C4" w14:textId="77777777" w:rsidTr="00DD3210">
        <w:trPr>
          <w:trHeight w:val="645"/>
        </w:trPr>
        <w:tc>
          <w:tcPr>
            <w:tcW w:w="3544" w:type="dxa"/>
            <w:shd w:val="clear" w:color="auto" w:fill="8193D1" w:themeFill="text2" w:themeFillTint="99"/>
            <w:vAlign w:val="center"/>
            <w:hideMark/>
          </w:tcPr>
          <w:p w14:paraId="6FFDF437" w14:textId="793B0720" w:rsidR="007F1C0C" w:rsidRPr="007C27A6" w:rsidRDefault="007F1C0C" w:rsidP="00DD3210">
            <w:pPr>
              <w:spacing w:before="0" w:after="0"/>
              <w:rPr>
                <w:rFonts w:ascii="Calibri" w:hAnsi="Calibri" w:cs="Times New Roman"/>
              </w:rPr>
            </w:pPr>
            <w:r w:rsidRPr="007C27A6">
              <w:rPr>
                <w:rFonts w:ascii="Calibri" w:hAnsi="Calibri" w:cs="Times New Roman"/>
              </w:rPr>
              <w:t>University</w:t>
            </w:r>
          </w:p>
        </w:tc>
        <w:tc>
          <w:tcPr>
            <w:tcW w:w="2693" w:type="dxa"/>
            <w:shd w:val="clear" w:color="auto" w:fill="8193D1" w:themeFill="text2" w:themeFillTint="99"/>
            <w:hideMark/>
          </w:tcPr>
          <w:p w14:paraId="7C8EE4CD" w14:textId="77777777" w:rsidR="007F1C0C" w:rsidRPr="007C27A6" w:rsidRDefault="007F1C0C" w:rsidP="00121B40">
            <w:pPr>
              <w:spacing w:before="0" w:after="0"/>
              <w:rPr>
                <w:rFonts w:ascii="Calibri" w:hAnsi="Calibri" w:cs="Times New Roman"/>
              </w:rPr>
            </w:pPr>
            <w:r w:rsidRPr="007C27A6">
              <w:rPr>
                <w:rFonts w:ascii="Calibri" w:hAnsi="Calibri" w:cs="Times New Roman"/>
              </w:rPr>
              <w:t>Medical CSP commencements in 2021*</w:t>
            </w:r>
          </w:p>
        </w:tc>
        <w:tc>
          <w:tcPr>
            <w:tcW w:w="2835" w:type="dxa"/>
            <w:shd w:val="clear" w:color="auto" w:fill="8193D1" w:themeFill="text2" w:themeFillTint="99"/>
            <w:hideMark/>
          </w:tcPr>
          <w:p w14:paraId="10EC925F" w14:textId="77777777" w:rsidR="007F1C0C" w:rsidRPr="007C27A6" w:rsidRDefault="007F1C0C" w:rsidP="00121B40">
            <w:pPr>
              <w:spacing w:before="0" w:after="0"/>
              <w:rPr>
                <w:rFonts w:ascii="Calibri" w:hAnsi="Calibri" w:cs="Times New Roman"/>
              </w:rPr>
            </w:pPr>
            <w:r w:rsidRPr="007C27A6">
              <w:rPr>
                <w:rFonts w:ascii="Calibri" w:hAnsi="Calibri" w:cs="Times New Roman"/>
              </w:rPr>
              <w:t xml:space="preserve">Places contributed to redistribution pool </w:t>
            </w:r>
          </w:p>
        </w:tc>
      </w:tr>
      <w:tr w:rsidR="007F1C0C" w:rsidRPr="007C27A6" w14:paraId="70385C47" w14:textId="77777777" w:rsidTr="00210507">
        <w:trPr>
          <w:trHeight w:val="300"/>
        </w:trPr>
        <w:tc>
          <w:tcPr>
            <w:tcW w:w="9072" w:type="dxa"/>
            <w:gridSpan w:val="3"/>
            <w:shd w:val="clear" w:color="auto" w:fill="D5DBEF" w:themeFill="text2" w:themeFillTint="33"/>
            <w:hideMark/>
          </w:tcPr>
          <w:p w14:paraId="56680944" w14:textId="77777777" w:rsidR="007F1C0C" w:rsidRPr="007C27A6" w:rsidRDefault="007F1C0C" w:rsidP="00121B40">
            <w:pPr>
              <w:spacing w:before="0" w:after="0"/>
              <w:rPr>
                <w:rFonts w:ascii="Calibri" w:hAnsi="Calibri" w:cs="Times New Roman"/>
                <w:b/>
                <w:bCs/>
              </w:rPr>
            </w:pPr>
            <w:r w:rsidRPr="007C27A6">
              <w:rPr>
                <w:rFonts w:ascii="Calibri" w:hAnsi="Calibri" w:cs="Times New Roman"/>
                <w:b/>
                <w:bCs/>
              </w:rPr>
              <w:t>New South Wales</w:t>
            </w:r>
          </w:p>
        </w:tc>
      </w:tr>
      <w:tr w:rsidR="007F1C0C" w:rsidRPr="007C27A6" w14:paraId="0BFD30E9" w14:textId="77777777" w:rsidTr="00121B40">
        <w:trPr>
          <w:trHeight w:val="300"/>
        </w:trPr>
        <w:tc>
          <w:tcPr>
            <w:tcW w:w="3544" w:type="dxa"/>
            <w:noWrap/>
            <w:hideMark/>
          </w:tcPr>
          <w:p w14:paraId="3D39032F" w14:textId="77777777" w:rsidR="007F1C0C" w:rsidRPr="007C27A6" w:rsidRDefault="007F1C0C" w:rsidP="00121B40">
            <w:pPr>
              <w:spacing w:before="0" w:after="0"/>
              <w:rPr>
                <w:rFonts w:ascii="Calibri" w:hAnsi="Calibri" w:cs="Times New Roman"/>
              </w:rPr>
            </w:pPr>
            <w:r w:rsidRPr="007C27A6">
              <w:rPr>
                <w:rFonts w:ascii="Calibri" w:hAnsi="Calibri" w:cs="Times New Roman"/>
              </w:rPr>
              <w:t>University of New England</w:t>
            </w:r>
          </w:p>
        </w:tc>
        <w:tc>
          <w:tcPr>
            <w:tcW w:w="2693" w:type="dxa"/>
            <w:noWrap/>
            <w:hideMark/>
          </w:tcPr>
          <w:p w14:paraId="4F3BF16C"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60</w:t>
            </w:r>
          </w:p>
        </w:tc>
        <w:tc>
          <w:tcPr>
            <w:tcW w:w="2835" w:type="dxa"/>
            <w:noWrap/>
            <w:hideMark/>
          </w:tcPr>
          <w:p w14:paraId="49A9A3C9"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1</w:t>
            </w:r>
          </w:p>
        </w:tc>
      </w:tr>
      <w:tr w:rsidR="007F1C0C" w:rsidRPr="007C27A6" w14:paraId="2E95AC79" w14:textId="77777777" w:rsidTr="00121B40">
        <w:trPr>
          <w:trHeight w:val="300"/>
        </w:trPr>
        <w:tc>
          <w:tcPr>
            <w:tcW w:w="3544" w:type="dxa"/>
            <w:noWrap/>
            <w:hideMark/>
          </w:tcPr>
          <w:p w14:paraId="0B4A1AC9" w14:textId="77777777" w:rsidR="007F1C0C" w:rsidRPr="007C27A6" w:rsidRDefault="007F1C0C" w:rsidP="00121B40">
            <w:pPr>
              <w:spacing w:before="0" w:after="0"/>
              <w:rPr>
                <w:rFonts w:ascii="Calibri" w:hAnsi="Calibri" w:cs="Times New Roman"/>
              </w:rPr>
            </w:pPr>
            <w:r w:rsidRPr="007C27A6">
              <w:rPr>
                <w:rFonts w:ascii="Calibri" w:hAnsi="Calibri" w:cs="Times New Roman"/>
              </w:rPr>
              <w:t>University of New South Wales</w:t>
            </w:r>
          </w:p>
        </w:tc>
        <w:tc>
          <w:tcPr>
            <w:tcW w:w="2693" w:type="dxa"/>
            <w:noWrap/>
            <w:hideMark/>
          </w:tcPr>
          <w:p w14:paraId="34F25714"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199</w:t>
            </w:r>
          </w:p>
        </w:tc>
        <w:tc>
          <w:tcPr>
            <w:tcW w:w="2835" w:type="dxa"/>
            <w:noWrap/>
            <w:hideMark/>
          </w:tcPr>
          <w:p w14:paraId="50036DBC"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4</w:t>
            </w:r>
          </w:p>
        </w:tc>
      </w:tr>
      <w:tr w:rsidR="007F1C0C" w:rsidRPr="007C27A6" w14:paraId="35380F1B" w14:textId="77777777" w:rsidTr="00121B40">
        <w:trPr>
          <w:trHeight w:val="300"/>
        </w:trPr>
        <w:tc>
          <w:tcPr>
            <w:tcW w:w="3544" w:type="dxa"/>
            <w:noWrap/>
            <w:hideMark/>
          </w:tcPr>
          <w:p w14:paraId="3F067C5E" w14:textId="77777777" w:rsidR="007F1C0C" w:rsidRPr="007C27A6" w:rsidRDefault="007F1C0C" w:rsidP="00121B40">
            <w:pPr>
              <w:spacing w:before="0" w:after="0"/>
              <w:rPr>
                <w:rFonts w:ascii="Calibri" w:hAnsi="Calibri" w:cs="Times New Roman"/>
              </w:rPr>
            </w:pPr>
            <w:r w:rsidRPr="007C27A6">
              <w:rPr>
                <w:rFonts w:ascii="Calibri" w:hAnsi="Calibri" w:cs="Times New Roman"/>
              </w:rPr>
              <w:t>University of Newcastle</w:t>
            </w:r>
          </w:p>
        </w:tc>
        <w:tc>
          <w:tcPr>
            <w:tcW w:w="2693" w:type="dxa"/>
            <w:noWrap/>
            <w:hideMark/>
          </w:tcPr>
          <w:p w14:paraId="76DDF6E4"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108</w:t>
            </w:r>
          </w:p>
        </w:tc>
        <w:tc>
          <w:tcPr>
            <w:tcW w:w="2835" w:type="dxa"/>
            <w:noWrap/>
            <w:hideMark/>
          </w:tcPr>
          <w:p w14:paraId="3C557360"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2</w:t>
            </w:r>
          </w:p>
        </w:tc>
      </w:tr>
      <w:tr w:rsidR="007F1C0C" w:rsidRPr="007C27A6" w14:paraId="066DD831" w14:textId="77777777" w:rsidTr="00121B40">
        <w:trPr>
          <w:trHeight w:val="300"/>
        </w:trPr>
        <w:tc>
          <w:tcPr>
            <w:tcW w:w="3544" w:type="dxa"/>
            <w:noWrap/>
            <w:hideMark/>
          </w:tcPr>
          <w:p w14:paraId="42A8417F" w14:textId="77777777" w:rsidR="007F1C0C" w:rsidRPr="007C27A6" w:rsidRDefault="007F1C0C" w:rsidP="00121B40">
            <w:pPr>
              <w:spacing w:before="0" w:after="0"/>
              <w:rPr>
                <w:rFonts w:ascii="Calibri" w:hAnsi="Calibri" w:cs="Times New Roman"/>
              </w:rPr>
            </w:pPr>
            <w:r w:rsidRPr="007C27A6">
              <w:rPr>
                <w:rFonts w:ascii="Calibri" w:hAnsi="Calibri" w:cs="Times New Roman"/>
              </w:rPr>
              <w:t>University of Wollongong</w:t>
            </w:r>
          </w:p>
        </w:tc>
        <w:tc>
          <w:tcPr>
            <w:tcW w:w="2693" w:type="dxa"/>
            <w:noWrap/>
            <w:hideMark/>
          </w:tcPr>
          <w:p w14:paraId="4BE571F0"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69</w:t>
            </w:r>
          </w:p>
        </w:tc>
        <w:tc>
          <w:tcPr>
            <w:tcW w:w="2835" w:type="dxa"/>
            <w:noWrap/>
            <w:hideMark/>
          </w:tcPr>
          <w:p w14:paraId="3C50E4FF"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1</w:t>
            </w:r>
          </w:p>
        </w:tc>
      </w:tr>
      <w:tr w:rsidR="007F1C0C" w:rsidRPr="007C27A6" w14:paraId="142EF3C9" w14:textId="77777777" w:rsidTr="00121B40">
        <w:trPr>
          <w:trHeight w:val="300"/>
        </w:trPr>
        <w:tc>
          <w:tcPr>
            <w:tcW w:w="3544" w:type="dxa"/>
            <w:noWrap/>
            <w:hideMark/>
          </w:tcPr>
          <w:p w14:paraId="3F0B8334" w14:textId="77777777" w:rsidR="007F1C0C" w:rsidRPr="007C27A6" w:rsidRDefault="007F1C0C" w:rsidP="00121B40">
            <w:pPr>
              <w:spacing w:before="0" w:after="0"/>
              <w:rPr>
                <w:rFonts w:ascii="Calibri" w:hAnsi="Calibri" w:cs="Times New Roman"/>
              </w:rPr>
            </w:pPr>
            <w:r w:rsidRPr="007C27A6">
              <w:rPr>
                <w:rFonts w:ascii="Calibri" w:hAnsi="Calibri" w:cs="Times New Roman"/>
              </w:rPr>
              <w:t>University of Sydney</w:t>
            </w:r>
          </w:p>
        </w:tc>
        <w:tc>
          <w:tcPr>
            <w:tcW w:w="2693" w:type="dxa"/>
            <w:noWrap/>
            <w:hideMark/>
          </w:tcPr>
          <w:p w14:paraId="37B52C98"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227</w:t>
            </w:r>
          </w:p>
        </w:tc>
        <w:tc>
          <w:tcPr>
            <w:tcW w:w="2835" w:type="dxa"/>
            <w:noWrap/>
            <w:hideMark/>
          </w:tcPr>
          <w:p w14:paraId="3C7CA0BB"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5</w:t>
            </w:r>
          </w:p>
        </w:tc>
      </w:tr>
      <w:tr w:rsidR="007F1C0C" w:rsidRPr="007C27A6" w14:paraId="4AD52E4E" w14:textId="77777777" w:rsidTr="00121B40">
        <w:trPr>
          <w:trHeight w:val="300"/>
        </w:trPr>
        <w:tc>
          <w:tcPr>
            <w:tcW w:w="3544" w:type="dxa"/>
            <w:noWrap/>
            <w:hideMark/>
          </w:tcPr>
          <w:p w14:paraId="684B354B" w14:textId="64747778" w:rsidR="007F1C0C" w:rsidRPr="007C27A6" w:rsidRDefault="007F1C0C" w:rsidP="00121B40">
            <w:pPr>
              <w:spacing w:before="0" w:after="0"/>
              <w:rPr>
                <w:rFonts w:ascii="Calibri" w:hAnsi="Calibri" w:cs="Times New Roman"/>
              </w:rPr>
            </w:pPr>
            <w:r w:rsidRPr="007C27A6">
              <w:rPr>
                <w:rFonts w:ascii="Calibri" w:hAnsi="Calibri" w:cs="Times New Roman"/>
              </w:rPr>
              <w:t>Western Sydney</w:t>
            </w:r>
            <w:r w:rsidR="00D01CC5">
              <w:rPr>
                <w:rFonts w:ascii="Calibri" w:hAnsi="Calibri" w:cs="Times New Roman"/>
              </w:rPr>
              <w:t xml:space="preserve"> University</w:t>
            </w:r>
          </w:p>
        </w:tc>
        <w:tc>
          <w:tcPr>
            <w:tcW w:w="2693" w:type="dxa"/>
            <w:noWrap/>
            <w:hideMark/>
          </w:tcPr>
          <w:p w14:paraId="28485ED5"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101</w:t>
            </w:r>
          </w:p>
        </w:tc>
        <w:tc>
          <w:tcPr>
            <w:tcW w:w="2835" w:type="dxa"/>
            <w:noWrap/>
            <w:hideMark/>
          </w:tcPr>
          <w:p w14:paraId="7B6ACA05"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2</w:t>
            </w:r>
          </w:p>
        </w:tc>
      </w:tr>
      <w:tr w:rsidR="007F1C0C" w:rsidRPr="007C27A6" w14:paraId="7681203C" w14:textId="77777777" w:rsidTr="00121B40">
        <w:trPr>
          <w:trHeight w:val="600"/>
        </w:trPr>
        <w:tc>
          <w:tcPr>
            <w:tcW w:w="3544" w:type="dxa"/>
            <w:hideMark/>
          </w:tcPr>
          <w:p w14:paraId="6F5E565A" w14:textId="77777777" w:rsidR="007F1C0C" w:rsidRPr="007C27A6" w:rsidRDefault="007F1C0C" w:rsidP="00121B40">
            <w:pPr>
              <w:spacing w:before="0" w:after="0"/>
              <w:rPr>
                <w:rFonts w:ascii="Calibri" w:hAnsi="Calibri" w:cs="Times New Roman"/>
              </w:rPr>
            </w:pPr>
            <w:r w:rsidRPr="007C27A6">
              <w:rPr>
                <w:rFonts w:ascii="Calibri" w:hAnsi="Calibri" w:cs="Times New Roman"/>
              </w:rPr>
              <w:t>University of Notre Dame Australia</w:t>
            </w:r>
            <w:r w:rsidRPr="007C27A6">
              <w:rPr>
                <w:rFonts w:ascii="Calibri" w:hAnsi="Calibri" w:cs="Times New Roman"/>
              </w:rPr>
              <w:br/>
              <w:t>(Sydney campus)**</w:t>
            </w:r>
          </w:p>
        </w:tc>
        <w:tc>
          <w:tcPr>
            <w:tcW w:w="2693" w:type="dxa"/>
            <w:noWrap/>
            <w:hideMark/>
          </w:tcPr>
          <w:p w14:paraId="1123A9BE"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60</w:t>
            </w:r>
          </w:p>
        </w:tc>
        <w:tc>
          <w:tcPr>
            <w:tcW w:w="2835" w:type="dxa"/>
            <w:noWrap/>
            <w:hideMark/>
          </w:tcPr>
          <w:p w14:paraId="203398FF"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1</w:t>
            </w:r>
          </w:p>
        </w:tc>
      </w:tr>
      <w:tr w:rsidR="007F1C0C" w:rsidRPr="007C27A6" w14:paraId="272C350B" w14:textId="77777777" w:rsidTr="00121B40">
        <w:trPr>
          <w:trHeight w:val="300"/>
        </w:trPr>
        <w:tc>
          <w:tcPr>
            <w:tcW w:w="3544" w:type="dxa"/>
            <w:noWrap/>
            <w:hideMark/>
          </w:tcPr>
          <w:p w14:paraId="52BEA770" w14:textId="77777777" w:rsidR="007F1C0C" w:rsidRPr="007C27A6" w:rsidRDefault="007F1C0C" w:rsidP="00121B40">
            <w:pPr>
              <w:spacing w:before="0" w:after="0"/>
              <w:rPr>
                <w:rFonts w:ascii="Calibri" w:hAnsi="Calibri" w:cs="Times New Roman"/>
                <w:b/>
                <w:i/>
                <w:iCs/>
              </w:rPr>
            </w:pPr>
            <w:r w:rsidRPr="007C27A6">
              <w:rPr>
                <w:rFonts w:ascii="Calibri" w:hAnsi="Calibri" w:cs="Times New Roman"/>
                <w:b/>
                <w:i/>
                <w:iCs/>
              </w:rPr>
              <w:t>TOTAL</w:t>
            </w:r>
          </w:p>
        </w:tc>
        <w:tc>
          <w:tcPr>
            <w:tcW w:w="2693" w:type="dxa"/>
            <w:noWrap/>
            <w:hideMark/>
          </w:tcPr>
          <w:p w14:paraId="772A6773" w14:textId="77777777" w:rsidR="007F1C0C" w:rsidRPr="007C27A6" w:rsidRDefault="007F1C0C" w:rsidP="00121B40">
            <w:pPr>
              <w:spacing w:before="0" w:after="0"/>
              <w:jc w:val="right"/>
              <w:rPr>
                <w:rFonts w:ascii="Calibri" w:hAnsi="Calibri" w:cs="Times New Roman"/>
                <w:b/>
              </w:rPr>
            </w:pPr>
            <w:r w:rsidRPr="007C27A6">
              <w:rPr>
                <w:rFonts w:ascii="Calibri" w:hAnsi="Calibri" w:cs="Times New Roman"/>
                <w:b/>
              </w:rPr>
              <w:t>824</w:t>
            </w:r>
          </w:p>
        </w:tc>
        <w:tc>
          <w:tcPr>
            <w:tcW w:w="2835" w:type="dxa"/>
            <w:noWrap/>
            <w:hideMark/>
          </w:tcPr>
          <w:p w14:paraId="30CF98F8" w14:textId="77777777" w:rsidR="007F1C0C" w:rsidRPr="007C27A6" w:rsidRDefault="007F1C0C" w:rsidP="00121B40">
            <w:pPr>
              <w:spacing w:before="0" w:after="0"/>
              <w:jc w:val="right"/>
              <w:rPr>
                <w:rFonts w:ascii="Calibri" w:hAnsi="Calibri" w:cs="Times New Roman"/>
                <w:b/>
              </w:rPr>
            </w:pPr>
            <w:r w:rsidRPr="007C27A6">
              <w:rPr>
                <w:rFonts w:ascii="Calibri" w:hAnsi="Calibri" w:cs="Times New Roman"/>
                <w:b/>
              </w:rPr>
              <w:t>16</w:t>
            </w:r>
          </w:p>
        </w:tc>
      </w:tr>
      <w:tr w:rsidR="007F1C0C" w:rsidRPr="007C27A6" w14:paraId="00D20097" w14:textId="77777777" w:rsidTr="00210507">
        <w:trPr>
          <w:trHeight w:val="300"/>
        </w:trPr>
        <w:tc>
          <w:tcPr>
            <w:tcW w:w="9072" w:type="dxa"/>
            <w:gridSpan w:val="3"/>
            <w:shd w:val="clear" w:color="auto" w:fill="D5DBEF" w:themeFill="text2" w:themeFillTint="33"/>
            <w:noWrap/>
            <w:hideMark/>
          </w:tcPr>
          <w:p w14:paraId="65FB9D64" w14:textId="77777777" w:rsidR="007F1C0C" w:rsidRPr="007C27A6" w:rsidRDefault="007F1C0C" w:rsidP="00121B40">
            <w:pPr>
              <w:spacing w:before="0" w:after="0"/>
              <w:rPr>
                <w:rFonts w:ascii="Calibri" w:hAnsi="Calibri" w:cs="Times New Roman"/>
                <w:b/>
                <w:bCs/>
              </w:rPr>
            </w:pPr>
            <w:r w:rsidRPr="007C27A6">
              <w:rPr>
                <w:rFonts w:ascii="Calibri" w:hAnsi="Calibri" w:cs="Times New Roman"/>
                <w:b/>
                <w:bCs/>
              </w:rPr>
              <w:t>Victoria</w:t>
            </w:r>
          </w:p>
        </w:tc>
      </w:tr>
      <w:tr w:rsidR="007F1C0C" w:rsidRPr="007C27A6" w14:paraId="4D46407C" w14:textId="77777777" w:rsidTr="00121B40">
        <w:trPr>
          <w:trHeight w:val="300"/>
        </w:trPr>
        <w:tc>
          <w:tcPr>
            <w:tcW w:w="3544" w:type="dxa"/>
            <w:noWrap/>
            <w:hideMark/>
          </w:tcPr>
          <w:p w14:paraId="136D4C9E" w14:textId="77777777" w:rsidR="007F1C0C" w:rsidRPr="007C27A6" w:rsidRDefault="007F1C0C" w:rsidP="00121B40">
            <w:pPr>
              <w:spacing w:before="0" w:after="0"/>
              <w:rPr>
                <w:rFonts w:ascii="Calibri" w:hAnsi="Calibri" w:cs="Times New Roman"/>
              </w:rPr>
            </w:pPr>
            <w:r w:rsidRPr="007C27A6">
              <w:rPr>
                <w:rFonts w:ascii="Calibri" w:hAnsi="Calibri" w:cs="Times New Roman"/>
              </w:rPr>
              <w:t>Deakin University</w:t>
            </w:r>
          </w:p>
        </w:tc>
        <w:tc>
          <w:tcPr>
            <w:tcW w:w="2693" w:type="dxa"/>
            <w:noWrap/>
            <w:hideMark/>
          </w:tcPr>
          <w:p w14:paraId="6320FFDF"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130</w:t>
            </w:r>
          </w:p>
        </w:tc>
        <w:tc>
          <w:tcPr>
            <w:tcW w:w="2835" w:type="dxa"/>
            <w:noWrap/>
            <w:hideMark/>
          </w:tcPr>
          <w:p w14:paraId="0404F561"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3</w:t>
            </w:r>
          </w:p>
        </w:tc>
      </w:tr>
      <w:tr w:rsidR="007F1C0C" w:rsidRPr="007C27A6" w14:paraId="292072D4" w14:textId="77777777" w:rsidTr="00121B40">
        <w:trPr>
          <w:trHeight w:val="300"/>
        </w:trPr>
        <w:tc>
          <w:tcPr>
            <w:tcW w:w="3544" w:type="dxa"/>
            <w:noWrap/>
            <w:hideMark/>
          </w:tcPr>
          <w:p w14:paraId="1B24C25F" w14:textId="6F5EF55F" w:rsidR="007F1C0C" w:rsidRPr="007C27A6" w:rsidRDefault="007F1C0C" w:rsidP="002317D9">
            <w:pPr>
              <w:spacing w:before="0" w:after="0"/>
              <w:rPr>
                <w:rFonts w:ascii="Calibri" w:hAnsi="Calibri" w:cs="Times New Roman"/>
              </w:rPr>
            </w:pPr>
            <w:r w:rsidRPr="007C27A6">
              <w:rPr>
                <w:rFonts w:ascii="Calibri" w:hAnsi="Calibri" w:cs="Times New Roman"/>
              </w:rPr>
              <w:t>Monash University</w:t>
            </w:r>
          </w:p>
        </w:tc>
        <w:tc>
          <w:tcPr>
            <w:tcW w:w="2693" w:type="dxa"/>
            <w:noWrap/>
            <w:hideMark/>
          </w:tcPr>
          <w:p w14:paraId="6C416A82" w14:textId="2150B72C" w:rsidR="007F1C0C" w:rsidRPr="007C27A6" w:rsidRDefault="002317D9" w:rsidP="00121B40">
            <w:pPr>
              <w:spacing w:before="0" w:after="0"/>
              <w:jc w:val="right"/>
              <w:rPr>
                <w:rFonts w:ascii="Calibri" w:hAnsi="Calibri" w:cs="Times New Roman"/>
              </w:rPr>
            </w:pPr>
            <w:r>
              <w:rPr>
                <w:rFonts w:ascii="Calibri" w:hAnsi="Calibri" w:cs="Times New Roman"/>
              </w:rPr>
              <w:t>310</w:t>
            </w:r>
          </w:p>
        </w:tc>
        <w:tc>
          <w:tcPr>
            <w:tcW w:w="2835" w:type="dxa"/>
            <w:noWrap/>
            <w:hideMark/>
          </w:tcPr>
          <w:p w14:paraId="249FFFAE" w14:textId="7FF4874D" w:rsidR="007F1C0C" w:rsidRPr="007C27A6" w:rsidRDefault="002317D9" w:rsidP="002317D9">
            <w:pPr>
              <w:spacing w:before="0" w:after="0"/>
              <w:jc w:val="right"/>
              <w:rPr>
                <w:rFonts w:ascii="Calibri" w:hAnsi="Calibri" w:cs="Times New Roman"/>
              </w:rPr>
            </w:pPr>
            <w:r>
              <w:rPr>
                <w:rFonts w:ascii="Calibri" w:hAnsi="Calibri" w:cs="Times New Roman"/>
              </w:rPr>
              <w:t>6</w:t>
            </w:r>
          </w:p>
        </w:tc>
      </w:tr>
      <w:tr w:rsidR="007F1C0C" w:rsidRPr="007C27A6" w14:paraId="4F0F3F72" w14:textId="77777777" w:rsidTr="00121B40">
        <w:trPr>
          <w:trHeight w:val="300"/>
        </w:trPr>
        <w:tc>
          <w:tcPr>
            <w:tcW w:w="3544" w:type="dxa"/>
            <w:noWrap/>
            <w:hideMark/>
          </w:tcPr>
          <w:p w14:paraId="4456EF87" w14:textId="77777777" w:rsidR="007F1C0C" w:rsidRPr="007C27A6" w:rsidRDefault="007F1C0C" w:rsidP="00121B40">
            <w:pPr>
              <w:spacing w:before="0" w:after="0"/>
              <w:rPr>
                <w:rFonts w:ascii="Calibri" w:hAnsi="Calibri" w:cs="Times New Roman"/>
              </w:rPr>
            </w:pPr>
            <w:r w:rsidRPr="007C27A6">
              <w:rPr>
                <w:rFonts w:ascii="Calibri" w:hAnsi="Calibri" w:cs="Times New Roman"/>
              </w:rPr>
              <w:t>University of Melbourne</w:t>
            </w:r>
          </w:p>
        </w:tc>
        <w:tc>
          <w:tcPr>
            <w:tcW w:w="2693" w:type="dxa"/>
            <w:noWrap/>
            <w:hideMark/>
          </w:tcPr>
          <w:p w14:paraId="562FED47"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250</w:t>
            </w:r>
          </w:p>
        </w:tc>
        <w:tc>
          <w:tcPr>
            <w:tcW w:w="2835" w:type="dxa"/>
            <w:noWrap/>
            <w:hideMark/>
          </w:tcPr>
          <w:p w14:paraId="07AE9177"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5</w:t>
            </w:r>
          </w:p>
        </w:tc>
      </w:tr>
      <w:tr w:rsidR="007F1C0C" w:rsidRPr="007C27A6" w14:paraId="31285870" w14:textId="77777777" w:rsidTr="00121B40">
        <w:trPr>
          <w:trHeight w:val="300"/>
        </w:trPr>
        <w:tc>
          <w:tcPr>
            <w:tcW w:w="3544" w:type="dxa"/>
            <w:noWrap/>
            <w:hideMark/>
          </w:tcPr>
          <w:p w14:paraId="1701E19E" w14:textId="77777777" w:rsidR="007F1C0C" w:rsidRPr="007C27A6" w:rsidRDefault="007F1C0C" w:rsidP="00121B40">
            <w:pPr>
              <w:spacing w:before="0" w:after="0"/>
              <w:rPr>
                <w:rFonts w:ascii="Calibri" w:hAnsi="Calibri" w:cs="Times New Roman"/>
                <w:b/>
                <w:i/>
                <w:iCs/>
              </w:rPr>
            </w:pPr>
            <w:r w:rsidRPr="007C27A6">
              <w:rPr>
                <w:rFonts w:ascii="Calibri" w:hAnsi="Calibri" w:cs="Times New Roman"/>
                <w:b/>
                <w:i/>
                <w:iCs/>
              </w:rPr>
              <w:t>TOTAL</w:t>
            </w:r>
          </w:p>
        </w:tc>
        <w:tc>
          <w:tcPr>
            <w:tcW w:w="2693" w:type="dxa"/>
            <w:noWrap/>
            <w:hideMark/>
          </w:tcPr>
          <w:p w14:paraId="3E391EC6" w14:textId="77777777" w:rsidR="007F1C0C" w:rsidRPr="007C27A6" w:rsidRDefault="007F1C0C" w:rsidP="00121B40">
            <w:pPr>
              <w:spacing w:before="0" w:after="0"/>
              <w:jc w:val="right"/>
              <w:rPr>
                <w:rFonts w:ascii="Calibri" w:hAnsi="Calibri" w:cs="Times New Roman"/>
                <w:b/>
              </w:rPr>
            </w:pPr>
            <w:r w:rsidRPr="007C27A6">
              <w:rPr>
                <w:rFonts w:ascii="Calibri" w:hAnsi="Calibri" w:cs="Times New Roman"/>
                <w:b/>
              </w:rPr>
              <w:t>690</w:t>
            </w:r>
          </w:p>
        </w:tc>
        <w:tc>
          <w:tcPr>
            <w:tcW w:w="2835" w:type="dxa"/>
            <w:noWrap/>
            <w:hideMark/>
          </w:tcPr>
          <w:p w14:paraId="305E6A7F" w14:textId="77777777" w:rsidR="007F1C0C" w:rsidRPr="007C27A6" w:rsidRDefault="007F1C0C" w:rsidP="00121B40">
            <w:pPr>
              <w:spacing w:before="0" w:after="0"/>
              <w:jc w:val="right"/>
              <w:rPr>
                <w:rFonts w:ascii="Calibri" w:hAnsi="Calibri" w:cs="Times New Roman"/>
                <w:b/>
              </w:rPr>
            </w:pPr>
            <w:r w:rsidRPr="007C27A6">
              <w:rPr>
                <w:rFonts w:ascii="Calibri" w:hAnsi="Calibri" w:cs="Times New Roman"/>
                <w:b/>
              </w:rPr>
              <w:t>14</w:t>
            </w:r>
          </w:p>
        </w:tc>
      </w:tr>
      <w:tr w:rsidR="007F1C0C" w:rsidRPr="007C27A6" w14:paraId="6384EB00" w14:textId="77777777" w:rsidTr="00210507">
        <w:trPr>
          <w:trHeight w:val="300"/>
        </w:trPr>
        <w:tc>
          <w:tcPr>
            <w:tcW w:w="9072" w:type="dxa"/>
            <w:gridSpan w:val="3"/>
            <w:shd w:val="clear" w:color="auto" w:fill="D5DBEF" w:themeFill="text2" w:themeFillTint="33"/>
            <w:noWrap/>
            <w:hideMark/>
          </w:tcPr>
          <w:p w14:paraId="73D59368" w14:textId="77777777" w:rsidR="007F1C0C" w:rsidRPr="007C27A6" w:rsidRDefault="007F1C0C" w:rsidP="00121B40">
            <w:pPr>
              <w:spacing w:before="0" w:after="0"/>
              <w:rPr>
                <w:rFonts w:ascii="Calibri" w:hAnsi="Calibri" w:cs="Times New Roman"/>
                <w:b/>
                <w:bCs/>
              </w:rPr>
            </w:pPr>
            <w:r w:rsidRPr="007C27A6">
              <w:rPr>
                <w:rFonts w:ascii="Calibri" w:hAnsi="Calibri" w:cs="Times New Roman"/>
                <w:b/>
                <w:bCs/>
              </w:rPr>
              <w:t>Queensland</w:t>
            </w:r>
          </w:p>
        </w:tc>
      </w:tr>
      <w:tr w:rsidR="007F1C0C" w:rsidRPr="007C27A6" w14:paraId="6BB863E4" w14:textId="77777777" w:rsidTr="00121B40">
        <w:trPr>
          <w:trHeight w:val="300"/>
        </w:trPr>
        <w:tc>
          <w:tcPr>
            <w:tcW w:w="3544" w:type="dxa"/>
            <w:noWrap/>
            <w:hideMark/>
          </w:tcPr>
          <w:p w14:paraId="7D384054" w14:textId="77777777" w:rsidR="007F1C0C" w:rsidRPr="007C27A6" w:rsidRDefault="007F1C0C" w:rsidP="00121B40">
            <w:pPr>
              <w:spacing w:before="0" w:after="0"/>
              <w:rPr>
                <w:rFonts w:ascii="Calibri" w:hAnsi="Calibri" w:cs="Times New Roman"/>
              </w:rPr>
            </w:pPr>
            <w:r w:rsidRPr="007C27A6">
              <w:rPr>
                <w:rFonts w:ascii="Calibri" w:hAnsi="Calibri" w:cs="Times New Roman"/>
              </w:rPr>
              <w:t>Griffith University</w:t>
            </w:r>
          </w:p>
        </w:tc>
        <w:tc>
          <w:tcPr>
            <w:tcW w:w="2693" w:type="dxa"/>
            <w:noWrap/>
            <w:hideMark/>
          </w:tcPr>
          <w:p w14:paraId="7208D4D8"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200</w:t>
            </w:r>
          </w:p>
        </w:tc>
        <w:tc>
          <w:tcPr>
            <w:tcW w:w="2835" w:type="dxa"/>
            <w:noWrap/>
            <w:hideMark/>
          </w:tcPr>
          <w:p w14:paraId="57DA45E6"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4</w:t>
            </w:r>
          </w:p>
        </w:tc>
      </w:tr>
      <w:tr w:rsidR="007F1C0C" w:rsidRPr="007C27A6" w14:paraId="19B0ED52" w14:textId="77777777" w:rsidTr="00121B40">
        <w:trPr>
          <w:trHeight w:val="300"/>
        </w:trPr>
        <w:tc>
          <w:tcPr>
            <w:tcW w:w="3544" w:type="dxa"/>
            <w:noWrap/>
            <w:hideMark/>
          </w:tcPr>
          <w:p w14:paraId="1BDD0BC7" w14:textId="77777777" w:rsidR="007F1C0C" w:rsidRPr="007C27A6" w:rsidRDefault="007F1C0C" w:rsidP="00121B40">
            <w:pPr>
              <w:spacing w:before="0" w:after="0"/>
              <w:rPr>
                <w:rFonts w:ascii="Calibri" w:hAnsi="Calibri" w:cs="Times New Roman"/>
              </w:rPr>
            </w:pPr>
            <w:r w:rsidRPr="007C27A6">
              <w:rPr>
                <w:rFonts w:ascii="Calibri" w:hAnsi="Calibri" w:cs="Times New Roman"/>
              </w:rPr>
              <w:t>James Cook University</w:t>
            </w:r>
          </w:p>
        </w:tc>
        <w:tc>
          <w:tcPr>
            <w:tcW w:w="2693" w:type="dxa"/>
            <w:noWrap/>
            <w:hideMark/>
          </w:tcPr>
          <w:p w14:paraId="0A19A524"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154</w:t>
            </w:r>
          </w:p>
        </w:tc>
        <w:tc>
          <w:tcPr>
            <w:tcW w:w="2835" w:type="dxa"/>
            <w:noWrap/>
            <w:hideMark/>
          </w:tcPr>
          <w:p w14:paraId="14E1135F"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3</w:t>
            </w:r>
          </w:p>
        </w:tc>
      </w:tr>
      <w:tr w:rsidR="007F1C0C" w:rsidRPr="007C27A6" w14:paraId="0D8E5236" w14:textId="77777777" w:rsidTr="00121B40">
        <w:trPr>
          <w:trHeight w:val="300"/>
        </w:trPr>
        <w:tc>
          <w:tcPr>
            <w:tcW w:w="3544" w:type="dxa"/>
            <w:noWrap/>
            <w:hideMark/>
          </w:tcPr>
          <w:p w14:paraId="338D130B" w14:textId="77777777" w:rsidR="007F1C0C" w:rsidRPr="007C27A6" w:rsidRDefault="007F1C0C" w:rsidP="00121B40">
            <w:pPr>
              <w:spacing w:before="0" w:after="0"/>
              <w:rPr>
                <w:rFonts w:ascii="Calibri" w:hAnsi="Calibri" w:cs="Times New Roman"/>
              </w:rPr>
            </w:pPr>
            <w:r w:rsidRPr="007C27A6">
              <w:rPr>
                <w:rFonts w:ascii="Calibri" w:hAnsi="Calibri" w:cs="Times New Roman"/>
              </w:rPr>
              <w:t>University of Queensland</w:t>
            </w:r>
          </w:p>
        </w:tc>
        <w:tc>
          <w:tcPr>
            <w:tcW w:w="2693" w:type="dxa"/>
            <w:noWrap/>
            <w:hideMark/>
          </w:tcPr>
          <w:p w14:paraId="462065F0"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271</w:t>
            </w:r>
          </w:p>
        </w:tc>
        <w:tc>
          <w:tcPr>
            <w:tcW w:w="2835" w:type="dxa"/>
            <w:noWrap/>
            <w:hideMark/>
          </w:tcPr>
          <w:p w14:paraId="63F372F7" w14:textId="77777777" w:rsidR="007F1C0C" w:rsidRPr="007C27A6" w:rsidRDefault="007F1C0C" w:rsidP="00121B40">
            <w:pPr>
              <w:spacing w:before="0" w:after="0"/>
              <w:jc w:val="right"/>
              <w:rPr>
                <w:rFonts w:ascii="Calibri" w:hAnsi="Calibri" w:cs="Times New Roman"/>
              </w:rPr>
            </w:pPr>
            <w:r>
              <w:rPr>
                <w:rFonts w:ascii="Calibri" w:hAnsi="Calibri" w:cs="Times New Roman"/>
              </w:rPr>
              <w:t>6</w:t>
            </w:r>
          </w:p>
        </w:tc>
      </w:tr>
      <w:tr w:rsidR="007F1C0C" w:rsidRPr="007C27A6" w14:paraId="08BFF172" w14:textId="77777777" w:rsidTr="00121B40">
        <w:trPr>
          <w:trHeight w:val="300"/>
        </w:trPr>
        <w:tc>
          <w:tcPr>
            <w:tcW w:w="3544" w:type="dxa"/>
            <w:hideMark/>
          </w:tcPr>
          <w:p w14:paraId="27F4AB59" w14:textId="77777777" w:rsidR="007F1C0C" w:rsidRPr="007C27A6" w:rsidRDefault="007F1C0C" w:rsidP="00121B40">
            <w:pPr>
              <w:spacing w:before="0" w:after="0"/>
              <w:rPr>
                <w:rFonts w:ascii="Calibri" w:hAnsi="Calibri" w:cs="Times New Roman"/>
                <w:b/>
                <w:i/>
                <w:iCs/>
              </w:rPr>
            </w:pPr>
            <w:r w:rsidRPr="007C27A6">
              <w:rPr>
                <w:rFonts w:ascii="Calibri" w:hAnsi="Calibri" w:cs="Times New Roman"/>
                <w:b/>
                <w:i/>
                <w:iCs/>
              </w:rPr>
              <w:t>TOTAL</w:t>
            </w:r>
          </w:p>
        </w:tc>
        <w:tc>
          <w:tcPr>
            <w:tcW w:w="2693" w:type="dxa"/>
            <w:hideMark/>
          </w:tcPr>
          <w:p w14:paraId="705E44FA" w14:textId="77777777" w:rsidR="007F1C0C" w:rsidRPr="007C27A6" w:rsidRDefault="007F1C0C" w:rsidP="00121B40">
            <w:pPr>
              <w:spacing w:before="0" w:after="0"/>
              <w:jc w:val="right"/>
              <w:rPr>
                <w:rFonts w:ascii="Calibri" w:hAnsi="Calibri" w:cs="Times New Roman"/>
                <w:b/>
              </w:rPr>
            </w:pPr>
            <w:r w:rsidRPr="007C27A6">
              <w:rPr>
                <w:rFonts w:ascii="Calibri" w:hAnsi="Calibri" w:cs="Times New Roman"/>
                <w:b/>
              </w:rPr>
              <w:t>625</w:t>
            </w:r>
          </w:p>
        </w:tc>
        <w:tc>
          <w:tcPr>
            <w:tcW w:w="2835" w:type="dxa"/>
            <w:hideMark/>
          </w:tcPr>
          <w:p w14:paraId="6B892E3E" w14:textId="77777777" w:rsidR="007F1C0C" w:rsidRPr="007C27A6" w:rsidRDefault="007F1C0C" w:rsidP="00121B40">
            <w:pPr>
              <w:spacing w:before="0" w:after="0"/>
              <w:jc w:val="right"/>
              <w:rPr>
                <w:rFonts w:ascii="Calibri" w:hAnsi="Calibri" w:cs="Times New Roman"/>
                <w:b/>
              </w:rPr>
            </w:pPr>
            <w:r w:rsidRPr="007C27A6">
              <w:rPr>
                <w:rFonts w:ascii="Calibri" w:hAnsi="Calibri" w:cs="Times New Roman"/>
                <w:b/>
              </w:rPr>
              <w:t>1</w:t>
            </w:r>
            <w:r>
              <w:rPr>
                <w:rFonts w:ascii="Calibri" w:hAnsi="Calibri" w:cs="Times New Roman"/>
                <w:b/>
              </w:rPr>
              <w:t>3</w:t>
            </w:r>
          </w:p>
        </w:tc>
      </w:tr>
      <w:tr w:rsidR="00210507" w:rsidRPr="007C27A6" w14:paraId="24C06D7B" w14:textId="77777777" w:rsidTr="001E1306">
        <w:trPr>
          <w:trHeight w:val="300"/>
        </w:trPr>
        <w:tc>
          <w:tcPr>
            <w:tcW w:w="9072" w:type="dxa"/>
            <w:gridSpan w:val="3"/>
            <w:shd w:val="clear" w:color="auto" w:fill="D5DBEF" w:themeFill="text2" w:themeFillTint="33"/>
            <w:noWrap/>
            <w:hideMark/>
          </w:tcPr>
          <w:p w14:paraId="21430FC3" w14:textId="3664248B" w:rsidR="00210507" w:rsidRPr="007C27A6" w:rsidRDefault="00210507" w:rsidP="00210507">
            <w:pPr>
              <w:spacing w:before="0" w:after="0"/>
              <w:rPr>
                <w:rFonts w:ascii="Calibri" w:hAnsi="Calibri" w:cs="Times New Roman"/>
              </w:rPr>
            </w:pPr>
            <w:r>
              <w:rPr>
                <w:rFonts w:ascii="Calibri" w:hAnsi="Calibri" w:cs="Times New Roman"/>
                <w:b/>
                <w:bCs/>
              </w:rPr>
              <w:t>Western</w:t>
            </w:r>
            <w:r w:rsidRPr="007C27A6">
              <w:rPr>
                <w:rFonts w:ascii="Calibri" w:hAnsi="Calibri" w:cs="Times New Roman"/>
                <w:b/>
                <w:bCs/>
              </w:rPr>
              <w:t xml:space="preserve"> Australia</w:t>
            </w:r>
            <w:r w:rsidRPr="007C27A6">
              <w:rPr>
                <w:rFonts w:ascii="Calibri" w:hAnsi="Calibri" w:cs="Times New Roman"/>
              </w:rPr>
              <w:t> </w:t>
            </w:r>
          </w:p>
        </w:tc>
      </w:tr>
      <w:tr w:rsidR="007F1C0C" w:rsidRPr="007C27A6" w14:paraId="171AB792" w14:textId="77777777" w:rsidTr="00121B40">
        <w:trPr>
          <w:trHeight w:val="600"/>
        </w:trPr>
        <w:tc>
          <w:tcPr>
            <w:tcW w:w="3544" w:type="dxa"/>
            <w:hideMark/>
          </w:tcPr>
          <w:p w14:paraId="0534BFA9" w14:textId="77777777" w:rsidR="007F1C0C" w:rsidRPr="007C27A6" w:rsidRDefault="007F1C0C" w:rsidP="00121B40">
            <w:pPr>
              <w:spacing w:before="0" w:after="0"/>
              <w:rPr>
                <w:rFonts w:ascii="Calibri" w:hAnsi="Calibri" w:cs="Times New Roman"/>
              </w:rPr>
            </w:pPr>
            <w:r w:rsidRPr="007C27A6">
              <w:rPr>
                <w:rFonts w:ascii="Calibri" w:hAnsi="Calibri" w:cs="Times New Roman"/>
              </w:rPr>
              <w:t>University of Notre Dame Australia</w:t>
            </w:r>
            <w:r w:rsidRPr="007C27A6">
              <w:rPr>
                <w:rFonts w:ascii="Calibri" w:hAnsi="Calibri" w:cs="Times New Roman"/>
              </w:rPr>
              <w:br/>
              <w:t>(Fremantle campus)**</w:t>
            </w:r>
          </w:p>
        </w:tc>
        <w:tc>
          <w:tcPr>
            <w:tcW w:w="2693" w:type="dxa"/>
            <w:noWrap/>
            <w:hideMark/>
          </w:tcPr>
          <w:p w14:paraId="53A95DCE"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100</w:t>
            </w:r>
          </w:p>
        </w:tc>
        <w:tc>
          <w:tcPr>
            <w:tcW w:w="2835" w:type="dxa"/>
            <w:noWrap/>
            <w:hideMark/>
          </w:tcPr>
          <w:p w14:paraId="23809682"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2</w:t>
            </w:r>
          </w:p>
        </w:tc>
      </w:tr>
      <w:tr w:rsidR="007F1C0C" w:rsidRPr="007C27A6" w14:paraId="4A3775F9" w14:textId="77777777" w:rsidTr="00121B40">
        <w:trPr>
          <w:trHeight w:val="300"/>
        </w:trPr>
        <w:tc>
          <w:tcPr>
            <w:tcW w:w="3544" w:type="dxa"/>
            <w:noWrap/>
            <w:hideMark/>
          </w:tcPr>
          <w:p w14:paraId="7701144F" w14:textId="77777777" w:rsidR="007F1C0C" w:rsidRPr="007C27A6" w:rsidRDefault="007F1C0C" w:rsidP="00121B40">
            <w:pPr>
              <w:spacing w:before="0" w:after="0"/>
              <w:rPr>
                <w:rFonts w:ascii="Calibri" w:hAnsi="Calibri" w:cs="Times New Roman"/>
              </w:rPr>
            </w:pPr>
            <w:r w:rsidRPr="007C27A6">
              <w:rPr>
                <w:rFonts w:ascii="Calibri" w:hAnsi="Calibri" w:cs="Times New Roman"/>
              </w:rPr>
              <w:t>University of Western Australia</w:t>
            </w:r>
          </w:p>
        </w:tc>
        <w:tc>
          <w:tcPr>
            <w:tcW w:w="2693" w:type="dxa"/>
            <w:noWrap/>
            <w:hideMark/>
          </w:tcPr>
          <w:p w14:paraId="7F750458"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205</w:t>
            </w:r>
          </w:p>
        </w:tc>
        <w:tc>
          <w:tcPr>
            <w:tcW w:w="2835" w:type="dxa"/>
            <w:noWrap/>
            <w:hideMark/>
          </w:tcPr>
          <w:p w14:paraId="4734A8AB"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4</w:t>
            </w:r>
          </w:p>
        </w:tc>
      </w:tr>
      <w:tr w:rsidR="007F1C0C" w:rsidRPr="007C27A6" w14:paraId="3228C77F" w14:textId="77777777" w:rsidTr="00121B40">
        <w:trPr>
          <w:trHeight w:val="300"/>
        </w:trPr>
        <w:tc>
          <w:tcPr>
            <w:tcW w:w="3544" w:type="dxa"/>
            <w:noWrap/>
            <w:hideMark/>
          </w:tcPr>
          <w:p w14:paraId="4CB5A0BB" w14:textId="77777777" w:rsidR="007F1C0C" w:rsidRPr="007C27A6" w:rsidRDefault="007F1C0C" w:rsidP="00121B40">
            <w:pPr>
              <w:spacing w:before="0" w:after="0"/>
              <w:rPr>
                <w:rFonts w:ascii="Calibri" w:hAnsi="Calibri" w:cs="Times New Roman"/>
              </w:rPr>
            </w:pPr>
            <w:r w:rsidRPr="007C27A6">
              <w:rPr>
                <w:rFonts w:ascii="Calibri" w:hAnsi="Calibri" w:cs="Times New Roman"/>
              </w:rPr>
              <w:t>Curtin University</w:t>
            </w:r>
          </w:p>
        </w:tc>
        <w:tc>
          <w:tcPr>
            <w:tcW w:w="2693" w:type="dxa"/>
            <w:noWrap/>
            <w:hideMark/>
          </w:tcPr>
          <w:p w14:paraId="6EE40683"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100</w:t>
            </w:r>
          </w:p>
        </w:tc>
        <w:tc>
          <w:tcPr>
            <w:tcW w:w="2835" w:type="dxa"/>
            <w:noWrap/>
            <w:hideMark/>
          </w:tcPr>
          <w:p w14:paraId="3CDAD4F6"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2</w:t>
            </w:r>
          </w:p>
        </w:tc>
      </w:tr>
      <w:tr w:rsidR="007F1C0C" w:rsidRPr="007C27A6" w14:paraId="2F11707C" w14:textId="77777777" w:rsidTr="00121B40">
        <w:trPr>
          <w:trHeight w:val="300"/>
        </w:trPr>
        <w:tc>
          <w:tcPr>
            <w:tcW w:w="3544" w:type="dxa"/>
            <w:noWrap/>
            <w:hideMark/>
          </w:tcPr>
          <w:p w14:paraId="617A1CB7" w14:textId="77777777" w:rsidR="007F1C0C" w:rsidRPr="007C27A6" w:rsidRDefault="007F1C0C" w:rsidP="00121B40">
            <w:pPr>
              <w:spacing w:before="0" w:after="0"/>
              <w:rPr>
                <w:rFonts w:ascii="Calibri" w:hAnsi="Calibri" w:cs="Times New Roman"/>
                <w:b/>
                <w:i/>
                <w:iCs/>
              </w:rPr>
            </w:pPr>
            <w:r w:rsidRPr="007C27A6">
              <w:rPr>
                <w:rFonts w:ascii="Calibri" w:hAnsi="Calibri" w:cs="Times New Roman"/>
                <w:b/>
                <w:i/>
                <w:iCs/>
              </w:rPr>
              <w:t>TOTAL</w:t>
            </w:r>
          </w:p>
        </w:tc>
        <w:tc>
          <w:tcPr>
            <w:tcW w:w="2693" w:type="dxa"/>
            <w:noWrap/>
            <w:hideMark/>
          </w:tcPr>
          <w:p w14:paraId="24AC808F" w14:textId="77777777" w:rsidR="007F1C0C" w:rsidRPr="007C27A6" w:rsidRDefault="007F1C0C" w:rsidP="00121B40">
            <w:pPr>
              <w:spacing w:before="0" w:after="0"/>
              <w:jc w:val="right"/>
              <w:rPr>
                <w:rFonts w:ascii="Calibri" w:hAnsi="Calibri" w:cs="Times New Roman"/>
                <w:b/>
              </w:rPr>
            </w:pPr>
            <w:r>
              <w:rPr>
                <w:rFonts w:ascii="Calibri" w:hAnsi="Calibri" w:cs="Times New Roman"/>
                <w:b/>
              </w:rPr>
              <w:t>40</w:t>
            </w:r>
            <w:r w:rsidRPr="007C27A6">
              <w:rPr>
                <w:rFonts w:ascii="Calibri" w:hAnsi="Calibri" w:cs="Times New Roman"/>
                <w:b/>
              </w:rPr>
              <w:t>5</w:t>
            </w:r>
          </w:p>
        </w:tc>
        <w:tc>
          <w:tcPr>
            <w:tcW w:w="2835" w:type="dxa"/>
            <w:noWrap/>
            <w:hideMark/>
          </w:tcPr>
          <w:p w14:paraId="08CCACE5" w14:textId="77777777" w:rsidR="007F1C0C" w:rsidRPr="007C27A6" w:rsidRDefault="007F1C0C" w:rsidP="00121B40">
            <w:pPr>
              <w:spacing w:before="0" w:after="0"/>
              <w:jc w:val="right"/>
              <w:rPr>
                <w:rFonts w:ascii="Calibri" w:hAnsi="Calibri" w:cs="Times New Roman"/>
                <w:b/>
              </w:rPr>
            </w:pPr>
            <w:r>
              <w:rPr>
                <w:rFonts w:ascii="Calibri" w:hAnsi="Calibri" w:cs="Times New Roman"/>
                <w:b/>
              </w:rPr>
              <w:t>8</w:t>
            </w:r>
          </w:p>
        </w:tc>
      </w:tr>
      <w:tr w:rsidR="007F1C0C" w:rsidRPr="007C27A6" w14:paraId="01BC79C2" w14:textId="77777777" w:rsidTr="00210507">
        <w:trPr>
          <w:trHeight w:val="300"/>
        </w:trPr>
        <w:tc>
          <w:tcPr>
            <w:tcW w:w="9072" w:type="dxa"/>
            <w:gridSpan w:val="3"/>
            <w:shd w:val="clear" w:color="auto" w:fill="D5DBEF" w:themeFill="text2" w:themeFillTint="33"/>
            <w:noWrap/>
            <w:hideMark/>
          </w:tcPr>
          <w:p w14:paraId="4B150DBA" w14:textId="77777777" w:rsidR="007F1C0C" w:rsidRPr="007C27A6" w:rsidRDefault="007F1C0C" w:rsidP="00121B40">
            <w:pPr>
              <w:spacing w:before="0" w:after="0"/>
              <w:rPr>
                <w:rFonts w:ascii="Calibri" w:hAnsi="Calibri" w:cs="Times New Roman"/>
                <w:b/>
                <w:bCs/>
              </w:rPr>
            </w:pPr>
            <w:r>
              <w:rPr>
                <w:rFonts w:ascii="Calibri" w:hAnsi="Calibri" w:cs="Times New Roman"/>
                <w:b/>
                <w:bCs/>
              </w:rPr>
              <w:t>South</w:t>
            </w:r>
            <w:r w:rsidRPr="007C27A6">
              <w:rPr>
                <w:rFonts w:ascii="Calibri" w:hAnsi="Calibri" w:cs="Times New Roman"/>
                <w:b/>
                <w:bCs/>
              </w:rPr>
              <w:t xml:space="preserve"> Australia</w:t>
            </w:r>
          </w:p>
        </w:tc>
      </w:tr>
      <w:tr w:rsidR="007F1C0C" w:rsidRPr="007C27A6" w14:paraId="43DADFF4" w14:textId="77777777" w:rsidTr="00121B40">
        <w:trPr>
          <w:trHeight w:val="300"/>
        </w:trPr>
        <w:tc>
          <w:tcPr>
            <w:tcW w:w="3544" w:type="dxa"/>
            <w:noWrap/>
            <w:hideMark/>
          </w:tcPr>
          <w:p w14:paraId="3697AB25" w14:textId="77777777" w:rsidR="007F1C0C" w:rsidRPr="007C27A6" w:rsidRDefault="007F1C0C" w:rsidP="00121B40">
            <w:pPr>
              <w:spacing w:before="0" w:after="0"/>
              <w:rPr>
                <w:rFonts w:ascii="Calibri" w:hAnsi="Calibri" w:cs="Times New Roman"/>
              </w:rPr>
            </w:pPr>
            <w:r w:rsidRPr="007C27A6">
              <w:rPr>
                <w:rFonts w:ascii="Calibri" w:hAnsi="Calibri" w:cs="Times New Roman"/>
              </w:rPr>
              <w:t>Flinders University</w:t>
            </w:r>
          </w:p>
        </w:tc>
        <w:tc>
          <w:tcPr>
            <w:tcW w:w="2693" w:type="dxa"/>
            <w:noWrap/>
            <w:hideMark/>
          </w:tcPr>
          <w:p w14:paraId="738D6F9A"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111</w:t>
            </w:r>
          </w:p>
        </w:tc>
        <w:tc>
          <w:tcPr>
            <w:tcW w:w="2835" w:type="dxa"/>
            <w:noWrap/>
            <w:hideMark/>
          </w:tcPr>
          <w:p w14:paraId="13FF4A87"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2</w:t>
            </w:r>
          </w:p>
        </w:tc>
      </w:tr>
      <w:tr w:rsidR="007F1C0C" w:rsidRPr="007C27A6" w14:paraId="306B5C4B" w14:textId="77777777" w:rsidTr="00121B40">
        <w:trPr>
          <w:trHeight w:val="300"/>
        </w:trPr>
        <w:tc>
          <w:tcPr>
            <w:tcW w:w="3544" w:type="dxa"/>
            <w:noWrap/>
            <w:hideMark/>
          </w:tcPr>
          <w:p w14:paraId="3ECE7559" w14:textId="77777777" w:rsidR="007F1C0C" w:rsidRPr="007C27A6" w:rsidRDefault="007F1C0C" w:rsidP="00121B40">
            <w:pPr>
              <w:spacing w:before="0" w:after="0"/>
              <w:rPr>
                <w:rFonts w:ascii="Calibri" w:hAnsi="Calibri" w:cs="Times New Roman"/>
              </w:rPr>
            </w:pPr>
            <w:r w:rsidRPr="007C27A6">
              <w:rPr>
                <w:rFonts w:ascii="Calibri" w:hAnsi="Calibri" w:cs="Times New Roman"/>
              </w:rPr>
              <w:t>University of Adelaide</w:t>
            </w:r>
          </w:p>
        </w:tc>
        <w:tc>
          <w:tcPr>
            <w:tcW w:w="2693" w:type="dxa"/>
            <w:noWrap/>
            <w:hideMark/>
          </w:tcPr>
          <w:p w14:paraId="1178ABC8"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134</w:t>
            </w:r>
          </w:p>
        </w:tc>
        <w:tc>
          <w:tcPr>
            <w:tcW w:w="2835" w:type="dxa"/>
            <w:noWrap/>
            <w:hideMark/>
          </w:tcPr>
          <w:p w14:paraId="5D62BFF7"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3</w:t>
            </w:r>
          </w:p>
        </w:tc>
      </w:tr>
      <w:tr w:rsidR="007F1C0C" w:rsidRPr="007C27A6" w14:paraId="6E960A92" w14:textId="77777777" w:rsidTr="00121B40">
        <w:trPr>
          <w:trHeight w:val="300"/>
        </w:trPr>
        <w:tc>
          <w:tcPr>
            <w:tcW w:w="3544" w:type="dxa"/>
            <w:noWrap/>
            <w:hideMark/>
          </w:tcPr>
          <w:p w14:paraId="21C082DD" w14:textId="77777777" w:rsidR="007F1C0C" w:rsidRPr="007C27A6" w:rsidRDefault="007F1C0C" w:rsidP="00121B40">
            <w:pPr>
              <w:spacing w:before="0" w:after="0"/>
              <w:rPr>
                <w:rFonts w:ascii="Calibri" w:hAnsi="Calibri" w:cs="Times New Roman"/>
                <w:b/>
                <w:i/>
                <w:iCs/>
              </w:rPr>
            </w:pPr>
            <w:r w:rsidRPr="007C27A6">
              <w:rPr>
                <w:rFonts w:ascii="Calibri" w:hAnsi="Calibri" w:cs="Times New Roman"/>
                <w:b/>
                <w:i/>
                <w:iCs/>
              </w:rPr>
              <w:t>TOTAL</w:t>
            </w:r>
          </w:p>
        </w:tc>
        <w:tc>
          <w:tcPr>
            <w:tcW w:w="2693" w:type="dxa"/>
            <w:noWrap/>
            <w:hideMark/>
          </w:tcPr>
          <w:p w14:paraId="7169150D" w14:textId="77777777" w:rsidR="007F1C0C" w:rsidRPr="007C27A6" w:rsidRDefault="007F1C0C" w:rsidP="00121B40">
            <w:pPr>
              <w:spacing w:before="0" w:after="0"/>
              <w:jc w:val="right"/>
              <w:rPr>
                <w:rFonts w:ascii="Calibri" w:hAnsi="Calibri" w:cs="Times New Roman"/>
                <w:b/>
              </w:rPr>
            </w:pPr>
            <w:r>
              <w:rPr>
                <w:rFonts w:ascii="Calibri" w:hAnsi="Calibri" w:cs="Times New Roman"/>
                <w:b/>
              </w:rPr>
              <w:t>2</w:t>
            </w:r>
            <w:r w:rsidRPr="007C27A6">
              <w:rPr>
                <w:rFonts w:ascii="Calibri" w:hAnsi="Calibri" w:cs="Times New Roman"/>
                <w:b/>
              </w:rPr>
              <w:t>45</w:t>
            </w:r>
          </w:p>
        </w:tc>
        <w:tc>
          <w:tcPr>
            <w:tcW w:w="2835" w:type="dxa"/>
            <w:noWrap/>
            <w:hideMark/>
          </w:tcPr>
          <w:p w14:paraId="67597979" w14:textId="77777777" w:rsidR="007F1C0C" w:rsidRPr="007C27A6" w:rsidRDefault="007F1C0C" w:rsidP="00121B40">
            <w:pPr>
              <w:spacing w:before="0" w:after="0"/>
              <w:jc w:val="right"/>
              <w:rPr>
                <w:rFonts w:ascii="Calibri" w:hAnsi="Calibri" w:cs="Times New Roman"/>
                <w:b/>
              </w:rPr>
            </w:pPr>
            <w:r>
              <w:rPr>
                <w:rFonts w:ascii="Calibri" w:hAnsi="Calibri" w:cs="Times New Roman"/>
                <w:b/>
              </w:rPr>
              <w:t>5</w:t>
            </w:r>
          </w:p>
        </w:tc>
      </w:tr>
      <w:tr w:rsidR="007F1C0C" w:rsidRPr="007C27A6" w14:paraId="2F278396" w14:textId="77777777" w:rsidTr="00210507">
        <w:trPr>
          <w:trHeight w:val="300"/>
        </w:trPr>
        <w:tc>
          <w:tcPr>
            <w:tcW w:w="9072" w:type="dxa"/>
            <w:gridSpan w:val="3"/>
            <w:shd w:val="clear" w:color="auto" w:fill="D5DBEF" w:themeFill="text2" w:themeFillTint="33"/>
            <w:noWrap/>
            <w:hideMark/>
          </w:tcPr>
          <w:p w14:paraId="0D20674C" w14:textId="77777777" w:rsidR="007F1C0C" w:rsidRPr="007C27A6" w:rsidRDefault="007F1C0C" w:rsidP="00121B40">
            <w:pPr>
              <w:spacing w:before="0" w:after="0"/>
              <w:rPr>
                <w:rFonts w:ascii="Calibri" w:hAnsi="Calibri" w:cs="Times New Roman"/>
                <w:b/>
                <w:bCs/>
              </w:rPr>
            </w:pPr>
            <w:r w:rsidRPr="007C27A6">
              <w:rPr>
                <w:rFonts w:ascii="Calibri" w:hAnsi="Calibri" w:cs="Times New Roman"/>
                <w:b/>
                <w:bCs/>
              </w:rPr>
              <w:t>Tasmania</w:t>
            </w:r>
          </w:p>
        </w:tc>
      </w:tr>
      <w:tr w:rsidR="007F1C0C" w:rsidRPr="007C27A6" w14:paraId="673D3009" w14:textId="77777777" w:rsidTr="00121B40">
        <w:trPr>
          <w:trHeight w:val="300"/>
        </w:trPr>
        <w:tc>
          <w:tcPr>
            <w:tcW w:w="3544" w:type="dxa"/>
            <w:noWrap/>
            <w:hideMark/>
          </w:tcPr>
          <w:p w14:paraId="19EFD515" w14:textId="77777777" w:rsidR="007F1C0C" w:rsidRPr="007C27A6" w:rsidRDefault="007F1C0C" w:rsidP="00121B40">
            <w:pPr>
              <w:spacing w:before="0" w:after="0"/>
              <w:rPr>
                <w:rFonts w:ascii="Calibri" w:hAnsi="Calibri" w:cs="Times New Roman"/>
              </w:rPr>
            </w:pPr>
            <w:r w:rsidRPr="007C27A6">
              <w:rPr>
                <w:rFonts w:ascii="Calibri" w:hAnsi="Calibri" w:cs="Times New Roman"/>
              </w:rPr>
              <w:t>University of Tasmania</w:t>
            </w:r>
          </w:p>
        </w:tc>
        <w:tc>
          <w:tcPr>
            <w:tcW w:w="2693" w:type="dxa"/>
            <w:noWrap/>
            <w:hideMark/>
          </w:tcPr>
          <w:p w14:paraId="20CE33F6"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93</w:t>
            </w:r>
          </w:p>
        </w:tc>
        <w:tc>
          <w:tcPr>
            <w:tcW w:w="2835" w:type="dxa"/>
            <w:noWrap/>
            <w:hideMark/>
          </w:tcPr>
          <w:p w14:paraId="21AC3A16"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2</w:t>
            </w:r>
          </w:p>
        </w:tc>
      </w:tr>
      <w:tr w:rsidR="007F1C0C" w:rsidRPr="007C27A6" w14:paraId="1B6D9F7C" w14:textId="77777777" w:rsidTr="00210507">
        <w:trPr>
          <w:trHeight w:val="300"/>
        </w:trPr>
        <w:tc>
          <w:tcPr>
            <w:tcW w:w="9072" w:type="dxa"/>
            <w:gridSpan w:val="3"/>
            <w:shd w:val="clear" w:color="auto" w:fill="D5DBEF" w:themeFill="text2" w:themeFillTint="33"/>
            <w:noWrap/>
            <w:hideMark/>
          </w:tcPr>
          <w:p w14:paraId="3168C580" w14:textId="77777777" w:rsidR="007F1C0C" w:rsidRPr="007C27A6" w:rsidRDefault="007F1C0C" w:rsidP="00121B40">
            <w:pPr>
              <w:spacing w:before="0" w:after="0"/>
              <w:rPr>
                <w:rFonts w:ascii="Calibri" w:hAnsi="Calibri" w:cs="Times New Roman"/>
                <w:b/>
                <w:bCs/>
              </w:rPr>
            </w:pPr>
            <w:r w:rsidRPr="007C27A6">
              <w:rPr>
                <w:rFonts w:ascii="Calibri" w:hAnsi="Calibri" w:cs="Times New Roman"/>
                <w:b/>
                <w:bCs/>
              </w:rPr>
              <w:t>Australian Capital Territory</w:t>
            </w:r>
          </w:p>
        </w:tc>
      </w:tr>
      <w:tr w:rsidR="007F1C0C" w:rsidRPr="007C27A6" w14:paraId="3B657BFC" w14:textId="77777777" w:rsidTr="00121B40">
        <w:trPr>
          <w:trHeight w:val="300"/>
        </w:trPr>
        <w:tc>
          <w:tcPr>
            <w:tcW w:w="3544" w:type="dxa"/>
            <w:noWrap/>
            <w:hideMark/>
          </w:tcPr>
          <w:p w14:paraId="578C25AC" w14:textId="77777777" w:rsidR="007F1C0C" w:rsidRPr="007C27A6" w:rsidRDefault="007F1C0C" w:rsidP="00121B40">
            <w:pPr>
              <w:spacing w:before="0" w:after="0"/>
              <w:rPr>
                <w:rFonts w:ascii="Calibri" w:hAnsi="Calibri" w:cs="Times New Roman"/>
              </w:rPr>
            </w:pPr>
            <w:r w:rsidRPr="007C27A6">
              <w:rPr>
                <w:rFonts w:ascii="Calibri" w:hAnsi="Calibri" w:cs="Times New Roman"/>
              </w:rPr>
              <w:t>Australian National University</w:t>
            </w:r>
          </w:p>
        </w:tc>
        <w:tc>
          <w:tcPr>
            <w:tcW w:w="2693" w:type="dxa"/>
            <w:noWrap/>
            <w:hideMark/>
          </w:tcPr>
          <w:p w14:paraId="368E1838"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90</w:t>
            </w:r>
          </w:p>
        </w:tc>
        <w:tc>
          <w:tcPr>
            <w:tcW w:w="2835" w:type="dxa"/>
            <w:noWrap/>
            <w:hideMark/>
          </w:tcPr>
          <w:p w14:paraId="0443E2EE" w14:textId="77777777" w:rsidR="007F1C0C" w:rsidRPr="007C27A6" w:rsidRDefault="007F1C0C" w:rsidP="00121B40">
            <w:pPr>
              <w:spacing w:before="0" w:after="0"/>
              <w:jc w:val="right"/>
              <w:rPr>
                <w:rFonts w:ascii="Calibri" w:hAnsi="Calibri" w:cs="Times New Roman"/>
              </w:rPr>
            </w:pPr>
            <w:r w:rsidRPr="007C27A6">
              <w:rPr>
                <w:rFonts w:ascii="Calibri" w:hAnsi="Calibri" w:cs="Times New Roman"/>
              </w:rPr>
              <w:t>2</w:t>
            </w:r>
          </w:p>
        </w:tc>
      </w:tr>
      <w:tr w:rsidR="007F1C0C" w:rsidRPr="007C27A6" w14:paraId="4D5A3790" w14:textId="77777777" w:rsidTr="00121B40">
        <w:trPr>
          <w:trHeight w:val="300"/>
        </w:trPr>
        <w:tc>
          <w:tcPr>
            <w:tcW w:w="3544" w:type="dxa"/>
            <w:shd w:val="clear" w:color="auto" w:fill="D9D9D9"/>
            <w:noWrap/>
            <w:hideMark/>
          </w:tcPr>
          <w:p w14:paraId="3F523CE0" w14:textId="77777777" w:rsidR="007F1C0C" w:rsidRPr="007C27A6" w:rsidRDefault="007F1C0C" w:rsidP="00121B40">
            <w:pPr>
              <w:spacing w:before="0" w:after="0"/>
              <w:rPr>
                <w:rFonts w:ascii="Calibri" w:hAnsi="Calibri" w:cs="Times New Roman"/>
                <w:b/>
              </w:rPr>
            </w:pPr>
            <w:r w:rsidRPr="007C27A6">
              <w:rPr>
                <w:rFonts w:ascii="Calibri" w:hAnsi="Calibri" w:cs="Times New Roman"/>
                <w:b/>
              </w:rPr>
              <w:t>TOTAL</w:t>
            </w:r>
          </w:p>
        </w:tc>
        <w:tc>
          <w:tcPr>
            <w:tcW w:w="2693" w:type="dxa"/>
            <w:shd w:val="clear" w:color="auto" w:fill="D9D9D9"/>
            <w:noWrap/>
            <w:hideMark/>
          </w:tcPr>
          <w:p w14:paraId="50F63E68" w14:textId="77777777" w:rsidR="007F1C0C" w:rsidRPr="007C27A6" w:rsidRDefault="007F1C0C" w:rsidP="00121B40">
            <w:pPr>
              <w:spacing w:before="0" w:after="0"/>
              <w:jc w:val="right"/>
              <w:rPr>
                <w:rFonts w:ascii="Calibri" w:hAnsi="Calibri" w:cs="Times New Roman"/>
                <w:b/>
              </w:rPr>
            </w:pPr>
            <w:r w:rsidRPr="007C27A6">
              <w:rPr>
                <w:rFonts w:ascii="Calibri" w:hAnsi="Calibri" w:cs="Times New Roman"/>
                <w:b/>
              </w:rPr>
              <w:t>2972</w:t>
            </w:r>
          </w:p>
        </w:tc>
        <w:tc>
          <w:tcPr>
            <w:tcW w:w="2835" w:type="dxa"/>
            <w:shd w:val="clear" w:color="auto" w:fill="D9D9D9"/>
            <w:noWrap/>
            <w:hideMark/>
          </w:tcPr>
          <w:p w14:paraId="11C4FE3D" w14:textId="77777777" w:rsidR="007F1C0C" w:rsidRPr="007C27A6" w:rsidRDefault="007F1C0C" w:rsidP="00121B40">
            <w:pPr>
              <w:spacing w:before="0" w:after="0"/>
              <w:jc w:val="right"/>
              <w:rPr>
                <w:rFonts w:ascii="Calibri" w:hAnsi="Calibri" w:cs="Times New Roman"/>
                <w:b/>
              </w:rPr>
            </w:pPr>
            <w:r>
              <w:rPr>
                <w:rFonts w:ascii="Calibri" w:hAnsi="Calibri" w:cs="Times New Roman"/>
                <w:b/>
              </w:rPr>
              <w:t>60</w:t>
            </w:r>
          </w:p>
        </w:tc>
      </w:tr>
    </w:tbl>
    <w:p w14:paraId="19125B25" w14:textId="77777777" w:rsidR="007F1C0C" w:rsidRPr="008E5283" w:rsidRDefault="007F1C0C" w:rsidP="00DD3210">
      <w:pPr>
        <w:ind w:left="425"/>
        <w:rPr>
          <w:sz w:val="18"/>
          <w:szCs w:val="18"/>
        </w:rPr>
      </w:pPr>
      <w:r w:rsidRPr="008E5283">
        <w:rPr>
          <w:sz w:val="18"/>
          <w:szCs w:val="18"/>
        </w:rPr>
        <w:t>* Commencement estimates are based on the number of medical CSP graduates anticipated to be permitted in 2021 Commonwealth Grant Scheme funding agreements, and assume a 100 per cent pipeline. Commencements for the University of Melbourne and the University of Notre Dame Australia (UNDA) exclude domestic full-fee paying medical enrolments. Flinders University commencements excludes NT Medical School Program places as these places are supported by the NT Government and are not CSPs.</w:t>
      </w:r>
    </w:p>
    <w:p w14:paraId="703F4705" w14:textId="77777777" w:rsidR="007F1C0C" w:rsidRPr="008E5283" w:rsidRDefault="007F1C0C" w:rsidP="00DD3210">
      <w:pPr>
        <w:ind w:left="425"/>
        <w:rPr>
          <w:sz w:val="18"/>
          <w:szCs w:val="18"/>
        </w:rPr>
      </w:pPr>
      <w:r w:rsidRPr="008E5283">
        <w:rPr>
          <w:sz w:val="18"/>
          <w:szCs w:val="18"/>
        </w:rPr>
        <w:t>** As UNDA operates in both Western Australia and New South Wales, its estimated 160 total medical CSP commencements has been split accordingly between both campuses, based on initial allocations approved for each campus between 2005-2009.</w:t>
      </w:r>
    </w:p>
    <w:p w14:paraId="46948DF1" w14:textId="77777777" w:rsidR="007F1C0C" w:rsidRPr="007C27A6" w:rsidRDefault="007F1C0C" w:rsidP="007F1C0C">
      <w:pPr>
        <w:rPr>
          <w:rFonts w:eastAsia="Times New Roman" w:cstheme="minorHAnsi"/>
          <w:color w:val="333333"/>
          <w:lang w:val="en" w:eastAsia="en-AU"/>
        </w:rPr>
        <w:sectPr w:rsidR="007F1C0C" w:rsidRPr="007C27A6" w:rsidSect="000F2EC1">
          <w:pgSz w:w="11906" w:h="16838"/>
          <w:pgMar w:top="0" w:right="1134" w:bottom="1134" w:left="1134" w:header="680" w:footer="567" w:gutter="0"/>
          <w:cols w:space="708"/>
          <w:titlePg/>
          <w:docGrid w:linePitch="360"/>
        </w:sectPr>
      </w:pPr>
    </w:p>
    <w:tbl>
      <w:tblPr>
        <w:tblStyle w:val="TableGrid"/>
        <w:tblW w:w="0" w:type="auto"/>
        <w:shd w:val="clear" w:color="auto" w:fill="D5DBEF" w:themeFill="accent1" w:themeFillTint="33"/>
        <w:tblLook w:val="04A0" w:firstRow="1" w:lastRow="0" w:firstColumn="1" w:lastColumn="0" w:noHBand="0" w:noVBand="1"/>
      </w:tblPr>
      <w:tblGrid>
        <w:gridCol w:w="9628"/>
      </w:tblGrid>
      <w:tr w:rsidR="00884047" w14:paraId="21D5ED3C" w14:textId="77777777" w:rsidTr="003F6E03">
        <w:tc>
          <w:tcPr>
            <w:tcW w:w="9628" w:type="dxa"/>
            <w:shd w:val="clear" w:color="auto" w:fill="D5DBEF" w:themeFill="accent1" w:themeFillTint="33"/>
          </w:tcPr>
          <w:p w14:paraId="29CC689C" w14:textId="2B96C70E" w:rsidR="00884047" w:rsidRPr="002336BA" w:rsidRDefault="00884047" w:rsidP="00DD3210">
            <w:pPr>
              <w:spacing w:line="276" w:lineRule="auto"/>
              <w:rPr>
                <w:b/>
              </w:rPr>
            </w:pPr>
            <w:r w:rsidRPr="007F1C0C">
              <w:rPr>
                <w:b/>
              </w:rPr>
              <w:t xml:space="preserve">Option </w:t>
            </w:r>
            <w:r>
              <w:rPr>
                <w:b/>
              </w:rPr>
              <w:t>2: All universities would contribute 2</w:t>
            </w:r>
            <w:r w:rsidR="002E6FC4">
              <w:rPr>
                <w:b/>
              </w:rPr>
              <w:t>.03</w:t>
            </w:r>
            <w:r>
              <w:rPr>
                <w:b/>
              </w:rPr>
              <w:t xml:space="preserve"> per cent of commencing medical CSPs to create a pool of </w:t>
            </w:r>
            <w:r w:rsidR="002E6FC4">
              <w:rPr>
                <w:b/>
              </w:rPr>
              <w:t>60</w:t>
            </w:r>
            <w:r>
              <w:rPr>
                <w:b/>
              </w:rPr>
              <w:t> commencing places; the 2</w:t>
            </w:r>
            <w:r w:rsidR="002E6FC4">
              <w:rPr>
                <w:b/>
              </w:rPr>
              <w:t>8</w:t>
            </w:r>
            <w:r>
              <w:rPr>
                <w:b/>
              </w:rPr>
              <w:t> places remaining after CSU’s allocation would be redistributed across all universities based on the proportion of regional medical education training each institution currently delivers</w:t>
            </w:r>
            <w:r w:rsidR="002E6FC4">
              <w:rPr>
                <w:b/>
              </w:rPr>
              <w:t xml:space="preserve"> </w:t>
            </w:r>
            <w:r>
              <w:rPr>
                <w:b/>
              </w:rPr>
              <w:t>or proposes to deliver.</w:t>
            </w:r>
          </w:p>
        </w:tc>
      </w:tr>
    </w:tbl>
    <w:p w14:paraId="26FAD1FE" w14:textId="2C0DF45F" w:rsidR="00884047" w:rsidRDefault="00884047" w:rsidP="00DD3210">
      <w:r>
        <w:t>This option proposes that:</w:t>
      </w:r>
    </w:p>
    <w:p w14:paraId="426EE306" w14:textId="63E92F2A" w:rsidR="00C15E29" w:rsidRPr="00A80EBE" w:rsidRDefault="00C15E29" w:rsidP="00DD3210">
      <w:pPr>
        <w:pStyle w:val="ListParagraph"/>
        <w:numPr>
          <w:ilvl w:val="0"/>
          <w:numId w:val="45"/>
        </w:numPr>
        <w:ind w:left="425" w:hanging="425"/>
      </w:pPr>
      <w:r w:rsidRPr="00A80EBE">
        <w:t xml:space="preserve">All medical programs would contribute </w:t>
      </w:r>
      <w:r w:rsidR="002E6FC4" w:rsidRPr="00A80EBE">
        <w:t>2.03 per cent</w:t>
      </w:r>
      <w:r w:rsidRPr="00A80EBE">
        <w:t xml:space="preserve"> of their commencing medical CSPs</w:t>
      </w:r>
      <w:r w:rsidR="002E6FC4" w:rsidRPr="00A80EBE">
        <w:t xml:space="preserve"> (rounded)</w:t>
      </w:r>
      <w:r w:rsidRPr="00A80EBE">
        <w:t xml:space="preserve"> to create a pool of </w:t>
      </w:r>
      <w:r w:rsidR="002E6FC4" w:rsidRPr="00A80EBE">
        <w:t>60 </w:t>
      </w:r>
      <w:r w:rsidRPr="00A80EBE">
        <w:t xml:space="preserve">commencing medical CSPs. </w:t>
      </w:r>
    </w:p>
    <w:p w14:paraId="33082E07" w14:textId="1498AD29" w:rsidR="00C15E29" w:rsidRPr="00A80EBE" w:rsidRDefault="00E20AB7" w:rsidP="00DD3210">
      <w:pPr>
        <w:pStyle w:val="ListParagraph"/>
        <w:numPr>
          <w:ilvl w:val="0"/>
          <w:numId w:val="45"/>
        </w:numPr>
        <w:ind w:left="426" w:hanging="426"/>
      </w:pPr>
      <w:r w:rsidRPr="00A80EBE">
        <w:t xml:space="preserve">A total of </w:t>
      </w:r>
      <w:r w:rsidR="00C15E29" w:rsidRPr="00A80EBE">
        <w:t xml:space="preserve">32 commencing medical CSPs </w:t>
      </w:r>
      <w:r w:rsidRPr="00A80EBE">
        <w:t>would be</w:t>
      </w:r>
      <w:r w:rsidR="00C15E29" w:rsidRPr="00A80EBE">
        <w:t xml:space="preserve"> allocated to CSU for the MDMSN</w:t>
      </w:r>
      <w:r w:rsidRPr="00A80EBE">
        <w:t>.</w:t>
      </w:r>
    </w:p>
    <w:p w14:paraId="13EF69C2" w14:textId="643C9F51" w:rsidR="00E20AB7" w:rsidRPr="00A80EBE" w:rsidRDefault="00C15E29" w:rsidP="00DD3210">
      <w:pPr>
        <w:pStyle w:val="ListParagraph"/>
        <w:numPr>
          <w:ilvl w:val="0"/>
          <w:numId w:val="45"/>
        </w:numPr>
        <w:ind w:left="426" w:hanging="426"/>
      </w:pPr>
      <w:r w:rsidRPr="00A80EBE">
        <w:t xml:space="preserve">The </w:t>
      </w:r>
      <w:r w:rsidR="00E20AB7" w:rsidRPr="00A80EBE">
        <w:t xml:space="preserve">remaining </w:t>
      </w:r>
      <w:r w:rsidRPr="00A80EBE">
        <w:t>2</w:t>
      </w:r>
      <w:r w:rsidR="002E6FC4" w:rsidRPr="00A80EBE">
        <w:t>8</w:t>
      </w:r>
      <w:r w:rsidR="00E20AB7" w:rsidRPr="00A80EBE">
        <w:t xml:space="preserve"> commencing medical</w:t>
      </w:r>
      <w:r w:rsidRPr="00A80EBE">
        <w:t xml:space="preserve"> places </w:t>
      </w:r>
      <w:r w:rsidR="00E20AB7" w:rsidRPr="00A80EBE">
        <w:t>would be</w:t>
      </w:r>
      <w:r w:rsidRPr="00A80EBE">
        <w:t xml:space="preserve"> redistributed to universities based on the proportion of medical education training they undertake in regional (ASGS</w:t>
      </w:r>
      <w:r w:rsidR="00273F55" w:rsidRPr="00A80EBE">
        <w:t>-</w:t>
      </w:r>
      <w:r w:rsidR="00E20AB7" w:rsidRPr="00A80EBE">
        <w:t>RA2+) locations.</w:t>
      </w:r>
    </w:p>
    <w:p w14:paraId="31312DC8" w14:textId="790BE722" w:rsidR="00644D3C" w:rsidRDefault="00F57A6E" w:rsidP="00DD3210">
      <w:pPr>
        <w:rPr>
          <w:b/>
        </w:rPr>
      </w:pPr>
      <w:r>
        <w:rPr>
          <w:noProof/>
          <w:lang w:eastAsia="en-AU"/>
        </w:rPr>
        <w:drawing>
          <wp:anchor distT="0" distB="0" distL="114300" distR="114300" simplePos="0" relativeHeight="251661312" behindDoc="0" locked="0" layoutInCell="1" allowOverlap="1" wp14:anchorId="61F3B0A2" wp14:editId="0CEB22D8">
            <wp:simplePos x="0" y="0"/>
            <wp:positionH relativeFrom="column">
              <wp:posOffset>206477</wp:posOffset>
            </wp:positionH>
            <wp:positionV relativeFrom="paragraph">
              <wp:posOffset>271780</wp:posOffset>
            </wp:positionV>
            <wp:extent cx="5521325" cy="3825240"/>
            <wp:effectExtent l="0" t="0" r="3175" b="381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521325" cy="3825240"/>
                    </a:xfrm>
                    <a:prstGeom prst="rect">
                      <a:avLst/>
                    </a:prstGeom>
                  </pic:spPr>
                </pic:pic>
              </a:graphicData>
            </a:graphic>
            <wp14:sizeRelH relativeFrom="page">
              <wp14:pctWidth>0</wp14:pctWidth>
            </wp14:sizeRelH>
            <wp14:sizeRelV relativeFrom="page">
              <wp14:pctHeight>0</wp14:pctHeight>
            </wp14:sizeRelV>
          </wp:anchor>
        </w:drawing>
      </w:r>
      <w:r w:rsidR="008067F3" w:rsidRPr="008067F3">
        <w:rPr>
          <w:b/>
          <w:u w:val="single"/>
        </w:rPr>
        <w:t>Table 4</w:t>
      </w:r>
      <w:r w:rsidR="008067F3" w:rsidRPr="008067F3">
        <w:rPr>
          <w:b/>
        </w:rPr>
        <w:t>: Redistribution of medical places based on proportion of regional medical course</w:t>
      </w:r>
      <w:r w:rsidR="008067F3">
        <w:rPr>
          <w:b/>
        </w:rPr>
        <w:t xml:space="preserve"> load</w:t>
      </w:r>
    </w:p>
    <w:p w14:paraId="47B65091" w14:textId="761AB12C" w:rsidR="00012E46" w:rsidRPr="0051774B" w:rsidRDefault="008067F3" w:rsidP="00012E46">
      <w:pPr>
        <w:rPr>
          <w:b/>
        </w:rPr>
      </w:pPr>
      <w:r>
        <w:rPr>
          <w:b/>
        </w:rPr>
        <w:tab/>
      </w:r>
    </w:p>
    <w:p w14:paraId="6E6BF8CC" w14:textId="442FF915" w:rsidR="00012E46" w:rsidRDefault="00134C42" w:rsidP="00DD3210">
      <w:r>
        <w:t>This</w:t>
      </w:r>
      <w:r w:rsidR="00012E46">
        <w:t xml:space="preserve"> approach </w:t>
      </w:r>
      <w:r w:rsidR="0012293C">
        <w:t>w</w:t>
      </w:r>
      <w:r w:rsidR="0044046C">
        <w:t>ould</w:t>
      </w:r>
      <w:r>
        <w:t xml:space="preserve"> establish the redistribution pool in the same way as</w:t>
      </w:r>
      <w:r>
        <w:rPr>
          <w:rFonts w:eastAsia="Times New Roman" w:cstheme="minorHAnsi"/>
          <w:color w:val="333333"/>
          <w:lang w:val="en" w:eastAsia="en-AU"/>
        </w:rPr>
        <w:t xml:space="preserve"> Option 1</w:t>
      </w:r>
      <w:r w:rsidR="00012E46" w:rsidRPr="004104E1">
        <w:t>.</w:t>
      </w:r>
    </w:p>
    <w:p w14:paraId="1FF6589B" w14:textId="02837589" w:rsidR="00012E46" w:rsidRPr="00A80EBE" w:rsidRDefault="00012E46" w:rsidP="00DD3210">
      <w:r w:rsidRPr="00A80EBE">
        <w:t>It proposes a transparent, equitable redistribution process to medical programs based on the proportion of regional medical education training each university undertakes, or is committed to undertake, by the initial redistribution round in 2021.</w:t>
      </w:r>
    </w:p>
    <w:p w14:paraId="2F5496EC" w14:textId="66CA102B" w:rsidR="00012E46" w:rsidRDefault="00012E46" w:rsidP="00DD3210">
      <w:r w:rsidRPr="00A80EBE">
        <w:t xml:space="preserve">As indicated </w:t>
      </w:r>
      <w:r w:rsidR="00D55D33" w:rsidRPr="00A80EBE">
        <w:t xml:space="preserve">in </w:t>
      </w:r>
      <w:r w:rsidR="00644D3C" w:rsidRPr="00A80EBE">
        <w:rPr>
          <w:u w:val="single"/>
        </w:rPr>
        <w:t>Table 4</w:t>
      </w:r>
      <w:r w:rsidRPr="00A80EBE">
        <w:t xml:space="preserve"> above, a h</w:t>
      </w:r>
      <w:r w:rsidR="00644D3C" w:rsidRPr="00A80EBE">
        <w:t>igher proportion of places would be re</w:t>
      </w:r>
      <w:r w:rsidR="00D55D33" w:rsidRPr="00A80EBE">
        <w:t>distributed</w:t>
      </w:r>
      <w:r w:rsidR="00644D3C" w:rsidRPr="00A80EBE">
        <w:t xml:space="preserve"> to providers with </w:t>
      </w:r>
      <w:r w:rsidR="00273F55" w:rsidRPr="00A80EBE">
        <w:t>the highest</w:t>
      </w:r>
      <w:r w:rsidR="00644D3C" w:rsidRPr="00A80EBE">
        <w:t xml:space="preserve"> regional medical load and, conversely, a lower proportion would go to providers with a minimal regional focus.</w:t>
      </w:r>
    </w:p>
    <w:p w14:paraId="70DB3E4D" w14:textId="00C29CC4" w:rsidR="00DD3210" w:rsidRDefault="00DD3210">
      <w:pPr>
        <w:spacing w:before="0" w:after="200"/>
      </w:pPr>
      <w:r>
        <w:br w:type="page"/>
      </w:r>
    </w:p>
    <w:p w14:paraId="4A5CEF55" w14:textId="25AEDFF2" w:rsidR="00644D3C" w:rsidRDefault="00802ABE" w:rsidP="00F57A6E">
      <w:r w:rsidRPr="00A80EBE">
        <w:t>E</w:t>
      </w:r>
      <w:r w:rsidR="00942EF3" w:rsidRPr="00A80EBE">
        <w:t xml:space="preserve">ach provider would receive a proportion of </w:t>
      </w:r>
      <w:r w:rsidRPr="00A80EBE">
        <w:t>the places it has contributed to</w:t>
      </w:r>
      <w:r w:rsidR="00942EF3" w:rsidRPr="00A80EBE">
        <w:t xml:space="preserve"> the redistribution pool </w:t>
      </w:r>
      <w:r w:rsidRPr="00A80EBE">
        <w:t>to</w:t>
      </w:r>
      <w:r w:rsidR="00942EF3" w:rsidRPr="00A80EBE">
        <w:t xml:space="preserve"> align</w:t>
      </w:r>
      <w:r w:rsidRPr="00A80EBE">
        <w:t xml:space="preserve"> with</w:t>
      </w:r>
      <w:r w:rsidR="00942EF3" w:rsidRPr="00A80EBE">
        <w:t xml:space="preserve"> </w:t>
      </w:r>
      <w:r w:rsidRPr="00A80EBE">
        <w:t>the proportion of its overall medical course delivery in ASGS–RA2+ locations. The proportion of places returned to each provider would depend on its regional delivery bandwidth, as set out below</w:t>
      </w:r>
      <w:r w:rsidR="00273F55" w:rsidRPr="00A80EBE">
        <w:t>:</w:t>
      </w:r>
    </w:p>
    <w:tbl>
      <w:tblPr>
        <w:tblStyle w:val="TableGrid"/>
        <w:tblW w:w="0" w:type="auto"/>
        <w:tblLook w:val="04A0" w:firstRow="1" w:lastRow="0" w:firstColumn="1" w:lastColumn="0" w:noHBand="0" w:noVBand="1"/>
      </w:tblPr>
      <w:tblGrid>
        <w:gridCol w:w="4814"/>
        <w:gridCol w:w="4814"/>
      </w:tblGrid>
      <w:tr w:rsidR="00885530" w:rsidRPr="00410326" w14:paraId="74075DC7" w14:textId="77777777" w:rsidTr="008E5283">
        <w:tc>
          <w:tcPr>
            <w:tcW w:w="4814" w:type="dxa"/>
            <w:vAlign w:val="center"/>
          </w:tcPr>
          <w:p w14:paraId="29C66BF5" w14:textId="2477C006" w:rsidR="00643588" w:rsidRPr="00410326" w:rsidRDefault="00410326" w:rsidP="008E5283">
            <w:pPr>
              <w:spacing w:before="0" w:after="0"/>
              <w:rPr>
                <w:b/>
              </w:rPr>
            </w:pPr>
            <w:r w:rsidRPr="00410326">
              <w:rPr>
                <w:b/>
              </w:rPr>
              <w:t xml:space="preserve">Proportion of medical course delivered in </w:t>
            </w:r>
            <w:r w:rsidR="00273F55">
              <w:rPr>
                <w:b/>
              </w:rPr>
              <w:br/>
            </w:r>
            <w:r w:rsidRPr="00410326">
              <w:rPr>
                <w:b/>
              </w:rPr>
              <w:t>ASGS</w:t>
            </w:r>
            <w:r w:rsidR="00273F55">
              <w:rPr>
                <w:b/>
              </w:rPr>
              <w:t>-</w:t>
            </w:r>
            <w:r w:rsidRPr="00410326">
              <w:rPr>
                <w:b/>
              </w:rPr>
              <w:t>RA2+ locations</w:t>
            </w:r>
          </w:p>
        </w:tc>
        <w:tc>
          <w:tcPr>
            <w:tcW w:w="4814" w:type="dxa"/>
          </w:tcPr>
          <w:p w14:paraId="3C286069" w14:textId="73E7F88A" w:rsidR="00885530" w:rsidRPr="00410326" w:rsidRDefault="00410326" w:rsidP="00942EF3">
            <w:pPr>
              <w:spacing w:before="0" w:after="0"/>
              <w:rPr>
                <w:b/>
              </w:rPr>
            </w:pPr>
            <w:r w:rsidRPr="00410326">
              <w:rPr>
                <w:b/>
              </w:rPr>
              <w:t xml:space="preserve">Proportion of places reallocated </w:t>
            </w:r>
            <w:r w:rsidR="00942EF3">
              <w:rPr>
                <w:b/>
              </w:rPr>
              <w:t xml:space="preserve">to a provider </w:t>
            </w:r>
            <w:r w:rsidRPr="00410326">
              <w:rPr>
                <w:b/>
              </w:rPr>
              <w:t xml:space="preserve">from </w:t>
            </w:r>
            <w:r w:rsidR="00942EF3">
              <w:rPr>
                <w:b/>
              </w:rPr>
              <w:t>the</w:t>
            </w:r>
            <w:r w:rsidRPr="00410326">
              <w:rPr>
                <w:b/>
              </w:rPr>
              <w:t xml:space="preserve"> contribution </w:t>
            </w:r>
            <w:r w:rsidR="00942EF3">
              <w:rPr>
                <w:b/>
              </w:rPr>
              <w:t xml:space="preserve">it has made </w:t>
            </w:r>
            <w:r w:rsidRPr="00410326">
              <w:rPr>
                <w:b/>
              </w:rPr>
              <w:t>to the redistribution pool</w:t>
            </w:r>
          </w:p>
        </w:tc>
      </w:tr>
      <w:tr w:rsidR="00410326" w14:paraId="3F5E96FC" w14:textId="77777777" w:rsidTr="00852CE9">
        <w:tc>
          <w:tcPr>
            <w:tcW w:w="4814" w:type="dxa"/>
          </w:tcPr>
          <w:p w14:paraId="393D4A9C" w14:textId="4A674D01" w:rsidR="00410326" w:rsidRDefault="00410326" w:rsidP="00410326">
            <w:pPr>
              <w:spacing w:before="0" w:after="0"/>
            </w:pPr>
            <w:r>
              <w:t>Over 50%</w:t>
            </w:r>
          </w:p>
        </w:tc>
        <w:tc>
          <w:tcPr>
            <w:tcW w:w="4814" w:type="dxa"/>
          </w:tcPr>
          <w:p w14:paraId="7F64214E" w14:textId="6E30C7CE" w:rsidR="00410326" w:rsidRDefault="00410326" w:rsidP="00410326">
            <w:pPr>
              <w:spacing w:before="0" w:after="0"/>
            </w:pPr>
            <w:r>
              <w:t>Up to 100%</w:t>
            </w:r>
            <w:r w:rsidR="00245554">
              <w:t xml:space="preserve"> of contributed places returned</w:t>
            </w:r>
          </w:p>
        </w:tc>
      </w:tr>
      <w:tr w:rsidR="00410326" w14:paraId="1207C008" w14:textId="77777777" w:rsidTr="00852CE9">
        <w:tc>
          <w:tcPr>
            <w:tcW w:w="4814" w:type="dxa"/>
          </w:tcPr>
          <w:p w14:paraId="144209C3" w14:textId="5384833B" w:rsidR="00410326" w:rsidRDefault="00410326" w:rsidP="00410326">
            <w:pPr>
              <w:spacing w:before="0" w:after="0"/>
            </w:pPr>
            <w:r>
              <w:t>Around 31–50%</w:t>
            </w:r>
          </w:p>
        </w:tc>
        <w:tc>
          <w:tcPr>
            <w:tcW w:w="4814" w:type="dxa"/>
          </w:tcPr>
          <w:p w14:paraId="447D3284" w14:textId="68B39C74" w:rsidR="00410326" w:rsidRDefault="00410326" w:rsidP="00410326">
            <w:pPr>
              <w:spacing w:before="0" w:after="0"/>
            </w:pPr>
            <w:r>
              <w:t>Up to 50%</w:t>
            </w:r>
            <w:r w:rsidR="00245554">
              <w:t xml:space="preserve"> of contributed places returned</w:t>
            </w:r>
          </w:p>
        </w:tc>
      </w:tr>
      <w:tr w:rsidR="00410326" w14:paraId="14FCFC6B" w14:textId="77777777" w:rsidTr="00852CE9">
        <w:tc>
          <w:tcPr>
            <w:tcW w:w="4814" w:type="dxa"/>
          </w:tcPr>
          <w:p w14:paraId="76C8A920" w14:textId="07C943B3" w:rsidR="00410326" w:rsidRDefault="00410326" w:rsidP="00410326">
            <w:pPr>
              <w:spacing w:before="0" w:after="0"/>
            </w:pPr>
            <w:r>
              <w:t>Around 11–30%</w:t>
            </w:r>
          </w:p>
        </w:tc>
        <w:tc>
          <w:tcPr>
            <w:tcW w:w="4814" w:type="dxa"/>
          </w:tcPr>
          <w:p w14:paraId="0B0D36D3" w14:textId="106BFEB2" w:rsidR="00410326" w:rsidRDefault="00410326" w:rsidP="00410326">
            <w:pPr>
              <w:spacing w:before="0" w:after="0"/>
            </w:pPr>
            <w:r>
              <w:t>Up to 30%</w:t>
            </w:r>
            <w:r w:rsidR="00245554">
              <w:t xml:space="preserve"> of contributed places returned</w:t>
            </w:r>
          </w:p>
        </w:tc>
      </w:tr>
      <w:tr w:rsidR="00410326" w14:paraId="596DD559" w14:textId="77777777" w:rsidTr="00852CE9">
        <w:tc>
          <w:tcPr>
            <w:tcW w:w="4814" w:type="dxa"/>
          </w:tcPr>
          <w:p w14:paraId="2636CA7F" w14:textId="4E78510C" w:rsidR="00410326" w:rsidRDefault="00410326" w:rsidP="00410326">
            <w:pPr>
              <w:spacing w:before="0" w:after="0"/>
            </w:pPr>
            <w:r>
              <w:t>Up to 10%</w:t>
            </w:r>
          </w:p>
        </w:tc>
        <w:tc>
          <w:tcPr>
            <w:tcW w:w="4814" w:type="dxa"/>
          </w:tcPr>
          <w:p w14:paraId="1F033751" w14:textId="35EC2518" w:rsidR="00410326" w:rsidRDefault="00410326" w:rsidP="00410326">
            <w:pPr>
              <w:spacing w:before="0" w:after="0"/>
            </w:pPr>
            <w:r>
              <w:t>One commencing medical CSP</w:t>
            </w:r>
            <w:r w:rsidR="00245554">
              <w:t xml:space="preserve"> returned</w:t>
            </w:r>
          </w:p>
        </w:tc>
      </w:tr>
    </w:tbl>
    <w:p w14:paraId="452E256E" w14:textId="77777777" w:rsidR="0084595D" w:rsidRDefault="0084595D" w:rsidP="00F57A6E"/>
    <w:p w14:paraId="7FBDBA54" w14:textId="4D54B199" w:rsidR="00802ABE" w:rsidRPr="008E5283" w:rsidRDefault="00802ABE" w:rsidP="00F57A6E">
      <w:r w:rsidRPr="008E5283">
        <w:t>As set out above, regional medical training data each university provides to the department in conjunction with</w:t>
      </w:r>
      <w:r w:rsidR="009656E5" w:rsidRPr="008E5283">
        <w:t xml:space="preserve"> </w:t>
      </w:r>
      <w:r w:rsidRPr="008E5283">
        <w:t>feedback on the discussion paper will help to ensure th</w:t>
      </w:r>
      <w:r w:rsidR="009656E5" w:rsidRPr="008E5283">
        <w:t>is approach accurately</w:t>
      </w:r>
      <w:r w:rsidRPr="008E5283">
        <w:t xml:space="preserve"> reflects </w:t>
      </w:r>
      <w:r w:rsidR="0048178B" w:rsidRPr="008E5283">
        <w:t xml:space="preserve">actual </w:t>
      </w:r>
      <w:r w:rsidRPr="008E5283">
        <w:t xml:space="preserve">regional </w:t>
      </w:r>
      <w:r w:rsidR="0048178B" w:rsidRPr="008E5283">
        <w:t>medical</w:t>
      </w:r>
      <w:r w:rsidR="00D55D33" w:rsidRPr="008E5283">
        <w:t xml:space="preserve"> load</w:t>
      </w:r>
      <w:r w:rsidRPr="008E5283">
        <w:t>.</w:t>
      </w:r>
    </w:p>
    <w:p w14:paraId="12B4CBE7" w14:textId="390286D0" w:rsidR="00644D3C" w:rsidRPr="008E5283" w:rsidRDefault="00644D3C" w:rsidP="00F57A6E">
      <w:r w:rsidRPr="008E5283">
        <w:t>The number of places re</w:t>
      </w:r>
      <w:r w:rsidR="0012293C" w:rsidRPr="008E5283">
        <w:t>turned</w:t>
      </w:r>
      <w:r w:rsidRPr="008E5283">
        <w:t xml:space="preserve"> to an individual provider would not exceed the </w:t>
      </w:r>
      <w:r w:rsidR="0044046C" w:rsidRPr="008E5283">
        <w:t xml:space="preserve">number of </w:t>
      </w:r>
      <w:r w:rsidRPr="008E5283">
        <w:t>places the provider contributed to the pool</w:t>
      </w:r>
      <w:r w:rsidR="00143451" w:rsidRPr="008E5283">
        <w:t>’s establishment</w:t>
      </w:r>
      <w:r w:rsidRPr="008E5283">
        <w:t>.</w:t>
      </w:r>
    </w:p>
    <w:p w14:paraId="606C6530" w14:textId="1ACA8FE0" w:rsidR="00644D3C" w:rsidRPr="008E5283" w:rsidRDefault="00802ABE" w:rsidP="00F57A6E">
      <w:r w:rsidRPr="008E5283">
        <w:t>This option w</w:t>
      </w:r>
      <w:r w:rsidR="0048178B" w:rsidRPr="008E5283">
        <w:t>ould</w:t>
      </w:r>
      <w:r w:rsidR="004104E1" w:rsidRPr="008E5283">
        <w:t xml:space="preserve"> ensure</w:t>
      </w:r>
      <w:r w:rsidRPr="008E5283">
        <w:t xml:space="preserve"> that</w:t>
      </w:r>
      <w:r w:rsidR="004104E1" w:rsidRPr="008E5283">
        <w:t xml:space="preserve"> all </w:t>
      </w:r>
      <w:r w:rsidRPr="008E5283">
        <w:t>providers</w:t>
      </w:r>
      <w:r w:rsidR="004104E1" w:rsidRPr="008E5283">
        <w:t xml:space="preserve"> would receive at least one commencing medical place </w:t>
      </w:r>
      <w:r w:rsidRPr="008E5283">
        <w:t xml:space="preserve">from the redistribution pool </w:t>
      </w:r>
      <w:r w:rsidR="00143451" w:rsidRPr="008E5283">
        <w:t>to support their regional</w:t>
      </w:r>
      <w:r w:rsidR="00AB435B" w:rsidRPr="008E5283">
        <w:t xml:space="preserve"> initiatives.</w:t>
      </w:r>
    </w:p>
    <w:p w14:paraId="37DF8061" w14:textId="77777777" w:rsidR="00802ABE" w:rsidRPr="008E5283" w:rsidRDefault="00852CE9" w:rsidP="00F57A6E">
      <w:r w:rsidRPr="008E5283">
        <w:t>Universities with the strongest regional presence</w:t>
      </w:r>
      <w:r w:rsidR="00AB435B" w:rsidRPr="008E5283">
        <w:t xml:space="preserve"> would not lose </w:t>
      </w:r>
      <w:r w:rsidR="007A78E7" w:rsidRPr="008E5283">
        <w:t>any places</w:t>
      </w:r>
      <w:r w:rsidR="00AB435B" w:rsidRPr="008E5283">
        <w:t xml:space="preserve"> in the redistribution process</w:t>
      </w:r>
      <w:r w:rsidR="007A78E7" w:rsidRPr="008E5283">
        <w:t>.</w:t>
      </w:r>
    </w:p>
    <w:p w14:paraId="6CA9B01C" w14:textId="5B3894B0" w:rsidR="007A78E7" w:rsidRPr="008E5283" w:rsidRDefault="0048178B" w:rsidP="00F57A6E">
      <w:r w:rsidRPr="008E5283">
        <w:t>The department expects a maximum</w:t>
      </w:r>
      <w:r w:rsidR="00D0655A" w:rsidRPr="008E5283">
        <w:t xml:space="preserve"> net</w:t>
      </w:r>
      <w:r w:rsidRPr="008E5283">
        <w:t xml:space="preserve"> loss of</w:t>
      </w:r>
      <w:r w:rsidR="00AB435B" w:rsidRPr="008E5283">
        <w:t xml:space="preserve"> </w:t>
      </w:r>
      <w:r w:rsidR="00D0655A" w:rsidRPr="008E5283">
        <w:t>around five</w:t>
      </w:r>
      <w:r w:rsidRPr="008E5283">
        <w:t xml:space="preserve"> commencing</w:t>
      </w:r>
      <w:r w:rsidR="00AB435B" w:rsidRPr="008E5283">
        <w:t xml:space="preserve"> places</w:t>
      </w:r>
      <w:r w:rsidRPr="008E5283">
        <w:t xml:space="preserve"> to any single provider under this approach, involving</w:t>
      </w:r>
      <w:r w:rsidR="00852CE9" w:rsidRPr="008E5283">
        <w:t xml:space="preserve"> metropolitan institutions with the largest medical programs. These </w:t>
      </w:r>
      <w:r w:rsidRPr="008E5283">
        <w:t>universities</w:t>
      </w:r>
      <w:r w:rsidR="00852CE9" w:rsidRPr="008E5283">
        <w:t xml:space="preserve"> </w:t>
      </w:r>
      <w:r w:rsidR="00012E46" w:rsidRPr="008E5283">
        <w:t>w</w:t>
      </w:r>
      <w:r w:rsidR="00852CE9" w:rsidRPr="008E5283">
        <w:t>ould be well</w:t>
      </w:r>
      <w:r w:rsidR="00261CBF" w:rsidRPr="008E5283">
        <w:t xml:space="preserve"> placed</w:t>
      </w:r>
      <w:r w:rsidR="00611CA3" w:rsidRPr="008E5283">
        <w:t xml:space="preserve"> to</w:t>
      </w:r>
      <w:r w:rsidR="00852CE9" w:rsidRPr="008E5283">
        <w:t xml:space="preserve"> take advantage of the Government’s transitional measure </w:t>
      </w:r>
      <w:r w:rsidR="007A78E7" w:rsidRPr="008E5283">
        <w:t>that</w:t>
      </w:r>
      <w:r w:rsidR="00852CE9" w:rsidRPr="008E5283">
        <w:t xml:space="preserve"> permits them to</w:t>
      </w:r>
      <w:r w:rsidR="00611CA3" w:rsidRPr="008E5283">
        <w:t xml:space="preserve"> enrol a compensating number of </w:t>
      </w:r>
      <w:r w:rsidR="00461AB2" w:rsidRPr="008E5283">
        <w:t>IFFP</w:t>
      </w:r>
      <w:r w:rsidR="00611CA3" w:rsidRPr="008E5283">
        <w:t xml:space="preserve"> medical students </w:t>
      </w:r>
      <w:r w:rsidR="00852CE9" w:rsidRPr="008E5283">
        <w:t>for any net loss of medical CSPs in</w:t>
      </w:r>
      <w:r w:rsidR="00611CA3" w:rsidRPr="008E5283">
        <w:t xml:space="preserve"> the initial redistribution round.</w:t>
      </w:r>
      <w:r w:rsidR="007A78E7" w:rsidRPr="008E5283">
        <w:t xml:space="preserve"> </w:t>
      </w:r>
    </w:p>
    <w:p w14:paraId="71A6443B" w14:textId="34E888CC" w:rsidR="00AB435B" w:rsidRPr="008E5283" w:rsidRDefault="00852CE9" w:rsidP="00F57A6E">
      <w:r w:rsidRPr="008E5283">
        <w:t xml:space="preserve">This option would </w:t>
      </w:r>
      <w:r w:rsidR="00476D85" w:rsidRPr="008E5283">
        <w:t>be quick to</w:t>
      </w:r>
      <w:r w:rsidRPr="008E5283">
        <w:t xml:space="preserve"> implement.</w:t>
      </w:r>
      <w:r w:rsidR="00611CA3" w:rsidRPr="008E5283">
        <w:t xml:space="preserve"> Outcomes could be finalised before the end of 2019 as a competitive redistribution process involving an evaluation against the Assessment Framework and policy parameters would not be required. </w:t>
      </w:r>
    </w:p>
    <w:p w14:paraId="5974463E" w14:textId="0D5693AA" w:rsidR="00121B40" w:rsidRDefault="00121B40" w:rsidP="00F57A6E">
      <w:r w:rsidRPr="008E5283">
        <w:t xml:space="preserve">As places returned to any medical program </w:t>
      </w:r>
      <w:r w:rsidR="0048178B" w:rsidRPr="008E5283">
        <w:t>w</w:t>
      </w:r>
      <w:r w:rsidRPr="008E5283">
        <w:t>ould not exceed the number of places the university contributed to the pool, no growth opportunities would be available to reward new and innovative p</w:t>
      </w:r>
      <w:r w:rsidR="0084595D">
        <w:t>roposals through this approach.</w:t>
      </w:r>
    </w:p>
    <w:p w14:paraId="4D6BA1B8" w14:textId="77777777" w:rsidR="0084595D" w:rsidRDefault="0084595D" w:rsidP="00F57A6E"/>
    <w:tbl>
      <w:tblPr>
        <w:tblStyle w:val="TableGrid"/>
        <w:tblW w:w="0" w:type="auto"/>
        <w:shd w:val="clear" w:color="auto" w:fill="D5DBEF" w:themeFill="accent1" w:themeFillTint="33"/>
        <w:tblLook w:val="04A0" w:firstRow="1" w:lastRow="0" w:firstColumn="1" w:lastColumn="0" w:noHBand="0" w:noVBand="1"/>
      </w:tblPr>
      <w:tblGrid>
        <w:gridCol w:w="9628"/>
      </w:tblGrid>
      <w:tr w:rsidR="00121B40" w14:paraId="0D032298" w14:textId="77777777" w:rsidTr="003F6E03">
        <w:tc>
          <w:tcPr>
            <w:tcW w:w="9628" w:type="dxa"/>
            <w:shd w:val="clear" w:color="auto" w:fill="D5DBEF" w:themeFill="accent1" w:themeFillTint="33"/>
          </w:tcPr>
          <w:p w14:paraId="5CB7AA0A" w14:textId="5F6BD1F9" w:rsidR="00121B40" w:rsidRPr="002336BA" w:rsidRDefault="00121B40" w:rsidP="00F57A6E">
            <w:pPr>
              <w:spacing w:line="276" w:lineRule="auto"/>
              <w:rPr>
                <w:b/>
              </w:rPr>
            </w:pPr>
            <w:r w:rsidRPr="007F1C0C">
              <w:rPr>
                <w:b/>
              </w:rPr>
              <w:t xml:space="preserve">Option </w:t>
            </w:r>
            <w:r>
              <w:rPr>
                <w:b/>
              </w:rPr>
              <w:t xml:space="preserve">3: </w:t>
            </w:r>
            <w:r w:rsidR="002E6FC4">
              <w:rPr>
                <w:b/>
              </w:rPr>
              <w:t>All universities would contribute 2.03 per cent of commencing medical CSPs to create a pool of 60 commencing places; the 28 places remaining after CSU’s allocation would be redistributed only to universities with a commitment to deliver</w:t>
            </w:r>
            <w:r w:rsidR="00D97A7C">
              <w:rPr>
                <w:b/>
              </w:rPr>
              <w:t xml:space="preserve"> end-to-end</w:t>
            </w:r>
            <w:r w:rsidR="002E6FC4">
              <w:rPr>
                <w:b/>
              </w:rPr>
              <w:t xml:space="preserve"> fully regional medical programs</w:t>
            </w:r>
            <w:r w:rsidR="00B61A2C">
              <w:rPr>
                <w:b/>
              </w:rPr>
              <w:t xml:space="preserve"> by 2021</w:t>
            </w:r>
            <w:r>
              <w:rPr>
                <w:b/>
              </w:rPr>
              <w:t>.</w:t>
            </w:r>
          </w:p>
        </w:tc>
      </w:tr>
    </w:tbl>
    <w:p w14:paraId="340F24BD" w14:textId="400BB7A1" w:rsidR="00885530" w:rsidRPr="00A80EBE" w:rsidRDefault="00885530" w:rsidP="00F57A6E">
      <w:r w:rsidRPr="00A80EBE">
        <w:t>This option proposes that:</w:t>
      </w:r>
    </w:p>
    <w:p w14:paraId="4D238E18" w14:textId="30500F51" w:rsidR="00885530" w:rsidRPr="00A80EBE" w:rsidRDefault="002E6FC4" w:rsidP="00F57A6E">
      <w:pPr>
        <w:pStyle w:val="ListParagraph"/>
        <w:numPr>
          <w:ilvl w:val="0"/>
          <w:numId w:val="45"/>
        </w:numPr>
        <w:ind w:left="426" w:hanging="426"/>
        <w:contextualSpacing w:val="0"/>
      </w:pPr>
      <w:r w:rsidRPr="00A80EBE">
        <w:t>All medical programs would contribute 2.03 per cent of their commencing medical CSPs (rounded) to create a pool of 60 commencing medical CSPs</w:t>
      </w:r>
      <w:r w:rsidR="00885530" w:rsidRPr="00A80EBE">
        <w:t>.</w:t>
      </w:r>
    </w:p>
    <w:p w14:paraId="7F593D11" w14:textId="12F49C79" w:rsidR="00885530" w:rsidRPr="00A80EBE" w:rsidRDefault="00885530" w:rsidP="00F57A6E">
      <w:pPr>
        <w:pStyle w:val="ListParagraph"/>
        <w:numPr>
          <w:ilvl w:val="0"/>
          <w:numId w:val="45"/>
        </w:numPr>
        <w:ind w:left="426" w:hanging="426"/>
        <w:contextualSpacing w:val="0"/>
      </w:pPr>
      <w:r w:rsidRPr="00A80EBE">
        <w:t>A total of 32 commencing medical CSPs would be allocated to CSU for the MDMSN.</w:t>
      </w:r>
    </w:p>
    <w:p w14:paraId="6E1DEACD" w14:textId="6F4A1EF5" w:rsidR="00885530" w:rsidRPr="00A80EBE" w:rsidRDefault="00885530" w:rsidP="00F57A6E">
      <w:pPr>
        <w:pStyle w:val="ListParagraph"/>
        <w:numPr>
          <w:ilvl w:val="0"/>
          <w:numId w:val="45"/>
        </w:numPr>
        <w:ind w:left="426" w:hanging="426"/>
        <w:contextualSpacing w:val="0"/>
      </w:pPr>
      <w:r w:rsidRPr="00A80EBE">
        <w:t xml:space="preserve">The remaining 28 commencing medical places would be </w:t>
      </w:r>
      <w:r w:rsidR="002E6FC4" w:rsidRPr="00A80EBE">
        <w:t>redistributed only to universities with a commitment to deliver end-to-end fully regional medical programs to at least a cohort of their students</w:t>
      </w:r>
      <w:r w:rsidR="00B61A2C" w:rsidRPr="00A80EBE">
        <w:t xml:space="preserve"> by 2021</w:t>
      </w:r>
      <w:r w:rsidRPr="00A80EBE">
        <w:t>.</w:t>
      </w:r>
    </w:p>
    <w:p w14:paraId="529693E1" w14:textId="28630CAD" w:rsidR="00121B40" w:rsidRPr="00121B40" w:rsidRDefault="00121B40" w:rsidP="00273F55">
      <w:pPr>
        <w:ind w:left="709" w:right="1274" w:hanging="709"/>
        <w:rPr>
          <w:b/>
        </w:rPr>
      </w:pPr>
      <w:r w:rsidRPr="00121B40">
        <w:rPr>
          <w:b/>
          <w:u w:val="single"/>
        </w:rPr>
        <w:t>Table 5</w:t>
      </w:r>
      <w:r w:rsidRPr="00121B40">
        <w:rPr>
          <w:b/>
        </w:rPr>
        <w:t xml:space="preserve">: Places contributed to redistribution pool by universities with a commitment to </w:t>
      </w:r>
      <w:r w:rsidR="00B61A2C">
        <w:rPr>
          <w:b/>
        </w:rPr>
        <w:t xml:space="preserve">deliver </w:t>
      </w:r>
      <w:r w:rsidRPr="00121B40">
        <w:rPr>
          <w:b/>
        </w:rPr>
        <w:t>fully regional medical programs</w:t>
      </w:r>
      <w:r w:rsidR="00B61A2C">
        <w:rPr>
          <w:b/>
        </w:rPr>
        <w:t xml:space="preserve"> by 2021</w:t>
      </w:r>
    </w:p>
    <w:tbl>
      <w:tblPr>
        <w:tblStyle w:val="TableGrid11"/>
        <w:tblW w:w="9072" w:type="dxa"/>
        <w:tblInd w:w="250" w:type="dxa"/>
        <w:tblLook w:val="04A0" w:firstRow="1" w:lastRow="0" w:firstColumn="1" w:lastColumn="0" w:noHBand="0" w:noVBand="1"/>
      </w:tblPr>
      <w:tblGrid>
        <w:gridCol w:w="3544"/>
        <w:gridCol w:w="2693"/>
        <w:gridCol w:w="2835"/>
      </w:tblGrid>
      <w:tr w:rsidR="002317D9" w:rsidRPr="007C27A6" w14:paraId="2B5A4F44" w14:textId="77777777" w:rsidTr="00F57A6E">
        <w:trPr>
          <w:trHeight w:val="645"/>
        </w:trPr>
        <w:tc>
          <w:tcPr>
            <w:tcW w:w="3544" w:type="dxa"/>
            <w:shd w:val="clear" w:color="auto" w:fill="8193D1" w:themeFill="text2" w:themeFillTint="99"/>
            <w:vAlign w:val="center"/>
            <w:hideMark/>
          </w:tcPr>
          <w:p w14:paraId="40E990EF" w14:textId="61ADEF14" w:rsidR="002317D9" w:rsidRPr="007C27A6" w:rsidRDefault="002317D9" w:rsidP="00F57A6E">
            <w:pPr>
              <w:spacing w:before="0" w:after="0"/>
              <w:rPr>
                <w:rFonts w:ascii="Calibri" w:hAnsi="Calibri" w:cs="Times New Roman"/>
              </w:rPr>
            </w:pPr>
            <w:r w:rsidRPr="007C27A6">
              <w:rPr>
                <w:rFonts w:ascii="Calibri" w:hAnsi="Calibri" w:cs="Times New Roman"/>
              </w:rPr>
              <w:t>University</w:t>
            </w:r>
          </w:p>
        </w:tc>
        <w:tc>
          <w:tcPr>
            <w:tcW w:w="2693" w:type="dxa"/>
            <w:shd w:val="clear" w:color="auto" w:fill="8193D1" w:themeFill="text2" w:themeFillTint="99"/>
            <w:hideMark/>
          </w:tcPr>
          <w:p w14:paraId="5B69EDB3" w14:textId="3E51FC9F" w:rsidR="002317D9" w:rsidRPr="007C27A6" w:rsidRDefault="002317D9" w:rsidP="00B61A2C">
            <w:pPr>
              <w:spacing w:before="0" w:after="0"/>
              <w:rPr>
                <w:rFonts w:ascii="Calibri" w:hAnsi="Calibri" w:cs="Times New Roman"/>
              </w:rPr>
            </w:pPr>
            <w:r w:rsidRPr="007C27A6">
              <w:rPr>
                <w:rFonts w:ascii="Calibri" w:hAnsi="Calibri" w:cs="Times New Roman"/>
              </w:rPr>
              <w:t>Medical CSP commencements in 2021</w:t>
            </w:r>
          </w:p>
        </w:tc>
        <w:tc>
          <w:tcPr>
            <w:tcW w:w="2835" w:type="dxa"/>
            <w:shd w:val="clear" w:color="auto" w:fill="8193D1" w:themeFill="text2" w:themeFillTint="99"/>
            <w:hideMark/>
          </w:tcPr>
          <w:p w14:paraId="09D0D3CF" w14:textId="77777777" w:rsidR="002317D9" w:rsidRPr="007C27A6" w:rsidRDefault="002317D9" w:rsidP="00D84651">
            <w:pPr>
              <w:spacing w:before="0" w:after="0"/>
              <w:rPr>
                <w:rFonts w:ascii="Calibri" w:hAnsi="Calibri" w:cs="Times New Roman"/>
              </w:rPr>
            </w:pPr>
            <w:r w:rsidRPr="007C27A6">
              <w:rPr>
                <w:rFonts w:ascii="Calibri" w:hAnsi="Calibri" w:cs="Times New Roman"/>
              </w:rPr>
              <w:t xml:space="preserve">Places contributed to redistribution pool </w:t>
            </w:r>
          </w:p>
        </w:tc>
      </w:tr>
      <w:tr w:rsidR="002317D9" w:rsidRPr="007C27A6" w14:paraId="0542CEA8" w14:textId="77777777" w:rsidTr="00D84651">
        <w:trPr>
          <w:trHeight w:val="300"/>
        </w:trPr>
        <w:tc>
          <w:tcPr>
            <w:tcW w:w="9072" w:type="dxa"/>
            <w:gridSpan w:val="3"/>
            <w:shd w:val="clear" w:color="auto" w:fill="D5DBEF" w:themeFill="text2" w:themeFillTint="33"/>
            <w:hideMark/>
          </w:tcPr>
          <w:p w14:paraId="429FBDD8" w14:textId="77777777" w:rsidR="002317D9" w:rsidRPr="007C27A6" w:rsidRDefault="002317D9" w:rsidP="00D84651">
            <w:pPr>
              <w:spacing w:before="0" w:after="0"/>
              <w:rPr>
                <w:rFonts w:ascii="Calibri" w:hAnsi="Calibri" w:cs="Times New Roman"/>
                <w:b/>
                <w:bCs/>
              </w:rPr>
            </w:pPr>
            <w:r w:rsidRPr="007C27A6">
              <w:rPr>
                <w:rFonts w:ascii="Calibri" w:hAnsi="Calibri" w:cs="Times New Roman"/>
                <w:b/>
                <w:bCs/>
              </w:rPr>
              <w:t>New South Wales</w:t>
            </w:r>
          </w:p>
        </w:tc>
      </w:tr>
      <w:tr w:rsidR="002317D9" w:rsidRPr="007C27A6" w14:paraId="1B838E51" w14:textId="77777777" w:rsidTr="002317D9">
        <w:trPr>
          <w:trHeight w:val="300"/>
        </w:trPr>
        <w:tc>
          <w:tcPr>
            <w:tcW w:w="3544" w:type="dxa"/>
            <w:shd w:val="clear" w:color="auto" w:fill="F7DC9F" w:themeFill="background2" w:themeFillTint="66"/>
            <w:noWrap/>
            <w:hideMark/>
          </w:tcPr>
          <w:p w14:paraId="6EFEA592" w14:textId="088B23AD" w:rsidR="002317D9" w:rsidRPr="007C27A6" w:rsidRDefault="002317D9" w:rsidP="00D84651">
            <w:pPr>
              <w:spacing w:before="0" w:after="0"/>
              <w:rPr>
                <w:rFonts w:ascii="Calibri" w:hAnsi="Calibri" w:cs="Times New Roman"/>
              </w:rPr>
            </w:pPr>
            <w:r w:rsidRPr="007C27A6">
              <w:rPr>
                <w:rFonts w:ascii="Calibri" w:hAnsi="Calibri" w:cs="Times New Roman"/>
              </w:rPr>
              <w:t>University of New England</w:t>
            </w:r>
          </w:p>
        </w:tc>
        <w:tc>
          <w:tcPr>
            <w:tcW w:w="2693" w:type="dxa"/>
            <w:shd w:val="clear" w:color="auto" w:fill="F7DC9F" w:themeFill="background2" w:themeFillTint="66"/>
            <w:noWrap/>
            <w:hideMark/>
          </w:tcPr>
          <w:p w14:paraId="3A22C820"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60</w:t>
            </w:r>
          </w:p>
        </w:tc>
        <w:tc>
          <w:tcPr>
            <w:tcW w:w="2835" w:type="dxa"/>
            <w:shd w:val="clear" w:color="auto" w:fill="F7DC9F" w:themeFill="background2" w:themeFillTint="66"/>
            <w:noWrap/>
            <w:hideMark/>
          </w:tcPr>
          <w:p w14:paraId="636457A7"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1</w:t>
            </w:r>
          </w:p>
        </w:tc>
      </w:tr>
      <w:tr w:rsidR="002317D9" w:rsidRPr="007C27A6" w14:paraId="5E509B72" w14:textId="77777777" w:rsidTr="002317D9">
        <w:trPr>
          <w:trHeight w:val="300"/>
        </w:trPr>
        <w:tc>
          <w:tcPr>
            <w:tcW w:w="3544" w:type="dxa"/>
            <w:shd w:val="clear" w:color="auto" w:fill="F7DC9F" w:themeFill="background2" w:themeFillTint="66"/>
            <w:noWrap/>
            <w:hideMark/>
          </w:tcPr>
          <w:p w14:paraId="20F77B71" w14:textId="77777777" w:rsidR="002317D9" w:rsidRPr="007C27A6" w:rsidRDefault="002317D9" w:rsidP="00D84651">
            <w:pPr>
              <w:spacing w:before="0" w:after="0"/>
              <w:rPr>
                <w:rFonts w:ascii="Calibri" w:hAnsi="Calibri" w:cs="Times New Roman"/>
              </w:rPr>
            </w:pPr>
            <w:r w:rsidRPr="007C27A6">
              <w:rPr>
                <w:rFonts w:ascii="Calibri" w:hAnsi="Calibri" w:cs="Times New Roman"/>
              </w:rPr>
              <w:t>University of New South Wales</w:t>
            </w:r>
          </w:p>
        </w:tc>
        <w:tc>
          <w:tcPr>
            <w:tcW w:w="2693" w:type="dxa"/>
            <w:shd w:val="clear" w:color="auto" w:fill="F7DC9F" w:themeFill="background2" w:themeFillTint="66"/>
            <w:noWrap/>
            <w:hideMark/>
          </w:tcPr>
          <w:p w14:paraId="51475280"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199</w:t>
            </w:r>
          </w:p>
        </w:tc>
        <w:tc>
          <w:tcPr>
            <w:tcW w:w="2835" w:type="dxa"/>
            <w:shd w:val="clear" w:color="auto" w:fill="F7DC9F" w:themeFill="background2" w:themeFillTint="66"/>
            <w:noWrap/>
            <w:hideMark/>
          </w:tcPr>
          <w:p w14:paraId="3834D809"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4</w:t>
            </w:r>
          </w:p>
        </w:tc>
      </w:tr>
      <w:tr w:rsidR="002317D9" w:rsidRPr="007C27A6" w14:paraId="3D387070" w14:textId="77777777" w:rsidTr="00D84651">
        <w:trPr>
          <w:trHeight w:val="300"/>
        </w:trPr>
        <w:tc>
          <w:tcPr>
            <w:tcW w:w="3544" w:type="dxa"/>
            <w:noWrap/>
            <w:hideMark/>
          </w:tcPr>
          <w:p w14:paraId="55685DDF" w14:textId="77777777" w:rsidR="002317D9" w:rsidRPr="007C27A6" w:rsidRDefault="002317D9" w:rsidP="00D84651">
            <w:pPr>
              <w:spacing w:before="0" w:after="0"/>
              <w:rPr>
                <w:rFonts w:ascii="Calibri" w:hAnsi="Calibri" w:cs="Times New Roman"/>
              </w:rPr>
            </w:pPr>
            <w:r w:rsidRPr="007C27A6">
              <w:rPr>
                <w:rFonts w:ascii="Calibri" w:hAnsi="Calibri" w:cs="Times New Roman"/>
              </w:rPr>
              <w:t>University of Newcastle</w:t>
            </w:r>
          </w:p>
        </w:tc>
        <w:tc>
          <w:tcPr>
            <w:tcW w:w="2693" w:type="dxa"/>
            <w:noWrap/>
            <w:hideMark/>
          </w:tcPr>
          <w:p w14:paraId="1FE61EB6"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108</w:t>
            </w:r>
          </w:p>
        </w:tc>
        <w:tc>
          <w:tcPr>
            <w:tcW w:w="2835" w:type="dxa"/>
            <w:noWrap/>
            <w:hideMark/>
          </w:tcPr>
          <w:p w14:paraId="5A34F8C4"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2</w:t>
            </w:r>
          </w:p>
        </w:tc>
      </w:tr>
      <w:tr w:rsidR="002317D9" w:rsidRPr="007C27A6" w14:paraId="4C0A6549" w14:textId="77777777" w:rsidTr="002317D9">
        <w:trPr>
          <w:trHeight w:val="300"/>
        </w:trPr>
        <w:tc>
          <w:tcPr>
            <w:tcW w:w="3544" w:type="dxa"/>
            <w:shd w:val="clear" w:color="auto" w:fill="F7DC9F" w:themeFill="background2" w:themeFillTint="66"/>
            <w:noWrap/>
            <w:hideMark/>
          </w:tcPr>
          <w:p w14:paraId="393E4E7B" w14:textId="77777777" w:rsidR="002317D9" w:rsidRPr="007C27A6" w:rsidRDefault="002317D9" w:rsidP="00D84651">
            <w:pPr>
              <w:spacing w:before="0" w:after="0"/>
              <w:rPr>
                <w:rFonts w:ascii="Calibri" w:hAnsi="Calibri" w:cs="Times New Roman"/>
              </w:rPr>
            </w:pPr>
            <w:r w:rsidRPr="007C27A6">
              <w:rPr>
                <w:rFonts w:ascii="Calibri" w:hAnsi="Calibri" w:cs="Times New Roman"/>
              </w:rPr>
              <w:t>University of Wollongong</w:t>
            </w:r>
          </w:p>
        </w:tc>
        <w:tc>
          <w:tcPr>
            <w:tcW w:w="2693" w:type="dxa"/>
            <w:shd w:val="clear" w:color="auto" w:fill="F7DC9F" w:themeFill="background2" w:themeFillTint="66"/>
            <w:noWrap/>
            <w:hideMark/>
          </w:tcPr>
          <w:p w14:paraId="26559DB3"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69</w:t>
            </w:r>
          </w:p>
        </w:tc>
        <w:tc>
          <w:tcPr>
            <w:tcW w:w="2835" w:type="dxa"/>
            <w:shd w:val="clear" w:color="auto" w:fill="F7DC9F" w:themeFill="background2" w:themeFillTint="66"/>
            <w:noWrap/>
            <w:hideMark/>
          </w:tcPr>
          <w:p w14:paraId="3D8FADC6"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1</w:t>
            </w:r>
          </w:p>
        </w:tc>
      </w:tr>
      <w:tr w:rsidR="002317D9" w:rsidRPr="007C27A6" w14:paraId="54B621A2" w14:textId="77777777" w:rsidTr="002317D9">
        <w:trPr>
          <w:trHeight w:val="300"/>
        </w:trPr>
        <w:tc>
          <w:tcPr>
            <w:tcW w:w="3544" w:type="dxa"/>
            <w:shd w:val="clear" w:color="auto" w:fill="F7DC9F" w:themeFill="background2" w:themeFillTint="66"/>
            <w:noWrap/>
            <w:hideMark/>
          </w:tcPr>
          <w:p w14:paraId="45DC91FD" w14:textId="77777777" w:rsidR="002317D9" w:rsidRPr="007C27A6" w:rsidRDefault="002317D9" w:rsidP="00D84651">
            <w:pPr>
              <w:spacing w:before="0" w:after="0"/>
              <w:rPr>
                <w:rFonts w:ascii="Calibri" w:hAnsi="Calibri" w:cs="Times New Roman"/>
              </w:rPr>
            </w:pPr>
            <w:r w:rsidRPr="007C27A6">
              <w:rPr>
                <w:rFonts w:ascii="Calibri" w:hAnsi="Calibri" w:cs="Times New Roman"/>
              </w:rPr>
              <w:t>University of Sydney</w:t>
            </w:r>
          </w:p>
        </w:tc>
        <w:tc>
          <w:tcPr>
            <w:tcW w:w="2693" w:type="dxa"/>
            <w:shd w:val="clear" w:color="auto" w:fill="F7DC9F" w:themeFill="background2" w:themeFillTint="66"/>
            <w:noWrap/>
            <w:hideMark/>
          </w:tcPr>
          <w:p w14:paraId="39D9630A"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227</w:t>
            </w:r>
          </w:p>
        </w:tc>
        <w:tc>
          <w:tcPr>
            <w:tcW w:w="2835" w:type="dxa"/>
            <w:shd w:val="clear" w:color="auto" w:fill="F7DC9F" w:themeFill="background2" w:themeFillTint="66"/>
            <w:noWrap/>
            <w:hideMark/>
          </w:tcPr>
          <w:p w14:paraId="63B93F16"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5</w:t>
            </w:r>
          </w:p>
        </w:tc>
      </w:tr>
      <w:tr w:rsidR="002317D9" w:rsidRPr="007C27A6" w14:paraId="1595AEBC" w14:textId="77777777" w:rsidTr="002317D9">
        <w:trPr>
          <w:trHeight w:val="300"/>
        </w:trPr>
        <w:tc>
          <w:tcPr>
            <w:tcW w:w="3544" w:type="dxa"/>
            <w:shd w:val="clear" w:color="auto" w:fill="F7DC9F" w:themeFill="background2" w:themeFillTint="66"/>
            <w:noWrap/>
            <w:hideMark/>
          </w:tcPr>
          <w:p w14:paraId="6A351A3E" w14:textId="77777777" w:rsidR="002317D9" w:rsidRPr="007C27A6" w:rsidRDefault="002317D9" w:rsidP="00D84651">
            <w:pPr>
              <w:spacing w:before="0" w:after="0"/>
              <w:rPr>
                <w:rFonts w:ascii="Calibri" w:hAnsi="Calibri" w:cs="Times New Roman"/>
              </w:rPr>
            </w:pPr>
            <w:r w:rsidRPr="007C27A6">
              <w:rPr>
                <w:rFonts w:ascii="Calibri" w:hAnsi="Calibri" w:cs="Times New Roman"/>
              </w:rPr>
              <w:t>Western Sydney</w:t>
            </w:r>
            <w:r>
              <w:rPr>
                <w:rFonts w:ascii="Calibri" w:hAnsi="Calibri" w:cs="Times New Roman"/>
              </w:rPr>
              <w:t xml:space="preserve"> University</w:t>
            </w:r>
          </w:p>
        </w:tc>
        <w:tc>
          <w:tcPr>
            <w:tcW w:w="2693" w:type="dxa"/>
            <w:shd w:val="clear" w:color="auto" w:fill="F7DC9F" w:themeFill="background2" w:themeFillTint="66"/>
            <w:noWrap/>
            <w:hideMark/>
          </w:tcPr>
          <w:p w14:paraId="123CA6ED"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101</w:t>
            </w:r>
          </w:p>
        </w:tc>
        <w:tc>
          <w:tcPr>
            <w:tcW w:w="2835" w:type="dxa"/>
            <w:shd w:val="clear" w:color="auto" w:fill="F7DC9F" w:themeFill="background2" w:themeFillTint="66"/>
            <w:noWrap/>
            <w:hideMark/>
          </w:tcPr>
          <w:p w14:paraId="3BDC82E0"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2</w:t>
            </w:r>
          </w:p>
        </w:tc>
      </w:tr>
      <w:tr w:rsidR="002317D9" w:rsidRPr="007C27A6" w14:paraId="29242977" w14:textId="77777777" w:rsidTr="00D84651">
        <w:trPr>
          <w:trHeight w:val="600"/>
        </w:trPr>
        <w:tc>
          <w:tcPr>
            <w:tcW w:w="3544" w:type="dxa"/>
            <w:hideMark/>
          </w:tcPr>
          <w:p w14:paraId="2A5D103B" w14:textId="1C96277C" w:rsidR="002317D9" w:rsidRPr="007C27A6" w:rsidRDefault="002317D9" w:rsidP="00D84651">
            <w:pPr>
              <w:spacing w:before="0" w:after="0"/>
              <w:rPr>
                <w:rFonts w:ascii="Calibri" w:hAnsi="Calibri" w:cs="Times New Roman"/>
              </w:rPr>
            </w:pPr>
            <w:r w:rsidRPr="007C27A6">
              <w:rPr>
                <w:rFonts w:ascii="Calibri" w:hAnsi="Calibri" w:cs="Times New Roman"/>
              </w:rPr>
              <w:t>University of Notre Dame Australia</w:t>
            </w:r>
            <w:r w:rsidRPr="007C27A6">
              <w:rPr>
                <w:rFonts w:ascii="Calibri" w:hAnsi="Calibri" w:cs="Times New Roman"/>
              </w:rPr>
              <w:br/>
              <w:t>(Sydney campus)</w:t>
            </w:r>
            <w:r w:rsidR="00B12BD6">
              <w:rPr>
                <w:rFonts w:ascii="Calibri" w:hAnsi="Calibri" w:cs="Times New Roman"/>
              </w:rPr>
              <w:t>*</w:t>
            </w:r>
          </w:p>
        </w:tc>
        <w:tc>
          <w:tcPr>
            <w:tcW w:w="2693" w:type="dxa"/>
            <w:noWrap/>
            <w:hideMark/>
          </w:tcPr>
          <w:p w14:paraId="4F44682C"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60</w:t>
            </w:r>
          </w:p>
        </w:tc>
        <w:tc>
          <w:tcPr>
            <w:tcW w:w="2835" w:type="dxa"/>
            <w:noWrap/>
            <w:hideMark/>
          </w:tcPr>
          <w:p w14:paraId="0E5D376E"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1</w:t>
            </w:r>
          </w:p>
        </w:tc>
      </w:tr>
      <w:tr w:rsidR="002317D9" w:rsidRPr="007C27A6" w14:paraId="73C31456" w14:textId="77777777" w:rsidTr="00D84651">
        <w:trPr>
          <w:trHeight w:val="300"/>
        </w:trPr>
        <w:tc>
          <w:tcPr>
            <w:tcW w:w="3544" w:type="dxa"/>
            <w:noWrap/>
            <w:hideMark/>
          </w:tcPr>
          <w:p w14:paraId="6B577E0A" w14:textId="77777777" w:rsidR="002317D9" w:rsidRPr="007C27A6" w:rsidRDefault="002317D9" w:rsidP="00D84651">
            <w:pPr>
              <w:spacing w:before="0" w:after="0"/>
              <w:rPr>
                <w:rFonts w:ascii="Calibri" w:hAnsi="Calibri" w:cs="Times New Roman"/>
                <w:b/>
                <w:i/>
                <w:iCs/>
              </w:rPr>
            </w:pPr>
            <w:r w:rsidRPr="007C27A6">
              <w:rPr>
                <w:rFonts w:ascii="Calibri" w:hAnsi="Calibri" w:cs="Times New Roman"/>
                <w:b/>
                <w:i/>
                <w:iCs/>
              </w:rPr>
              <w:t>TOTAL</w:t>
            </w:r>
          </w:p>
        </w:tc>
        <w:tc>
          <w:tcPr>
            <w:tcW w:w="2693" w:type="dxa"/>
            <w:noWrap/>
            <w:hideMark/>
          </w:tcPr>
          <w:p w14:paraId="168B2E3C" w14:textId="77777777" w:rsidR="002317D9" w:rsidRPr="007C27A6" w:rsidRDefault="002317D9" w:rsidP="00D84651">
            <w:pPr>
              <w:spacing w:before="0" w:after="0"/>
              <w:jc w:val="right"/>
              <w:rPr>
                <w:rFonts w:ascii="Calibri" w:hAnsi="Calibri" w:cs="Times New Roman"/>
                <w:b/>
              </w:rPr>
            </w:pPr>
            <w:r w:rsidRPr="007C27A6">
              <w:rPr>
                <w:rFonts w:ascii="Calibri" w:hAnsi="Calibri" w:cs="Times New Roman"/>
                <w:b/>
              </w:rPr>
              <w:t>824</w:t>
            </w:r>
          </w:p>
        </w:tc>
        <w:tc>
          <w:tcPr>
            <w:tcW w:w="2835" w:type="dxa"/>
            <w:noWrap/>
            <w:hideMark/>
          </w:tcPr>
          <w:p w14:paraId="74797D26" w14:textId="77777777" w:rsidR="002317D9" w:rsidRPr="007C27A6" w:rsidRDefault="002317D9" w:rsidP="00D84651">
            <w:pPr>
              <w:spacing w:before="0" w:after="0"/>
              <w:jc w:val="right"/>
              <w:rPr>
                <w:rFonts w:ascii="Calibri" w:hAnsi="Calibri" w:cs="Times New Roman"/>
                <w:b/>
              </w:rPr>
            </w:pPr>
            <w:r w:rsidRPr="007C27A6">
              <w:rPr>
                <w:rFonts w:ascii="Calibri" w:hAnsi="Calibri" w:cs="Times New Roman"/>
                <w:b/>
              </w:rPr>
              <w:t>16</w:t>
            </w:r>
          </w:p>
        </w:tc>
      </w:tr>
      <w:tr w:rsidR="002317D9" w:rsidRPr="007C27A6" w14:paraId="1EFE2AFE" w14:textId="77777777" w:rsidTr="00D84651">
        <w:trPr>
          <w:trHeight w:val="300"/>
        </w:trPr>
        <w:tc>
          <w:tcPr>
            <w:tcW w:w="9072" w:type="dxa"/>
            <w:gridSpan w:val="3"/>
            <w:shd w:val="clear" w:color="auto" w:fill="D5DBEF" w:themeFill="text2" w:themeFillTint="33"/>
            <w:noWrap/>
            <w:hideMark/>
          </w:tcPr>
          <w:p w14:paraId="1DF01910" w14:textId="77777777" w:rsidR="002317D9" w:rsidRPr="007C27A6" w:rsidRDefault="002317D9" w:rsidP="00D84651">
            <w:pPr>
              <w:spacing w:before="0" w:after="0"/>
              <w:rPr>
                <w:rFonts w:ascii="Calibri" w:hAnsi="Calibri" w:cs="Times New Roman"/>
                <w:b/>
                <w:bCs/>
              </w:rPr>
            </w:pPr>
            <w:r w:rsidRPr="007C27A6">
              <w:rPr>
                <w:rFonts w:ascii="Calibri" w:hAnsi="Calibri" w:cs="Times New Roman"/>
                <w:b/>
                <w:bCs/>
              </w:rPr>
              <w:t>Victoria</w:t>
            </w:r>
          </w:p>
        </w:tc>
      </w:tr>
      <w:tr w:rsidR="002317D9" w:rsidRPr="007C27A6" w14:paraId="6D12DAE0" w14:textId="77777777" w:rsidTr="00D84651">
        <w:trPr>
          <w:trHeight w:val="300"/>
        </w:trPr>
        <w:tc>
          <w:tcPr>
            <w:tcW w:w="3544" w:type="dxa"/>
            <w:noWrap/>
            <w:hideMark/>
          </w:tcPr>
          <w:p w14:paraId="17C4243F" w14:textId="77777777" w:rsidR="002317D9" w:rsidRPr="007C27A6" w:rsidRDefault="002317D9" w:rsidP="00D84651">
            <w:pPr>
              <w:spacing w:before="0" w:after="0"/>
              <w:rPr>
                <w:rFonts w:ascii="Calibri" w:hAnsi="Calibri" w:cs="Times New Roman"/>
              </w:rPr>
            </w:pPr>
            <w:r w:rsidRPr="007C27A6">
              <w:rPr>
                <w:rFonts w:ascii="Calibri" w:hAnsi="Calibri" w:cs="Times New Roman"/>
              </w:rPr>
              <w:t>Deakin University</w:t>
            </w:r>
          </w:p>
        </w:tc>
        <w:tc>
          <w:tcPr>
            <w:tcW w:w="2693" w:type="dxa"/>
            <w:noWrap/>
            <w:hideMark/>
          </w:tcPr>
          <w:p w14:paraId="5AAF53C9"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130</w:t>
            </w:r>
          </w:p>
        </w:tc>
        <w:tc>
          <w:tcPr>
            <w:tcW w:w="2835" w:type="dxa"/>
            <w:noWrap/>
            <w:hideMark/>
          </w:tcPr>
          <w:p w14:paraId="132E2A20"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3</w:t>
            </w:r>
          </w:p>
        </w:tc>
      </w:tr>
      <w:tr w:rsidR="002317D9" w:rsidRPr="007C27A6" w14:paraId="1D43A5A5" w14:textId="77777777" w:rsidTr="002317D9">
        <w:trPr>
          <w:trHeight w:val="300"/>
        </w:trPr>
        <w:tc>
          <w:tcPr>
            <w:tcW w:w="3544" w:type="dxa"/>
            <w:shd w:val="clear" w:color="auto" w:fill="F7DC9F" w:themeFill="background2" w:themeFillTint="66"/>
            <w:noWrap/>
            <w:hideMark/>
          </w:tcPr>
          <w:p w14:paraId="0763A7A2" w14:textId="7B44AF10" w:rsidR="002317D9" w:rsidRPr="007C27A6" w:rsidRDefault="002317D9" w:rsidP="002317D9">
            <w:pPr>
              <w:spacing w:before="0" w:after="0"/>
              <w:rPr>
                <w:rFonts w:ascii="Calibri" w:hAnsi="Calibri" w:cs="Times New Roman"/>
              </w:rPr>
            </w:pPr>
            <w:r w:rsidRPr="007C27A6">
              <w:rPr>
                <w:rFonts w:ascii="Calibri" w:hAnsi="Calibri" w:cs="Times New Roman"/>
              </w:rPr>
              <w:t>Monash University</w:t>
            </w:r>
          </w:p>
        </w:tc>
        <w:tc>
          <w:tcPr>
            <w:tcW w:w="2693" w:type="dxa"/>
            <w:shd w:val="clear" w:color="auto" w:fill="F7DC9F" w:themeFill="background2" w:themeFillTint="66"/>
            <w:noWrap/>
            <w:hideMark/>
          </w:tcPr>
          <w:p w14:paraId="1522A6D4" w14:textId="1CD5D34D" w:rsidR="002317D9" w:rsidRPr="007C27A6" w:rsidRDefault="002317D9" w:rsidP="00D84651">
            <w:pPr>
              <w:spacing w:before="0" w:after="0"/>
              <w:jc w:val="right"/>
              <w:rPr>
                <w:rFonts w:ascii="Calibri" w:hAnsi="Calibri" w:cs="Times New Roman"/>
              </w:rPr>
            </w:pPr>
            <w:r>
              <w:rPr>
                <w:rFonts w:ascii="Calibri" w:hAnsi="Calibri" w:cs="Times New Roman"/>
              </w:rPr>
              <w:t>310</w:t>
            </w:r>
          </w:p>
        </w:tc>
        <w:tc>
          <w:tcPr>
            <w:tcW w:w="2835" w:type="dxa"/>
            <w:shd w:val="clear" w:color="auto" w:fill="F7DC9F" w:themeFill="background2" w:themeFillTint="66"/>
            <w:noWrap/>
            <w:hideMark/>
          </w:tcPr>
          <w:p w14:paraId="6D66D699" w14:textId="03A2D79A" w:rsidR="002317D9" w:rsidRPr="007C27A6" w:rsidRDefault="002317D9" w:rsidP="002317D9">
            <w:pPr>
              <w:spacing w:before="0" w:after="0"/>
              <w:jc w:val="right"/>
              <w:rPr>
                <w:rFonts w:ascii="Calibri" w:hAnsi="Calibri" w:cs="Times New Roman"/>
              </w:rPr>
            </w:pPr>
            <w:r>
              <w:rPr>
                <w:rFonts w:ascii="Calibri" w:hAnsi="Calibri" w:cs="Times New Roman"/>
              </w:rPr>
              <w:t>6</w:t>
            </w:r>
          </w:p>
        </w:tc>
      </w:tr>
      <w:tr w:rsidR="002317D9" w:rsidRPr="007C27A6" w14:paraId="7BBA7755" w14:textId="77777777" w:rsidTr="002317D9">
        <w:trPr>
          <w:trHeight w:val="300"/>
        </w:trPr>
        <w:tc>
          <w:tcPr>
            <w:tcW w:w="3544" w:type="dxa"/>
            <w:shd w:val="clear" w:color="auto" w:fill="F7DC9F" w:themeFill="background2" w:themeFillTint="66"/>
            <w:noWrap/>
            <w:hideMark/>
          </w:tcPr>
          <w:p w14:paraId="48A70321" w14:textId="77777777" w:rsidR="002317D9" w:rsidRPr="007C27A6" w:rsidRDefault="002317D9" w:rsidP="00D84651">
            <w:pPr>
              <w:spacing w:before="0" w:after="0"/>
              <w:rPr>
                <w:rFonts w:ascii="Calibri" w:hAnsi="Calibri" w:cs="Times New Roman"/>
              </w:rPr>
            </w:pPr>
            <w:r w:rsidRPr="007C27A6">
              <w:rPr>
                <w:rFonts w:ascii="Calibri" w:hAnsi="Calibri" w:cs="Times New Roman"/>
              </w:rPr>
              <w:t>University of Melbourne</w:t>
            </w:r>
          </w:p>
        </w:tc>
        <w:tc>
          <w:tcPr>
            <w:tcW w:w="2693" w:type="dxa"/>
            <w:shd w:val="clear" w:color="auto" w:fill="F7DC9F" w:themeFill="background2" w:themeFillTint="66"/>
            <w:noWrap/>
            <w:hideMark/>
          </w:tcPr>
          <w:p w14:paraId="4A2FD51D"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250</w:t>
            </w:r>
          </w:p>
        </w:tc>
        <w:tc>
          <w:tcPr>
            <w:tcW w:w="2835" w:type="dxa"/>
            <w:shd w:val="clear" w:color="auto" w:fill="F7DC9F" w:themeFill="background2" w:themeFillTint="66"/>
            <w:noWrap/>
            <w:hideMark/>
          </w:tcPr>
          <w:p w14:paraId="280FA85B"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5</w:t>
            </w:r>
          </w:p>
        </w:tc>
      </w:tr>
      <w:tr w:rsidR="002317D9" w:rsidRPr="007C27A6" w14:paraId="0D617C94" w14:textId="77777777" w:rsidTr="00D84651">
        <w:trPr>
          <w:trHeight w:val="300"/>
        </w:trPr>
        <w:tc>
          <w:tcPr>
            <w:tcW w:w="3544" w:type="dxa"/>
            <w:noWrap/>
            <w:hideMark/>
          </w:tcPr>
          <w:p w14:paraId="3B80F4A3" w14:textId="77777777" w:rsidR="002317D9" w:rsidRPr="007C27A6" w:rsidRDefault="002317D9" w:rsidP="00D84651">
            <w:pPr>
              <w:spacing w:before="0" w:after="0"/>
              <w:rPr>
                <w:rFonts w:ascii="Calibri" w:hAnsi="Calibri" w:cs="Times New Roman"/>
                <w:b/>
                <w:i/>
                <w:iCs/>
              </w:rPr>
            </w:pPr>
            <w:r w:rsidRPr="007C27A6">
              <w:rPr>
                <w:rFonts w:ascii="Calibri" w:hAnsi="Calibri" w:cs="Times New Roman"/>
                <w:b/>
                <w:i/>
                <w:iCs/>
              </w:rPr>
              <w:t>TOTAL</w:t>
            </w:r>
          </w:p>
        </w:tc>
        <w:tc>
          <w:tcPr>
            <w:tcW w:w="2693" w:type="dxa"/>
            <w:noWrap/>
            <w:hideMark/>
          </w:tcPr>
          <w:p w14:paraId="5D35D553" w14:textId="77777777" w:rsidR="002317D9" w:rsidRPr="007C27A6" w:rsidRDefault="002317D9" w:rsidP="00D84651">
            <w:pPr>
              <w:spacing w:before="0" w:after="0"/>
              <w:jc w:val="right"/>
              <w:rPr>
                <w:rFonts w:ascii="Calibri" w:hAnsi="Calibri" w:cs="Times New Roman"/>
                <w:b/>
              </w:rPr>
            </w:pPr>
            <w:r w:rsidRPr="007C27A6">
              <w:rPr>
                <w:rFonts w:ascii="Calibri" w:hAnsi="Calibri" w:cs="Times New Roman"/>
                <w:b/>
              </w:rPr>
              <w:t>690</w:t>
            </w:r>
          </w:p>
        </w:tc>
        <w:tc>
          <w:tcPr>
            <w:tcW w:w="2835" w:type="dxa"/>
            <w:noWrap/>
            <w:hideMark/>
          </w:tcPr>
          <w:p w14:paraId="7545AF42" w14:textId="77777777" w:rsidR="002317D9" w:rsidRPr="007C27A6" w:rsidRDefault="002317D9" w:rsidP="00D84651">
            <w:pPr>
              <w:spacing w:before="0" w:after="0"/>
              <w:jc w:val="right"/>
              <w:rPr>
                <w:rFonts w:ascii="Calibri" w:hAnsi="Calibri" w:cs="Times New Roman"/>
                <w:b/>
              </w:rPr>
            </w:pPr>
            <w:r w:rsidRPr="007C27A6">
              <w:rPr>
                <w:rFonts w:ascii="Calibri" w:hAnsi="Calibri" w:cs="Times New Roman"/>
                <w:b/>
              </w:rPr>
              <w:t>14</w:t>
            </w:r>
          </w:p>
        </w:tc>
      </w:tr>
      <w:tr w:rsidR="002317D9" w:rsidRPr="007C27A6" w14:paraId="217ABDFE" w14:textId="77777777" w:rsidTr="00D84651">
        <w:trPr>
          <w:trHeight w:val="300"/>
        </w:trPr>
        <w:tc>
          <w:tcPr>
            <w:tcW w:w="9072" w:type="dxa"/>
            <w:gridSpan w:val="3"/>
            <w:shd w:val="clear" w:color="auto" w:fill="D5DBEF" w:themeFill="text2" w:themeFillTint="33"/>
            <w:noWrap/>
            <w:hideMark/>
          </w:tcPr>
          <w:p w14:paraId="6FF4E825" w14:textId="77777777" w:rsidR="002317D9" w:rsidRPr="007C27A6" w:rsidRDefault="002317D9" w:rsidP="00D84651">
            <w:pPr>
              <w:spacing w:before="0" w:after="0"/>
              <w:rPr>
                <w:rFonts w:ascii="Calibri" w:hAnsi="Calibri" w:cs="Times New Roman"/>
                <w:b/>
                <w:bCs/>
              </w:rPr>
            </w:pPr>
            <w:r w:rsidRPr="007C27A6">
              <w:rPr>
                <w:rFonts w:ascii="Calibri" w:hAnsi="Calibri" w:cs="Times New Roman"/>
                <w:b/>
                <w:bCs/>
              </w:rPr>
              <w:t>Queensland</w:t>
            </w:r>
          </w:p>
        </w:tc>
      </w:tr>
      <w:tr w:rsidR="002317D9" w:rsidRPr="007C27A6" w14:paraId="2AEDB9FD" w14:textId="77777777" w:rsidTr="00D84651">
        <w:trPr>
          <w:trHeight w:val="300"/>
        </w:trPr>
        <w:tc>
          <w:tcPr>
            <w:tcW w:w="3544" w:type="dxa"/>
            <w:noWrap/>
            <w:hideMark/>
          </w:tcPr>
          <w:p w14:paraId="7CD77823" w14:textId="77777777" w:rsidR="002317D9" w:rsidRPr="007C27A6" w:rsidRDefault="002317D9" w:rsidP="00D84651">
            <w:pPr>
              <w:spacing w:before="0" w:after="0"/>
              <w:rPr>
                <w:rFonts w:ascii="Calibri" w:hAnsi="Calibri" w:cs="Times New Roman"/>
              </w:rPr>
            </w:pPr>
            <w:r w:rsidRPr="007C27A6">
              <w:rPr>
                <w:rFonts w:ascii="Calibri" w:hAnsi="Calibri" w:cs="Times New Roman"/>
              </w:rPr>
              <w:t>Griffith University</w:t>
            </w:r>
          </w:p>
        </w:tc>
        <w:tc>
          <w:tcPr>
            <w:tcW w:w="2693" w:type="dxa"/>
            <w:noWrap/>
            <w:hideMark/>
          </w:tcPr>
          <w:p w14:paraId="7128BFC3"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200</w:t>
            </w:r>
          </w:p>
        </w:tc>
        <w:tc>
          <w:tcPr>
            <w:tcW w:w="2835" w:type="dxa"/>
            <w:noWrap/>
            <w:hideMark/>
          </w:tcPr>
          <w:p w14:paraId="43518F28"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4</w:t>
            </w:r>
          </w:p>
        </w:tc>
      </w:tr>
      <w:tr w:rsidR="002317D9" w:rsidRPr="007C27A6" w14:paraId="5AEA4285" w14:textId="77777777" w:rsidTr="002317D9">
        <w:trPr>
          <w:trHeight w:val="300"/>
        </w:trPr>
        <w:tc>
          <w:tcPr>
            <w:tcW w:w="3544" w:type="dxa"/>
            <w:shd w:val="clear" w:color="auto" w:fill="F7DC9F" w:themeFill="background2" w:themeFillTint="66"/>
            <w:noWrap/>
            <w:hideMark/>
          </w:tcPr>
          <w:p w14:paraId="7D04EB2F" w14:textId="77777777" w:rsidR="002317D9" w:rsidRPr="007C27A6" w:rsidRDefault="002317D9" w:rsidP="00D84651">
            <w:pPr>
              <w:spacing w:before="0" w:after="0"/>
              <w:rPr>
                <w:rFonts w:ascii="Calibri" w:hAnsi="Calibri" w:cs="Times New Roman"/>
              </w:rPr>
            </w:pPr>
            <w:r w:rsidRPr="007C27A6">
              <w:rPr>
                <w:rFonts w:ascii="Calibri" w:hAnsi="Calibri" w:cs="Times New Roman"/>
              </w:rPr>
              <w:t>James Cook University</w:t>
            </w:r>
          </w:p>
        </w:tc>
        <w:tc>
          <w:tcPr>
            <w:tcW w:w="2693" w:type="dxa"/>
            <w:shd w:val="clear" w:color="auto" w:fill="F7DC9F" w:themeFill="background2" w:themeFillTint="66"/>
            <w:noWrap/>
            <w:hideMark/>
          </w:tcPr>
          <w:p w14:paraId="40BF66D5"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154</w:t>
            </w:r>
          </w:p>
        </w:tc>
        <w:tc>
          <w:tcPr>
            <w:tcW w:w="2835" w:type="dxa"/>
            <w:shd w:val="clear" w:color="auto" w:fill="F7DC9F" w:themeFill="background2" w:themeFillTint="66"/>
            <w:noWrap/>
            <w:hideMark/>
          </w:tcPr>
          <w:p w14:paraId="09D8BD7E"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3</w:t>
            </w:r>
          </w:p>
        </w:tc>
      </w:tr>
      <w:tr w:rsidR="002317D9" w:rsidRPr="007C27A6" w14:paraId="7A6CD4FA" w14:textId="77777777" w:rsidTr="00D84651">
        <w:trPr>
          <w:trHeight w:val="300"/>
        </w:trPr>
        <w:tc>
          <w:tcPr>
            <w:tcW w:w="3544" w:type="dxa"/>
            <w:noWrap/>
            <w:hideMark/>
          </w:tcPr>
          <w:p w14:paraId="6806C78C" w14:textId="77777777" w:rsidR="002317D9" w:rsidRPr="007C27A6" w:rsidRDefault="002317D9" w:rsidP="00D84651">
            <w:pPr>
              <w:spacing w:before="0" w:after="0"/>
              <w:rPr>
                <w:rFonts w:ascii="Calibri" w:hAnsi="Calibri" w:cs="Times New Roman"/>
              </w:rPr>
            </w:pPr>
            <w:r w:rsidRPr="007C27A6">
              <w:rPr>
                <w:rFonts w:ascii="Calibri" w:hAnsi="Calibri" w:cs="Times New Roman"/>
              </w:rPr>
              <w:t>University of Queensland</w:t>
            </w:r>
          </w:p>
        </w:tc>
        <w:tc>
          <w:tcPr>
            <w:tcW w:w="2693" w:type="dxa"/>
            <w:noWrap/>
            <w:hideMark/>
          </w:tcPr>
          <w:p w14:paraId="672240E4"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271</w:t>
            </w:r>
          </w:p>
        </w:tc>
        <w:tc>
          <w:tcPr>
            <w:tcW w:w="2835" w:type="dxa"/>
            <w:noWrap/>
            <w:hideMark/>
          </w:tcPr>
          <w:p w14:paraId="28204E69" w14:textId="77777777" w:rsidR="002317D9" w:rsidRPr="007C27A6" w:rsidRDefault="002317D9" w:rsidP="00D84651">
            <w:pPr>
              <w:spacing w:before="0" w:after="0"/>
              <w:jc w:val="right"/>
              <w:rPr>
                <w:rFonts w:ascii="Calibri" w:hAnsi="Calibri" w:cs="Times New Roman"/>
              </w:rPr>
            </w:pPr>
            <w:r>
              <w:rPr>
                <w:rFonts w:ascii="Calibri" w:hAnsi="Calibri" w:cs="Times New Roman"/>
              </w:rPr>
              <w:t>6</w:t>
            </w:r>
          </w:p>
        </w:tc>
      </w:tr>
      <w:tr w:rsidR="002317D9" w:rsidRPr="007C27A6" w14:paraId="7F177F0A" w14:textId="77777777" w:rsidTr="00D84651">
        <w:trPr>
          <w:trHeight w:val="300"/>
        </w:trPr>
        <w:tc>
          <w:tcPr>
            <w:tcW w:w="3544" w:type="dxa"/>
            <w:hideMark/>
          </w:tcPr>
          <w:p w14:paraId="3C337BEC" w14:textId="77777777" w:rsidR="002317D9" w:rsidRPr="007C27A6" w:rsidRDefault="002317D9" w:rsidP="00D84651">
            <w:pPr>
              <w:spacing w:before="0" w:after="0"/>
              <w:rPr>
                <w:rFonts w:ascii="Calibri" w:hAnsi="Calibri" w:cs="Times New Roman"/>
                <w:b/>
                <w:i/>
                <w:iCs/>
              </w:rPr>
            </w:pPr>
            <w:r w:rsidRPr="007C27A6">
              <w:rPr>
                <w:rFonts w:ascii="Calibri" w:hAnsi="Calibri" w:cs="Times New Roman"/>
                <w:b/>
                <w:i/>
                <w:iCs/>
              </w:rPr>
              <w:t>TOTAL</w:t>
            </w:r>
          </w:p>
        </w:tc>
        <w:tc>
          <w:tcPr>
            <w:tcW w:w="2693" w:type="dxa"/>
            <w:hideMark/>
          </w:tcPr>
          <w:p w14:paraId="1E25E560" w14:textId="77777777" w:rsidR="002317D9" w:rsidRPr="007C27A6" w:rsidRDefault="002317D9" w:rsidP="00D84651">
            <w:pPr>
              <w:spacing w:before="0" w:after="0"/>
              <w:jc w:val="right"/>
              <w:rPr>
                <w:rFonts w:ascii="Calibri" w:hAnsi="Calibri" w:cs="Times New Roman"/>
                <w:b/>
              </w:rPr>
            </w:pPr>
            <w:r w:rsidRPr="007C27A6">
              <w:rPr>
                <w:rFonts w:ascii="Calibri" w:hAnsi="Calibri" w:cs="Times New Roman"/>
                <w:b/>
              </w:rPr>
              <w:t>625</w:t>
            </w:r>
          </w:p>
        </w:tc>
        <w:tc>
          <w:tcPr>
            <w:tcW w:w="2835" w:type="dxa"/>
            <w:hideMark/>
          </w:tcPr>
          <w:p w14:paraId="2EDD6925" w14:textId="77777777" w:rsidR="002317D9" w:rsidRPr="007C27A6" w:rsidRDefault="002317D9" w:rsidP="00D84651">
            <w:pPr>
              <w:spacing w:before="0" w:after="0"/>
              <w:jc w:val="right"/>
              <w:rPr>
                <w:rFonts w:ascii="Calibri" w:hAnsi="Calibri" w:cs="Times New Roman"/>
                <w:b/>
              </w:rPr>
            </w:pPr>
            <w:r w:rsidRPr="007C27A6">
              <w:rPr>
                <w:rFonts w:ascii="Calibri" w:hAnsi="Calibri" w:cs="Times New Roman"/>
                <w:b/>
              </w:rPr>
              <w:t>1</w:t>
            </w:r>
            <w:r>
              <w:rPr>
                <w:rFonts w:ascii="Calibri" w:hAnsi="Calibri" w:cs="Times New Roman"/>
                <w:b/>
              </w:rPr>
              <w:t>3</w:t>
            </w:r>
          </w:p>
        </w:tc>
      </w:tr>
      <w:tr w:rsidR="002317D9" w:rsidRPr="007C27A6" w14:paraId="76DD3BCD" w14:textId="77777777" w:rsidTr="00D84651">
        <w:trPr>
          <w:trHeight w:val="300"/>
        </w:trPr>
        <w:tc>
          <w:tcPr>
            <w:tcW w:w="9072" w:type="dxa"/>
            <w:gridSpan w:val="3"/>
            <w:shd w:val="clear" w:color="auto" w:fill="D5DBEF" w:themeFill="text2" w:themeFillTint="33"/>
            <w:noWrap/>
            <w:hideMark/>
          </w:tcPr>
          <w:p w14:paraId="4371913A" w14:textId="77777777" w:rsidR="002317D9" w:rsidRPr="007C27A6" w:rsidRDefault="002317D9" w:rsidP="00D84651">
            <w:pPr>
              <w:spacing w:before="0" w:after="0"/>
              <w:rPr>
                <w:rFonts w:ascii="Calibri" w:hAnsi="Calibri" w:cs="Times New Roman"/>
              </w:rPr>
            </w:pPr>
            <w:r>
              <w:rPr>
                <w:rFonts w:ascii="Calibri" w:hAnsi="Calibri" w:cs="Times New Roman"/>
                <w:b/>
                <w:bCs/>
              </w:rPr>
              <w:t>Western</w:t>
            </w:r>
            <w:r w:rsidRPr="007C27A6">
              <w:rPr>
                <w:rFonts w:ascii="Calibri" w:hAnsi="Calibri" w:cs="Times New Roman"/>
                <w:b/>
                <w:bCs/>
              </w:rPr>
              <w:t xml:space="preserve"> Australia</w:t>
            </w:r>
            <w:r w:rsidRPr="007C27A6">
              <w:rPr>
                <w:rFonts w:ascii="Calibri" w:hAnsi="Calibri" w:cs="Times New Roman"/>
              </w:rPr>
              <w:t> </w:t>
            </w:r>
          </w:p>
        </w:tc>
      </w:tr>
      <w:tr w:rsidR="002317D9" w:rsidRPr="007C27A6" w14:paraId="2B4645E4" w14:textId="77777777" w:rsidTr="00D84651">
        <w:trPr>
          <w:trHeight w:val="600"/>
        </w:trPr>
        <w:tc>
          <w:tcPr>
            <w:tcW w:w="3544" w:type="dxa"/>
            <w:hideMark/>
          </w:tcPr>
          <w:p w14:paraId="204C3098" w14:textId="79368BB6" w:rsidR="002317D9" w:rsidRPr="007C27A6" w:rsidRDefault="002317D9" w:rsidP="00D84651">
            <w:pPr>
              <w:spacing w:before="0" w:after="0"/>
              <w:rPr>
                <w:rFonts w:ascii="Calibri" w:hAnsi="Calibri" w:cs="Times New Roman"/>
              </w:rPr>
            </w:pPr>
            <w:r w:rsidRPr="007C27A6">
              <w:rPr>
                <w:rFonts w:ascii="Calibri" w:hAnsi="Calibri" w:cs="Times New Roman"/>
              </w:rPr>
              <w:t>University of Notre Dame Australia</w:t>
            </w:r>
            <w:r w:rsidRPr="007C27A6">
              <w:rPr>
                <w:rFonts w:ascii="Calibri" w:hAnsi="Calibri" w:cs="Times New Roman"/>
              </w:rPr>
              <w:br/>
              <w:t>(Fremantle campus)</w:t>
            </w:r>
            <w:r w:rsidR="00B12BD6">
              <w:rPr>
                <w:rFonts w:ascii="Calibri" w:hAnsi="Calibri" w:cs="Times New Roman"/>
              </w:rPr>
              <w:t>*</w:t>
            </w:r>
          </w:p>
        </w:tc>
        <w:tc>
          <w:tcPr>
            <w:tcW w:w="2693" w:type="dxa"/>
            <w:noWrap/>
            <w:hideMark/>
          </w:tcPr>
          <w:p w14:paraId="25F0FA48"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100</w:t>
            </w:r>
          </w:p>
        </w:tc>
        <w:tc>
          <w:tcPr>
            <w:tcW w:w="2835" w:type="dxa"/>
            <w:noWrap/>
            <w:hideMark/>
          </w:tcPr>
          <w:p w14:paraId="28BE6570"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2</w:t>
            </w:r>
          </w:p>
        </w:tc>
      </w:tr>
      <w:tr w:rsidR="002317D9" w:rsidRPr="007C27A6" w14:paraId="6660B3C1" w14:textId="77777777" w:rsidTr="00D84651">
        <w:trPr>
          <w:trHeight w:val="300"/>
        </w:trPr>
        <w:tc>
          <w:tcPr>
            <w:tcW w:w="3544" w:type="dxa"/>
            <w:noWrap/>
            <w:hideMark/>
          </w:tcPr>
          <w:p w14:paraId="41F40B41" w14:textId="77777777" w:rsidR="002317D9" w:rsidRPr="007C27A6" w:rsidRDefault="002317D9" w:rsidP="00D84651">
            <w:pPr>
              <w:spacing w:before="0" w:after="0"/>
              <w:rPr>
                <w:rFonts w:ascii="Calibri" w:hAnsi="Calibri" w:cs="Times New Roman"/>
              </w:rPr>
            </w:pPr>
            <w:r w:rsidRPr="007C27A6">
              <w:rPr>
                <w:rFonts w:ascii="Calibri" w:hAnsi="Calibri" w:cs="Times New Roman"/>
              </w:rPr>
              <w:t>University of Western Australia</w:t>
            </w:r>
          </w:p>
        </w:tc>
        <w:tc>
          <w:tcPr>
            <w:tcW w:w="2693" w:type="dxa"/>
            <w:noWrap/>
            <w:hideMark/>
          </w:tcPr>
          <w:p w14:paraId="4A6084C5"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205</w:t>
            </w:r>
          </w:p>
        </w:tc>
        <w:tc>
          <w:tcPr>
            <w:tcW w:w="2835" w:type="dxa"/>
            <w:noWrap/>
            <w:hideMark/>
          </w:tcPr>
          <w:p w14:paraId="73D25055"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4</w:t>
            </w:r>
          </w:p>
        </w:tc>
      </w:tr>
      <w:tr w:rsidR="002317D9" w:rsidRPr="007C27A6" w14:paraId="0FEF2555" w14:textId="77777777" w:rsidTr="00D84651">
        <w:trPr>
          <w:trHeight w:val="300"/>
        </w:trPr>
        <w:tc>
          <w:tcPr>
            <w:tcW w:w="3544" w:type="dxa"/>
            <w:noWrap/>
            <w:hideMark/>
          </w:tcPr>
          <w:p w14:paraId="26DCDC17" w14:textId="77777777" w:rsidR="002317D9" w:rsidRPr="007C27A6" w:rsidRDefault="002317D9" w:rsidP="00D84651">
            <w:pPr>
              <w:spacing w:before="0" w:after="0"/>
              <w:rPr>
                <w:rFonts w:ascii="Calibri" w:hAnsi="Calibri" w:cs="Times New Roman"/>
              </w:rPr>
            </w:pPr>
            <w:r w:rsidRPr="007C27A6">
              <w:rPr>
                <w:rFonts w:ascii="Calibri" w:hAnsi="Calibri" w:cs="Times New Roman"/>
              </w:rPr>
              <w:t>Curtin University</w:t>
            </w:r>
          </w:p>
        </w:tc>
        <w:tc>
          <w:tcPr>
            <w:tcW w:w="2693" w:type="dxa"/>
            <w:noWrap/>
            <w:hideMark/>
          </w:tcPr>
          <w:p w14:paraId="01F42431"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100</w:t>
            </w:r>
          </w:p>
        </w:tc>
        <w:tc>
          <w:tcPr>
            <w:tcW w:w="2835" w:type="dxa"/>
            <w:noWrap/>
            <w:hideMark/>
          </w:tcPr>
          <w:p w14:paraId="0E1D2A5F"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2</w:t>
            </w:r>
          </w:p>
        </w:tc>
      </w:tr>
      <w:tr w:rsidR="002317D9" w:rsidRPr="007C27A6" w14:paraId="6A2EEA23" w14:textId="77777777" w:rsidTr="00D84651">
        <w:trPr>
          <w:trHeight w:val="300"/>
        </w:trPr>
        <w:tc>
          <w:tcPr>
            <w:tcW w:w="3544" w:type="dxa"/>
            <w:noWrap/>
            <w:hideMark/>
          </w:tcPr>
          <w:p w14:paraId="6477D570" w14:textId="77777777" w:rsidR="002317D9" w:rsidRPr="007C27A6" w:rsidRDefault="002317D9" w:rsidP="00D84651">
            <w:pPr>
              <w:spacing w:before="0" w:after="0"/>
              <w:rPr>
                <w:rFonts w:ascii="Calibri" w:hAnsi="Calibri" w:cs="Times New Roman"/>
                <w:b/>
                <w:i/>
                <w:iCs/>
              </w:rPr>
            </w:pPr>
            <w:r w:rsidRPr="007C27A6">
              <w:rPr>
                <w:rFonts w:ascii="Calibri" w:hAnsi="Calibri" w:cs="Times New Roman"/>
                <w:b/>
                <w:i/>
                <w:iCs/>
              </w:rPr>
              <w:t>TOTAL</w:t>
            </w:r>
          </w:p>
        </w:tc>
        <w:tc>
          <w:tcPr>
            <w:tcW w:w="2693" w:type="dxa"/>
            <w:noWrap/>
            <w:hideMark/>
          </w:tcPr>
          <w:p w14:paraId="6444264B" w14:textId="77777777" w:rsidR="002317D9" w:rsidRPr="007C27A6" w:rsidRDefault="002317D9" w:rsidP="00D84651">
            <w:pPr>
              <w:spacing w:before="0" w:after="0"/>
              <w:jc w:val="right"/>
              <w:rPr>
                <w:rFonts w:ascii="Calibri" w:hAnsi="Calibri" w:cs="Times New Roman"/>
                <w:b/>
              </w:rPr>
            </w:pPr>
            <w:r>
              <w:rPr>
                <w:rFonts w:ascii="Calibri" w:hAnsi="Calibri" w:cs="Times New Roman"/>
                <w:b/>
              </w:rPr>
              <w:t>40</w:t>
            </w:r>
            <w:r w:rsidRPr="007C27A6">
              <w:rPr>
                <w:rFonts w:ascii="Calibri" w:hAnsi="Calibri" w:cs="Times New Roman"/>
                <w:b/>
              </w:rPr>
              <w:t>5</w:t>
            </w:r>
          </w:p>
        </w:tc>
        <w:tc>
          <w:tcPr>
            <w:tcW w:w="2835" w:type="dxa"/>
            <w:noWrap/>
            <w:hideMark/>
          </w:tcPr>
          <w:p w14:paraId="257DE7B6" w14:textId="77777777" w:rsidR="002317D9" w:rsidRPr="007C27A6" w:rsidRDefault="002317D9" w:rsidP="00D84651">
            <w:pPr>
              <w:spacing w:before="0" w:after="0"/>
              <w:jc w:val="right"/>
              <w:rPr>
                <w:rFonts w:ascii="Calibri" w:hAnsi="Calibri" w:cs="Times New Roman"/>
                <w:b/>
              </w:rPr>
            </w:pPr>
            <w:r>
              <w:rPr>
                <w:rFonts w:ascii="Calibri" w:hAnsi="Calibri" w:cs="Times New Roman"/>
                <w:b/>
              </w:rPr>
              <w:t>8</w:t>
            </w:r>
          </w:p>
        </w:tc>
      </w:tr>
      <w:tr w:rsidR="002317D9" w:rsidRPr="007C27A6" w14:paraId="392CDC21" w14:textId="77777777" w:rsidTr="00D84651">
        <w:trPr>
          <w:trHeight w:val="300"/>
        </w:trPr>
        <w:tc>
          <w:tcPr>
            <w:tcW w:w="9072" w:type="dxa"/>
            <w:gridSpan w:val="3"/>
            <w:shd w:val="clear" w:color="auto" w:fill="D5DBEF" w:themeFill="text2" w:themeFillTint="33"/>
            <w:noWrap/>
            <w:hideMark/>
          </w:tcPr>
          <w:p w14:paraId="24D92353" w14:textId="77777777" w:rsidR="002317D9" w:rsidRPr="007C27A6" w:rsidRDefault="002317D9" w:rsidP="00D84651">
            <w:pPr>
              <w:spacing w:before="0" w:after="0"/>
              <w:rPr>
                <w:rFonts w:ascii="Calibri" w:hAnsi="Calibri" w:cs="Times New Roman"/>
                <w:b/>
                <w:bCs/>
              </w:rPr>
            </w:pPr>
            <w:r>
              <w:rPr>
                <w:rFonts w:ascii="Calibri" w:hAnsi="Calibri" w:cs="Times New Roman"/>
                <w:b/>
                <w:bCs/>
              </w:rPr>
              <w:t>South</w:t>
            </w:r>
            <w:r w:rsidRPr="007C27A6">
              <w:rPr>
                <w:rFonts w:ascii="Calibri" w:hAnsi="Calibri" w:cs="Times New Roman"/>
                <w:b/>
                <w:bCs/>
              </w:rPr>
              <w:t xml:space="preserve"> Australia</w:t>
            </w:r>
          </w:p>
        </w:tc>
      </w:tr>
      <w:tr w:rsidR="002317D9" w:rsidRPr="007C27A6" w14:paraId="1B1A6686" w14:textId="77777777" w:rsidTr="00D84651">
        <w:trPr>
          <w:trHeight w:val="300"/>
        </w:trPr>
        <w:tc>
          <w:tcPr>
            <w:tcW w:w="3544" w:type="dxa"/>
            <w:noWrap/>
            <w:hideMark/>
          </w:tcPr>
          <w:p w14:paraId="0905A194" w14:textId="77777777" w:rsidR="002317D9" w:rsidRPr="007C27A6" w:rsidRDefault="002317D9" w:rsidP="00D84651">
            <w:pPr>
              <w:spacing w:before="0" w:after="0"/>
              <w:rPr>
                <w:rFonts w:ascii="Calibri" w:hAnsi="Calibri" w:cs="Times New Roman"/>
              </w:rPr>
            </w:pPr>
            <w:r w:rsidRPr="007C27A6">
              <w:rPr>
                <w:rFonts w:ascii="Calibri" w:hAnsi="Calibri" w:cs="Times New Roman"/>
              </w:rPr>
              <w:t>Flinders University</w:t>
            </w:r>
          </w:p>
        </w:tc>
        <w:tc>
          <w:tcPr>
            <w:tcW w:w="2693" w:type="dxa"/>
            <w:noWrap/>
            <w:hideMark/>
          </w:tcPr>
          <w:p w14:paraId="38145819"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111</w:t>
            </w:r>
          </w:p>
        </w:tc>
        <w:tc>
          <w:tcPr>
            <w:tcW w:w="2835" w:type="dxa"/>
            <w:noWrap/>
            <w:hideMark/>
          </w:tcPr>
          <w:p w14:paraId="7F848CCC"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2</w:t>
            </w:r>
          </w:p>
        </w:tc>
      </w:tr>
      <w:tr w:rsidR="002317D9" w:rsidRPr="007C27A6" w14:paraId="273F5FD7" w14:textId="77777777" w:rsidTr="00D84651">
        <w:trPr>
          <w:trHeight w:val="300"/>
        </w:trPr>
        <w:tc>
          <w:tcPr>
            <w:tcW w:w="3544" w:type="dxa"/>
            <w:noWrap/>
            <w:hideMark/>
          </w:tcPr>
          <w:p w14:paraId="5EDBD242" w14:textId="77777777" w:rsidR="002317D9" w:rsidRPr="007C27A6" w:rsidRDefault="002317D9" w:rsidP="00D84651">
            <w:pPr>
              <w:spacing w:before="0" w:after="0"/>
              <w:rPr>
                <w:rFonts w:ascii="Calibri" w:hAnsi="Calibri" w:cs="Times New Roman"/>
              </w:rPr>
            </w:pPr>
            <w:r w:rsidRPr="007C27A6">
              <w:rPr>
                <w:rFonts w:ascii="Calibri" w:hAnsi="Calibri" w:cs="Times New Roman"/>
              </w:rPr>
              <w:t>University of Adelaide</w:t>
            </w:r>
          </w:p>
        </w:tc>
        <w:tc>
          <w:tcPr>
            <w:tcW w:w="2693" w:type="dxa"/>
            <w:noWrap/>
            <w:hideMark/>
          </w:tcPr>
          <w:p w14:paraId="321E14EE"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134</w:t>
            </w:r>
          </w:p>
        </w:tc>
        <w:tc>
          <w:tcPr>
            <w:tcW w:w="2835" w:type="dxa"/>
            <w:noWrap/>
            <w:hideMark/>
          </w:tcPr>
          <w:p w14:paraId="4715B7F7"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3</w:t>
            </w:r>
          </w:p>
        </w:tc>
      </w:tr>
      <w:tr w:rsidR="002317D9" w:rsidRPr="007C27A6" w14:paraId="35DFF6B0" w14:textId="77777777" w:rsidTr="00D84651">
        <w:trPr>
          <w:trHeight w:val="300"/>
        </w:trPr>
        <w:tc>
          <w:tcPr>
            <w:tcW w:w="3544" w:type="dxa"/>
            <w:noWrap/>
            <w:hideMark/>
          </w:tcPr>
          <w:p w14:paraId="454C7E2B" w14:textId="77777777" w:rsidR="002317D9" w:rsidRPr="007C27A6" w:rsidRDefault="002317D9" w:rsidP="00D84651">
            <w:pPr>
              <w:spacing w:before="0" w:after="0"/>
              <w:rPr>
                <w:rFonts w:ascii="Calibri" w:hAnsi="Calibri" w:cs="Times New Roman"/>
                <w:b/>
                <w:i/>
                <w:iCs/>
              </w:rPr>
            </w:pPr>
            <w:r w:rsidRPr="007C27A6">
              <w:rPr>
                <w:rFonts w:ascii="Calibri" w:hAnsi="Calibri" w:cs="Times New Roman"/>
                <w:b/>
                <w:i/>
                <w:iCs/>
              </w:rPr>
              <w:t>TOTAL</w:t>
            </w:r>
          </w:p>
        </w:tc>
        <w:tc>
          <w:tcPr>
            <w:tcW w:w="2693" w:type="dxa"/>
            <w:noWrap/>
            <w:hideMark/>
          </w:tcPr>
          <w:p w14:paraId="229100E7" w14:textId="77777777" w:rsidR="002317D9" w:rsidRPr="007C27A6" w:rsidRDefault="002317D9" w:rsidP="00D84651">
            <w:pPr>
              <w:spacing w:before="0" w:after="0"/>
              <w:jc w:val="right"/>
              <w:rPr>
                <w:rFonts w:ascii="Calibri" w:hAnsi="Calibri" w:cs="Times New Roman"/>
                <w:b/>
              </w:rPr>
            </w:pPr>
            <w:r>
              <w:rPr>
                <w:rFonts w:ascii="Calibri" w:hAnsi="Calibri" w:cs="Times New Roman"/>
                <w:b/>
              </w:rPr>
              <w:t>2</w:t>
            </w:r>
            <w:r w:rsidRPr="007C27A6">
              <w:rPr>
                <w:rFonts w:ascii="Calibri" w:hAnsi="Calibri" w:cs="Times New Roman"/>
                <w:b/>
              </w:rPr>
              <w:t>45</w:t>
            </w:r>
          </w:p>
        </w:tc>
        <w:tc>
          <w:tcPr>
            <w:tcW w:w="2835" w:type="dxa"/>
            <w:noWrap/>
            <w:hideMark/>
          </w:tcPr>
          <w:p w14:paraId="2FDC6A1F" w14:textId="77777777" w:rsidR="002317D9" w:rsidRPr="007C27A6" w:rsidRDefault="002317D9" w:rsidP="00D84651">
            <w:pPr>
              <w:spacing w:before="0" w:after="0"/>
              <w:jc w:val="right"/>
              <w:rPr>
                <w:rFonts w:ascii="Calibri" w:hAnsi="Calibri" w:cs="Times New Roman"/>
                <w:b/>
              </w:rPr>
            </w:pPr>
            <w:r>
              <w:rPr>
                <w:rFonts w:ascii="Calibri" w:hAnsi="Calibri" w:cs="Times New Roman"/>
                <w:b/>
              </w:rPr>
              <w:t>5</w:t>
            </w:r>
          </w:p>
        </w:tc>
      </w:tr>
      <w:tr w:rsidR="002317D9" w:rsidRPr="007C27A6" w14:paraId="77B01D7C" w14:textId="77777777" w:rsidTr="00D84651">
        <w:trPr>
          <w:trHeight w:val="300"/>
        </w:trPr>
        <w:tc>
          <w:tcPr>
            <w:tcW w:w="9072" w:type="dxa"/>
            <w:gridSpan w:val="3"/>
            <w:shd w:val="clear" w:color="auto" w:fill="D5DBEF" w:themeFill="text2" w:themeFillTint="33"/>
            <w:noWrap/>
            <w:hideMark/>
          </w:tcPr>
          <w:p w14:paraId="6C078617" w14:textId="77777777" w:rsidR="002317D9" w:rsidRPr="007C27A6" w:rsidRDefault="002317D9" w:rsidP="00D84651">
            <w:pPr>
              <w:spacing w:before="0" w:after="0"/>
              <w:rPr>
                <w:rFonts w:ascii="Calibri" w:hAnsi="Calibri" w:cs="Times New Roman"/>
                <w:b/>
                <w:bCs/>
              </w:rPr>
            </w:pPr>
            <w:r w:rsidRPr="007C27A6">
              <w:rPr>
                <w:rFonts w:ascii="Calibri" w:hAnsi="Calibri" w:cs="Times New Roman"/>
                <w:b/>
                <w:bCs/>
              </w:rPr>
              <w:t>Tasmania</w:t>
            </w:r>
          </w:p>
        </w:tc>
      </w:tr>
      <w:tr w:rsidR="002317D9" w:rsidRPr="007C27A6" w14:paraId="5AB4F89C" w14:textId="77777777" w:rsidTr="002317D9">
        <w:trPr>
          <w:trHeight w:val="300"/>
        </w:trPr>
        <w:tc>
          <w:tcPr>
            <w:tcW w:w="3544" w:type="dxa"/>
            <w:shd w:val="clear" w:color="auto" w:fill="F7DC9F" w:themeFill="background2" w:themeFillTint="66"/>
            <w:noWrap/>
            <w:hideMark/>
          </w:tcPr>
          <w:p w14:paraId="3A680513" w14:textId="77777777" w:rsidR="002317D9" w:rsidRPr="007C27A6" w:rsidRDefault="002317D9" w:rsidP="00D84651">
            <w:pPr>
              <w:spacing w:before="0" w:after="0"/>
              <w:rPr>
                <w:rFonts w:ascii="Calibri" w:hAnsi="Calibri" w:cs="Times New Roman"/>
              </w:rPr>
            </w:pPr>
            <w:r w:rsidRPr="007C27A6">
              <w:rPr>
                <w:rFonts w:ascii="Calibri" w:hAnsi="Calibri" w:cs="Times New Roman"/>
              </w:rPr>
              <w:t>University of Tasmania</w:t>
            </w:r>
          </w:p>
        </w:tc>
        <w:tc>
          <w:tcPr>
            <w:tcW w:w="2693" w:type="dxa"/>
            <w:shd w:val="clear" w:color="auto" w:fill="F7DC9F" w:themeFill="background2" w:themeFillTint="66"/>
            <w:noWrap/>
            <w:hideMark/>
          </w:tcPr>
          <w:p w14:paraId="43977A73"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93</w:t>
            </w:r>
          </w:p>
        </w:tc>
        <w:tc>
          <w:tcPr>
            <w:tcW w:w="2835" w:type="dxa"/>
            <w:shd w:val="clear" w:color="auto" w:fill="F7DC9F" w:themeFill="background2" w:themeFillTint="66"/>
            <w:noWrap/>
            <w:hideMark/>
          </w:tcPr>
          <w:p w14:paraId="254171BC"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2</w:t>
            </w:r>
          </w:p>
        </w:tc>
      </w:tr>
      <w:tr w:rsidR="002317D9" w:rsidRPr="007C27A6" w14:paraId="35DFFD0F" w14:textId="77777777" w:rsidTr="00D84651">
        <w:trPr>
          <w:trHeight w:val="300"/>
        </w:trPr>
        <w:tc>
          <w:tcPr>
            <w:tcW w:w="9072" w:type="dxa"/>
            <w:gridSpan w:val="3"/>
            <w:shd w:val="clear" w:color="auto" w:fill="D5DBEF" w:themeFill="text2" w:themeFillTint="33"/>
            <w:noWrap/>
            <w:hideMark/>
          </w:tcPr>
          <w:p w14:paraId="6BB2652A" w14:textId="77777777" w:rsidR="002317D9" w:rsidRPr="007C27A6" w:rsidRDefault="002317D9" w:rsidP="00D84651">
            <w:pPr>
              <w:spacing w:before="0" w:after="0"/>
              <w:rPr>
                <w:rFonts w:ascii="Calibri" w:hAnsi="Calibri" w:cs="Times New Roman"/>
                <w:b/>
                <w:bCs/>
              </w:rPr>
            </w:pPr>
            <w:r w:rsidRPr="007C27A6">
              <w:rPr>
                <w:rFonts w:ascii="Calibri" w:hAnsi="Calibri" w:cs="Times New Roman"/>
                <w:b/>
                <w:bCs/>
              </w:rPr>
              <w:t>Australian Capital Territory</w:t>
            </w:r>
          </w:p>
        </w:tc>
      </w:tr>
      <w:tr w:rsidR="002317D9" w:rsidRPr="007C27A6" w14:paraId="4CDDAFEE" w14:textId="77777777" w:rsidTr="00D84651">
        <w:trPr>
          <w:trHeight w:val="300"/>
        </w:trPr>
        <w:tc>
          <w:tcPr>
            <w:tcW w:w="3544" w:type="dxa"/>
            <w:noWrap/>
            <w:hideMark/>
          </w:tcPr>
          <w:p w14:paraId="6CFC0B94" w14:textId="77777777" w:rsidR="002317D9" w:rsidRPr="007C27A6" w:rsidRDefault="002317D9" w:rsidP="00D84651">
            <w:pPr>
              <w:spacing w:before="0" w:after="0"/>
              <w:rPr>
                <w:rFonts w:ascii="Calibri" w:hAnsi="Calibri" w:cs="Times New Roman"/>
              </w:rPr>
            </w:pPr>
            <w:r w:rsidRPr="007C27A6">
              <w:rPr>
                <w:rFonts w:ascii="Calibri" w:hAnsi="Calibri" w:cs="Times New Roman"/>
              </w:rPr>
              <w:t>Australian National University</w:t>
            </w:r>
          </w:p>
        </w:tc>
        <w:tc>
          <w:tcPr>
            <w:tcW w:w="2693" w:type="dxa"/>
            <w:noWrap/>
            <w:hideMark/>
          </w:tcPr>
          <w:p w14:paraId="1C551285"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90</w:t>
            </w:r>
          </w:p>
        </w:tc>
        <w:tc>
          <w:tcPr>
            <w:tcW w:w="2835" w:type="dxa"/>
            <w:noWrap/>
            <w:hideMark/>
          </w:tcPr>
          <w:p w14:paraId="06B44592" w14:textId="77777777" w:rsidR="002317D9" w:rsidRPr="007C27A6" w:rsidRDefault="002317D9" w:rsidP="00D84651">
            <w:pPr>
              <w:spacing w:before="0" w:after="0"/>
              <w:jc w:val="right"/>
              <w:rPr>
                <w:rFonts w:ascii="Calibri" w:hAnsi="Calibri" w:cs="Times New Roman"/>
              </w:rPr>
            </w:pPr>
            <w:r w:rsidRPr="007C27A6">
              <w:rPr>
                <w:rFonts w:ascii="Calibri" w:hAnsi="Calibri" w:cs="Times New Roman"/>
              </w:rPr>
              <w:t>2</w:t>
            </w:r>
          </w:p>
        </w:tc>
      </w:tr>
      <w:tr w:rsidR="002317D9" w:rsidRPr="007C27A6" w14:paraId="7AB57BC0" w14:textId="77777777" w:rsidTr="00D84651">
        <w:trPr>
          <w:trHeight w:val="300"/>
        </w:trPr>
        <w:tc>
          <w:tcPr>
            <w:tcW w:w="3544" w:type="dxa"/>
            <w:shd w:val="clear" w:color="auto" w:fill="D9D9D9"/>
            <w:noWrap/>
            <w:hideMark/>
          </w:tcPr>
          <w:p w14:paraId="6FB318A5" w14:textId="77777777" w:rsidR="002317D9" w:rsidRPr="007C27A6" w:rsidRDefault="002317D9" w:rsidP="00D84651">
            <w:pPr>
              <w:spacing w:before="0" w:after="0"/>
              <w:rPr>
                <w:rFonts w:ascii="Calibri" w:hAnsi="Calibri" w:cs="Times New Roman"/>
                <w:b/>
              </w:rPr>
            </w:pPr>
            <w:r w:rsidRPr="007C27A6">
              <w:rPr>
                <w:rFonts w:ascii="Calibri" w:hAnsi="Calibri" w:cs="Times New Roman"/>
                <w:b/>
              </w:rPr>
              <w:t>TOTAL</w:t>
            </w:r>
          </w:p>
        </w:tc>
        <w:tc>
          <w:tcPr>
            <w:tcW w:w="2693" w:type="dxa"/>
            <w:shd w:val="clear" w:color="auto" w:fill="D9D9D9"/>
            <w:noWrap/>
            <w:hideMark/>
          </w:tcPr>
          <w:p w14:paraId="44C57451" w14:textId="77777777" w:rsidR="002317D9" w:rsidRPr="007C27A6" w:rsidRDefault="002317D9" w:rsidP="00D84651">
            <w:pPr>
              <w:spacing w:before="0" w:after="0"/>
              <w:jc w:val="right"/>
              <w:rPr>
                <w:rFonts w:ascii="Calibri" w:hAnsi="Calibri" w:cs="Times New Roman"/>
                <w:b/>
              </w:rPr>
            </w:pPr>
            <w:r w:rsidRPr="007C27A6">
              <w:rPr>
                <w:rFonts w:ascii="Calibri" w:hAnsi="Calibri" w:cs="Times New Roman"/>
                <w:b/>
              </w:rPr>
              <w:t>2972</w:t>
            </w:r>
          </w:p>
        </w:tc>
        <w:tc>
          <w:tcPr>
            <w:tcW w:w="2835" w:type="dxa"/>
            <w:shd w:val="clear" w:color="auto" w:fill="D9D9D9"/>
            <w:noWrap/>
            <w:hideMark/>
          </w:tcPr>
          <w:p w14:paraId="660C235C" w14:textId="77777777" w:rsidR="002317D9" w:rsidRPr="007C27A6" w:rsidRDefault="002317D9" w:rsidP="00D84651">
            <w:pPr>
              <w:spacing w:before="0" w:after="0"/>
              <w:jc w:val="right"/>
              <w:rPr>
                <w:rFonts w:ascii="Calibri" w:hAnsi="Calibri" w:cs="Times New Roman"/>
                <w:b/>
              </w:rPr>
            </w:pPr>
            <w:r>
              <w:rPr>
                <w:rFonts w:ascii="Calibri" w:hAnsi="Calibri" w:cs="Times New Roman"/>
                <w:b/>
              </w:rPr>
              <w:t>60</w:t>
            </w:r>
          </w:p>
        </w:tc>
      </w:tr>
    </w:tbl>
    <w:p w14:paraId="465D4FB7" w14:textId="1B78B07B" w:rsidR="00B12BD6" w:rsidRPr="00142216" w:rsidRDefault="00CE3910" w:rsidP="00142216">
      <w:pPr>
        <w:rPr>
          <w:sz w:val="18"/>
          <w:szCs w:val="18"/>
        </w:rPr>
      </w:pPr>
      <w:r w:rsidRPr="00142216">
        <w:rPr>
          <w:sz w:val="18"/>
          <w:szCs w:val="18"/>
        </w:rPr>
        <w:t>Based on the department’s internal analysis of enrolment data on the current distribution of regional medical load for university medical courses</w:t>
      </w:r>
      <w:r w:rsidR="0044046C" w:rsidRPr="00142216">
        <w:rPr>
          <w:sz w:val="18"/>
          <w:szCs w:val="18"/>
        </w:rPr>
        <w:t xml:space="preserve"> and information provided by the Department of Health</w:t>
      </w:r>
      <w:r w:rsidR="00E77805" w:rsidRPr="00142216">
        <w:rPr>
          <w:sz w:val="18"/>
          <w:szCs w:val="18"/>
        </w:rPr>
        <w:t>,</w:t>
      </w:r>
      <w:r w:rsidRPr="00142216">
        <w:rPr>
          <w:sz w:val="18"/>
          <w:szCs w:val="18"/>
        </w:rPr>
        <w:t xml:space="preserve"> the </w:t>
      </w:r>
      <w:r w:rsidR="00B12BD6" w:rsidRPr="00142216">
        <w:rPr>
          <w:sz w:val="18"/>
          <w:szCs w:val="18"/>
        </w:rPr>
        <w:t>o</w:t>
      </w:r>
      <w:r w:rsidR="00B61A2C" w:rsidRPr="00142216">
        <w:rPr>
          <w:sz w:val="18"/>
          <w:szCs w:val="18"/>
        </w:rPr>
        <w:t xml:space="preserve">range shaded cells indicate universities that currently deliver fully regional medical programs, together with </w:t>
      </w:r>
      <w:r w:rsidRPr="00142216">
        <w:rPr>
          <w:sz w:val="18"/>
          <w:szCs w:val="18"/>
        </w:rPr>
        <w:t xml:space="preserve">those that have funding agreements in place </w:t>
      </w:r>
      <w:r w:rsidR="00B61A2C" w:rsidRPr="00142216">
        <w:rPr>
          <w:sz w:val="18"/>
          <w:szCs w:val="18"/>
        </w:rPr>
        <w:t xml:space="preserve">to deliver fully regional medical programs </w:t>
      </w:r>
      <w:r w:rsidRPr="00142216">
        <w:rPr>
          <w:sz w:val="18"/>
          <w:szCs w:val="18"/>
        </w:rPr>
        <w:t>as part of</w:t>
      </w:r>
      <w:r w:rsidR="00B61A2C" w:rsidRPr="00142216">
        <w:rPr>
          <w:sz w:val="18"/>
          <w:szCs w:val="18"/>
        </w:rPr>
        <w:t xml:space="preserve"> the MDMSN.</w:t>
      </w:r>
    </w:p>
    <w:p w14:paraId="2D99D8F2" w14:textId="42AEA88F" w:rsidR="00B12BD6" w:rsidRPr="00142216" w:rsidRDefault="00B12BD6" w:rsidP="00142216">
      <w:pPr>
        <w:rPr>
          <w:sz w:val="18"/>
          <w:szCs w:val="18"/>
        </w:rPr>
      </w:pPr>
      <w:r w:rsidRPr="00142216">
        <w:rPr>
          <w:sz w:val="18"/>
          <w:szCs w:val="18"/>
        </w:rPr>
        <w:t>*  As UNDA operates in both Western Australia and New South Wales, its estimated 160 total medical CSP commencements has been split accordingly between both campuses, based on initial allocations approved for each campus between 2005-2009.</w:t>
      </w:r>
    </w:p>
    <w:p w14:paraId="0CE107DC" w14:textId="5EDE513E" w:rsidR="00BC6BA5" w:rsidRPr="008E5283" w:rsidRDefault="00BC6BA5" w:rsidP="008E5283">
      <w:pPr>
        <w:pStyle w:val="ListParagraph"/>
        <w:numPr>
          <w:ilvl w:val="0"/>
          <w:numId w:val="45"/>
        </w:numPr>
        <w:spacing w:before="60" w:after="0" w:line="240" w:lineRule="auto"/>
        <w:rPr>
          <w:sz w:val="18"/>
          <w:szCs w:val="18"/>
        </w:rPr>
      </w:pPr>
      <w:r w:rsidRPr="008E5283">
        <w:rPr>
          <w:sz w:val="18"/>
          <w:szCs w:val="18"/>
        </w:rPr>
        <w:br w:type="page"/>
      </w:r>
    </w:p>
    <w:p w14:paraId="1EDEF598" w14:textId="48CE6761" w:rsidR="00134C42" w:rsidRPr="00142216" w:rsidRDefault="00134C42" w:rsidP="00142216">
      <w:r w:rsidRPr="00142216">
        <w:t xml:space="preserve">This approach </w:t>
      </w:r>
      <w:r w:rsidR="00135F4D" w:rsidRPr="00142216">
        <w:t>would also</w:t>
      </w:r>
      <w:r w:rsidRPr="00142216">
        <w:t xml:space="preserve"> establish the redistribution pool in the same way as</w:t>
      </w:r>
      <w:r w:rsidRPr="00142216">
        <w:rPr>
          <w:rFonts w:eastAsia="Times New Roman" w:cstheme="minorHAnsi"/>
          <w:lang w:val="en" w:eastAsia="en-AU"/>
        </w:rPr>
        <w:t xml:space="preserve"> Option 1</w:t>
      </w:r>
      <w:r w:rsidRPr="00142216">
        <w:t>.</w:t>
      </w:r>
    </w:p>
    <w:p w14:paraId="2AF391B4" w14:textId="69AE7B4A" w:rsidR="00D84651" w:rsidRPr="00142216" w:rsidRDefault="00135F4D" w:rsidP="00142216">
      <w:r w:rsidRPr="00142216">
        <w:t>It proposes</w:t>
      </w:r>
      <w:r w:rsidR="00D84651" w:rsidRPr="00142216">
        <w:t xml:space="preserve"> a simple </w:t>
      </w:r>
      <w:r w:rsidRPr="00142216">
        <w:t xml:space="preserve">redistribution </w:t>
      </w:r>
      <w:r w:rsidR="00D84651" w:rsidRPr="00142216">
        <w:t xml:space="preserve">approach </w:t>
      </w:r>
      <w:r w:rsidRPr="00142216">
        <w:t>where</w:t>
      </w:r>
      <w:r w:rsidR="00D84651" w:rsidRPr="00142216">
        <w:t xml:space="preserve"> all 28 available places from the </w:t>
      </w:r>
      <w:r w:rsidRPr="00142216">
        <w:t>pool would be reallocated to</w:t>
      </w:r>
      <w:r w:rsidR="00D84651" w:rsidRPr="00142216">
        <w:t xml:space="preserve"> universities with a commitment to deliver fully regional programs by 2021.</w:t>
      </w:r>
    </w:p>
    <w:p w14:paraId="4918CB67" w14:textId="3D347B2F" w:rsidR="00135F4D" w:rsidRPr="00142216" w:rsidRDefault="00134C42" w:rsidP="00142216">
      <w:r w:rsidRPr="00142216">
        <w:t>Fully regional medical programs are</w:t>
      </w:r>
      <w:r w:rsidR="00135F4D" w:rsidRPr="00142216">
        <w:t xml:space="preserve"> defined as end-to-end regional medical courses:</w:t>
      </w:r>
    </w:p>
    <w:p w14:paraId="681D920A" w14:textId="4FF35B04" w:rsidR="00135F4D" w:rsidRPr="00142216" w:rsidRDefault="00135F4D" w:rsidP="00142216">
      <w:pPr>
        <w:pStyle w:val="ListParagraph"/>
        <w:numPr>
          <w:ilvl w:val="0"/>
          <w:numId w:val="49"/>
        </w:numPr>
        <w:ind w:left="425" w:hanging="425"/>
        <w:contextualSpacing w:val="0"/>
      </w:pPr>
      <w:r w:rsidRPr="00142216">
        <w:t xml:space="preserve">delivered by a </w:t>
      </w:r>
      <w:r w:rsidR="00134C42" w:rsidRPr="00142216">
        <w:t>regionally headquartered universit</w:t>
      </w:r>
      <w:r w:rsidRPr="00142216">
        <w:t>y,</w:t>
      </w:r>
      <w:r w:rsidR="00134C42" w:rsidRPr="00142216">
        <w:t xml:space="preserve"> or </w:t>
      </w:r>
    </w:p>
    <w:p w14:paraId="2348C17B" w14:textId="49F1A5D8" w:rsidR="00135F4D" w:rsidRPr="00142216" w:rsidRDefault="00135F4D" w:rsidP="00142216">
      <w:pPr>
        <w:pStyle w:val="ListParagraph"/>
        <w:numPr>
          <w:ilvl w:val="0"/>
          <w:numId w:val="49"/>
        </w:numPr>
        <w:ind w:left="425" w:hanging="425"/>
        <w:contextualSpacing w:val="0"/>
      </w:pPr>
      <w:r w:rsidRPr="00142216">
        <w:t xml:space="preserve">delivered from a regional campus of a </w:t>
      </w:r>
      <w:r w:rsidR="00134C42" w:rsidRPr="00142216">
        <w:t>metropolitan universit</w:t>
      </w:r>
      <w:r w:rsidRPr="00142216">
        <w:t>y</w:t>
      </w:r>
      <w:r w:rsidR="00406B39" w:rsidRPr="00142216">
        <w:t xml:space="preserve"> to a cohort of its students</w:t>
      </w:r>
      <w:r w:rsidRPr="00142216">
        <w:t>, or</w:t>
      </w:r>
    </w:p>
    <w:p w14:paraId="2E9EEADA" w14:textId="3F5828EA" w:rsidR="00406B39" w:rsidRPr="00142216" w:rsidRDefault="00406B39" w:rsidP="00142216">
      <w:pPr>
        <w:pStyle w:val="ListParagraph"/>
        <w:numPr>
          <w:ilvl w:val="0"/>
          <w:numId w:val="49"/>
        </w:numPr>
        <w:ind w:left="426" w:hanging="426"/>
      </w:pPr>
      <w:r w:rsidRPr="00142216">
        <w:t xml:space="preserve">where a provider has a firm commitment in place with the Australian Government for </w:t>
      </w:r>
      <w:r w:rsidR="003B2C6C" w:rsidRPr="00142216">
        <w:t xml:space="preserve">full </w:t>
      </w:r>
      <w:r w:rsidR="0048178B" w:rsidRPr="00142216">
        <w:t xml:space="preserve">medical </w:t>
      </w:r>
      <w:r w:rsidRPr="00142216">
        <w:t>course delivery</w:t>
      </w:r>
      <w:r w:rsidR="00135F4D" w:rsidRPr="00142216">
        <w:t xml:space="preserve"> </w:t>
      </w:r>
      <w:r w:rsidRPr="00142216">
        <w:t>from a regional campus to a cohort of its students by the initial redistribution round for</w:t>
      </w:r>
      <w:r w:rsidR="00135F4D" w:rsidRPr="00142216">
        <w:t xml:space="preserve"> 2021</w:t>
      </w:r>
      <w:r w:rsidRPr="00142216">
        <w:t xml:space="preserve">. </w:t>
      </w:r>
    </w:p>
    <w:p w14:paraId="51C6C0F9" w14:textId="6AECB2F6" w:rsidR="00406B39" w:rsidRPr="00142216" w:rsidRDefault="00D84651" w:rsidP="00142216">
      <w:r w:rsidRPr="00142216">
        <w:t>Based on the department’s analysis of enrolment data on the current distribution of regional medical load for university medical courses</w:t>
      </w:r>
      <w:r w:rsidR="0044046C" w:rsidRPr="00142216">
        <w:t xml:space="preserve"> and information from the Department of Health</w:t>
      </w:r>
      <w:r w:rsidR="00134C42" w:rsidRPr="00142216">
        <w:t xml:space="preserve">, </w:t>
      </w:r>
      <w:r w:rsidR="00134C42" w:rsidRPr="00142216">
        <w:rPr>
          <w:u w:val="single"/>
        </w:rPr>
        <w:t>Table 5</w:t>
      </w:r>
      <w:r w:rsidR="00134C42" w:rsidRPr="00142216">
        <w:t xml:space="preserve"> </w:t>
      </w:r>
      <w:r w:rsidR="00776C56" w:rsidRPr="00142216">
        <w:t xml:space="preserve">above </w:t>
      </w:r>
      <w:r w:rsidR="00134C42" w:rsidRPr="00142216">
        <w:t xml:space="preserve">indicates nine universities </w:t>
      </w:r>
      <w:r w:rsidR="00406B39" w:rsidRPr="00142216">
        <w:t>with</w:t>
      </w:r>
      <w:r w:rsidR="00134C42" w:rsidRPr="00142216">
        <w:t xml:space="preserve"> a </w:t>
      </w:r>
      <w:r w:rsidR="0044046C" w:rsidRPr="00142216">
        <w:t xml:space="preserve">firm </w:t>
      </w:r>
      <w:r w:rsidR="00134C42" w:rsidRPr="00142216">
        <w:t>commitment t</w:t>
      </w:r>
      <w:r w:rsidR="00406B39" w:rsidRPr="00142216">
        <w:t xml:space="preserve">o </w:t>
      </w:r>
      <w:r w:rsidR="00245554" w:rsidRPr="00142216">
        <w:t xml:space="preserve">deliver </w:t>
      </w:r>
      <w:r w:rsidR="00406B39" w:rsidRPr="00142216">
        <w:t xml:space="preserve">fully regional medical </w:t>
      </w:r>
      <w:r w:rsidR="00245554" w:rsidRPr="00142216">
        <w:t>programs</w:t>
      </w:r>
      <w:r w:rsidR="00406B39" w:rsidRPr="00142216">
        <w:t xml:space="preserve"> from 2021. This includes universities participating in the MDMSN initiative</w:t>
      </w:r>
      <w:r w:rsidR="000A3DDE" w:rsidRPr="00142216">
        <w:t xml:space="preserve"> with funding arrangements in place with the Department of Health</w:t>
      </w:r>
      <w:r w:rsidR="00406B39" w:rsidRPr="00142216">
        <w:t>.</w:t>
      </w:r>
    </w:p>
    <w:p w14:paraId="33547BB4" w14:textId="4A9BDE0F" w:rsidR="00476D85" w:rsidRPr="00142216" w:rsidRDefault="00406B39" w:rsidP="00142216">
      <w:r w:rsidRPr="00142216">
        <w:t>R</w:t>
      </w:r>
      <w:r w:rsidR="00134C42" w:rsidRPr="00142216">
        <w:t xml:space="preserve">eturning </w:t>
      </w:r>
      <w:r w:rsidRPr="00142216">
        <w:t xml:space="preserve">places from the pool to these providers </w:t>
      </w:r>
      <w:r w:rsidR="0044046C" w:rsidRPr="00142216">
        <w:t xml:space="preserve">to offset their contribution to the pool as fully as possible </w:t>
      </w:r>
      <w:r w:rsidRPr="00142216">
        <w:t xml:space="preserve">would </w:t>
      </w:r>
      <w:r w:rsidR="00476D85" w:rsidRPr="00142216">
        <w:t>result in no</w:t>
      </w:r>
      <w:r w:rsidRPr="00142216">
        <w:t xml:space="preserve"> places</w:t>
      </w:r>
      <w:r w:rsidR="00476D85" w:rsidRPr="00142216">
        <w:t xml:space="preserve"> being left</w:t>
      </w:r>
      <w:r w:rsidRPr="00142216">
        <w:t xml:space="preserve"> for competitive redistribution </w:t>
      </w:r>
      <w:r w:rsidR="00476D85" w:rsidRPr="00142216">
        <w:t>and</w:t>
      </w:r>
      <w:r w:rsidR="00134C42" w:rsidRPr="00142216">
        <w:t xml:space="preserve"> </w:t>
      </w:r>
      <w:r w:rsidR="00476D85" w:rsidRPr="00142216">
        <w:t>no growth opportunities to reward new and innovative proposals.</w:t>
      </w:r>
    </w:p>
    <w:p w14:paraId="367BE321" w14:textId="1F03DF46" w:rsidR="00476D85" w:rsidRPr="00142216" w:rsidRDefault="00476D85" w:rsidP="00142216">
      <w:r w:rsidRPr="00142216">
        <w:t xml:space="preserve">This option could be implemented quickly, as for Option 2. Outcomes could be finalised before the end of 2019 as a competitive redistribution process involving an evaluation against the Assessment Framework and policy parameters would not be required. </w:t>
      </w:r>
    </w:p>
    <w:p w14:paraId="47C2F5B1" w14:textId="77777777" w:rsidR="00D84651" w:rsidRPr="00142216" w:rsidRDefault="00D84651" w:rsidP="00142216"/>
    <w:tbl>
      <w:tblPr>
        <w:tblStyle w:val="TableGrid"/>
        <w:tblW w:w="0" w:type="auto"/>
        <w:shd w:val="clear" w:color="auto" w:fill="F3CB6F" w:themeFill="background2" w:themeFillTint="99"/>
        <w:tblLook w:val="04A0" w:firstRow="1" w:lastRow="0" w:firstColumn="1" w:lastColumn="0" w:noHBand="0" w:noVBand="1"/>
      </w:tblPr>
      <w:tblGrid>
        <w:gridCol w:w="9628"/>
      </w:tblGrid>
      <w:tr w:rsidR="00142216" w:rsidRPr="00142216" w14:paraId="23E7972A" w14:textId="77777777" w:rsidTr="003F6E03">
        <w:tc>
          <w:tcPr>
            <w:tcW w:w="9628" w:type="dxa"/>
            <w:shd w:val="clear" w:color="auto" w:fill="F3CB6F" w:themeFill="background2" w:themeFillTint="99"/>
          </w:tcPr>
          <w:p w14:paraId="7F7E499A" w14:textId="77777777" w:rsidR="00915699" w:rsidRPr="00142216" w:rsidRDefault="00915699" w:rsidP="00142216">
            <w:pPr>
              <w:spacing w:line="276" w:lineRule="auto"/>
              <w:rPr>
                <w:b/>
              </w:rPr>
            </w:pPr>
            <w:r w:rsidRPr="00142216">
              <w:rPr>
                <w:b/>
              </w:rPr>
              <w:t>The department invites stakeholder views on the above three options for managing the redistribution pool and redistribution process for 2021, taking into account the need to ensure:</w:t>
            </w:r>
          </w:p>
          <w:p w14:paraId="2ADA9241" w14:textId="77777777" w:rsidR="00915699" w:rsidRPr="00142216" w:rsidRDefault="00915699" w:rsidP="00142216">
            <w:pPr>
              <w:pStyle w:val="ListParagraph"/>
              <w:numPr>
                <w:ilvl w:val="0"/>
                <w:numId w:val="27"/>
              </w:numPr>
              <w:spacing w:line="276" w:lineRule="auto"/>
              <w:ind w:left="462" w:hanging="462"/>
              <w:contextualSpacing w:val="0"/>
              <w:rPr>
                <w:b/>
              </w:rPr>
            </w:pPr>
            <w:r w:rsidRPr="00142216">
              <w:rPr>
                <w:b/>
              </w:rPr>
              <w:t>the approach to creating the redistribution pool is fair, equitable and transparent across all universities</w:t>
            </w:r>
          </w:p>
          <w:p w14:paraId="1E29A474" w14:textId="77777777" w:rsidR="00915699" w:rsidRPr="00142216" w:rsidRDefault="00915699" w:rsidP="00142216">
            <w:pPr>
              <w:pStyle w:val="ListParagraph"/>
              <w:numPr>
                <w:ilvl w:val="0"/>
                <w:numId w:val="27"/>
              </w:numPr>
              <w:spacing w:line="276" w:lineRule="auto"/>
              <w:ind w:left="462" w:hanging="462"/>
              <w:contextualSpacing w:val="0"/>
              <w:rPr>
                <w:b/>
              </w:rPr>
            </w:pPr>
            <w:r w:rsidRPr="00142216">
              <w:rPr>
                <w:b/>
              </w:rPr>
              <w:t>the pool provides the maximum number of places to respond most effectively to the goal of helping build the rural and regional medical workforce</w:t>
            </w:r>
          </w:p>
          <w:p w14:paraId="563AAC0F" w14:textId="350BF821" w:rsidR="00915699" w:rsidRPr="00142216" w:rsidRDefault="00915699" w:rsidP="00142216">
            <w:pPr>
              <w:pStyle w:val="ListParagraph"/>
              <w:numPr>
                <w:ilvl w:val="0"/>
                <w:numId w:val="27"/>
              </w:numPr>
              <w:spacing w:line="276" w:lineRule="auto"/>
              <w:ind w:left="462" w:hanging="462"/>
              <w:contextualSpacing w:val="0"/>
              <w:rPr>
                <w:b/>
              </w:rPr>
            </w:pPr>
            <w:r w:rsidRPr="00142216">
              <w:rPr>
                <w:b/>
              </w:rPr>
              <w:t>the redistribution process supports universities currently serving the needs of rural and regional communities and those committed to delivering a genuine increase in regional medical places.</w:t>
            </w:r>
          </w:p>
        </w:tc>
      </w:tr>
    </w:tbl>
    <w:p w14:paraId="3D68F61F" w14:textId="7552CEF5" w:rsidR="00915699" w:rsidRPr="00142216" w:rsidRDefault="00915699" w:rsidP="00142216">
      <w:pPr>
        <w:rPr>
          <w:highlight w:val="yellow"/>
          <w:u w:val="single"/>
        </w:rPr>
      </w:pPr>
    </w:p>
    <w:p w14:paraId="04DA9634" w14:textId="77777777" w:rsidR="00915699" w:rsidRDefault="00915699">
      <w:pPr>
        <w:spacing w:before="0" w:after="200"/>
        <w:rPr>
          <w:highlight w:val="yellow"/>
          <w:u w:val="single"/>
        </w:rPr>
      </w:pPr>
      <w:r>
        <w:rPr>
          <w:highlight w:val="yellow"/>
          <w:u w:val="single"/>
        </w:rPr>
        <w:br w:type="page"/>
      </w:r>
    </w:p>
    <w:p w14:paraId="11D944F3" w14:textId="6F357CFE" w:rsidR="003F6E03" w:rsidRPr="00142216" w:rsidRDefault="003F6E03" w:rsidP="00142216">
      <w:pPr>
        <w:pStyle w:val="Heading2"/>
        <w:spacing w:before="120" w:after="120"/>
      </w:pPr>
      <w:r w:rsidRPr="00142216">
        <w:t xml:space="preserve">Policy parameters for the 2021 redistribution </w:t>
      </w:r>
      <w:r w:rsidR="00915699" w:rsidRPr="00142216">
        <w:t>process</w:t>
      </w:r>
    </w:p>
    <w:p w14:paraId="463C27CA" w14:textId="31569AB4" w:rsidR="007F1C0C" w:rsidRPr="00142216" w:rsidRDefault="00C15E29" w:rsidP="00142216">
      <w:r w:rsidRPr="00142216">
        <w:t>Proposals seeking places through the competitive redistribution process envisaged in Option 1 above would be evaluated against the Assessment Framework and agreed policy parameters to maximise r</w:t>
      </w:r>
      <w:r w:rsidR="003F6E03" w:rsidRPr="00142216">
        <w:t>egional</w:t>
      </w:r>
      <w:r w:rsidRPr="00142216">
        <w:t xml:space="preserve"> medical outcomes. </w:t>
      </w:r>
    </w:p>
    <w:p w14:paraId="2B40D561" w14:textId="40EAF34F" w:rsidR="003D6D06" w:rsidRPr="00142216" w:rsidRDefault="003D6D06" w:rsidP="00142216">
      <w:r w:rsidRPr="00142216">
        <w:t xml:space="preserve">Possible policy parameters that could underpin this approach include: </w:t>
      </w:r>
    </w:p>
    <w:p w14:paraId="7146A38E" w14:textId="49905E53" w:rsidR="003D6D06" w:rsidRPr="00142216" w:rsidRDefault="003D6D06" w:rsidP="00142216">
      <w:pPr>
        <w:pStyle w:val="ListParagraph"/>
        <w:numPr>
          <w:ilvl w:val="0"/>
          <w:numId w:val="26"/>
        </w:numPr>
        <w:ind w:left="426" w:hanging="426"/>
        <w:contextualSpacing w:val="0"/>
      </w:pPr>
      <w:r w:rsidRPr="00142216">
        <w:t xml:space="preserve">only considering proposals for a minimum number of commencing medical CSPs from the redistribution pool. This </w:t>
      </w:r>
      <w:r w:rsidR="0082485D" w:rsidRPr="00142216">
        <w:t xml:space="preserve">could </w:t>
      </w:r>
      <w:r w:rsidRPr="00142216">
        <w:t>include collaborations between universities that enable resources to be shared to deliver sustainable programs in rural or regional locations.</w:t>
      </w:r>
    </w:p>
    <w:p w14:paraId="3DFD7D11" w14:textId="076DFF06" w:rsidR="003D6D06" w:rsidRPr="00142216" w:rsidRDefault="003D6D06" w:rsidP="00142216">
      <w:pPr>
        <w:pStyle w:val="ListParagraph"/>
        <w:numPr>
          <w:ilvl w:val="0"/>
          <w:numId w:val="26"/>
        </w:numPr>
        <w:ind w:left="426" w:hanging="426"/>
        <w:contextualSpacing w:val="0"/>
      </w:pPr>
      <w:r w:rsidRPr="00142216">
        <w:t>requiring proposals to build on existing rurally focussed medical programs that support high quality rural and remote training experiences and/or producing rurally practising medical practitioners</w:t>
      </w:r>
      <w:r w:rsidR="0082485D" w:rsidRPr="00142216">
        <w:t>.</w:t>
      </w:r>
      <w:r w:rsidRPr="00142216">
        <w:rPr>
          <w:rStyle w:val="FootnoteReference"/>
        </w:rPr>
        <w:footnoteReference w:id="9"/>
      </w:r>
      <w:r w:rsidRPr="00142216">
        <w:t xml:space="preserve"> </w:t>
      </w:r>
      <w:r w:rsidR="0082485D" w:rsidRPr="00142216">
        <w:t>E</w:t>
      </w:r>
      <w:r w:rsidRPr="00142216">
        <w:t xml:space="preserve">vidence </w:t>
      </w:r>
      <w:r w:rsidR="0082485D" w:rsidRPr="00142216">
        <w:t xml:space="preserve">and </w:t>
      </w:r>
      <w:r w:rsidRPr="00142216">
        <w:t>data would need to be provided</w:t>
      </w:r>
      <w:r w:rsidR="0082485D" w:rsidRPr="00142216">
        <w:t>,</w:t>
      </w:r>
      <w:r w:rsidRPr="00142216">
        <w:t xml:space="preserve"> such as longitudinal workforce outcomes for the university’s medical graduates, information about the university’s selection and retention process</w:t>
      </w:r>
      <w:r w:rsidR="0082485D" w:rsidRPr="00142216">
        <w:t>es,</w:t>
      </w:r>
      <w:r w:rsidRPr="00142216">
        <w:t xml:space="preserve"> and other strategies to grow the rural medical workforce. </w:t>
      </w:r>
    </w:p>
    <w:p w14:paraId="40B3C008" w14:textId="77777777" w:rsidR="003D6D06" w:rsidRPr="00142216" w:rsidRDefault="003D6D06" w:rsidP="00142216">
      <w:pPr>
        <w:pStyle w:val="ListParagraph"/>
        <w:numPr>
          <w:ilvl w:val="0"/>
          <w:numId w:val="26"/>
        </w:numPr>
        <w:ind w:left="426" w:hanging="426"/>
        <w:contextualSpacing w:val="0"/>
      </w:pPr>
      <w:r w:rsidRPr="00142216">
        <w:t>supporting a future medical workforce that has a broad scope of practice, meets the health needs of rural populations</w:t>
      </w:r>
      <w:r w:rsidR="0082485D" w:rsidRPr="00142216">
        <w:t>,</w:t>
      </w:r>
      <w:r w:rsidRPr="00142216">
        <w:t xml:space="preserve"> and works well as part of interdisciplinary health care arrangements. Proposals would include strategies and approaches for improving the integration of rural training across the stages of medical training.</w:t>
      </w:r>
    </w:p>
    <w:p w14:paraId="4ADAB7FD" w14:textId="21DD4E57" w:rsidR="003D6D06" w:rsidRPr="00142216" w:rsidRDefault="003D6D06" w:rsidP="00142216">
      <w:pPr>
        <w:pStyle w:val="ListParagraph"/>
        <w:numPr>
          <w:ilvl w:val="0"/>
          <w:numId w:val="26"/>
        </w:numPr>
        <w:ind w:left="426" w:hanging="426"/>
        <w:contextualSpacing w:val="0"/>
      </w:pPr>
      <w:r w:rsidRPr="00142216">
        <w:t>maximising opportunities to support school leavers and graduate-entry students with a rural background and attract those with an interest, intention and aptitude for practising in rural and regional areas once qualified.</w:t>
      </w:r>
    </w:p>
    <w:p w14:paraId="43D150E2" w14:textId="41681CB3" w:rsidR="003D6D06" w:rsidRPr="00142216" w:rsidRDefault="003D6D06" w:rsidP="00142216">
      <w:pPr>
        <w:pStyle w:val="ListParagraph"/>
        <w:numPr>
          <w:ilvl w:val="0"/>
          <w:numId w:val="26"/>
        </w:numPr>
        <w:ind w:left="425" w:hanging="425"/>
        <w:contextualSpacing w:val="0"/>
      </w:pPr>
      <w:r w:rsidRPr="00142216">
        <w:t>only considering proposals where no additional Commonwealth funding is sought (e.g. for infrastructure)</w:t>
      </w:r>
      <w:r w:rsidR="0082485D" w:rsidRPr="00142216">
        <w:t>,</w:t>
      </w:r>
      <w:r w:rsidRPr="00142216">
        <w:t xml:space="preserve"> other than the CGS funding associated with any redistributed medical CSPs.</w:t>
      </w:r>
    </w:p>
    <w:p w14:paraId="5018BE20" w14:textId="42132C2F" w:rsidR="003D6D06" w:rsidRPr="00142216" w:rsidRDefault="003D6D06" w:rsidP="00142216">
      <w:pPr>
        <w:pStyle w:val="ListParagraph"/>
        <w:numPr>
          <w:ilvl w:val="0"/>
          <w:numId w:val="26"/>
        </w:numPr>
        <w:ind w:left="425" w:hanging="425"/>
        <w:contextualSpacing w:val="0"/>
      </w:pPr>
      <w:r w:rsidRPr="00142216">
        <w:t>returning pool places to universities that demonstrate significant viability or sustainability issues for their medical programs resulting from the contribution they have made to the pool’s creation</w:t>
      </w:r>
      <w:r w:rsidR="0082485D" w:rsidRPr="00142216">
        <w:t>,</w:t>
      </w:r>
      <w:r w:rsidRPr="00142216">
        <w:t xml:space="preserve"> or to universities that already undertake</w:t>
      </w:r>
      <w:r w:rsidR="0082485D" w:rsidRPr="00142216">
        <w:t>n</w:t>
      </w:r>
      <w:r w:rsidRPr="00142216">
        <w:t xml:space="preserve"> a large proportion of medical training in rural and regional locations and produce strong rural medical workforce outcomes.</w:t>
      </w:r>
    </w:p>
    <w:p w14:paraId="6042AB2A" w14:textId="77777777" w:rsidR="003D6D06" w:rsidRPr="00142216" w:rsidRDefault="003D6D06" w:rsidP="00142216">
      <w:pPr>
        <w:pStyle w:val="CommentText"/>
        <w:numPr>
          <w:ilvl w:val="0"/>
          <w:numId w:val="26"/>
        </w:numPr>
        <w:spacing w:line="276" w:lineRule="auto"/>
        <w:ind w:left="426" w:hanging="426"/>
        <w:rPr>
          <w:sz w:val="22"/>
          <w:szCs w:val="22"/>
        </w:rPr>
      </w:pPr>
      <w:r w:rsidRPr="00142216">
        <w:rPr>
          <w:sz w:val="22"/>
          <w:szCs w:val="22"/>
        </w:rPr>
        <w:t>giving consideration to university approaches that build on existing strategies, to transform medical graduate supply (rather than entirely new strategies) to better meet the needs of rural areas.</w:t>
      </w:r>
    </w:p>
    <w:p w14:paraId="78AD466B" w14:textId="77777777" w:rsidR="003D6D06" w:rsidRPr="00142216" w:rsidRDefault="003D6D06" w:rsidP="00142216">
      <w:pPr>
        <w:rPr>
          <w:rFonts w:eastAsia="Times New Roman" w:cstheme="minorHAnsi"/>
          <w:lang w:val="en" w:eastAsia="en-AU"/>
        </w:rPr>
      </w:pPr>
      <w:r w:rsidRPr="00142216">
        <w:rPr>
          <w:rFonts w:eastAsia="Times New Roman" w:cstheme="minorHAnsi"/>
          <w:lang w:val="en" w:eastAsia="en-AU"/>
        </w:rPr>
        <w:t xml:space="preserve">The department is aware of the need to consider implications for state/territory health workforce supply, as well as the sustainability of existing rural medical programs and rural training activities funded through the Commonwealth Department of Health. This is important as states and territories guarantee internships for Commonwealth supported medical graduates (COAG 2006) and are the main providers of clinical training for medical students and early career doctors. </w:t>
      </w:r>
    </w:p>
    <w:p w14:paraId="295B21B3" w14:textId="77777777" w:rsidR="00915699" w:rsidRDefault="00915699">
      <w:pPr>
        <w:spacing w:before="0" w:after="200"/>
        <w:rPr>
          <w:rFonts w:eastAsia="Times New Roman" w:cstheme="minorHAnsi"/>
          <w:lang w:val="en" w:eastAsia="en-AU"/>
        </w:rPr>
      </w:pPr>
      <w:r>
        <w:rPr>
          <w:rFonts w:eastAsia="Times New Roman" w:cstheme="minorHAnsi"/>
          <w:lang w:val="en" w:eastAsia="en-AU"/>
        </w:rPr>
        <w:br w:type="page"/>
      </w:r>
    </w:p>
    <w:p w14:paraId="2A7360BF" w14:textId="065FEEDC" w:rsidR="0082485D" w:rsidRPr="00CE505B" w:rsidRDefault="003D6D06" w:rsidP="00142216">
      <w:pPr>
        <w:rPr>
          <w:rFonts w:eastAsia="Times New Roman" w:cstheme="minorHAnsi"/>
          <w:lang w:val="en" w:eastAsia="en-AU"/>
        </w:rPr>
      </w:pPr>
      <w:r w:rsidRPr="00CE505B">
        <w:rPr>
          <w:rFonts w:eastAsia="Times New Roman" w:cstheme="minorHAnsi"/>
          <w:lang w:val="en" w:eastAsia="en-AU"/>
        </w:rPr>
        <w:t xml:space="preserve">The Department of Health will facilitate advice from state and territory health officials, including implications for post-graduate training of junior doctors and non-GP medical specialists. Feedback </w:t>
      </w:r>
      <w:r w:rsidR="004540F5" w:rsidRPr="00CE505B">
        <w:rPr>
          <w:rFonts w:eastAsia="Times New Roman" w:cstheme="minorHAnsi"/>
          <w:lang w:val="en" w:eastAsia="en-AU"/>
        </w:rPr>
        <w:t>could</w:t>
      </w:r>
      <w:r w:rsidRPr="00CE505B">
        <w:rPr>
          <w:rFonts w:eastAsia="Times New Roman" w:cstheme="minorHAnsi"/>
          <w:lang w:val="en" w:eastAsia="en-AU"/>
        </w:rPr>
        <w:t xml:space="preserve"> include advice on </w:t>
      </w:r>
      <w:r w:rsidR="0082485D" w:rsidRPr="00CE505B">
        <w:rPr>
          <w:rFonts w:eastAsia="Times New Roman" w:cstheme="minorHAnsi"/>
          <w:lang w:val="en" w:eastAsia="en-AU"/>
        </w:rPr>
        <w:t>the following:</w:t>
      </w:r>
    </w:p>
    <w:p w14:paraId="27534C31" w14:textId="77777777" w:rsidR="0082485D" w:rsidRPr="00CE505B" w:rsidRDefault="003D6D06" w:rsidP="00142216">
      <w:pPr>
        <w:pStyle w:val="ListParagraph"/>
        <w:numPr>
          <w:ilvl w:val="0"/>
          <w:numId w:val="42"/>
        </w:numPr>
        <w:rPr>
          <w:rFonts w:eastAsia="Times New Roman" w:cstheme="minorHAnsi"/>
          <w:lang w:val="en" w:eastAsia="en-AU"/>
        </w:rPr>
      </w:pPr>
      <w:r w:rsidRPr="00CE505B">
        <w:rPr>
          <w:rFonts w:eastAsia="Times New Roman" w:cstheme="minorHAnsi"/>
          <w:lang w:val="en" w:eastAsia="en-AU"/>
        </w:rPr>
        <w:t>geographic areas where increased clinical training hours could be supported by their local health networks/districts</w:t>
      </w:r>
    </w:p>
    <w:p w14:paraId="419EAE3F" w14:textId="3FB49ABC" w:rsidR="0082485D" w:rsidRPr="00CE505B" w:rsidRDefault="003D6D06" w:rsidP="00142216">
      <w:pPr>
        <w:pStyle w:val="ListParagraph"/>
        <w:numPr>
          <w:ilvl w:val="0"/>
          <w:numId w:val="42"/>
        </w:numPr>
        <w:rPr>
          <w:rFonts w:eastAsia="Times New Roman" w:cstheme="minorHAnsi"/>
          <w:lang w:val="en" w:eastAsia="en-AU"/>
        </w:rPr>
      </w:pPr>
      <w:r w:rsidRPr="00CE505B">
        <w:rPr>
          <w:rFonts w:eastAsia="Times New Roman" w:cstheme="minorHAnsi"/>
          <w:lang w:val="en" w:eastAsia="en-AU"/>
        </w:rPr>
        <w:t>any plans for expansion in rural internships or rural specialist training positions</w:t>
      </w:r>
    </w:p>
    <w:p w14:paraId="7CC8653C" w14:textId="2528E123" w:rsidR="00B643F1" w:rsidRPr="00CE505B" w:rsidRDefault="00AD1B95" w:rsidP="00142216">
      <w:pPr>
        <w:pStyle w:val="ListParagraph"/>
        <w:numPr>
          <w:ilvl w:val="0"/>
          <w:numId w:val="42"/>
        </w:numPr>
        <w:rPr>
          <w:rFonts w:eastAsia="Times New Roman" w:cstheme="minorHAnsi"/>
          <w:lang w:val="en" w:eastAsia="en-AU"/>
        </w:rPr>
      </w:pPr>
      <w:r>
        <w:rPr>
          <w:rFonts w:eastAsia="Times New Roman" w:cstheme="minorHAnsi"/>
          <w:lang w:val="en" w:eastAsia="en-AU"/>
        </w:rPr>
        <w:t>j</w:t>
      </w:r>
      <w:r w:rsidR="007C27A6" w:rsidRPr="00CE505B">
        <w:rPr>
          <w:rFonts w:eastAsia="Times New Roman" w:cstheme="minorHAnsi"/>
          <w:lang w:val="en" w:eastAsia="en-AU"/>
        </w:rPr>
        <w:t xml:space="preserve">urisdictions’ </w:t>
      </w:r>
      <w:r w:rsidR="00B643F1" w:rsidRPr="00CE505B">
        <w:rPr>
          <w:rFonts w:eastAsia="Times New Roman" w:cstheme="minorHAnsi"/>
          <w:lang w:val="en" w:eastAsia="en-AU"/>
        </w:rPr>
        <w:t xml:space="preserve">expectations </w:t>
      </w:r>
      <w:r w:rsidR="007C27A6" w:rsidRPr="00CE505B">
        <w:rPr>
          <w:rFonts w:eastAsia="Times New Roman" w:cstheme="minorHAnsi"/>
          <w:lang w:val="en" w:eastAsia="en-AU"/>
        </w:rPr>
        <w:t xml:space="preserve">about how </w:t>
      </w:r>
      <w:r w:rsidR="005A5897" w:rsidRPr="00CE505B">
        <w:rPr>
          <w:rFonts w:eastAsia="Times New Roman" w:cstheme="minorHAnsi"/>
          <w:lang w:val="en" w:eastAsia="en-AU"/>
        </w:rPr>
        <w:t xml:space="preserve">universities </w:t>
      </w:r>
      <w:r w:rsidR="007C27A6" w:rsidRPr="00CE505B">
        <w:rPr>
          <w:rFonts w:eastAsia="Times New Roman" w:cstheme="minorHAnsi"/>
          <w:lang w:val="en" w:eastAsia="en-AU"/>
        </w:rPr>
        <w:t xml:space="preserve">need to </w:t>
      </w:r>
      <w:r w:rsidR="005A5897" w:rsidRPr="00CE505B">
        <w:rPr>
          <w:rFonts w:eastAsia="Times New Roman" w:cstheme="minorHAnsi"/>
          <w:lang w:val="en" w:eastAsia="en-AU"/>
        </w:rPr>
        <w:t xml:space="preserve">engage with </w:t>
      </w:r>
      <w:r w:rsidR="007C27A6" w:rsidRPr="00CE505B">
        <w:rPr>
          <w:rFonts w:eastAsia="Times New Roman" w:cstheme="minorHAnsi"/>
          <w:lang w:val="en" w:eastAsia="en-AU"/>
        </w:rPr>
        <w:t>them, or</w:t>
      </w:r>
      <w:r w:rsidR="005A5897" w:rsidRPr="00CE505B">
        <w:rPr>
          <w:rFonts w:eastAsia="Times New Roman" w:cstheme="minorHAnsi"/>
          <w:lang w:val="en" w:eastAsia="en-AU"/>
        </w:rPr>
        <w:t xml:space="preserve"> their hospital and health services, </w:t>
      </w:r>
      <w:r w:rsidR="007C27A6" w:rsidRPr="00CE505B">
        <w:rPr>
          <w:rFonts w:eastAsia="Times New Roman" w:cstheme="minorHAnsi"/>
          <w:lang w:val="en" w:eastAsia="en-AU"/>
        </w:rPr>
        <w:t xml:space="preserve">when developing </w:t>
      </w:r>
      <w:r w:rsidR="005A5897" w:rsidRPr="00CE505B">
        <w:rPr>
          <w:rFonts w:eastAsia="Times New Roman" w:cstheme="minorHAnsi"/>
          <w:lang w:val="en" w:eastAsia="en-AU"/>
        </w:rPr>
        <w:t xml:space="preserve">proposals </w:t>
      </w:r>
      <w:r w:rsidR="007C27A6" w:rsidRPr="00CE505B">
        <w:rPr>
          <w:rFonts w:eastAsia="Times New Roman" w:cstheme="minorHAnsi"/>
          <w:lang w:val="en" w:eastAsia="en-AU"/>
        </w:rPr>
        <w:t xml:space="preserve">to be </w:t>
      </w:r>
      <w:r w:rsidR="005A5897" w:rsidRPr="00CE505B">
        <w:rPr>
          <w:rFonts w:eastAsia="Times New Roman" w:cstheme="minorHAnsi"/>
          <w:lang w:val="en" w:eastAsia="en-AU"/>
        </w:rPr>
        <w:t>submit</w:t>
      </w:r>
      <w:r w:rsidR="007C27A6" w:rsidRPr="00CE505B">
        <w:rPr>
          <w:rFonts w:eastAsia="Times New Roman" w:cstheme="minorHAnsi"/>
          <w:lang w:val="en" w:eastAsia="en-AU"/>
        </w:rPr>
        <w:t>ted</w:t>
      </w:r>
      <w:r w:rsidR="005A5897" w:rsidRPr="00CE505B">
        <w:rPr>
          <w:rFonts w:eastAsia="Times New Roman" w:cstheme="minorHAnsi"/>
          <w:lang w:val="en" w:eastAsia="en-AU"/>
        </w:rPr>
        <w:t xml:space="preserve"> to the Commonwealth,</w:t>
      </w:r>
    </w:p>
    <w:p w14:paraId="7F8F746F" w14:textId="77777777" w:rsidR="003D6D06" w:rsidRPr="0082485D" w:rsidRDefault="003D6D06" w:rsidP="00142216">
      <w:pPr>
        <w:pStyle w:val="ListParagraph"/>
        <w:numPr>
          <w:ilvl w:val="0"/>
          <w:numId w:val="42"/>
        </w:numPr>
        <w:rPr>
          <w:rFonts w:eastAsia="Times New Roman" w:cstheme="minorHAnsi"/>
          <w:lang w:val="en" w:eastAsia="en-AU"/>
        </w:rPr>
      </w:pPr>
      <w:r w:rsidRPr="0082485D">
        <w:rPr>
          <w:rFonts w:eastAsia="Times New Roman" w:cstheme="minorHAnsi"/>
          <w:lang w:val="en" w:eastAsia="en-AU"/>
        </w:rPr>
        <w:t>likely locations of regional hospital expansion that would support feasible integrated end-to-end rural training pathways.</w:t>
      </w:r>
    </w:p>
    <w:p w14:paraId="3D72C674" w14:textId="77777777" w:rsidR="00FE04E2" w:rsidRPr="009108F4" w:rsidRDefault="00FE04E2" w:rsidP="00142216">
      <w:pPr>
        <w:rPr>
          <w:rFonts w:eastAsia="Times New Roman" w:cstheme="minorHAnsi"/>
          <w:color w:val="333333"/>
          <w:lang w:val="en" w:eastAsia="en-AU"/>
        </w:rPr>
      </w:pPr>
    </w:p>
    <w:tbl>
      <w:tblPr>
        <w:tblStyle w:val="TableGrid"/>
        <w:tblW w:w="0" w:type="auto"/>
        <w:tblInd w:w="-5" w:type="dxa"/>
        <w:shd w:val="clear" w:color="auto" w:fill="F3CB6F" w:themeFill="background2" w:themeFillTint="99"/>
        <w:tblLook w:val="04A0" w:firstRow="1" w:lastRow="0" w:firstColumn="1" w:lastColumn="0" w:noHBand="0" w:noVBand="1"/>
      </w:tblPr>
      <w:tblGrid>
        <w:gridCol w:w="9633"/>
      </w:tblGrid>
      <w:tr w:rsidR="0010758E" w:rsidRPr="00A90B52" w14:paraId="41C9987F" w14:textId="77777777" w:rsidTr="00915699">
        <w:tc>
          <w:tcPr>
            <w:tcW w:w="9633" w:type="dxa"/>
            <w:shd w:val="clear" w:color="auto" w:fill="F3CB6F" w:themeFill="background2" w:themeFillTint="99"/>
          </w:tcPr>
          <w:p w14:paraId="3C41F75D" w14:textId="77777777" w:rsidR="00915699" w:rsidRDefault="00915699" w:rsidP="00142216">
            <w:pPr>
              <w:spacing w:line="276" w:lineRule="auto"/>
              <w:rPr>
                <w:b/>
              </w:rPr>
            </w:pPr>
            <w:r>
              <w:rPr>
                <w:b/>
              </w:rPr>
              <w:t>The department invites stakeholder views on:</w:t>
            </w:r>
          </w:p>
          <w:p w14:paraId="49BB6EAC" w14:textId="77777777" w:rsidR="00915699" w:rsidRDefault="00915699" w:rsidP="00142216">
            <w:pPr>
              <w:pStyle w:val="ListParagraph"/>
              <w:numPr>
                <w:ilvl w:val="0"/>
                <w:numId w:val="27"/>
              </w:numPr>
              <w:spacing w:line="276" w:lineRule="auto"/>
              <w:ind w:left="462" w:hanging="462"/>
              <w:contextualSpacing w:val="0"/>
              <w:rPr>
                <w:b/>
              </w:rPr>
            </w:pPr>
            <w:r>
              <w:rPr>
                <w:b/>
              </w:rPr>
              <w:t>the suitability of the above policy parameters for the 2021 redistribution process</w:t>
            </w:r>
          </w:p>
          <w:p w14:paraId="369185B1" w14:textId="69C6BF22" w:rsidR="00915699" w:rsidRDefault="00915699" w:rsidP="00142216">
            <w:pPr>
              <w:pStyle w:val="ListParagraph"/>
              <w:numPr>
                <w:ilvl w:val="0"/>
                <w:numId w:val="27"/>
              </w:numPr>
              <w:spacing w:line="276" w:lineRule="auto"/>
              <w:ind w:left="462" w:hanging="462"/>
              <w:contextualSpacing w:val="0"/>
              <w:rPr>
                <w:b/>
              </w:rPr>
            </w:pPr>
            <w:r>
              <w:rPr>
                <w:b/>
              </w:rPr>
              <w:t xml:space="preserve">identification of alternative/additional policy parameters to be applied </w:t>
            </w:r>
            <w:r w:rsidR="00261CBF">
              <w:rPr>
                <w:b/>
              </w:rPr>
              <w:t>in</w:t>
            </w:r>
            <w:r>
              <w:rPr>
                <w:b/>
              </w:rPr>
              <w:t xml:space="preserve"> the 2021 process to maximise regional medical workforce outcomes</w:t>
            </w:r>
          </w:p>
          <w:p w14:paraId="62932399" w14:textId="443A3402" w:rsidR="00915699" w:rsidRPr="008E5283" w:rsidRDefault="00915699" w:rsidP="00142216">
            <w:pPr>
              <w:pStyle w:val="ListParagraph"/>
              <w:numPr>
                <w:ilvl w:val="0"/>
                <w:numId w:val="27"/>
              </w:numPr>
              <w:spacing w:line="276" w:lineRule="auto"/>
              <w:ind w:left="462" w:hanging="462"/>
              <w:contextualSpacing w:val="0"/>
              <w:rPr>
                <w:b/>
              </w:rPr>
            </w:pPr>
            <w:r>
              <w:rPr>
                <w:b/>
              </w:rPr>
              <w:t>suggestions for policy parameters and/or evidence sources that could inform the triennial review of workforce data</w:t>
            </w:r>
            <w:r w:rsidR="001E1306">
              <w:rPr>
                <w:b/>
              </w:rPr>
              <w:t xml:space="preserve"> and emerging issues for future redistribution rounds after 2021</w:t>
            </w:r>
            <w:r>
              <w:rPr>
                <w:b/>
              </w:rPr>
              <w:t>.</w:t>
            </w:r>
          </w:p>
        </w:tc>
      </w:tr>
    </w:tbl>
    <w:p w14:paraId="6DEC19E6" w14:textId="5A4A402B" w:rsidR="00CC4318" w:rsidRDefault="00CC4318" w:rsidP="00915699"/>
    <w:p w14:paraId="15AA7DA0" w14:textId="77777777" w:rsidR="00AE378A" w:rsidRDefault="00A2567D" w:rsidP="00B05309">
      <w:pPr>
        <w:pStyle w:val="Heading1"/>
        <w:spacing w:after="120" w:line="276" w:lineRule="auto"/>
        <w:contextualSpacing w:val="0"/>
      </w:pPr>
      <w:r>
        <w:t>Other feedback</w:t>
      </w:r>
    </w:p>
    <w:p w14:paraId="48A21A59" w14:textId="77777777" w:rsidR="00AE378A" w:rsidRPr="00E41205" w:rsidRDefault="00A90B52" w:rsidP="00142216">
      <w:pPr>
        <w:rPr>
          <w:rFonts w:eastAsia="Times New Roman" w:cstheme="minorHAnsi"/>
          <w:lang w:val="en" w:eastAsia="en-AU"/>
        </w:rPr>
      </w:pPr>
      <w:r w:rsidRPr="00E41205">
        <w:rPr>
          <w:rFonts w:eastAsia="Times New Roman" w:cstheme="minorHAnsi"/>
          <w:lang w:val="en" w:eastAsia="en-AU"/>
        </w:rPr>
        <w:t>In addition to</w:t>
      </w:r>
      <w:r w:rsidR="00FC57DB" w:rsidRPr="00E41205">
        <w:rPr>
          <w:rFonts w:eastAsia="Times New Roman" w:cstheme="minorHAnsi"/>
          <w:lang w:val="en" w:eastAsia="en-AU"/>
        </w:rPr>
        <w:t xml:space="preserve"> inviting stakeholder feedback on</w:t>
      </w:r>
      <w:r w:rsidRPr="00E41205">
        <w:rPr>
          <w:rFonts w:eastAsia="Times New Roman" w:cstheme="minorHAnsi"/>
          <w:lang w:val="en" w:eastAsia="en-AU"/>
        </w:rPr>
        <w:t xml:space="preserve"> the </w:t>
      </w:r>
      <w:r w:rsidR="00DC1AB8" w:rsidRPr="00E41205">
        <w:rPr>
          <w:rFonts w:eastAsia="Times New Roman" w:cstheme="minorHAnsi"/>
          <w:lang w:val="en" w:eastAsia="en-AU"/>
        </w:rPr>
        <w:t xml:space="preserve">matters </w:t>
      </w:r>
      <w:r w:rsidRPr="00E41205">
        <w:rPr>
          <w:rFonts w:eastAsia="Times New Roman" w:cstheme="minorHAnsi"/>
          <w:lang w:val="en" w:eastAsia="en-AU"/>
        </w:rPr>
        <w:t xml:space="preserve">set out above, the </w:t>
      </w:r>
      <w:r w:rsidR="000F2B07" w:rsidRPr="00E41205">
        <w:rPr>
          <w:rFonts w:eastAsia="Times New Roman" w:cstheme="minorHAnsi"/>
          <w:lang w:val="en" w:eastAsia="en-AU"/>
        </w:rPr>
        <w:t xml:space="preserve">department welcomes </w:t>
      </w:r>
      <w:r w:rsidR="002E3527" w:rsidRPr="00E41205">
        <w:rPr>
          <w:rFonts w:eastAsia="Times New Roman" w:cstheme="minorHAnsi"/>
          <w:lang w:val="en" w:eastAsia="en-AU"/>
        </w:rPr>
        <w:t>views</w:t>
      </w:r>
      <w:r w:rsidR="000F2B07" w:rsidRPr="00E41205">
        <w:rPr>
          <w:rFonts w:eastAsia="Times New Roman" w:cstheme="minorHAnsi"/>
          <w:lang w:val="en" w:eastAsia="en-AU"/>
        </w:rPr>
        <w:t xml:space="preserve"> on</w:t>
      </w:r>
      <w:r w:rsidR="00FC57DB" w:rsidRPr="00E41205">
        <w:rPr>
          <w:rFonts w:eastAsia="Times New Roman" w:cstheme="minorHAnsi"/>
          <w:lang w:val="en" w:eastAsia="en-AU"/>
        </w:rPr>
        <w:t xml:space="preserve"> other</w:t>
      </w:r>
      <w:r w:rsidR="000F2B07" w:rsidRPr="00E41205">
        <w:rPr>
          <w:rFonts w:eastAsia="Times New Roman" w:cstheme="minorHAnsi"/>
          <w:lang w:val="en" w:eastAsia="en-AU"/>
        </w:rPr>
        <w:t xml:space="preserve"> issues or approaches </w:t>
      </w:r>
      <w:r w:rsidR="00DC1AB8" w:rsidRPr="00E41205">
        <w:rPr>
          <w:rFonts w:eastAsia="Times New Roman" w:cstheme="minorHAnsi"/>
          <w:lang w:val="en" w:eastAsia="en-AU"/>
        </w:rPr>
        <w:t>included</w:t>
      </w:r>
      <w:r w:rsidR="00FC57DB" w:rsidRPr="00E41205">
        <w:rPr>
          <w:rFonts w:eastAsia="Times New Roman" w:cstheme="minorHAnsi"/>
          <w:lang w:val="en" w:eastAsia="en-AU"/>
        </w:rPr>
        <w:t xml:space="preserve"> in this discussion paper on</w:t>
      </w:r>
      <w:r w:rsidR="002E3527" w:rsidRPr="00E41205">
        <w:rPr>
          <w:rFonts w:eastAsia="Times New Roman" w:cstheme="minorHAnsi"/>
          <w:lang w:val="en" w:eastAsia="en-AU"/>
        </w:rPr>
        <w:t xml:space="preserve"> the redistribution pool mechanism</w:t>
      </w:r>
      <w:r w:rsidR="000F2B07" w:rsidRPr="00E41205">
        <w:rPr>
          <w:rFonts w:eastAsia="Times New Roman" w:cstheme="minorHAnsi"/>
          <w:lang w:val="en" w:eastAsia="en-AU"/>
        </w:rPr>
        <w:t>.</w:t>
      </w:r>
    </w:p>
    <w:p w14:paraId="0DD99D27" w14:textId="77777777" w:rsidR="00AE378A" w:rsidRDefault="00AE378A" w:rsidP="00B05309">
      <w:pPr>
        <w:pStyle w:val="Heading1"/>
        <w:spacing w:after="120" w:line="276" w:lineRule="auto"/>
        <w:contextualSpacing w:val="0"/>
      </w:pPr>
      <w:r>
        <w:t>Submissions</w:t>
      </w:r>
    </w:p>
    <w:p w14:paraId="48B4BF95" w14:textId="4949D929" w:rsidR="00465600" w:rsidRPr="00086935" w:rsidRDefault="00FF6A49" w:rsidP="00142216">
      <w:pPr>
        <w:rPr>
          <w:b/>
        </w:rPr>
      </w:pPr>
      <w:r>
        <w:t xml:space="preserve">Please send </w:t>
      </w:r>
      <w:r w:rsidR="002E3527">
        <w:t xml:space="preserve">your written </w:t>
      </w:r>
      <w:r>
        <w:t xml:space="preserve">submissions </w:t>
      </w:r>
      <w:r w:rsidR="00FC57DB" w:rsidRPr="000F2B07">
        <w:t>by</w:t>
      </w:r>
      <w:r w:rsidR="00FC57DB">
        <w:rPr>
          <w:b/>
        </w:rPr>
        <w:t xml:space="preserve"> </w:t>
      </w:r>
      <w:r w:rsidR="00FC57DB" w:rsidRPr="00FB519F">
        <w:rPr>
          <w:b/>
        </w:rPr>
        <w:t xml:space="preserve">5 pm </w:t>
      </w:r>
      <w:r w:rsidR="00C33F73" w:rsidRPr="00FB519F">
        <w:rPr>
          <w:b/>
        </w:rPr>
        <w:t>AE</w:t>
      </w:r>
      <w:r w:rsidR="008C49D8">
        <w:rPr>
          <w:b/>
        </w:rPr>
        <w:t>D</w:t>
      </w:r>
      <w:r w:rsidR="0082485D" w:rsidRPr="00FB519F">
        <w:rPr>
          <w:b/>
        </w:rPr>
        <w:t xml:space="preserve">T </w:t>
      </w:r>
      <w:r w:rsidR="00FC57DB" w:rsidRPr="00FB519F">
        <w:rPr>
          <w:b/>
        </w:rPr>
        <w:t xml:space="preserve">on </w:t>
      </w:r>
      <w:r w:rsidR="008960B7" w:rsidRPr="00FB519F">
        <w:rPr>
          <w:b/>
        </w:rPr>
        <w:t>Friday</w:t>
      </w:r>
      <w:r w:rsidR="00191C7A" w:rsidRPr="00FB519F">
        <w:rPr>
          <w:b/>
        </w:rPr>
        <w:t>,</w:t>
      </w:r>
      <w:r w:rsidR="008960B7" w:rsidRPr="00FB519F">
        <w:rPr>
          <w:b/>
        </w:rPr>
        <w:t xml:space="preserve"> </w:t>
      </w:r>
      <w:r w:rsidR="00AA1745">
        <w:rPr>
          <w:b/>
        </w:rPr>
        <w:t>25</w:t>
      </w:r>
      <w:r w:rsidR="00FB519F" w:rsidRPr="00FB519F">
        <w:rPr>
          <w:b/>
        </w:rPr>
        <w:t xml:space="preserve"> October</w:t>
      </w:r>
      <w:r w:rsidR="00F851C5" w:rsidRPr="00FB519F">
        <w:rPr>
          <w:b/>
        </w:rPr>
        <w:t xml:space="preserve"> 2019</w:t>
      </w:r>
      <w:r w:rsidR="004C1880" w:rsidRPr="00FB519F">
        <w:rPr>
          <w:b/>
        </w:rPr>
        <w:t xml:space="preserve"> </w:t>
      </w:r>
      <w:r w:rsidRPr="00FB519F">
        <w:t>to</w:t>
      </w:r>
      <w:r>
        <w:t xml:space="preserve"> the </w:t>
      </w:r>
      <w:r w:rsidR="00604A86">
        <w:t>department</w:t>
      </w:r>
      <w:r>
        <w:t xml:space="preserve"> at </w:t>
      </w:r>
      <w:hyperlink r:id="rId19" w:history="1">
        <w:r w:rsidRPr="00086935">
          <w:rPr>
            <w:rStyle w:val="Hyperlink"/>
            <w:color w:val="auto"/>
          </w:rPr>
          <w:t>CGS@education.gov.au</w:t>
        </w:r>
      </w:hyperlink>
      <w:r w:rsidR="000F2B07" w:rsidRPr="00086935">
        <w:rPr>
          <w:b/>
        </w:rPr>
        <w:t>.</w:t>
      </w:r>
    </w:p>
    <w:p w14:paraId="60D5A6BF" w14:textId="77777777" w:rsidR="00FF1136" w:rsidRDefault="00CE7DE6" w:rsidP="00142216">
      <w:r w:rsidRPr="00CE7DE6">
        <w:t>Unless otherwise agreed with the department</w:t>
      </w:r>
      <w:r>
        <w:t>, stakeholder views will be published on the department’s website.</w:t>
      </w:r>
    </w:p>
    <w:p w14:paraId="7F6AC905" w14:textId="77777777" w:rsidR="000F2EC1" w:rsidRDefault="000F2EC1">
      <w:pPr>
        <w:spacing w:before="0" w:after="200"/>
      </w:pPr>
    </w:p>
    <w:p w14:paraId="3EAECAA4" w14:textId="77777777" w:rsidR="000F2EC1" w:rsidRDefault="000F2EC1" w:rsidP="000F2EC1">
      <w:pPr>
        <w:pStyle w:val="NoSpacing"/>
        <w:spacing w:before="0"/>
        <w:sectPr w:rsidR="000F2EC1" w:rsidSect="000F2EC1">
          <w:pgSz w:w="11906" w:h="16838"/>
          <w:pgMar w:top="0" w:right="1134" w:bottom="1134" w:left="1134" w:header="680" w:footer="567" w:gutter="0"/>
          <w:cols w:space="708"/>
          <w:titlePg/>
          <w:docGrid w:linePitch="360"/>
        </w:sectPr>
      </w:pPr>
    </w:p>
    <w:p w14:paraId="52A0B8F0" w14:textId="0CD6DF46" w:rsidR="000F2EC1" w:rsidRDefault="005A360A" w:rsidP="000F2EC1">
      <w:pPr>
        <w:rPr>
          <w:rStyle w:val="Instructions"/>
        </w:rPr>
      </w:pPr>
      <w:r>
        <w:rPr>
          <w:noProof/>
          <w:lang w:eastAsia="en-AU"/>
        </w:rPr>
        <w:drawing>
          <wp:anchor distT="0" distB="0" distL="114300" distR="114300" simplePos="0" relativeHeight="251660288" behindDoc="0" locked="0" layoutInCell="1" allowOverlap="1" wp14:anchorId="78070997" wp14:editId="1FA26256">
            <wp:simplePos x="0" y="0"/>
            <wp:positionH relativeFrom="column">
              <wp:posOffset>-725805</wp:posOffset>
            </wp:positionH>
            <wp:positionV relativeFrom="paragraph">
              <wp:posOffset>-720090</wp:posOffset>
            </wp:positionV>
            <wp:extent cx="5562600" cy="1956435"/>
            <wp:effectExtent l="0" t="0" r="0" b="5715"/>
            <wp:wrapNone/>
            <wp:docPr id="1" name="Picture 1"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fact sheet header.jpg"/>
                    <pic:cNvPicPr/>
                  </pic:nvPicPr>
                  <pic:blipFill rotWithShape="1">
                    <a:blip r:embed="rId11" cstate="print">
                      <a:extLst>
                        <a:ext uri="{28A0092B-C50C-407E-A947-70E740481C1C}">
                          <a14:useLocalDpi xmlns:a14="http://schemas.microsoft.com/office/drawing/2010/main" val="0"/>
                        </a:ext>
                      </a:extLst>
                    </a:blip>
                    <a:srcRect r="9088"/>
                    <a:stretch/>
                  </pic:blipFill>
                  <pic:spPr bwMode="auto">
                    <a:xfrm>
                      <a:off x="0" y="0"/>
                      <a:ext cx="5562600" cy="1956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E3B456" w14:textId="77777777" w:rsidR="000F2EC1" w:rsidRDefault="000F2EC1" w:rsidP="000F2EC1">
      <w:pPr>
        <w:pStyle w:val="Heading1"/>
      </w:pPr>
      <w:bookmarkStart w:id="3" w:name="_Ref515627846"/>
    </w:p>
    <w:p w14:paraId="0C8A4FB1" w14:textId="77777777" w:rsidR="000F2EC1" w:rsidRDefault="000F2EC1" w:rsidP="000F2EC1"/>
    <w:p w14:paraId="311FE3F0" w14:textId="77777777" w:rsidR="000F2EC1" w:rsidRPr="000F2EC1" w:rsidRDefault="000F2EC1" w:rsidP="000F2EC1"/>
    <w:p w14:paraId="2F782F3A" w14:textId="77777777" w:rsidR="000F2EC1" w:rsidRDefault="000F2EC1" w:rsidP="000F2EC1">
      <w:pPr>
        <w:pStyle w:val="Heading1"/>
      </w:pPr>
    </w:p>
    <w:sdt>
      <w:sdtPr>
        <w:alias w:val="Title"/>
        <w:tag w:val=""/>
        <w:id w:val="-1359499904"/>
        <w:placeholder>
          <w:docPart w:val="050A4CC8C2F54EA4BA5A5455F833BD89"/>
        </w:placeholder>
        <w:dataBinding w:prefixMappings="xmlns:ns0='http://purl.org/dc/elements/1.1/' xmlns:ns1='http://schemas.openxmlformats.org/package/2006/metadata/core-properties' " w:xpath="/ns1:coreProperties[1]/ns0:title[1]" w:storeItemID="{6C3C8BC8-F283-45AE-878A-BAB7291924A1}"/>
        <w:text/>
      </w:sdtPr>
      <w:sdtEndPr/>
      <w:sdtContent>
        <w:p w14:paraId="30B89106" w14:textId="77777777" w:rsidR="000F2EC1" w:rsidRPr="00D27C2D" w:rsidRDefault="009F02FE" w:rsidP="000F2EC1">
          <w:pPr>
            <w:pStyle w:val="Title"/>
            <w:ind w:right="-23"/>
          </w:pPr>
          <w:r>
            <w:t>Assessment Framework</w:t>
          </w:r>
        </w:p>
      </w:sdtContent>
    </w:sdt>
    <w:p w14:paraId="33A05B90" w14:textId="77777777" w:rsidR="000F2EC1" w:rsidRDefault="000F2EC1" w:rsidP="000F2EC1">
      <w:pPr>
        <w:pStyle w:val="Heading1"/>
      </w:pPr>
    </w:p>
    <w:p w14:paraId="29E5689F" w14:textId="77777777" w:rsidR="000F2EC1" w:rsidRPr="00545F8B" w:rsidRDefault="000F2EC1" w:rsidP="000F2EC1">
      <w:pPr>
        <w:pStyle w:val="Heading1"/>
      </w:pPr>
      <w:r w:rsidRPr="00545F8B">
        <w:t>Guiding Notes</w:t>
      </w:r>
      <w:bookmarkEnd w:id="3"/>
      <w:r>
        <w:t xml:space="preserve"> to support the application of the Assessment Framework</w:t>
      </w:r>
    </w:p>
    <w:p w14:paraId="60EB7646" w14:textId="77777777" w:rsidR="000F2EC1" w:rsidRPr="00DA4B29" w:rsidRDefault="000F2EC1" w:rsidP="00DA4B29">
      <w:pPr>
        <w:pStyle w:val="Heading2"/>
      </w:pPr>
      <w:r w:rsidRPr="00DA4B29">
        <w:t>How will the Assessment Framework apply to medical school proposals?</w:t>
      </w:r>
    </w:p>
    <w:p w14:paraId="44254574" w14:textId="77777777" w:rsidR="000F2EC1" w:rsidRPr="00DA4B29" w:rsidRDefault="000F2EC1" w:rsidP="00DA4B29">
      <w:pPr>
        <w:pStyle w:val="ListParagraph"/>
        <w:numPr>
          <w:ilvl w:val="0"/>
          <w:numId w:val="28"/>
        </w:numPr>
        <w:spacing w:line="240" w:lineRule="auto"/>
        <w:ind w:hanging="357"/>
      </w:pPr>
      <w:r w:rsidRPr="00DA4B29">
        <w:t>This Assessment Framework will apply to all medical school proposals for a new or expanded medical school or medical campus where a university seeks the Australian Government’s:</w:t>
      </w:r>
    </w:p>
    <w:p w14:paraId="64E64DCD" w14:textId="040B0AAC" w:rsidR="000F2EC1" w:rsidRPr="00DA4B29" w:rsidRDefault="000F2EC1" w:rsidP="00DA4B29">
      <w:pPr>
        <w:pStyle w:val="ListParagraph"/>
        <w:numPr>
          <w:ilvl w:val="1"/>
          <w:numId w:val="28"/>
        </w:numPr>
        <w:spacing w:line="240" w:lineRule="auto"/>
      </w:pPr>
      <w:r w:rsidRPr="00DA4B29">
        <w:t>approval to enrol students in medical Commonwealth supported places (CSPs) at a new medical school campus</w:t>
      </w:r>
      <w:r w:rsidR="00E10762" w:rsidRPr="00DA4B29">
        <w:t>,</w:t>
      </w:r>
      <w:r w:rsidRPr="00DA4B29">
        <w:t xml:space="preserve"> or</w:t>
      </w:r>
    </w:p>
    <w:p w14:paraId="7243A96E" w14:textId="36A518AA" w:rsidR="000F2EC1" w:rsidRPr="00DA4B29" w:rsidRDefault="000F2EC1" w:rsidP="00DA4B29">
      <w:pPr>
        <w:pStyle w:val="ListParagraph"/>
        <w:numPr>
          <w:ilvl w:val="1"/>
          <w:numId w:val="28"/>
        </w:numPr>
        <w:spacing w:line="240" w:lineRule="auto"/>
      </w:pPr>
      <w:r w:rsidRPr="00DA4B29">
        <w:t>allocation of medical CSPs</w:t>
      </w:r>
      <w:r w:rsidR="00E10762" w:rsidRPr="00DA4B29">
        <w:t>,</w:t>
      </w:r>
      <w:r w:rsidRPr="00DA4B29">
        <w:t xml:space="preserve"> or</w:t>
      </w:r>
    </w:p>
    <w:p w14:paraId="28C7D9BF" w14:textId="77777777" w:rsidR="000F2EC1" w:rsidRPr="00DA4B29" w:rsidRDefault="000F2EC1" w:rsidP="00DA4B29">
      <w:pPr>
        <w:pStyle w:val="ListParagraph"/>
        <w:numPr>
          <w:ilvl w:val="1"/>
          <w:numId w:val="28"/>
        </w:numPr>
        <w:spacing w:line="240" w:lineRule="auto"/>
      </w:pPr>
      <w:r w:rsidRPr="00DA4B29">
        <w:t>funding, including capital, transitional, Commonwealth Grant Scheme (CGS) or Higher Education Loan Program (HELP) funding.</w:t>
      </w:r>
    </w:p>
    <w:p w14:paraId="15F946BC" w14:textId="77777777" w:rsidR="000F2EC1" w:rsidRPr="00DA4B29" w:rsidRDefault="000F2EC1" w:rsidP="00DA4B29">
      <w:pPr>
        <w:pStyle w:val="ListParagraph"/>
        <w:numPr>
          <w:ilvl w:val="0"/>
          <w:numId w:val="28"/>
        </w:numPr>
        <w:spacing w:line="240" w:lineRule="auto"/>
        <w:ind w:hanging="357"/>
      </w:pPr>
      <w:r w:rsidRPr="00DA4B29">
        <w:t xml:space="preserve">Proposals that do not address all of the Assessment Framework criteria will not be accepted. </w:t>
      </w:r>
    </w:p>
    <w:p w14:paraId="171B65AD" w14:textId="598BEBD5" w:rsidR="000F2EC1" w:rsidRPr="00DA4B29" w:rsidRDefault="000F2EC1" w:rsidP="00DA4B29">
      <w:pPr>
        <w:pStyle w:val="ListParagraph"/>
        <w:numPr>
          <w:ilvl w:val="0"/>
          <w:numId w:val="28"/>
        </w:numPr>
        <w:spacing w:line="240" w:lineRule="auto"/>
        <w:ind w:hanging="357"/>
        <w:rPr>
          <w:b/>
          <w:bCs/>
        </w:rPr>
      </w:pPr>
      <w:r w:rsidRPr="00DA4B29">
        <w:t>National health workforce data and modelling do not support any change to the overall supply of medical graduates at the present time. Accordingly, any medical school proposal that seeks an allocation of new commencing medical CSPs will not be considered. Any medical CSPs required for a proposal must be sourced from within the existing national allocation of medical CSPs.</w:t>
      </w:r>
    </w:p>
    <w:p w14:paraId="11186D5A" w14:textId="77777777" w:rsidR="000F2EC1" w:rsidRPr="00DA4B29" w:rsidRDefault="000F2EC1" w:rsidP="00DA4B29">
      <w:pPr>
        <w:pStyle w:val="Heading2"/>
      </w:pPr>
      <w:r w:rsidRPr="00DA4B29">
        <w:t>When will proposals be considered by Government?</w:t>
      </w:r>
    </w:p>
    <w:p w14:paraId="7127BE74" w14:textId="117DF82C" w:rsidR="000F2EC1" w:rsidRPr="00DA4B29" w:rsidRDefault="000F2EC1" w:rsidP="00DA4B29">
      <w:pPr>
        <w:pStyle w:val="ListParagraph"/>
        <w:numPr>
          <w:ilvl w:val="0"/>
          <w:numId w:val="28"/>
        </w:numPr>
        <w:spacing w:line="240" w:lineRule="auto"/>
        <w:ind w:hanging="357"/>
      </w:pPr>
      <w:r w:rsidRPr="00DA4B29">
        <w:t>The Department of Health will undertake a triennial assessment of national medical workforce data to identify emerging workforce trends and priority areas for action. The Government will determine whether to call for proposals in line with this triennial assessment and submissions will be evaluated at that time using the Assessment Framework. Any proposals received outside of this process will generally not be considered.</w:t>
      </w:r>
    </w:p>
    <w:p w14:paraId="1CC26127" w14:textId="2DB714D0" w:rsidR="000F2EC1" w:rsidRPr="00DA4B29" w:rsidRDefault="000F2EC1" w:rsidP="00DA4B29">
      <w:pPr>
        <w:pStyle w:val="ListParagraph"/>
        <w:numPr>
          <w:ilvl w:val="0"/>
          <w:numId w:val="28"/>
        </w:numPr>
        <w:spacing w:line="240" w:lineRule="auto"/>
        <w:ind w:hanging="357"/>
      </w:pPr>
      <w:r w:rsidRPr="00DA4B29">
        <w:t xml:space="preserve">The Minister for Education and the minister with responsibility for medical schools policy </w:t>
      </w:r>
      <w:r w:rsidR="00514B3B">
        <w:t xml:space="preserve">within the Health portfolio </w:t>
      </w:r>
      <w:r w:rsidRPr="00DA4B29">
        <w:t xml:space="preserve">may jointly revise the Assessment Framework to reflect changing Government priorities over time as informed by the triennial medical workforce analysis. </w:t>
      </w:r>
    </w:p>
    <w:p w14:paraId="6815D621" w14:textId="2E2BFFED" w:rsidR="000F2EC1" w:rsidRPr="00DA4B29" w:rsidRDefault="000F2EC1" w:rsidP="00DA4B29">
      <w:pPr>
        <w:pStyle w:val="ListParagraph"/>
        <w:numPr>
          <w:ilvl w:val="0"/>
          <w:numId w:val="28"/>
        </w:numPr>
        <w:spacing w:line="240" w:lineRule="auto"/>
        <w:ind w:hanging="357"/>
      </w:pPr>
      <w:r w:rsidRPr="00DA4B29">
        <w:t>A</w:t>
      </w:r>
      <w:r w:rsidR="00562A96" w:rsidRPr="00DA4B29">
        <w:t xml:space="preserve"> </w:t>
      </w:r>
      <w:r w:rsidRPr="00DA4B29">
        <w:t>panel of senior staff established by the Department of Education and the Department of Health</w:t>
      </w:r>
      <w:r w:rsidR="00562A96" w:rsidRPr="00DA4B29">
        <w:t xml:space="preserve"> will assess all complete proposals</w:t>
      </w:r>
      <w:r w:rsidRPr="00DA4B29">
        <w:t xml:space="preserve">. The panel will have the relevant expertise to evaluate, rank and recommend proposals for funding. Panel members will </w:t>
      </w:r>
      <w:r w:rsidR="00562A96" w:rsidRPr="00DA4B29">
        <w:t xml:space="preserve">have </w:t>
      </w:r>
      <w:r w:rsidRPr="00DA4B29">
        <w:t xml:space="preserve">access </w:t>
      </w:r>
      <w:r w:rsidR="00562A96" w:rsidRPr="00DA4B29">
        <w:t xml:space="preserve">to </w:t>
      </w:r>
      <w:r w:rsidRPr="00DA4B29">
        <w:t>external expert advice when necessary. The panel will make recommendations to the Minister for Education for decision.</w:t>
      </w:r>
    </w:p>
    <w:p w14:paraId="28C49C56" w14:textId="2A7AA0C5" w:rsidR="000F2EC1" w:rsidRPr="00DA4B29" w:rsidRDefault="000F2EC1" w:rsidP="00DA4B29">
      <w:pPr>
        <w:pStyle w:val="ListParagraph"/>
        <w:numPr>
          <w:ilvl w:val="0"/>
          <w:numId w:val="28"/>
        </w:numPr>
        <w:spacing w:line="240" w:lineRule="auto"/>
        <w:ind w:hanging="357"/>
      </w:pPr>
      <w:r w:rsidRPr="00DA4B29">
        <w:t>The Minister for Education is responsible for allocating medical CSPs and consults with the minister with responsibility for medical schools policy</w:t>
      </w:r>
      <w:r w:rsidR="009150EC">
        <w:t xml:space="preserve"> within the Health portfolio</w:t>
      </w:r>
      <w:r w:rsidRPr="00DA4B29">
        <w:t>, on requests for medical places.</w:t>
      </w:r>
    </w:p>
    <w:p w14:paraId="19AE5BBF" w14:textId="77777777" w:rsidR="000F2EC1" w:rsidRDefault="000F2EC1" w:rsidP="000F2EC1">
      <w:pPr>
        <w:pStyle w:val="Heading2"/>
      </w:pPr>
    </w:p>
    <w:p w14:paraId="51027352" w14:textId="77777777" w:rsidR="000F2EC1" w:rsidRPr="00DA4B29" w:rsidRDefault="000F2EC1" w:rsidP="00DA4B29">
      <w:pPr>
        <w:pStyle w:val="Heading2"/>
      </w:pPr>
      <w:r w:rsidRPr="00DA4B29">
        <w:t>Who can bring forward a medical school proposal?</w:t>
      </w:r>
    </w:p>
    <w:p w14:paraId="660EEED2" w14:textId="77777777" w:rsidR="000F2EC1" w:rsidRPr="00DA4B29" w:rsidRDefault="000F2EC1" w:rsidP="00DA4B29">
      <w:pPr>
        <w:pStyle w:val="ListParagraph"/>
        <w:numPr>
          <w:ilvl w:val="0"/>
          <w:numId w:val="28"/>
        </w:numPr>
        <w:spacing w:line="240" w:lineRule="auto"/>
        <w:ind w:hanging="357"/>
      </w:pPr>
      <w:r w:rsidRPr="00DA4B29">
        <w:t xml:space="preserve">The national assessment of medical schools and medical places identified significant establishment and implementation challenges associated with proposals from universities seeking to be new providers of a medical school program. Because of the increased risk, proposals that involve a new medical school provider must be </w:t>
      </w:r>
      <w:r w:rsidR="00825C14" w:rsidRPr="00DA4B29">
        <w:t xml:space="preserve">made </w:t>
      </w:r>
      <w:r w:rsidRPr="00DA4B29">
        <w:t xml:space="preserve">in partnership with a university that already delivers a medical program. </w:t>
      </w:r>
    </w:p>
    <w:p w14:paraId="65ECECEA" w14:textId="77777777" w:rsidR="000F2EC1" w:rsidRPr="00DA4B29" w:rsidRDefault="000F2EC1" w:rsidP="00DA4B29">
      <w:pPr>
        <w:pStyle w:val="ListParagraph"/>
        <w:numPr>
          <w:ilvl w:val="0"/>
          <w:numId w:val="28"/>
        </w:numPr>
        <w:spacing w:line="240" w:lineRule="auto"/>
        <w:ind w:hanging="357"/>
      </w:pPr>
      <w:r w:rsidRPr="00DA4B29">
        <w:t xml:space="preserve">As proposals involving a new provider pose a greater risk, they will be subject to a higher level of scrutiny through the Assessment Framework. </w:t>
      </w:r>
    </w:p>
    <w:p w14:paraId="4D49CC29" w14:textId="77777777" w:rsidR="000F2EC1" w:rsidRPr="00DA4B29" w:rsidRDefault="000F2EC1" w:rsidP="00DA4B29">
      <w:pPr>
        <w:pStyle w:val="ListParagraph"/>
        <w:numPr>
          <w:ilvl w:val="0"/>
          <w:numId w:val="28"/>
        </w:numPr>
        <w:spacing w:line="240" w:lineRule="auto"/>
        <w:ind w:hanging="357"/>
      </w:pPr>
      <w:r w:rsidRPr="00DA4B29">
        <w:t>In recognition of the established capacity and experience of providers already delivering medical programs (i.e.</w:t>
      </w:r>
      <w:r w:rsidR="00825C14" w:rsidRPr="00DA4B29">
        <w:t>,</w:t>
      </w:r>
      <w:r w:rsidRPr="00DA4B29">
        <w:t xml:space="preserve"> established curriculum, medical educators, infrastructure and rural clinical training experience), medical school proposals from these providers may require a less comprehensive assessment and will be evaluated accordingly against the Assessment Framework. </w:t>
      </w:r>
    </w:p>
    <w:p w14:paraId="232A241A" w14:textId="77777777" w:rsidR="000F2EC1" w:rsidRPr="00DA4B29" w:rsidRDefault="000F2EC1" w:rsidP="00DA4B29">
      <w:pPr>
        <w:pStyle w:val="ListParagraph"/>
        <w:numPr>
          <w:ilvl w:val="0"/>
          <w:numId w:val="28"/>
        </w:numPr>
        <w:spacing w:line="240" w:lineRule="auto"/>
        <w:ind w:hanging="357"/>
      </w:pPr>
      <w:r w:rsidRPr="00DA4B29">
        <w:t>Small scale proposals, for example, where an existing medical school provider seeks to transfer some of its existing medical places to a new location, may also be subject to a less rigorous analysis against the Assessment Framework.</w:t>
      </w:r>
    </w:p>
    <w:p w14:paraId="22B7BFCE" w14:textId="77777777" w:rsidR="000F2EC1" w:rsidRPr="00DA4B29" w:rsidRDefault="000F2EC1" w:rsidP="00DA4B29">
      <w:pPr>
        <w:pStyle w:val="Heading2"/>
      </w:pPr>
      <w:r w:rsidRPr="00DA4B29">
        <w:t>What information must be contained in a medical school proposal?</w:t>
      </w:r>
    </w:p>
    <w:p w14:paraId="7E460AD0" w14:textId="77777777" w:rsidR="000F2EC1" w:rsidRPr="00DA4B29" w:rsidRDefault="000F2EC1" w:rsidP="00DA4B29">
      <w:pPr>
        <w:pStyle w:val="ListParagraph"/>
        <w:numPr>
          <w:ilvl w:val="0"/>
          <w:numId w:val="28"/>
        </w:numPr>
        <w:spacing w:line="240" w:lineRule="auto"/>
        <w:ind w:hanging="357"/>
      </w:pPr>
      <w:r w:rsidRPr="00DA4B29">
        <w:t>Medical school proposals must include the following information:</w:t>
      </w:r>
    </w:p>
    <w:p w14:paraId="6019CA9E" w14:textId="77777777" w:rsidR="000F2EC1" w:rsidRPr="00DA4B29" w:rsidRDefault="000F2EC1" w:rsidP="00DA4B29">
      <w:pPr>
        <w:pStyle w:val="ListParagraph"/>
        <w:numPr>
          <w:ilvl w:val="1"/>
          <w:numId w:val="28"/>
        </w:numPr>
        <w:spacing w:line="240" w:lineRule="auto"/>
      </w:pPr>
      <w:r w:rsidRPr="00DA4B29">
        <w:rPr>
          <w:i/>
          <w:iCs/>
        </w:rPr>
        <w:t>Scope of the proposal</w:t>
      </w:r>
      <w:r w:rsidRPr="00DA4B29">
        <w:t xml:space="preserve"> – details must clearly identify the scope and footprint of the proposed medical school and its activities.</w:t>
      </w:r>
    </w:p>
    <w:p w14:paraId="587EEF61" w14:textId="77777777" w:rsidR="000F2EC1" w:rsidRPr="00DA4B29" w:rsidRDefault="000F2EC1" w:rsidP="00DA4B29">
      <w:pPr>
        <w:pStyle w:val="ListParagraph"/>
        <w:numPr>
          <w:ilvl w:val="1"/>
          <w:numId w:val="28"/>
        </w:numPr>
        <w:spacing w:line="240" w:lineRule="auto"/>
      </w:pPr>
      <w:r w:rsidRPr="00DA4B29">
        <w:rPr>
          <w:i/>
          <w:iCs/>
        </w:rPr>
        <w:t>Student numbers</w:t>
      </w:r>
      <w:r w:rsidRPr="00DA4B29">
        <w:t xml:space="preserve"> – the number of medical CSPs being sought must be clearly identified.</w:t>
      </w:r>
    </w:p>
    <w:p w14:paraId="18B2503B" w14:textId="77777777" w:rsidR="000F2EC1" w:rsidRPr="00DA4B29" w:rsidRDefault="000F2EC1" w:rsidP="00DA4B29">
      <w:pPr>
        <w:pStyle w:val="ListParagraph"/>
        <w:numPr>
          <w:ilvl w:val="1"/>
          <w:numId w:val="28"/>
        </w:numPr>
        <w:spacing w:line="240" w:lineRule="auto"/>
      </w:pPr>
      <w:r w:rsidRPr="00DA4B29">
        <w:rPr>
          <w:i/>
          <w:iCs/>
        </w:rPr>
        <w:t>Costs</w:t>
      </w:r>
      <w:r w:rsidRPr="00DA4B29">
        <w:t xml:space="preserve"> – information must be provided on how all associated costs with the medical school will be funded. This should identify all funding sources including any funding sought from the Australian Government for the proposal and, if applicable, any associated Health portfolio costs for participation in Department of Health programs.</w:t>
      </w:r>
    </w:p>
    <w:p w14:paraId="0BBCA1CE" w14:textId="77777777" w:rsidR="000F2EC1" w:rsidRPr="00DA4B29" w:rsidRDefault="000F2EC1" w:rsidP="00DA4B29">
      <w:pPr>
        <w:pStyle w:val="ListParagraph"/>
        <w:numPr>
          <w:ilvl w:val="1"/>
          <w:numId w:val="28"/>
        </w:numPr>
        <w:spacing w:line="240" w:lineRule="auto"/>
      </w:pPr>
      <w:r w:rsidRPr="00DA4B29">
        <w:rPr>
          <w:i/>
          <w:iCs/>
        </w:rPr>
        <w:t>Proposed timelines</w:t>
      </w:r>
      <w:r w:rsidRPr="00DA4B29">
        <w:t xml:space="preserve"> – the timing for key aspects of the medical school development such as construction, recruitment, accreditation process and whether a staged rollout is envisaged over time, should be clearly detailed.</w:t>
      </w:r>
    </w:p>
    <w:p w14:paraId="5E98226B" w14:textId="1333ECAE" w:rsidR="000F2EC1" w:rsidRPr="00DA4B29" w:rsidRDefault="000F2EC1" w:rsidP="00DA4B29">
      <w:pPr>
        <w:pStyle w:val="ListParagraph"/>
        <w:numPr>
          <w:ilvl w:val="1"/>
          <w:numId w:val="28"/>
        </w:numPr>
        <w:spacing w:line="240" w:lineRule="auto"/>
      </w:pPr>
      <w:r w:rsidRPr="00DA4B29">
        <w:rPr>
          <w:i/>
          <w:iCs/>
        </w:rPr>
        <w:t>Evidence of consultation with the Australian Medical Council (AMC)</w:t>
      </w:r>
      <w:r w:rsidRPr="00DA4B29">
        <w:t xml:space="preserve"> – the AMC must be consulted prior to submission of any proposal due to the lengthy timeframe needed for AMC accreditation of new medical programs. Proposals should include information about the AMC’s preliminary views (see also Assessment Framework principle nine).</w:t>
      </w:r>
    </w:p>
    <w:p w14:paraId="0D6D40C2" w14:textId="77777777" w:rsidR="000F2EC1" w:rsidRPr="00DA4B29" w:rsidRDefault="000F2EC1" w:rsidP="00DA4B29">
      <w:pPr>
        <w:pStyle w:val="ListParagraph"/>
        <w:numPr>
          <w:ilvl w:val="1"/>
          <w:numId w:val="28"/>
        </w:numPr>
        <w:spacing w:line="240" w:lineRule="auto"/>
      </w:pPr>
      <w:r w:rsidRPr="00DA4B29">
        <w:rPr>
          <w:i/>
          <w:iCs/>
        </w:rPr>
        <w:t>Flagging an intention to participate in rural training initiatives funded by the Health portfolio</w:t>
      </w:r>
      <w:r w:rsidRPr="00DA4B29">
        <w:t xml:space="preserve"> – proposals that flag an intention to participate in rural training initiatives funded by the Department of Health must include detailed plans, consideration of training capacity, an outline of consultations with affected stakeholders and costings associated with the rural training initiatives as part of their proposal and developed following consultations with the Department of Health</w:t>
      </w:r>
    </w:p>
    <w:p w14:paraId="335A1CCE" w14:textId="77777777" w:rsidR="000F2EC1" w:rsidRPr="00DA4B29" w:rsidRDefault="000F2EC1" w:rsidP="00DA4B29">
      <w:pPr>
        <w:pStyle w:val="ListParagraph"/>
        <w:numPr>
          <w:ilvl w:val="1"/>
          <w:numId w:val="28"/>
        </w:numPr>
        <w:spacing w:line="240" w:lineRule="auto"/>
      </w:pPr>
      <w:r w:rsidRPr="00DA4B29">
        <w:rPr>
          <w:i/>
          <w:iCs/>
        </w:rPr>
        <w:t>Assessment Framework</w:t>
      </w:r>
      <w:r w:rsidRPr="00DA4B29">
        <w:t xml:space="preserve"> – all elements of the Assessment Framework must be addressed or the proposal will not be accepted for consideration.</w:t>
      </w:r>
    </w:p>
    <w:p w14:paraId="53D5FBF8" w14:textId="48E656C7" w:rsidR="00DA4B29" w:rsidRDefault="00DA4B29">
      <w:pPr>
        <w:spacing w:before="0" w:after="200"/>
        <w:rPr>
          <w:noProof/>
        </w:rPr>
      </w:pPr>
      <w:r>
        <w:rPr>
          <w:noProof/>
        </w:rPr>
        <w:br w:type="page"/>
      </w:r>
    </w:p>
    <w:bookmarkStart w:id="4" w:name="_Ref515627890" w:displacedByCustomXml="next"/>
    <w:sdt>
      <w:sdtPr>
        <w:alias w:val="Title"/>
        <w:id w:val="1287395575"/>
        <w:placeholder>
          <w:docPart w:val="DC299D1BBE6744FFAD570C02488E8BE2"/>
        </w:placeholder>
        <w:dataBinding w:prefixMappings="xmlns:ns0='http://purl.org/dc/elements/1.1/' xmlns:ns1='http://schemas.openxmlformats.org/package/2006/metadata/core-properties' " w:xpath="/ns1:coreProperties[1]/ns0:title[1]" w:storeItemID="{6C3C8BC8-F283-45AE-878A-BAB7291924A1}"/>
        <w:text/>
      </w:sdtPr>
      <w:sdtEndPr/>
      <w:sdtContent>
        <w:p w14:paraId="53302B4A" w14:textId="77777777" w:rsidR="000F2EC1" w:rsidRDefault="009F02FE" w:rsidP="000F2EC1">
          <w:pPr>
            <w:pStyle w:val="Heading1"/>
          </w:pPr>
          <w:r>
            <w:t>Assessment Framework</w:t>
          </w:r>
        </w:p>
      </w:sdtContent>
    </w:sdt>
    <w:bookmarkEnd w:id="4" w:displacedByCustomXml="prev"/>
    <w:p w14:paraId="79F999AF" w14:textId="77777777" w:rsidR="000F2EC1" w:rsidRPr="00DA4B29" w:rsidRDefault="000F2EC1" w:rsidP="00DA4B29">
      <w:pPr>
        <w:pStyle w:val="Heading2"/>
        <w:ind w:left="720" w:hanging="720"/>
      </w:pPr>
      <w:r w:rsidRPr="00DA4B29">
        <w:t>1.</w:t>
      </w:r>
      <w:r w:rsidRPr="00DA4B29">
        <w:tab/>
        <w:t>The proposal does not change the national supply of domestic medical graduates</w:t>
      </w:r>
    </w:p>
    <w:p w14:paraId="7789CCAD" w14:textId="3D289212" w:rsidR="000F2EC1" w:rsidRPr="00DA4B29" w:rsidRDefault="000F2EC1" w:rsidP="00DA4B29">
      <w:pPr>
        <w:spacing w:line="240" w:lineRule="auto"/>
        <w:ind w:left="426"/>
        <w:rPr>
          <w:noProof/>
        </w:rPr>
      </w:pPr>
      <w:r w:rsidRPr="00DA4B29">
        <w:rPr>
          <w:rFonts w:ascii="Calibri" w:hAnsi="Calibri" w:cs="Calibri"/>
          <w:u w:val="single"/>
        </w:rPr>
        <w:t>Note:</w:t>
      </w:r>
      <w:r w:rsidRPr="00DA4B29">
        <w:t xml:space="preserve"> This principle </w:t>
      </w:r>
      <w:r w:rsidR="00825C14" w:rsidRPr="00DA4B29">
        <w:t xml:space="preserve">will remain in place </w:t>
      </w:r>
      <w:r w:rsidRPr="00DA4B29">
        <w:t>until Department of Health medical workforce projections indicate a need for additional medical places.</w:t>
      </w:r>
    </w:p>
    <w:p w14:paraId="7C7DFDA8" w14:textId="77777777" w:rsidR="000F2EC1" w:rsidRPr="00DA4B29" w:rsidRDefault="000F2EC1" w:rsidP="00DA4B29">
      <w:pPr>
        <w:pStyle w:val="Heading2"/>
        <w:ind w:left="720" w:hanging="720"/>
      </w:pPr>
      <w:r w:rsidRPr="00DA4B29">
        <w:t>2.</w:t>
      </w:r>
      <w:r w:rsidRPr="00DA4B29">
        <w:tab/>
        <w:t xml:space="preserve">The proposal does not increase the number of domestic or international full fee paying medical students </w:t>
      </w:r>
    </w:p>
    <w:p w14:paraId="08791D21" w14:textId="77777777" w:rsidR="000F2EC1" w:rsidRPr="00DA4B29" w:rsidRDefault="000F2EC1" w:rsidP="00DA4B29">
      <w:pPr>
        <w:pStyle w:val="Heading2"/>
        <w:ind w:left="720" w:hanging="720"/>
      </w:pPr>
      <w:r w:rsidRPr="00DA4B29">
        <w:t>3.</w:t>
      </w:r>
      <w:r w:rsidRPr="00DA4B29">
        <w:tab/>
        <w:t>The proposal is either from a university with an existing medical school or from a university partnering with an existing medical school to leverage off the established capacity and experience of an already accredited provider</w:t>
      </w:r>
    </w:p>
    <w:p w14:paraId="295F41A6" w14:textId="77777777" w:rsidR="000F2EC1" w:rsidRPr="00DA4B29" w:rsidRDefault="000F2EC1" w:rsidP="00DA4B29">
      <w:pPr>
        <w:pStyle w:val="ListParagraph"/>
        <w:keepNext/>
        <w:numPr>
          <w:ilvl w:val="1"/>
          <w:numId w:val="29"/>
        </w:numPr>
        <w:spacing w:line="240" w:lineRule="auto"/>
      </w:pPr>
      <w:r w:rsidRPr="00DA4B29">
        <w:t xml:space="preserve">The proposal leverages existing investment in capital infrastructure within the region to support medical student programs. </w:t>
      </w:r>
    </w:p>
    <w:p w14:paraId="46663BCB" w14:textId="77777777" w:rsidR="000F2EC1" w:rsidRPr="00DA4B29" w:rsidRDefault="000F2EC1" w:rsidP="00DA4B29">
      <w:pPr>
        <w:pStyle w:val="ListParagraph"/>
        <w:keepNext/>
        <w:numPr>
          <w:ilvl w:val="1"/>
          <w:numId w:val="29"/>
        </w:numPr>
        <w:spacing w:line="240" w:lineRule="auto"/>
      </w:pPr>
      <w:r w:rsidRPr="00DA4B29">
        <w:t xml:space="preserve">The proposal demonstrates collaborative arrangements and partnerships that build on existing primary and postgraduate medical education training initiatives in the proposed region.  </w:t>
      </w:r>
    </w:p>
    <w:p w14:paraId="5B10C751" w14:textId="77777777" w:rsidR="000F2EC1" w:rsidRPr="00DA4B29" w:rsidRDefault="000F2EC1" w:rsidP="00DA4B29">
      <w:pPr>
        <w:pStyle w:val="ListParagraph"/>
        <w:keepNext/>
        <w:numPr>
          <w:ilvl w:val="1"/>
          <w:numId w:val="29"/>
        </w:numPr>
        <w:spacing w:line="240" w:lineRule="auto"/>
      </w:pPr>
      <w:r w:rsidRPr="00DA4B29">
        <w:t>For proponents that seek to partner with an existing medical school, the proposal demonstrates how the partnership will leverage off the established capacity and experience of already accredited providers/programs (i.e. their curriculum, medical educators, infrastructure and rural clinical training experience).</w:t>
      </w:r>
    </w:p>
    <w:p w14:paraId="2DBB4FD6" w14:textId="77777777" w:rsidR="000F2EC1" w:rsidRPr="00DA4B29" w:rsidRDefault="000F2EC1" w:rsidP="00DA4B29">
      <w:pPr>
        <w:pStyle w:val="Heading2"/>
        <w:ind w:left="720" w:hanging="720"/>
      </w:pPr>
      <w:r w:rsidRPr="00DA4B29">
        <w:t>4.</w:t>
      </w:r>
      <w:r w:rsidRPr="00DA4B29">
        <w:tab/>
        <w:t>The proposal increases medical workforce capacity in the region(s) of identified medical workforce need</w:t>
      </w:r>
    </w:p>
    <w:p w14:paraId="05F27D51" w14:textId="77777777" w:rsidR="000F2EC1" w:rsidRPr="00DA4B29" w:rsidRDefault="000F2EC1" w:rsidP="00DA4B29">
      <w:pPr>
        <w:pStyle w:val="ListParagraph"/>
        <w:numPr>
          <w:ilvl w:val="1"/>
          <w:numId w:val="30"/>
        </w:numPr>
        <w:spacing w:line="240" w:lineRule="auto"/>
      </w:pPr>
      <w:r w:rsidRPr="00DA4B29">
        <w:t>Evidence clearly demonstrates an undersupply of medical practitioners that the proposal will address.</w:t>
      </w:r>
    </w:p>
    <w:p w14:paraId="42BE4539" w14:textId="77777777" w:rsidR="000F2EC1" w:rsidRPr="00DA4B29" w:rsidRDefault="000F2EC1" w:rsidP="00DA4B29">
      <w:pPr>
        <w:pStyle w:val="ListParagraph"/>
        <w:numPr>
          <w:ilvl w:val="1"/>
          <w:numId w:val="30"/>
        </w:numPr>
        <w:spacing w:line="240" w:lineRule="auto"/>
      </w:pPr>
      <w:r w:rsidRPr="00DA4B29">
        <w:t>The evidence base is consistent with national, state, and/or regional medical workforce published data.</w:t>
      </w:r>
    </w:p>
    <w:p w14:paraId="18726969" w14:textId="77777777" w:rsidR="000F2EC1" w:rsidRPr="00DA4B29" w:rsidRDefault="000F2EC1" w:rsidP="00DA4B29">
      <w:pPr>
        <w:pStyle w:val="ListParagraph"/>
        <w:numPr>
          <w:ilvl w:val="1"/>
          <w:numId w:val="30"/>
        </w:numPr>
        <w:spacing w:line="240" w:lineRule="auto"/>
      </w:pPr>
      <w:r w:rsidRPr="00DA4B29">
        <w:t>The proposal clearly explains why the current medical training model is not addressing the undersupply and demonstrates how the proposed model will address the undersupply.</w:t>
      </w:r>
    </w:p>
    <w:p w14:paraId="7842A27B" w14:textId="77777777" w:rsidR="000F2EC1" w:rsidRPr="00DA4B29" w:rsidRDefault="000F2EC1" w:rsidP="00DA4B29">
      <w:pPr>
        <w:pStyle w:val="ListParagraph"/>
        <w:numPr>
          <w:ilvl w:val="1"/>
          <w:numId w:val="30"/>
        </w:numPr>
        <w:spacing w:line="240" w:lineRule="auto"/>
      </w:pPr>
      <w:r w:rsidRPr="00DA4B29">
        <w:t xml:space="preserve">The proposal includes a detailed rationale for the scale of the proposal which outlines the basis for the number of medical places required. </w:t>
      </w:r>
    </w:p>
    <w:p w14:paraId="2F603182" w14:textId="77777777" w:rsidR="000F2EC1" w:rsidRPr="00DA4B29" w:rsidRDefault="000F2EC1" w:rsidP="00DA4B29">
      <w:pPr>
        <w:pStyle w:val="ListParagraph"/>
        <w:numPr>
          <w:ilvl w:val="1"/>
          <w:numId w:val="30"/>
        </w:numPr>
        <w:spacing w:line="240" w:lineRule="auto"/>
      </w:pPr>
      <w:r w:rsidRPr="00DA4B29">
        <w:t>If the proposed medical school plans to operate in the same region as an existing medical school:</w:t>
      </w:r>
    </w:p>
    <w:p w14:paraId="18582690" w14:textId="77777777" w:rsidR="000F2EC1" w:rsidRPr="00DA4B29" w:rsidRDefault="000F2EC1" w:rsidP="00DA4B29">
      <w:pPr>
        <w:pStyle w:val="ListParagraph"/>
        <w:numPr>
          <w:ilvl w:val="2"/>
          <w:numId w:val="30"/>
        </w:numPr>
        <w:spacing w:line="240" w:lineRule="auto"/>
      </w:pPr>
      <w:r w:rsidRPr="00DA4B29">
        <w:t>medical workforce evidence is provided demonstrating the need for additional medical places in the region.</w:t>
      </w:r>
    </w:p>
    <w:p w14:paraId="08CC3017" w14:textId="77777777" w:rsidR="000F2EC1" w:rsidRPr="00DA4B29" w:rsidRDefault="000F2EC1" w:rsidP="00DA4B29">
      <w:pPr>
        <w:pStyle w:val="ListParagraph"/>
        <w:numPr>
          <w:ilvl w:val="2"/>
          <w:numId w:val="30"/>
        </w:numPr>
        <w:spacing w:line="240" w:lineRule="auto"/>
      </w:pPr>
      <w:r w:rsidRPr="00DA4B29">
        <w:t>the university provides a sound rationale for the need for an additional provider that takes account of potential duplication and/or displacement of existing teaching provision, clinical placement availability and synergies with existing infrastructure and other resources.</w:t>
      </w:r>
    </w:p>
    <w:p w14:paraId="1C5DAAAA" w14:textId="77777777" w:rsidR="000F2EC1" w:rsidRPr="00DA4B29" w:rsidRDefault="000F2EC1" w:rsidP="00DA4B29">
      <w:pPr>
        <w:pStyle w:val="Heading2"/>
        <w:ind w:left="720" w:hanging="720"/>
      </w:pPr>
      <w:r w:rsidRPr="00DA4B29">
        <w:t>5.</w:t>
      </w:r>
      <w:r w:rsidRPr="00DA4B29">
        <w:tab/>
        <w:t>Any proposal seeking a redistribution of existing medical places demonstrates it will deliver positive medical workforce outcomes that are superior to or cannot be achieved through existing arrangements</w:t>
      </w:r>
    </w:p>
    <w:p w14:paraId="5068FA19" w14:textId="77777777" w:rsidR="000F2EC1" w:rsidRPr="00DA4B29" w:rsidRDefault="000F2EC1" w:rsidP="00DA4B29">
      <w:pPr>
        <w:pStyle w:val="ListParagraph"/>
        <w:numPr>
          <w:ilvl w:val="0"/>
          <w:numId w:val="31"/>
        </w:numPr>
        <w:spacing w:line="240" w:lineRule="auto"/>
      </w:pPr>
      <w:r w:rsidRPr="00DA4B29">
        <w:t xml:space="preserve">The proposal must explain why places cannot be utilised from within the proponents existing allocation of places to implement the proposal. </w:t>
      </w:r>
    </w:p>
    <w:p w14:paraId="664F6FB7" w14:textId="77777777" w:rsidR="000F2EC1" w:rsidRPr="00DA4B29" w:rsidRDefault="000F2EC1" w:rsidP="00DA4B29">
      <w:pPr>
        <w:pStyle w:val="ListParagraph"/>
        <w:numPr>
          <w:ilvl w:val="0"/>
          <w:numId w:val="31"/>
        </w:numPr>
        <w:spacing w:line="240" w:lineRule="auto"/>
      </w:pPr>
      <w:r w:rsidRPr="00DA4B29">
        <w:t xml:space="preserve">The proposal demonstrates how its alternative model of medical education will deliver stronger medical workforce outcomes than what is being achieved under existing training models in the region. </w:t>
      </w:r>
    </w:p>
    <w:p w14:paraId="107DA922" w14:textId="77777777" w:rsidR="000F2EC1" w:rsidRPr="00DA4B29" w:rsidRDefault="000F2EC1" w:rsidP="00DA4B29">
      <w:pPr>
        <w:pStyle w:val="ListParagraph"/>
        <w:numPr>
          <w:ilvl w:val="0"/>
          <w:numId w:val="31"/>
        </w:numPr>
        <w:spacing w:line="240" w:lineRule="auto"/>
      </w:pPr>
      <w:r w:rsidRPr="00DA4B29">
        <w:t xml:space="preserve">The proposal includes a rationale backed by strong evidence detailing how its alternative model of medical education adopts best practice strategies to effect positive changes to the medical workforce distribution in the proposed region compared with current training models, including delivering a better quality, more positive training experience. </w:t>
      </w:r>
    </w:p>
    <w:p w14:paraId="3FCE352C" w14:textId="77777777" w:rsidR="000F2EC1" w:rsidRPr="00DA4B29" w:rsidRDefault="000F2EC1" w:rsidP="00DA4B29">
      <w:pPr>
        <w:pStyle w:val="ListParagraph"/>
        <w:numPr>
          <w:ilvl w:val="0"/>
          <w:numId w:val="31"/>
        </w:numPr>
        <w:spacing w:line="240" w:lineRule="auto"/>
      </w:pPr>
      <w:r w:rsidRPr="00DA4B29">
        <w:t>The benefits of any proposed additional investment need to clearly demonstrate that the proposed outcomes for medical students, local health services and the local population would be superior to or cannot be achieved through existing arrangements.</w:t>
      </w:r>
    </w:p>
    <w:p w14:paraId="64DABF2F" w14:textId="77777777" w:rsidR="000F2EC1" w:rsidRPr="00DA4B29" w:rsidRDefault="000F2EC1" w:rsidP="00DA4B29">
      <w:pPr>
        <w:pStyle w:val="ListParagraph"/>
        <w:numPr>
          <w:ilvl w:val="0"/>
          <w:numId w:val="31"/>
        </w:numPr>
        <w:spacing w:line="240" w:lineRule="auto"/>
      </w:pPr>
      <w:r w:rsidRPr="00DA4B29">
        <w:t>The proposal includes a detailed plan articulating how all the transition risks associated with the establishment of the proposed medical school would be appropriately managed and mitigated to ensure minimal or no impact to the provision of existing medical education programs and to the integrity of existing training pathways.</w:t>
      </w:r>
    </w:p>
    <w:p w14:paraId="36E564FC" w14:textId="77777777" w:rsidR="000F2EC1" w:rsidRPr="00DA4B29" w:rsidRDefault="000F2EC1" w:rsidP="00DA4B29">
      <w:pPr>
        <w:pStyle w:val="Heading2"/>
        <w:ind w:left="720" w:hanging="720"/>
      </w:pPr>
      <w:r w:rsidRPr="00DA4B29">
        <w:t>6.</w:t>
      </w:r>
      <w:r w:rsidRPr="00DA4B29">
        <w:tab/>
        <w:t>The proposal identifies training pathways across each stage of the medical training pipeline from medical student to junior doctor to specialist trainee</w:t>
      </w:r>
    </w:p>
    <w:p w14:paraId="195FFB81" w14:textId="77777777" w:rsidR="000F2EC1" w:rsidRPr="00DA4B29" w:rsidRDefault="000F2EC1" w:rsidP="00DA4B29">
      <w:pPr>
        <w:pStyle w:val="ListParagraph"/>
        <w:numPr>
          <w:ilvl w:val="1"/>
          <w:numId w:val="32"/>
        </w:numPr>
        <w:spacing w:line="240" w:lineRule="auto"/>
      </w:pPr>
      <w:r w:rsidRPr="00DA4B29">
        <w:t>The proposal demonstrates the capacity for and evidence of an integrated approach across the medical training pipeline, connecting the medical school program with junior doctor and specialist training in the proposed region.</w:t>
      </w:r>
    </w:p>
    <w:p w14:paraId="1240432E" w14:textId="77777777" w:rsidR="000F2EC1" w:rsidRPr="00DA4B29" w:rsidRDefault="000F2EC1" w:rsidP="00DA4B29">
      <w:pPr>
        <w:pStyle w:val="ListParagraph"/>
        <w:numPr>
          <w:ilvl w:val="1"/>
          <w:numId w:val="32"/>
        </w:numPr>
        <w:spacing w:line="240" w:lineRule="auto"/>
      </w:pPr>
      <w:r w:rsidRPr="00DA4B29">
        <w:t>The proposal demonstrates how it will build on Commonwealth initiatives, such as the Integrated Rural Training Pipeline and Rural Workforce Agency Program, which aim to help retain medical graduates in rural areas by better coordinating the different stages of medical training.</w:t>
      </w:r>
    </w:p>
    <w:p w14:paraId="465E01D8" w14:textId="77777777" w:rsidR="000F2EC1" w:rsidRPr="00DA4B29" w:rsidRDefault="000F2EC1" w:rsidP="00DA4B29">
      <w:pPr>
        <w:pStyle w:val="ListParagraph"/>
        <w:numPr>
          <w:ilvl w:val="1"/>
          <w:numId w:val="32"/>
        </w:numPr>
        <w:spacing w:line="240" w:lineRule="auto"/>
      </w:pPr>
      <w:r w:rsidRPr="00DA4B29">
        <w:t>The proposal indicates the state/territory programs in place to ensure continuation of medical education and training in the region(s) of identified workforce need for doctors in training, following completion of the medical degree and provides evidence of support from relevant jurisdiction(s) and their regional health services.</w:t>
      </w:r>
    </w:p>
    <w:p w14:paraId="1F7995E9" w14:textId="77777777" w:rsidR="000F2EC1" w:rsidRPr="00DA4B29" w:rsidRDefault="000F2EC1" w:rsidP="00DA4B29">
      <w:pPr>
        <w:pStyle w:val="Heading2"/>
        <w:ind w:left="720" w:hanging="720"/>
      </w:pPr>
      <w:r w:rsidRPr="00DA4B29">
        <w:t>7.</w:t>
      </w:r>
      <w:r w:rsidRPr="00DA4B29">
        <w:tab/>
        <w:t>The proposal expands opportunities for students from disadvantaged backgrounds</w:t>
      </w:r>
    </w:p>
    <w:p w14:paraId="1678C857" w14:textId="77777777" w:rsidR="000F2EC1" w:rsidRPr="00DA4B29" w:rsidRDefault="000F2EC1" w:rsidP="00DA4B29">
      <w:pPr>
        <w:pStyle w:val="ListParagraph"/>
        <w:numPr>
          <w:ilvl w:val="0"/>
          <w:numId w:val="33"/>
        </w:numPr>
        <w:spacing w:line="240" w:lineRule="auto"/>
      </w:pPr>
      <w:r w:rsidRPr="00DA4B29">
        <w:t>The proposal provides a demographic profile indicating socio-economic disadvantage of the region in which the medical school will operate (including low socio-economic status students, Aboriginal and Torres Strait Islander students, students with a disability, and other disadvantaged groups).</w:t>
      </w:r>
    </w:p>
    <w:p w14:paraId="32AA6A07" w14:textId="77777777" w:rsidR="000F2EC1" w:rsidRPr="00DA4B29" w:rsidRDefault="000F2EC1" w:rsidP="00DA4B29">
      <w:pPr>
        <w:pStyle w:val="ListParagraph"/>
        <w:numPr>
          <w:ilvl w:val="0"/>
          <w:numId w:val="33"/>
        </w:numPr>
        <w:spacing w:line="240" w:lineRule="auto"/>
      </w:pPr>
      <w:r w:rsidRPr="00DA4B29">
        <w:t>The proposal includes a recruitment strategy, including data, for enrolling students from disadvantaged backgrounds and increasing their participation levels over time.</w:t>
      </w:r>
    </w:p>
    <w:p w14:paraId="4EB25FC4" w14:textId="77777777" w:rsidR="000F2EC1" w:rsidRPr="00DA4B29" w:rsidRDefault="000F2EC1" w:rsidP="00DA4B29">
      <w:pPr>
        <w:pStyle w:val="ListParagraph"/>
        <w:numPr>
          <w:ilvl w:val="0"/>
          <w:numId w:val="33"/>
        </w:numPr>
        <w:spacing w:line="240" w:lineRule="auto"/>
      </w:pPr>
      <w:r w:rsidRPr="00DA4B29">
        <w:t>The proposal describes support structures that will be in place to assist disadvantaged students to complete their medical course.</w:t>
      </w:r>
    </w:p>
    <w:p w14:paraId="2C10B826" w14:textId="245082DF" w:rsidR="000F2EC1" w:rsidRPr="00DA4B29" w:rsidRDefault="000F2EC1" w:rsidP="00DA4B29">
      <w:pPr>
        <w:pStyle w:val="Heading2"/>
        <w:ind w:left="720" w:hanging="720"/>
      </w:pPr>
      <w:r w:rsidRPr="00DA4B29">
        <w:t>8.</w:t>
      </w:r>
      <w:r w:rsidRPr="00DA4B29">
        <w:tab/>
        <w:t>The proposal’s student recruitment strategy</w:t>
      </w:r>
      <w:r w:rsidR="00825C14" w:rsidRPr="00DA4B29">
        <w:t>,</w:t>
      </w:r>
      <w:r w:rsidRPr="00DA4B29">
        <w:t xml:space="preserve"> training arrangements</w:t>
      </w:r>
      <w:r w:rsidR="00825C14" w:rsidRPr="00DA4B29">
        <w:t>,</w:t>
      </w:r>
      <w:r w:rsidRPr="00DA4B29">
        <w:t xml:space="preserve"> and curriculum are tailored to address the region(s) of identified medical workforce need</w:t>
      </w:r>
    </w:p>
    <w:p w14:paraId="18754A65" w14:textId="77777777" w:rsidR="000F2EC1" w:rsidRPr="00DA4B29" w:rsidRDefault="000F2EC1" w:rsidP="00DA4B29">
      <w:pPr>
        <w:pStyle w:val="ListParagraph"/>
        <w:numPr>
          <w:ilvl w:val="0"/>
          <w:numId w:val="34"/>
        </w:numPr>
        <w:spacing w:line="240" w:lineRule="auto"/>
      </w:pPr>
      <w:r w:rsidRPr="00DA4B29">
        <w:t xml:space="preserve">The proposal details a student recruitment strategy that is targeted to addressing the identified maldistribution of the medical workforce in the proposed region. </w:t>
      </w:r>
    </w:p>
    <w:p w14:paraId="66B3CE32" w14:textId="77777777" w:rsidR="00825C14" w:rsidRPr="00DA4B29" w:rsidRDefault="000F2EC1" w:rsidP="00DA4B29">
      <w:pPr>
        <w:pStyle w:val="ListParagraph"/>
        <w:numPr>
          <w:ilvl w:val="0"/>
          <w:numId w:val="34"/>
        </w:numPr>
        <w:spacing w:line="240" w:lineRule="auto"/>
      </w:pPr>
      <w:r w:rsidRPr="00DA4B29">
        <w:t xml:space="preserve">The proposal details a targeted clinical training strategy, including the duration and setting of clinical placements, to address the identified maldistribution of the medical workforce in the proposed region. </w:t>
      </w:r>
    </w:p>
    <w:p w14:paraId="1AFA3546" w14:textId="77777777" w:rsidR="00825C14" w:rsidRPr="00DA4B29" w:rsidRDefault="00825C14">
      <w:pPr>
        <w:spacing w:before="0" w:after="200"/>
      </w:pPr>
      <w:r w:rsidRPr="00DA4B29">
        <w:br w:type="page"/>
      </w:r>
    </w:p>
    <w:p w14:paraId="58A6880D" w14:textId="77777777" w:rsidR="000F2EC1" w:rsidRPr="00DA4B29" w:rsidRDefault="000F2EC1" w:rsidP="00DA4B29">
      <w:pPr>
        <w:pStyle w:val="ListParagraph"/>
        <w:numPr>
          <w:ilvl w:val="0"/>
          <w:numId w:val="34"/>
        </w:numPr>
        <w:spacing w:line="240" w:lineRule="auto"/>
      </w:pPr>
      <w:r w:rsidRPr="00DA4B29">
        <w:t>The proposal indicates how the course curriculum will prepare students to work in the proposed region(s) of identified medical workforce need once their course is completed. If the curriculum is modelled on that of another institution the rationale and local versioning and appropriateness of that must be described in the proposal.</w:t>
      </w:r>
    </w:p>
    <w:p w14:paraId="07BE4D4B" w14:textId="77777777" w:rsidR="000F2EC1" w:rsidRPr="00DA4B29" w:rsidRDefault="000F2EC1" w:rsidP="00DA4B29">
      <w:pPr>
        <w:pStyle w:val="Heading2"/>
        <w:ind w:left="720" w:hanging="720"/>
      </w:pPr>
      <w:r w:rsidRPr="00DA4B29">
        <w:t>9.</w:t>
      </w:r>
      <w:r w:rsidRPr="00DA4B29">
        <w:tab/>
        <w:t>The proposal sufficiently details the network of clinical providers who will be engaged in the implementation of the proposed medical program to enable students to complete the course requirements</w:t>
      </w:r>
    </w:p>
    <w:p w14:paraId="2AA7DF4F" w14:textId="77777777" w:rsidR="000F2EC1" w:rsidRPr="00DA4B29" w:rsidRDefault="000F2EC1" w:rsidP="00DA4B29">
      <w:pPr>
        <w:pStyle w:val="ListParagraph"/>
        <w:numPr>
          <w:ilvl w:val="1"/>
          <w:numId w:val="35"/>
        </w:numPr>
        <w:spacing w:line="240" w:lineRule="auto"/>
      </w:pPr>
      <w:r w:rsidRPr="00DA4B29">
        <w:t>The proposal includes evidence of in-principle agreement from health providers to provide, at a minimum, the clinical training places required to enable medical students to complete the course requirements.</w:t>
      </w:r>
    </w:p>
    <w:p w14:paraId="052EA1DC" w14:textId="77777777" w:rsidR="000F2EC1" w:rsidRPr="00DA4B29" w:rsidRDefault="000F2EC1" w:rsidP="00DA4B29">
      <w:pPr>
        <w:pStyle w:val="ListParagraph"/>
        <w:numPr>
          <w:ilvl w:val="1"/>
          <w:numId w:val="35"/>
        </w:numPr>
        <w:spacing w:line="240" w:lineRule="auto"/>
      </w:pPr>
      <w:r w:rsidRPr="00DA4B29">
        <w:t>The proposal includes an assurance from each clinical training placement provider that agreeing to provide the clinical placements will not displace training placements already provided for medical students and doctors in training.</w:t>
      </w:r>
    </w:p>
    <w:p w14:paraId="69042553" w14:textId="77777777" w:rsidR="000F2EC1" w:rsidRPr="00DA4B29" w:rsidRDefault="000F2EC1" w:rsidP="00DA4B29">
      <w:pPr>
        <w:pStyle w:val="ListParagraph"/>
        <w:numPr>
          <w:ilvl w:val="1"/>
          <w:numId w:val="35"/>
        </w:numPr>
        <w:spacing w:line="240" w:lineRule="auto"/>
      </w:pPr>
      <w:r w:rsidRPr="00DA4B29">
        <w:t xml:space="preserve">The proposal includes evidence of available supervisory capacity for clinical training placements and details how it will not exacerbate supervisory shortages across all stages of medical training. </w:t>
      </w:r>
    </w:p>
    <w:p w14:paraId="5F18C807" w14:textId="77777777" w:rsidR="000F2EC1" w:rsidRPr="00DA4B29" w:rsidRDefault="000F2EC1" w:rsidP="00DA4B29">
      <w:pPr>
        <w:pStyle w:val="ListParagraph"/>
        <w:numPr>
          <w:ilvl w:val="1"/>
          <w:numId w:val="35"/>
        </w:numPr>
        <w:spacing w:line="240" w:lineRule="auto"/>
      </w:pPr>
      <w:r w:rsidRPr="00DA4B29">
        <w:t>The proposal includes an indication that the proposed medical program is likely to meet the Australian Medical Council accreditation requirements concerning the provision of adequate clinical training teaching, places and supervision.</w:t>
      </w:r>
    </w:p>
    <w:p w14:paraId="54BE9D71" w14:textId="77777777" w:rsidR="000F2EC1" w:rsidRPr="00DA4B29" w:rsidRDefault="000F2EC1" w:rsidP="00DA4B29">
      <w:pPr>
        <w:pStyle w:val="Heading2"/>
        <w:ind w:left="720" w:hanging="720"/>
      </w:pPr>
      <w:r w:rsidRPr="00DA4B29">
        <w:t>10.</w:t>
      </w:r>
      <w:r w:rsidRPr="00DA4B29">
        <w:tab/>
        <w:t>The proposal demonstrates effective governance processes and staff recruitment strategies to implement the proposed medical program</w:t>
      </w:r>
    </w:p>
    <w:p w14:paraId="2FAADD48" w14:textId="77777777" w:rsidR="000F2EC1" w:rsidRPr="00DA4B29" w:rsidRDefault="000F2EC1" w:rsidP="00DA4B29">
      <w:pPr>
        <w:pStyle w:val="ListParagraph"/>
        <w:numPr>
          <w:ilvl w:val="0"/>
          <w:numId w:val="36"/>
        </w:numPr>
        <w:spacing w:line="240" w:lineRule="auto"/>
      </w:pPr>
      <w:r w:rsidRPr="00DA4B29">
        <w:t>The proposal sufficiently details a recruitment plan for clinical academic leadership within the proposed medical program including:</w:t>
      </w:r>
    </w:p>
    <w:p w14:paraId="48F7D5D8" w14:textId="77777777" w:rsidR="000F2EC1" w:rsidRPr="00DA4B29" w:rsidRDefault="000F2EC1" w:rsidP="00DA4B29">
      <w:pPr>
        <w:pStyle w:val="ListParagraph"/>
        <w:numPr>
          <w:ilvl w:val="2"/>
          <w:numId w:val="37"/>
        </w:numPr>
        <w:spacing w:line="240" w:lineRule="auto"/>
        <w:ind w:left="2127" w:hanging="142"/>
      </w:pPr>
      <w:r w:rsidRPr="00DA4B29">
        <w:t xml:space="preserve">the formal appointment of a Medical School Dean well in advance of the establishment of the medical program to lead all planning, development, recruitment and transition processes. </w:t>
      </w:r>
    </w:p>
    <w:p w14:paraId="66D38C45" w14:textId="77777777" w:rsidR="000F2EC1" w:rsidRPr="00DA4B29" w:rsidRDefault="000F2EC1" w:rsidP="00DA4B29">
      <w:pPr>
        <w:pStyle w:val="ListParagraph"/>
        <w:numPr>
          <w:ilvl w:val="2"/>
          <w:numId w:val="37"/>
        </w:numPr>
        <w:spacing w:line="240" w:lineRule="auto"/>
        <w:ind w:left="2127" w:hanging="142"/>
      </w:pPr>
      <w:r w:rsidRPr="00DA4B29">
        <w:t xml:space="preserve">retention strategies to maintain the required academic workforce across the proposed regions. </w:t>
      </w:r>
    </w:p>
    <w:p w14:paraId="5CB913DF" w14:textId="77777777" w:rsidR="000F2EC1" w:rsidRPr="00DA4B29" w:rsidRDefault="000F2EC1" w:rsidP="00DA4B29">
      <w:pPr>
        <w:pStyle w:val="ListParagraph"/>
        <w:numPr>
          <w:ilvl w:val="0"/>
          <w:numId w:val="37"/>
        </w:numPr>
        <w:spacing w:line="240" w:lineRule="auto"/>
      </w:pPr>
      <w:r w:rsidRPr="00DA4B29">
        <w:t>The proposal demonstrates robust and effective governance processes, including the ability to effectively coordinate staff and students across multiple campuses and training facilities to maintain consistency in the delivery of the medical program.</w:t>
      </w:r>
    </w:p>
    <w:p w14:paraId="433C45ED" w14:textId="77777777" w:rsidR="000F2EC1" w:rsidRPr="00DA4B29" w:rsidRDefault="000F2EC1" w:rsidP="00DA4B29">
      <w:pPr>
        <w:pStyle w:val="Heading2"/>
        <w:ind w:left="720" w:hanging="720"/>
      </w:pPr>
      <w:r w:rsidRPr="00DA4B29">
        <w:t>11.</w:t>
      </w:r>
      <w:r w:rsidRPr="00DA4B29">
        <w:tab/>
        <w:t>The relevant state/territory government guarantees support for the proposal, including provision of the necessary clinical training and supervision, internships and specialist training places through each stage of the medical training pipeline</w:t>
      </w:r>
    </w:p>
    <w:p w14:paraId="7A536EDC" w14:textId="77777777" w:rsidR="000F2EC1" w:rsidRPr="00DA4B29" w:rsidRDefault="000F2EC1" w:rsidP="00DA4B29">
      <w:pPr>
        <w:pStyle w:val="ListParagraph"/>
        <w:numPr>
          <w:ilvl w:val="0"/>
          <w:numId w:val="38"/>
        </w:numPr>
        <w:spacing w:line="240" w:lineRule="auto"/>
      </w:pPr>
      <w:r w:rsidRPr="00DA4B29">
        <w:t xml:space="preserve">Evidence of strong support for the medical school proposal is provided from jurisdiction/s where the medical school will be located. </w:t>
      </w:r>
    </w:p>
    <w:p w14:paraId="6DD0DEFC" w14:textId="77777777" w:rsidR="000F2EC1" w:rsidRPr="00DA4B29" w:rsidRDefault="000F2EC1" w:rsidP="00DA4B29">
      <w:pPr>
        <w:pStyle w:val="ListParagraph"/>
        <w:numPr>
          <w:ilvl w:val="0"/>
          <w:numId w:val="38"/>
        </w:numPr>
        <w:spacing w:line="240" w:lineRule="auto"/>
      </w:pPr>
      <w:r w:rsidRPr="00DA4B29">
        <w:t xml:space="preserve">Evidence includes a state/territory government guarantee to provide ongoing funding for the required clinical training and supervision, internships and specialist training places required to enable the students to become medical practitioners. </w:t>
      </w:r>
    </w:p>
    <w:p w14:paraId="01076D80" w14:textId="77777777" w:rsidR="000F2EC1" w:rsidRPr="00DA4B29" w:rsidRDefault="000F2EC1" w:rsidP="00DA4B29">
      <w:pPr>
        <w:pStyle w:val="ListParagraph"/>
        <w:numPr>
          <w:ilvl w:val="0"/>
          <w:numId w:val="38"/>
        </w:numPr>
        <w:spacing w:line="240" w:lineRule="auto"/>
      </w:pPr>
      <w:r w:rsidRPr="00DA4B29">
        <w:t>The proposal includes a state/territory government guarantee to provide a funding contribution towards establishing the proposed medical program. This could involve a capital or transitional funding contribution or a commitment to provide land for the medical school site.</w:t>
      </w:r>
    </w:p>
    <w:p w14:paraId="15007609" w14:textId="77777777" w:rsidR="000F2EC1" w:rsidRPr="00DA4B29" w:rsidRDefault="000F2EC1" w:rsidP="000F2EC1">
      <w:pPr>
        <w:spacing w:before="0" w:after="200"/>
      </w:pPr>
      <w:r w:rsidRPr="00DA4B29">
        <w:br w:type="page"/>
      </w:r>
    </w:p>
    <w:p w14:paraId="625E6BE1" w14:textId="77777777" w:rsidR="000F2EC1" w:rsidRPr="00DA4B29" w:rsidRDefault="000F2EC1" w:rsidP="00DA4B29">
      <w:pPr>
        <w:pStyle w:val="Heading2"/>
        <w:ind w:left="720" w:hanging="720"/>
      </w:pPr>
      <w:r w:rsidRPr="00DA4B29">
        <w:t>12.</w:t>
      </w:r>
      <w:r w:rsidRPr="00DA4B29">
        <w:tab/>
        <w:t>The proposal is affordable and presents value for money to the Commonwealth</w:t>
      </w:r>
    </w:p>
    <w:p w14:paraId="5B5D8149" w14:textId="77777777" w:rsidR="000F2EC1" w:rsidRPr="00DA4B29" w:rsidRDefault="000F2EC1" w:rsidP="00DA4B29">
      <w:pPr>
        <w:pStyle w:val="ListParagraph"/>
        <w:numPr>
          <w:ilvl w:val="0"/>
          <w:numId w:val="39"/>
        </w:numPr>
        <w:spacing w:line="240" w:lineRule="auto"/>
      </w:pPr>
      <w:r w:rsidRPr="00DA4B29">
        <w:t>Commonwealth funding towards the proposal represents an effective use of taxpayer money. This could be achieved through:</w:t>
      </w:r>
    </w:p>
    <w:p w14:paraId="2D35B299" w14:textId="77777777" w:rsidR="000F2EC1" w:rsidRPr="00DA4B29" w:rsidRDefault="000F2EC1" w:rsidP="00DA4B29">
      <w:pPr>
        <w:pStyle w:val="ListParagraph"/>
        <w:numPr>
          <w:ilvl w:val="2"/>
          <w:numId w:val="29"/>
        </w:numPr>
        <w:spacing w:line="240" w:lineRule="auto"/>
      </w:pPr>
      <w:r w:rsidRPr="00DA4B29">
        <w:t>Partnership arrangements with existing institutions (co-located facilities with other education/health providers, partnering with research institutes).</w:t>
      </w:r>
    </w:p>
    <w:p w14:paraId="001172B3" w14:textId="77777777" w:rsidR="000F2EC1" w:rsidRPr="00DA4B29" w:rsidRDefault="000F2EC1" w:rsidP="00DA4B29">
      <w:pPr>
        <w:pStyle w:val="ListParagraph"/>
        <w:numPr>
          <w:ilvl w:val="2"/>
          <w:numId w:val="29"/>
        </w:numPr>
        <w:spacing w:line="240" w:lineRule="auto"/>
      </w:pPr>
      <w:r w:rsidRPr="00DA4B29">
        <w:t>Co-investment from local /state governments, the private sector, charitable organisations or the university.</w:t>
      </w:r>
    </w:p>
    <w:p w14:paraId="3869EBB5" w14:textId="77777777" w:rsidR="000F2EC1" w:rsidRPr="00DA4B29" w:rsidRDefault="000F2EC1" w:rsidP="00DA4B29">
      <w:pPr>
        <w:pStyle w:val="ListParagraph"/>
        <w:numPr>
          <w:ilvl w:val="0"/>
          <w:numId w:val="39"/>
        </w:numPr>
        <w:spacing w:line="240" w:lineRule="auto"/>
      </w:pPr>
      <w:r w:rsidRPr="00DA4B29">
        <w:t>Where the Commonwealth has already invested capital funding in the region identified, the proposal:</w:t>
      </w:r>
    </w:p>
    <w:p w14:paraId="52845ED0" w14:textId="77777777" w:rsidR="000F2EC1" w:rsidRPr="00DA4B29" w:rsidRDefault="000F2EC1" w:rsidP="00DA4B29">
      <w:pPr>
        <w:pStyle w:val="ListParagraph"/>
        <w:numPr>
          <w:ilvl w:val="0"/>
          <w:numId w:val="40"/>
        </w:numPr>
        <w:spacing w:line="240" w:lineRule="auto"/>
      </w:pPr>
      <w:r w:rsidRPr="00DA4B29">
        <w:t>Demonstrates how previous Commonwealth investments will be leveraged to minimise the request for additional funding.</w:t>
      </w:r>
    </w:p>
    <w:p w14:paraId="3B3633CB" w14:textId="77777777" w:rsidR="000F2EC1" w:rsidRPr="00DA4B29" w:rsidRDefault="000F2EC1" w:rsidP="00DA4B29">
      <w:pPr>
        <w:pStyle w:val="ListParagraph"/>
        <w:numPr>
          <w:ilvl w:val="0"/>
          <w:numId w:val="40"/>
        </w:numPr>
        <w:spacing w:line="240" w:lineRule="auto"/>
      </w:pPr>
      <w:r w:rsidRPr="00DA4B29">
        <w:t>Identifies how any additional funding sought will deliver improved medical workforce outcomes.</w:t>
      </w:r>
    </w:p>
    <w:p w14:paraId="296DD19B" w14:textId="77777777" w:rsidR="000F2EC1" w:rsidRPr="00DA4B29" w:rsidRDefault="000F2EC1" w:rsidP="00DA4B29">
      <w:pPr>
        <w:pStyle w:val="ListParagraph"/>
        <w:numPr>
          <w:ilvl w:val="0"/>
          <w:numId w:val="39"/>
        </w:numPr>
        <w:spacing w:line="240" w:lineRule="auto"/>
      </w:pPr>
      <w:r w:rsidRPr="00DA4B29">
        <w:t>Commonwealth investment provides flow-on financial benefits to the local community in which the medical school will operate.</w:t>
      </w:r>
    </w:p>
    <w:p w14:paraId="750EFF7F" w14:textId="77777777" w:rsidR="000F2EC1" w:rsidRPr="00DA4B29" w:rsidRDefault="000F2EC1" w:rsidP="000F2EC1">
      <w:pPr>
        <w:rPr>
          <w:rFonts w:ascii="Calibri" w:hAnsi="Calibri" w:cs="Calibri"/>
          <w:noProof/>
        </w:rPr>
      </w:pPr>
    </w:p>
    <w:sectPr w:rsidR="000F2EC1" w:rsidRPr="00DA4B29" w:rsidSect="00F91B7B">
      <w:headerReference w:type="even" r:id="rId20"/>
      <w:headerReference w:type="default" r:id="rId21"/>
      <w:headerReference w:type="first" r:id="rId22"/>
      <w:footerReference w:type="first" r:id="rId23"/>
      <w:pgSz w:w="11906" w:h="16838"/>
      <w:pgMar w:top="1134"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A66EE" w14:textId="77777777" w:rsidR="00753131" w:rsidRDefault="00753131" w:rsidP="00130923">
      <w:pPr>
        <w:spacing w:after="0" w:line="240" w:lineRule="auto"/>
      </w:pPr>
      <w:r>
        <w:separator/>
      </w:r>
    </w:p>
  </w:endnote>
  <w:endnote w:type="continuationSeparator" w:id="0">
    <w:p w14:paraId="4B3DB369" w14:textId="77777777" w:rsidR="00753131" w:rsidRDefault="00753131"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21CF6" w14:textId="77777777" w:rsidR="00753131" w:rsidRDefault="00753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BCC19" w14:textId="38E969F3" w:rsidR="00753131" w:rsidRDefault="002E7731" w:rsidP="00A73406">
    <w:pPr>
      <w:pStyle w:val="Footer"/>
      <w:tabs>
        <w:tab w:val="clear" w:pos="9026"/>
        <w:tab w:val="right" w:pos="8647"/>
      </w:tabs>
      <w:ind w:firstLine="720"/>
      <w:jc w:val="right"/>
    </w:pPr>
    <w:sdt>
      <w:sdtPr>
        <w:id w:val="-872919286"/>
        <w:docPartObj>
          <w:docPartGallery w:val="Page Numbers (Bottom of Page)"/>
          <w:docPartUnique/>
        </w:docPartObj>
      </w:sdtPr>
      <w:sdtEndPr>
        <w:rPr>
          <w:noProof/>
        </w:rPr>
      </w:sdtEndPr>
      <w:sdtContent>
        <w:r w:rsidR="00753131">
          <w:fldChar w:fldCharType="begin"/>
        </w:r>
        <w:r w:rsidR="00753131">
          <w:instrText xml:space="preserve"> PAGE   \* MERGEFORMAT </w:instrText>
        </w:r>
        <w:r w:rsidR="00753131">
          <w:fldChar w:fldCharType="separate"/>
        </w:r>
        <w:r>
          <w:rPr>
            <w:noProof/>
          </w:rPr>
          <w:t>21</w:t>
        </w:r>
        <w:r w:rsidR="00753131">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580485"/>
      <w:docPartObj>
        <w:docPartGallery w:val="Page Numbers (Bottom of Page)"/>
        <w:docPartUnique/>
      </w:docPartObj>
    </w:sdtPr>
    <w:sdtEndPr>
      <w:rPr>
        <w:noProof/>
      </w:rPr>
    </w:sdtEndPr>
    <w:sdtContent>
      <w:p w14:paraId="61C78E95" w14:textId="5826ED54" w:rsidR="00753131" w:rsidRDefault="00753131">
        <w:pPr>
          <w:pStyle w:val="Footer"/>
          <w:jc w:val="right"/>
        </w:pPr>
        <w:r>
          <w:fldChar w:fldCharType="begin"/>
        </w:r>
        <w:r>
          <w:instrText xml:space="preserve"> PAGE   \* MERGEFORMAT </w:instrText>
        </w:r>
        <w:r>
          <w:fldChar w:fldCharType="separate"/>
        </w:r>
        <w:r w:rsidR="002E7731">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56015"/>
      <w:docPartObj>
        <w:docPartGallery w:val="Page Numbers (Bottom of Page)"/>
        <w:docPartUnique/>
      </w:docPartObj>
    </w:sdtPr>
    <w:sdtEndPr>
      <w:rPr>
        <w:noProof/>
      </w:rPr>
    </w:sdtEndPr>
    <w:sdtContent>
      <w:p w14:paraId="626DD3D2" w14:textId="59B1D0AD" w:rsidR="00753131" w:rsidRDefault="00753131">
        <w:pPr>
          <w:pStyle w:val="Footer"/>
          <w:jc w:val="right"/>
        </w:pPr>
        <w:r>
          <w:fldChar w:fldCharType="begin"/>
        </w:r>
        <w:r>
          <w:instrText xml:space="preserve"> PAGE   \* MERGEFORMAT </w:instrText>
        </w:r>
        <w:r>
          <w:fldChar w:fldCharType="separate"/>
        </w:r>
        <w:r w:rsidR="002E7731">
          <w:rPr>
            <w:noProof/>
          </w:rPr>
          <w:t>18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17A0D" w14:textId="77777777" w:rsidR="00753131" w:rsidRDefault="00753131" w:rsidP="00130923">
      <w:pPr>
        <w:spacing w:after="0" w:line="240" w:lineRule="auto"/>
      </w:pPr>
      <w:r>
        <w:separator/>
      </w:r>
    </w:p>
  </w:footnote>
  <w:footnote w:type="continuationSeparator" w:id="0">
    <w:p w14:paraId="07E08955" w14:textId="77777777" w:rsidR="00753131" w:rsidRDefault="00753131" w:rsidP="00130923">
      <w:pPr>
        <w:spacing w:after="0" w:line="240" w:lineRule="auto"/>
      </w:pPr>
      <w:r>
        <w:continuationSeparator/>
      </w:r>
    </w:p>
  </w:footnote>
  <w:footnote w:id="1">
    <w:p w14:paraId="5B2E18BD" w14:textId="77777777" w:rsidR="00753131" w:rsidRPr="007B40C5" w:rsidRDefault="00753131" w:rsidP="00142216">
      <w:pPr>
        <w:pStyle w:val="FootnoteText"/>
        <w:spacing w:before="0" w:after="60"/>
        <w:rPr>
          <w:color w:val="000000" w:themeColor="text1"/>
          <w:sz w:val="18"/>
          <w:szCs w:val="18"/>
        </w:rPr>
      </w:pPr>
      <w:r w:rsidRPr="007B40C5">
        <w:rPr>
          <w:rStyle w:val="FootnoteReference"/>
          <w:color w:val="000000" w:themeColor="text1"/>
          <w:sz w:val="18"/>
          <w:szCs w:val="18"/>
        </w:rPr>
        <w:footnoteRef/>
      </w:r>
      <w:r w:rsidRPr="007B40C5">
        <w:rPr>
          <w:rFonts w:cstheme="minorHAnsi"/>
          <w:color w:val="000000" w:themeColor="text1"/>
          <w:sz w:val="18"/>
          <w:szCs w:val="18"/>
        </w:rPr>
        <w:t xml:space="preserve">Health Workforce Australia (2014) </w:t>
      </w:r>
      <w:r w:rsidRPr="007B40C5">
        <w:rPr>
          <w:rFonts w:cstheme="minorHAnsi"/>
          <w:i/>
          <w:color w:val="000000" w:themeColor="text1"/>
          <w:sz w:val="18"/>
          <w:szCs w:val="18"/>
        </w:rPr>
        <w:t>Australia’s Future Health Workforce – Doctors</w:t>
      </w:r>
      <w:r w:rsidRPr="007B40C5">
        <w:rPr>
          <w:rFonts w:cstheme="minorHAnsi"/>
          <w:color w:val="000000" w:themeColor="text1"/>
          <w:sz w:val="18"/>
          <w:szCs w:val="18"/>
        </w:rPr>
        <w:t xml:space="preserve">.  </w:t>
      </w:r>
    </w:p>
  </w:footnote>
  <w:footnote w:id="2">
    <w:p w14:paraId="1277EBC5" w14:textId="77777777" w:rsidR="00753131" w:rsidRPr="007B40C5" w:rsidRDefault="00753131" w:rsidP="00A874E2">
      <w:pPr>
        <w:pStyle w:val="FootnoteText"/>
        <w:spacing w:before="0" w:after="60"/>
        <w:rPr>
          <w:sz w:val="18"/>
          <w:szCs w:val="18"/>
        </w:rPr>
      </w:pPr>
      <w:r w:rsidRPr="007B40C5">
        <w:rPr>
          <w:rStyle w:val="FootnoteReference"/>
          <w:sz w:val="18"/>
          <w:szCs w:val="18"/>
        </w:rPr>
        <w:footnoteRef/>
      </w:r>
      <w:r w:rsidRPr="007B40C5">
        <w:rPr>
          <w:sz w:val="18"/>
          <w:szCs w:val="18"/>
        </w:rPr>
        <w:t xml:space="preserve"> Recent research examples: </w:t>
      </w:r>
    </w:p>
    <w:p w14:paraId="1D9CA7A1" w14:textId="77777777" w:rsidR="00753131" w:rsidRPr="007B40C5" w:rsidRDefault="00753131" w:rsidP="00A874E2">
      <w:pPr>
        <w:pStyle w:val="FootnoteText"/>
        <w:spacing w:before="0" w:after="60"/>
        <w:rPr>
          <w:sz w:val="18"/>
          <w:szCs w:val="18"/>
        </w:rPr>
      </w:pPr>
      <w:r w:rsidRPr="007B40C5">
        <w:rPr>
          <w:sz w:val="18"/>
          <w:szCs w:val="18"/>
        </w:rPr>
        <w:t xml:space="preserve">Kwan MMS, Kondalsamy-Chennakesavan S, Ranmuthugala G, Toombs, M, Nicholson GC (2017) The rural pipeline to longer-term rural practice: general practitioners and specialists, PLoS ONE, July 7, 2017.  </w:t>
      </w:r>
    </w:p>
    <w:p w14:paraId="1DD794C5" w14:textId="77777777" w:rsidR="00753131" w:rsidRPr="007B40C5" w:rsidRDefault="00753131" w:rsidP="00A874E2">
      <w:pPr>
        <w:pStyle w:val="FootnoteText"/>
        <w:spacing w:before="0" w:after="60"/>
        <w:rPr>
          <w:sz w:val="18"/>
          <w:szCs w:val="18"/>
        </w:rPr>
      </w:pPr>
      <w:r w:rsidRPr="007B40C5">
        <w:rPr>
          <w:sz w:val="18"/>
          <w:szCs w:val="18"/>
        </w:rPr>
        <w:t>O'Sullivan B, McGrail M, Russell D, Walker J, Chambers H, Major L, Langham R. (2018) Duration and setting of rural immersion during the medical degree relates to rural work outcome, Med Educ. 2018 Aug;52(8):803-815. doi: 10.1111/medu.13578. Epub 2018 Apr 19.</w:t>
      </w:r>
    </w:p>
  </w:footnote>
  <w:footnote w:id="3">
    <w:p w14:paraId="727315C4" w14:textId="77777777" w:rsidR="00753131" w:rsidRDefault="00753131" w:rsidP="00A874E2">
      <w:pPr>
        <w:pStyle w:val="FootnoteText"/>
        <w:spacing w:before="0" w:after="60"/>
      </w:pPr>
      <w:r w:rsidRPr="007B40C5">
        <w:rPr>
          <w:rStyle w:val="FootnoteReference"/>
          <w:sz w:val="18"/>
          <w:szCs w:val="18"/>
        </w:rPr>
        <w:footnoteRef/>
      </w:r>
      <w:r w:rsidRPr="007B40C5">
        <w:rPr>
          <w:sz w:val="18"/>
          <w:szCs w:val="18"/>
        </w:rPr>
        <w:t xml:space="preserve"> World Health Organisation (2010) Increasing access to health workers in remote and rural areas through improved retention, WHO Global Policy Recommendations (2010).</w:t>
      </w:r>
    </w:p>
  </w:footnote>
  <w:footnote w:id="4">
    <w:p w14:paraId="4416F5FE" w14:textId="77777777" w:rsidR="00753131" w:rsidRPr="003B7A00" w:rsidRDefault="00753131" w:rsidP="007B40C5">
      <w:pPr>
        <w:autoSpaceDE w:val="0"/>
        <w:autoSpaceDN w:val="0"/>
        <w:adjustRightInd w:val="0"/>
        <w:spacing w:before="0" w:after="60" w:line="240" w:lineRule="auto"/>
        <w:rPr>
          <w:rFonts w:cstheme="minorHAnsi"/>
          <w:sz w:val="18"/>
          <w:szCs w:val="18"/>
        </w:rPr>
      </w:pPr>
      <w:r>
        <w:rPr>
          <w:rStyle w:val="FootnoteReference"/>
        </w:rPr>
        <w:footnoteRef/>
      </w:r>
      <w:r>
        <w:t xml:space="preserve"> </w:t>
      </w:r>
      <w:r>
        <w:rPr>
          <w:rFonts w:cstheme="minorHAnsi"/>
          <w:sz w:val="18"/>
          <w:szCs w:val="18"/>
        </w:rPr>
        <w:t xml:space="preserve">Australian Medical Council Limited (2012) </w:t>
      </w:r>
      <w:r w:rsidRPr="00CC3CF1">
        <w:rPr>
          <w:rFonts w:cstheme="minorHAnsi"/>
          <w:sz w:val="18"/>
          <w:szCs w:val="18"/>
        </w:rPr>
        <w:t>Standards for Assessment and Accreditation</w:t>
      </w:r>
      <w:r>
        <w:rPr>
          <w:rFonts w:cstheme="minorHAnsi"/>
          <w:sz w:val="18"/>
          <w:szCs w:val="18"/>
        </w:rPr>
        <w:t xml:space="preserve"> </w:t>
      </w:r>
      <w:r w:rsidRPr="00CC3CF1">
        <w:rPr>
          <w:rFonts w:cstheme="minorHAnsi"/>
          <w:sz w:val="18"/>
          <w:szCs w:val="18"/>
        </w:rPr>
        <w:t>of Primary Medical Programs</w:t>
      </w:r>
      <w:r>
        <w:rPr>
          <w:rFonts w:cstheme="minorHAnsi"/>
          <w:sz w:val="18"/>
          <w:szCs w:val="18"/>
        </w:rPr>
        <w:t xml:space="preserve"> </w:t>
      </w:r>
      <w:r w:rsidRPr="00CC3CF1">
        <w:rPr>
          <w:rFonts w:cstheme="minorHAnsi"/>
          <w:sz w:val="18"/>
          <w:szCs w:val="18"/>
        </w:rPr>
        <w:t>by the Australian Medical Council</w:t>
      </w:r>
      <w:r>
        <w:rPr>
          <w:rFonts w:cstheme="minorHAnsi"/>
          <w:sz w:val="18"/>
          <w:szCs w:val="18"/>
        </w:rPr>
        <w:t>, AMC Medical School Accreditation Committee, December</w:t>
      </w:r>
      <w:r w:rsidRPr="00CC3CF1">
        <w:rPr>
          <w:rFonts w:cstheme="minorHAnsi"/>
          <w:sz w:val="18"/>
          <w:szCs w:val="18"/>
        </w:rPr>
        <w:t xml:space="preserve"> 2012</w:t>
      </w:r>
      <w:r>
        <w:rPr>
          <w:rFonts w:cstheme="minorHAnsi"/>
          <w:sz w:val="18"/>
          <w:szCs w:val="18"/>
        </w:rPr>
        <w:t xml:space="preserve">. </w:t>
      </w:r>
    </w:p>
  </w:footnote>
  <w:footnote w:id="5">
    <w:p w14:paraId="3FE7D96E" w14:textId="30951BE2" w:rsidR="00753131" w:rsidRPr="00A874E2" w:rsidRDefault="00753131" w:rsidP="00A874E2">
      <w:pPr>
        <w:pStyle w:val="FootnoteText"/>
        <w:spacing w:before="0" w:after="60"/>
        <w:rPr>
          <w:sz w:val="18"/>
          <w:szCs w:val="18"/>
        </w:rPr>
      </w:pPr>
      <w:r>
        <w:rPr>
          <w:rStyle w:val="FootnoteReference"/>
        </w:rPr>
        <w:footnoteRef/>
      </w:r>
      <w:r>
        <w:t xml:space="preserve"> </w:t>
      </w:r>
      <w:r w:rsidRPr="00A874E2">
        <w:rPr>
          <w:sz w:val="18"/>
          <w:szCs w:val="18"/>
        </w:rPr>
        <w:t>Griffith University joined the RHMT program in 2016 and Curtin University joined the program in 2019.</w:t>
      </w:r>
    </w:p>
  </w:footnote>
  <w:footnote w:id="6">
    <w:p w14:paraId="2D9B0C67" w14:textId="35880F90" w:rsidR="00753131" w:rsidRPr="00A874E2" w:rsidRDefault="00753131" w:rsidP="00A874E2">
      <w:pPr>
        <w:pStyle w:val="FootnoteText"/>
        <w:spacing w:before="0" w:after="60"/>
        <w:rPr>
          <w:sz w:val="18"/>
          <w:szCs w:val="18"/>
        </w:rPr>
      </w:pPr>
      <w:r w:rsidRPr="00A874E2">
        <w:rPr>
          <w:rStyle w:val="FootnoteReference"/>
          <w:sz w:val="18"/>
          <w:szCs w:val="18"/>
        </w:rPr>
        <w:footnoteRef/>
      </w:r>
      <w:r w:rsidRPr="00A874E2">
        <w:rPr>
          <w:sz w:val="18"/>
          <w:szCs w:val="18"/>
        </w:rPr>
        <w:t xml:space="preserve"> Western Sydney University has a lower rural background target than other universities in the RHMT Program. This reflects the university’s commitment to pathways for applicants from Greater Western Sydney.</w:t>
      </w:r>
    </w:p>
  </w:footnote>
  <w:footnote w:id="7">
    <w:p w14:paraId="3C8D27BA" w14:textId="77777777" w:rsidR="00753131" w:rsidRPr="00A874E2" w:rsidRDefault="00753131" w:rsidP="00A874E2">
      <w:pPr>
        <w:pStyle w:val="FootnoteText"/>
        <w:spacing w:before="0" w:after="60"/>
        <w:rPr>
          <w:sz w:val="18"/>
          <w:szCs w:val="18"/>
        </w:rPr>
      </w:pPr>
      <w:r w:rsidRPr="00A874E2">
        <w:rPr>
          <w:rStyle w:val="FootnoteReference"/>
          <w:sz w:val="18"/>
          <w:szCs w:val="18"/>
        </w:rPr>
        <w:footnoteRef/>
      </w:r>
      <w:r w:rsidRPr="00A874E2">
        <w:rPr>
          <w:sz w:val="18"/>
          <w:szCs w:val="18"/>
        </w:rPr>
        <w:t xml:space="preserve"> Medical Deans Australia and New Zealand data published in the Medical Education and Training (MET) Dataset, Department Health Workforce and MET Data Tool, MET 2017, accessed at hwd.health.gov.au.</w:t>
      </w:r>
    </w:p>
  </w:footnote>
  <w:footnote w:id="8">
    <w:p w14:paraId="0E39F173" w14:textId="77777777" w:rsidR="00753131" w:rsidRPr="00A874E2" w:rsidRDefault="00753131" w:rsidP="00A874E2">
      <w:pPr>
        <w:pStyle w:val="FootnoteText"/>
        <w:spacing w:before="0" w:after="60"/>
        <w:rPr>
          <w:sz w:val="18"/>
          <w:szCs w:val="18"/>
        </w:rPr>
      </w:pPr>
      <w:r w:rsidRPr="00A874E2">
        <w:rPr>
          <w:rStyle w:val="FootnoteReference"/>
          <w:sz w:val="18"/>
          <w:szCs w:val="18"/>
        </w:rPr>
        <w:footnoteRef/>
      </w:r>
      <w:r w:rsidRPr="00A874E2">
        <w:rPr>
          <w:sz w:val="18"/>
          <w:szCs w:val="18"/>
        </w:rPr>
        <w:t xml:space="preserve"> Medical Deans Australia and New Zealand (2017) Medical Schools Outcomes Database: National Data Report 2013–17, September 2017.</w:t>
      </w:r>
    </w:p>
  </w:footnote>
  <w:footnote w:id="9">
    <w:p w14:paraId="2A1D614B" w14:textId="77777777" w:rsidR="00753131" w:rsidRPr="00142216" w:rsidRDefault="00753131" w:rsidP="008E5283">
      <w:pPr>
        <w:autoSpaceDE w:val="0"/>
        <w:autoSpaceDN w:val="0"/>
        <w:adjustRightInd w:val="0"/>
        <w:spacing w:before="0" w:after="60" w:line="240" w:lineRule="auto"/>
        <w:rPr>
          <w:sz w:val="18"/>
          <w:szCs w:val="18"/>
        </w:rPr>
      </w:pPr>
      <w:r w:rsidRPr="00142216">
        <w:rPr>
          <w:rStyle w:val="FootnoteReference"/>
          <w:sz w:val="18"/>
          <w:szCs w:val="18"/>
        </w:rPr>
        <w:footnoteRef/>
      </w:r>
      <w:r w:rsidRPr="00142216">
        <w:rPr>
          <w:sz w:val="18"/>
          <w:szCs w:val="18"/>
        </w:rPr>
        <w:t xml:space="preserve"> Most publicly available evidence of rural practice outcomes is from published research evidence.  A recent review of the literature notes “the evidence about program designs that are most effective remains relatively under-developed” (O’Sullivan et al</w:t>
      </w:r>
      <w:r w:rsidRPr="00142216">
        <w:rPr>
          <w:i/>
          <w:sz w:val="18"/>
          <w:szCs w:val="18"/>
        </w:rPr>
        <w:t>. A review of characteristics and outcomes of Australia’s undergraduate medical education rural immersion programs</w:t>
      </w:r>
      <w:r w:rsidRPr="00142216">
        <w:rPr>
          <w:sz w:val="18"/>
          <w:szCs w:val="18"/>
        </w:rPr>
        <w:t xml:space="preserve">, Human Resources for Health (2018) 16:8 DOI 10.1186/s12960-018-0271-2).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4F019" w14:textId="0C47359A" w:rsidR="00753131" w:rsidRDefault="007531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26BB1" w14:textId="22E00341" w:rsidR="00753131" w:rsidRDefault="00753131">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B2EE1" w14:textId="481FF001" w:rsidR="00753131" w:rsidRPr="000F2EC1" w:rsidRDefault="00753131" w:rsidP="00CE5143">
    <w:pPr>
      <w:pStyle w:val="Header"/>
      <w:rPr>
        <w:u w:val="single"/>
      </w:rP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57C34" w14:textId="498C5B37" w:rsidR="00753131" w:rsidRDefault="007531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78E24" w14:textId="289427B8" w:rsidR="00753131" w:rsidRDefault="0075313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E937" w14:textId="06E991D5" w:rsidR="00753131" w:rsidRPr="000F2EC1" w:rsidRDefault="00753131">
    <w:pPr>
      <w:pStyle w:val="Header"/>
      <w:rPr>
        <w:u w:val="single"/>
      </w:rPr>
    </w:pPr>
    <w:r>
      <w:tab/>
    </w:r>
    <w:r>
      <w:tab/>
    </w:r>
    <w:r w:rsidRPr="000F2EC1">
      <w:rPr>
        <w:sz w:val="20"/>
        <w:u w:val="single"/>
      </w:rPr>
      <w:t>Attachment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95D"/>
    <w:multiLevelType w:val="hybridMultilevel"/>
    <w:tmpl w:val="F45853F2"/>
    <w:lvl w:ilvl="0" w:tplc="0C09000F">
      <w:start w:val="1"/>
      <w:numFmt w:val="decimal"/>
      <w:lvlText w:val="%1."/>
      <w:lvlJc w:val="left"/>
      <w:pPr>
        <w:ind w:left="720" w:hanging="360"/>
      </w:pPr>
    </w:lvl>
    <w:lvl w:ilvl="1" w:tplc="03308B24">
      <w:start w:val="1"/>
      <w:numFmt w:val="lowerLetter"/>
      <w:lvlText w:val="%2."/>
      <w:lvlJc w:val="left"/>
      <w:pPr>
        <w:ind w:left="1470" w:hanging="39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3297CC9"/>
    <w:multiLevelType w:val="hybridMultilevel"/>
    <w:tmpl w:val="20EA2470"/>
    <w:lvl w:ilvl="0" w:tplc="03308B24">
      <w:start w:val="1"/>
      <w:numFmt w:val="lowerLetter"/>
      <w:lvlText w:val="%1."/>
      <w:lvlJc w:val="left"/>
      <w:pPr>
        <w:ind w:left="1470" w:hanging="39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CC274E"/>
    <w:multiLevelType w:val="hybridMultilevel"/>
    <w:tmpl w:val="358E13D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9AC2AE1"/>
    <w:multiLevelType w:val="hybridMultilevel"/>
    <w:tmpl w:val="73F4B4B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E644F8B"/>
    <w:multiLevelType w:val="hybridMultilevel"/>
    <w:tmpl w:val="8AB49D9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E993F48"/>
    <w:multiLevelType w:val="hybridMultilevel"/>
    <w:tmpl w:val="BAA008C2"/>
    <w:lvl w:ilvl="0" w:tplc="0C09001B">
      <w:start w:val="1"/>
      <w:numFmt w:val="lowerRoman"/>
      <w:lvlText w:val="%1."/>
      <w:lvlJc w:val="right"/>
      <w:pPr>
        <w:ind w:left="216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1C46EC"/>
    <w:multiLevelType w:val="hybridMultilevel"/>
    <w:tmpl w:val="20EA2470"/>
    <w:lvl w:ilvl="0" w:tplc="03308B24">
      <w:start w:val="1"/>
      <w:numFmt w:val="lowerLetter"/>
      <w:lvlText w:val="%1."/>
      <w:lvlJc w:val="left"/>
      <w:pPr>
        <w:ind w:left="1470" w:hanging="39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5768BD"/>
    <w:multiLevelType w:val="hybridMultilevel"/>
    <w:tmpl w:val="ACCEF8BA"/>
    <w:lvl w:ilvl="0" w:tplc="CCB84D1A">
      <w:start w:val="1"/>
      <w:numFmt w:val="decimal"/>
      <w:lvlText w:val="%1."/>
      <w:lvlJc w:val="left"/>
      <w:pPr>
        <w:ind w:left="720" w:hanging="360"/>
      </w:pPr>
      <w:rPr>
        <w:b w:val="0"/>
        <w:i w:val="0"/>
        <w:color w:val="auto"/>
        <w:sz w:val="22"/>
        <w:szCs w:val="22"/>
      </w:rPr>
    </w:lvl>
    <w:lvl w:ilvl="1" w:tplc="0C090003">
      <w:start w:val="1"/>
      <w:numFmt w:val="bullet"/>
      <w:lvlText w:val="o"/>
      <w:lvlJc w:val="left"/>
      <w:pPr>
        <w:ind w:left="1440" w:hanging="360"/>
      </w:pPr>
      <w:rPr>
        <w:rFonts w:ascii="Courier New" w:hAnsi="Courier New" w:cs="Courier New" w:hint="default"/>
        <w:i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9" w15:restartNumberingAfterBreak="0">
    <w:nsid w:val="180A722A"/>
    <w:multiLevelType w:val="hybridMultilevel"/>
    <w:tmpl w:val="24F081BA"/>
    <w:lvl w:ilvl="0" w:tplc="0C090001">
      <w:start w:val="1"/>
      <w:numFmt w:val="bullet"/>
      <w:lvlText w:val=""/>
      <w:lvlJc w:val="left"/>
      <w:pPr>
        <w:ind w:left="720" w:hanging="360"/>
      </w:pPr>
      <w:rPr>
        <w:rFonts w:ascii="Symbol" w:hAnsi="Symbol" w:hint="default"/>
        <w:b w:val="0"/>
        <w:i w:val="0"/>
        <w:color w:val="auto"/>
        <w:sz w:val="22"/>
        <w:szCs w:val="22"/>
      </w:rPr>
    </w:lvl>
    <w:lvl w:ilvl="1" w:tplc="6FEC2C3C">
      <w:start w:val="1"/>
      <w:numFmt w:val="lowerLetter"/>
      <w:lvlText w:val="%2."/>
      <w:lvlJc w:val="left"/>
      <w:pPr>
        <w:ind w:left="1440" w:hanging="360"/>
      </w:pPr>
      <w:rPr>
        <w:i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D63F97"/>
    <w:multiLevelType w:val="hybridMultilevel"/>
    <w:tmpl w:val="7DA8F9C4"/>
    <w:lvl w:ilvl="0" w:tplc="CCB84D1A">
      <w:start w:val="1"/>
      <w:numFmt w:val="decimal"/>
      <w:lvlText w:val="%1."/>
      <w:lvlJc w:val="left"/>
      <w:pPr>
        <w:ind w:left="720" w:hanging="360"/>
      </w:pPr>
      <w:rPr>
        <w:b w:val="0"/>
        <w:i w:val="0"/>
        <w:color w:val="auto"/>
        <w:sz w:val="22"/>
        <w:szCs w:val="22"/>
      </w:rPr>
    </w:lvl>
    <w:lvl w:ilvl="1" w:tplc="0C090003">
      <w:start w:val="1"/>
      <w:numFmt w:val="bullet"/>
      <w:lvlText w:val="o"/>
      <w:lvlJc w:val="left"/>
      <w:pPr>
        <w:ind w:left="1440" w:hanging="360"/>
      </w:pPr>
      <w:rPr>
        <w:rFonts w:ascii="Courier New" w:hAnsi="Courier New" w:cs="Courier New" w:hint="default"/>
        <w:i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07B43C3"/>
    <w:multiLevelType w:val="hybridMultilevel"/>
    <w:tmpl w:val="BFC20F1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246740E3"/>
    <w:multiLevelType w:val="hybridMultilevel"/>
    <w:tmpl w:val="28C0D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476909"/>
    <w:multiLevelType w:val="hybridMultilevel"/>
    <w:tmpl w:val="697ADDB6"/>
    <w:lvl w:ilvl="0" w:tplc="1052818C">
      <w:start w:val="1"/>
      <w:numFmt w:val="decimal"/>
      <w:lvlText w:val="%1."/>
      <w:lvlJc w:val="left"/>
      <w:pPr>
        <w:ind w:left="357" w:hanging="360"/>
      </w:pPr>
      <w:rPr>
        <w:b w:val="0"/>
      </w:rPr>
    </w:lvl>
    <w:lvl w:ilvl="1" w:tplc="0C090019">
      <w:start w:val="1"/>
      <w:numFmt w:val="lowerLetter"/>
      <w:lvlText w:val="%2."/>
      <w:lvlJc w:val="left"/>
      <w:pPr>
        <w:ind w:left="1077" w:hanging="360"/>
      </w:pPr>
    </w:lvl>
    <w:lvl w:ilvl="2" w:tplc="0C09001B">
      <w:start w:val="1"/>
      <w:numFmt w:val="lowerRoman"/>
      <w:lvlText w:val="%3."/>
      <w:lvlJc w:val="right"/>
      <w:pPr>
        <w:ind w:left="1797" w:hanging="180"/>
      </w:pPr>
    </w:lvl>
    <w:lvl w:ilvl="3" w:tplc="0C09000F">
      <w:start w:val="1"/>
      <w:numFmt w:val="decimal"/>
      <w:lvlText w:val="%4."/>
      <w:lvlJc w:val="left"/>
      <w:pPr>
        <w:ind w:left="2517" w:hanging="360"/>
      </w:pPr>
    </w:lvl>
    <w:lvl w:ilvl="4" w:tplc="0C090019">
      <w:start w:val="1"/>
      <w:numFmt w:val="lowerLetter"/>
      <w:lvlText w:val="%5."/>
      <w:lvlJc w:val="left"/>
      <w:pPr>
        <w:ind w:left="3237" w:hanging="360"/>
      </w:pPr>
    </w:lvl>
    <w:lvl w:ilvl="5" w:tplc="0C09001B">
      <w:start w:val="1"/>
      <w:numFmt w:val="lowerRoman"/>
      <w:lvlText w:val="%6."/>
      <w:lvlJc w:val="right"/>
      <w:pPr>
        <w:ind w:left="3957" w:hanging="180"/>
      </w:pPr>
    </w:lvl>
    <w:lvl w:ilvl="6" w:tplc="0C09000F">
      <w:start w:val="1"/>
      <w:numFmt w:val="decimal"/>
      <w:lvlText w:val="%7."/>
      <w:lvlJc w:val="left"/>
      <w:pPr>
        <w:ind w:left="4677" w:hanging="360"/>
      </w:pPr>
    </w:lvl>
    <w:lvl w:ilvl="7" w:tplc="0C090019">
      <w:start w:val="1"/>
      <w:numFmt w:val="lowerLetter"/>
      <w:lvlText w:val="%8."/>
      <w:lvlJc w:val="left"/>
      <w:pPr>
        <w:ind w:left="5397" w:hanging="360"/>
      </w:pPr>
    </w:lvl>
    <w:lvl w:ilvl="8" w:tplc="0C09001B">
      <w:start w:val="1"/>
      <w:numFmt w:val="lowerRoman"/>
      <w:lvlText w:val="%9."/>
      <w:lvlJc w:val="right"/>
      <w:pPr>
        <w:ind w:left="6117" w:hanging="180"/>
      </w:pPr>
    </w:lvl>
  </w:abstractNum>
  <w:abstractNum w:abstractNumId="15" w15:restartNumberingAfterBreak="0">
    <w:nsid w:val="297C254F"/>
    <w:multiLevelType w:val="hybridMultilevel"/>
    <w:tmpl w:val="C4CA255A"/>
    <w:lvl w:ilvl="0" w:tplc="34645B56">
      <w:start w:val="1"/>
      <w:numFmt w:val="decimal"/>
      <w:lvlText w:val="%1."/>
      <w:lvlJc w:val="left"/>
      <w:pPr>
        <w:ind w:left="360" w:hanging="360"/>
      </w:pPr>
      <w:rPr>
        <w:sz w:val="16"/>
        <w:szCs w:val="16"/>
      </w:rPr>
    </w:lvl>
    <w:lvl w:ilvl="1" w:tplc="BC9056E8" w:tentative="1">
      <w:start w:val="1"/>
      <w:numFmt w:val="lowerLetter"/>
      <w:lvlText w:val="%2."/>
      <w:lvlJc w:val="left"/>
      <w:pPr>
        <w:ind w:left="1080" w:hanging="360"/>
      </w:pPr>
    </w:lvl>
    <w:lvl w:ilvl="2" w:tplc="5A922938" w:tentative="1">
      <w:start w:val="1"/>
      <w:numFmt w:val="lowerRoman"/>
      <w:lvlText w:val="%3."/>
      <w:lvlJc w:val="right"/>
      <w:pPr>
        <w:ind w:left="1800" w:hanging="180"/>
      </w:pPr>
    </w:lvl>
    <w:lvl w:ilvl="3" w:tplc="AF143B82" w:tentative="1">
      <w:start w:val="1"/>
      <w:numFmt w:val="decimal"/>
      <w:lvlText w:val="%4."/>
      <w:lvlJc w:val="left"/>
      <w:pPr>
        <w:ind w:left="2520" w:hanging="360"/>
      </w:pPr>
    </w:lvl>
    <w:lvl w:ilvl="4" w:tplc="47029C5C" w:tentative="1">
      <w:start w:val="1"/>
      <w:numFmt w:val="lowerLetter"/>
      <w:lvlText w:val="%5."/>
      <w:lvlJc w:val="left"/>
      <w:pPr>
        <w:ind w:left="3240" w:hanging="360"/>
      </w:pPr>
    </w:lvl>
    <w:lvl w:ilvl="5" w:tplc="FD7AF29A" w:tentative="1">
      <w:start w:val="1"/>
      <w:numFmt w:val="lowerRoman"/>
      <w:lvlText w:val="%6."/>
      <w:lvlJc w:val="right"/>
      <w:pPr>
        <w:ind w:left="3960" w:hanging="180"/>
      </w:pPr>
    </w:lvl>
    <w:lvl w:ilvl="6" w:tplc="8D7EC384" w:tentative="1">
      <w:start w:val="1"/>
      <w:numFmt w:val="decimal"/>
      <w:lvlText w:val="%7."/>
      <w:lvlJc w:val="left"/>
      <w:pPr>
        <w:ind w:left="4680" w:hanging="360"/>
      </w:pPr>
    </w:lvl>
    <w:lvl w:ilvl="7" w:tplc="2A80EE5A" w:tentative="1">
      <w:start w:val="1"/>
      <w:numFmt w:val="lowerLetter"/>
      <w:lvlText w:val="%8."/>
      <w:lvlJc w:val="left"/>
      <w:pPr>
        <w:ind w:left="5400" w:hanging="360"/>
      </w:pPr>
    </w:lvl>
    <w:lvl w:ilvl="8" w:tplc="BB8C6E42" w:tentative="1">
      <w:start w:val="1"/>
      <w:numFmt w:val="lowerRoman"/>
      <w:lvlText w:val="%9."/>
      <w:lvlJc w:val="right"/>
      <w:pPr>
        <w:ind w:left="6120" w:hanging="180"/>
      </w:pPr>
    </w:lvl>
  </w:abstractNum>
  <w:abstractNum w:abstractNumId="16" w15:restartNumberingAfterBreak="0">
    <w:nsid w:val="2B4B1E69"/>
    <w:multiLevelType w:val="hybridMultilevel"/>
    <w:tmpl w:val="CF904AB2"/>
    <w:lvl w:ilvl="0" w:tplc="0C090001">
      <w:start w:val="1"/>
      <w:numFmt w:val="bullet"/>
      <w:lvlText w:val=""/>
      <w:lvlJc w:val="left"/>
      <w:pPr>
        <w:ind w:left="502" w:hanging="360"/>
      </w:pPr>
      <w:rPr>
        <w:rFonts w:ascii="Symbol" w:hAnsi="Symbol" w:hint="default"/>
        <w:b w:val="0"/>
        <w:i w:val="0"/>
        <w:color w:val="auto"/>
        <w:sz w:val="22"/>
        <w:szCs w:val="22"/>
      </w:rPr>
    </w:lvl>
    <w:lvl w:ilvl="1" w:tplc="0C090003">
      <w:start w:val="1"/>
      <w:numFmt w:val="bullet"/>
      <w:lvlText w:val="o"/>
      <w:lvlJc w:val="left"/>
      <w:pPr>
        <w:ind w:left="284" w:hanging="360"/>
      </w:pPr>
      <w:rPr>
        <w:rFonts w:ascii="Courier New" w:hAnsi="Courier New" w:cs="Courier New" w:hint="default"/>
        <w:i w:val="0"/>
      </w:rPr>
    </w:lvl>
    <w:lvl w:ilvl="2" w:tplc="0C09001B">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7" w15:restartNumberingAfterBreak="0">
    <w:nsid w:val="2C253BA0"/>
    <w:multiLevelType w:val="hybridMultilevel"/>
    <w:tmpl w:val="5E323A60"/>
    <w:lvl w:ilvl="0" w:tplc="6FEC2C3C">
      <w:start w:val="1"/>
      <w:numFmt w:val="lowerLetter"/>
      <w:lvlText w:val="%1."/>
      <w:lvlJc w:val="left"/>
      <w:pPr>
        <w:ind w:left="144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220BD8"/>
    <w:multiLevelType w:val="hybridMultilevel"/>
    <w:tmpl w:val="0EFA0342"/>
    <w:lvl w:ilvl="0" w:tplc="03308B24">
      <w:start w:val="1"/>
      <w:numFmt w:val="lowerLetter"/>
      <w:lvlText w:val="%1."/>
      <w:lvlJc w:val="left"/>
      <w:pPr>
        <w:ind w:left="1470" w:hanging="39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A0624B"/>
    <w:multiLevelType w:val="hybridMultilevel"/>
    <w:tmpl w:val="0B8C5520"/>
    <w:lvl w:ilvl="0" w:tplc="CCB84D1A">
      <w:start w:val="1"/>
      <w:numFmt w:val="decimal"/>
      <w:lvlText w:val="%1."/>
      <w:lvlJc w:val="left"/>
      <w:pPr>
        <w:ind w:left="720" w:hanging="360"/>
      </w:pPr>
      <w:rPr>
        <w:b w:val="0"/>
        <w:i w:val="0"/>
        <w:color w:val="auto"/>
        <w:sz w:val="22"/>
        <w:szCs w:val="22"/>
      </w:rPr>
    </w:lvl>
    <w:lvl w:ilvl="1" w:tplc="0C090003">
      <w:start w:val="1"/>
      <w:numFmt w:val="bullet"/>
      <w:lvlText w:val="o"/>
      <w:lvlJc w:val="left"/>
      <w:pPr>
        <w:ind w:left="1440" w:hanging="360"/>
      </w:pPr>
      <w:rPr>
        <w:rFonts w:ascii="Courier New" w:hAnsi="Courier New" w:cs="Courier New" w:hint="default"/>
        <w:i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F6908BF"/>
    <w:multiLevelType w:val="hybridMultilevel"/>
    <w:tmpl w:val="56F44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3451D5C"/>
    <w:multiLevelType w:val="hybridMultilevel"/>
    <w:tmpl w:val="116A6A4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2" w15:restartNumberingAfterBreak="0">
    <w:nsid w:val="45017629"/>
    <w:multiLevelType w:val="hybridMultilevel"/>
    <w:tmpl w:val="91EA34E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15:restartNumberingAfterBreak="0">
    <w:nsid w:val="4558756E"/>
    <w:multiLevelType w:val="hybridMultilevel"/>
    <w:tmpl w:val="D1ECDF76"/>
    <w:lvl w:ilvl="0" w:tplc="5F3E6818">
      <w:start w:val="4"/>
      <w:numFmt w:val="decimal"/>
      <w:lvlText w:val="%1."/>
      <w:lvlJc w:val="left"/>
      <w:pPr>
        <w:ind w:left="1211" w:hanging="360"/>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15:restartNumberingAfterBreak="0">
    <w:nsid w:val="497C5281"/>
    <w:multiLevelType w:val="hybridMultilevel"/>
    <w:tmpl w:val="C3E8291E"/>
    <w:lvl w:ilvl="0" w:tplc="0C090003">
      <w:start w:val="1"/>
      <w:numFmt w:val="bullet"/>
      <w:lvlText w:val="o"/>
      <w:lvlJc w:val="left"/>
      <w:pPr>
        <w:ind w:left="1440" w:hanging="360"/>
      </w:pPr>
      <w:rPr>
        <w:rFonts w:ascii="Courier New" w:hAnsi="Courier New" w:cs="Courier New"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1F16ED"/>
    <w:multiLevelType w:val="hybridMultilevel"/>
    <w:tmpl w:val="F3A46308"/>
    <w:lvl w:ilvl="0" w:tplc="03308B24">
      <w:start w:val="1"/>
      <w:numFmt w:val="lowerLetter"/>
      <w:lvlText w:val="%1."/>
      <w:lvlJc w:val="left"/>
      <w:pPr>
        <w:ind w:left="1470" w:hanging="39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1F2BC5"/>
    <w:multiLevelType w:val="hybridMultilevel"/>
    <w:tmpl w:val="B2D2952E"/>
    <w:lvl w:ilvl="0" w:tplc="CCB84D1A">
      <w:start w:val="1"/>
      <w:numFmt w:val="decimal"/>
      <w:lvlText w:val="%1."/>
      <w:lvlJc w:val="left"/>
      <w:pPr>
        <w:ind w:left="720" w:hanging="360"/>
      </w:pPr>
      <w:rPr>
        <w:b w:val="0"/>
        <w:i w:val="0"/>
        <w:color w:val="auto"/>
        <w:sz w:val="22"/>
        <w:szCs w:val="22"/>
      </w:rPr>
    </w:lvl>
    <w:lvl w:ilvl="1" w:tplc="0C090003">
      <w:start w:val="1"/>
      <w:numFmt w:val="bullet"/>
      <w:lvlText w:val="o"/>
      <w:lvlJc w:val="left"/>
      <w:pPr>
        <w:ind w:left="1440" w:hanging="360"/>
      </w:pPr>
      <w:rPr>
        <w:rFonts w:ascii="Courier New" w:hAnsi="Courier New" w:cs="Courier New" w:hint="default"/>
        <w:i w:val="0"/>
      </w:rPr>
    </w:lvl>
    <w:lvl w:ilvl="2" w:tplc="0C09001B">
      <w:start w:val="1"/>
      <w:numFmt w:val="lowerRoman"/>
      <w:lvlText w:val="%3."/>
      <w:lvlJc w:val="right"/>
      <w:pPr>
        <w:ind w:left="2160" w:hanging="180"/>
      </w:pPr>
    </w:lvl>
    <w:lvl w:ilvl="3" w:tplc="7548C280">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29A172C"/>
    <w:multiLevelType w:val="hybridMultilevel"/>
    <w:tmpl w:val="5BDEA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7F42D2"/>
    <w:multiLevelType w:val="hybridMultilevel"/>
    <w:tmpl w:val="4CE2ED00"/>
    <w:lvl w:ilvl="0" w:tplc="A2A2D184">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104FCE"/>
    <w:multiLevelType w:val="hybridMultilevel"/>
    <w:tmpl w:val="34421300"/>
    <w:lvl w:ilvl="0" w:tplc="5524D7A2">
      <w:start w:val="1"/>
      <w:numFmt w:val="decimal"/>
      <w:pStyle w:val="MBPoint"/>
      <w:lvlText w:val="%1."/>
      <w:lvlJc w:val="left"/>
      <w:pPr>
        <w:ind w:left="-207" w:hanging="360"/>
      </w:pPr>
      <w:rPr>
        <w:rFonts w:hint="default"/>
      </w:rPr>
    </w:lvl>
    <w:lvl w:ilvl="1" w:tplc="F004863C">
      <w:start w:val="1"/>
      <w:numFmt w:val="bullet"/>
      <w:lvlText w:val=""/>
      <w:lvlJc w:val="left"/>
      <w:pPr>
        <w:ind w:left="513" w:hanging="360"/>
      </w:pPr>
      <w:rPr>
        <w:rFonts w:ascii="Symbol" w:hAnsi="Symbol" w:hint="default"/>
      </w:rPr>
    </w:lvl>
    <w:lvl w:ilvl="2" w:tplc="28083262">
      <w:start w:val="1"/>
      <w:numFmt w:val="bullet"/>
      <w:pStyle w:val="MBPointSub"/>
      <w:lvlText w:val="o"/>
      <w:lvlJc w:val="left"/>
      <w:pPr>
        <w:ind w:left="1233" w:hanging="180"/>
      </w:pPr>
      <w:rPr>
        <w:rFonts w:ascii="Courier New" w:hAnsi="Courier New" w:cs="Courier New" w:hint="default"/>
      </w:rPr>
    </w:lvl>
    <w:lvl w:ilvl="3" w:tplc="40347BE8" w:tentative="1">
      <w:start w:val="1"/>
      <w:numFmt w:val="decimal"/>
      <w:lvlText w:val="%4."/>
      <w:lvlJc w:val="left"/>
      <w:pPr>
        <w:ind w:left="1953" w:hanging="360"/>
      </w:pPr>
    </w:lvl>
    <w:lvl w:ilvl="4" w:tplc="E768328A" w:tentative="1">
      <w:start w:val="1"/>
      <w:numFmt w:val="lowerLetter"/>
      <w:lvlText w:val="%5."/>
      <w:lvlJc w:val="left"/>
      <w:pPr>
        <w:ind w:left="2673" w:hanging="360"/>
      </w:pPr>
    </w:lvl>
    <w:lvl w:ilvl="5" w:tplc="2D405ED4" w:tentative="1">
      <w:start w:val="1"/>
      <w:numFmt w:val="lowerRoman"/>
      <w:lvlText w:val="%6."/>
      <w:lvlJc w:val="right"/>
      <w:pPr>
        <w:ind w:left="3393" w:hanging="180"/>
      </w:pPr>
    </w:lvl>
    <w:lvl w:ilvl="6" w:tplc="78A4B222" w:tentative="1">
      <w:start w:val="1"/>
      <w:numFmt w:val="decimal"/>
      <w:lvlText w:val="%7."/>
      <w:lvlJc w:val="left"/>
      <w:pPr>
        <w:ind w:left="4113" w:hanging="360"/>
      </w:pPr>
    </w:lvl>
    <w:lvl w:ilvl="7" w:tplc="569E4D36" w:tentative="1">
      <w:start w:val="1"/>
      <w:numFmt w:val="lowerLetter"/>
      <w:lvlText w:val="%8."/>
      <w:lvlJc w:val="left"/>
      <w:pPr>
        <w:ind w:left="4833" w:hanging="360"/>
      </w:pPr>
    </w:lvl>
    <w:lvl w:ilvl="8" w:tplc="7D08FDE6" w:tentative="1">
      <w:start w:val="1"/>
      <w:numFmt w:val="lowerRoman"/>
      <w:lvlText w:val="%9."/>
      <w:lvlJc w:val="right"/>
      <w:pPr>
        <w:ind w:left="5553" w:hanging="180"/>
      </w:pPr>
    </w:lvl>
  </w:abstractNum>
  <w:abstractNum w:abstractNumId="31" w15:restartNumberingAfterBreak="0">
    <w:nsid w:val="5F580BB3"/>
    <w:multiLevelType w:val="hybridMultilevel"/>
    <w:tmpl w:val="F3A46308"/>
    <w:lvl w:ilvl="0" w:tplc="03308B24">
      <w:start w:val="1"/>
      <w:numFmt w:val="lowerLetter"/>
      <w:lvlText w:val="%1."/>
      <w:lvlJc w:val="left"/>
      <w:pPr>
        <w:ind w:left="1470" w:hanging="39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2024168"/>
    <w:multiLevelType w:val="hybridMultilevel"/>
    <w:tmpl w:val="C41C1FDC"/>
    <w:lvl w:ilvl="0" w:tplc="03308B24">
      <w:start w:val="1"/>
      <w:numFmt w:val="lowerLetter"/>
      <w:lvlText w:val="%1."/>
      <w:lvlJc w:val="left"/>
      <w:pPr>
        <w:ind w:left="1470" w:hanging="39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2F05B4B"/>
    <w:multiLevelType w:val="hybridMultilevel"/>
    <w:tmpl w:val="148A5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5C15F3"/>
    <w:multiLevelType w:val="hybridMultilevel"/>
    <w:tmpl w:val="7E32EB4C"/>
    <w:lvl w:ilvl="0" w:tplc="A2A2D184">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2B0ACF"/>
    <w:multiLevelType w:val="hybridMultilevel"/>
    <w:tmpl w:val="561AAC12"/>
    <w:lvl w:ilvl="0" w:tplc="D7485C1C">
      <w:start w:val="1"/>
      <w:numFmt w:val="lowerLetter"/>
      <w:lvlText w:val="%1."/>
      <w:lvlJc w:val="left"/>
      <w:pPr>
        <w:ind w:left="858" w:hanging="360"/>
      </w:pPr>
      <w:rPr>
        <w:rFonts w:asciiTheme="minorHAnsi" w:eastAsia="Times New Roman" w:hAnsiTheme="minorHAnsi" w:cstheme="minorHAnsi"/>
      </w:rPr>
    </w:lvl>
    <w:lvl w:ilvl="1" w:tplc="0C090019" w:tentative="1">
      <w:start w:val="1"/>
      <w:numFmt w:val="lowerLetter"/>
      <w:lvlText w:val="%2."/>
      <w:lvlJc w:val="left"/>
      <w:pPr>
        <w:ind w:left="1578" w:hanging="360"/>
      </w:pPr>
    </w:lvl>
    <w:lvl w:ilvl="2" w:tplc="0C09001B" w:tentative="1">
      <w:start w:val="1"/>
      <w:numFmt w:val="lowerRoman"/>
      <w:lvlText w:val="%3."/>
      <w:lvlJc w:val="right"/>
      <w:pPr>
        <w:ind w:left="2298" w:hanging="180"/>
      </w:pPr>
    </w:lvl>
    <w:lvl w:ilvl="3" w:tplc="0C09000F" w:tentative="1">
      <w:start w:val="1"/>
      <w:numFmt w:val="decimal"/>
      <w:lvlText w:val="%4."/>
      <w:lvlJc w:val="left"/>
      <w:pPr>
        <w:ind w:left="3018" w:hanging="360"/>
      </w:pPr>
    </w:lvl>
    <w:lvl w:ilvl="4" w:tplc="0C090019" w:tentative="1">
      <w:start w:val="1"/>
      <w:numFmt w:val="lowerLetter"/>
      <w:lvlText w:val="%5."/>
      <w:lvlJc w:val="left"/>
      <w:pPr>
        <w:ind w:left="3738" w:hanging="360"/>
      </w:pPr>
    </w:lvl>
    <w:lvl w:ilvl="5" w:tplc="0C09001B" w:tentative="1">
      <w:start w:val="1"/>
      <w:numFmt w:val="lowerRoman"/>
      <w:lvlText w:val="%6."/>
      <w:lvlJc w:val="right"/>
      <w:pPr>
        <w:ind w:left="4458" w:hanging="180"/>
      </w:pPr>
    </w:lvl>
    <w:lvl w:ilvl="6" w:tplc="0C09000F" w:tentative="1">
      <w:start w:val="1"/>
      <w:numFmt w:val="decimal"/>
      <w:lvlText w:val="%7."/>
      <w:lvlJc w:val="left"/>
      <w:pPr>
        <w:ind w:left="5178" w:hanging="360"/>
      </w:pPr>
    </w:lvl>
    <w:lvl w:ilvl="7" w:tplc="0C090019" w:tentative="1">
      <w:start w:val="1"/>
      <w:numFmt w:val="lowerLetter"/>
      <w:lvlText w:val="%8."/>
      <w:lvlJc w:val="left"/>
      <w:pPr>
        <w:ind w:left="5898" w:hanging="360"/>
      </w:pPr>
    </w:lvl>
    <w:lvl w:ilvl="8" w:tplc="0C09001B" w:tentative="1">
      <w:start w:val="1"/>
      <w:numFmt w:val="lowerRoman"/>
      <w:lvlText w:val="%9."/>
      <w:lvlJc w:val="right"/>
      <w:pPr>
        <w:ind w:left="6618" w:hanging="180"/>
      </w:pPr>
    </w:lvl>
  </w:abstractNum>
  <w:abstractNum w:abstractNumId="36" w15:restartNumberingAfterBreak="0">
    <w:nsid w:val="659723F1"/>
    <w:multiLevelType w:val="hybridMultilevel"/>
    <w:tmpl w:val="F9F8456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7" w15:restartNumberingAfterBreak="0">
    <w:nsid w:val="6B5B5111"/>
    <w:multiLevelType w:val="hybridMultilevel"/>
    <w:tmpl w:val="5E16D3AE"/>
    <w:lvl w:ilvl="0" w:tplc="CCB84D1A">
      <w:start w:val="1"/>
      <w:numFmt w:val="decimal"/>
      <w:lvlText w:val="%1."/>
      <w:lvlJc w:val="left"/>
      <w:pPr>
        <w:ind w:left="720" w:hanging="360"/>
      </w:pPr>
      <w:rPr>
        <w:b w:val="0"/>
        <w:i w:val="0"/>
        <w:color w:val="auto"/>
        <w:sz w:val="22"/>
        <w:szCs w:val="22"/>
      </w:rPr>
    </w:lvl>
    <w:lvl w:ilvl="1" w:tplc="0C090001">
      <w:start w:val="1"/>
      <w:numFmt w:val="bullet"/>
      <w:lvlText w:val=""/>
      <w:lvlJc w:val="left"/>
      <w:pPr>
        <w:ind w:left="1440" w:hanging="360"/>
      </w:pPr>
      <w:rPr>
        <w:rFonts w:ascii="Symbol" w:hAnsi="Symbol" w:hint="default"/>
        <w:i w:val="0"/>
      </w:rPr>
    </w:lvl>
    <w:lvl w:ilvl="2" w:tplc="0C09001B">
      <w:start w:val="1"/>
      <w:numFmt w:val="lowerRoman"/>
      <w:lvlText w:val="%3."/>
      <w:lvlJc w:val="right"/>
      <w:pPr>
        <w:ind w:left="2160" w:hanging="180"/>
      </w:pPr>
    </w:lvl>
    <w:lvl w:ilvl="3" w:tplc="7548C280">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66349C"/>
    <w:multiLevelType w:val="hybridMultilevel"/>
    <w:tmpl w:val="FC027EAC"/>
    <w:lvl w:ilvl="0" w:tplc="03308B24">
      <w:start w:val="1"/>
      <w:numFmt w:val="lowerLetter"/>
      <w:lvlText w:val="%1."/>
      <w:lvlJc w:val="left"/>
      <w:pPr>
        <w:ind w:left="1470" w:hanging="39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E045A44"/>
    <w:multiLevelType w:val="hybridMultilevel"/>
    <w:tmpl w:val="97E4788A"/>
    <w:lvl w:ilvl="0" w:tplc="50263E6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A54FA1"/>
    <w:multiLevelType w:val="hybridMultilevel"/>
    <w:tmpl w:val="28B4D2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9BB4A30"/>
    <w:multiLevelType w:val="hybridMultilevel"/>
    <w:tmpl w:val="C4E4E752"/>
    <w:lvl w:ilvl="0" w:tplc="0C090001">
      <w:start w:val="1"/>
      <w:numFmt w:val="bullet"/>
      <w:lvlText w:val=""/>
      <w:lvlJc w:val="left"/>
      <w:pPr>
        <w:ind w:left="144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9D47C6A"/>
    <w:multiLevelType w:val="hybridMultilevel"/>
    <w:tmpl w:val="8E98D050"/>
    <w:lvl w:ilvl="0" w:tplc="CCB84D1A">
      <w:start w:val="1"/>
      <w:numFmt w:val="decimal"/>
      <w:lvlText w:val="%1."/>
      <w:lvlJc w:val="left"/>
      <w:pPr>
        <w:ind w:left="720" w:hanging="360"/>
      </w:pPr>
      <w:rPr>
        <w:b w:val="0"/>
        <w:i w:val="0"/>
        <w:color w:val="auto"/>
        <w:sz w:val="22"/>
        <w:szCs w:val="22"/>
      </w:rPr>
    </w:lvl>
    <w:lvl w:ilvl="1" w:tplc="0C090001">
      <w:start w:val="1"/>
      <w:numFmt w:val="bullet"/>
      <w:lvlText w:val=""/>
      <w:lvlJc w:val="left"/>
      <w:pPr>
        <w:ind w:left="1440" w:hanging="360"/>
      </w:pPr>
      <w:rPr>
        <w:rFonts w:ascii="Symbol" w:hAnsi="Symbol" w:hint="default"/>
        <w:i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A846546"/>
    <w:multiLevelType w:val="hybridMultilevel"/>
    <w:tmpl w:val="B1D4A8FA"/>
    <w:lvl w:ilvl="0" w:tplc="CCB84D1A">
      <w:start w:val="1"/>
      <w:numFmt w:val="decimal"/>
      <w:lvlText w:val="%1."/>
      <w:lvlJc w:val="left"/>
      <w:pPr>
        <w:ind w:left="720" w:hanging="360"/>
      </w:pPr>
      <w:rPr>
        <w:b w:val="0"/>
        <w:i w:val="0"/>
        <w:color w:val="auto"/>
        <w:sz w:val="22"/>
        <w:szCs w:val="22"/>
      </w:rPr>
    </w:lvl>
    <w:lvl w:ilvl="1" w:tplc="0C090001">
      <w:start w:val="1"/>
      <w:numFmt w:val="bullet"/>
      <w:lvlText w:val=""/>
      <w:lvlJc w:val="left"/>
      <w:pPr>
        <w:ind w:left="1440" w:hanging="360"/>
      </w:pPr>
      <w:rPr>
        <w:rFonts w:ascii="Symbol" w:hAnsi="Symbol" w:hint="default"/>
        <w:i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C290DD7"/>
    <w:multiLevelType w:val="hybridMultilevel"/>
    <w:tmpl w:val="2F9AA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5429DF"/>
    <w:multiLevelType w:val="hybridMultilevel"/>
    <w:tmpl w:val="160AF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D311CF"/>
    <w:multiLevelType w:val="hybridMultilevel"/>
    <w:tmpl w:val="BADABE66"/>
    <w:lvl w:ilvl="0" w:tplc="CCB84D1A">
      <w:start w:val="1"/>
      <w:numFmt w:val="decimal"/>
      <w:lvlText w:val="%1."/>
      <w:lvlJc w:val="left"/>
      <w:pPr>
        <w:ind w:left="720" w:hanging="360"/>
      </w:pPr>
      <w:rPr>
        <w:b w:val="0"/>
        <w:i w:val="0"/>
        <w:color w:val="auto"/>
        <w:sz w:val="22"/>
        <w:szCs w:val="22"/>
      </w:rPr>
    </w:lvl>
    <w:lvl w:ilvl="1" w:tplc="0C090001">
      <w:start w:val="1"/>
      <w:numFmt w:val="bullet"/>
      <w:lvlText w:val=""/>
      <w:lvlJc w:val="left"/>
      <w:pPr>
        <w:ind w:left="1440" w:hanging="360"/>
      </w:pPr>
      <w:rPr>
        <w:rFonts w:ascii="Symbol" w:hAnsi="Symbol" w:hint="default"/>
        <w:i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2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17"/>
  </w:num>
  <w:num w:numId="6">
    <w:abstractNumId w:val="35"/>
  </w:num>
  <w:num w:numId="7">
    <w:abstractNumId w:val="8"/>
  </w:num>
  <w:num w:numId="8">
    <w:abstractNumId w:val="40"/>
  </w:num>
  <w:num w:numId="9">
    <w:abstractNumId w:val="20"/>
  </w:num>
  <w:num w:numId="10">
    <w:abstractNumId w:val="45"/>
  </w:num>
  <w:num w:numId="11">
    <w:abstractNumId w:val="9"/>
  </w:num>
  <w:num w:numId="12">
    <w:abstractNumId w:val="16"/>
  </w:num>
  <w:num w:numId="13">
    <w:abstractNumId w:val="10"/>
  </w:num>
  <w:num w:numId="14">
    <w:abstractNumId w:val="7"/>
  </w:num>
  <w:num w:numId="15">
    <w:abstractNumId w:val="26"/>
  </w:num>
  <w:num w:numId="16">
    <w:abstractNumId w:val="24"/>
  </w:num>
  <w:num w:numId="17">
    <w:abstractNumId w:val="39"/>
  </w:num>
  <w:num w:numId="18">
    <w:abstractNumId w:val="23"/>
  </w:num>
  <w:num w:numId="19">
    <w:abstractNumId w:val="19"/>
  </w:num>
  <w:num w:numId="20">
    <w:abstractNumId w:val="15"/>
  </w:num>
  <w:num w:numId="21">
    <w:abstractNumId w:val="46"/>
  </w:num>
  <w:num w:numId="22">
    <w:abstractNumId w:val="37"/>
  </w:num>
  <w:num w:numId="23">
    <w:abstractNumId w:val="12"/>
  </w:num>
  <w:num w:numId="24">
    <w:abstractNumId w:val="42"/>
  </w:num>
  <w:num w:numId="25">
    <w:abstractNumId w:val="22"/>
  </w:num>
  <w:num w:numId="26">
    <w:abstractNumId w:val="41"/>
  </w:num>
  <w:num w:numId="27">
    <w:abstractNumId w:val="33"/>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28"/>
  </w:num>
  <w:num w:numId="43">
    <w:abstractNumId w:val="44"/>
  </w:num>
  <w:num w:numId="44">
    <w:abstractNumId w:val="34"/>
  </w:num>
  <w:num w:numId="45">
    <w:abstractNumId w:val="13"/>
  </w:num>
  <w:num w:numId="46">
    <w:abstractNumId w:val="29"/>
  </w:num>
  <w:num w:numId="47">
    <w:abstractNumId w:val="21"/>
  </w:num>
  <w:num w:numId="48">
    <w:abstractNumId w:val="30"/>
  </w:num>
  <w:num w:numId="49">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467ADC"/>
    <w:rsid w:val="0000170B"/>
    <w:rsid w:val="00002721"/>
    <w:rsid w:val="000035AB"/>
    <w:rsid w:val="00004B87"/>
    <w:rsid w:val="0000566A"/>
    <w:rsid w:val="00007E0C"/>
    <w:rsid w:val="00012E46"/>
    <w:rsid w:val="000135B0"/>
    <w:rsid w:val="00015DED"/>
    <w:rsid w:val="000173CC"/>
    <w:rsid w:val="000200D9"/>
    <w:rsid w:val="000228EA"/>
    <w:rsid w:val="00022A75"/>
    <w:rsid w:val="0002412D"/>
    <w:rsid w:val="00024E24"/>
    <w:rsid w:val="00025C56"/>
    <w:rsid w:val="000265D2"/>
    <w:rsid w:val="00026B43"/>
    <w:rsid w:val="0003152C"/>
    <w:rsid w:val="00034C64"/>
    <w:rsid w:val="00034E0F"/>
    <w:rsid w:val="00034EAA"/>
    <w:rsid w:val="00041AAB"/>
    <w:rsid w:val="00045152"/>
    <w:rsid w:val="0004544C"/>
    <w:rsid w:val="00047B4F"/>
    <w:rsid w:val="000517DC"/>
    <w:rsid w:val="0005563B"/>
    <w:rsid w:val="00057B14"/>
    <w:rsid w:val="00060DF4"/>
    <w:rsid w:val="00062815"/>
    <w:rsid w:val="00067065"/>
    <w:rsid w:val="000712A2"/>
    <w:rsid w:val="000731B0"/>
    <w:rsid w:val="000743FA"/>
    <w:rsid w:val="00075824"/>
    <w:rsid w:val="00077B14"/>
    <w:rsid w:val="0008491E"/>
    <w:rsid w:val="000861A6"/>
    <w:rsid w:val="00086935"/>
    <w:rsid w:val="00087938"/>
    <w:rsid w:val="00091AED"/>
    <w:rsid w:val="00093026"/>
    <w:rsid w:val="00093B80"/>
    <w:rsid w:val="00094395"/>
    <w:rsid w:val="000A3DDE"/>
    <w:rsid w:val="000A4A15"/>
    <w:rsid w:val="000A5BEA"/>
    <w:rsid w:val="000A6362"/>
    <w:rsid w:val="000A6542"/>
    <w:rsid w:val="000B3657"/>
    <w:rsid w:val="000B5997"/>
    <w:rsid w:val="000B6C70"/>
    <w:rsid w:val="000C0BC5"/>
    <w:rsid w:val="000D2254"/>
    <w:rsid w:val="000D684E"/>
    <w:rsid w:val="000D7FD3"/>
    <w:rsid w:val="000E62AC"/>
    <w:rsid w:val="000E6EE0"/>
    <w:rsid w:val="000E7E7B"/>
    <w:rsid w:val="000F202B"/>
    <w:rsid w:val="000F2B07"/>
    <w:rsid w:val="000F2EC1"/>
    <w:rsid w:val="000F3BA2"/>
    <w:rsid w:val="000F65DF"/>
    <w:rsid w:val="000F7591"/>
    <w:rsid w:val="00100836"/>
    <w:rsid w:val="00101AD3"/>
    <w:rsid w:val="0010758E"/>
    <w:rsid w:val="0010762F"/>
    <w:rsid w:val="00111049"/>
    <w:rsid w:val="00113FB2"/>
    <w:rsid w:val="0011704D"/>
    <w:rsid w:val="001175BF"/>
    <w:rsid w:val="00121B40"/>
    <w:rsid w:val="00122174"/>
    <w:rsid w:val="00122270"/>
    <w:rsid w:val="0012293C"/>
    <w:rsid w:val="00130923"/>
    <w:rsid w:val="00134C42"/>
    <w:rsid w:val="00135F4D"/>
    <w:rsid w:val="001366E8"/>
    <w:rsid w:val="00137120"/>
    <w:rsid w:val="001373B6"/>
    <w:rsid w:val="001414F3"/>
    <w:rsid w:val="00142216"/>
    <w:rsid w:val="00143451"/>
    <w:rsid w:val="00143FCD"/>
    <w:rsid w:val="001445AB"/>
    <w:rsid w:val="0014489C"/>
    <w:rsid w:val="001455C8"/>
    <w:rsid w:val="00146DF3"/>
    <w:rsid w:val="00152C40"/>
    <w:rsid w:val="00155134"/>
    <w:rsid w:val="00155CF8"/>
    <w:rsid w:val="00161ADC"/>
    <w:rsid w:val="00162C29"/>
    <w:rsid w:val="0016390E"/>
    <w:rsid w:val="001640E3"/>
    <w:rsid w:val="00164303"/>
    <w:rsid w:val="0017237B"/>
    <w:rsid w:val="00176094"/>
    <w:rsid w:val="001800AE"/>
    <w:rsid w:val="00185802"/>
    <w:rsid w:val="00190050"/>
    <w:rsid w:val="00191C7A"/>
    <w:rsid w:val="00192E06"/>
    <w:rsid w:val="001938AB"/>
    <w:rsid w:val="00193A60"/>
    <w:rsid w:val="0019474A"/>
    <w:rsid w:val="00196FCB"/>
    <w:rsid w:val="001A0359"/>
    <w:rsid w:val="001A146A"/>
    <w:rsid w:val="001A32F6"/>
    <w:rsid w:val="001B1A2D"/>
    <w:rsid w:val="001B6467"/>
    <w:rsid w:val="001B75BD"/>
    <w:rsid w:val="001C455E"/>
    <w:rsid w:val="001C48A7"/>
    <w:rsid w:val="001D18C6"/>
    <w:rsid w:val="001D45F3"/>
    <w:rsid w:val="001D5A23"/>
    <w:rsid w:val="001E1306"/>
    <w:rsid w:val="001E52A6"/>
    <w:rsid w:val="001E59A0"/>
    <w:rsid w:val="001E7142"/>
    <w:rsid w:val="00203A2F"/>
    <w:rsid w:val="002076E6"/>
    <w:rsid w:val="00210507"/>
    <w:rsid w:val="002153E3"/>
    <w:rsid w:val="00216315"/>
    <w:rsid w:val="00217F09"/>
    <w:rsid w:val="00223EB1"/>
    <w:rsid w:val="00225818"/>
    <w:rsid w:val="00231304"/>
    <w:rsid w:val="002317D9"/>
    <w:rsid w:val="002336BA"/>
    <w:rsid w:val="00235E51"/>
    <w:rsid w:val="00235F6A"/>
    <w:rsid w:val="00236917"/>
    <w:rsid w:val="00237AB9"/>
    <w:rsid w:val="00240039"/>
    <w:rsid w:val="00241465"/>
    <w:rsid w:val="00243D6B"/>
    <w:rsid w:val="00245554"/>
    <w:rsid w:val="00246F8F"/>
    <w:rsid w:val="00247966"/>
    <w:rsid w:val="00250E01"/>
    <w:rsid w:val="00253CEA"/>
    <w:rsid w:val="00257143"/>
    <w:rsid w:val="0025724D"/>
    <w:rsid w:val="00261CBF"/>
    <w:rsid w:val="00265259"/>
    <w:rsid w:val="0026793C"/>
    <w:rsid w:val="00267B6A"/>
    <w:rsid w:val="00273F55"/>
    <w:rsid w:val="0027460E"/>
    <w:rsid w:val="00275AC9"/>
    <w:rsid w:val="002822BD"/>
    <w:rsid w:val="002825E5"/>
    <w:rsid w:val="00284777"/>
    <w:rsid w:val="00286585"/>
    <w:rsid w:val="002922A0"/>
    <w:rsid w:val="002936FB"/>
    <w:rsid w:val="002A041E"/>
    <w:rsid w:val="002A18E9"/>
    <w:rsid w:val="002B06E6"/>
    <w:rsid w:val="002B1601"/>
    <w:rsid w:val="002B1E00"/>
    <w:rsid w:val="002B35CA"/>
    <w:rsid w:val="002B50D9"/>
    <w:rsid w:val="002B715C"/>
    <w:rsid w:val="002B7737"/>
    <w:rsid w:val="002C3126"/>
    <w:rsid w:val="002C3AA1"/>
    <w:rsid w:val="002C3BAC"/>
    <w:rsid w:val="002C4024"/>
    <w:rsid w:val="002D271F"/>
    <w:rsid w:val="002D6189"/>
    <w:rsid w:val="002D6386"/>
    <w:rsid w:val="002E3527"/>
    <w:rsid w:val="002E6FC4"/>
    <w:rsid w:val="002E7731"/>
    <w:rsid w:val="002F1999"/>
    <w:rsid w:val="002F5D15"/>
    <w:rsid w:val="003018BC"/>
    <w:rsid w:val="003018F4"/>
    <w:rsid w:val="003027B9"/>
    <w:rsid w:val="0030395C"/>
    <w:rsid w:val="003049DE"/>
    <w:rsid w:val="00305B35"/>
    <w:rsid w:val="00306F6F"/>
    <w:rsid w:val="003108E8"/>
    <w:rsid w:val="00311D56"/>
    <w:rsid w:val="0031534D"/>
    <w:rsid w:val="003155A7"/>
    <w:rsid w:val="003155A8"/>
    <w:rsid w:val="003166C5"/>
    <w:rsid w:val="00317221"/>
    <w:rsid w:val="003242B9"/>
    <w:rsid w:val="003271AB"/>
    <w:rsid w:val="0033219D"/>
    <w:rsid w:val="00332352"/>
    <w:rsid w:val="0033633B"/>
    <w:rsid w:val="00341C39"/>
    <w:rsid w:val="0035014C"/>
    <w:rsid w:val="003515EA"/>
    <w:rsid w:val="003546B7"/>
    <w:rsid w:val="00360072"/>
    <w:rsid w:val="003646EE"/>
    <w:rsid w:val="0036708A"/>
    <w:rsid w:val="003707EA"/>
    <w:rsid w:val="0037094B"/>
    <w:rsid w:val="003753C7"/>
    <w:rsid w:val="00375BB1"/>
    <w:rsid w:val="003771E8"/>
    <w:rsid w:val="00380BB5"/>
    <w:rsid w:val="0038222E"/>
    <w:rsid w:val="00382548"/>
    <w:rsid w:val="00384CFD"/>
    <w:rsid w:val="00391092"/>
    <w:rsid w:val="0039344E"/>
    <w:rsid w:val="00396B11"/>
    <w:rsid w:val="00397247"/>
    <w:rsid w:val="003979FC"/>
    <w:rsid w:val="00397E15"/>
    <w:rsid w:val="003A4EA9"/>
    <w:rsid w:val="003A57F2"/>
    <w:rsid w:val="003B2C6C"/>
    <w:rsid w:val="003B3CD2"/>
    <w:rsid w:val="003B4714"/>
    <w:rsid w:val="003B47E5"/>
    <w:rsid w:val="003B5445"/>
    <w:rsid w:val="003B6077"/>
    <w:rsid w:val="003B6A71"/>
    <w:rsid w:val="003C58B2"/>
    <w:rsid w:val="003C5DBC"/>
    <w:rsid w:val="003C6DBB"/>
    <w:rsid w:val="003D0D6C"/>
    <w:rsid w:val="003D1812"/>
    <w:rsid w:val="003D2D53"/>
    <w:rsid w:val="003D2E74"/>
    <w:rsid w:val="003D5E30"/>
    <w:rsid w:val="003D67FC"/>
    <w:rsid w:val="003D6D06"/>
    <w:rsid w:val="003D770F"/>
    <w:rsid w:val="003E1CA6"/>
    <w:rsid w:val="003E3FB7"/>
    <w:rsid w:val="003E7039"/>
    <w:rsid w:val="003F33E3"/>
    <w:rsid w:val="003F6E03"/>
    <w:rsid w:val="003F7AE8"/>
    <w:rsid w:val="00401E8F"/>
    <w:rsid w:val="00406B39"/>
    <w:rsid w:val="00406E5A"/>
    <w:rsid w:val="00407440"/>
    <w:rsid w:val="00410326"/>
    <w:rsid w:val="004104E1"/>
    <w:rsid w:val="00411C66"/>
    <w:rsid w:val="00414465"/>
    <w:rsid w:val="00420055"/>
    <w:rsid w:val="004230FA"/>
    <w:rsid w:val="004233F4"/>
    <w:rsid w:val="00423D5B"/>
    <w:rsid w:val="00425CD3"/>
    <w:rsid w:val="00427780"/>
    <w:rsid w:val="00436E3E"/>
    <w:rsid w:val="00437B95"/>
    <w:rsid w:val="0044046C"/>
    <w:rsid w:val="0044617A"/>
    <w:rsid w:val="004469CC"/>
    <w:rsid w:val="0045191B"/>
    <w:rsid w:val="004540F5"/>
    <w:rsid w:val="00455B34"/>
    <w:rsid w:val="0046004B"/>
    <w:rsid w:val="00461AB2"/>
    <w:rsid w:val="00462225"/>
    <w:rsid w:val="00464687"/>
    <w:rsid w:val="0046542F"/>
    <w:rsid w:val="00465600"/>
    <w:rsid w:val="00466A66"/>
    <w:rsid w:val="00467661"/>
    <w:rsid w:val="00467ADC"/>
    <w:rsid w:val="004717BB"/>
    <w:rsid w:val="00473D43"/>
    <w:rsid w:val="0047632F"/>
    <w:rsid w:val="004765D7"/>
    <w:rsid w:val="00476639"/>
    <w:rsid w:val="00476D85"/>
    <w:rsid w:val="00480A25"/>
    <w:rsid w:val="0048178B"/>
    <w:rsid w:val="00481F02"/>
    <w:rsid w:val="004863A1"/>
    <w:rsid w:val="0048762C"/>
    <w:rsid w:val="00491106"/>
    <w:rsid w:val="004919EA"/>
    <w:rsid w:val="00492770"/>
    <w:rsid w:val="00496185"/>
    <w:rsid w:val="004A126F"/>
    <w:rsid w:val="004A1874"/>
    <w:rsid w:val="004A2307"/>
    <w:rsid w:val="004A5691"/>
    <w:rsid w:val="004B256F"/>
    <w:rsid w:val="004B6C6A"/>
    <w:rsid w:val="004C014C"/>
    <w:rsid w:val="004C1880"/>
    <w:rsid w:val="004C40FA"/>
    <w:rsid w:val="004C44B1"/>
    <w:rsid w:val="004C5A89"/>
    <w:rsid w:val="004C5DD4"/>
    <w:rsid w:val="004C6FBA"/>
    <w:rsid w:val="004D22BF"/>
    <w:rsid w:val="004D3929"/>
    <w:rsid w:val="004D52A2"/>
    <w:rsid w:val="004D7C3F"/>
    <w:rsid w:val="004E3E23"/>
    <w:rsid w:val="004E746C"/>
    <w:rsid w:val="004E76D4"/>
    <w:rsid w:val="004F021C"/>
    <w:rsid w:val="004F1581"/>
    <w:rsid w:val="004F15A7"/>
    <w:rsid w:val="0050293C"/>
    <w:rsid w:val="0050394A"/>
    <w:rsid w:val="0050416C"/>
    <w:rsid w:val="005070F5"/>
    <w:rsid w:val="00507D59"/>
    <w:rsid w:val="0051010B"/>
    <w:rsid w:val="005113B6"/>
    <w:rsid w:val="00511C31"/>
    <w:rsid w:val="00512381"/>
    <w:rsid w:val="00514B3B"/>
    <w:rsid w:val="00515CBB"/>
    <w:rsid w:val="0051774B"/>
    <w:rsid w:val="00517AD8"/>
    <w:rsid w:val="0052324B"/>
    <w:rsid w:val="005247CE"/>
    <w:rsid w:val="00530E14"/>
    <w:rsid w:val="00531606"/>
    <w:rsid w:val="00531817"/>
    <w:rsid w:val="00532433"/>
    <w:rsid w:val="0053256E"/>
    <w:rsid w:val="00536960"/>
    <w:rsid w:val="00545412"/>
    <w:rsid w:val="00545F8B"/>
    <w:rsid w:val="005538FC"/>
    <w:rsid w:val="005544EE"/>
    <w:rsid w:val="00555C84"/>
    <w:rsid w:val="005568EA"/>
    <w:rsid w:val="005578BD"/>
    <w:rsid w:val="00560CA0"/>
    <w:rsid w:val="00560F8D"/>
    <w:rsid w:val="005624F3"/>
    <w:rsid w:val="0056280E"/>
    <w:rsid w:val="00562A96"/>
    <w:rsid w:val="00570557"/>
    <w:rsid w:val="005730A3"/>
    <w:rsid w:val="00574B15"/>
    <w:rsid w:val="005777BE"/>
    <w:rsid w:val="00577DC0"/>
    <w:rsid w:val="005802C5"/>
    <w:rsid w:val="005811EF"/>
    <w:rsid w:val="00590561"/>
    <w:rsid w:val="00592968"/>
    <w:rsid w:val="005A1BC6"/>
    <w:rsid w:val="005A360A"/>
    <w:rsid w:val="005A567B"/>
    <w:rsid w:val="005A5897"/>
    <w:rsid w:val="005A60B5"/>
    <w:rsid w:val="005A748A"/>
    <w:rsid w:val="005B0878"/>
    <w:rsid w:val="005B3FB5"/>
    <w:rsid w:val="005B6141"/>
    <w:rsid w:val="005B67AB"/>
    <w:rsid w:val="005C15C0"/>
    <w:rsid w:val="005C2028"/>
    <w:rsid w:val="005C26B6"/>
    <w:rsid w:val="005C4ECF"/>
    <w:rsid w:val="005C69F0"/>
    <w:rsid w:val="005D427C"/>
    <w:rsid w:val="005D4818"/>
    <w:rsid w:val="005D4C2B"/>
    <w:rsid w:val="005D514C"/>
    <w:rsid w:val="005E0BB7"/>
    <w:rsid w:val="005E1D54"/>
    <w:rsid w:val="005E28D7"/>
    <w:rsid w:val="005F5350"/>
    <w:rsid w:val="005F5C17"/>
    <w:rsid w:val="005F6148"/>
    <w:rsid w:val="005F6CDE"/>
    <w:rsid w:val="005F7896"/>
    <w:rsid w:val="0060018D"/>
    <w:rsid w:val="00601C8F"/>
    <w:rsid w:val="0060316C"/>
    <w:rsid w:val="00604A86"/>
    <w:rsid w:val="006053B4"/>
    <w:rsid w:val="00606521"/>
    <w:rsid w:val="00607C88"/>
    <w:rsid w:val="00610654"/>
    <w:rsid w:val="006107DF"/>
    <w:rsid w:val="00611CA3"/>
    <w:rsid w:val="00612295"/>
    <w:rsid w:val="006130DD"/>
    <w:rsid w:val="00614A93"/>
    <w:rsid w:val="00614B21"/>
    <w:rsid w:val="00615EBE"/>
    <w:rsid w:val="00621BFA"/>
    <w:rsid w:val="00624493"/>
    <w:rsid w:val="00624AB7"/>
    <w:rsid w:val="006318B9"/>
    <w:rsid w:val="0063233D"/>
    <w:rsid w:val="006429F2"/>
    <w:rsid w:val="00643588"/>
    <w:rsid w:val="0064463B"/>
    <w:rsid w:val="00644D3C"/>
    <w:rsid w:val="006463E1"/>
    <w:rsid w:val="00646954"/>
    <w:rsid w:val="00653015"/>
    <w:rsid w:val="0065457F"/>
    <w:rsid w:val="006546DF"/>
    <w:rsid w:val="00655353"/>
    <w:rsid w:val="00661C78"/>
    <w:rsid w:val="00666323"/>
    <w:rsid w:val="0066649B"/>
    <w:rsid w:val="00670096"/>
    <w:rsid w:val="0067026C"/>
    <w:rsid w:val="00673C2E"/>
    <w:rsid w:val="00674A13"/>
    <w:rsid w:val="0067798B"/>
    <w:rsid w:val="00682122"/>
    <w:rsid w:val="00690C01"/>
    <w:rsid w:val="006951EF"/>
    <w:rsid w:val="006A184C"/>
    <w:rsid w:val="006A1C03"/>
    <w:rsid w:val="006A2A7A"/>
    <w:rsid w:val="006B1590"/>
    <w:rsid w:val="006B29ED"/>
    <w:rsid w:val="006B56D2"/>
    <w:rsid w:val="006B5FF8"/>
    <w:rsid w:val="006D3388"/>
    <w:rsid w:val="006D6CE7"/>
    <w:rsid w:val="006E0792"/>
    <w:rsid w:val="006E0EA3"/>
    <w:rsid w:val="006E19B8"/>
    <w:rsid w:val="006E2D49"/>
    <w:rsid w:val="006E3033"/>
    <w:rsid w:val="006E650A"/>
    <w:rsid w:val="006F14C8"/>
    <w:rsid w:val="006F1EB4"/>
    <w:rsid w:val="006F2F9C"/>
    <w:rsid w:val="006F3FEE"/>
    <w:rsid w:val="006F7A2C"/>
    <w:rsid w:val="00704344"/>
    <w:rsid w:val="0071065C"/>
    <w:rsid w:val="00710E79"/>
    <w:rsid w:val="0071331E"/>
    <w:rsid w:val="00714CE9"/>
    <w:rsid w:val="0072031E"/>
    <w:rsid w:val="00721954"/>
    <w:rsid w:val="007227FE"/>
    <w:rsid w:val="0072441C"/>
    <w:rsid w:val="0072500B"/>
    <w:rsid w:val="00726F66"/>
    <w:rsid w:val="00733449"/>
    <w:rsid w:val="007340CB"/>
    <w:rsid w:val="00735EC2"/>
    <w:rsid w:val="007369CD"/>
    <w:rsid w:val="00737942"/>
    <w:rsid w:val="007400C9"/>
    <w:rsid w:val="00740F7F"/>
    <w:rsid w:val="00743384"/>
    <w:rsid w:val="00743AEB"/>
    <w:rsid w:val="00744AA4"/>
    <w:rsid w:val="007468FC"/>
    <w:rsid w:val="00750A58"/>
    <w:rsid w:val="00750B8E"/>
    <w:rsid w:val="007520E0"/>
    <w:rsid w:val="00753131"/>
    <w:rsid w:val="007617B6"/>
    <w:rsid w:val="007621BB"/>
    <w:rsid w:val="00763611"/>
    <w:rsid w:val="007655B5"/>
    <w:rsid w:val="007750B7"/>
    <w:rsid w:val="00775F9E"/>
    <w:rsid w:val="00776C56"/>
    <w:rsid w:val="00782924"/>
    <w:rsid w:val="00782F1B"/>
    <w:rsid w:val="00783782"/>
    <w:rsid w:val="00790E2A"/>
    <w:rsid w:val="00791E8B"/>
    <w:rsid w:val="00792CA3"/>
    <w:rsid w:val="0079302F"/>
    <w:rsid w:val="00795790"/>
    <w:rsid w:val="007A3E05"/>
    <w:rsid w:val="007A5D09"/>
    <w:rsid w:val="007A78E7"/>
    <w:rsid w:val="007B2FDD"/>
    <w:rsid w:val="007B40C5"/>
    <w:rsid w:val="007B489E"/>
    <w:rsid w:val="007C27A6"/>
    <w:rsid w:val="007C4424"/>
    <w:rsid w:val="007C6FA6"/>
    <w:rsid w:val="007D2B50"/>
    <w:rsid w:val="007D3223"/>
    <w:rsid w:val="007D58FB"/>
    <w:rsid w:val="007E0041"/>
    <w:rsid w:val="007E2E1F"/>
    <w:rsid w:val="007E76F1"/>
    <w:rsid w:val="007F1B43"/>
    <w:rsid w:val="007F1C0C"/>
    <w:rsid w:val="007F3E3B"/>
    <w:rsid w:val="007F7468"/>
    <w:rsid w:val="00801E25"/>
    <w:rsid w:val="00802ABE"/>
    <w:rsid w:val="00802AFD"/>
    <w:rsid w:val="008067F3"/>
    <w:rsid w:val="008078DB"/>
    <w:rsid w:val="00810781"/>
    <w:rsid w:val="00812D3B"/>
    <w:rsid w:val="00817EA2"/>
    <w:rsid w:val="00821D17"/>
    <w:rsid w:val="00821E7D"/>
    <w:rsid w:val="0082485D"/>
    <w:rsid w:val="00825C14"/>
    <w:rsid w:val="00830510"/>
    <w:rsid w:val="008318EC"/>
    <w:rsid w:val="00832D24"/>
    <w:rsid w:val="00832FB2"/>
    <w:rsid w:val="0083454E"/>
    <w:rsid w:val="0083468A"/>
    <w:rsid w:val="008363A8"/>
    <w:rsid w:val="00842D43"/>
    <w:rsid w:val="008455F7"/>
    <w:rsid w:val="0084595D"/>
    <w:rsid w:val="00845D11"/>
    <w:rsid w:val="00847A06"/>
    <w:rsid w:val="00852CE9"/>
    <w:rsid w:val="008533E8"/>
    <w:rsid w:val="00855F54"/>
    <w:rsid w:val="00856D1C"/>
    <w:rsid w:val="0086208C"/>
    <w:rsid w:val="00862F82"/>
    <w:rsid w:val="008667B8"/>
    <w:rsid w:val="00874495"/>
    <w:rsid w:val="00876AC0"/>
    <w:rsid w:val="0088107C"/>
    <w:rsid w:val="00881AD9"/>
    <w:rsid w:val="00884047"/>
    <w:rsid w:val="00885530"/>
    <w:rsid w:val="00886B9D"/>
    <w:rsid w:val="00886BDD"/>
    <w:rsid w:val="008878AE"/>
    <w:rsid w:val="00891993"/>
    <w:rsid w:val="00893F63"/>
    <w:rsid w:val="008960B7"/>
    <w:rsid w:val="00896380"/>
    <w:rsid w:val="008A1E3F"/>
    <w:rsid w:val="008A4EBE"/>
    <w:rsid w:val="008A57AD"/>
    <w:rsid w:val="008A6044"/>
    <w:rsid w:val="008B25E4"/>
    <w:rsid w:val="008B48C7"/>
    <w:rsid w:val="008B5CE8"/>
    <w:rsid w:val="008C33E9"/>
    <w:rsid w:val="008C49D8"/>
    <w:rsid w:val="008D15B7"/>
    <w:rsid w:val="008D2ADD"/>
    <w:rsid w:val="008D5121"/>
    <w:rsid w:val="008D55CD"/>
    <w:rsid w:val="008D62F7"/>
    <w:rsid w:val="008E2E48"/>
    <w:rsid w:val="008E5283"/>
    <w:rsid w:val="008E5836"/>
    <w:rsid w:val="008F1063"/>
    <w:rsid w:val="008F1B42"/>
    <w:rsid w:val="008F52F4"/>
    <w:rsid w:val="008F6FF5"/>
    <w:rsid w:val="008F7229"/>
    <w:rsid w:val="00901656"/>
    <w:rsid w:val="00901B96"/>
    <w:rsid w:val="00903408"/>
    <w:rsid w:val="00905AD9"/>
    <w:rsid w:val="009077D2"/>
    <w:rsid w:val="009108F4"/>
    <w:rsid w:val="009116EA"/>
    <w:rsid w:val="00913D43"/>
    <w:rsid w:val="009150EC"/>
    <w:rsid w:val="00915699"/>
    <w:rsid w:val="0091573D"/>
    <w:rsid w:val="00921306"/>
    <w:rsid w:val="009217F2"/>
    <w:rsid w:val="00923683"/>
    <w:rsid w:val="00924169"/>
    <w:rsid w:val="00931BA7"/>
    <w:rsid w:val="00933671"/>
    <w:rsid w:val="00935A2A"/>
    <w:rsid w:val="00937510"/>
    <w:rsid w:val="00942EE0"/>
    <w:rsid w:val="00942EF3"/>
    <w:rsid w:val="0094336E"/>
    <w:rsid w:val="0094411C"/>
    <w:rsid w:val="00944152"/>
    <w:rsid w:val="00944709"/>
    <w:rsid w:val="00945FBB"/>
    <w:rsid w:val="00950775"/>
    <w:rsid w:val="0095085E"/>
    <w:rsid w:val="009538D2"/>
    <w:rsid w:val="009553B4"/>
    <w:rsid w:val="0096240B"/>
    <w:rsid w:val="00962667"/>
    <w:rsid w:val="0096307C"/>
    <w:rsid w:val="009656E5"/>
    <w:rsid w:val="00967D6E"/>
    <w:rsid w:val="0097195C"/>
    <w:rsid w:val="00971D09"/>
    <w:rsid w:val="00972BF7"/>
    <w:rsid w:val="00972DD5"/>
    <w:rsid w:val="009736F6"/>
    <w:rsid w:val="009746FF"/>
    <w:rsid w:val="00984879"/>
    <w:rsid w:val="00985632"/>
    <w:rsid w:val="009862E2"/>
    <w:rsid w:val="009865D8"/>
    <w:rsid w:val="00986A63"/>
    <w:rsid w:val="00991B63"/>
    <w:rsid w:val="00993738"/>
    <w:rsid w:val="00993D8B"/>
    <w:rsid w:val="00997905"/>
    <w:rsid w:val="009A4621"/>
    <w:rsid w:val="009A4D3D"/>
    <w:rsid w:val="009A5B08"/>
    <w:rsid w:val="009B2428"/>
    <w:rsid w:val="009B52C0"/>
    <w:rsid w:val="009B5CB7"/>
    <w:rsid w:val="009C045A"/>
    <w:rsid w:val="009C5D2F"/>
    <w:rsid w:val="009C6CB0"/>
    <w:rsid w:val="009D1BCF"/>
    <w:rsid w:val="009D4A8D"/>
    <w:rsid w:val="009D635E"/>
    <w:rsid w:val="009E0414"/>
    <w:rsid w:val="009E1332"/>
    <w:rsid w:val="009F02FE"/>
    <w:rsid w:val="009F1372"/>
    <w:rsid w:val="00A00840"/>
    <w:rsid w:val="00A0490D"/>
    <w:rsid w:val="00A14458"/>
    <w:rsid w:val="00A145A2"/>
    <w:rsid w:val="00A148E7"/>
    <w:rsid w:val="00A16592"/>
    <w:rsid w:val="00A17A38"/>
    <w:rsid w:val="00A23DD7"/>
    <w:rsid w:val="00A2567D"/>
    <w:rsid w:val="00A26086"/>
    <w:rsid w:val="00A2723C"/>
    <w:rsid w:val="00A31242"/>
    <w:rsid w:val="00A3189F"/>
    <w:rsid w:val="00A40EC8"/>
    <w:rsid w:val="00A43FF4"/>
    <w:rsid w:val="00A474E8"/>
    <w:rsid w:val="00A475CB"/>
    <w:rsid w:val="00A52530"/>
    <w:rsid w:val="00A52ED6"/>
    <w:rsid w:val="00A534D7"/>
    <w:rsid w:val="00A551BF"/>
    <w:rsid w:val="00A62CE7"/>
    <w:rsid w:val="00A62F34"/>
    <w:rsid w:val="00A65AC9"/>
    <w:rsid w:val="00A66052"/>
    <w:rsid w:val="00A70524"/>
    <w:rsid w:val="00A7182E"/>
    <w:rsid w:val="00A71B1F"/>
    <w:rsid w:val="00A73406"/>
    <w:rsid w:val="00A73DA8"/>
    <w:rsid w:val="00A769CF"/>
    <w:rsid w:val="00A77B68"/>
    <w:rsid w:val="00A80EBE"/>
    <w:rsid w:val="00A82D42"/>
    <w:rsid w:val="00A874E2"/>
    <w:rsid w:val="00A901A6"/>
    <w:rsid w:val="00A90B52"/>
    <w:rsid w:val="00A90D59"/>
    <w:rsid w:val="00A91E12"/>
    <w:rsid w:val="00A92AB7"/>
    <w:rsid w:val="00A93914"/>
    <w:rsid w:val="00A94661"/>
    <w:rsid w:val="00A9496E"/>
    <w:rsid w:val="00AA1745"/>
    <w:rsid w:val="00AA1FE6"/>
    <w:rsid w:val="00AA4876"/>
    <w:rsid w:val="00AA4BEF"/>
    <w:rsid w:val="00AA6688"/>
    <w:rsid w:val="00AA7500"/>
    <w:rsid w:val="00AB2C0C"/>
    <w:rsid w:val="00AB435B"/>
    <w:rsid w:val="00AB5007"/>
    <w:rsid w:val="00AB596F"/>
    <w:rsid w:val="00AB5CBA"/>
    <w:rsid w:val="00AB7538"/>
    <w:rsid w:val="00AB78F2"/>
    <w:rsid w:val="00AC0A60"/>
    <w:rsid w:val="00AC0D29"/>
    <w:rsid w:val="00AC40C1"/>
    <w:rsid w:val="00AC57C2"/>
    <w:rsid w:val="00AC65DA"/>
    <w:rsid w:val="00AD09C9"/>
    <w:rsid w:val="00AD09E4"/>
    <w:rsid w:val="00AD1B95"/>
    <w:rsid w:val="00AD245C"/>
    <w:rsid w:val="00AD4155"/>
    <w:rsid w:val="00AE378A"/>
    <w:rsid w:val="00AE4BFC"/>
    <w:rsid w:val="00AE7247"/>
    <w:rsid w:val="00AF01E5"/>
    <w:rsid w:val="00AF1737"/>
    <w:rsid w:val="00AF2C7C"/>
    <w:rsid w:val="00AF3E03"/>
    <w:rsid w:val="00B033C3"/>
    <w:rsid w:val="00B05309"/>
    <w:rsid w:val="00B062B8"/>
    <w:rsid w:val="00B12BD6"/>
    <w:rsid w:val="00B1345F"/>
    <w:rsid w:val="00B13460"/>
    <w:rsid w:val="00B13D2D"/>
    <w:rsid w:val="00B1473E"/>
    <w:rsid w:val="00B14885"/>
    <w:rsid w:val="00B2113F"/>
    <w:rsid w:val="00B2448B"/>
    <w:rsid w:val="00B2722A"/>
    <w:rsid w:val="00B312D2"/>
    <w:rsid w:val="00B33278"/>
    <w:rsid w:val="00B40197"/>
    <w:rsid w:val="00B405A4"/>
    <w:rsid w:val="00B40D6D"/>
    <w:rsid w:val="00B4505B"/>
    <w:rsid w:val="00B46D7A"/>
    <w:rsid w:val="00B47AF6"/>
    <w:rsid w:val="00B56C35"/>
    <w:rsid w:val="00B608A9"/>
    <w:rsid w:val="00B618BA"/>
    <w:rsid w:val="00B61A2C"/>
    <w:rsid w:val="00B643F1"/>
    <w:rsid w:val="00B665E8"/>
    <w:rsid w:val="00B72AD0"/>
    <w:rsid w:val="00B746B9"/>
    <w:rsid w:val="00B80E92"/>
    <w:rsid w:val="00B81CA7"/>
    <w:rsid w:val="00B82137"/>
    <w:rsid w:val="00B82581"/>
    <w:rsid w:val="00B84351"/>
    <w:rsid w:val="00B91B8C"/>
    <w:rsid w:val="00B929A5"/>
    <w:rsid w:val="00BA2323"/>
    <w:rsid w:val="00BA282D"/>
    <w:rsid w:val="00BA38BA"/>
    <w:rsid w:val="00BA39EB"/>
    <w:rsid w:val="00BA4D57"/>
    <w:rsid w:val="00BB5FB7"/>
    <w:rsid w:val="00BB6260"/>
    <w:rsid w:val="00BC5A3C"/>
    <w:rsid w:val="00BC6BA5"/>
    <w:rsid w:val="00BD4B93"/>
    <w:rsid w:val="00BD618A"/>
    <w:rsid w:val="00BD7087"/>
    <w:rsid w:val="00BD7932"/>
    <w:rsid w:val="00BE0014"/>
    <w:rsid w:val="00BE1302"/>
    <w:rsid w:val="00BE2F99"/>
    <w:rsid w:val="00BF1F1F"/>
    <w:rsid w:val="00C0382C"/>
    <w:rsid w:val="00C03B10"/>
    <w:rsid w:val="00C045AE"/>
    <w:rsid w:val="00C05E74"/>
    <w:rsid w:val="00C075BB"/>
    <w:rsid w:val="00C1086D"/>
    <w:rsid w:val="00C10C19"/>
    <w:rsid w:val="00C11866"/>
    <w:rsid w:val="00C11A97"/>
    <w:rsid w:val="00C126D2"/>
    <w:rsid w:val="00C12A36"/>
    <w:rsid w:val="00C143B8"/>
    <w:rsid w:val="00C15588"/>
    <w:rsid w:val="00C15E29"/>
    <w:rsid w:val="00C161B8"/>
    <w:rsid w:val="00C17D02"/>
    <w:rsid w:val="00C21C8B"/>
    <w:rsid w:val="00C24F4B"/>
    <w:rsid w:val="00C25B4F"/>
    <w:rsid w:val="00C263A3"/>
    <w:rsid w:val="00C33F73"/>
    <w:rsid w:val="00C37539"/>
    <w:rsid w:val="00C40A31"/>
    <w:rsid w:val="00C42BD6"/>
    <w:rsid w:val="00C51AB5"/>
    <w:rsid w:val="00C533F0"/>
    <w:rsid w:val="00C5649C"/>
    <w:rsid w:val="00C73854"/>
    <w:rsid w:val="00C75388"/>
    <w:rsid w:val="00C75486"/>
    <w:rsid w:val="00C76EE7"/>
    <w:rsid w:val="00C81AD4"/>
    <w:rsid w:val="00C81E7B"/>
    <w:rsid w:val="00C8202C"/>
    <w:rsid w:val="00C83BE1"/>
    <w:rsid w:val="00C84BC6"/>
    <w:rsid w:val="00C84DDF"/>
    <w:rsid w:val="00C84E38"/>
    <w:rsid w:val="00C91576"/>
    <w:rsid w:val="00C92A5B"/>
    <w:rsid w:val="00CA46EC"/>
    <w:rsid w:val="00CB2096"/>
    <w:rsid w:val="00CB3E8C"/>
    <w:rsid w:val="00CC21AC"/>
    <w:rsid w:val="00CC3829"/>
    <w:rsid w:val="00CC3CF1"/>
    <w:rsid w:val="00CC41E1"/>
    <w:rsid w:val="00CC4318"/>
    <w:rsid w:val="00CE3278"/>
    <w:rsid w:val="00CE3910"/>
    <w:rsid w:val="00CE3DB0"/>
    <w:rsid w:val="00CE505B"/>
    <w:rsid w:val="00CE5143"/>
    <w:rsid w:val="00CE6054"/>
    <w:rsid w:val="00CE6A5D"/>
    <w:rsid w:val="00CE7DE6"/>
    <w:rsid w:val="00CF25D9"/>
    <w:rsid w:val="00CF402E"/>
    <w:rsid w:val="00CF57A0"/>
    <w:rsid w:val="00CF7058"/>
    <w:rsid w:val="00D00AA6"/>
    <w:rsid w:val="00D00C96"/>
    <w:rsid w:val="00D01CC5"/>
    <w:rsid w:val="00D05B29"/>
    <w:rsid w:val="00D0655A"/>
    <w:rsid w:val="00D11E28"/>
    <w:rsid w:val="00D1394D"/>
    <w:rsid w:val="00D13BD4"/>
    <w:rsid w:val="00D15A82"/>
    <w:rsid w:val="00D16AC6"/>
    <w:rsid w:val="00D16F48"/>
    <w:rsid w:val="00D27006"/>
    <w:rsid w:val="00D27C2D"/>
    <w:rsid w:val="00D3526A"/>
    <w:rsid w:val="00D36AFB"/>
    <w:rsid w:val="00D413CA"/>
    <w:rsid w:val="00D47740"/>
    <w:rsid w:val="00D51B7F"/>
    <w:rsid w:val="00D5219B"/>
    <w:rsid w:val="00D52853"/>
    <w:rsid w:val="00D55D33"/>
    <w:rsid w:val="00D571CF"/>
    <w:rsid w:val="00D5797A"/>
    <w:rsid w:val="00D60BD6"/>
    <w:rsid w:val="00D61878"/>
    <w:rsid w:val="00D655F0"/>
    <w:rsid w:val="00D67861"/>
    <w:rsid w:val="00D7461C"/>
    <w:rsid w:val="00D812B9"/>
    <w:rsid w:val="00D814A6"/>
    <w:rsid w:val="00D81F2C"/>
    <w:rsid w:val="00D83019"/>
    <w:rsid w:val="00D84651"/>
    <w:rsid w:val="00D86471"/>
    <w:rsid w:val="00D870E7"/>
    <w:rsid w:val="00D903FD"/>
    <w:rsid w:val="00D94BC5"/>
    <w:rsid w:val="00D95BC2"/>
    <w:rsid w:val="00D96C08"/>
    <w:rsid w:val="00D97A7C"/>
    <w:rsid w:val="00DA0AEC"/>
    <w:rsid w:val="00DA2116"/>
    <w:rsid w:val="00DA294E"/>
    <w:rsid w:val="00DA4A4B"/>
    <w:rsid w:val="00DA4B29"/>
    <w:rsid w:val="00DA7A1B"/>
    <w:rsid w:val="00DB77F7"/>
    <w:rsid w:val="00DC0505"/>
    <w:rsid w:val="00DC1AB8"/>
    <w:rsid w:val="00DC261E"/>
    <w:rsid w:val="00DC3052"/>
    <w:rsid w:val="00DC5C50"/>
    <w:rsid w:val="00DC680B"/>
    <w:rsid w:val="00DC7E88"/>
    <w:rsid w:val="00DD0CF8"/>
    <w:rsid w:val="00DD2233"/>
    <w:rsid w:val="00DD28D2"/>
    <w:rsid w:val="00DD3210"/>
    <w:rsid w:val="00DD7972"/>
    <w:rsid w:val="00DE11AD"/>
    <w:rsid w:val="00DE1DE9"/>
    <w:rsid w:val="00DE2FA5"/>
    <w:rsid w:val="00DE3BA7"/>
    <w:rsid w:val="00DE45E0"/>
    <w:rsid w:val="00DE4FC8"/>
    <w:rsid w:val="00DE55FA"/>
    <w:rsid w:val="00DE5D41"/>
    <w:rsid w:val="00DE656C"/>
    <w:rsid w:val="00DF114A"/>
    <w:rsid w:val="00DF46C4"/>
    <w:rsid w:val="00DF4CA3"/>
    <w:rsid w:val="00DF7127"/>
    <w:rsid w:val="00E01F30"/>
    <w:rsid w:val="00E0234B"/>
    <w:rsid w:val="00E02515"/>
    <w:rsid w:val="00E02668"/>
    <w:rsid w:val="00E043EA"/>
    <w:rsid w:val="00E060DB"/>
    <w:rsid w:val="00E06D0A"/>
    <w:rsid w:val="00E077C8"/>
    <w:rsid w:val="00E07DD6"/>
    <w:rsid w:val="00E10762"/>
    <w:rsid w:val="00E121E9"/>
    <w:rsid w:val="00E12595"/>
    <w:rsid w:val="00E128F7"/>
    <w:rsid w:val="00E12D26"/>
    <w:rsid w:val="00E1604B"/>
    <w:rsid w:val="00E20AB7"/>
    <w:rsid w:val="00E21E05"/>
    <w:rsid w:val="00E22129"/>
    <w:rsid w:val="00E239AA"/>
    <w:rsid w:val="00E245A0"/>
    <w:rsid w:val="00E26DFE"/>
    <w:rsid w:val="00E271C3"/>
    <w:rsid w:val="00E27742"/>
    <w:rsid w:val="00E3264A"/>
    <w:rsid w:val="00E35F54"/>
    <w:rsid w:val="00E41205"/>
    <w:rsid w:val="00E43539"/>
    <w:rsid w:val="00E44C4B"/>
    <w:rsid w:val="00E45C98"/>
    <w:rsid w:val="00E65A17"/>
    <w:rsid w:val="00E672CD"/>
    <w:rsid w:val="00E7008D"/>
    <w:rsid w:val="00E703E6"/>
    <w:rsid w:val="00E72B31"/>
    <w:rsid w:val="00E72FEA"/>
    <w:rsid w:val="00E77805"/>
    <w:rsid w:val="00E84477"/>
    <w:rsid w:val="00E9033E"/>
    <w:rsid w:val="00E908ED"/>
    <w:rsid w:val="00E915EE"/>
    <w:rsid w:val="00E91A96"/>
    <w:rsid w:val="00E91BAE"/>
    <w:rsid w:val="00E97A08"/>
    <w:rsid w:val="00EA1D7F"/>
    <w:rsid w:val="00EA2DB2"/>
    <w:rsid w:val="00EA5A78"/>
    <w:rsid w:val="00EC47EF"/>
    <w:rsid w:val="00EC4C5B"/>
    <w:rsid w:val="00EC78E7"/>
    <w:rsid w:val="00ED0B1A"/>
    <w:rsid w:val="00ED43D2"/>
    <w:rsid w:val="00EE0B18"/>
    <w:rsid w:val="00EE122D"/>
    <w:rsid w:val="00EE3B8C"/>
    <w:rsid w:val="00EE4CD5"/>
    <w:rsid w:val="00EE60C1"/>
    <w:rsid w:val="00EE6738"/>
    <w:rsid w:val="00EF0BFC"/>
    <w:rsid w:val="00EF1D51"/>
    <w:rsid w:val="00EF1F91"/>
    <w:rsid w:val="00EF447B"/>
    <w:rsid w:val="00EF4A38"/>
    <w:rsid w:val="00EF5845"/>
    <w:rsid w:val="00EF7F7E"/>
    <w:rsid w:val="00F016D7"/>
    <w:rsid w:val="00F01FB9"/>
    <w:rsid w:val="00F039D7"/>
    <w:rsid w:val="00F046BD"/>
    <w:rsid w:val="00F053F6"/>
    <w:rsid w:val="00F11B8F"/>
    <w:rsid w:val="00F1330E"/>
    <w:rsid w:val="00F21920"/>
    <w:rsid w:val="00F262B7"/>
    <w:rsid w:val="00F26760"/>
    <w:rsid w:val="00F27E52"/>
    <w:rsid w:val="00F32B57"/>
    <w:rsid w:val="00F35D30"/>
    <w:rsid w:val="00F37C5A"/>
    <w:rsid w:val="00F42141"/>
    <w:rsid w:val="00F4217E"/>
    <w:rsid w:val="00F45834"/>
    <w:rsid w:val="00F458EC"/>
    <w:rsid w:val="00F47193"/>
    <w:rsid w:val="00F47376"/>
    <w:rsid w:val="00F4760C"/>
    <w:rsid w:val="00F501B4"/>
    <w:rsid w:val="00F50F7E"/>
    <w:rsid w:val="00F51F9D"/>
    <w:rsid w:val="00F53A96"/>
    <w:rsid w:val="00F54688"/>
    <w:rsid w:val="00F54FB2"/>
    <w:rsid w:val="00F56EF3"/>
    <w:rsid w:val="00F57A6E"/>
    <w:rsid w:val="00F624C9"/>
    <w:rsid w:val="00F64900"/>
    <w:rsid w:val="00F658D6"/>
    <w:rsid w:val="00F67FAF"/>
    <w:rsid w:val="00F70169"/>
    <w:rsid w:val="00F70EB2"/>
    <w:rsid w:val="00F74011"/>
    <w:rsid w:val="00F76175"/>
    <w:rsid w:val="00F80CFC"/>
    <w:rsid w:val="00F80DCB"/>
    <w:rsid w:val="00F833B1"/>
    <w:rsid w:val="00F83D4F"/>
    <w:rsid w:val="00F851C5"/>
    <w:rsid w:val="00F8596D"/>
    <w:rsid w:val="00F85A22"/>
    <w:rsid w:val="00F9013E"/>
    <w:rsid w:val="00F91B7B"/>
    <w:rsid w:val="00F92950"/>
    <w:rsid w:val="00F932EE"/>
    <w:rsid w:val="00F93827"/>
    <w:rsid w:val="00F979E7"/>
    <w:rsid w:val="00FA0650"/>
    <w:rsid w:val="00FA0D5F"/>
    <w:rsid w:val="00FA29A2"/>
    <w:rsid w:val="00FA3303"/>
    <w:rsid w:val="00FB0CFE"/>
    <w:rsid w:val="00FB10CB"/>
    <w:rsid w:val="00FB519F"/>
    <w:rsid w:val="00FC09C5"/>
    <w:rsid w:val="00FC2B6E"/>
    <w:rsid w:val="00FC57DB"/>
    <w:rsid w:val="00FC78E3"/>
    <w:rsid w:val="00FD1ADF"/>
    <w:rsid w:val="00FD2B25"/>
    <w:rsid w:val="00FD50E4"/>
    <w:rsid w:val="00FE02D9"/>
    <w:rsid w:val="00FE04E2"/>
    <w:rsid w:val="00FE0FE5"/>
    <w:rsid w:val="00FE410D"/>
    <w:rsid w:val="00FE41EC"/>
    <w:rsid w:val="00FE6B3B"/>
    <w:rsid w:val="00FE76DB"/>
    <w:rsid w:val="00FF1136"/>
    <w:rsid w:val="00FF6A49"/>
    <w:rsid w:val="00FF79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A90FFEF"/>
  <w15:docId w15:val="{323A1C4C-B87F-467E-9956-24274BB6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2FE"/>
    <w:pPr>
      <w:spacing w:before="120" w:after="120"/>
    </w:pPr>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DE55FA"/>
    <w:rPr>
      <w:b w:val="0"/>
      <w:bCs/>
      <w:i/>
      <w:iCs/>
      <w:spacing w:val="10"/>
      <w:bdr w:val="none" w:sz="0" w:space="0" w:color="auto"/>
      <w:shd w:val="clear" w:color="auto" w:fill="auto"/>
    </w:rPr>
  </w:style>
  <w:style w:type="character" w:styleId="BookTitle">
    <w:name w:val="Book Title"/>
    <w:uiPriority w:val="33"/>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List Bullet Cab,CAB - List Bullet,Recommendation,L,List Paragraph1,List Paragraph11,Bullet point,Bullet Point,Bulletr List Paragraph,Content descriptions,FooterText,List Bullet 1,List Paragraph2,List Paragraph21,Listeafsnit1,リスト段落,0Bullet"/>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rsid w:val="00AC65DA"/>
    <w:rPr>
      <w:i/>
      <w:iCs/>
    </w:rPr>
  </w:style>
  <w:style w:type="character" w:styleId="IntenseEmphasis">
    <w:name w:val="Intense Emphasis"/>
    <w:uiPriority w:val="21"/>
    <w:rsid w:val="00AC65DA"/>
    <w:rPr>
      <w:b/>
      <w:bCs/>
    </w:rPr>
  </w:style>
  <w:style w:type="character" w:styleId="SubtleReference">
    <w:name w:val="Subtle Reference"/>
    <w:uiPriority w:val="31"/>
    <w:rsid w:val="00AC65DA"/>
    <w:rPr>
      <w:smallCaps/>
    </w:rPr>
  </w:style>
  <w:style w:type="character" w:styleId="IntenseReference">
    <w:name w:val="Intense Reference"/>
    <w:uiPriority w:val="32"/>
    <w:rsid w:val="00AC65DA"/>
    <w:rPr>
      <w:smallCaps/>
      <w:spacing w:val="5"/>
      <w:u w:val="single"/>
    </w:rPr>
  </w:style>
  <w:style w:type="paragraph" w:styleId="TOCHeading">
    <w:name w:val="TOC Heading"/>
    <w:basedOn w:val="Heading1"/>
    <w:next w:val="Normal"/>
    <w:uiPriority w:val="39"/>
    <w:unhideWhenUsed/>
    <w:rsid w:val="00AC65DA"/>
    <w:pPr>
      <w:outlineLvl w:val="9"/>
    </w:pPr>
    <w:rPr>
      <w:lang w:bidi="en-US"/>
    </w:rPr>
  </w:style>
  <w:style w:type="paragraph" w:styleId="ListNumber">
    <w:name w:val="List Number"/>
    <w:basedOn w:val="Normal"/>
    <w:uiPriority w:val="99"/>
    <w:unhideWhenUsed/>
    <w:qFormat/>
    <w:rsid w:val="00FB10CB"/>
    <w:pPr>
      <w:numPr>
        <w:numId w:val="1"/>
      </w:numPr>
      <w:ind w:left="369" w:hanging="369"/>
      <w:contextualSpacing/>
    </w:pPr>
  </w:style>
  <w:style w:type="paragraph" w:styleId="ListNumber2">
    <w:name w:val="List Number 2"/>
    <w:basedOn w:val="Normal"/>
    <w:uiPriority w:val="99"/>
    <w:unhideWhenUsed/>
    <w:rsid w:val="00985632"/>
    <w:pPr>
      <w:numPr>
        <w:ilvl w:val="1"/>
        <w:numId w:val="1"/>
      </w:numPr>
      <w:tabs>
        <w:tab w:val="left" w:pos="1134"/>
      </w:tabs>
      <w:ind w:left="936" w:hanging="567"/>
      <w:contextualSpacing/>
    </w:pPr>
  </w:style>
  <w:style w:type="paragraph" w:styleId="ListNumber3">
    <w:name w:val="List Number 3"/>
    <w:basedOn w:val="Normal"/>
    <w:uiPriority w:val="99"/>
    <w:unhideWhenUsed/>
    <w:rsid w:val="00985632"/>
    <w:pPr>
      <w:numPr>
        <w:ilvl w:val="2"/>
        <w:numId w:val="1"/>
      </w:numPr>
      <w:ind w:left="1701" w:hanging="765"/>
      <w:contextualSpacing/>
    </w:pPr>
  </w:style>
  <w:style w:type="paragraph" w:styleId="ListNumber4">
    <w:name w:val="List Number 4"/>
    <w:basedOn w:val="Normal"/>
    <w:uiPriority w:val="99"/>
    <w:unhideWhenUsed/>
    <w:rsid w:val="00406E5A"/>
    <w:pPr>
      <w:numPr>
        <w:ilvl w:val="3"/>
        <w:numId w:val="1"/>
      </w:numPr>
      <w:ind w:left="2637" w:hanging="936"/>
      <w:contextualSpacing/>
    </w:pPr>
  </w:style>
  <w:style w:type="paragraph" w:styleId="ListBullet">
    <w:name w:val="List Bullet"/>
    <w:basedOn w:val="Normal"/>
    <w:uiPriority w:val="99"/>
    <w:unhideWhenUsed/>
    <w:qFormat/>
    <w:rsid w:val="00CA46EC"/>
    <w:pPr>
      <w:numPr>
        <w:numId w:val="2"/>
      </w:numPr>
      <w:ind w:left="369" w:hanging="369"/>
      <w:contextualSpacing/>
    </w:pPr>
  </w:style>
  <w:style w:type="paragraph" w:styleId="ListBullet2">
    <w:name w:val="List Bullet 2"/>
    <w:basedOn w:val="Normal"/>
    <w:uiPriority w:val="99"/>
    <w:unhideWhenUsed/>
    <w:rsid w:val="00CA46EC"/>
    <w:pPr>
      <w:numPr>
        <w:ilvl w:val="1"/>
        <w:numId w:val="2"/>
      </w:numPr>
      <w:ind w:left="766" w:hanging="369"/>
      <w:contextualSpacing/>
    </w:pPr>
  </w:style>
  <w:style w:type="paragraph" w:styleId="ListBullet3">
    <w:name w:val="List Bullet 3"/>
    <w:basedOn w:val="Normal"/>
    <w:uiPriority w:val="99"/>
    <w:unhideWhenUsed/>
    <w:rsid w:val="00CA46EC"/>
    <w:pPr>
      <w:numPr>
        <w:ilvl w:val="2"/>
        <w:numId w:val="2"/>
      </w:numPr>
      <w:ind w:left="1163" w:hanging="369"/>
      <w:contextualSpacing/>
    </w:pPr>
  </w:style>
  <w:style w:type="paragraph" w:styleId="ListBullet4">
    <w:name w:val="List Bullet 4"/>
    <w:basedOn w:val="Normal"/>
    <w:uiPriority w:val="99"/>
    <w:unhideWhenUsed/>
    <w:rsid w:val="00CA46EC"/>
    <w:pPr>
      <w:numPr>
        <w:ilvl w:val="3"/>
        <w:numId w:val="2"/>
      </w:numPr>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3"/>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paragraph" w:styleId="FootnoteText">
    <w:name w:val="footnote text"/>
    <w:basedOn w:val="Normal"/>
    <w:link w:val="FootnoteTextChar"/>
    <w:unhideWhenUsed/>
    <w:rsid w:val="00DE55FA"/>
    <w:pPr>
      <w:spacing w:after="0" w:line="240" w:lineRule="auto"/>
    </w:pPr>
    <w:rPr>
      <w:sz w:val="20"/>
      <w:szCs w:val="20"/>
    </w:rPr>
  </w:style>
  <w:style w:type="character" w:customStyle="1" w:styleId="FootnoteTextChar">
    <w:name w:val="Footnote Text Char"/>
    <w:basedOn w:val="DefaultParagraphFont"/>
    <w:link w:val="FootnoteText"/>
    <w:rsid w:val="00DE55FA"/>
    <w:rPr>
      <w:sz w:val="20"/>
      <w:szCs w:val="20"/>
    </w:rPr>
  </w:style>
  <w:style w:type="character" w:styleId="FootnoteReference">
    <w:name w:val="footnote reference"/>
    <w:basedOn w:val="DefaultParagraphFont"/>
    <w:uiPriority w:val="99"/>
    <w:unhideWhenUsed/>
    <w:rsid w:val="00DE55FA"/>
    <w:rPr>
      <w:vertAlign w:val="superscript"/>
    </w:rPr>
  </w:style>
  <w:style w:type="character" w:customStyle="1" w:styleId="ListParagraphChar">
    <w:name w:val="List Paragraph Char"/>
    <w:aliases w:val="List Bullet Cab Char,CAB - List Bullet Char,Recommendation Char,L Char,List Paragraph1 Char,List Paragraph11 Char,Bullet point Char,Bullet Point Char,Bulletr List Paragraph Char,Content descriptions Char,FooterText Char,リスト段落 Char"/>
    <w:basedOn w:val="DefaultParagraphFont"/>
    <w:link w:val="ListParagraph"/>
    <w:uiPriority w:val="34"/>
    <w:qFormat/>
    <w:locked/>
    <w:rsid w:val="00AB5007"/>
  </w:style>
  <w:style w:type="table" w:customStyle="1" w:styleId="PlainTable21">
    <w:name w:val="Plain Table 21"/>
    <w:basedOn w:val="TableNormal"/>
    <w:uiPriority w:val="42"/>
    <w:rsid w:val="00EE122D"/>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E060DB"/>
    <w:rPr>
      <w:rFonts w:eastAsiaTheme="minorEastAsia"/>
      <w:b/>
      <w:bCs/>
    </w:rPr>
  </w:style>
  <w:style w:type="character" w:customStyle="1" w:styleId="CommentSubjectChar">
    <w:name w:val="Comment Subject Char"/>
    <w:basedOn w:val="CommentTextChar"/>
    <w:link w:val="CommentSubject"/>
    <w:uiPriority w:val="99"/>
    <w:semiHidden/>
    <w:rsid w:val="00E060DB"/>
    <w:rPr>
      <w:rFonts w:eastAsiaTheme="minorHAnsi"/>
      <w:b/>
      <w:bCs/>
      <w:sz w:val="20"/>
      <w:szCs w:val="20"/>
    </w:rPr>
  </w:style>
  <w:style w:type="paragraph" w:styleId="Revision">
    <w:name w:val="Revision"/>
    <w:hidden/>
    <w:uiPriority w:val="99"/>
    <w:semiHidden/>
    <w:rsid w:val="00E7008D"/>
    <w:pPr>
      <w:spacing w:after="0" w:line="240" w:lineRule="auto"/>
    </w:pPr>
  </w:style>
  <w:style w:type="table" w:customStyle="1" w:styleId="TableGrid1">
    <w:name w:val="Table Grid1"/>
    <w:basedOn w:val="TableNormal"/>
    <w:next w:val="TableGrid"/>
    <w:uiPriority w:val="59"/>
    <w:rsid w:val="0087449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34E0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Point">
    <w:name w:val="MB Point"/>
    <w:basedOn w:val="ListParagraph"/>
    <w:qFormat/>
    <w:rsid w:val="00B033C3"/>
    <w:pPr>
      <w:numPr>
        <w:numId w:val="48"/>
      </w:numPr>
      <w:spacing w:before="0" w:after="60" w:line="240" w:lineRule="auto"/>
      <w:contextualSpacing w:val="0"/>
    </w:pPr>
    <w:rPr>
      <w:rFonts w:ascii="Times New Roman" w:eastAsiaTheme="minorHAnsi" w:hAnsi="Times New Roman" w:cs="Times New Roman"/>
      <w:sz w:val="24"/>
      <w:szCs w:val="24"/>
    </w:rPr>
  </w:style>
  <w:style w:type="paragraph" w:customStyle="1" w:styleId="MBPointSub">
    <w:name w:val="MB Point Sub"/>
    <w:basedOn w:val="ListParagraph"/>
    <w:qFormat/>
    <w:rsid w:val="00B033C3"/>
    <w:pPr>
      <w:numPr>
        <w:ilvl w:val="2"/>
        <w:numId w:val="48"/>
      </w:numPr>
      <w:spacing w:before="0" w:line="240" w:lineRule="auto"/>
      <w:ind w:left="1231" w:hanging="380"/>
      <w:contextualSpacing w:val="0"/>
    </w:pPr>
    <w:rPr>
      <w:rFonts w:eastAsiaTheme="minorHAnsi" w:cstheme="minorHAnsi"/>
    </w:rPr>
  </w:style>
  <w:style w:type="paragraph" w:customStyle="1" w:styleId="MBNumbering">
    <w:name w:val="MB Numbering"/>
    <w:basedOn w:val="MBPoint"/>
    <w:rsid w:val="00B033C3"/>
    <w:pPr>
      <w:spacing w:after="120"/>
    </w:pPr>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345013078">
      <w:bodyDiv w:val="1"/>
      <w:marLeft w:val="0"/>
      <w:marRight w:val="0"/>
      <w:marTop w:val="0"/>
      <w:marBottom w:val="0"/>
      <w:divBdr>
        <w:top w:val="none" w:sz="0" w:space="0" w:color="auto"/>
        <w:left w:val="none" w:sz="0" w:space="0" w:color="auto"/>
        <w:bottom w:val="none" w:sz="0" w:space="0" w:color="auto"/>
        <w:right w:val="none" w:sz="0" w:space="0" w:color="auto"/>
      </w:divBdr>
    </w:div>
    <w:div w:id="564755083">
      <w:bodyDiv w:val="1"/>
      <w:marLeft w:val="0"/>
      <w:marRight w:val="0"/>
      <w:marTop w:val="0"/>
      <w:marBottom w:val="0"/>
      <w:divBdr>
        <w:top w:val="none" w:sz="0" w:space="0" w:color="auto"/>
        <w:left w:val="none" w:sz="0" w:space="0" w:color="auto"/>
        <w:bottom w:val="none" w:sz="0" w:space="0" w:color="auto"/>
        <w:right w:val="none" w:sz="0" w:space="0" w:color="auto"/>
      </w:divBdr>
    </w:div>
    <w:div w:id="1129737276">
      <w:bodyDiv w:val="1"/>
      <w:marLeft w:val="0"/>
      <w:marRight w:val="0"/>
      <w:marTop w:val="0"/>
      <w:marBottom w:val="0"/>
      <w:divBdr>
        <w:top w:val="none" w:sz="0" w:space="0" w:color="auto"/>
        <w:left w:val="none" w:sz="0" w:space="0" w:color="auto"/>
        <w:bottom w:val="none" w:sz="0" w:space="0" w:color="auto"/>
        <w:right w:val="none" w:sz="0" w:space="0" w:color="auto"/>
      </w:divBdr>
    </w:div>
    <w:div w:id="1134640654">
      <w:bodyDiv w:val="1"/>
      <w:marLeft w:val="0"/>
      <w:marRight w:val="0"/>
      <w:marTop w:val="0"/>
      <w:marBottom w:val="0"/>
      <w:divBdr>
        <w:top w:val="none" w:sz="0" w:space="0" w:color="auto"/>
        <w:left w:val="none" w:sz="0" w:space="0" w:color="auto"/>
        <w:bottom w:val="none" w:sz="0" w:space="0" w:color="auto"/>
        <w:right w:val="none" w:sz="0" w:space="0" w:color="auto"/>
      </w:divBdr>
    </w:div>
    <w:div w:id="1707367395">
      <w:bodyDiv w:val="1"/>
      <w:marLeft w:val="0"/>
      <w:marRight w:val="0"/>
      <w:marTop w:val="0"/>
      <w:marBottom w:val="0"/>
      <w:divBdr>
        <w:top w:val="none" w:sz="0" w:space="0" w:color="auto"/>
        <w:left w:val="none" w:sz="0" w:space="0" w:color="auto"/>
        <w:bottom w:val="none" w:sz="0" w:space="0" w:color="auto"/>
        <w:right w:val="none" w:sz="0" w:space="0" w:color="auto"/>
      </w:divBdr>
    </w:div>
    <w:div w:id="17156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CGS@educat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3148\AppData\Local\Microsoft\Windows\INetCache\Content.Outlook\423MP7GO\Department%20of%20Education%20and%20Training%20Fact%20shee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299D1BBE6744FFAD570C02488E8BE2"/>
        <w:category>
          <w:name w:val="General"/>
          <w:gallery w:val="placeholder"/>
        </w:category>
        <w:types>
          <w:type w:val="bbPlcHdr"/>
        </w:types>
        <w:behaviors>
          <w:behavior w:val="content"/>
        </w:behaviors>
        <w:guid w:val="{B24F8274-3DDA-4CE7-A192-2E45ABD0A4C0}"/>
      </w:docPartPr>
      <w:docPartBody>
        <w:p w:rsidR="00914120" w:rsidRDefault="002F6C49" w:rsidP="002F6C49">
          <w:pPr>
            <w:pStyle w:val="DC299D1BBE6744FFAD570C02488E8BE2"/>
          </w:pPr>
          <w:r>
            <w:rPr>
              <w:rStyle w:val="PlaceholderText"/>
              <w:color w:val="808080"/>
            </w:rPr>
            <w:t>[Title]</w:t>
          </w:r>
        </w:p>
      </w:docPartBody>
    </w:docPart>
    <w:docPart>
      <w:docPartPr>
        <w:name w:val="050A4CC8C2F54EA4BA5A5455F833BD89"/>
        <w:category>
          <w:name w:val="General"/>
          <w:gallery w:val="placeholder"/>
        </w:category>
        <w:types>
          <w:type w:val="bbPlcHdr"/>
        </w:types>
        <w:behaviors>
          <w:behavior w:val="content"/>
        </w:behaviors>
        <w:guid w:val="{D57DBC1E-6AE8-485F-B2E7-824B11DF68B2}"/>
      </w:docPartPr>
      <w:docPartBody>
        <w:p w:rsidR="00914120" w:rsidRDefault="002F6C49" w:rsidP="002F6C49">
          <w:pPr>
            <w:pStyle w:val="050A4CC8C2F54EA4BA5A5455F833BD89"/>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2EB"/>
    <w:rsid w:val="00006FE8"/>
    <w:rsid w:val="000608EE"/>
    <w:rsid w:val="00093FF8"/>
    <w:rsid w:val="00130068"/>
    <w:rsid w:val="0014624F"/>
    <w:rsid w:val="00165496"/>
    <w:rsid w:val="001B2486"/>
    <w:rsid w:val="001B2B8A"/>
    <w:rsid w:val="00280436"/>
    <w:rsid w:val="002E4AD2"/>
    <w:rsid w:val="002F6C49"/>
    <w:rsid w:val="00305DD4"/>
    <w:rsid w:val="00404E94"/>
    <w:rsid w:val="00463F62"/>
    <w:rsid w:val="00483CD8"/>
    <w:rsid w:val="004A4E4E"/>
    <w:rsid w:val="00527C0B"/>
    <w:rsid w:val="005F68E6"/>
    <w:rsid w:val="006079E0"/>
    <w:rsid w:val="00660A01"/>
    <w:rsid w:val="00674485"/>
    <w:rsid w:val="00724F7A"/>
    <w:rsid w:val="007327DF"/>
    <w:rsid w:val="007B03A1"/>
    <w:rsid w:val="007D2A15"/>
    <w:rsid w:val="007E1FA8"/>
    <w:rsid w:val="00877AF5"/>
    <w:rsid w:val="00914120"/>
    <w:rsid w:val="00946315"/>
    <w:rsid w:val="009B7127"/>
    <w:rsid w:val="009E4B64"/>
    <w:rsid w:val="009F038C"/>
    <w:rsid w:val="00A167A5"/>
    <w:rsid w:val="00AE434A"/>
    <w:rsid w:val="00B54647"/>
    <w:rsid w:val="00BD5575"/>
    <w:rsid w:val="00D3036C"/>
    <w:rsid w:val="00D53395"/>
    <w:rsid w:val="00D8399A"/>
    <w:rsid w:val="00D972EB"/>
    <w:rsid w:val="00DB32C1"/>
    <w:rsid w:val="00DD41BB"/>
    <w:rsid w:val="00DE3F67"/>
    <w:rsid w:val="00E17391"/>
    <w:rsid w:val="00E25D64"/>
    <w:rsid w:val="00E511F7"/>
    <w:rsid w:val="00EB3750"/>
    <w:rsid w:val="00EC3CC5"/>
    <w:rsid w:val="00EE54F6"/>
    <w:rsid w:val="00F12AB5"/>
    <w:rsid w:val="00F36E02"/>
    <w:rsid w:val="00F810D3"/>
    <w:rsid w:val="00F9189D"/>
    <w:rsid w:val="00FC0E74"/>
    <w:rsid w:val="00FF45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4120"/>
  </w:style>
  <w:style w:type="paragraph" w:customStyle="1" w:styleId="92BAB2694B8E404FAD2538B15A070A2D">
    <w:name w:val="92BAB2694B8E404FAD2538B15A070A2D"/>
  </w:style>
  <w:style w:type="paragraph" w:customStyle="1" w:styleId="AFFBDB02BDA24F3CBC693AEC2E2B44B5">
    <w:name w:val="AFFBDB02BDA24F3CBC693AEC2E2B44B5"/>
    <w:rsid w:val="00D972EB"/>
  </w:style>
  <w:style w:type="paragraph" w:customStyle="1" w:styleId="4F45B3A69D0A49E6BB65AD23E8B409D9">
    <w:name w:val="4F45B3A69D0A49E6BB65AD23E8B409D9"/>
    <w:rsid w:val="009B7127"/>
  </w:style>
  <w:style w:type="paragraph" w:customStyle="1" w:styleId="190F9D446D154A0189C658C6E21FFA21">
    <w:name w:val="190F9D446D154A0189C658C6E21FFA21"/>
    <w:rsid w:val="000608EE"/>
  </w:style>
  <w:style w:type="paragraph" w:customStyle="1" w:styleId="C0096E74696243D581A0C650DB86D956">
    <w:name w:val="C0096E74696243D581A0C650DB86D956"/>
    <w:rsid w:val="000608EE"/>
  </w:style>
  <w:style w:type="paragraph" w:customStyle="1" w:styleId="02F5872F92DF43669739E4B70982F3D8">
    <w:name w:val="02F5872F92DF43669739E4B70982F3D8"/>
    <w:rsid w:val="002F6C49"/>
  </w:style>
  <w:style w:type="paragraph" w:customStyle="1" w:styleId="09743A617A954107A1FCB80D8C9C6D9D">
    <w:name w:val="09743A617A954107A1FCB80D8C9C6D9D"/>
    <w:rsid w:val="002F6C49"/>
  </w:style>
  <w:style w:type="paragraph" w:customStyle="1" w:styleId="479E22B3195846E591433DEE52A5EF67">
    <w:name w:val="479E22B3195846E591433DEE52A5EF67"/>
    <w:rsid w:val="002F6C49"/>
  </w:style>
  <w:style w:type="paragraph" w:customStyle="1" w:styleId="DC299D1BBE6744FFAD570C02488E8BE2">
    <w:name w:val="DC299D1BBE6744FFAD570C02488E8BE2"/>
    <w:rsid w:val="002F6C49"/>
  </w:style>
  <w:style w:type="paragraph" w:customStyle="1" w:styleId="0510C0B6C8CB42509A75BAED7692D275">
    <w:name w:val="0510C0B6C8CB42509A75BAED7692D275"/>
    <w:rsid w:val="002F6C49"/>
  </w:style>
  <w:style w:type="paragraph" w:customStyle="1" w:styleId="E9C5073706BF44139DE579400730A70F">
    <w:name w:val="E9C5073706BF44139DE579400730A70F"/>
    <w:rsid w:val="002F6C49"/>
  </w:style>
  <w:style w:type="paragraph" w:customStyle="1" w:styleId="685FA80F04AD47978066BF2D6E605321">
    <w:name w:val="685FA80F04AD47978066BF2D6E605321"/>
    <w:rsid w:val="002F6C49"/>
  </w:style>
  <w:style w:type="paragraph" w:customStyle="1" w:styleId="050A4CC8C2F54EA4BA5A5455F833BD89">
    <w:name w:val="050A4CC8C2F54EA4BA5A5455F833BD89"/>
    <w:rsid w:val="002F6C49"/>
  </w:style>
  <w:style w:type="paragraph" w:customStyle="1" w:styleId="F072F0861BEE428E96F59487631294A5">
    <w:name w:val="F072F0861BEE428E96F59487631294A5"/>
    <w:rsid w:val="00914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2C89D5F9A63434FBD5F5627AAE9B322" ma:contentTypeVersion="" ma:contentTypeDescription="PDMS Document Site Content Type" ma:contentTypeScope="" ma:versionID="560f5cb1a9f7afec3e652ae2b619b8aa">
  <xsd:schema xmlns:xsd="http://www.w3.org/2001/XMLSchema" xmlns:xs="http://www.w3.org/2001/XMLSchema" xmlns:p="http://schemas.microsoft.com/office/2006/metadata/properties" xmlns:ns2="C534B8E8-544E-4559-BCC4-88BE26AF4D73" targetNamespace="http://schemas.microsoft.com/office/2006/metadata/properties" ma:root="true" ma:fieldsID="cecae1e2072307aac71cec8728884e13" ns2:_="">
    <xsd:import namespace="C534B8E8-544E-4559-BCC4-88BE26AF4D7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4B8E8-544E-4559-BCC4-88BE26AF4D7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534B8E8-544E-4559-BCC4-88BE26AF4D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DE85A-D686-4634-A2B5-3AB59C3E2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4B8E8-544E-4559-BCC4-88BE26AF4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AAB01-E58C-4841-B922-14ADCC30097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534B8E8-544E-4559-BCC4-88BE26AF4D73"/>
    <ds:schemaRef ds:uri="http://purl.org/dc/elements/1.1/"/>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4.xml><?xml version="1.0" encoding="utf-8"?>
<ds:datastoreItem xmlns:ds="http://schemas.openxmlformats.org/officeDocument/2006/customXml" ds:itemID="{56ACB2A5-B906-4ED1-AE3F-B286CBED3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Education and Training Fact sheet Template.dotx</Template>
  <TotalTime>0</TotalTime>
  <Pages>23</Pages>
  <Words>8305</Words>
  <Characters>47345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Assessment Framework</vt:lpstr>
    </vt:vector>
  </TitlesOfParts>
  <Company>Australian Government</Company>
  <LinksUpToDate>false</LinksUpToDate>
  <CharactersWithSpaces>55539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Framework</dc:title>
  <dc:creator>COATES ,Melanie</dc:creator>
  <cp:lastModifiedBy>MANNIE,Ryan</cp:lastModifiedBy>
  <cp:revision>2</cp:revision>
  <cp:lastPrinted>2019-09-17T06:31:00Z</cp:lastPrinted>
  <dcterms:created xsi:type="dcterms:W3CDTF">2019-09-22T21:04:00Z</dcterms:created>
  <dcterms:modified xsi:type="dcterms:W3CDTF">2019-09-22T21:04:00Z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0x010100266966F133664895A6EE3632470D45F50042C89D5F9A63434FBD5F5627AAE9B322</vt:lpwstr>
  </property>
</Properties>
</file>