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5A70F" w14:textId="77777777" w:rsidR="005A03C9" w:rsidRDefault="005A03C9" w:rsidP="00244E3A">
      <w:pPr>
        <w:pStyle w:val="BodyText"/>
        <w:jc w:val="both"/>
      </w:pPr>
      <w:bookmarkStart w:id="0" w:name="_GoBack"/>
      <w:bookmarkEnd w:id="0"/>
    </w:p>
    <w:p w14:paraId="78F6C389" w14:textId="77777777" w:rsidR="005A03C9" w:rsidRDefault="005A03C9" w:rsidP="00244E3A">
      <w:pPr>
        <w:pStyle w:val="BodyText"/>
        <w:jc w:val="both"/>
        <w:sectPr w:rsidR="005A03C9" w:rsidSect="00463BD6">
          <w:headerReference w:type="default" r:id="rId11"/>
          <w:footerReference w:type="default" r:id="rId12"/>
          <w:headerReference w:type="first" r:id="rId13"/>
          <w:footerReference w:type="first" r:id="rId14"/>
          <w:type w:val="continuous"/>
          <w:pgSz w:w="11906" w:h="16838"/>
          <w:pgMar w:top="0" w:right="1440" w:bottom="397" w:left="0" w:header="0" w:footer="567" w:gutter="0"/>
          <w:cols w:space="708"/>
          <w:titlePg/>
          <w:docGrid w:linePitch="360"/>
        </w:sectPr>
      </w:pPr>
    </w:p>
    <w:sdt>
      <w:sdtPr>
        <w:alias w:val="Title"/>
        <w:tag w:val=""/>
        <w:id w:val="-19171197"/>
        <w:placeholder>
          <w:docPart w:val="23E98F0C999E41F2BC513FFDCDC68CDF"/>
        </w:placeholder>
        <w:dataBinding w:prefixMappings="xmlns:ns0='http://purl.org/dc/elements/1.1/' xmlns:ns1='http://schemas.openxmlformats.org/package/2006/metadata/core-properties' " w:xpath="/ns1:coreProperties[1]/ns0:title[1]" w:storeItemID="{6C3C8BC8-F283-45AE-878A-BAB7291924A1}"/>
        <w:text/>
      </w:sdtPr>
      <w:sdtEndPr/>
      <w:sdtContent>
        <w:p w14:paraId="2DB85DD9" w14:textId="7B9A5859" w:rsidR="00D27C2D" w:rsidRPr="002C0CEC" w:rsidRDefault="003A3653" w:rsidP="00244E3A">
          <w:pPr>
            <w:pStyle w:val="Title"/>
            <w:jc w:val="both"/>
          </w:pPr>
          <w:r>
            <w:t>Transitions from education to work</w:t>
          </w:r>
        </w:p>
      </w:sdtContent>
    </w:sdt>
    <w:p w14:paraId="14F52A12" w14:textId="4F9EB9E5" w:rsidR="00F74B6E" w:rsidRDefault="00F74B6E" w:rsidP="00F517CC">
      <w:pPr>
        <w:pStyle w:val="Subtitle"/>
      </w:pPr>
      <w:r>
        <w:t>Income</w:t>
      </w:r>
      <w:r w:rsidR="001F6847">
        <w:t xml:space="preserve"> and Education</w:t>
      </w:r>
      <w:r>
        <w:t xml:space="preserve"> </w:t>
      </w:r>
      <w:r w:rsidR="00D53F2B">
        <w:t>–</w:t>
      </w:r>
      <w:r>
        <w:t xml:space="preserve"> </w:t>
      </w:r>
      <w:r w:rsidR="00D53F2B">
        <w:t xml:space="preserve">Education and </w:t>
      </w:r>
      <w:r w:rsidR="009B6809">
        <w:t xml:space="preserve">Child Care </w:t>
      </w:r>
      <w:r>
        <w:t xml:space="preserve">Workforce </w:t>
      </w:r>
    </w:p>
    <w:p w14:paraId="0B9582A4" w14:textId="16437666" w:rsidR="008B5116" w:rsidRPr="008730CA" w:rsidRDefault="008B5116" w:rsidP="00244E3A">
      <w:pPr>
        <w:shd w:val="clear" w:color="auto" w:fill="D8DAE9"/>
        <w:jc w:val="both"/>
        <w:rPr>
          <w:rStyle w:val="MBAttachment"/>
          <w:rFonts w:ascii="Calibri" w:eastAsiaTheme="majorEastAsia" w:hAnsi="Calibri" w:cstheme="minorHAnsi"/>
          <w:b/>
          <w:bCs/>
          <w:i/>
          <w:iCs/>
          <w:color w:val="2D3E7B" w:themeColor="text2" w:themeShade="BF"/>
          <w:spacing w:val="10"/>
          <w:sz w:val="24"/>
          <w:szCs w:val="52"/>
        </w:rPr>
      </w:pPr>
      <w:bookmarkStart w:id="1" w:name="_Toc364946114"/>
      <w:r w:rsidRPr="004606C0">
        <w:rPr>
          <w:rStyle w:val="Emphasis"/>
          <w:rFonts w:cstheme="minorHAnsi"/>
          <w:color w:val="2D3E7B" w:themeColor="text2" w:themeShade="BF"/>
          <w:sz w:val="24"/>
        </w:rPr>
        <w:t xml:space="preserve">Higher </w:t>
      </w:r>
      <w:r w:rsidRPr="009821DE">
        <w:rPr>
          <w:rStyle w:val="Emphasis"/>
          <w:rFonts w:cstheme="minorHAnsi"/>
          <w:color w:val="2D3E7B"/>
          <w:sz w:val="24"/>
        </w:rPr>
        <w:t>educational</w:t>
      </w:r>
      <w:r w:rsidRPr="004606C0">
        <w:rPr>
          <w:rStyle w:val="Emphasis"/>
          <w:rFonts w:cstheme="minorHAnsi"/>
          <w:color w:val="2D3E7B" w:themeColor="text2" w:themeShade="BF"/>
          <w:sz w:val="24"/>
        </w:rPr>
        <w:t xml:space="preserve"> attainment is associated with </w:t>
      </w:r>
      <w:r>
        <w:rPr>
          <w:rStyle w:val="Emphasis"/>
          <w:rFonts w:cstheme="minorHAnsi"/>
          <w:color w:val="2D3E7B" w:themeColor="text2" w:themeShade="BF"/>
          <w:sz w:val="24"/>
        </w:rPr>
        <w:t>greater income for education workers</w:t>
      </w:r>
    </w:p>
    <w:p w14:paraId="72436872" w14:textId="44177205" w:rsidR="001F6847" w:rsidRPr="00A45818" w:rsidRDefault="001F6847" w:rsidP="00244E3A">
      <w:pPr>
        <w:pStyle w:val="Heading1"/>
        <w:jc w:val="both"/>
        <w:rPr>
          <w:rFonts w:eastAsia="Times New Roman"/>
          <w:sz w:val="28"/>
        </w:rPr>
      </w:pPr>
      <w:r w:rsidRPr="00A45818">
        <w:rPr>
          <w:rFonts w:eastAsia="Times New Roman"/>
          <w:sz w:val="28"/>
        </w:rPr>
        <w:t>Income</w:t>
      </w:r>
    </w:p>
    <w:p w14:paraId="1F0AD1EE" w14:textId="019155A6" w:rsidR="00B36E77" w:rsidRPr="00CD0222" w:rsidRDefault="00D5242A" w:rsidP="00244E3A">
      <w:pPr>
        <w:jc w:val="both"/>
      </w:pPr>
      <w:r>
        <w:rPr>
          <w:rFonts w:eastAsia="Times New Roman"/>
        </w:rPr>
        <w:t>In 2016, the a</w:t>
      </w:r>
      <w:r w:rsidR="00B36E77">
        <w:rPr>
          <w:rFonts w:eastAsia="Times New Roman"/>
        </w:rPr>
        <w:t>verage</w:t>
      </w:r>
      <w:r w:rsidR="00B6151E">
        <w:rPr>
          <w:rFonts w:eastAsia="Times New Roman"/>
        </w:rPr>
        <w:t xml:space="preserve"> (mean)</w:t>
      </w:r>
      <w:r w:rsidR="00B36E77">
        <w:rPr>
          <w:rFonts w:eastAsia="Times New Roman"/>
        </w:rPr>
        <w:t xml:space="preserve"> </w:t>
      </w:r>
      <w:r w:rsidR="00144889">
        <w:rPr>
          <w:rFonts w:eastAsia="Times New Roman"/>
        </w:rPr>
        <w:t xml:space="preserve">annual </w:t>
      </w:r>
      <w:r w:rsidR="005E13E9">
        <w:rPr>
          <w:rFonts w:eastAsia="Times New Roman"/>
        </w:rPr>
        <w:t>wage</w:t>
      </w:r>
      <w:r w:rsidR="00DA4F5C">
        <w:rPr>
          <w:rFonts w:eastAsia="Times New Roman"/>
        </w:rPr>
        <w:t>s and salaries</w:t>
      </w:r>
      <w:r w:rsidR="00814BB0">
        <w:rPr>
          <w:rFonts w:eastAsia="Times New Roman"/>
        </w:rPr>
        <w:t xml:space="preserve"> of those working</w:t>
      </w:r>
      <w:r w:rsidR="00144889">
        <w:rPr>
          <w:rFonts w:eastAsia="Times New Roman"/>
        </w:rPr>
        <w:t xml:space="preserve"> full time</w:t>
      </w:r>
      <w:r w:rsidR="00814BB0">
        <w:rPr>
          <w:rFonts w:eastAsia="Times New Roman"/>
        </w:rPr>
        <w:t xml:space="preserve"> in teaching</w:t>
      </w:r>
      <w:r w:rsidR="00A46238">
        <w:rPr>
          <w:rFonts w:eastAsia="Times New Roman"/>
        </w:rPr>
        <w:t>, early childhood</w:t>
      </w:r>
      <w:r w:rsidR="00814BB0">
        <w:rPr>
          <w:rFonts w:eastAsia="Times New Roman"/>
        </w:rPr>
        <w:t xml:space="preserve"> </w:t>
      </w:r>
      <w:r>
        <w:rPr>
          <w:rFonts w:eastAsia="Times New Roman"/>
        </w:rPr>
        <w:t xml:space="preserve">and child </w:t>
      </w:r>
      <w:r w:rsidR="009760FF">
        <w:rPr>
          <w:rFonts w:eastAsia="Times New Roman"/>
        </w:rPr>
        <w:t>care</w:t>
      </w:r>
      <w:r w:rsidR="00B36E77">
        <w:rPr>
          <w:rFonts w:eastAsia="Times New Roman"/>
        </w:rPr>
        <w:t xml:space="preserve"> </w:t>
      </w:r>
      <w:r>
        <w:rPr>
          <w:rFonts w:eastAsia="Times New Roman"/>
        </w:rPr>
        <w:t xml:space="preserve">varied by occupation </w:t>
      </w:r>
      <w:r w:rsidR="001A7E98">
        <w:rPr>
          <w:rFonts w:eastAsia="Times New Roman"/>
        </w:rPr>
        <w:t xml:space="preserve">(Figure 1). </w:t>
      </w:r>
      <w:r w:rsidR="00A46238">
        <w:rPr>
          <w:rFonts w:eastAsia="Times New Roman"/>
        </w:rPr>
        <w:t xml:space="preserve">For example, a fulltime childcare worker with a bachelor degree </w:t>
      </w:r>
      <w:r w:rsidR="00311153">
        <w:rPr>
          <w:rFonts w:eastAsia="Times New Roman"/>
        </w:rPr>
        <w:t>earn</w:t>
      </w:r>
      <w:r w:rsidR="000A42D5">
        <w:rPr>
          <w:rFonts w:eastAsia="Times New Roman"/>
        </w:rPr>
        <w:t>ed</w:t>
      </w:r>
      <w:r w:rsidR="00311153">
        <w:rPr>
          <w:rFonts w:eastAsia="Times New Roman"/>
        </w:rPr>
        <w:t xml:space="preserve"> on average $30,289 </w:t>
      </w:r>
      <w:r w:rsidR="00A46238" w:rsidRPr="00A46238">
        <w:rPr>
          <w:rFonts w:eastAsia="Times New Roman"/>
          <w:i/>
        </w:rPr>
        <w:t>per annum</w:t>
      </w:r>
      <w:r w:rsidR="00A46238">
        <w:rPr>
          <w:rFonts w:eastAsia="Times New Roman"/>
        </w:rPr>
        <w:t xml:space="preserve"> </w:t>
      </w:r>
      <w:r w:rsidR="00311153">
        <w:rPr>
          <w:rFonts w:eastAsia="Times New Roman"/>
        </w:rPr>
        <w:t xml:space="preserve">less than </w:t>
      </w:r>
      <w:r w:rsidR="00A46238">
        <w:rPr>
          <w:rFonts w:eastAsia="Times New Roman"/>
        </w:rPr>
        <w:t xml:space="preserve">an equivalent full time degree holder in early childhood </w:t>
      </w:r>
      <w:r w:rsidR="00311153">
        <w:rPr>
          <w:rFonts w:eastAsia="Times New Roman"/>
        </w:rPr>
        <w:t xml:space="preserve">(data not shown). </w:t>
      </w:r>
      <w:r w:rsidR="00DA4F5C">
        <w:rPr>
          <w:rFonts w:eastAsia="Times New Roman"/>
        </w:rPr>
        <w:t>This trend may be driven in part by a positive relationship between educational attainment and incom</w:t>
      </w:r>
      <w:r w:rsidR="008B73AD">
        <w:rPr>
          <w:rFonts w:eastAsia="Times New Roman"/>
        </w:rPr>
        <w:t>e. Child</w:t>
      </w:r>
      <w:r w:rsidR="00D53F2B">
        <w:rPr>
          <w:rFonts w:eastAsia="Times New Roman"/>
        </w:rPr>
        <w:t xml:space="preserve"> </w:t>
      </w:r>
      <w:r w:rsidR="00DA4F5C">
        <w:rPr>
          <w:rFonts w:eastAsia="Times New Roman"/>
        </w:rPr>
        <w:t>care</w:t>
      </w:r>
      <w:r w:rsidR="00D53F2B">
        <w:rPr>
          <w:rFonts w:eastAsia="Times New Roman"/>
        </w:rPr>
        <w:t>rs</w:t>
      </w:r>
      <w:r w:rsidR="00DA4F5C">
        <w:rPr>
          <w:rFonts w:eastAsia="Times New Roman"/>
        </w:rPr>
        <w:t xml:space="preserve"> and Vocational Education </w:t>
      </w:r>
      <w:r w:rsidR="00D53F2B">
        <w:rPr>
          <w:rFonts w:eastAsia="Times New Roman"/>
        </w:rPr>
        <w:t xml:space="preserve">teachers </w:t>
      </w:r>
      <w:r w:rsidR="00A46238">
        <w:rPr>
          <w:rFonts w:eastAsia="Times New Roman"/>
        </w:rPr>
        <w:t xml:space="preserve">have </w:t>
      </w:r>
      <w:r w:rsidR="00DA4F5C">
        <w:rPr>
          <w:rFonts w:eastAsia="Times New Roman"/>
        </w:rPr>
        <w:t>more diverse level</w:t>
      </w:r>
      <w:r w:rsidR="00A46238">
        <w:rPr>
          <w:rFonts w:eastAsia="Times New Roman"/>
        </w:rPr>
        <w:t>s</w:t>
      </w:r>
      <w:r w:rsidR="00DA4F5C">
        <w:rPr>
          <w:rFonts w:eastAsia="Times New Roman"/>
        </w:rPr>
        <w:t xml:space="preserve"> of educational attainment (Figure 2) and the </w:t>
      </w:r>
      <w:r w:rsidR="00110357">
        <w:rPr>
          <w:rFonts w:eastAsia="Times New Roman"/>
        </w:rPr>
        <w:t xml:space="preserve">average salary for </w:t>
      </w:r>
      <w:r w:rsidR="00D53F2B">
        <w:rPr>
          <w:rFonts w:eastAsia="Times New Roman"/>
        </w:rPr>
        <w:t>Vocational education</w:t>
      </w:r>
      <w:r w:rsidR="00110357">
        <w:rPr>
          <w:rFonts w:eastAsia="Times New Roman"/>
        </w:rPr>
        <w:t xml:space="preserve"> teachers </w:t>
      </w:r>
      <w:r w:rsidR="001F6847">
        <w:rPr>
          <w:rFonts w:eastAsia="Times New Roman"/>
        </w:rPr>
        <w:t xml:space="preserve">was </w:t>
      </w:r>
      <w:r w:rsidR="00110357">
        <w:rPr>
          <w:rFonts w:eastAsia="Times New Roman"/>
        </w:rPr>
        <w:t>lower</w:t>
      </w:r>
      <w:r w:rsidR="001F6847">
        <w:rPr>
          <w:rFonts w:eastAsia="Times New Roman"/>
        </w:rPr>
        <w:t xml:space="preserve"> in 2016</w:t>
      </w:r>
      <w:r w:rsidR="00110357">
        <w:rPr>
          <w:rFonts w:eastAsia="Times New Roman"/>
        </w:rPr>
        <w:t xml:space="preserve"> than</w:t>
      </w:r>
      <w:r w:rsidR="008770DF">
        <w:rPr>
          <w:rFonts w:eastAsia="Times New Roman"/>
        </w:rPr>
        <w:t xml:space="preserve"> the average salary of</w:t>
      </w:r>
      <w:r w:rsidR="002464A3">
        <w:rPr>
          <w:rFonts w:eastAsia="Times New Roman"/>
        </w:rPr>
        <w:t xml:space="preserve"> Primary</w:t>
      </w:r>
      <w:r w:rsidR="00110357">
        <w:rPr>
          <w:rFonts w:eastAsia="Times New Roman"/>
        </w:rPr>
        <w:t xml:space="preserve"> </w:t>
      </w:r>
      <w:r w:rsidR="00D53F2B">
        <w:rPr>
          <w:rFonts w:eastAsia="Times New Roman"/>
        </w:rPr>
        <w:t>and Secondary s</w:t>
      </w:r>
      <w:r w:rsidR="00110357">
        <w:rPr>
          <w:rFonts w:eastAsia="Times New Roman"/>
        </w:rPr>
        <w:t>chool teachers</w:t>
      </w:r>
      <w:r w:rsidR="00212D10">
        <w:rPr>
          <w:rFonts w:eastAsia="Times New Roman"/>
        </w:rPr>
        <w:t xml:space="preserve"> (Figure 1)</w:t>
      </w:r>
      <w:r w:rsidR="00110357">
        <w:rPr>
          <w:rFonts w:eastAsia="Times New Roman"/>
        </w:rPr>
        <w:t xml:space="preserve">. </w:t>
      </w:r>
    </w:p>
    <w:p w14:paraId="7D245C51" w14:textId="576B89E7" w:rsidR="00A91CF7" w:rsidRPr="00F517CC" w:rsidRDefault="00A91CF7" w:rsidP="00F517CC">
      <w:pPr>
        <w:pStyle w:val="Caption"/>
        <w:rPr>
          <w:rFonts w:eastAsia="Times New Roman"/>
          <w:b w:val="0"/>
          <w:color w:val="3F4A9A"/>
          <w:sz w:val="20"/>
        </w:rPr>
      </w:pPr>
      <w:r w:rsidRPr="00F517CC">
        <w:rPr>
          <w:rFonts w:eastAsia="Times New Roman"/>
          <w:b w:val="0"/>
          <w:color w:val="3F4A9A"/>
          <w:sz w:val="20"/>
        </w:rPr>
        <w:t>Figure 1. Average annual wage</w:t>
      </w:r>
      <w:r w:rsidR="001F6847" w:rsidRPr="00F517CC">
        <w:rPr>
          <w:rFonts w:eastAsia="Times New Roman"/>
          <w:b w:val="0"/>
          <w:color w:val="3F4A9A"/>
          <w:sz w:val="20"/>
        </w:rPr>
        <w:t>s</w:t>
      </w:r>
      <w:r w:rsidR="00A46238" w:rsidRPr="00F517CC">
        <w:rPr>
          <w:rFonts w:eastAsia="Times New Roman"/>
          <w:b w:val="0"/>
          <w:color w:val="3F4A9A"/>
          <w:sz w:val="20"/>
        </w:rPr>
        <w:t xml:space="preserve"> or </w:t>
      </w:r>
      <w:r w:rsidR="00814BB0" w:rsidRPr="00F517CC">
        <w:rPr>
          <w:rFonts w:eastAsia="Times New Roman"/>
          <w:b w:val="0"/>
          <w:color w:val="3F4A9A"/>
          <w:sz w:val="20"/>
        </w:rPr>
        <w:t>salaries</w:t>
      </w:r>
      <w:r w:rsidRPr="00F517CC">
        <w:rPr>
          <w:rFonts w:eastAsia="Times New Roman"/>
          <w:b w:val="0"/>
          <w:color w:val="3F4A9A"/>
          <w:sz w:val="20"/>
        </w:rPr>
        <w:t xml:space="preserve"> for </w:t>
      </w:r>
      <w:r w:rsidR="005E13E9" w:rsidRPr="00F517CC">
        <w:rPr>
          <w:rFonts w:eastAsia="Times New Roman"/>
          <w:b w:val="0"/>
          <w:color w:val="3F4A9A"/>
          <w:sz w:val="20"/>
        </w:rPr>
        <w:t xml:space="preserve">those </w:t>
      </w:r>
      <w:r w:rsidR="001F6847" w:rsidRPr="00F517CC">
        <w:rPr>
          <w:rFonts w:eastAsia="Times New Roman"/>
          <w:b w:val="0"/>
          <w:color w:val="3F4A9A"/>
          <w:sz w:val="20"/>
        </w:rPr>
        <w:t xml:space="preserve">working </w:t>
      </w:r>
      <w:r w:rsidRPr="00F517CC">
        <w:rPr>
          <w:rFonts w:eastAsia="Times New Roman"/>
          <w:b w:val="0"/>
          <w:color w:val="3F4A9A"/>
          <w:sz w:val="20"/>
        </w:rPr>
        <w:t xml:space="preserve">full-time, by </w:t>
      </w:r>
      <w:r w:rsidR="00344971" w:rsidRPr="00F517CC">
        <w:rPr>
          <w:rFonts w:eastAsia="Times New Roman"/>
          <w:b w:val="0"/>
          <w:color w:val="3F4A9A"/>
          <w:sz w:val="20"/>
        </w:rPr>
        <w:t>occupation</w:t>
      </w:r>
      <w:r w:rsidRPr="00F517CC">
        <w:rPr>
          <w:rFonts w:eastAsia="Times New Roman"/>
          <w:b w:val="0"/>
          <w:color w:val="3F4A9A"/>
          <w:sz w:val="20"/>
        </w:rPr>
        <w:t>, 2016</w:t>
      </w:r>
    </w:p>
    <w:p w14:paraId="539646B9" w14:textId="2E2C10B8" w:rsidR="00CA6F93" w:rsidRDefault="00CA6F93" w:rsidP="00244E3A">
      <w:pPr>
        <w:pStyle w:val="DeleteText"/>
        <w:spacing w:line="240" w:lineRule="auto"/>
        <w:jc w:val="both"/>
        <w:rPr>
          <w:rStyle w:val="Heading3Char"/>
          <w:b w:val="0"/>
          <w:color w:val="auto"/>
        </w:rPr>
      </w:pPr>
      <w:r>
        <w:rPr>
          <w:rStyle w:val="Heading3Char"/>
          <w:b w:val="0"/>
          <w:noProof/>
          <w:color w:val="auto"/>
          <w:lang w:eastAsia="en-AU"/>
        </w:rPr>
        <w:drawing>
          <wp:inline distT="0" distB="0" distL="0" distR="0" wp14:anchorId="6ED682CC" wp14:editId="1C3D7940">
            <wp:extent cx="6970144" cy="2831015"/>
            <wp:effectExtent l="0" t="0" r="2540" b="7620"/>
            <wp:docPr id="1" name="Picture 1" descr="Bar graph describing the mean annual wages/salaries for those working full-time as child carers or teachers by occupation in 2016. The Y-axis shows the different occupations (child carers, early childhood teachers, primary school teachers, secondary school teachers, vocational education teachers, and university lecturers and tutors). Child carers earned $32432, early childhood teachers earned $61151, primary school teachers earned $76727, secondary school teachers earned $83336, vocational education teachers earned $74647, and university lecturers and tutors earned $116809." title="Figure 1. Average annual wages or salaries for those working full-time, by occupation,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86919" cy="2837828"/>
                    </a:xfrm>
                    <a:prstGeom prst="rect">
                      <a:avLst/>
                    </a:prstGeom>
                    <a:noFill/>
                  </pic:spPr>
                </pic:pic>
              </a:graphicData>
            </a:graphic>
          </wp:inline>
        </w:drawing>
      </w:r>
    </w:p>
    <w:p w14:paraId="003A3934" w14:textId="555AAB4F" w:rsidR="00105578" w:rsidRPr="00F517CC" w:rsidRDefault="002464A3" w:rsidP="00F517CC">
      <w:pPr>
        <w:pStyle w:val="Source"/>
        <w:rPr>
          <w:rFonts w:eastAsia="Times New Roman"/>
          <w:color w:val="3F4A9A"/>
        </w:rPr>
      </w:pPr>
      <w:r w:rsidRPr="00F517CC">
        <w:rPr>
          <w:rFonts w:eastAsia="Times New Roman"/>
          <w:color w:val="3F4A9A"/>
        </w:rPr>
        <w:t xml:space="preserve">Source: Multi-Agency Data Integration Project 2016. </w:t>
      </w:r>
    </w:p>
    <w:p w14:paraId="016B500E" w14:textId="38CCD642" w:rsidR="002464A3" w:rsidRPr="00F517CC" w:rsidRDefault="00105578" w:rsidP="00F517CC">
      <w:pPr>
        <w:pStyle w:val="Source"/>
        <w:rPr>
          <w:rFonts w:eastAsia="Times New Roman"/>
          <w:color w:val="3F4A9A"/>
        </w:rPr>
      </w:pPr>
      <w:r w:rsidRPr="00F517CC">
        <w:rPr>
          <w:rFonts w:eastAsia="Times New Roman"/>
          <w:color w:val="3F4A9A"/>
        </w:rPr>
        <w:t xml:space="preserve">Notes: </w:t>
      </w:r>
      <w:r w:rsidR="002464A3" w:rsidRPr="00F517CC">
        <w:rPr>
          <w:rFonts w:eastAsia="Times New Roman"/>
          <w:color w:val="3F4A9A"/>
        </w:rPr>
        <w:t xml:space="preserve">Reported data is average wages and salaries from personal income tax returns for the 2015-16 financial year, for people that worked full time (35 hours or more per week in the Census) in a relevant occupation in their main job. Occupations were classified </w:t>
      </w:r>
      <w:r w:rsidR="00B0044A" w:rsidRPr="00F517CC">
        <w:rPr>
          <w:rFonts w:eastAsia="Times New Roman"/>
          <w:color w:val="3F4A9A"/>
        </w:rPr>
        <w:t>according to the following four</w:t>
      </w:r>
      <w:r w:rsidR="002464A3" w:rsidRPr="00F517CC">
        <w:rPr>
          <w:rFonts w:eastAsia="Times New Roman"/>
          <w:color w:val="3F4A9A"/>
        </w:rPr>
        <w:t xml:space="preserve"> digit Australian and New Zealand Standard Classificati</w:t>
      </w:r>
      <w:r w:rsidR="00B0044A" w:rsidRPr="00F517CC">
        <w:rPr>
          <w:rFonts w:eastAsia="Times New Roman"/>
          <w:color w:val="3F4A9A"/>
        </w:rPr>
        <w:t>on of Occupations (ANZSCO 2013):</w:t>
      </w:r>
      <w:r w:rsidR="002464A3" w:rsidRPr="00F517CC">
        <w:rPr>
          <w:rFonts w:eastAsia="Times New Roman"/>
          <w:color w:val="3F4A9A"/>
        </w:rPr>
        <w:t xml:space="preserve"> Chi</w:t>
      </w:r>
      <w:r w:rsidR="008B73AD" w:rsidRPr="00F517CC">
        <w:rPr>
          <w:rFonts w:eastAsia="Times New Roman"/>
          <w:color w:val="3F4A9A"/>
        </w:rPr>
        <w:t>l</w:t>
      </w:r>
      <w:r w:rsidR="002464A3" w:rsidRPr="00F517CC">
        <w:rPr>
          <w:rFonts w:eastAsia="Times New Roman"/>
          <w:color w:val="3F4A9A"/>
        </w:rPr>
        <w:t>d Carers (4211), Early Childhood</w:t>
      </w:r>
      <w:r w:rsidR="00B0044A" w:rsidRPr="00F517CC">
        <w:rPr>
          <w:rFonts w:eastAsia="Times New Roman"/>
          <w:color w:val="3F4A9A"/>
        </w:rPr>
        <w:t xml:space="preserve"> teachers</w:t>
      </w:r>
      <w:r w:rsidR="002464A3" w:rsidRPr="00F517CC">
        <w:rPr>
          <w:rFonts w:eastAsia="Times New Roman"/>
          <w:color w:val="3F4A9A"/>
        </w:rPr>
        <w:t xml:space="preserve"> (2411), Primary </w:t>
      </w:r>
      <w:r w:rsidR="00B0044A" w:rsidRPr="00F517CC">
        <w:rPr>
          <w:rFonts w:eastAsia="Times New Roman"/>
          <w:color w:val="3F4A9A"/>
        </w:rPr>
        <w:t>s</w:t>
      </w:r>
      <w:r w:rsidR="002464A3" w:rsidRPr="00F517CC">
        <w:rPr>
          <w:rFonts w:eastAsia="Times New Roman"/>
          <w:color w:val="3F4A9A"/>
        </w:rPr>
        <w:t xml:space="preserve">chool </w:t>
      </w:r>
      <w:r w:rsidR="00B0044A" w:rsidRPr="00F517CC">
        <w:rPr>
          <w:rFonts w:eastAsia="Times New Roman"/>
          <w:color w:val="3F4A9A"/>
        </w:rPr>
        <w:t xml:space="preserve">teachers </w:t>
      </w:r>
      <w:r w:rsidR="002464A3" w:rsidRPr="00F517CC">
        <w:rPr>
          <w:rFonts w:eastAsia="Times New Roman"/>
          <w:color w:val="3F4A9A"/>
        </w:rPr>
        <w:t xml:space="preserve">(2412), Secondary </w:t>
      </w:r>
      <w:r w:rsidR="00B0044A" w:rsidRPr="00F517CC">
        <w:rPr>
          <w:rFonts w:eastAsia="Times New Roman"/>
          <w:color w:val="3F4A9A"/>
        </w:rPr>
        <w:t xml:space="preserve">school teachers </w:t>
      </w:r>
      <w:r w:rsidR="002464A3" w:rsidRPr="00F517CC">
        <w:rPr>
          <w:rFonts w:eastAsia="Times New Roman"/>
          <w:color w:val="3F4A9A"/>
        </w:rPr>
        <w:t xml:space="preserve">(2413, 2414), </w:t>
      </w:r>
      <w:r w:rsidR="00B0044A" w:rsidRPr="00F517CC">
        <w:rPr>
          <w:rFonts w:eastAsia="Times New Roman"/>
          <w:color w:val="3F4A9A"/>
        </w:rPr>
        <w:t xml:space="preserve">Vocational education teachers </w:t>
      </w:r>
      <w:r w:rsidR="002464A3" w:rsidRPr="00F517CC">
        <w:rPr>
          <w:rFonts w:eastAsia="Times New Roman"/>
          <w:color w:val="3F4A9A"/>
        </w:rPr>
        <w:t xml:space="preserve">(2422) and </w:t>
      </w:r>
      <w:r w:rsidR="00B0044A" w:rsidRPr="00F517CC">
        <w:rPr>
          <w:rFonts w:eastAsia="Times New Roman"/>
          <w:color w:val="3F4A9A"/>
        </w:rPr>
        <w:t xml:space="preserve">University lecturers </w:t>
      </w:r>
      <w:r w:rsidR="00B0044A" w:rsidRPr="00F517CC">
        <w:rPr>
          <w:rFonts w:eastAsia="Times New Roman"/>
          <w:color w:val="3F4A9A"/>
        </w:rPr>
        <w:lastRenderedPageBreak/>
        <w:t xml:space="preserve">and tutors </w:t>
      </w:r>
      <w:r w:rsidR="002464A3" w:rsidRPr="00F517CC">
        <w:rPr>
          <w:rFonts w:eastAsia="Times New Roman"/>
          <w:color w:val="3F4A9A"/>
        </w:rPr>
        <w:t xml:space="preserve">(2421). </w:t>
      </w:r>
      <w:r w:rsidR="00B0044A" w:rsidRPr="00F517CC">
        <w:rPr>
          <w:rFonts w:eastAsia="Times New Roman"/>
          <w:color w:val="3F4A9A"/>
        </w:rPr>
        <w:t xml:space="preserve">Special Education teachers were excluded. </w:t>
      </w:r>
      <w:r w:rsidR="002464A3" w:rsidRPr="00F517CC">
        <w:rPr>
          <w:rFonts w:eastAsia="Times New Roman"/>
          <w:color w:val="3F4A9A"/>
        </w:rPr>
        <w:t xml:space="preserve">Census data is reported by any member of the household on behalf of other residents. </w:t>
      </w:r>
    </w:p>
    <w:p w14:paraId="5DC75FDD" w14:textId="2C4A093C" w:rsidR="001F6847" w:rsidRPr="00DB67D4" w:rsidRDefault="001F6847" w:rsidP="00244E3A">
      <w:pPr>
        <w:pStyle w:val="Heading2"/>
        <w:keepNext/>
        <w:keepLines/>
        <w:jc w:val="both"/>
        <w:rPr>
          <w:rFonts w:eastAsia="Times New Roman"/>
        </w:rPr>
      </w:pPr>
      <w:r>
        <w:rPr>
          <w:rFonts w:eastAsia="Times New Roman"/>
        </w:rPr>
        <w:t>Educational attainment</w:t>
      </w:r>
    </w:p>
    <w:p w14:paraId="44B57B5A" w14:textId="793E5007" w:rsidR="0020296D" w:rsidRPr="00DB67D4" w:rsidRDefault="00E0757B" w:rsidP="00F517CC">
      <w:pPr>
        <w:jc w:val="both"/>
        <w:rPr>
          <w:rFonts w:eastAsia="Times New Roman"/>
        </w:rPr>
      </w:pPr>
      <w:r>
        <w:rPr>
          <w:rFonts w:eastAsia="Times New Roman"/>
        </w:rPr>
        <w:t xml:space="preserve">Teachers are required to possess </w:t>
      </w:r>
      <w:r w:rsidR="008770DF">
        <w:rPr>
          <w:rFonts w:eastAsia="Times New Roman"/>
        </w:rPr>
        <w:t xml:space="preserve">sufficient </w:t>
      </w:r>
      <w:r>
        <w:rPr>
          <w:rFonts w:eastAsia="Times New Roman"/>
        </w:rPr>
        <w:t xml:space="preserve">knowledge and skills to deliver high quality education. </w:t>
      </w:r>
      <w:r w:rsidR="00750927">
        <w:rPr>
          <w:rFonts w:eastAsia="Times New Roman"/>
        </w:rPr>
        <w:t xml:space="preserve">Multi-agency Data Integration Project </w:t>
      </w:r>
      <w:r w:rsidR="002B16A3">
        <w:rPr>
          <w:rFonts w:eastAsia="Times New Roman"/>
        </w:rPr>
        <w:t xml:space="preserve">data showed that </w:t>
      </w:r>
      <w:r w:rsidR="00750927">
        <w:rPr>
          <w:rFonts w:eastAsia="Times New Roman"/>
        </w:rPr>
        <w:t>the</w:t>
      </w:r>
      <w:r w:rsidR="00212D10" w:rsidRPr="00DB67D4">
        <w:rPr>
          <w:rFonts w:eastAsia="Times New Roman"/>
        </w:rPr>
        <w:t xml:space="preserve"> m</w:t>
      </w:r>
      <w:r w:rsidR="001F6847" w:rsidRPr="00DB67D4">
        <w:rPr>
          <w:rFonts w:eastAsia="Times New Roman"/>
        </w:rPr>
        <w:t>ajori</w:t>
      </w:r>
      <w:r w:rsidR="00750927">
        <w:rPr>
          <w:rFonts w:eastAsia="Times New Roman"/>
        </w:rPr>
        <w:t xml:space="preserve">ty of Early </w:t>
      </w:r>
      <w:r w:rsidR="00D53F2B">
        <w:rPr>
          <w:rFonts w:eastAsia="Times New Roman"/>
        </w:rPr>
        <w:t>c</w:t>
      </w:r>
      <w:r w:rsidR="00750927">
        <w:rPr>
          <w:rFonts w:eastAsia="Times New Roman"/>
        </w:rPr>
        <w:t>hildhood</w:t>
      </w:r>
      <w:r w:rsidR="00421A41">
        <w:rPr>
          <w:rFonts w:eastAsia="Times New Roman"/>
        </w:rPr>
        <w:t xml:space="preserve">, Primary and </w:t>
      </w:r>
      <w:r w:rsidR="002464A3">
        <w:rPr>
          <w:rFonts w:eastAsia="Times New Roman"/>
        </w:rPr>
        <w:t>Secondary</w:t>
      </w:r>
      <w:r w:rsidR="00750927">
        <w:rPr>
          <w:rFonts w:eastAsia="Times New Roman"/>
        </w:rPr>
        <w:t xml:space="preserve"> </w:t>
      </w:r>
      <w:r w:rsidR="00D53F2B">
        <w:rPr>
          <w:rFonts w:eastAsia="Times New Roman"/>
        </w:rPr>
        <w:t>s</w:t>
      </w:r>
      <w:r w:rsidR="001F6847" w:rsidRPr="00DB67D4">
        <w:rPr>
          <w:rFonts w:eastAsia="Times New Roman"/>
        </w:rPr>
        <w:t xml:space="preserve">chool </w:t>
      </w:r>
      <w:r w:rsidR="00750927">
        <w:rPr>
          <w:rFonts w:eastAsia="Times New Roman"/>
        </w:rPr>
        <w:t>teachers had</w:t>
      </w:r>
      <w:r w:rsidR="001F6847" w:rsidRPr="00DB67D4">
        <w:rPr>
          <w:rFonts w:eastAsia="Times New Roman"/>
        </w:rPr>
        <w:t xml:space="preserve"> an Undergraduate Degree</w:t>
      </w:r>
      <w:r w:rsidR="0020296D" w:rsidRPr="00DB67D4">
        <w:rPr>
          <w:rFonts w:eastAsia="Times New Roman"/>
        </w:rPr>
        <w:t xml:space="preserve"> </w:t>
      </w:r>
      <w:r w:rsidR="00DA4F5C">
        <w:rPr>
          <w:rFonts w:eastAsia="Times New Roman"/>
        </w:rPr>
        <w:t>or higher (between 78 and 95</w:t>
      </w:r>
      <w:r w:rsidR="0020296D" w:rsidRPr="00DB67D4">
        <w:rPr>
          <w:rFonts w:eastAsia="Times New Roman"/>
        </w:rPr>
        <w:t xml:space="preserve"> per cent) </w:t>
      </w:r>
      <w:r w:rsidR="001F6847" w:rsidRPr="00DB67D4">
        <w:rPr>
          <w:rFonts w:eastAsia="Times New Roman"/>
        </w:rPr>
        <w:t xml:space="preserve">as their highest </w:t>
      </w:r>
      <w:r w:rsidR="0020296D" w:rsidRPr="00DB67D4">
        <w:rPr>
          <w:rFonts w:eastAsia="Times New Roman"/>
        </w:rPr>
        <w:t xml:space="preserve">level of </w:t>
      </w:r>
      <w:r w:rsidR="001F6847" w:rsidRPr="00DB67D4">
        <w:rPr>
          <w:rFonts w:eastAsia="Times New Roman"/>
        </w:rPr>
        <w:t>educational attainment</w:t>
      </w:r>
      <w:r w:rsidR="00750927">
        <w:rPr>
          <w:rFonts w:eastAsia="Times New Roman"/>
        </w:rPr>
        <w:t xml:space="preserve"> (Figure</w:t>
      </w:r>
      <w:r w:rsidR="00D53F2B">
        <w:rPr>
          <w:rFonts w:eastAsia="Times New Roman"/>
        </w:rPr>
        <w:t> </w:t>
      </w:r>
      <w:r w:rsidR="00750927">
        <w:rPr>
          <w:rFonts w:eastAsia="Times New Roman"/>
        </w:rPr>
        <w:t>2)</w:t>
      </w:r>
      <w:r w:rsidR="001F6847" w:rsidRPr="00DB67D4">
        <w:rPr>
          <w:rFonts w:eastAsia="Times New Roman"/>
        </w:rPr>
        <w:t xml:space="preserve">. </w:t>
      </w:r>
      <w:r w:rsidR="00DA4F5C">
        <w:rPr>
          <w:rFonts w:eastAsia="Times New Roman"/>
        </w:rPr>
        <w:t>T</w:t>
      </w:r>
      <w:r w:rsidR="0020296D" w:rsidRPr="00DB67D4">
        <w:rPr>
          <w:rFonts w:eastAsia="Times New Roman"/>
        </w:rPr>
        <w:t xml:space="preserve">he majority of </w:t>
      </w:r>
      <w:r w:rsidR="00D53F2B">
        <w:rPr>
          <w:rFonts w:eastAsia="Times New Roman"/>
        </w:rPr>
        <w:t>University lecturers and tutors</w:t>
      </w:r>
      <w:r w:rsidR="00C45361">
        <w:rPr>
          <w:rFonts w:eastAsia="Times New Roman"/>
        </w:rPr>
        <w:t xml:space="preserve"> (74</w:t>
      </w:r>
      <w:r w:rsidR="00750927">
        <w:rPr>
          <w:rFonts w:eastAsia="Times New Roman"/>
        </w:rPr>
        <w:t xml:space="preserve"> per cent</w:t>
      </w:r>
      <w:r w:rsidR="0020296D" w:rsidRPr="00DB67D4">
        <w:rPr>
          <w:rFonts w:eastAsia="Times New Roman"/>
        </w:rPr>
        <w:t xml:space="preserve">) </w:t>
      </w:r>
      <w:r w:rsidR="003A3653">
        <w:rPr>
          <w:rFonts w:eastAsia="Times New Roman"/>
        </w:rPr>
        <w:t>had postgraduate degrees (Doctorate</w:t>
      </w:r>
      <w:r w:rsidR="0020296D" w:rsidRPr="00DB67D4">
        <w:rPr>
          <w:rFonts w:eastAsia="Times New Roman"/>
        </w:rPr>
        <w:t xml:space="preserve"> or </w:t>
      </w:r>
      <w:r w:rsidR="00AE4F12" w:rsidRPr="00DB67D4">
        <w:rPr>
          <w:rFonts w:eastAsia="Times New Roman"/>
        </w:rPr>
        <w:t>Masters</w:t>
      </w:r>
      <w:r w:rsidR="0020296D" w:rsidRPr="00DB67D4">
        <w:rPr>
          <w:rFonts w:eastAsia="Times New Roman"/>
        </w:rPr>
        <w:t>) and earn</w:t>
      </w:r>
      <w:r w:rsidR="00750927">
        <w:rPr>
          <w:rFonts w:eastAsia="Times New Roman"/>
        </w:rPr>
        <w:t>ed a</w:t>
      </w:r>
      <w:r w:rsidR="0020296D" w:rsidRPr="00DB67D4">
        <w:rPr>
          <w:rFonts w:eastAsia="Times New Roman"/>
        </w:rPr>
        <w:t xml:space="preserve"> higher salary compared to t</w:t>
      </w:r>
      <w:r w:rsidR="00421A41">
        <w:rPr>
          <w:rFonts w:eastAsia="Times New Roman"/>
        </w:rPr>
        <w:t>hose</w:t>
      </w:r>
      <w:r w:rsidR="0020296D" w:rsidRPr="00DB67D4">
        <w:rPr>
          <w:rFonts w:eastAsia="Times New Roman"/>
        </w:rPr>
        <w:t xml:space="preserve"> working in other institutions.</w:t>
      </w:r>
      <w:r w:rsidR="00D53F2B">
        <w:rPr>
          <w:rFonts w:eastAsia="Times New Roman"/>
        </w:rPr>
        <w:t xml:space="preserve"> </w:t>
      </w:r>
    </w:p>
    <w:p w14:paraId="014A02EA" w14:textId="67167409" w:rsidR="006A762D" w:rsidRPr="004C52C1" w:rsidRDefault="00D5242A" w:rsidP="00F517CC">
      <w:pPr>
        <w:jc w:val="both"/>
        <w:rPr>
          <w:rFonts w:eastAsia="Times New Roman"/>
        </w:rPr>
      </w:pPr>
      <w:r>
        <w:rPr>
          <w:rFonts w:eastAsia="Times New Roman"/>
        </w:rPr>
        <w:t>Over</w:t>
      </w:r>
      <w:r w:rsidR="0020296D" w:rsidRPr="00DB67D4">
        <w:rPr>
          <w:rFonts w:eastAsia="Times New Roman"/>
        </w:rPr>
        <w:t xml:space="preserve"> one third</w:t>
      </w:r>
      <w:r w:rsidR="00D53F2B">
        <w:rPr>
          <w:rFonts w:eastAsia="Times New Roman"/>
        </w:rPr>
        <w:t xml:space="preserve"> of Vocational education</w:t>
      </w:r>
      <w:r w:rsidR="00DD5C77">
        <w:rPr>
          <w:rFonts w:eastAsia="Times New Roman"/>
        </w:rPr>
        <w:t xml:space="preserve"> teachers had</w:t>
      </w:r>
      <w:r w:rsidR="001F6847" w:rsidRPr="00DB67D4">
        <w:rPr>
          <w:rFonts w:eastAsia="Times New Roman"/>
        </w:rPr>
        <w:t xml:space="preserve"> completed</w:t>
      </w:r>
      <w:r w:rsidR="0020296D" w:rsidRPr="00DB67D4">
        <w:rPr>
          <w:rFonts w:eastAsia="Times New Roman"/>
        </w:rPr>
        <w:t xml:space="preserve"> an</w:t>
      </w:r>
      <w:r w:rsidR="001F6847" w:rsidRPr="00DB67D4">
        <w:rPr>
          <w:rFonts w:eastAsia="Times New Roman"/>
        </w:rPr>
        <w:t xml:space="preserve"> </w:t>
      </w:r>
      <w:r w:rsidR="00D53F2B">
        <w:rPr>
          <w:rFonts w:eastAsia="Times New Roman"/>
        </w:rPr>
        <w:t>u</w:t>
      </w:r>
      <w:r w:rsidR="001F6847" w:rsidRPr="00DB67D4">
        <w:rPr>
          <w:rFonts w:eastAsia="Times New Roman"/>
        </w:rPr>
        <w:t xml:space="preserve">ndergraduate </w:t>
      </w:r>
      <w:r w:rsidR="00D53F2B">
        <w:rPr>
          <w:rFonts w:eastAsia="Times New Roman"/>
        </w:rPr>
        <w:t xml:space="preserve">qualification </w:t>
      </w:r>
      <w:r w:rsidR="0020296D" w:rsidRPr="00DB67D4">
        <w:rPr>
          <w:rFonts w:eastAsia="Times New Roman"/>
        </w:rPr>
        <w:t>(3</w:t>
      </w:r>
      <w:r w:rsidR="00C45361">
        <w:rPr>
          <w:rFonts w:eastAsia="Times New Roman"/>
        </w:rPr>
        <w:t>5</w:t>
      </w:r>
      <w:r w:rsidR="0020296D" w:rsidRPr="00DB67D4">
        <w:rPr>
          <w:rFonts w:eastAsia="Times New Roman"/>
        </w:rPr>
        <w:t xml:space="preserve"> per cent) </w:t>
      </w:r>
      <w:r w:rsidR="00DD5C77">
        <w:rPr>
          <w:rFonts w:eastAsia="Times New Roman"/>
        </w:rPr>
        <w:t xml:space="preserve">in 2016 </w:t>
      </w:r>
      <w:r w:rsidR="00D53F2B">
        <w:rPr>
          <w:rFonts w:eastAsia="Times New Roman"/>
        </w:rPr>
        <w:t>and over one third of Child c</w:t>
      </w:r>
      <w:r w:rsidR="0020296D" w:rsidRPr="00DB67D4">
        <w:rPr>
          <w:rFonts w:eastAsia="Times New Roman"/>
        </w:rPr>
        <w:t>are</w:t>
      </w:r>
      <w:r w:rsidR="00D53F2B">
        <w:rPr>
          <w:rFonts w:eastAsia="Times New Roman"/>
        </w:rPr>
        <w:t>rs</w:t>
      </w:r>
      <w:r w:rsidR="0020296D" w:rsidRPr="00DB67D4">
        <w:rPr>
          <w:rFonts w:eastAsia="Times New Roman"/>
        </w:rPr>
        <w:t xml:space="preserve"> </w:t>
      </w:r>
      <w:r w:rsidR="00DD5C77">
        <w:rPr>
          <w:rFonts w:eastAsia="Times New Roman"/>
        </w:rPr>
        <w:t>had</w:t>
      </w:r>
      <w:r w:rsidR="00C45361">
        <w:rPr>
          <w:rFonts w:eastAsia="Times New Roman"/>
        </w:rPr>
        <w:t xml:space="preserve"> completed a Diploma (3</w:t>
      </w:r>
      <w:r w:rsidR="0020296D" w:rsidRPr="00DB67D4">
        <w:rPr>
          <w:rFonts w:eastAsia="Times New Roman"/>
        </w:rPr>
        <w:t>8 per cent)</w:t>
      </w:r>
      <w:r w:rsidR="00DD5C77">
        <w:rPr>
          <w:rFonts w:eastAsia="Times New Roman"/>
        </w:rPr>
        <w:t xml:space="preserve">. </w:t>
      </w:r>
      <w:r w:rsidR="00D53F2B">
        <w:rPr>
          <w:rFonts w:eastAsia="Times New Roman"/>
        </w:rPr>
        <w:t xml:space="preserve">Vocational Education and Training </w:t>
      </w:r>
      <w:r w:rsidR="00DC547B">
        <w:rPr>
          <w:rFonts w:eastAsia="Times New Roman"/>
        </w:rPr>
        <w:t>course</w:t>
      </w:r>
      <w:r w:rsidR="0068058D">
        <w:rPr>
          <w:rFonts w:eastAsia="Times New Roman"/>
        </w:rPr>
        <w:t>s</w:t>
      </w:r>
      <w:r w:rsidR="004C52C1" w:rsidRPr="004C52C1">
        <w:rPr>
          <w:rFonts w:eastAsia="Times New Roman"/>
        </w:rPr>
        <w:t xml:space="preserve"> are required </w:t>
      </w:r>
      <w:r w:rsidR="000B0EA4">
        <w:rPr>
          <w:rFonts w:eastAsia="Times New Roman"/>
        </w:rPr>
        <w:t>to be delivered by someone who has at least the level of vocational competencies that they are delivering</w:t>
      </w:r>
      <w:r w:rsidR="00D70E1E">
        <w:rPr>
          <w:rStyle w:val="FootnoteReference"/>
          <w:rFonts w:ascii="Calibri" w:eastAsia="Times New Roman" w:hAnsi="Calibri" w:cs="Times New Roman"/>
          <w:bCs/>
        </w:rPr>
        <w:footnoteReference w:id="1"/>
      </w:r>
      <w:r w:rsidR="008B73AD">
        <w:rPr>
          <w:rFonts w:eastAsia="Times New Roman"/>
        </w:rPr>
        <w:t>,</w:t>
      </w:r>
      <w:r w:rsidR="004C52C1" w:rsidRPr="004C52C1">
        <w:rPr>
          <w:rFonts w:eastAsia="Times New Roman"/>
        </w:rPr>
        <w:t xml:space="preserve"> therefore the distribution across different </w:t>
      </w:r>
      <w:r w:rsidR="004C52C1">
        <w:rPr>
          <w:rFonts w:eastAsia="Times New Roman"/>
        </w:rPr>
        <w:t>levels of educationa</w:t>
      </w:r>
      <w:r w:rsidR="00DC547B">
        <w:rPr>
          <w:rFonts w:eastAsia="Times New Roman"/>
        </w:rPr>
        <w:t xml:space="preserve">l attainment is not unexpected in </w:t>
      </w:r>
      <w:r w:rsidR="00DD5C77">
        <w:rPr>
          <w:rFonts w:eastAsia="Times New Roman"/>
        </w:rPr>
        <w:t xml:space="preserve">this </w:t>
      </w:r>
      <w:r w:rsidR="00DC547B">
        <w:rPr>
          <w:rFonts w:eastAsia="Times New Roman"/>
        </w:rPr>
        <w:t>sector.</w:t>
      </w:r>
    </w:p>
    <w:p w14:paraId="0F5E8EF9" w14:textId="1F692E7E" w:rsidR="00667AE7" w:rsidRPr="00F517CC" w:rsidRDefault="00D46B12" w:rsidP="00F517CC">
      <w:pPr>
        <w:pStyle w:val="Caption"/>
        <w:rPr>
          <w:rFonts w:eastAsia="Times New Roman"/>
          <w:b w:val="0"/>
          <w:color w:val="3F4A9A"/>
          <w:sz w:val="20"/>
        </w:rPr>
      </w:pPr>
      <w:r w:rsidRPr="00F517CC">
        <w:rPr>
          <w:rFonts w:eastAsia="Times New Roman"/>
          <w:b w:val="0"/>
          <w:color w:val="3F4A9A"/>
          <w:sz w:val="20"/>
        </w:rPr>
        <w:t xml:space="preserve">Figure 2. Highest educational attainment for </w:t>
      </w:r>
      <w:r w:rsidR="005E13E9" w:rsidRPr="00F517CC">
        <w:rPr>
          <w:rFonts w:eastAsia="Times New Roman"/>
          <w:b w:val="0"/>
          <w:color w:val="3F4A9A"/>
          <w:sz w:val="20"/>
        </w:rPr>
        <w:t xml:space="preserve">those </w:t>
      </w:r>
      <w:r w:rsidR="00212D10" w:rsidRPr="00F517CC">
        <w:rPr>
          <w:rFonts w:eastAsia="Times New Roman"/>
          <w:b w:val="0"/>
          <w:color w:val="3F4A9A"/>
          <w:sz w:val="20"/>
        </w:rPr>
        <w:t xml:space="preserve">working </w:t>
      </w:r>
      <w:r w:rsidRPr="00F517CC">
        <w:rPr>
          <w:rFonts w:eastAsia="Times New Roman"/>
          <w:b w:val="0"/>
          <w:color w:val="3F4A9A"/>
          <w:sz w:val="20"/>
        </w:rPr>
        <w:t>full-time</w:t>
      </w:r>
      <w:r w:rsidR="003A3653" w:rsidRPr="00F517CC">
        <w:rPr>
          <w:rFonts w:eastAsia="Times New Roman"/>
          <w:b w:val="0"/>
          <w:color w:val="3F4A9A"/>
          <w:sz w:val="20"/>
        </w:rPr>
        <w:t>,</w:t>
      </w:r>
      <w:r w:rsidR="005E13E9" w:rsidRPr="00F517CC">
        <w:rPr>
          <w:rFonts w:eastAsia="Times New Roman"/>
          <w:b w:val="0"/>
          <w:color w:val="3F4A9A"/>
          <w:sz w:val="20"/>
        </w:rPr>
        <w:t xml:space="preserve"> </w:t>
      </w:r>
      <w:r w:rsidRPr="00F517CC">
        <w:rPr>
          <w:rFonts w:eastAsia="Times New Roman"/>
          <w:b w:val="0"/>
          <w:color w:val="3F4A9A"/>
          <w:sz w:val="20"/>
        </w:rPr>
        <w:t xml:space="preserve">by </w:t>
      </w:r>
      <w:r w:rsidR="003A3653" w:rsidRPr="00F517CC">
        <w:rPr>
          <w:rFonts w:eastAsia="Times New Roman"/>
          <w:b w:val="0"/>
          <w:color w:val="3F4A9A"/>
          <w:sz w:val="20"/>
        </w:rPr>
        <w:t xml:space="preserve">childcare worker and teacher </w:t>
      </w:r>
      <w:r w:rsidR="00920B99" w:rsidRPr="00F517CC">
        <w:rPr>
          <w:rFonts w:eastAsia="Times New Roman"/>
          <w:b w:val="0"/>
          <w:color w:val="3F4A9A"/>
          <w:sz w:val="20"/>
        </w:rPr>
        <w:t>occupation</w:t>
      </w:r>
      <w:r w:rsidR="003A3653" w:rsidRPr="00F517CC">
        <w:rPr>
          <w:rFonts w:eastAsia="Times New Roman"/>
          <w:b w:val="0"/>
          <w:color w:val="3F4A9A"/>
          <w:sz w:val="20"/>
        </w:rPr>
        <w:t>s</w:t>
      </w:r>
      <w:r w:rsidRPr="00F517CC">
        <w:rPr>
          <w:rFonts w:eastAsia="Times New Roman"/>
          <w:b w:val="0"/>
          <w:color w:val="3F4A9A"/>
          <w:sz w:val="20"/>
        </w:rPr>
        <w:t>, 2016</w:t>
      </w:r>
    </w:p>
    <w:p w14:paraId="399F9045" w14:textId="00A05E31" w:rsidR="005E13E9" w:rsidRDefault="00B0044A" w:rsidP="00F517CC">
      <w:pPr>
        <w:pStyle w:val="Source"/>
        <w:rPr>
          <w:rFonts w:eastAsia="Times New Roman"/>
        </w:rPr>
      </w:pPr>
      <w:r>
        <w:rPr>
          <w:rFonts w:eastAsia="Times New Roman"/>
          <w:noProof/>
          <w:lang w:eastAsia="en-AU"/>
        </w:rPr>
        <w:drawing>
          <wp:inline distT="0" distB="0" distL="0" distR="0" wp14:anchorId="727947D7" wp14:editId="40A0638C">
            <wp:extent cx="6722601" cy="3218688"/>
            <wp:effectExtent l="0" t="0" r="2540" b="1270"/>
            <wp:docPr id="6" name="Picture 6" descr="Stacked bar graph describing the proportion of 30-64 year olds working full time by highest educational attainment and occupation in 2016. The Y-axis shows the different occupations (child carers, early childhood teachers, primary school teachers, secondary school teachers, vocational education teachers, and university lecturers and tutors). Child carers have 5% with year 11 or below, 9% with year 12, 27% with certificates III or IV, 38% with diploma, 19% with undergraduate, 3% with masters, and 0% with doctoral. Early childhood teachers have 1% with year 11 or below, 2% with year 12, 4% with certificates III or IV, 15% with diploma, 71% with undergraduate, 7% with masters, and 0% with doctoral. Primary school teachers have 0% with year 11 or below, 1% with year 12, 0% with certificates III or IV, 6% with diploma, 82% with undergraduate, 11% with masters, and 1% with doctoral. Secondary school teachers have 0% with year 11 or below, 1% with year 12, 0% with certificates III or IV, 2% with diploma, 78% with undergraduate, 16% with masters, and 2% with doctoral. Vocational education teachers have 2% with year 11 or below, 3% with year 12, 23% with certificates III or IV, 25% with diploma, 35% with undergraduate, 11% with masters, and 2% with doctoral. University lecturers and tutors have 0% with year 11 or below, 1% with year 12, 0% with certificates III or IV, 1% with diploma, 10% with undergraduate, 14% with masters, and 74% with doctoral." title="Figure 2. Highest educational attainment for those working full-time, by childcare worker and teacher occupations,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52914" cy="3233201"/>
                    </a:xfrm>
                    <a:prstGeom prst="rect">
                      <a:avLst/>
                    </a:prstGeom>
                    <a:noFill/>
                  </pic:spPr>
                </pic:pic>
              </a:graphicData>
            </a:graphic>
          </wp:inline>
        </w:drawing>
      </w:r>
      <w:r w:rsidR="00212D10" w:rsidRPr="00F517CC">
        <w:rPr>
          <w:rFonts w:eastAsia="Times New Roman"/>
          <w:color w:val="3F4A9A"/>
        </w:rPr>
        <w:t>Source: Multi-Agency Data Integration Project 2016</w:t>
      </w:r>
      <w:r w:rsidR="00814BB0" w:rsidRPr="00F517CC">
        <w:rPr>
          <w:rFonts w:eastAsia="Times New Roman"/>
          <w:color w:val="3F4A9A"/>
        </w:rPr>
        <w:t xml:space="preserve">. </w:t>
      </w:r>
      <w:r w:rsidR="00DC3BBA" w:rsidRPr="00F517CC">
        <w:rPr>
          <w:rFonts w:eastAsia="Times New Roman"/>
          <w:color w:val="3F4A9A"/>
        </w:rPr>
        <w:t xml:space="preserve">Reported data is the proportion of people with a known educational attainment working full time (35 hours or more per week in the Census) in a relevant occupation in their main job on Census night. </w:t>
      </w:r>
      <w:r w:rsidR="00545647" w:rsidRPr="00F517CC">
        <w:rPr>
          <w:rFonts w:eastAsia="Times New Roman"/>
          <w:color w:val="3F4A9A"/>
        </w:rPr>
        <w:t>Occupations were classif</w:t>
      </w:r>
      <w:r w:rsidRPr="00F517CC">
        <w:rPr>
          <w:rFonts w:eastAsia="Times New Roman"/>
          <w:color w:val="3F4A9A"/>
        </w:rPr>
        <w:t>ied according to the following four</w:t>
      </w:r>
      <w:r w:rsidR="00545647" w:rsidRPr="00F517CC">
        <w:rPr>
          <w:rFonts w:eastAsia="Times New Roman"/>
          <w:color w:val="3F4A9A"/>
        </w:rPr>
        <w:t xml:space="preserve"> digit Australian and New Zealand Standard Classificati</w:t>
      </w:r>
      <w:r w:rsidRPr="00F517CC">
        <w:rPr>
          <w:rFonts w:eastAsia="Times New Roman"/>
          <w:color w:val="3F4A9A"/>
        </w:rPr>
        <w:t>on of Occupations (ANZSCO 2013):</w:t>
      </w:r>
      <w:r w:rsidR="00545647" w:rsidRPr="00F517CC">
        <w:rPr>
          <w:rFonts w:eastAsia="Times New Roman"/>
          <w:color w:val="3F4A9A"/>
        </w:rPr>
        <w:t xml:space="preserve"> </w:t>
      </w:r>
      <w:r w:rsidRPr="00F517CC">
        <w:rPr>
          <w:rFonts w:eastAsia="Times New Roman"/>
          <w:color w:val="3F4A9A"/>
        </w:rPr>
        <w:t xml:space="preserve">Child Carers (4211), Early Childhood teachers (2411), Primary school teachers (2412), Secondary school teachers (2413, 2414), Vocational education teachers (2422) and University lecturers and tutors (2421). Special Education teachers were excluded. </w:t>
      </w:r>
      <w:r w:rsidR="00DC3BBA" w:rsidRPr="00F517CC">
        <w:rPr>
          <w:rFonts w:eastAsia="Times New Roman"/>
          <w:color w:val="3F4A9A"/>
        </w:rPr>
        <w:t>Census data is reported by any member of the household on behalf of other residents.</w:t>
      </w:r>
    </w:p>
    <w:p w14:paraId="396E73AE" w14:textId="77777777" w:rsidR="00D46B12" w:rsidRDefault="00D46B12" w:rsidP="00244E3A">
      <w:pPr>
        <w:pStyle w:val="Heading3"/>
        <w:jc w:val="both"/>
      </w:pPr>
      <w:r>
        <w:t xml:space="preserve">Data and </w:t>
      </w:r>
      <w:r w:rsidR="002401A2">
        <w:t>Met</w:t>
      </w:r>
      <w:r>
        <w:t>hodology</w:t>
      </w:r>
    </w:p>
    <w:p w14:paraId="1A48E94B" w14:textId="6B9BEC7E" w:rsidR="008451FE" w:rsidRPr="002B1030" w:rsidRDefault="00D46B12" w:rsidP="002B1030">
      <w:pPr>
        <w:shd w:val="clear" w:color="auto" w:fill="FFFFFF" w:themeFill="background2" w:themeFillTint="33"/>
        <w:spacing w:after="0"/>
        <w:jc w:val="both"/>
        <w:rPr>
          <w:noProof/>
          <w:sz w:val="18"/>
          <w:szCs w:val="18"/>
        </w:rPr>
      </w:pPr>
      <w:r w:rsidRPr="00C34B39">
        <w:rPr>
          <w:noProof/>
          <w:sz w:val="18"/>
          <w:szCs w:val="18"/>
        </w:rPr>
        <w:t xml:space="preserve">The analysis in this paper used linked records from the MADIP Basic Longitudinal Extract 2011-2016 (2016 Cohort) (Cat. No. 1700.0, Microdata: Multi-Agency Data Integration Project, Australia) where persons </w:t>
      </w:r>
      <w:r w:rsidR="00483A32" w:rsidRPr="00C34B39">
        <w:rPr>
          <w:noProof/>
          <w:sz w:val="18"/>
          <w:szCs w:val="18"/>
        </w:rPr>
        <w:t xml:space="preserve">were 15 years and over and employed full-time (worked 35 hours or more per week), resided in Australia </w:t>
      </w:r>
      <w:r w:rsidR="009B6809" w:rsidRPr="00C34B39">
        <w:rPr>
          <w:noProof/>
          <w:sz w:val="18"/>
          <w:szCs w:val="18"/>
        </w:rPr>
        <w:t>o</w:t>
      </w:r>
      <w:r w:rsidR="00DC3BBA" w:rsidRPr="00C34B39">
        <w:rPr>
          <w:noProof/>
          <w:sz w:val="18"/>
          <w:szCs w:val="18"/>
        </w:rPr>
        <w:t xml:space="preserve">n Census night (9 August 2016). </w:t>
      </w:r>
      <w:r w:rsidR="00F966E0" w:rsidRPr="002B1030">
        <w:rPr>
          <w:noProof/>
          <w:sz w:val="18"/>
          <w:szCs w:val="18"/>
        </w:rPr>
        <w:t>Figure 1 has an added filter for</w:t>
      </w:r>
      <w:r w:rsidR="00DC3BBA" w:rsidRPr="002B1030">
        <w:rPr>
          <w:noProof/>
          <w:sz w:val="18"/>
          <w:szCs w:val="18"/>
        </w:rPr>
        <w:t xml:space="preserve"> those who </w:t>
      </w:r>
      <w:r w:rsidR="00483A32" w:rsidRPr="002B1030">
        <w:rPr>
          <w:noProof/>
          <w:sz w:val="18"/>
          <w:szCs w:val="18"/>
        </w:rPr>
        <w:t>submitt</w:t>
      </w:r>
      <w:r w:rsidR="00973415" w:rsidRPr="002B1030">
        <w:rPr>
          <w:noProof/>
          <w:sz w:val="18"/>
          <w:szCs w:val="18"/>
        </w:rPr>
        <w:t>ed a Personal Income Tax return in the 2015-16 financial year</w:t>
      </w:r>
      <w:bookmarkEnd w:id="1"/>
      <w:r w:rsidR="00DC3BBA" w:rsidRPr="002B1030">
        <w:rPr>
          <w:noProof/>
          <w:sz w:val="18"/>
          <w:szCs w:val="18"/>
        </w:rPr>
        <w:t>. Figure 2 reports on a subset of those with a</w:t>
      </w:r>
      <w:r w:rsidR="009B6809" w:rsidRPr="002B1030">
        <w:rPr>
          <w:noProof/>
          <w:sz w:val="18"/>
          <w:szCs w:val="18"/>
        </w:rPr>
        <w:t xml:space="preserve"> known highest level of educational attainment</w:t>
      </w:r>
      <w:r w:rsidR="00DC3BBA" w:rsidRPr="002B1030">
        <w:rPr>
          <w:noProof/>
          <w:sz w:val="18"/>
          <w:szCs w:val="18"/>
        </w:rPr>
        <w:t xml:space="preserve"> from the 2016 Census</w:t>
      </w:r>
      <w:r w:rsidR="009B6809" w:rsidRPr="002B1030">
        <w:rPr>
          <w:noProof/>
          <w:sz w:val="18"/>
          <w:szCs w:val="18"/>
        </w:rPr>
        <w:t>.</w:t>
      </w:r>
      <w:r w:rsidR="008B73AD">
        <w:rPr>
          <w:noProof/>
          <w:sz w:val="18"/>
          <w:szCs w:val="18"/>
        </w:rPr>
        <w:t xml:space="preserve"> Matching techniques were not used in this study.</w:t>
      </w:r>
    </w:p>
    <w:sectPr w:rsidR="008451FE" w:rsidRPr="002B1030" w:rsidSect="00AF668E">
      <w:type w:val="continuous"/>
      <w:pgSz w:w="11906" w:h="16838"/>
      <w:pgMar w:top="567" w:right="720" w:bottom="426" w:left="567"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20C71" w14:textId="77777777" w:rsidR="00DB72E3" w:rsidRDefault="00DB72E3" w:rsidP="00130923">
      <w:pPr>
        <w:spacing w:after="0" w:line="240" w:lineRule="auto"/>
      </w:pPr>
      <w:r>
        <w:separator/>
      </w:r>
    </w:p>
  </w:endnote>
  <w:endnote w:type="continuationSeparator" w:id="0">
    <w:p w14:paraId="757B561E" w14:textId="77777777" w:rsidR="00DB72E3" w:rsidRDefault="00DB72E3"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D5919" w14:textId="4E8F2A71" w:rsidR="00BE3AD7" w:rsidRDefault="006E44F3"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BE3AD7">
          <w:fldChar w:fldCharType="begin"/>
        </w:r>
        <w:r w:rsidR="00BE3AD7">
          <w:instrText xml:space="preserve"> PAGE   \* MERGEFORMAT </w:instrText>
        </w:r>
        <w:r w:rsidR="00BE3AD7">
          <w:fldChar w:fldCharType="separate"/>
        </w:r>
        <w:r>
          <w:rPr>
            <w:noProof/>
          </w:rPr>
          <w:t>2</w:t>
        </w:r>
        <w:r w:rsidR="00BE3AD7">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4D3BC" w14:textId="77777777" w:rsidR="00BE3AD7" w:rsidRPr="002464A3" w:rsidRDefault="00BE3AD7" w:rsidP="00FF4343">
    <w:pPr>
      <w:spacing w:after="0"/>
      <w:rPr>
        <w:rStyle w:val="Emphasis"/>
        <w:b w:val="0"/>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FA12E" w14:textId="77777777" w:rsidR="00DB72E3" w:rsidRDefault="00DB72E3" w:rsidP="00130923">
      <w:pPr>
        <w:spacing w:after="0" w:line="240" w:lineRule="auto"/>
      </w:pPr>
      <w:r>
        <w:separator/>
      </w:r>
    </w:p>
  </w:footnote>
  <w:footnote w:type="continuationSeparator" w:id="0">
    <w:p w14:paraId="00A1D739" w14:textId="77777777" w:rsidR="00DB72E3" w:rsidRDefault="00DB72E3" w:rsidP="00130923">
      <w:pPr>
        <w:spacing w:after="0" w:line="240" w:lineRule="auto"/>
      </w:pPr>
      <w:r>
        <w:continuationSeparator/>
      </w:r>
    </w:p>
  </w:footnote>
  <w:footnote w:id="1">
    <w:p w14:paraId="4C2A1423" w14:textId="354A5614" w:rsidR="00D70E1E" w:rsidRDefault="00D70E1E">
      <w:pPr>
        <w:pStyle w:val="FootnoteText"/>
        <w:rPr>
          <w:sz w:val="14"/>
          <w:szCs w:val="14"/>
        </w:rPr>
      </w:pPr>
      <w:r w:rsidRPr="00FB2B41">
        <w:rPr>
          <w:rStyle w:val="FootnoteReference"/>
          <w:sz w:val="14"/>
          <w:szCs w:val="14"/>
        </w:rPr>
        <w:footnoteRef/>
      </w:r>
      <w:r w:rsidRPr="00FB2B41">
        <w:rPr>
          <w:sz w:val="14"/>
          <w:szCs w:val="14"/>
        </w:rPr>
        <w:t xml:space="preserve"> Australian Skills Quality Authority (2019). </w:t>
      </w:r>
      <w:r w:rsidRPr="00FB2B41">
        <w:rPr>
          <w:i/>
          <w:sz w:val="14"/>
          <w:szCs w:val="14"/>
        </w:rPr>
        <w:t>Users’ Guide to the Standards for RTOs 2015</w:t>
      </w:r>
      <w:r w:rsidRPr="00FB2B41">
        <w:rPr>
          <w:sz w:val="14"/>
          <w:szCs w:val="14"/>
        </w:rPr>
        <w:t xml:space="preserve">, </w:t>
      </w:r>
      <w:hyperlink r:id="rId1" w:history="1">
        <w:r w:rsidRPr="00FB2B41">
          <w:rPr>
            <w:rStyle w:val="Hyperlink"/>
            <w:sz w:val="14"/>
            <w:szCs w:val="14"/>
          </w:rPr>
          <w:t>https://www.asqa.gov.au/standards/chapter-4/clauses-1.13-1.16</w:t>
        </w:r>
      </w:hyperlink>
      <w:r w:rsidRPr="00FB2B41">
        <w:rPr>
          <w:sz w:val="14"/>
          <w:szCs w:val="14"/>
        </w:rPr>
        <w:t>, [Accessed 18/04/2019]</w:t>
      </w:r>
    </w:p>
    <w:p w14:paraId="7FD51AB3" w14:textId="69E765CC" w:rsidR="00CE0E5E" w:rsidRPr="00FB2B41" w:rsidRDefault="00CE0E5E">
      <w:pPr>
        <w:pStyle w:val="FootnoteText"/>
        <w:rPr>
          <w:sz w:val="14"/>
          <w:szCs w:val="14"/>
        </w:rPr>
      </w:pPr>
      <w:r>
        <w:rPr>
          <w:sz w:val="14"/>
          <w:szCs w:val="14"/>
        </w:rPr>
        <w:t>ISBN 978-1-76051-836-3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419BE" w14:textId="392E1C35" w:rsidR="00BE3AD7" w:rsidRDefault="00BE3AD7" w:rsidP="00A66052">
    <w:pPr>
      <w:pStyle w:val="Header"/>
      <w:spacing w:after="480"/>
      <w:jc w:val="right"/>
    </w:pPr>
    <w:r>
      <w:t>Benefits of Educational Attainme</w:t>
    </w:r>
    <w:r w:rsidR="00A45818">
      <w:t>nt – Teacher and Child Care Workforce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A2406" w14:textId="2A69777C" w:rsidR="00BE3AD7" w:rsidRDefault="00A10698">
    <w:pPr>
      <w:pStyle w:val="Header"/>
    </w:pPr>
    <w:r w:rsidRPr="00245EC2">
      <w:rPr>
        <w:noProof/>
        <w:lang w:eastAsia="en-AU"/>
      </w:rPr>
      <w:drawing>
        <wp:inline distT="0" distB="0" distL="0" distR="0" wp14:anchorId="2B198B9E" wp14:editId="23AE74F3">
          <wp:extent cx="6645910" cy="1962785"/>
          <wp:effectExtent l="0" t="0" r="2540" b="0"/>
          <wp:docPr id="3" name="Picture 3" descr="C:\Users\ML3201\Work\Images\BEAP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3201\Work\Images\BEAP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962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8827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AEBB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6A7D8C"/>
    <w:multiLevelType w:val="hybridMultilevel"/>
    <w:tmpl w:val="60A03A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5"/>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6"/>
  </w:num>
  <w:num w:numId="15">
    <w:abstractNumId w:val="11"/>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C10C19"/>
    <w:rsid w:val="0000170B"/>
    <w:rsid w:val="00002721"/>
    <w:rsid w:val="00007E0C"/>
    <w:rsid w:val="000120B6"/>
    <w:rsid w:val="00020F57"/>
    <w:rsid w:val="00024E24"/>
    <w:rsid w:val="00034EAA"/>
    <w:rsid w:val="00037946"/>
    <w:rsid w:val="000861A6"/>
    <w:rsid w:val="000862C8"/>
    <w:rsid w:val="000A42D5"/>
    <w:rsid w:val="000B0EA4"/>
    <w:rsid w:val="000D7FD3"/>
    <w:rsid w:val="000E7E7B"/>
    <w:rsid w:val="000F3BA2"/>
    <w:rsid w:val="00105578"/>
    <w:rsid w:val="00110357"/>
    <w:rsid w:val="0011314A"/>
    <w:rsid w:val="001175BF"/>
    <w:rsid w:val="00121C96"/>
    <w:rsid w:val="001263C4"/>
    <w:rsid w:val="00130923"/>
    <w:rsid w:val="001414F3"/>
    <w:rsid w:val="00143FCD"/>
    <w:rsid w:val="00144889"/>
    <w:rsid w:val="001A7E98"/>
    <w:rsid w:val="001B6467"/>
    <w:rsid w:val="001C48A7"/>
    <w:rsid w:val="001F6847"/>
    <w:rsid w:val="0020296D"/>
    <w:rsid w:val="002056F2"/>
    <w:rsid w:val="00212D10"/>
    <w:rsid w:val="00223EB1"/>
    <w:rsid w:val="002368E2"/>
    <w:rsid w:val="00236917"/>
    <w:rsid w:val="002401A2"/>
    <w:rsid w:val="00243D6B"/>
    <w:rsid w:val="00244E3A"/>
    <w:rsid w:val="002464A3"/>
    <w:rsid w:val="002678BF"/>
    <w:rsid w:val="002A7A04"/>
    <w:rsid w:val="002B06E6"/>
    <w:rsid w:val="002B1030"/>
    <w:rsid w:val="002B16A3"/>
    <w:rsid w:val="002C0CEC"/>
    <w:rsid w:val="002C3AA1"/>
    <w:rsid w:val="002D271F"/>
    <w:rsid w:val="002D6386"/>
    <w:rsid w:val="002E2489"/>
    <w:rsid w:val="002F1999"/>
    <w:rsid w:val="00305B35"/>
    <w:rsid w:val="00311153"/>
    <w:rsid w:val="003155A7"/>
    <w:rsid w:val="003166C5"/>
    <w:rsid w:val="003242B9"/>
    <w:rsid w:val="00344971"/>
    <w:rsid w:val="003555B1"/>
    <w:rsid w:val="003753C7"/>
    <w:rsid w:val="0038535F"/>
    <w:rsid w:val="00393DC9"/>
    <w:rsid w:val="003979FC"/>
    <w:rsid w:val="003A3653"/>
    <w:rsid w:val="003C40E6"/>
    <w:rsid w:val="003D67FC"/>
    <w:rsid w:val="00406E5A"/>
    <w:rsid w:val="00421A41"/>
    <w:rsid w:val="00437CFB"/>
    <w:rsid w:val="00445FD6"/>
    <w:rsid w:val="00455B34"/>
    <w:rsid w:val="00463BD6"/>
    <w:rsid w:val="00481F02"/>
    <w:rsid w:val="00483A32"/>
    <w:rsid w:val="0048762C"/>
    <w:rsid w:val="004B256F"/>
    <w:rsid w:val="004C16FC"/>
    <w:rsid w:val="004C52C1"/>
    <w:rsid w:val="004F15A7"/>
    <w:rsid w:val="004F2DA5"/>
    <w:rsid w:val="004F4A35"/>
    <w:rsid w:val="005113B6"/>
    <w:rsid w:val="00527357"/>
    <w:rsid w:val="00531817"/>
    <w:rsid w:val="00545647"/>
    <w:rsid w:val="00560CA0"/>
    <w:rsid w:val="005624F3"/>
    <w:rsid w:val="0058019C"/>
    <w:rsid w:val="005811EF"/>
    <w:rsid w:val="005A03C9"/>
    <w:rsid w:val="005A40E6"/>
    <w:rsid w:val="005B0878"/>
    <w:rsid w:val="005C15C0"/>
    <w:rsid w:val="005D6F9F"/>
    <w:rsid w:val="005E13E9"/>
    <w:rsid w:val="00610654"/>
    <w:rsid w:val="006318B9"/>
    <w:rsid w:val="00667AE7"/>
    <w:rsid w:val="0067026C"/>
    <w:rsid w:val="0068058D"/>
    <w:rsid w:val="006A762D"/>
    <w:rsid w:val="006B73FF"/>
    <w:rsid w:val="006C7678"/>
    <w:rsid w:val="006E2D49"/>
    <w:rsid w:val="006E44F3"/>
    <w:rsid w:val="007468FC"/>
    <w:rsid w:val="00750927"/>
    <w:rsid w:val="00753BFA"/>
    <w:rsid w:val="0077098B"/>
    <w:rsid w:val="007813E3"/>
    <w:rsid w:val="00792CA3"/>
    <w:rsid w:val="007B2FDD"/>
    <w:rsid w:val="007D58FB"/>
    <w:rsid w:val="00814A99"/>
    <w:rsid w:val="00814BB0"/>
    <w:rsid w:val="00815934"/>
    <w:rsid w:val="00824F6D"/>
    <w:rsid w:val="00832FB2"/>
    <w:rsid w:val="0083468A"/>
    <w:rsid w:val="00842D43"/>
    <w:rsid w:val="008451FE"/>
    <w:rsid w:val="00856D1C"/>
    <w:rsid w:val="00876AC0"/>
    <w:rsid w:val="008770DF"/>
    <w:rsid w:val="00880823"/>
    <w:rsid w:val="0089499B"/>
    <w:rsid w:val="008B5116"/>
    <w:rsid w:val="008B73AD"/>
    <w:rsid w:val="008F7A50"/>
    <w:rsid w:val="00903408"/>
    <w:rsid w:val="00905AD9"/>
    <w:rsid w:val="009116EA"/>
    <w:rsid w:val="00920B99"/>
    <w:rsid w:val="00933671"/>
    <w:rsid w:val="00972BF7"/>
    <w:rsid w:val="00972DD5"/>
    <w:rsid w:val="00973415"/>
    <w:rsid w:val="009760FF"/>
    <w:rsid w:val="00984879"/>
    <w:rsid w:val="00985632"/>
    <w:rsid w:val="00991B63"/>
    <w:rsid w:val="009A7BBF"/>
    <w:rsid w:val="009B2428"/>
    <w:rsid w:val="009B50DD"/>
    <w:rsid w:val="009B5CB7"/>
    <w:rsid w:val="009B6809"/>
    <w:rsid w:val="009C43A7"/>
    <w:rsid w:val="009D7FF3"/>
    <w:rsid w:val="009E2FFF"/>
    <w:rsid w:val="00A10698"/>
    <w:rsid w:val="00A109CC"/>
    <w:rsid w:val="00A177FC"/>
    <w:rsid w:val="00A31242"/>
    <w:rsid w:val="00A45818"/>
    <w:rsid w:val="00A46238"/>
    <w:rsid w:val="00A475CB"/>
    <w:rsid w:val="00A52530"/>
    <w:rsid w:val="00A551BF"/>
    <w:rsid w:val="00A63A57"/>
    <w:rsid w:val="00A66052"/>
    <w:rsid w:val="00A70524"/>
    <w:rsid w:val="00A73406"/>
    <w:rsid w:val="00A91CF7"/>
    <w:rsid w:val="00AA0981"/>
    <w:rsid w:val="00AC65DA"/>
    <w:rsid w:val="00AD09E4"/>
    <w:rsid w:val="00AE4F12"/>
    <w:rsid w:val="00AF1737"/>
    <w:rsid w:val="00AF668E"/>
    <w:rsid w:val="00B0044A"/>
    <w:rsid w:val="00B2722A"/>
    <w:rsid w:val="00B30A98"/>
    <w:rsid w:val="00B36E77"/>
    <w:rsid w:val="00B6151E"/>
    <w:rsid w:val="00B618BA"/>
    <w:rsid w:val="00B75C4B"/>
    <w:rsid w:val="00B82137"/>
    <w:rsid w:val="00BA282D"/>
    <w:rsid w:val="00BA4D57"/>
    <w:rsid w:val="00BB6260"/>
    <w:rsid w:val="00BE3ABD"/>
    <w:rsid w:val="00BE3AD7"/>
    <w:rsid w:val="00C02B57"/>
    <w:rsid w:val="00C02DD3"/>
    <w:rsid w:val="00C05E74"/>
    <w:rsid w:val="00C10C19"/>
    <w:rsid w:val="00C143B8"/>
    <w:rsid w:val="00C1747B"/>
    <w:rsid w:val="00C17D02"/>
    <w:rsid w:val="00C34B39"/>
    <w:rsid w:val="00C45361"/>
    <w:rsid w:val="00C5649C"/>
    <w:rsid w:val="00C56F42"/>
    <w:rsid w:val="00C65585"/>
    <w:rsid w:val="00C73779"/>
    <w:rsid w:val="00C75486"/>
    <w:rsid w:val="00C8202C"/>
    <w:rsid w:val="00C91576"/>
    <w:rsid w:val="00C92A5B"/>
    <w:rsid w:val="00CA46EC"/>
    <w:rsid w:val="00CA6F93"/>
    <w:rsid w:val="00CD0222"/>
    <w:rsid w:val="00CE0E5E"/>
    <w:rsid w:val="00D05B29"/>
    <w:rsid w:val="00D1394D"/>
    <w:rsid w:val="00D27C2D"/>
    <w:rsid w:val="00D46B12"/>
    <w:rsid w:val="00D47740"/>
    <w:rsid w:val="00D5242A"/>
    <w:rsid w:val="00D53F2B"/>
    <w:rsid w:val="00D70E1E"/>
    <w:rsid w:val="00D812B9"/>
    <w:rsid w:val="00D903FD"/>
    <w:rsid w:val="00D94BC5"/>
    <w:rsid w:val="00D96C08"/>
    <w:rsid w:val="00DA4F5C"/>
    <w:rsid w:val="00DB67D4"/>
    <w:rsid w:val="00DB72E3"/>
    <w:rsid w:val="00DC3052"/>
    <w:rsid w:val="00DC3BBA"/>
    <w:rsid w:val="00DC547B"/>
    <w:rsid w:val="00DD5C77"/>
    <w:rsid w:val="00DE2E9C"/>
    <w:rsid w:val="00DE752C"/>
    <w:rsid w:val="00DF46C4"/>
    <w:rsid w:val="00DF4CA3"/>
    <w:rsid w:val="00E02515"/>
    <w:rsid w:val="00E0757B"/>
    <w:rsid w:val="00E1604B"/>
    <w:rsid w:val="00E47A10"/>
    <w:rsid w:val="00E90F5B"/>
    <w:rsid w:val="00EC78E7"/>
    <w:rsid w:val="00ED43D2"/>
    <w:rsid w:val="00EE3B8C"/>
    <w:rsid w:val="00EF4A38"/>
    <w:rsid w:val="00EF5845"/>
    <w:rsid w:val="00F11B8F"/>
    <w:rsid w:val="00F35F3B"/>
    <w:rsid w:val="00F47193"/>
    <w:rsid w:val="00F517CC"/>
    <w:rsid w:val="00F55A3C"/>
    <w:rsid w:val="00F61086"/>
    <w:rsid w:val="00F74011"/>
    <w:rsid w:val="00F74B6E"/>
    <w:rsid w:val="00F80CFC"/>
    <w:rsid w:val="00F80DCB"/>
    <w:rsid w:val="00F966E0"/>
    <w:rsid w:val="00FB10CB"/>
    <w:rsid w:val="00FB2B41"/>
    <w:rsid w:val="00FF43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35BC8B0"/>
  <w15:docId w15:val="{CB0E3F14-7243-47E8-8588-B5520F08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uiPriority w:val="9"/>
    <w:qFormat/>
    <w:rsid w:val="00393DC9"/>
    <w:pPr>
      <w:spacing w:after="240" w:line="240" w:lineRule="auto"/>
      <w:contextualSpacing/>
      <w:outlineLvl w:val="0"/>
    </w:pPr>
    <w:rPr>
      <w:rFonts w:ascii="Calibri" w:eastAsiaTheme="majorEastAsia" w:hAnsi="Calibri" w:cstheme="majorBidi"/>
      <w:b/>
      <w:bCs/>
      <w:color w:val="3F4A9A"/>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393DC9"/>
    <w:rPr>
      <w:color w:val="3F4A9A"/>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393DC9"/>
    <w:rPr>
      <w:rFonts w:ascii="Calibri" w:eastAsiaTheme="majorEastAsia" w:hAnsi="Calibri" w:cstheme="majorBidi"/>
      <w:b/>
      <w:bCs/>
      <w:color w:val="3F4A9A"/>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93DC9"/>
    <w:pPr>
      <w:spacing w:before="480" w:after="120" w:line="240" w:lineRule="auto"/>
      <w:contextualSpacing/>
    </w:pPr>
    <w:rPr>
      <w:rFonts w:ascii="Calibri" w:eastAsiaTheme="majorEastAsia" w:hAnsi="Calibri" w:cstheme="majorBidi"/>
      <w:b/>
      <w:color w:val="3F4A9A"/>
      <w:spacing w:val="5"/>
      <w:sz w:val="60"/>
      <w:szCs w:val="52"/>
    </w:rPr>
  </w:style>
  <w:style w:type="character" w:customStyle="1" w:styleId="TitleChar">
    <w:name w:val="Title Char"/>
    <w:basedOn w:val="DefaultParagraphFont"/>
    <w:link w:val="Title"/>
    <w:uiPriority w:val="10"/>
    <w:rsid w:val="00393DC9"/>
    <w:rPr>
      <w:rFonts w:ascii="Calibri" w:eastAsiaTheme="majorEastAsia" w:hAnsi="Calibri" w:cstheme="majorBidi"/>
      <w:b/>
      <w:color w:val="3F4A9A"/>
      <w:spacing w:val="5"/>
      <w:sz w:val="60"/>
      <w:szCs w:val="52"/>
    </w:rPr>
  </w:style>
  <w:style w:type="paragraph" w:styleId="Subtitle">
    <w:name w:val="Subtitle"/>
    <w:basedOn w:val="Normal"/>
    <w:next w:val="Normal"/>
    <w:link w:val="SubtitleChar"/>
    <w:uiPriority w:val="11"/>
    <w:qFormat/>
    <w:rsid w:val="00393DC9"/>
    <w:pPr>
      <w:spacing w:after="240"/>
    </w:pPr>
    <w:rPr>
      <w:rFonts w:ascii="Calibri" w:eastAsiaTheme="majorEastAsia" w:hAnsi="Calibri" w:cstheme="majorBidi"/>
      <w:b/>
      <w:iCs/>
      <w:color w:val="3F4A9A"/>
      <w:spacing w:val="13"/>
      <w:sz w:val="40"/>
      <w:szCs w:val="24"/>
    </w:rPr>
  </w:style>
  <w:style w:type="character" w:customStyle="1" w:styleId="SubtitleChar">
    <w:name w:val="Subtitle Char"/>
    <w:basedOn w:val="DefaultParagraphFont"/>
    <w:link w:val="Subtitle"/>
    <w:uiPriority w:val="11"/>
    <w:rsid w:val="00393DC9"/>
    <w:rPr>
      <w:rFonts w:ascii="Calibri" w:eastAsiaTheme="majorEastAsia" w:hAnsi="Calibri" w:cstheme="majorBidi"/>
      <w:b/>
      <w:iCs/>
      <w:color w:val="3F4A9A"/>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393DC9"/>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393DC9"/>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3F4A9A"/>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8F7A50"/>
    <w:pPr>
      <w:spacing w:before="120"/>
    </w:pPr>
    <w:rPr>
      <w:rFonts w:cstheme="minorHAnsi"/>
      <w:sz w:val="18"/>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393DC9"/>
    <w:rPr>
      <w:color w:val="3F4A9A"/>
    </w:rPr>
  </w:style>
  <w:style w:type="paragraph" w:styleId="EndnoteText">
    <w:name w:val="endnote text"/>
    <w:basedOn w:val="Normal"/>
    <w:link w:val="EndnoteTextChar"/>
    <w:uiPriority w:val="99"/>
    <w:semiHidden/>
    <w:unhideWhenUsed/>
    <w:rsid w:val="00A91C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1CF7"/>
    <w:rPr>
      <w:sz w:val="20"/>
      <w:szCs w:val="20"/>
    </w:rPr>
  </w:style>
  <w:style w:type="character" w:styleId="EndnoteReference">
    <w:name w:val="endnote reference"/>
    <w:basedOn w:val="DefaultParagraphFont"/>
    <w:uiPriority w:val="99"/>
    <w:semiHidden/>
    <w:unhideWhenUsed/>
    <w:rsid w:val="00A91CF7"/>
    <w:rPr>
      <w:vertAlign w:val="superscript"/>
    </w:rPr>
  </w:style>
  <w:style w:type="character" w:styleId="CommentReference">
    <w:name w:val="annotation reference"/>
    <w:basedOn w:val="DefaultParagraphFont"/>
    <w:uiPriority w:val="99"/>
    <w:semiHidden/>
    <w:unhideWhenUsed/>
    <w:rsid w:val="001F6847"/>
    <w:rPr>
      <w:sz w:val="16"/>
      <w:szCs w:val="16"/>
    </w:rPr>
  </w:style>
  <w:style w:type="paragraph" w:styleId="CommentText">
    <w:name w:val="annotation text"/>
    <w:basedOn w:val="Normal"/>
    <w:link w:val="CommentTextChar"/>
    <w:uiPriority w:val="99"/>
    <w:semiHidden/>
    <w:unhideWhenUsed/>
    <w:rsid w:val="001F6847"/>
    <w:pPr>
      <w:spacing w:line="240" w:lineRule="auto"/>
    </w:pPr>
    <w:rPr>
      <w:sz w:val="20"/>
      <w:szCs w:val="20"/>
    </w:rPr>
  </w:style>
  <w:style w:type="character" w:customStyle="1" w:styleId="CommentTextChar">
    <w:name w:val="Comment Text Char"/>
    <w:basedOn w:val="DefaultParagraphFont"/>
    <w:link w:val="CommentText"/>
    <w:uiPriority w:val="99"/>
    <w:semiHidden/>
    <w:rsid w:val="001F6847"/>
    <w:rPr>
      <w:sz w:val="20"/>
      <w:szCs w:val="20"/>
    </w:rPr>
  </w:style>
  <w:style w:type="paragraph" w:styleId="CommentSubject">
    <w:name w:val="annotation subject"/>
    <w:basedOn w:val="CommentText"/>
    <w:next w:val="CommentText"/>
    <w:link w:val="CommentSubjectChar"/>
    <w:uiPriority w:val="99"/>
    <w:semiHidden/>
    <w:unhideWhenUsed/>
    <w:rsid w:val="001F6847"/>
    <w:rPr>
      <w:b/>
      <w:bCs/>
    </w:rPr>
  </w:style>
  <w:style w:type="character" w:customStyle="1" w:styleId="CommentSubjectChar">
    <w:name w:val="Comment Subject Char"/>
    <w:basedOn w:val="CommentTextChar"/>
    <w:link w:val="CommentSubject"/>
    <w:uiPriority w:val="99"/>
    <w:semiHidden/>
    <w:rsid w:val="001F6847"/>
    <w:rPr>
      <w:b/>
      <w:bCs/>
      <w:sz w:val="20"/>
      <w:szCs w:val="20"/>
    </w:rPr>
  </w:style>
  <w:style w:type="paragraph" w:styleId="FootnoteText">
    <w:name w:val="footnote text"/>
    <w:basedOn w:val="Normal"/>
    <w:link w:val="FootnoteTextChar"/>
    <w:uiPriority w:val="99"/>
    <w:semiHidden/>
    <w:unhideWhenUsed/>
    <w:rsid w:val="00DB67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67D4"/>
    <w:rPr>
      <w:sz w:val="20"/>
      <w:szCs w:val="20"/>
    </w:rPr>
  </w:style>
  <w:style w:type="character" w:styleId="FootnoteReference">
    <w:name w:val="footnote reference"/>
    <w:basedOn w:val="DefaultParagraphFont"/>
    <w:uiPriority w:val="99"/>
    <w:unhideWhenUsed/>
    <w:rsid w:val="00DB67D4"/>
    <w:rPr>
      <w:vertAlign w:val="superscript"/>
    </w:rPr>
  </w:style>
  <w:style w:type="character" w:customStyle="1" w:styleId="MBAttachment">
    <w:name w:val="MB Attachment"/>
    <w:uiPriority w:val="1"/>
    <w:qFormat/>
    <w:rsid w:val="008B5116"/>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04374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sqa.gov.au/standards/chapter-4/clauses-1.13-1.1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E98F0C999E41F2BC513FFDCDC68CDF"/>
        <w:category>
          <w:name w:val="General"/>
          <w:gallery w:val="placeholder"/>
        </w:category>
        <w:types>
          <w:type w:val="bbPlcHdr"/>
        </w:types>
        <w:behaviors>
          <w:behavior w:val="content"/>
        </w:behaviors>
        <w:guid w:val="{2FE3C054-E78A-448A-995E-0B0271802A79}"/>
      </w:docPartPr>
      <w:docPartBody>
        <w:p w:rsidR="009C5335" w:rsidRDefault="00296D18" w:rsidP="00296D18">
          <w:pPr>
            <w:pStyle w:val="23E98F0C999E41F2BC513FFDCDC68CDF"/>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2A"/>
    <w:rsid w:val="000C492A"/>
    <w:rsid w:val="00296D18"/>
    <w:rsid w:val="002B3D32"/>
    <w:rsid w:val="00516E9F"/>
    <w:rsid w:val="009C5335"/>
    <w:rsid w:val="00AA126D"/>
    <w:rsid w:val="00F43A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D18"/>
    <w:rPr>
      <w:color w:val="808080"/>
    </w:rPr>
  </w:style>
  <w:style w:type="paragraph" w:customStyle="1" w:styleId="A57011E7BB694AD9A0155DD12A21F780">
    <w:name w:val="A57011E7BB694AD9A0155DD12A21F780"/>
    <w:rsid w:val="00AA126D"/>
  </w:style>
  <w:style w:type="paragraph" w:customStyle="1" w:styleId="346EF21D93494385901F5E189CCAFC87">
    <w:name w:val="346EF21D93494385901F5E189CCAFC87"/>
    <w:rsid w:val="00AA126D"/>
  </w:style>
  <w:style w:type="paragraph" w:customStyle="1" w:styleId="23E98F0C999E41F2BC513FFDCDC68CDF">
    <w:name w:val="23E98F0C999E41F2BC513FFDCDC68CDF"/>
    <w:rsid w:val="00296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DET_Colours">
  <a:themeElements>
    <a:clrScheme name="Custom 1">
      <a:dk1>
        <a:sysClr val="windowText" lastClr="000000"/>
      </a:dk1>
      <a:lt1>
        <a:sysClr val="window" lastClr="FFFFFF"/>
      </a:lt1>
      <a:dk2>
        <a:srgbClr val="3C54A5"/>
      </a:dk2>
      <a:lt2>
        <a:srgbClr val="FFFFFF"/>
      </a:lt2>
      <a:accent1>
        <a:srgbClr val="E9A913"/>
      </a:accent1>
      <a:accent2>
        <a:srgbClr val="522761"/>
      </a:accent2>
      <a:accent3>
        <a:srgbClr val="3C54A5"/>
      </a:accent3>
      <a:accent4>
        <a:srgbClr val="545861"/>
      </a:accent4>
      <a:accent5>
        <a:srgbClr val="FFFFFF"/>
      </a:accent5>
      <a:accent6>
        <a:srgbClr val="FFFFFF"/>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84CAD-3204-46CE-BDE9-F72E3598B0C5}">
  <ds:schemaRefs>
    <ds:schemaRef ds:uri="http://schemas.microsoft.com/sharepoint/v3/contenttype/forms"/>
  </ds:schemaRefs>
</ds:datastoreItem>
</file>

<file path=customXml/itemProps2.xml><?xml version="1.0" encoding="utf-8"?>
<ds:datastoreItem xmlns:ds="http://schemas.openxmlformats.org/officeDocument/2006/customXml" ds:itemID="{7E4AC33F-EBDE-4E26-ABCB-8012F1330F5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B64C0B24-F609-4FC9-AD32-553E2D0CE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5174CD-0B9F-4883-AED4-D894502E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88BE28E2.dotm</Template>
  <TotalTime>0</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Transitions from education to work</vt:lpstr>
    </vt:vector>
  </TitlesOfParts>
  <Company>Australian Government</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Transitions from education to work</dc:title>
  <dc:creator>Danny Thomas</dc:creator>
  <cp:lastModifiedBy>MANNIE,Ryan</cp:lastModifiedBy>
  <cp:revision>2</cp:revision>
  <cp:lastPrinted>2019-09-12T03:29:00Z</cp:lastPrinted>
  <dcterms:created xsi:type="dcterms:W3CDTF">2019-09-12T23:00:00Z</dcterms:created>
  <dcterms:modified xsi:type="dcterms:W3CDTF">2019-09-12T23:00:00Z</dcterms:modified>
</cp:coreProperties>
</file>