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9.xml" ContentType="application/vnd.openxmlformats-officedocument.wordprocessingml.footer+xml"/>
  <Override PartName="/word/footer8.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A8CD9" w14:textId="77777777" w:rsidR="001A1903" w:rsidRDefault="008A3EED" w:rsidP="001A1903">
      <w:pPr>
        <w:pStyle w:val="Title"/>
        <w:rPr>
          <w:rStyle w:val="SecondTitle"/>
          <w:b w:val="0"/>
        </w:rPr>
      </w:pPr>
      <w:bookmarkStart w:id="0" w:name="_Toc6403655"/>
      <w:bookmarkStart w:id="1" w:name="_Toc6403656"/>
      <w:r>
        <w:rPr>
          <w:b w:val="0"/>
          <w:noProof/>
          <w:lang w:eastAsia="en-AU"/>
        </w:rPr>
        <w:drawing>
          <wp:anchor distT="0" distB="0" distL="114300" distR="114300" simplePos="0" relativeHeight="251707392" behindDoc="1" locked="0" layoutInCell="1" allowOverlap="1" wp14:anchorId="7B0B6EB3" wp14:editId="415A720C">
            <wp:simplePos x="0" y="0"/>
            <wp:positionH relativeFrom="page">
              <wp:align>right</wp:align>
            </wp:positionH>
            <wp:positionV relativeFrom="paragraph">
              <wp:posOffset>-901700</wp:posOffset>
            </wp:positionV>
            <wp:extent cx="7542000" cy="10663200"/>
            <wp:effectExtent l="0" t="0" r="1905"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19-0084 - HE - Regional Taskforce Final Report_Word Cover_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2000" cy="10663200"/>
                    </a:xfrm>
                    <a:prstGeom prst="rect">
                      <a:avLst/>
                    </a:prstGeom>
                  </pic:spPr>
                </pic:pic>
              </a:graphicData>
            </a:graphic>
            <wp14:sizeRelH relativeFrom="page">
              <wp14:pctWidth>0</wp14:pctWidth>
            </wp14:sizeRelH>
            <wp14:sizeRelV relativeFrom="page">
              <wp14:pctHeight>0</wp14:pctHeight>
            </wp14:sizeRelV>
          </wp:anchor>
        </w:drawing>
      </w:r>
      <w:r w:rsidR="008136A6" w:rsidRPr="00306207">
        <w:t xml:space="preserve">National Regional, </w:t>
      </w:r>
      <w:r w:rsidR="001A1903">
        <w:br/>
      </w:r>
      <w:r w:rsidR="008136A6" w:rsidRPr="00306207">
        <w:t xml:space="preserve">Rural and Remote </w:t>
      </w:r>
      <w:r w:rsidR="001A1903">
        <w:br/>
      </w:r>
      <w:r w:rsidR="008136A6" w:rsidRPr="001A1903">
        <w:rPr>
          <w:rStyle w:val="SecondTitle"/>
          <w:b w:val="0"/>
        </w:rPr>
        <w:t>Tertiary Education Strategy</w:t>
      </w:r>
    </w:p>
    <w:p w14:paraId="5B98CBDC" w14:textId="0612B0A7" w:rsidR="008F29BC" w:rsidRPr="00306207" w:rsidRDefault="001A1903" w:rsidP="001A1903">
      <w:pPr>
        <w:pStyle w:val="Subtitle"/>
      </w:pPr>
      <w:r>
        <w:t>Final Report</w:t>
      </w:r>
      <w:r w:rsidR="008136A6" w:rsidRPr="00306207">
        <w:t xml:space="preserve"> </w:t>
      </w:r>
    </w:p>
    <w:p w14:paraId="1B01F34C" w14:textId="77777777" w:rsidR="008F29BC" w:rsidRPr="001A1903" w:rsidRDefault="008F29BC">
      <w:pPr>
        <w:rPr>
          <w:rStyle w:val="SecondTitle"/>
        </w:rPr>
      </w:pPr>
      <w:r w:rsidRPr="00306207">
        <w:rPr>
          <w:b/>
        </w:rPr>
        <w:br w:type="page"/>
      </w:r>
    </w:p>
    <w:p w14:paraId="63ED3674" w14:textId="77777777" w:rsidR="00DE7B82" w:rsidRDefault="00DE7B82" w:rsidP="00F46487">
      <w:pPr>
        <w:autoSpaceDE w:val="0"/>
        <w:autoSpaceDN w:val="0"/>
        <w:adjustRightInd w:val="0"/>
        <w:spacing w:after="0" w:line="211" w:lineRule="atLeast"/>
        <w:rPr>
          <w:rFonts w:cstheme="minorHAnsi"/>
          <w:color w:val="000000"/>
        </w:rPr>
      </w:pPr>
    </w:p>
    <w:p w14:paraId="44B5A90B" w14:textId="77777777" w:rsidR="00DE7B82" w:rsidRDefault="00DE7B82" w:rsidP="00F46487">
      <w:pPr>
        <w:autoSpaceDE w:val="0"/>
        <w:autoSpaceDN w:val="0"/>
        <w:adjustRightInd w:val="0"/>
        <w:spacing w:after="0" w:line="211" w:lineRule="atLeast"/>
        <w:rPr>
          <w:rFonts w:cstheme="minorHAnsi"/>
          <w:color w:val="000000"/>
        </w:rPr>
      </w:pPr>
    </w:p>
    <w:p w14:paraId="2966D051" w14:textId="77777777" w:rsidR="00DE7B82" w:rsidRDefault="00DE7B82" w:rsidP="00F46487">
      <w:pPr>
        <w:autoSpaceDE w:val="0"/>
        <w:autoSpaceDN w:val="0"/>
        <w:adjustRightInd w:val="0"/>
        <w:spacing w:after="0" w:line="211" w:lineRule="atLeast"/>
        <w:rPr>
          <w:rFonts w:cstheme="minorHAnsi"/>
          <w:color w:val="000000"/>
        </w:rPr>
      </w:pPr>
    </w:p>
    <w:p w14:paraId="548A2457" w14:textId="77777777" w:rsidR="00DE7B82" w:rsidRDefault="00DE7B82" w:rsidP="00F46487">
      <w:pPr>
        <w:autoSpaceDE w:val="0"/>
        <w:autoSpaceDN w:val="0"/>
        <w:adjustRightInd w:val="0"/>
        <w:spacing w:after="0" w:line="211" w:lineRule="atLeast"/>
        <w:rPr>
          <w:rFonts w:cstheme="minorHAnsi"/>
          <w:color w:val="000000"/>
        </w:rPr>
      </w:pPr>
    </w:p>
    <w:p w14:paraId="0362D7DE" w14:textId="77777777" w:rsidR="00DE7B82" w:rsidRDefault="00DE7B82" w:rsidP="00F46487">
      <w:pPr>
        <w:autoSpaceDE w:val="0"/>
        <w:autoSpaceDN w:val="0"/>
        <w:adjustRightInd w:val="0"/>
        <w:spacing w:after="0" w:line="211" w:lineRule="atLeast"/>
        <w:rPr>
          <w:rFonts w:cstheme="minorHAnsi"/>
          <w:color w:val="000000"/>
        </w:rPr>
      </w:pPr>
    </w:p>
    <w:p w14:paraId="50C8A8B2" w14:textId="77777777" w:rsidR="00DE7B82" w:rsidRDefault="00DE7B82" w:rsidP="00F46487">
      <w:pPr>
        <w:autoSpaceDE w:val="0"/>
        <w:autoSpaceDN w:val="0"/>
        <w:adjustRightInd w:val="0"/>
        <w:spacing w:after="0" w:line="211" w:lineRule="atLeast"/>
        <w:rPr>
          <w:rFonts w:cstheme="minorHAnsi"/>
          <w:color w:val="000000"/>
        </w:rPr>
      </w:pPr>
    </w:p>
    <w:p w14:paraId="12966F04" w14:textId="77777777" w:rsidR="00DE7B82" w:rsidRDefault="00DE7B82" w:rsidP="00F46487">
      <w:pPr>
        <w:autoSpaceDE w:val="0"/>
        <w:autoSpaceDN w:val="0"/>
        <w:adjustRightInd w:val="0"/>
        <w:spacing w:after="0" w:line="211" w:lineRule="atLeast"/>
        <w:rPr>
          <w:rFonts w:cstheme="minorHAnsi"/>
          <w:color w:val="000000"/>
        </w:rPr>
      </w:pPr>
    </w:p>
    <w:p w14:paraId="4C8038B0" w14:textId="77777777" w:rsidR="00DE7B82" w:rsidRDefault="00DE7B82" w:rsidP="00F46487">
      <w:pPr>
        <w:autoSpaceDE w:val="0"/>
        <w:autoSpaceDN w:val="0"/>
        <w:adjustRightInd w:val="0"/>
        <w:spacing w:after="0" w:line="211" w:lineRule="atLeast"/>
        <w:rPr>
          <w:rFonts w:cstheme="minorHAnsi"/>
          <w:color w:val="000000"/>
        </w:rPr>
      </w:pPr>
    </w:p>
    <w:p w14:paraId="4E994980" w14:textId="77777777" w:rsidR="00DE7B82" w:rsidRDefault="00DE7B82" w:rsidP="00F46487">
      <w:pPr>
        <w:autoSpaceDE w:val="0"/>
        <w:autoSpaceDN w:val="0"/>
        <w:adjustRightInd w:val="0"/>
        <w:spacing w:after="0" w:line="211" w:lineRule="atLeast"/>
        <w:rPr>
          <w:rFonts w:cstheme="minorHAnsi"/>
          <w:color w:val="000000"/>
        </w:rPr>
      </w:pPr>
    </w:p>
    <w:p w14:paraId="3913FCCA" w14:textId="77777777" w:rsidR="00DE7B82" w:rsidRDefault="00DE7B82" w:rsidP="00F46487">
      <w:pPr>
        <w:autoSpaceDE w:val="0"/>
        <w:autoSpaceDN w:val="0"/>
        <w:adjustRightInd w:val="0"/>
        <w:spacing w:after="0" w:line="211" w:lineRule="atLeast"/>
        <w:rPr>
          <w:rFonts w:cstheme="minorHAnsi"/>
          <w:color w:val="000000"/>
        </w:rPr>
      </w:pPr>
    </w:p>
    <w:p w14:paraId="17983C29" w14:textId="77777777" w:rsidR="00DE7B82" w:rsidRDefault="00DE7B82" w:rsidP="00F46487">
      <w:pPr>
        <w:autoSpaceDE w:val="0"/>
        <w:autoSpaceDN w:val="0"/>
        <w:adjustRightInd w:val="0"/>
        <w:spacing w:after="0" w:line="211" w:lineRule="atLeast"/>
        <w:rPr>
          <w:rFonts w:cstheme="minorHAnsi"/>
          <w:color w:val="000000"/>
        </w:rPr>
      </w:pPr>
    </w:p>
    <w:p w14:paraId="47E14799" w14:textId="77777777" w:rsidR="00DE7B82" w:rsidRDefault="00DE7B82" w:rsidP="00F46487">
      <w:pPr>
        <w:autoSpaceDE w:val="0"/>
        <w:autoSpaceDN w:val="0"/>
        <w:adjustRightInd w:val="0"/>
        <w:spacing w:after="0" w:line="211" w:lineRule="atLeast"/>
        <w:rPr>
          <w:rFonts w:cstheme="minorHAnsi"/>
          <w:color w:val="000000"/>
        </w:rPr>
      </w:pPr>
    </w:p>
    <w:p w14:paraId="379A44A2" w14:textId="77777777" w:rsidR="00DE7B82" w:rsidRDefault="00DE7B82" w:rsidP="00F46487">
      <w:pPr>
        <w:autoSpaceDE w:val="0"/>
        <w:autoSpaceDN w:val="0"/>
        <w:adjustRightInd w:val="0"/>
        <w:spacing w:after="0" w:line="211" w:lineRule="atLeast"/>
        <w:rPr>
          <w:rFonts w:cstheme="minorHAnsi"/>
          <w:color w:val="000000"/>
        </w:rPr>
      </w:pPr>
    </w:p>
    <w:p w14:paraId="5E67A891" w14:textId="77777777" w:rsidR="00DE7B82" w:rsidRDefault="00DE7B82" w:rsidP="00F46487">
      <w:pPr>
        <w:autoSpaceDE w:val="0"/>
        <w:autoSpaceDN w:val="0"/>
        <w:adjustRightInd w:val="0"/>
        <w:spacing w:after="0" w:line="211" w:lineRule="atLeast"/>
        <w:rPr>
          <w:rFonts w:cstheme="minorHAnsi"/>
          <w:color w:val="000000"/>
        </w:rPr>
      </w:pPr>
    </w:p>
    <w:p w14:paraId="7DB80D12" w14:textId="77777777" w:rsidR="00DE7B82" w:rsidRDefault="00DE7B82" w:rsidP="00F46487">
      <w:pPr>
        <w:autoSpaceDE w:val="0"/>
        <w:autoSpaceDN w:val="0"/>
        <w:adjustRightInd w:val="0"/>
        <w:spacing w:after="0" w:line="211" w:lineRule="atLeast"/>
        <w:rPr>
          <w:rFonts w:cstheme="minorHAnsi"/>
          <w:color w:val="000000"/>
        </w:rPr>
      </w:pPr>
    </w:p>
    <w:p w14:paraId="6C7D0606" w14:textId="77777777" w:rsidR="00DE7B82" w:rsidRDefault="00DE7B82" w:rsidP="00F46487">
      <w:pPr>
        <w:autoSpaceDE w:val="0"/>
        <w:autoSpaceDN w:val="0"/>
        <w:adjustRightInd w:val="0"/>
        <w:spacing w:after="0" w:line="211" w:lineRule="atLeast"/>
        <w:rPr>
          <w:rFonts w:cstheme="minorHAnsi"/>
          <w:color w:val="000000"/>
        </w:rPr>
      </w:pPr>
    </w:p>
    <w:p w14:paraId="1672E64B" w14:textId="77777777" w:rsidR="00DE7B82" w:rsidRDefault="00DE7B82" w:rsidP="00F46487">
      <w:pPr>
        <w:autoSpaceDE w:val="0"/>
        <w:autoSpaceDN w:val="0"/>
        <w:adjustRightInd w:val="0"/>
        <w:spacing w:after="0" w:line="211" w:lineRule="atLeast"/>
        <w:rPr>
          <w:rFonts w:cstheme="minorHAnsi"/>
          <w:color w:val="000000"/>
        </w:rPr>
      </w:pPr>
    </w:p>
    <w:p w14:paraId="04DA9591" w14:textId="77777777" w:rsidR="00DE7B82" w:rsidRDefault="00DE7B82" w:rsidP="00F46487">
      <w:pPr>
        <w:autoSpaceDE w:val="0"/>
        <w:autoSpaceDN w:val="0"/>
        <w:adjustRightInd w:val="0"/>
        <w:spacing w:after="0" w:line="211" w:lineRule="atLeast"/>
        <w:rPr>
          <w:rFonts w:cstheme="minorHAnsi"/>
          <w:color w:val="000000"/>
        </w:rPr>
      </w:pPr>
    </w:p>
    <w:p w14:paraId="567E658E" w14:textId="77777777" w:rsidR="00DE7B82" w:rsidRDefault="00DE7B82" w:rsidP="00F46487">
      <w:pPr>
        <w:autoSpaceDE w:val="0"/>
        <w:autoSpaceDN w:val="0"/>
        <w:adjustRightInd w:val="0"/>
        <w:spacing w:after="0" w:line="211" w:lineRule="atLeast"/>
        <w:rPr>
          <w:rFonts w:cstheme="minorHAnsi"/>
          <w:color w:val="000000"/>
        </w:rPr>
      </w:pPr>
    </w:p>
    <w:p w14:paraId="7494C984" w14:textId="77777777" w:rsidR="00DE7B82" w:rsidRDefault="00DE7B82" w:rsidP="00F46487">
      <w:pPr>
        <w:autoSpaceDE w:val="0"/>
        <w:autoSpaceDN w:val="0"/>
        <w:adjustRightInd w:val="0"/>
        <w:spacing w:after="0" w:line="211" w:lineRule="atLeast"/>
        <w:rPr>
          <w:rFonts w:cstheme="minorHAnsi"/>
          <w:color w:val="000000"/>
        </w:rPr>
      </w:pPr>
    </w:p>
    <w:p w14:paraId="7FB6966E" w14:textId="77777777" w:rsidR="00DE7B82" w:rsidRDefault="00DE7B82" w:rsidP="00F46487">
      <w:pPr>
        <w:autoSpaceDE w:val="0"/>
        <w:autoSpaceDN w:val="0"/>
        <w:adjustRightInd w:val="0"/>
        <w:spacing w:after="0" w:line="211" w:lineRule="atLeast"/>
        <w:rPr>
          <w:rFonts w:cstheme="minorHAnsi"/>
          <w:color w:val="000000"/>
        </w:rPr>
      </w:pPr>
    </w:p>
    <w:p w14:paraId="73F74B86" w14:textId="77777777" w:rsidR="00DE7B82" w:rsidRDefault="00DE7B82" w:rsidP="00F46487">
      <w:pPr>
        <w:autoSpaceDE w:val="0"/>
        <w:autoSpaceDN w:val="0"/>
        <w:adjustRightInd w:val="0"/>
        <w:spacing w:after="0" w:line="211" w:lineRule="atLeast"/>
        <w:rPr>
          <w:rFonts w:cstheme="minorHAnsi"/>
          <w:color w:val="000000"/>
        </w:rPr>
      </w:pPr>
    </w:p>
    <w:p w14:paraId="4010B043" w14:textId="77777777" w:rsidR="00DE7B82" w:rsidRDefault="00DE7B82" w:rsidP="00F46487">
      <w:pPr>
        <w:autoSpaceDE w:val="0"/>
        <w:autoSpaceDN w:val="0"/>
        <w:adjustRightInd w:val="0"/>
        <w:spacing w:after="0" w:line="211" w:lineRule="atLeast"/>
        <w:rPr>
          <w:rFonts w:cstheme="minorHAnsi"/>
          <w:color w:val="000000"/>
        </w:rPr>
      </w:pPr>
    </w:p>
    <w:p w14:paraId="772FB0D8" w14:textId="77777777" w:rsidR="00DE7B82" w:rsidRDefault="00DE7B82" w:rsidP="00F46487">
      <w:pPr>
        <w:autoSpaceDE w:val="0"/>
        <w:autoSpaceDN w:val="0"/>
        <w:adjustRightInd w:val="0"/>
        <w:spacing w:after="0" w:line="211" w:lineRule="atLeast"/>
        <w:rPr>
          <w:rFonts w:cstheme="minorHAnsi"/>
          <w:color w:val="000000"/>
        </w:rPr>
      </w:pPr>
    </w:p>
    <w:p w14:paraId="3FD8EA1F" w14:textId="77777777" w:rsidR="00DE7B82" w:rsidRDefault="00DE7B82" w:rsidP="00F46487">
      <w:pPr>
        <w:autoSpaceDE w:val="0"/>
        <w:autoSpaceDN w:val="0"/>
        <w:adjustRightInd w:val="0"/>
        <w:spacing w:after="0" w:line="211" w:lineRule="atLeast"/>
        <w:rPr>
          <w:rFonts w:cstheme="minorHAnsi"/>
          <w:color w:val="000000"/>
        </w:rPr>
      </w:pPr>
    </w:p>
    <w:p w14:paraId="6A31E558" w14:textId="77777777" w:rsidR="00DE7B82" w:rsidRDefault="00DE7B82" w:rsidP="00F46487">
      <w:pPr>
        <w:autoSpaceDE w:val="0"/>
        <w:autoSpaceDN w:val="0"/>
        <w:adjustRightInd w:val="0"/>
        <w:spacing w:after="0" w:line="211" w:lineRule="atLeast"/>
        <w:rPr>
          <w:rFonts w:cstheme="minorHAnsi"/>
          <w:color w:val="000000"/>
        </w:rPr>
      </w:pPr>
    </w:p>
    <w:p w14:paraId="0560B259" w14:textId="77777777" w:rsidR="00DE7B82" w:rsidRDefault="00DE7B82" w:rsidP="00F46487">
      <w:pPr>
        <w:autoSpaceDE w:val="0"/>
        <w:autoSpaceDN w:val="0"/>
        <w:adjustRightInd w:val="0"/>
        <w:spacing w:after="0" w:line="211" w:lineRule="atLeast"/>
        <w:rPr>
          <w:rFonts w:cstheme="minorHAnsi"/>
          <w:color w:val="000000"/>
        </w:rPr>
      </w:pPr>
    </w:p>
    <w:p w14:paraId="37C9508E" w14:textId="77777777" w:rsidR="00DE7B82" w:rsidRDefault="00DE7B82" w:rsidP="00F46487">
      <w:pPr>
        <w:autoSpaceDE w:val="0"/>
        <w:autoSpaceDN w:val="0"/>
        <w:adjustRightInd w:val="0"/>
        <w:spacing w:after="0" w:line="211" w:lineRule="atLeast"/>
        <w:rPr>
          <w:rFonts w:cstheme="minorHAnsi"/>
          <w:color w:val="000000"/>
        </w:rPr>
      </w:pPr>
    </w:p>
    <w:p w14:paraId="348F2BD0" w14:textId="77777777" w:rsidR="00DE7B82" w:rsidRDefault="00DE7B82" w:rsidP="00F46487">
      <w:pPr>
        <w:autoSpaceDE w:val="0"/>
        <w:autoSpaceDN w:val="0"/>
        <w:adjustRightInd w:val="0"/>
        <w:spacing w:after="0" w:line="211" w:lineRule="atLeast"/>
        <w:rPr>
          <w:rFonts w:cstheme="minorHAnsi"/>
          <w:color w:val="000000"/>
        </w:rPr>
      </w:pPr>
    </w:p>
    <w:p w14:paraId="2CA493B2" w14:textId="77777777" w:rsidR="00DE7B82" w:rsidRDefault="00DE7B82" w:rsidP="00F46487">
      <w:pPr>
        <w:autoSpaceDE w:val="0"/>
        <w:autoSpaceDN w:val="0"/>
        <w:adjustRightInd w:val="0"/>
        <w:spacing w:after="0" w:line="211" w:lineRule="atLeast"/>
        <w:rPr>
          <w:rFonts w:cstheme="minorHAnsi"/>
          <w:color w:val="000000"/>
        </w:rPr>
      </w:pPr>
    </w:p>
    <w:p w14:paraId="147D2EAC" w14:textId="70EC19BE" w:rsidR="00F46487" w:rsidRPr="00F46487" w:rsidRDefault="00F46487" w:rsidP="00F46487">
      <w:pPr>
        <w:autoSpaceDE w:val="0"/>
        <w:autoSpaceDN w:val="0"/>
        <w:adjustRightInd w:val="0"/>
        <w:spacing w:after="0" w:line="211" w:lineRule="atLeast"/>
        <w:rPr>
          <w:rFonts w:cstheme="minorHAnsi"/>
          <w:color w:val="000000"/>
        </w:rPr>
      </w:pPr>
      <w:r w:rsidRPr="00F46487">
        <w:rPr>
          <w:rFonts w:cstheme="minorHAnsi"/>
          <w:color w:val="000000"/>
        </w:rPr>
        <w:t xml:space="preserve">ISBN 978-1-76051-733-5 [PDF] </w:t>
      </w:r>
    </w:p>
    <w:p w14:paraId="2EAA275A" w14:textId="6CDD1853" w:rsidR="00F46487" w:rsidRDefault="00F46487" w:rsidP="00F46487">
      <w:pPr>
        <w:autoSpaceDE w:val="0"/>
        <w:autoSpaceDN w:val="0"/>
        <w:adjustRightInd w:val="0"/>
        <w:spacing w:after="0" w:line="211" w:lineRule="atLeast"/>
        <w:rPr>
          <w:rFonts w:cstheme="minorHAnsi"/>
          <w:color w:val="000000"/>
        </w:rPr>
      </w:pPr>
      <w:r w:rsidRPr="00F46487">
        <w:rPr>
          <w:rFonts w:cstheme="minorHAnsi"/>
          <w:color w:val="000000"/>
        </w:rPr>
        <w:t xml:space="preserve">ISBN 978-1-76051-734-2 [DOCX] </w:t>
      </w:r>
    </w:p>
    <w:p w14:paraId="78FB24BE" w14:textId="1AD47862" w:rsidR="00DE7B82" w:rsidRDefault="00DE7B82" w:rsidP="00F46487">
      <w:pPr>
        <w:autoSpaceDE w:val="0"/>
        <w:autoSpaceDN w:val="0"/>
        <w:adjustRightInd w:val="0"/>
        <w:spacing w:after="0" w:line="211" w:lineRule="atLeast"/>
        <w:rPr>
          <w:rFonts w:cstheme="minorHAnsi"/>
          <w:color w:val="000000"/>
        </w:rPr>
      </w:pPr>
    </w:p>
    <w:p w14:paraId="641B1A8C" w14:textId="06FD2810" w:rsidR="00DE7B82" w:rsidRDefault="00DE7B82" w:rsidP="00F46487">
      <w:pPr>
        <w:autoSpaceDE w:val="0"/>
        <w:autoSpaceDN w:val="0"/>
        <w:adjustRightInd w:val="0"/>
        <w:spacing w:after="0" w:line="211" w:lineRule="atLeast"/>
        <w:rPr>
          <w:rFonts w:cstheme="minorHAnsi"/>
          <w:color w:val="000000"/>
        </w:rPr>
      </w:pPr>
      <w:r>
        <w:rPr>
          <w:rFonts w:ascii="Arial" w:hAnsi="Arial" w:cs="Arial"/>
          <w:i/>
          <w:iCs/>
          <w:noProof/>
          <w:sz w:val="15"/>
          <w:szCs w:val="15"/>
          <w:lang w:eastAsia="en-AU"/>
        </w:rPr>
        <w:drawing>
          <wp:inline distT="0" distB="0" distL="0" distR="0" wp14:anchorId="141F660D" wp14:editId="73C118BE">
            <wp:extent cx="919316" cy="323850"/>
            <wp:effectExtent l="0" t="0" r="0" b="0"/>
            <wp:docPr id="8" name="Picture 8"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censebuttons.net/l/by/3.0/88x31.pn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943484" cy="332364"/>
                    </a:xfrm>
                    <a:prstGeom prst="rect">
                      <a:avLst/>
                    </a:prstGeom>
                    <a:noFill/>
                    <a:ln>
                      <a:noFill/>
                    </a:ln>
                  </pic:spPr>
                </pic:pic>
              </a:graphicData>
            </a:graphic>
          </wp:inline>
        </w:drawing>
      </w:r>
    </w:p>
    <w:p w14:paraId="38F69141" w14:textId="77777777" w:rsidR="00DE7B82" w:rsidRPr="00F46487" w:rsidRDefault="00DE7B82" w:rsidP="00F46487">
      <w:pPr>
        <w:autoSpaceDE w:val="0"/>
        <w:autoSpaceDN w:val="0"/>
        <w:adjustRightInd w:val="0"/>
        <w:spacing w:after="0" w:line="211" w:lineRule="atLeast"/>
        <w:rPr>
          <w:rFonts w:cstheme="minorHAnsi"/>
          <w:color w:val="000000"/>
        </w:rPr>
      </w:pPr>
    </w:p>
    <w:p w14:paraId="50B4868E" w14:textId="77777777" w:rsidR="00F46487" w:rsidRPr="00F46487" w:rsidRDefault="00F46487" w:rsidP="00F46487">
      <w:pPr>
        <w:autoSpaceDE w:val="0"/>
        <w:autoSpaceDN w:val="0"/>
        <w:adjustRightInd w:val="0"/>
        <w:spacing w:line="211" w:lineRule="atLeast"/>
        <w:rPr>
          <w:rFonts w:cstheme="minorHAnsi"/>
          <w:color w:val="000000"/>
        </w:rPr>
      </w:pPr>
      <w:r w:rsidRPr="00F46487">
        <w:rPr>
          <w:rFonts w:cstheme="minorHAnsi"/>
          <w:color w:val="000000"/>
        </w:rPr>
        <w:t xml:space="preserve">© Commonwealth of Australia 2019 </w:t>
      </w:r>
    </w:p>
    <w:p w14:paraId="389ACDC7" w14:textId="3CE7506B" w:rsidR="00F46487" w:rsidRDefault="00F46487" w:rsidP="00F46487">
      <w:pPr>
        <w:autoSpaceDE w:val="0"/>
        <w:autoSpaceDN w:val="0"/>
        <w:adjustRightInd w:val="0"/>
        <w:spacing w:after="40" w:line="211" w:lineRule="atLeast"/>
        <w:rPr>
          <w:rFonts w:cstheme="minorHAnsi"/>
          <w:color w:val="000000"/>
        </w:rPr>
      </w:pPr>
      <w:r w:rsidRPr="00F46487">
        <w:rPr>
          <w:rFonts w:cstheme="minorHAnsi"/>
          <w:color w:val="000000"/>
        </w:rPr>
        <w:t xml:space="preserve">The material in this report is licensed under a Creative Commons Attribution— 4.0 International licence, with the exception of: </w:t>
      </w:r>
    </w:p>
    <w:p w14:paraId="1104F124" w14:textId="0D478048" w:rsidR="00DE7B82" w:rsidRDefault="00DE7B82" w:rsidP="00041655">
      <w:pPr>
        <w:pStyle w:val="ListParagraph"/>
        <w:numPr>
          <w:ilvl w:val="0"/>
          <w:numId w:val="18"/>
        </w:numPr>
        <w:autoSpaceDE w:val="0"/>
        <w:autoSpaceDN w:val="0"/>
        <w:adjustRightInd w:val="0"/>
        <w:spacing w:after="40" w:line="211" w:lineRule="atLeast"/>
        <w:rPr>
          <w:rFonts w:cstheme="minorHAnsi"/>
          <w:color w:val="000000"/>
        </w:rPr>
      </w:pPr>
      <w:r>
        <w:rPr>
          <w:rFonts w:cstheme="minorHAnsi"/>
          <w:color w:val="000000"/>
        </w:rPr>
        <w:t>any third party material</w:t>
      </w:r>
    </w:p>
    <w:p w14:paraId="7BCAC8DC" w14:textId="22770A90" w:rsidR="00F46487" w:rsidRDefault="00F46487" w:rsidP="00041655">
      <w:pPr>
        <w:pStyle w:val="ListParagraph"/>
        <w:numPr>
          <w:ilvl w:val="0"/>
          <w:numId w:val="18"/>
        </w:numPr>
        <w:autoSpaceDE w:val="0"/>
        <w:autoSpaceDN w:val="0"/>
        <w:adjustRightInd w:val="0"/>
        <w:spacing w:after="40" w:line="211" w:lineRule="atLeast"/>
        <w:rPr>
          <w:rFonts w:cstheme="minorHAnsi"/>
          <w:color w:val="000000"/>
        </w:rPr>
      </w:pPr>
      <w:r w:rsidRPr="00DE7B82">
        <w:rPr>
          <w:rFonts w:cstheme="minorHAnsi"/>
          <w:color w:val="000000"/>
        </w:rPr>
        <w:t xml:space="preserve">any material protected by a trademark, and </w:t>
      </w:r>
    </w:p>
    <w:p w14:paraId="2D888C45" w14:textId="3F77E2ED" w:rsidR="00F46487" w:rsidRPr="00DE7B82" w:rsidRDefault="00F46487" w:rsidP="00041655">
      <w:pPr>
        <w:pStyle w:val="ListParagraph"/>
        <w:numPr>
          <w:ilvl w:val="0"/>
          <w:numId w:val="18"/>
        </w:numPr>
        <w:autoSpaceDE w:val="0"/>
        <w:autoSpaceDN w:val="0"/>
        <w:adjustRightInd w:val="0"/>
        <w:spacing w:after="40" w:line="211" w:lineRule="atLeast"/>
        <w:rPr>
          <w:rFonts w:cstheme="minorHAnsi"/>
          <w:color w:val="000000"/>
        </w:rPr>
      </w:pPr>
      <w:r w:rsidRPr="00DE7B82">
        <w:rPr>
          <w:rFonts w:cstheme="minorHAnsi"/>
          <w:color w:val="000000"/>
        </w:rPr>
        <w:t xml:space="preserve">any images and/or photographs. </w:t>
      </w:r>
    </w:p>
    <w:p w14:paraId="6A79FFB7" w14:textId="77777777" w:rsidR="00F46487" w:rsidRPr="00F46487" w:rsidRDefault="00F46487" w:rsidP="00F46487">
      <w:pPr>
        <w:autoSpaceDE w:val="0"/>
        <w:autoSpaceDN w:val="0"/>
        <w:adjustRightInd w:val="0"/>
        <w:spacing w:after="0" w:line="240" w:lineRule="auto"/>
        <w:rPr>
          <w:rFonts w:cstheme="minorHAnsi"/>
          <w:color w:val="000000"/>
        </w:rPr>
      </w:pPr>
    </w:p>
    <w:p w14:paraId="655408B6" w14:textId="00ECA732" w:rsidR="00F46487" w:rsidRPr="00F46487" w:rsidRDefault="00F46487" w:rsidP="00F46487">
      <w:pPr>
        <w:autoSpaceDE w:val="0"/>
        <w:autoSpaceDN w:val="0"/>
        <w:adjustRightInd w:val="0"/>
        <w:spacing w:after="340" w:line="211" w:lineRule="atLeast"/>
        <w:rPr>
          <w:rFonts w:cstheme="minorHAnsi"/>
          <w:color w:val="000000"/>
        </w:rPr>
      </w:pPr>
      <w:r w:rsidRPr="00F46487">
        <w:rPr>
          <w:rFonts w:cstheme="minorHAnsi"/>
          <w:color w:val="000000"/>
        </w:rPr>
        <w:t xml:space="preserve">More information on this CC BY license is set out at the </w:t>
      </w:r>
      <w:hyperlink r:id="rId11" w:history="1">
        <w:r w:rsidRPr="00687653">
          <w:rPr>
            <w:rStyle w:val="Hyperlink"/>
            <w:rFonts w:cstheme="minorHAnsi"/>
            <w:color w:val="auto"/>
          </w:rPr>
          <w:t>Creative Commons Website</w:t>
        </w:r>
      </w:hyperlink>
      <w:r w:rsidR="00DE7B82" w:rsidRPr="00687653">
        <w:rPr>
          <w:rFonts w:cstheme="minorHAnsi"/>
        </w:rPr>
        <w:t xml:space="preserve"> </w:t>
      </w:r>
      <w:r w:rsidR="00DE7B82">
        <w:rPr>
          <w:rFonts w:cstheme="minorHAnsi"/>
          <w:color w:val="000000"/>
        </w:rPr>
        <w:t>(</w:t>
      </w:r>
      <w:r w:rsidR="00DE7B82" w:rsidRPr="00DE7B82">
        <w:rPr>
          <w:rFonts w:cstheme="minorHAnsi"/>
          <w:color w:val="000000"/>
        </w:rPr>
        <w:t>https://creativecommons.org/</w:t>
      </w:r>
      <w:r w:rsidR="00DE7B82">
        <w:rPr>
          <w:rFonts w:cstheme="minorHAnsi"/>
          <w:color w:val="000000"/>
        </w:rPr>
        <w:t>)</w:t>
      </w:r>
      <w:r w:rsidRPr="00F46487">
        <w:rPr>
          <w:rFonts w:cstheme="minorHAnsi"/>
          <w:color w:val="000000"/>
        </w:rPr>
        <w:t>. Enquiries</w:t>
      </w:r>
      <w:r w:rsidR="00DE7B82">
        <w:rPr>
          <w:rFonts w:cstheme="minorHAnsi"/>
          <w:color w:val="000000"/>
        </w:rPr>
        <w:t xml:space="preserve"> </w:t>
      </w:r>
      <w:r w:rsidRPr="00F46487">
        <w:rPr>
          <w:rFonts w:cstheme="minorHAnsi"/>
          <w:color w:val="000000"/>
        </w:rPr>
        <w:t xml:space="preserve">about this license and any use of this report can be sent to: Copyright Team, C50MA10, Department of Education GPO Box 9880, Canberra, ACT, 2601 or via email to: </w:t>
      </w:r>
      <w:hyperlink r:id="rId12" w:history="1">
        <w:r w:rsidR="00DE7B82" w:rsidRPr="00687653">
          <w:rPr>
            <w:rStyle w:val="Hyperlink"/>
            <w:rFonts w:cstheme="minorHAnsi"/>
            <w:color w:val="auto"/>
          </w:rPr>
          <w:t>copyright@education.gov.au</w:t>
        </w:r>
      </w:hyperlink>
      <w:r w:rsidR="00DE7B82" w:rsidRPr="00687653">
        <w:rPr>
          <w:rFonts w:cstheme="minorHAnsi"/>
          <w:u w:val="single"/>
        </w:rPr>
        <w:t>.</w:t>
      </w:r>
      <w:r w:rsidRPr="00687653">
        <w:rPr>
          <w:rFonts w:cstheme="minorHAnsi"/>
          <w:u w:val="single"/>
        </w:rPr>
        <w:t xml:space="preserve"> </w:t>
      </w:r>
    </w:p>
    <w:p w14:paraId="63DF2A46" w14:textId="77777777" w:rsidR="00F46487" w:rsidRPr="00F46487" w:rsidRDefault="00F46487" w:rsidP="00F46487">
      <w:pPr>
        <w:autoSpaceDE w:val="0"/>
        <w:autoSpaceDN w:val="0"/>
        <w:adjustRightInd w:val="0"/>
        <w:spacing w:line="211" w:lineRule="atLeast"/>
        <w:rPr>
          <w:rFonts w:cstheme="minorHAnsi"/>
          <w:color w:val="000000"/>
        </w:rPr>
      </w:pPr>
      <w:r w:rsidRPr="00F46487">
        <w:rPr>
          <w:rFonts w:cstheme="minorHAnsi"/>
          <w:color w:val="000000"/>
        </w:rPr>
        <w:t xml:space="preserve">Use of all or part of this report must include the following attribution: </w:t>
      </w:r>
    </w:p>
    <w:p w14:paraId="2E120650" w14:textId="77777777" w:rsidR="00DD4908" w:rsidRDefault="00F46487" w:rsidP="00F46487">
      <w:pPr>
        <w:rPr>
          <w:rFonts w:ascii="HelveticaNeue LT 45 Light" w:hAnsi="HelveticaNeue LT 45 Light" w:cs="HelveticaNeue LT 45 Light"/>
          <w:color w:val="000000"/>
          <w:sz w:val="19"/>
          <w:szCs w:val="19"/>
        </w:rPr>
        <w:sectPr w:rsidR="00DD4908" w:rsidSect="001A1903">
          <w:footerReference w:type="default" r:id="rId13"/>
          <w:footerReference w:type="first" r:id="rId14"/>
          <w:pgSz w:w="11906" w:h="16838"/>
          <w:pgMar w:top="1440" w:right="851" w:bottom="1440" w:left="851" w:header="709" w:footer="709" w:gutter="0"/>
          <w:cols w:space="708"/>
          <w:titlePg/>
          <w:docGrid w:linePitch="360"/>
        </w:sectPr>
      </w:pPr>
      <w:r w:rsidRPr="00F46487">
        <w:rPr>
          <w:rFonts w:cstheme="minorHAnsi"/>
          <w:color w:val="000000"/>
        </w:rPr>
        <w:t>© Commonwealth of Australia 2019, National Regional, Rural and Remote Tertiary Education Strategy</w:t>
      </w:r>
      <w:r w:rsidR="00DE7B82">
        <w:rPr>
          <w:rFonts w:cstheme="minorHAnsi"/>
          <w:color w:val="000000"/>
        </w:rPr>
        <w:t>.</w:t>
      </w:r>
      <w:r w:rsidRPr="00F46487">
        <w:rPr>
          <w:rFonts w:ascii="HelveticaNeue LT 45 Light" w:hAnsi="HelveticaNeue LT 45 Light" w:cs="HelveticaNeue LT 45 Light"/>
          <w:color w:val="000000"/>
          <w:sz w:val="19"/>
          <w:szCs w:val="19"/>
        </w:rPr>
        <w:t xml:space="preserve"> </w:t>
      </w:r>
    </w:p>
    <w:p w14:paraId="1C477DC7" w14:textId="732610F2" w:rsidR="008F29BC" w:rsidRPr="00A368CF" w:rsidRDefault="008F29BC" w:rsidP="00A368CF">
      <w:pPr>
        <w:pStyle w:val="Heading1"/>
      </w:pPr>
      <w:bookmarkStart w:id="2" w:name="_Toc13224780"/>
      <w:r w:rsidRPr="00A368CF">
        <w:lastRenderedPageBreak/>
        <w:t>Foreword</w:t>
      </w:r>
      <w:bookmarkEnd w:id="2"/>
      <w:r w:rsidRPr="00A368CF">
        <w:t xml:space="preserve"> </w:t>
      </w:r>
    </w:p>
    <w:p w14:paraId="1A8471EB" w14:textId="77777777" w:rsidR="00970C85" w:rsidRPr="00970C85" w:rsidRDefault="00970C85" w:rsidP="00970C85">
      <w:r w:rsidRPr="00970C85">
        <w:t xml:space="preserve">The Regional Education Expert Advisory Group (the Advisory Group) is pleased to present the National Regional, Rural and Remote Tertiary Education Strategy (the Strategy). For the purposes of this Strategy, tertiary education is defined as both higher education and vocational education and training (VET), focusing on post-secondary education qualifications. </w:t>
      </w:r>
    </w:p>
    <w:p w14:paraId="6612FE70" w14:textId="77777777" w:rsidR="00970C85" w:rsidRPr="00970C85" w:rsidRDefault="00970C85" w:rsidP="00970C85">
      <w:r w:rsidRPr="00970C85">
        <w:t xml:space="preserve">At its heart, this Strategy is about equal opportunity and educational equity. </w:t>
      </w:r>
    </w:p>
    <w:p w14:paraId="01B80621" w14:textId="77777777" w:rsidR="00970C85" w:rsidRPr="00970C85" w:rsidRDefault="00970C85" w:rsidP="00970C85">
      <w:r w:rsidRPr="00970C85">
        <w:t xml:space="preserve">As laid out in the Terms of Reference, this Strategy is focused on improving the participation and outcomes of regional, rural and remote (RRR) students in post-secondary education. </w:t>
      </w:r>
    </w:p>
    <w:p w14:paraId="0BCFC1A2" w14:textId="77777777" w:rsidR="00970C85" w:rsidRPr="00970C85" w:rsidRDefault="00970C85" w:rsidP="00970C85">
      <w:r w:rsidRPr="00970C85">
        <w:t xml:space="preserve">The Strategy is the culmination of a detailed literature review, public submissions and responses to a series of issues papers, face-to-face consultations around Australia, and analysis of available data and evidence. </w:t>
      </w:r>
    </w:p>
    <w:p w14:paraId="3C442CAF" w14:textId="77777777" w:rsidR="00970C85" w:rsidRPr="00970C85" w:rsidRDefault="00970C85" w:rsidP="00970C85">
      <w:r w:rsidRPr="00970C85">
        <w:t xml:space="preserve">The Advisory Group would like to thank everyone who took the time to meet with the group, make a submission and respond to the issues papers. </w:t>
      </w:r>
    </w:p>
    <w:p w14:paraId="1E731553" w14:textId="77777777" w:rsidR="00970C85" w:rsidRPr="00970C85" w:rsidRDefault="00970C85" w:rsidP="00970C85">
      <w:r w:rsidRPr="00970C85">
        <w:t xml:space="preserve">The Advisory Group would also like to express our sincere appreciation for all the hard work and support of the taskforce team in the Department of Education. </w:t>
      </w:r>
    </w:p>
    <w:p w14:paraId="4005E0F4" w14:textId="77777777" w:rsidR="00970C85" w:rsidRPr="00970C85" w:rsidRDefault="00970C85" w:rsidP="00970C85">
      <w:r w:rsidRPr="00970C85">
        <w:t xml:space="preserve">The Strategy sets out a vision, objectives and targets and includes a number of recommendations with associated actions. These correspond to the key issues impacting RRR students’ participation and outcomes in tertiary education: </w:t>
      </w:r>
    </w:p>
    <w:p w14:paraId="3C93B547" w14:textId="77777777" w:rsidR="00970C85" w:rsidRPr="00970C85" w:rsidRDefault="00970C85" w:rsidP="00041655">
      <w:pPr>
        <w:pStyle w:val="ListParagraph"/>
        <w:numPr>
          <w:ilvl w:val="0"/>
          <w:numId w:val="18"/>
        </w:numPr>
        <w:autoSpaceDE w:val="0"/>
        <w:autoSpaceDN w:val="0"/>
        <w:adjustRightInd w:val="0"/>
        <w:spacing w:after="40" w:line="211" w:lineRule="atLeast"/>
        <w:rPr>
          <w:rFonts w:cstheme="minorHAnsi"/>
          <w:color w:val="000000"/>
        </w:rPr>
      </w:pPr>
      <w:r w:rsidRPr="00970C85">
        <w:rPr>
          <w:rFonts w:cstheme="minorHAnsi"/>
          <w:color w:val="000000"/>
        </w:rPr>
        <w:t xml:space="preserve">there are fewer options available for tertiary education in RRR communities </w:t>
      </w:r>
    </w:p>
    <w:p w14:paraId="099E26F5" w14:textId="77777777" w:rsidR="00970C85" w:rsidRPr="00970C85" w:rsidRDefault="00970C85" w:rsidP="00041655">
      <w:pPr>
        <w:pStyle w:val="ListParagraph"/>
        <w:numPr>
          <w:ilvl w:val="0"/>
          <w:numId w:val="18"/>
        </w:numPr>
        <w:autoSpaceDE w:val="0"/>
        <w:autoSpaceDN w:val="0"/>
        <w:adjustRightInd w:val="0"/>
        <w:spacing w:after="40" w:line="211" w:lineRule="atLeast"/>
        <w:rPr>
          <w:rFonts w:cstheme="minorHAnsi"/>
          <w:color w:val="000000"/>
        </w:rPr>
      </w:pPr>
      <w:r w:rsidRPr="00970C85">
        <w:rPr>
          <w:rFonts w:cstheme="minorHAnsi"/>
          <w:color w:val="000000"/>
        </w:rPr>
        <w:t xml:space="preserve">individuals from RRR areas often face additional financial costs and social dislocation associated with the need to relocate for their studies </w:t>
      </w:r>
    </w:p>
    <w:p w14:paraId="13494765" w14:textId="77777777" w:rsidR="00970C85" w:rsidRPr="00970C85" w:rsidRDefault="00970C85" w:rsidP="00041655">
      <w:pPr>
        <w:pStyle w:val="ListParagraph"/>
        <w:numPr>
          <w:ilvl w:val="0"/>
          <w:numId w:val="18"/>
        </w:numPr>
        <w:autoSpaceDE w:val="0"/>
        <w:autoSpaceDN w:val="0"/>
        <w:adjustRightInd w:val="0"/>
        <w:spacing w:after="40" w:line="211" w:lineRule="atLeast"/>
        <w:rPr>
          <w:rFonts w:cstheme="minorHAnsi"/>
          <w:color w:val="000000"/>
        </w:rPr>
      </w:pPr>
      <w:r w:rsidRPr="00970C85">
        <w:rPr>
          <w:rFonts w:cstheme="minorHAnsi"/>
          <w:color w:val="000000"/>
        </w:rPr>
        <w:t xml:space="preserve">as a result of the greater academic, geographic, social and financial challenges they experience, RRR students are much less likely to undertake and complete tertiary study. </w:t>
      </w:r>
    </w:p>
    <w:p w14:paraId="4C8604B1" w14:textId="77777777" w:rsidR="00970C85" w:rsidRPr="00970C85" w:rsidRDefault="00970C85" w:rsidP="00970C85">
      <w:pPr>
        <w:spacing w:before="240"/>
      </w:pPr>
      <w:r w:rsidRPr="00970C85">
        <w:t xml:space="preserve">We firmly believe that all Australians deserve fair and equal access to high quality tertiary education, regardless of location or personal circumstances. </w:t>
      </w:r>
    </w:p>
    <w:p w14:paraId="4C6EC65A" w14:textId="77777777" w:rsidR="00970C85" w:rsidRPr="00970C85" w:rsidRDefault="00970C85" w:rsidP="00970C85">
      <w:r w:rsidRPr="00970C85">
        <w:t xml:space="preserve">In addition, addressing the disparity in educational outcomes that currently exists for RRR students is vital to increasing the future fairness and prosperity of our nation, as we all benefit when citizens have the encouragement, support and opportunity to achieve their best. Increasing tertiary education access and outcomes for RRR students will directly benefit the economic and social development of RRR communities as students from RRR areas are much more likely to remain in, or return and work in these areas. </w:t>
      </w:r>
    </w:p>
    <w:p w14:paraId="50BC528C" w14:textId="2045B276" w:rsidR="00970C85" w:rsidRDefault="00970C85" w:rsidP="00970C85">
      <w:r w:rsidRPr="00970C85">
        <w:t xml:space="preserve">This Strategy, with its associated recommendations and actions, will strengthen and build the skills of individuals and communities and contribute to Australia’s broader economic and social capacity. </w:t>
      </w:r>
    </w:p>
    <w:p w14:paraId="2CDC0F44" w14:textId="77777777" w:rsidR="00970C85" w:rsidRPr="00970C85" w:rsidRDefault="00970C85" w:rsidP="00970C85"/>
    <w:p w14:paraId="63B79541" w14:textId="77777777" w:rsidR="00970C85" w:rsidRPr="00970C85" w:rsidRDefault="00970C85" w:rsidP="00970C85">
      <w:pPr>
        <w:rPr>
          <w:b/>
        </w:rPr>
      </w:pPr>
      <w:r w:rsidRPr="00970C85">
        <w:rPr>
          <w:b/>
        </w:rPr>
        <w:t xml:space="preserve">Regional Education Expert Advisory Group </w:t>
      </w:r>
    </w:p>
    <w:p w14:paraId="02E8E963" w14:textId="77777777" w:rsidR="00970C85" w:rsidRDefault="00970C85" w:rsidP="00970C85">
      <w:pPr>
        <w:spacing w:after="0"/>
      </w:pPr>
      <w:r w:rsidRPr="00970C85">
        <w:t xml:space="preserve">The Hon Dr Denis Napthine </w:t>
      </w:r>
    </w:p>
    <w:p w14:paraId="4E45A614" w14:textId="77777777" w:rsidR="00970C85" w:rsidRDefault="00970C85" w:rsidP="00970C85">
      <w:pPr>
        <w:spacing w:after="0"/>
      </w:pPr>
      <w:r w:rsidRPr="00970C85">
        <w:t xml:space="preserve">Ms Caroline Graham </w:t>
      </w:r>
    </w:p>
    <w:p w14:paraId="120A3B12" w14:textId="77777777" w:rsidR="00970C85" w:rsidRDefault="00970C85" w:rsidP="00970C85">
      <w:pPr>
        <w:spacing w:after="0"/>
      </w:pPr>
      <w:r w:rsidRPr="00970C85">
        <w:t xml:space="preserve">Emeritus Professor Peter Lee </w:t>
      </w:r>
    </w:p>
    <w:p w14:paraId="078F52D0" w14:textId="1093D2CA" w:rsidR="008F29BC" w:rsidRPr="00306207" w:rsidRDefault="00970C85" w:rsidP="00970C85">
      <w:pPr>
        <w:spacing w:after="0"/>
        <w:rPr>
          <w:color w:val="ACB4C3" w:themeColor="accent2" w:themeShade="BF"/>
        </w:rPr>
      </w:pPr>
      <w:r w:rsidRPr="00970C85">
        <w:t>Ms Meredith Wills</w:t>
      </w:r>
      <w:r w:rsidR="008F29BC" w:rsidRPr="00306207">
        <w:rPr>
          <w:color w:val="ACB4C3" w:themeColor="accent2" w:themeShade="BF"/>
        </w:rPr>
        <w:br w:type="page"/>
      </w:r>
    </w:p>
    <w:p w14:paraId="6C93A075" w14:textId="0957B7D1" w:rsidR="008F29BC" w:rsidRPr="00306207" w:rsidRDefault="00046E33" w:rsidP="00A368CF">
      <w:pPr>
        <w:pStyle w:val="Heading1"/>
      </w:pPr>
      <w:bookmarkStart w:id="3" w:name="_Toc13224781"/>
      <w:r w:rsidRPr="00306207">
        <w:lastRenderedPageBreak/>
        <w:t>Table of contents</w:t>
      </w:r>
      <w:bookmarkEnd w:id="3"/>
    </w:p>
    <w:bookmarkStart w:id="4" w:name="_Toc6403652"/>
    <w:p w14:paraId="7351CE88" w14:textId="1D2B882A" w:rsidR="00F74C6A" w:rsidRPr="00F74C6A" w:rsidRDefault="00F74C6A">
      <w:pPr>
        <w:pStyle w:val="TOC1"/>
        <w:rPr>
          <w:rFonts w:eastAsiaTheme="minorEastAsia" w:cstheme="minorBidi"/>
          <w:noProof/>
          <w:sz w:val="22"/>
          <w:szCs w:val="22"/>
          <w:lang w:eastAsia="en-AU"/>
        </w:rPr>
      </w:pPr>
      <w:r w:rsidRPr="00F74C6A">
        <w:rPr>
          <w:rFonts w:cstheme="majorHAnsi"/>
          <w:sz w:val="24"/>
          <w:szCs w:val="24"/>
        </w:rPr>
        <w:fldChar w:fldCharType="begin"/>
      </w:r>
      <w:r w:rsidRPr="00F74C6A">
        <w:rPr>
          <w:rFonts w:cstheme="majorHAnsi"/>
          <w:sz w:val="24"/>
          <w:szCs w:val="24"/>
        </w:rPr>
        <w:instrText xml:space="preserve"> TOC \o "1-2" \u </w:instrText>
      </w:r>
      <w:r w:rsidRPr="00F74C6A">
        <w:rPr>
          <w:rFonts w:cstheme="majorHAnsi"/>
          <w:sz w:val="24"/>
          <w:szCs w:val="24"/>
        </w:rPr>
        <w:fldChar w:fldCharType="separate"/>
      </w:r>
      <w:r w:rsidRPr="00F74C6A">
        <w:rPr>
          <w:noProof/>
        </w:rPr>
        <w:t>Foreword</w:t>
      </w:r>
      <w:r>
        <w:rPr>
          <w:noProof/>
        </w:rPr>
        <w:tab/>
      </w:r>
      <w:r w:rsidRPr="00F74C6A">
        <w:rPr>
          <w:b w:val="0"/>
          <w:bCs w:val="0"/>
          <w:caps w:val="0"/>
          <w:noProof/>
        </w:rPr>
        <w:fldChar w:fldCharType="begin"/>
      </w:r>
      <w:r w:rsidRPr="00F74C6A">
        <w:rPr>
          <w:noProof/>
        </w:rPr>
        <w:instrText xml:space="preserve"> PAGEREF _Toc13224780 \h </w:instrText>
      </w:r>
      <w:r w:rsidRPr="00F74C6A">
        <w:rPr>
          <w:b w:val="0"/>
          <w:bCs w:val="0"/>
          <w:caps w:val="0"/>
          <w:noProof/>
        </w:rPr>
      </w:r>
      <w:r w:rsidRPr="00F74C6A">
        <w:rPr>
          <w:b w:val="0"/>
          <w:bCs w:val="0"/>
          <w:caps w:val="0"/>
          <w:noProof/>
        </w:rPr>
        <w:fldChar w:fldCharType="separate"/>
      </w:r>
      <w:r w:rsidR="00564400">
        <w:rPr>
          <w:noProof/>
        </w:rPr>
        <w:t>1</w:t>
      </w:r>
      <w:r w:rsidRPr="00F74C6A">
        <w:rPr>
          <w:b w:val="0"/>
          <w:bCs w:val="0"/>
          <w:caps w:val="0"/>
          <w:noProof/>
        </w:rPr>
        <w:fldChar w:fldCharType="end"/>
      </w:r>
    </w:p>
    <w:p w14:paraId="246D19CA" w14:textId="2A136D7B" w:rsidR="00F74C6A" w:rsidRPr="00F74C6A" w:rsidRDefault="00F74C6A">
      <w:pPr>
        <w:pStyle w:val="TOC1"/>
        <w:rPr>
          <w:rFonts w:eastAsiaTheme="minorEastAsia" w:cstheme="minorBidi"/>
          <w:noProof/>
          <w:sz w:val="22"/>
          <w:szCs w:val="22"/>
          <w:lang w:eastAsia="en-AU"/>
        </w:rPr>
      </w:pPr>
      <w:r w:rsidRPr="00F74C6A">
        <w:rPr>
          <w:noProof/>
        </w:rPr>
        <w:t>List of tables and figures</w:t>
      </w:r>
      <w:r w:rsidRPr="00F74C6A">
        <w:rPr>
          <w:noProof/>
        </w:rPr>
        <w:tab/>
      </w:r>
      <w:r w:rsidRPr="00F74C6A">
        <w:rPr>
          <w:noProof/>
        </w:rPr>
        <w:fldChar w:fldCharType="begin"/>
      </w:r>
      <w:r w:rsidRPr="00F74C6A">
        <w:rPr>
          <w:noProof/>
        </w:rPr>
        <w:instrText xml:space="preserve"> PAGEREF _Toc13224782 \h </w:instrText>
      </w:r>
      <w:r w:rsidRPr="00F74C6A">
        <w:rPr>
          <w:noProof/>
        </w:rPr>
      </w:r>
      <w:r w:rsidRPr="00F74C6A">
        <w:rPr>
          <w:noProof/>
        </w:rPr>
        <w:fldChar w:fldCharType="separate"/>
      </w:r>
      <w:r w:rsidR="00564400">
        <w:rPr>
          <w:noProof/>
        </w:rPr>
        <w:t>3</w:t>
      </w:r>
      <w:r w:rsidRPr="00F74C6A">
        <w:rPr>
          <w:noProof/>
        </w:rPr>
        <w:fldChar w:fldCharType="end"/>
      </w:r>
    </w:p>
    <w:p w14:paraId="088320E5" w14:textId="465BC054" w:rsidR="00F74C6A" w:rsidRPr="00F74C6A" w:rsidRDefault="00F74C6A">
      <w:pPr>
        <w:pStyle w:val="TOC1"/>
        <w:rPr>
          <w:rFonts w:eastAsiaTheme="minorEastAsia" w:cstheme="minorBidi"/>
          <w:noProof/>
          <w:sz w:val="22"/>
          <w:szCs w:val="22"/>
          <w:lang w:eastAsia="en-AU"/>
        </w:rPr>
      </w:pPr>
      <w:r w:rsidRPr="00F74C6A">
        <w:rPr>
          <w:noProof/>
        </w:rPr>
        <w:t>Acronyms</w:t>
      </w:r>
      <w:r w:rsidRPr="00F74C6A">
        <w:rPr>
          <w:noProof/>
        </w:rPr>
        <w:tab/>
      </w:r>
      <w:r w:rsidRPr="00F74C6A">
        <w:rPr>
          <w:noProof/>
        </w:rPr>
        <w:fldChar w:fldCharType="begin"/>
      </w:r>
      <w:r w:rsidRPr="00F74C6A">
        <w:rPr>
          <w:noProof/>
        </w:rPr>
        <w:instrText xml:space="preserve"> PAGEREF _Toc13224783 \h </w:instrText>
      </w:r>
      <w:r w:rsidRPr="00F74C6A">
        <w:rPr>
          <w:noProof/>
        </w:rPr>
      </w:r>
      <w:r w:rsidRPr="00F74C6A">
        <w:rPr>
          <w:noProof/>
        </w:rPr>
        <w:fldChar w:fldCharType="separate"/>
      </w:r>
      <w:r w:rsidR="00564400">
        <w:rPr>
          <w:noProof/>
        </w:rPr>
        <w:t>4</w:t>
      </w:r>
      <w:r w:rsidRPr="00F74C6A">
        <w:rPr>
          <w:noProof/>
        </w:rPr>
        <w:fldChar w:fldCharType="end"/>
      </w:r>
    </w:p>
    <w:p w14:paraId="2991A1BF" w14:textId="48EE3CA5" w:rsidR="00F74C6A" w:rsidRPr="00F74C6A" w:rsidRDefault="00F74C6A">
      <w:pPr>
        <w:pStyle w:val="TOC1"/>
        <w:rPr>
          <w:rFonts w:eastAsiaTheme="minorEastAsia" w:cstheme="minorBidi"/>
          <w:noProof/>
          <w:sz w:val="22"/>
          <w:szCs w:val="22"/>
          <w:lang w:eastAsia="en-AU"/>
        </w:rPr>
      </w:pPr>
      <w:r w:rsidRPr="00F74C6A">
        <w:rPr>
          <w:noProof/>
        </w:rPr>
        <w:t>Executive summary</w:t>
      </w:r>
      <w:r w:rsidRPr="00F74C6A">
        <w:rPr>
          <w:noProof/>
        </w:rPr>
        <w:tab/>
      </w:r>
      <w:r w:rsidRPr="00F74C6A">
        <w:rPr>
          <w:noProof/>
        </w:rPr>
        <w:fldChar w:fldCharType="begin"/>
      </w:r>
      <w:r w:rsidRPr="00F74C6A">
        <w:rPr>
          <w:noProof/>
        </w:rPr>
        <w:instrText xml:space="preserve"> PAGEREF _Toc13224784 \h </w:instrText>
      </w:r>
      <w:r w:rsidRPr="00F74C6A">
        <w:rPr>
          <w:noProof/>
        </w:rPr>
      </w:r>
      <w:r w:rsidRPr="00F74C6A">
        <w:rPr>
          <w:noProof/>
        </w:rPr>
        <w:fldChar w:fldCharType="separate"/>
      </w:r>
      <w:r w:rsidR="00564400">
        <w:rPr>
          <w:noProof/>
        </w:rPr>
        <w:t>5</w:t>
      </w:r>
      <w:r w:rsidRPr="00F74C6A">
        <w:rPr>
          <w:noProof/>
        </w:rPr>
        <w:fldChar w:fldCharType="end"/>
      </w:r>
    </w:p>
    <w:p w14:paraId="1DC4C9F7" w14:textId="27D382A4" w:rsidR="00F74C6A" w:rsidRPr="00F74C6A" w:rsidRDefault="00F74C6A">
      <w:pPr>
        <w:pStyle w:val="TOC1"/>
        <w:rPr>
          <w:rFonts w:eastAsiaTheme="minorEastAsia" w:cstheme="minorBidi"/>
          <w:noProof/>
          <w:sz w:val="22"/>
          <w:szCs w:val="22"/>
          <w:lang w:eastAsia="en-AU"/>
        </w:rPr>
      </w:pPr>
      <w:r w:rsidRPr="00F74C6A">
        <w:rPr>
          <w:noProof/>
        </w:rPr>
        <w:t>Background and contextual information</w:t>
      </w:r>
      <w:r w:rsidRPr="00F74C6A">
        <w:rPr>
          <w:noProof/>
        </w:rPr>
        <w:tab/>
      </w:r>
      <w:r w:rsidRPr="00F74C6A">
        <w:rPr>
          <w:noProof/>
        </w:rPr>
        <w:fldChar w:fldCharType="begin"/>
      </w:r>
      <w:r w:rsidRPr="00F74C6A">
        <w:rPr>
          <w:noProof/>
        </w:rPr>
        <w:instrText xml:space="preserve"> PAGEREF _Toc13224789 \h </w:instrText>
      </w:r>
      <w:r w:rsidRPr="00F74C6A">
        <w:rPr>
          <w:noProof/>
        </w:rPr>
      </w:r>
      <w:r w:rsidRPr="00F74C6A">
        <w:rPr>
          <w:noProof/>
        </w:rPr>
        <w:fldChar w:fldCharType="separate"/>
      </w:r>
      <w:r w:rsidR="00564400">
        <w:rPr>
          <w:noProof/>
        </w:rPr>
        <w:t>9</w:t>
      </w:r>
      <w:r w:rsidRPr="00F74C6A">
        <w:rPr>
          <w:noProof/>
        </w:rPr>
        <w:fldChar w:fldCharType="end"/>
      </w:r>
    </w:p>
    <w:p w14:paraId="2184C6EC" w14:textId="7847A098"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Definitional and data issues</w:t>
      </w:r>
      <w:r w:rsidRPr="00F74C6A">
        <w:rPr>
          <w:smallCaps w:val="0"/>
          <w:noProof/>
        </w:rPr>
        <w:tab/>
      </w:r>
      <w:r w:rsidRPr="00F74C6A">
        <w:rPr>
          <w:smallCaps w:val="0"/>
          <w:noProof/>
        </w:rPr>
        <w:fldChar w:fldCharType="begin"/>
      </w:r>
      <w:r w:rsidRPr="00F74C6A">
        <w:rPr>
          <w:smallCaps w:val="0"/>
          <w:noProof/>
        </w:rPr>
        <w:instrText xml:space="preserve"> PAGEREF _Toc13224790 \h </w:instrText>
      </w:r>
      <w:r w:rsidRPr="00F74C6A">
        <w:rPr>
          <w:smallCaps w:val="0"/>
          <w:noProof/>
        </w:rPr>
      </w:r>
      <w:r w:rsidRPr="00F74C6A">
        <w:rPr>
          <w:smallCaps w:val="0"/>
          <w:noProof/>
        </w:rPr>
        <w:fldChar w:fldCharType="separate"/>
      </w:r>
      <w:r w:rsidR="00564400">
        <w:rPr>
          <w:smallCaps w:val="0"/>
          <w:noProof/>
        </w:rPr>
        <w:t>9</w:t>
      </w:r>
      <w:r w:rsidRPr="00F74C6A">
        <w:rPr>
          <w:smallCaps w:val="0"/>
          <w:noProof/>
        </w:rPr>
        <w:fldChar w:fldCharType="end"/>
      </w:r>
    </w:p>
    <w:p w14:paraId="7DD01C6E" w14:textId="6EE8F14F" w:rsidR="00F74C6A" w:rsidRPr="00F74C6A" w:rsidRDefault="00F74C6A">
      <w:pPr>
        <w:pStyle w:val="TOC1"/>
        <w:rPr>
          <w:rFonts w:eastAsiaTheme="minorEastAsia" w:cstheme="minorBidi"/>
          <w:noProof/>
          <w:sz w:val="22"/>
          <w:szCs w:val="22"/>
          <w:lang w:eastAsia="en-AU"/>
        </w:rPr>
      </w:pPr>
      <w:r w:rsidRPr="00F74C6A">
        <w:rPr>
          <w:noProof/>
        </w:rPr>
        <w:t>Part one: Why Australia needs a National Strategy for RRR tertiary education</w:t>
      </w:r>
      <w:r w:rsidRPr="00F74C6A">
        <w:rPr>
          <w:noProof/>
        </w:rPr>
        <w:tab/>
      </w:r>
      <w:r w:rsidRPr="00F74C6A">
        <w:rPr>
          <w:noProof/>
        </w:rPr>
        <w:fldChar w:fldCharType="begin"/>
      </w:r>
      <w:r w:rsidRPr="00F74C6A">
        <w:rPr>
          <w:noProof/>
        </w:rPr>
        <w:instrText xml:space="preserve"> PAGEREF _Toc13224791 \h </w:instrText>
      </w:r>
      <w:r w:rsidRPr="00F74C6A">
        <w:rPr>
          <w:noProof/>
        </w:rPr>
      </w:r>
      <w:r w:rsidRPr="00F74C6A">
        <w:rPr>
          <w:noProof/>
        </w:rPr>
        <w:fldChar w:fldCharType="separate"/>
      </w:r>
      <w:r w:rsidR="00564400">
        <w:rPr>
          <w:noProof/>
        </w:rPr>
        <w:t>11</w:t>
      </w:r>
      <w:r w:rsidRPr="00F74C6A">
        <w:rPr>
          <w:noProof/>
        </w:rPr>
        <w:fldChar w:fldCharType="end"/>
      </w:r>
    </w:p>
    <w:p w14:paraId="33DF99DA" w14:textId="797E5AE8"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Current state</w:t>
      </w:r>
      <w:r w:rsidRPr="00F74C6A">
        <w:rPr>
          <w:smallCaps w:val="0"/>
          <w:noProof/>
        </w:rPr>
        <w:tab/>
      </w:r>
      <w:r w:rsidRPr="00F74C6A">
        <w:rPr>
          <w:smallCaps w:val="0"/>
          <w:noProof/>
        </w:rPr>
        <w:fldChar w:fldCharType="begin"/>
      </w:r>
      <w:r w:rsidRPr="00F74C6A">
        <w:rPr>
          <w:smallCaps w:val="0"/>
          <w:noProof/>
        </w:rPr>
        <w:instrText xml:space="preserve"> PAGEREF _Toc13224792 \h </w:instrText>
      </w:r>
      <w:r w:rsidRPr="00F74C6A">
        <w:rPr>
          <w:smallCaps w:val="0"/>
          <w:noProof/>
        </w:rPr>
      </w:r>
      <w:r w:rsidRPr="00F74C6A">
        <w:rPr>
          <w:smallCaps w:val="0"/>
          <w:noProof/>
        </w:rPr>
        <w:fldChar w:fldCharType="separate"/>
      </w:r>
      <w:r w:rsidR="00564400">
        <w:rPr>
          <w:smallCaps w:val="0"/>
          <w:noProof/>
        </w:rPr>
        <w:t>11</w:t>
      </w:r>
      <w:r w:rsidRPr="00F74C6A">
        <w:rPr>
          <w:smallCaps w:val="0"/>
          <w:noProof/>
        </w:rPr>
        <w:fldChar w:fldCharType="end"/>
      </w:r>
    </w:p>
    <w:p w14:paraId="241E1DA2" w14:textId="7F72762E"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Imperative for change</w:t>
      </w:r>
      <w:r w:rsidRPr="00F74C6A">
        <w:rPr>
          <w:smallCaps w:val="0"/>
          <w:noProof/>
        </w:rPr>
        <w:tab/>
      </w:r>
      <w:r w:rsidRPr="00F74C6A">
        <w:rPr>
          <w:smallCaps w:val="0"/>
          <w:noProof/>
        </w:rPr>
        <w:fldChar w:fldCharType="begin"/>
      </w:r>
      <w:r w:rsidRPr="00F74C6A">
        <w:rPr>
          <w:smallCaps w:val="0"/>
          <w:noProof/>
        </w:rPr>
        <w:instrText xml:space="preserve"> PAGEREF _Toc13224793 \h </w:instrText>
      </w:r>
      <w:r w:rsidRPr="00F74C6A">
        <w:rPr>
          <w:smallCaps w:val="0"/>
          <w:noProof/>
        </w:rPr>
      </w:r>
      <w:r w:rsidRPr="00F74C6A">
        <w:rPr>
          <w:smallCaps w:val="0"/>
          <w:noProof/>
        </w:rPr>
        <w:fldChar w:fldCharType="separate"/>
      </w:r>
      <w:r w:rsidR="00564400">
        <w:rPr>
          <w:smallCaps w:val="0"/>
          <w:noProof/>
        </w:rPr>
        <w:t>15</w:t>
      </w:r>
      <w:r w:rsidRPr="00F74C6A">
        <w:rPr>
          <w:smallCaps w:val="0"/>
          <w:noProof/>
        </w:rPr>
        <w:fldChar w:fldCharType="end"/>
      </w:r>
    </w:p>
    <w:p w14:paraId="326396BC" w14:textId="652CC54F" w:rsidR="00F74C6A" w:rsidRPr="00F74C6A" w:rsidRDefault="00F74C6A">
      <w:pPr>
        <w:pStyle w:val="TOC1"/>
        <w:rPr>
          <w:rFonts w:eastAsiaTheme="minorEastAsia" w:cstheme="minorBidi"/>
          <w:noProof/>
          <w:sz w:val="22"/>
          <w:szCs w:val="22"/>
          <w:lang w:eastAsia="en-AU"/>
        </w:rPr>
      </w:pPr>
      <w:r w:rsidRPr="00F74C6A">
        <w:rPr>
          <w:noProof/>
        </w:rPr>
        <w:t>Part two: Issues and findings</w:t>
      </w:r>
      <w:r w:rsidRPr="00F74C6A">
        <w:rPr>
          <w:noProof/>
        </w:rPr>
        <w:tab/>
      </w:r>
      <w:r w:rsidRPr="00F74C6A">
        <w:rPr>
          <w:noProof/>
        </w:rPr>
        <w:fldChar w:fldCharType="begin"/>
      </w:r>
      <w:r w:rsidRPr="00F74C6A">
        <w:rPr>
          <w:noProof/>
        </w:rPr>
        <w:instrText xml:space="preserve"> PAGEREF _Toc13224794 \h </w:instrText>
      </w:r>
      <w:r w:rsidRPr="00F74C6A">
        <w:rPr>
          <w:noProof/>
        </w:rPr>
      </w:r>
      <w:r w:rsidRPr="00F74C6A">
        <w:rPr>
          <w:noProof/>
        </w:rPr>
        <w:fldChar w:fldCharType="separate"/>
      </w:r>
      <w:r w:rsidR="00564400">
        <w:rPr>
          <w:noProof/>
        </w:rPr>
        <w:t>18</w:t>
      </w:r>
      <w:r w:rsidRPr="00F74C6A">
        <w:rPr>
          <w:noProof/>
        </w:rPr>
        <w:fldChar w:fldCharType="end"/>
      </w:r>
    </w:p>
    <w:p w14:paraId="319A7DB1" w14:textId="019A589F"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1. A</w:t>
      </w:r>
      <w:r>
        <w:rPr>
          <w:smallCaps w:val="0"/>
          <w:noProof/>
        </w:rPr>
        <w:t>ccess, opportunity and choice:</w:t>
      </w:r>
      <w:r w:rsidRPr="00F74C6A">
        <w:rPr>
          <w:smallCaps w:val="0"/>
          <w:noProof/>
        </w:rPr>
        <w:tab/>
      </w:r>
      <w:r w:rsidRPr="00F74C6A">
        <w:rPr>
          <w:smallCaps w:val="0"/>
          <w:noProof/>
        </w:rPr>
        <w:fldChar w:fldCharType="begin"/>
      </w:r>
      <w:r w:rsidRPr="00F74C6A">
        <w:rPr>
          <w:smallCaps w:val="0"/>
          <w:noProof/>
        </w:rPr>
        <w:instrText xml:space="preserve"> PAGEREF _Toc13224795 \h </w:instrText>
      </w:r>
      <w:r w:rsidRPr="00F74C6A">
        <w:rPr>
          <w:smallCaps w:val="0"/>
          <w:noProof/>
        </w:rPr>
      </w:r>
      <w:r w:rsidRPr="00F74C6A">
        <w:rPr>
          <w:smallCaps w:val="0"/>
          <w:noProof/>
        </w:rPr>
        <w:fldChar w:fldCharType="separate"/>
      </w:r>
      <w:r w:rsidR="00564400">
        <w:rPr>
          <w:smallCaps w:val="0"/>
          <w:noProof/>
        </w:rPr>
        <w:t>18</w:t>
      </w:r>
      <w:r w:rsidRPr="00F74C6A">
        <w:rPr>
          <w:smallCaps w:val="0"/>
          <w:noProof/>
        </w:rPr>
        <w:fldChar w:fldCharType="end"/>
      </w:r>
    </w:p>
    <w:p w14:paraId="0ED4CF83" w14:textId="194674FA" w:rsidR="00F74C6A" w:rsidRPr="00F74C6A" w:rsidRDefault="00F74C6A" w:rsidP="00F74C6A">
      <w:pPr>
        <w:pStyle w:val="TOC2"/>
        <w:tabs>
          <w:tab w:val="right" w:pos="8364"/>
        </w:tabs>
        <w:rPr>
          <w:rFonts w:eastAsiaTheme="minorEastAsia" w:cstheme="minorBidi"/>
          <w:smallCaps w:val="0"/>
          <w:noProof/>
          <w:sz w:val="22"/>
          <w:szCs w:val="22"/>
          <w:lang w:eastAsia="en-AU"/>
        </w:rPr>
      </w:pPr>
      <w:r>
        <w:rPr>
          <w:smallCaps w:val="0"/>
          <w:noProof/>
        </w:rPr>
        <w:t>2. Student support</w:t>
      </w:r>
      <w:r w:rsidRPr="00F74C6A">
        <w:rPr>
          <w:smallCaps w:val="0"/>
          <w:noProof/>
        </w:rPr>
        <w:tab/>
      </w:r>
      <w:r w:rsidRPr="00F74C6A">
        <w:rPr>
          <w:smallCaps w:val="0"/>
          <w:noProof/>
        </w:rPr>
        <w:fldChar w:fldCharType="begin"/>
      </w:r>
      <w:r w:rsidRPr="00F74C6A">
        <w:rPr>
          <w:smallCaps w:val="0"/>
          <w:noProof/>
        </w:rPr>
        <w:instrText xml:space="preserve"> PAGEREF _Toc13224796 \h </w:instrText>
      </w:r>
      <w:r w:rsidRPr="00F74C6A">
        <w:rPr>
          <w:smallCaps w:val="0"/>
          <w:noProof/>
        </w:rPr>
      </w:r>
      <w:r w:rsidRPr="00F74C6A">
        <w:rPr>
          <w:smallCaps w:val="0"/>
          <w:noProof/>
        </w:rPr>
        <w:fldChar w:fldCharType="separate"/>
      </w:r>
      <w:r w:rsidR="00564400">
        <w:rPr>
          <w:smallCaps w:val="0"/>
          <w:noProof/>
        </w:rPr>
        <w:t>23</w:t>
      </w:r>
      <w:r w:rsidRPr="00F74C6A">
        <w:rPr>
          <w:smallCaps w:val="0"/>
          <w:noProof/>
        </w:rPr>
        <w:fldChar w:fldCharType="end"/>
      </w:r>
    </w:p>
    <w:p w14:paraId="152990C3" w14:textId="3F024A8D"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3. Aspiration, career advice and schooling</w:t>
      </w:r>
      <w:r w:rsidRPr="00F74C6A">
        <w:rPr>
          <w:smallCaps w:val="0"/>
          <w:noProof/>
        </w:rPr>
        <w:tab/>
      </w:r>
      <w:r w:rsidRPr="00F74C6A">
        <w:rPr>
          <w:smallCaps w:val="0"/>
          <w:noProof/>
        </w:rPr>
        <w:fldChar w:fldCharType="begin"/>
      </w:r>
      <w:r w:rsidRPr="00F74C6A">
        <w:rPr>
          <w:smallCaps w:val="0"/>
          <w:noProof/>
        </w:rPr>
        <w:instrText xml:space="preserve"> PAGEREF _Toc13224797 \h </w:instrText>
      </w:r>
      <w:r w:rsidRPr="00F74C6A">
        <w:rPr>
          <w:smallCaps w:val="0"/>
          <w:noProof/>
        </w:rPr>
      </w:r>
      <w:r w:rsidRPr="00F74C6A">
        <w:rPr>
          <w:smallCaps w:val="0"/>
          <w:noProof/>
        </w:rPr>
        <w:fldChar w:fldCharType="separate"/>
      </w:r>
      <w:r w:rsidR="00564400">
        <w:rPr>
          <w:smallCaps w:val="0"/>
          <w:noProof/>
        </w:rPr>
        <w:t>29</w:t>
      </w:r>
      <w:r w:rsidRPr="00F74C6A">
        <w:rPr>
          <w:smallCaps w:val="0"/>
          <w:noProof/>
        </w:rPr>
        <w:fldChar w:fldCharType="end"/>
      </w:r>
    </w:p>
    <w:p w14:paraId="76A336D8" w14:textId="55F2DD3F"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4. Equity groups</w:t>
      </w:r>
      <w:r w:rsidRPr="00F74C6A">
        <w:rPr>
          <w:smallCaps w:val="0"/>
          <w:noProof/>
        </w:rPr>
        <w:tab/>
      </w:r>
      <w:r w:rsidRPr="00F74C6A">
        <w:rPr>
          <w:smallCaps w:val="0"/>
          <w:noProof/>
        </w:rPr>
        <w:fldChar w:fldCharType="begin"/>
      </w:r>
      <w:r w:rsidRPr="00F74C6A">
        <w:rPr>
          <w:smallCaps w:val="0"/>
          <w:noProof/>
        </w:rPr>
        <w:instrText xml:space="preserve"> PAGEREF _Toc13224798 \h </w:instrText>
      </w:r>
      <w:r w:rsidRPr="00F74C6A">
        <w:rPr>
          <w:smallCaps w:val="0"/>
          <w:noProof/>
        </w:rPr>
      </w:r>
      <w:r w:rsidRPr="00F74C6A">
        <w:rPr>
          <w:smallCaps w:val="0"/>
          <w:noProof/>
        </w:rPr>
        <w:fldChar w:fldCharType="separate"/>
      </w:r>
      <w:r w:rsidR="00564400">
        <w:rPr>
          <w:smallCaps w:val="0"/>
          <w:noProof/>
        </w:rPr>
        <w:t>34</w:t>
      </w:r>
      <w:r w:rsidRPr="00F74C6A">
        <w:rPr>
          <w:smallCaps w:val="0"/>
          <w:noProof/>
        </w:rPr>
        <w:fldChar w:fldCharType="end"/>
      </w:r>
    </w:p>
    <w:p w14:paraId="6E7BEA89" w14:textId="611EB01F" w:rsidR="00F74C6A" w:rsidRPr="00F74C6A" w:rsidRDefault="00F74C6A" w:rsidP="00F74C6A">
      <w:pPr>
        <w:pStyle w:val="TOC2"/>
        <w:tabs>
          <w:tab w:val="right" w:pos="8364"/>
        </w:tabs>
        <w:rPr>
          <w:rFonts w:eastAsiaTheme="minorEastAsia" w:cstheme="minorBidi"/>
          <w:smallCaps w:val="0"/>
          <w:noProof/>
          <w:sz w:val="22"/>
          <w:szCs w:val="22"/>
          <w:lang w:eastAsia="en-AU"/>
        </w:rPr>
      </w:pPr>
      <w:r>
        <w:rPr>
          <w:smallCaps w:val="0"/>
          <w:noProof/>
        </w:rPr>
        <w:t>5. Regional development</w:t>
      </w:r>
      <w:r w:rsidRPr="00F74C6A">
        <w:rPr>
          <w:smallCaps w:val="0"/>
          <w:noProof/>
        </w:rPr>
        <w:tab/>
      </w:r>
      <w:r w:rsidRPr="00F74C6A">
        <w:rPr>
          <w:smallCaps w:val="0"/>
          <w:noProof/>
        </w:rPr>
        <w:fldChar w:fldCharType="begin"/>
      </w:r>
      <w:r w:rsidRPr="00F74C6A">
        <w:rPr>
          <w:smallCaps w:val="0"/>
          <w:noProof/>
        </w:rPr>
        <w:instrText xml:space="preserve"> PAGEREF _Toc13224799 \h </w:instrText>
      </w:r>
      <w:r w:rsidRPr="00F74C6A">
        <w:rPr>
          <w:smallCaps w:val="0"/>
          <w:noProof/>
        </w:rPr>
      </w:r>
      <w:r w:rsidRPr="00F74C6A">
        <w:rPr>
          <w:smallCaps w:val="0"/>
          <w:noProof/>
        </w:rPr>
        <w:fldChar w:fldCharType="separate"/>
      </w:r>
      <w:r w:rsidR="00564400">
        <w:rPr>
          <w:smallCaps w:val="0"/>
          <w:noProof/>
        </w:rPr>
        <w:t>39</w:t>
      </w:r>
      <w:r w:rsidRPr="00F74C6A">
        <w:rPr>
          <w:smallCaps w:val="0"/>
          <w:noProof/>
        </w:rPr>
        <w:fldChar w:fldCharType="end"/>
      </w:r>
    </w:p>
    <w:p w14:paraId="22E18388" w14:textId="7157873A" w:rsidR="00F74C6A" w:rsidRPr="00F74C6A" w:rsidRDefault="00F74C6A">
      <w:pPr>
        <w:pStyle w:val="TOC1"/>
        <w:rPr>
          <w:rFonts w:eastAsiaTheme="minorEastAsia" w:cstheme="minorBidi"/>
          <w:noProof/>
          <w:sz w:val="22"/>
          <w:szCs w:val="22"/>
          <w:lang w:eastAsia="en-AU"/>
        </w:rPr>
      </w:pPr>
      <w:r w:rsidRPr="00F74C6A">
        <w:rPr>
          <w:noProof/>
        </w:rPr>
        <w:t>Part three: Plan for change</w:t>
      </w:r>
      <w:r w:rsidRPr="00F74C6A">
        <w:rPr>
          <w:noProof/>
        </w:rPr>
        <w:tab/>
      </w:r>
      <w:r w:rsidRPr="00F74C6A">
        <w:rPr>
          <w:noProof/>
        </w:rPr>
        <w:fldChar w:fldCharType="begin"/>
      </w:r>
      <w:r w:rsidRPr="00F74C6A">
        <w:rPr>
          <w:noProof/>
        </w:rPr>
        <w:instrText xml:space="preserve"> PAGEREF _Toc13224800 \h </w:instrText>
      </w:r>
      <w:r w:rsidRPr="00F74C6A">
        <w:rPr>
          <w:noProof/>
        </w:rPr>
      </w:r>
      <w:r w:rsidRPr="00F74C6A">
        <w:rPr>
          <w:noProof/>
        </w:rPr>
        <w:fldChar w:fldCharType="separate"/>
      </w:r>
      <w:r w:rsidR="00564400">
        <w:rPr>
          <w:noProof/>
        </w:rPr>
        <w:t>43</w:t>
      </w:r>
      <w:r w:rsidRPr="00F74C6A">
        <w:rPr>
          <w:noProof/>
        </w:rPr>
        <w:fldChar w:fldCharType="end"/>
      </w:r>
    </w:p>
    <w:p w14:paraId="407FB253" w14:textId="45EBA079"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Vision/Aim</w:t>
      </w:r>
      <w:r w:rsidRPr="00F74C6A">
        <w:rPr>
          <w:smallCaps w:val="0"/>
          <w:noProof/>
        </w:rPr>
        <w:tab/>
      </w:r>
      <w:r w:rsidRPr="00F74C6A">
        <w:rPr>
          <w:smallCaps w:val="0"/>
          <w:noProof/>
        </w:rPr>
        <w:fldChar w:fldCharType="begin"/>
      </w:r>
      <w:r w:rsidRPr="00F74C6A">
        <w:rPr>
          <w:smallCaps w:val="0"/>
          <w:noProof/>
        </w:rPr>
        <w:instrText xml:space="preserve"> PAGEREF _Toc13224801 \h </w:instrText>
      </w:r>
      <w:r w:rsidRPr="00F74C6A">
        <w:rPr>
          <w:smallCaps w:val="0"/>
          <w:noProof/>
        </w:rPr>
      </w:r>
      <w:r w:rsidRPr="00F74C6A">
        <w:rPr>
          <w:smallCaps w:val="0"/>
          <w:noProof/>
        </w:rPr>
        <w:fldChar w:fldCharType="separate"/>
      </w:r>
      <w:r w:rsidR="00564400">
        <w:rPr>
          <w:smallCaps w:val="0"/>
          <w:noProof/>
        </w:rPr>
        <w:t>43</w:t>
      </w:r>
      <w:r w:rsidRPr="00F74C6A">
        <w:rPr>
          <w:smallCaps w:val="0"/>
          <w:noProof/>
        </w:rPr>
        <w:fldChar w:fldCharType="end"/>
      </w:r>
    </w:p>
    <w:p w14:paraId="7DE903A6" w14:textId="7B782B14"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Objectives, targets and timing</w:t>
      </w:r>
      <w:r w:rsidRPr="00F74C6A">
        <w:rPr>
          <w:smallCaps w:val="0"/>
          <w:noProof/>
        </w:rPr>
        <w:tab/>
      </w:r>
      <w:r w:rsidRPr="00F74C6A">
        <w:rPr>
          <w:smallCaps w:val="0"/>
          <w:noProof/>
        </w:rPr>
        <w:fldChar w:fldCharType="begin"/>
      </w:r>
      <w:r w:rsidRPr="00F74C6A">
        <w:rPr>
          <w:smallCaps w:val="0"/>
          <w:noProof/>
        </w:rPr>
        <w:instrText xml:space="preserve"> PAGEREF _Toc13224802 \h </w:instrText>
      </w:r>
      <w:r w:rsidRPr="00F74C6A">
        <w:rPr>
          <w:smallCaps w:val="0"/>
          <w:noProof/>
        </w:rPr>
      </w:r>
      <w:r w:rsidRPr="00F74C6A">
        <w:rPr>
          <w:smallCaps w:val="0"/>
          <w:noProof/>
        </w:rPr>
        <w:fldChar w:fldCharType="separate"/>
      </w:r>
      <w:r w:rsidR="00564400">
        <w:rPr>
          <w:smallCaps w:val="0"/>
          <w:noProof/>
        </w:rPr>
        <w:t>43</w:t>
      </w:r>
      <w:r w:rsidRPr="00F74C6A">
        <w:rPr>
          <w:smallCaps w:val="0"/>
          <w:noProof/>
        </w:rPr>
        <w:fldChar w:fldCharType="end"/>
      </w:r>
    </w:p>
    <w:p w14:paraId="6F3DEDEA" w14:textId="4C199866"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Priority areas for reform</w:t>
      </w:r>
      <w:r w:rsidRPr="00F74C6A">
        <w:rPr>
          <w:smallCaps w:val="0"/>
          <w:noProof/>
        </w:rPr>
        <w:tab/>
      </w:r>
      <w:r w:rsidRPr="00F74C6A">
        <w:rPr>
          <w:smallCaps w:val="0"/>
          <w:noProof/>
        </w:rPr>
        <w:fldChar w:fldCharType="begin"/>
      </w:r>
      <w:r w:rsidRPr="00F74C6A">
        <w:rPr>
          <w:smallCaps w:val="0"/>
          <w:noProof/>
        </w:rPr>
        <w:instrText xml:space="preserve"> PAGEREF _Toc13224803 \h </w:instrText>
      </w:r>
      <w:r w:rsidRPr="00F74C6A">
        <w:rPr>
          <w:smallCaps w:val="0"/>
          <w:noProof/>
        </w:rPr>
      </w:r>
      <w:r w:rsidRPr="00F74C6A">
        <w:rPr>
          <w:smallCaps w:val="0"/>
          <w:noProof/>
        </w:rPr>
        <w:fldChar w:fldCharType="separate"/>
      </w:r>
      <w:r w:rsidR="00564400">
        <w:rPr>
          <w:smallCaps w:val="0"/>
          <w:noProof/>
        </w:rPr>
        <w:t>44</w:t>
      </w:r>
      <w:r w:rsidRPr="00F74C6A">
        <w:rPr>
          <w:smallCaps w:val="0"/>
          <w:noProof/>
        </w:rPr>
        <w:fldChar w:fldCharType="end"/>
      </w:r>
    </w:p>
    <w:p w14:paraId="35DD1887" w14:textId="2F36CFB1" w:rsidR="00F74C6A" w:rsidRPr="00F74C6A" w:rsidRDefault="00F74C6A">
      <w:pPr>
        <w:pStyle w:val="TOC1"/>
        <w:rPr>
          <w:rFonts w:eastAsiaTheme="minorEastAsia" w:cstheme="minorBidi"/>
          <w:noProof/>
          <w:sz w:val="22"/>
          <w:szCs w:val="22"/>
          <w:lang w:eastAsia="en-AU"/>
        </w:rPr>
      </w:pPr>
      <w:r w:rsidRPr="00F74C6A">
        <w:rPr>
          <w:noProof/>
        </w:rPr>
        <w:t>Part four: Implementing the Strategy</w:t>
      </w:r>
      <w:r w:rsidRPr="00F74C6A">
        <w:rPr>
          <w:noProof/>
        </w:rPr>
        <w:tab/>
      </w:r>
      <w:r w:rsidRPr="00F74C6A">
        <w:rPr>
          <w:noProof/>
        </w:rPr>
        <w:fldChar w:fldCharType="begin"/>
      </w:r>
      <w:r w:rsidRPr="00F74C6A">
        <w:rPr>
          <w:noProof/>
        </w:rPr>
        <w:instrText xml:space="preserve"> PAGEREF _Toc13224804 \h </w:instrText>
      </w:r>
      <w:r w:rsidRPr="00F74C6A">
        <w:rPr>
          <w:noProof/>
        </w:rPr>
      </w:r>
      <w:r w:rsidRPr="00F74C6A">
        <w:rPr>
          <w:noProof/>
        </w:rPr>
        <w:fldChar w:fldCharType="separate"/>
      </w:r>
      <w:r w:rsidR="00564400">
        <w:rPr>
          <w:noProof/>
        </w:rPr>
        <w:t>55</w:t>
      </w:r>
      <w:r w:rsidRPr="00F74C6A">
        <w:rPr>
          <w:noProof/>
        </w:rPr>
        <w:fldChar w:fldCharType="end"/>
      </w:r>
    </w:p>
    <w:p w14:paraId="7E02C9E2" w14:textId="64CA874D"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RRR Education Commissioner</w:t>
      </w:r>
      <w:r w:rsidRPr="00F74C6A">
        <w:rPr>
          <w:smallCaps w:val="0"/>
          <w:noProof/>
        </w:rPr>
        <w:tab/>
      </w:r>
      <w:r w:rsidRPr="00F74C6A">
        <w:rPr>
          <w:smallCaps w:val="0"/>
          <w:noProof/>
        </w:rPr>
        <w:fldChar w:fldCharType="begin"/>
      </w:r>
      <w:r w:rsidRPr="00F74C6A">
        <w:rPr>
          <w:smallCaps w:val="0"/>
          <w:noProof/>
        </w:rPr>
        <w:instrText xml:space="preserve"> PAGEREF _Toc13224805 \h </w:instrText>
      </w:r>
      <w:r w:rsidRPr="00F74C6A">
        <w:rPr>
          <w:smallCaps w:val="0"/>
          <w:noProof/>
        </w:rPr>
      </w:r>
      <w:r w:rsidRPr="00F74C6A">
        <w:rPr>
          <w:smallCaps w:val="0"/>
          <w:noProof/>
        </w:rPr>
        <w:fldChar w:fldCharType="separate"/>
      </w:r>
      <w:r w:rsidR="00564400">
        <w:rPr>
          <w:smallCaps w:val="0"/>
          <w:noProof/>
        </w:rPr>
        <w:t>55</w:t>
      </w:r>
      <w:r w:rsidRPr="00F74C6A">
        <w:rPr>
          <w:smallCaps w:val="0"/>
          <w:noProof/>
        </w:rPr>
        <w:fldChar w:fldCharType="end"/>
      </w:r>
    </w:p>
    <w:p w14:paraId="4C07D0F2" w14:textId="48B5722F"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Stakeholder engagement and partnerships</w:t>
      </w:r>
      <w:r w:rsidRPr="00F74C6A">
        <w:rPr>
          <w:smallCaps w:val="0"/>
          <w:noProof/>
        </w:rPr>
        <w:tab/>
      </w:r>
      <w:r w:rsidRPr="00F74C6A">
        <w:rPr>
          <w:smallCaps w:val="0"/>
          <w:noProof/>
        </w:rPr>
        <w:fldChar w:fldCharType="begin"/>
      </w:r>
      <w:r w:rsidRPr="00F74C6A">
        <w:rPr>
          <w:smallCaps w:val="0"/>
          <w:noProof/>
        </w:rPr>
        <w:instrText xml:space="preserve"> PAGEREF _Toc13224806 \h </w:instrText>
      </w:r>
      <w:r w:rsidRPr="00F74C6A">
        <w:rPr>
          <w:smallCaps w:val="0"/>
          <w:noProof/>
        </w:rPr>
      </w:r>
      <w:r w:rsidRPr="00F74C6A">
        <w:rPr>
          <w:smallCaps w:val="0"/>
          <w:noProof/>
        </w:rPr>
        <w:fldChar w:fldCharType="separate"/>
      </w:r>
      <w:r w:rsidR="00564400">
        <w:rPr>
          <w:smallCaps w:val="0"/>
          <w:noProof/>
        </w:rPr>
        <w:t>56</w:t>
      </w:r>
      <w:r w:rsidRPr="00F74C6A">
        <w:rPr>
          <w:smallCaps w:val="0"/>
          <w:noProof/>
        </w:rPr>
        <w:fldChar w:fldCharType="end"/>
      </w:r>
    </w:p>
    <w:p w14:paraId="62E7B8D7" w14:textId="73EA4D69" w:rsidR="00F74C6A" w:rsidRPr="00F74C6A" w:rsidRDefault="00F74C6A" w:rsidP="00F74C6A">
      <w:pPr>
        <w:pStyle w:val="TOC2"/>
        <w:tabs>
          <w:tab w:val="right" w:pos="8364"/>
        </w:tabs>
        <w:rPr>
          <w:rFonts w:eastAsiaTheme="minorEastAsia" w:cstheme="minorBidi"/>
          <w:smallCaps w:val="0"/>
          <w:noProof/>
          <w:sz w:val="22"/>
          <w:szCs w:val="22"/>
          <w:lang w:eastAsia="en-AU"/>
        </w:rPr>
      </w:pPr>
      <w:r w:rsidRPr="00F74C6A">
        <w:rPr>
          <w:smallCaps w:val="0"/>
          <w:noProof/>
        </w:rPr>
        <w:t>Reporting, monitoring and evaluation</w:t>
      </w:r>
      <w:r w:rsidRPr="00F74C6A">
        <w:rPr>
          <w:smallCaps w:val="0"/>
          <w:noProof/>
        </w:rPr>
        <w:tab/>
      </w:r>
      <w:r w:rsidRPr="00F74C6A">
        <w:rPr>
          <w:smallCaps w:val="0"/>
          <w:noProof/>
        </w:rPr>
        <w:fldChar w:fldCharType="begin"/>
      </w:r>
      <w:r w:rsidRPr="00F74C6A">
        <w:rPr>
          <w:smallCaps w:val="0"/>
          <w:noProof/>
        </w:rPr>
        <w:instrText xml:space="preserve"> PAGEREF _Toc13224807 \h </w:instrText>
      </w:r>
      <w:r w:rsidRPr="00F74C6A">
        <w:rPr>
          <w:smallCaps w:val="0"/>
          <w:noProof/>
        </w:rPr>
      </w:r>
      <w:r w:rsidRPr="00F74C6A">
        <w:rPr>
          <w:smallCaps w:val="0"/>
          <w:noProof/>
        </w:rPr>
        <w:fldChar w:fldCharType="separate"/>
      </w:r>
      <w:r w:rsidR="00564400">
        <w:rPr>
          <w:smallCaps w:val="0"/>
          <w:noProof/>
        </w:rPr>
        <w:t>57</w:t>
      </w:r>
      <w:r w:rsidRPr="00F74C6A">
        <w:rPr>
          <w:smallCaps w:val="0"/>
          <w:noProof/>
        </w:rPr>
        <w:fldChar w:fldCharType="end"/>
      </w:r>
    </w:p>
    <w:p w14:paraId="3EF0F0E6" w14:textId="77777777" w:rsidR="00D61777" w:rsidRDefault="00F74C6A" w:rsidP="00D61777">
      <w:pPr>
        <w:pStyle w:val="TOC2"/>
        <w:tabs>
          <w:tab w:val="right" w:pos="8364"/>
        </w:tabs>
        <w:rPr>
          <w:smallCaps w:val="0"/>
          <w:noProof/>
        </w:rPr>
      </w:pPr>
      <w:r w:rsidRPr="00F74C6A">
        <w:rPr>
          <w:smallCaps w:val="0"/>
          <w:noProof/>
        </w:rPr>
        <w:t>Conclusion</w:t>
      </w:r>
      <w:r w:rsidRPr="00F74C6A">
        <w:rPr>
          <w:smallCaps w:val="0"/>
          <w:noProof/>
        </w:rPr>
        <w:tab/>
      </w:r>
      <w:r w:rsidRPr="00F74C6A">
        <w:rPr>
          <w:smallCaps w:val="0"/>
          <w:noProof/>
        </w:rPr>
        <w:fldChar w:fldCharType="begin"/>
      </w:r>
      <w:r w:rsidRPr="00F74C6A">
        <w:rPr>
          <w:smallCaps w:val="0"/>
          <w:noProof/>
        </w:rPr>
        <w:instrText xml:space="preserve"> PAGEREF _Toc13224808 \h </w:instrText>
      </w:r>
      <w:r w:rsidRPr="00F74C6A">
        <w:rPr>
          <w:smallCaps w:val="0"/>
          <w:noProof/>
        </w:rPr>
      </w:r>
      <w:r w:rsidRPr="00F74C6A">
        <w:rPr>
          <w:smallCaps w:val="0"/>
          <w:noProof/>
        </w:rPr>
        <w:fldChar w:fldCharType="separate"/>
      </w:r>
      <w:r w:rsidR="00564400">
        <w:rPr>
          <w:smallCaps w:val="0"/>
          <w:noProof/>
        </w:rPr>
        <w:t>61</w:t>
      </w:r>
      <w:r w:rsidRPr="00F74C6A">
        <w:rPr>
          <w:smallCaps w:val="0"/>
          <w:noProof/>
        </w:rPr>
        <w:fldChar w:fldCharType="end"/>
      </w:r>
    </w:p>
    <w:p w14:paraId="31B7AE3A" w14:textId="59A39F14" w:rsidR="00F74C6A" w:rsidRPr="00D61777" w:rsidRDefault="00D61777" w:rsidP="00D61777">
      <w:pPr>
        <w:pStyle w:val="TOC2"/>
        <w:tabs>
          <w:tab w:val="right" w:pos="8364"/>
        </w:tabs>
        <w:rPr>
          <w:rFonts w:eastAsiaTheme="minorEastAsia" w:cstheme="minorBidi"/>
          <w:smallCaps w:val="0"/>
          <w:noProof/>
          <w:sz w:val="22"/>
          <w:szCs w:val="22"/>
          <w:lang w:eastAsia="en-AU"/>
        </w:rPr>
      </w:pPr>
      <w:r>
        <w:rPr>
          <w:smallCaps w:val="0"/>
          <w:noProof/>
        </w:rPr>
        <w:t>S</w:t>
      </w:r>
      <w:r w:rsidR="00AC4983" w:rsidRPr="00D61777">
        <w:rPr>
          <w:smallCaps w:val="0"/>
          <w:noProof/>
        </w:rPr>
        <w:t>ummary of findings, recommendations and actions</w:t>
      </w:r>
      <w:r w:rsidR="00F74C6A" w:rsidRPr="00F74C6A">
        <w:rPr>
          <w:noProof/>
        </w:rPr>
        <w:tab/>
      </w:r>
      <w:r w:rsidR="00F74C6A" w:rsidRPr="00F74C6A">
        <w:rPr>
          <w:noProof/>
        </w:rPr>
        <w:fldChar w:fldCharType="begin"/>
      </w:r>
      <w:r w:rsidR="00F74C6A" w:rsidRPr="00F74C6A">
        <w:rPr>
          <w:noProof/>
        </w:rPr>
        <w:instrText xml:space="preserve"> PAGEREF _Toc13224809 \h </w:instrText>
      </w:r>
      <w:r w:rsidR="00F74C6A" w:rsidRPr="00F74C6A">
        <w:rPr>
          <w:noProof/>
        </w:rPr>
      </w:r>
      <w:r w:rsidR="00F74C6A" w:rsidRPr="00F74C6A">
        <w:rPr>
          <w:noProof/>
        </w:rPr>
        <w:fldChar w:fldCharType="separate"/>
      </w:r>
      <w:r w:rsidR="00564400">
        <w:rPr>
          <w:noProof/>
        </w:rPr>
        <w:t>62</w:t>
      </w:r>
      <w:r w:rsidR="00F74C6A" w:rsidRPr="00F74C6A">
        <w:rPr>
          <w:noProof/>
        </w:rPr>
        <w:fldChar w:fldCharType="end"/>
      </w:r>
    </w:p>
    <w:p w14:paraId="6EA3C674" w14:textId="685511EE" w:rsidR="00F74C6A" w:rsidRPr="00F74C6A" w:rsidRDefault="00F74C6A">
      <w:pPr>
        <w:pStyle w:val="TOC1"/>
        <w:rPr>
          <w:rFonts w:eastAsiaTheme="minorEastAsia" w:cstheme="minorBidi"/>
          <w:noProof/>
          <w:sz w:val="22"/>
          <w:szCs w:val="22"/>
          <w:lang w:eastAsia="en-AU"/>
        </w:rPr>
      </w:pPr>
      <w:r w:rsidRPr="00F74C6A">
        <w:rPr>
          <w:noProof/>
        </w:rPr>
        <w:t>Appendix A – Overview of background literature</w:t>
      </w:r>
      <w:r w:rsidRPr="00F74C6A">
        <w:rPr>
          <w:noProof/>
        </w:rPr>
        <w:tab/>
      </w:r>
      <w:r w:rsidRPr="00F74C6A">
        <w:rPr>
          <w:noProof/>
        </w:rPr>
        <w:fldChar w:fldCharType="begin"/>
      </w:r>
      <w:r w:rsidRPr="00F74C6A">
        <w:rPr>
          <w:noProof/>
        </w:rPr>
        <w:instrText xml:space="preserve"> PAGEREF _Toc13224810 \h </w:instrText>
      </w:r>
      <w:r w:rsidRPr="00F74C6A">
        <w:rPr>
          <w:noProof/>
        </w:rPr>
      </w:r>
      <w:r w:rsidRPr="00F74C6A">
        <w:rPr>
          <w:noProof/>
        </w:rPr>
        <w:fldChar w:fldCharType="separate"/>
      </w:r>
      <w:r w:rsidR="00564400">
        <w:rPr>
          <w:noProof/>
        </w:rPr>
        <w:t>70</w:t>
      </w:r>
      <w:r w:rsidRPr="00F74C6A">
        <w:rPr>
          <w:noProof/>
        </w:rPr>
        <w:fldChar w:fldCharType="end"/>
      </w:r>
    </w:p>
    <w:p w14:paraId="5C278E36" w14:textId="229DC203" w:rsidR="00F74C6A" w:rsidRPr="00F74C6A" w:rsidRDefault="00F74C6A">
      <w:pPr>
        <w:pStyle w:val="TOC1"/>
        <w:rPr>
          <w:rFonts w:eastAsiaTheme="minorEastAsia" w:cstheme="minorBidi"/>
          <w:noProof/>
          <w:sz w:val="22"/>
          <w:szCs w:val="22"/>
          <w:lang w:eastAsia="en-AU"/>
        </w:rPr>
      </w:pPr>
      <w:r w:rsidRPr="00F74C6A">
        <w:rPr>
          <w:noProof/>
        </w:rPr>
        <w:t>Appendix B – Map with remoteness categories</w:t>
      </w:r>
      <w:r w:rsidRPr="00F74C6A">
        <w:rPr>
          <w:noProof/>
        </w:rPr>
        <w:tab/>
      </w:r>
      <w:r w:rsidRPr="00F74C6A">
        <w:rPr>
          <w:noProof/>
        </w:rPr>
        <w:fldChar w:fldCharType="begin"/>
      </w:r>
      <w:r w:rsidRPr="00F74C6A">
        <w:rPr>
          <w:noProof/>
        </w:rPr>
        <w:instrText xml:space="preserve"> PAGEREF _Toc13224816 \h </w:instrText>
      </w:r>
      <w:r w:rsidRPr="00F74C6A">
        <w:rPr>
          <w:noProof/>
        </w:rPr>
      </w:r>
      <w:r w:rsidRPr="00F74C6A">
        <w:rPr>
          <w:noProof/>
        </w:rPr>
        <w:fldChar w:fldCharType="separate"/>
      </w:r>
      <w:r w:rsidR="00564400">
        <w:rPr>
          <w:noProof/>
        </w:rPr>
        <w:t>88</w:t>
      </w:r>
      <w:r w:rsidRPr="00F74C6A">
        <w:rPr>
          <w:noProof/>
        </w:rPr>
        <w:fldChar w:fldCharType="end"/>
      </w:r>
    </w:p>
    <w:p w14:paraId="210BE367" w14:textId="1928ABCF" w:rsidR="00F74C6A" w:rsidRPr="00F74C6A" w:rsidRDefault="00F74C6A">
      <w:pPr>
        <w:pStyle w:val="TOC1"/>
        <w:rPr>
          <w:rFonts w:eastAsiaTheme="minorEastAsia" w:cstheme="minorBidi"/>
          <w:noProof/>
          <w:sz w:val="22"/>
          <w:szCs w:val="22"/>
          <w:lang w:eastAsia="en-AU"/>
        </w:rPr>
      </w:pPr>
      <w:r w:rsidRPr="00F74C6A">
        <w:rPr>
          <w:noProof/>
        </w:rPr>
        <w:t>Appendix C – Strategy development process</w:t>
      </w:r>
      <w:r w:rsidRPr="00F74C6A">
        <w:rPr>
          <w:noProof/>
        </w:rPr>
        <w:tab/>
      </w:r>
      <w:r w:rsidRPr="00F74C6A">
        <w:rPr>
          <w:noProof/>
        </w:rPr>
        <w:fldChar w:fldCharType="begin"/>
      </w:r>
      <w:r w:rsidRPr="00F74C6A">
        <w:rPr>
          <w:noProof/>
        </w:rPr>
        <w:instrText xml:space="preserve"> PAGEREF _Toc13224818 \h </w:instrText>
      </w:r>
      <w:r w:rsidRPr="00F74C6A">
        <w:rPr>
          <w:noProof/>
        </w:rPr>
      </w:r>
      <w:r w:rsidRPr="00F74C6A">
        <w:rPr>
          <w:noProof/>
        </w:rPr>
        <w:fldChar w:fldCharType="separate"/>
      </w:r>
      <w:r w:rsidR="00564400">
        <w:rPr>
          <w:noProof/>
        </w:rPr>
        <w:t>89</w:t>
      </w:r>
      <w:r w:rsidRPr="00F74C6A">
        <w:rPr>
          <w:noProof/>
        </w:rPr>
        <w:fldChar w:fldCharType="end"/>
      </w:r>
    </w:p>
    <w:p w14:paraId="601F9C37" w14:textId="4853D8F3" w:rsidR="00F74C6A" w:rsidRPr="00F74C6A" w:rsidRDefault="00F74C6A">
      <w:pPr>
        <w:pStyle w:val="TOC1"/>
        <w:rPr>
          <w:rFonts w:eastAsiaTheme="minorEastAsia" w:cstheme="minorBidi"/>
          <w:noProof/>
          <w:sz w:val="22"/>
          <w:szCs w:val="22"/>
          <w:lang w:eastAsia="en-AU"/>
        </w:rPr>
      </w:pPr>
      <w:r w:rsidRPr="00F74C6A">
        <w:rPr>
          <w:noProof/>
        </w:rPr>
        <w:t>Appendix D – Terms of Reference</w:t>
      </w:r>
      <w:r w:rsidRPr="00F74C6A">
        <w:rPr>
          <w:noProof/>
        </w:rPr>
        <w:tab/>
      </w:r>
      <w:r w:rsidRPr="00F74C6A">
        <w:rPr>
          <w:noProof/>
        </w:rPr>
        <w:fldChar w:fldCharType="begin"/>
      </w:r>
      <w:r w:rsidRPr="00F74C6A">
        <w:rPr>
          <w:noProof/>
        </w:rPr>
        <w:instrText xml:space="preserve"> PAGEREF _Toc13224824 \h </w:instrText>
      </w:r>
      <w:r w:rsidRPr="00F74C6A">
        <w:rPr>
          <w:noProof/>
        </w:rPr>
      </w:r>
      <w:r w:rsidRPr="00F74C6A">
        <w:rPr>
          <w:noProof/>
        </w:rPr>
        <w:fldChar w:fldCharType="separate"/>
      </w:r>
      <w:r w:rsidR="00564400">
        <w:rPr>
          <w:noProof/>
        </w:rPr>
        <w:t>92</w:t>
      </w:r>
      <w:r w:rsidRPr="00F74C6A">
        <w:rPr>
          <w:noProof/>
        </w:rPr>
        <w:fldChar w:fldCharType="end"/>
      </w:r>
    </w:p>
    <w:p w14:paraId="37B8D3DB" w14:textId="53B6B752" w:rsidR="00F74C6A" w:rsidRPr="00F74C6A" w:rsidRDefault="00F74C6A">
      <w:pPr>
        <w:pStyle w:val="TOC1"/>
        <w:rPr>
          <w:rFonts w:eastAsiaTheme="minorEastAsia" w:cstheme="minorBidi"/>
          <w:noProof/>
          <w:sz w:val="22"/>
          <w:szCs w:val="22"/>
          <w:lang w:eastAsia="en-AU"/>
        </w:rPr>
      </w:pPr>
      <w:r w:rsidRPr="00F74C6A">
        <w:rPr>
          <w:noProof/>
        </w:rPr>
        <w:t>Appendix E – List of consultations</w:t>
      </w:r>
      <w:r w:rsidRPr="00F74C6A">
        <w:rPr>
          <w:noProof/>
        </w:rPr>
        <w:tab/>
      </w:r>
      <w:r w:rsidRPr="00F74C6A">
        <w:rPr>
          <w:noProof/>
        </w:rPr>
        <w:fldChar w:fldCharType="begin"/>
      </w:r>
      <w:r w:rsidRPr="00F74C6A">
        <w:rPr>
          <w:noProof/>
        </w:rPr>
        <w:instrText xml:space="preserve"> PAGEREF _Toc13224825 \h </w:instrText>
      </w:r>
      <w:r w:rsidRPr="00F74C6A">
        <w:rPr>
          <w:noProof/>
        </w:rPr>
      </w:r>
      <w:r w:rsidRPr="00F74C6A">
        <w:rPr>
          <w:noProof/>
        </w:rPr>
        <w:fldChar w:fldCharType="separate"/>
      </w:r>
      <w:r w:rsidR="00564400">
        <w:rPr>
          <w:noProof/>
        </w:rPr>
        <w:t>93</w:t>
      </w:r>
      <w:r w:rsidRPr="00F74C6A">
        <w:rPr>
          <w:noProof/>
        </w:rPr>
        <w:fldChar w:fldCharType="end"/>
      </w:r>
    </w:p>
    <w:p w14:paraId="48A44549" w14:textId="23A3A4D9" w:rsidR="00F74C6A" w:rsidRPr="00F74C6A" w:rsidRDefault="00F74C6A">
      <w:pPr>
        <w:pStyle w:val="TOC1"/>
        <w:rPr>
          <w:rFonts w:eastAsiaTheme="minorEastAsia" w:cstheme="minorBidi"/>
          <w:noProof/>
          <w:sz w:val="22"/>
          <w:szCs w:val="22"/>
          <w:lang w:eastAsia="en-AU"/>
        </w:rPr>
      </w:pPr>
      <w:r w:rsidRPr="00F74C6A">
        <w:rPr>
          <w:noProof/>
        </w:rPr>
        <w:t>Appendix F – List of public submissions and responses</w:t>
      </w:r>
      <w:r w:rsidRPr="00F74C6A">
        <w:rPr>
          <w:noProof/>
        </w:rPr>
        <w:tab/>
      </w:r>
      <w:r w:rsidRPr="00F74C6A">
        <w:rPr>
          <w:noProof/>
        </w:rPr>
        <w:fldChar w:fldCharType="begin"/>
      </w:r>
      <w:r w:rsidRPr="00F74C6A">
        <w:rPr>
          <w:noProof/>
        </w:rPr>
        <w:instrText xml:space="preserve"> PAGEREF _Toc13224826 \h </w:instrText>
      </w:r>
      <w:r w:rsidRPr="00F74C6A">
        <w:rPr>
          <w:noProof/>
        </w:rPr>
      </w:r>
      <w:r w:rsidRPr="00F74C6A">
        <w:rPr>
          <w:noProof/>
        </w:rPr>
        <w:fldChar w:fldCharType="separate"/>
      </w:r>
      <w:r w:rsidR="00564400">
        <w:rPr>
          <w:noProof/>
        </w:rPr>
        <w:t>95</w:t>
      </w:r>
      <w:r w:rsidRPr="00F74C6A">
        <w:rPr>
          <w:noProof/>
        </w:rPr>
        <w:fldChar w:fldCharType="end"/>
      </w:r>
    </w:p>
    <w:p w14:paraId="6102DB5B" w14:textId="57F7ED6D" w:rsidR="00F74C6A" w:rsidRPr="00F74C6A" w:rsidRDefault="00F74C6A">
      <w:pPr>
        <w:pStyle w:val="TOC1"/>
        <w:rPr>
          <w:rFonts w:eastAsiaTheme="minorEastAsia" w:cstheme="minorBidi"/>
          <w:noProof/>
          <w:sz w:val="22"/>
          <w:szCs w:val="22"/>
          <w:lang w:eastAsia="en-AU"/>
        </w:rPr>
      </w:pPr>
      <w:r w:rsidRPr="00F74C6A">
        <w:rPr>
          <w:noProof/>
        </w:rPr>
        <w:t>Appendix G – Glossary</w:t>
      </w:r>
      <w:r w:rsidRPr="00F74C6A">
        <w:rPr>
          <w:noProof/>
        </w:rPr>
        <w:tab/>
      </w:r>
      <w:r w:rsidRPr="00F74C6A">
        <w:rPr>
          <w:noProof/>
        </w:rPr>
        <w:fldChar w:fldCharType="begin"/>
      </w:r>
      <w:r w:rsidRPr="00F74C6A">
        <w:rPr>
          <w:noProof/>
        </w:rPr>
        <w:instrText xml:space="preserve"> PAGEREF _Toc13224827 \h </w:instrText>
      </w:r>
      <w:r w:rsidRPr="00F74C6A">
        <w:rPr>
          <w:noProof/>
        </w:rPr>
      </w:r>
      <w:r w:rsidRPr="00F74C6A">
        <w:rPr>
          <w:noProof/>
        </w:rPr>
        <w:fldChar w:fldCharType="separate"/>
      </w:r>
      <w:r w:rsidR="00564400">
        <w:rPr>
          <w:noProof/>
        </w:rPr>
        <w:t>97</w:t>
      </w:r>
      <w:r w:rsidRPr="00F74C6A">
        <w:rPr>
          <w:noProof/>
        </w:rPr>
        <w:fldChar w:fldCharType="end"/>
      </w:r>
    </w:p>
    <w:p w14:paraId="288D7C4D" w14:textId="0C904778" w:rsidR="00564400" w:rsidRDefault="00F74C6A" w:rsidP="00F74C6A">
      <w:pPr>
        <w:pStyle w:val="Heading1"/>
        <w:tabs>
          <w:tab w:val="right" w:pos="8364"/>
        </w:tabs>
        <w:rPr>
          <w:rFonts w:eastAsiaTheme="minorHAnsi" w:cstheme="majorHAnsi"/>
          <w:b/>
          <w:bCs/>
          <w:color w:val="auto"/>
          <w:sz w:val="24"/>
          <w:szCs w:val="24"/>
        </w:rPr>
      </w:pPr>
      <w:r w:rsidRPr="00F74C6A">
        <w:rPr>
          <w:rFonts w:eastAsiaTheme="minorHAnsi" w:cstheme="majorHAnsi"/>
          <w:b/>
          <w:bCs/>
          <w:color w:val="auto"/>
          <w:sz w:val="24"/>
          <w:szCs w:val="24"/>
        </w:rPr>
        <w:fldChar w:fldCharType="end"/>
      </w:r>
      <w:bookmarkStart w:id="5" w:name="_Toc13224782"/>
    </w:p>
    <w:p w14:paraId="68F77627" w14:textId="4EF10D6D" w:rsidR="00564400" w:rsidRDefault="00564400" w:rsidP="00263861"/>
    <w:p w14:paraId="109CF028" w14:textId="77777777" w:rsidR="00564400" w:rsidRPr="00263861" w:rsidRDefault="00564400" w:rsidP="00263861"/>
    <w:p w14:paraId="23BC8014" w14:textId="5485B56A" w:rsidR="00F74C6A" w:rsidRDefault="00F505F1" w:rsidP="00F74C6A">
      <w:pPr>
        <w:pStyle w:val="Heading1"/>
        <w:tabs>
          <w:tab w:val="right" w:pos="8364"/>
        </w:tabs>
      </w:pPr>
      <w:r>
        <w:lastRenderedPageBreak/>
        <w:t>List of tables and figures</w:t>
      </w:r>
      <w:bookmarkEnd w:id="5"/>
      <w:r>
        <w:t xml:space="preserve"> </w:t>
      </w:r>
    </w:p>
    <w:p w14:paraId="591283F8" w14:textId="77777777" w:rsidR="00324FCB" w:rsidRPr="00324FCB" w:rsidRDefault="00324FCB" w:rsidP="00324FCB"/>
    <w:p w14:paraId="4E9046DC" w14:textId="77B4DC5A" w:rsidR="00F74C6A" w:rsidRPr="00324FCB" w:rsidRDefault="00F74C6A" w:rsidP="00324FCB">
      <w:pPr>
        <w:pStyle w:val="TableofFigures"/>
        <w:tabs>
          <w:tab w:val="right" w:pos="10194"/>
        </w:tabs>
        <w:spacing w:line="360" w:lineRule="auto"/>
        <w:rPr>
          <w:noProof/>
        </w:rPr>
      </w:pPr>
      <w:r>
        <w:fldChar w:fldCharType="begin"/>
      </w:r>
      <w:r>
        <w:instrText xml:space="preserve"> TOC \h \z \c "Table" </w:instrText>
      </w:r>
      <w:r>
        <w:fldChar w:fldCharType="separate"/>
      </w:r>
      <w:hyperlink w:anchor="_Toc13224968" w:history="1">
        <w:r w:rsidRPr="0010225E">
          <w:rPr>
            <w:rStyle w:val="Hyperlink"/>
            <w:noProof/>
          </w:rPr>
          <w:t>Table 1.</w:t>
        </w:r>
        <w:r w:rsidRPr="00324FCB">
          <w:rPr>
            <w:rStyle w:val="Hyperlink"/>
            <w:noProof/>
          </w:rPr>
          <w:t xml:space="preserve"> Characteristics of tertiary participation in RRR areas, 2017</w:t>
        </w:r>
        <w:r w:rsidRPr="00324FCB">
          <w:rPr>
            <w:noProof/>
            <w:webHidden/>
          </w:rPr>
          <w:tab/>
        </w:r>
        <w:r w:rsidRPr="00324FCB">
          <w:rPr>
            <w:noProof/>
            <w:webHidden/>
          </w:rPr>
          <w:fldChar w:fldCharType="begin"/>
        </w:r>
        <w:r w:rsidRPr="00324FCB">
          <w:rPr>
            <w:noProof/>
            <w:webHidden/>
          </w:rPr>
          <w:instrText xml:space="preserve"> PAGEREF _Toc13224968 \h </w:instrText>
        </w:r>
        <w:r w:rsidRPr="00324FCB">
          <w:rPr>
            <w:noProof/>
            <w:webHidden/>
          </w:rPr>
        </w:r>
        <w:r w:rsidRPr="00324FCB">
          <w:rPr>
            <w:noProof/>
            <w:webHidden/>
          </w:rPr>
          <w:fldChar w:fldCharType="separate"/>
        </w:r>
        <w:r w:rsidRPr="00324FCB">
          <w:rPr>
            <w:noProof/>
            <w:webHidden/>
          </w:rPr>
          <w:t>13</w:t>
        </w:r>
        <w:r w:rsidRPr="00324FCB">
          <w:rPr>
            <w:noProof/>
            <w:webHidden/>
          </w:rPr>
          <w:fldChar w:fldCharType="end"/>
        </w:r>
      </w:hyperlink>
    </w:p>
    <w:p w14:paraId="0FFB429D" w14:textId="70765484" w:rsidR="00F74C6A" w:rsidRPr="00324FCB" w:rsidRDefault="000652D9" w:rsidP="00324FCB">
      <w:pPr>
        <w:pStyle w:val="TableofFigures"/>
        <w:tabs>
          <w:tab w:val="right" w:pos="10194"/>
        </w:tabs>
        <w:spacing w:line="360" w:lineRule="auto"/>
        <w:rPr>
          <w:noProof/>
        </w:rPr>
      </w:pPr>
      <w:hyperlink w:anchor="_Toc13224969" w:history="1">
        <w:r w:rsidR="00F74C6A" w:rsidRPr="0010225E">
          <w:rPr>
            <w:rStyle w:val="Hyperlink"/>
            <w:noProof/>
          </w:rPr>
          <w:t>Table 2.</w:t>
        </w:r>
        <w:r w:rsidR="00F74C6A" w:rsidRPr="00324FCB">
          <w:rPr>
            <w:rStyle w:val="Hyperlink"/>
            <w:noProof/>
          </w:rPr>
          <w:t xml:space="preserve"> Employment outcomes of recent graduates (undergraduate level) by remoteness, 2018</w:t>
        </w:r>
        <w:r w:rsidR="00F74C6A" w:rsidRPr="00324FCB">
          <w:rPr>
            <w:noProof/>
            <w:webHidden/>
          </w:rPr>
          <w:tab/>
        </w:r>
        <w:r w:rsidR="00F74C6A" w:rsidRPr="00324FCB">
          <w:rPr>
            <w:noProof/>
            <w:webHidden/>
          </w:rPr>
          <w:fldChar w:fldCharType="begin"/>
        </w:r>
        <w:r w:rsidR="00F74C6A" w:rsidRPr="00324FCB">
          <w:rPr>
            <w:noProof/>
            <w:webHidden/>
          </w:rPr>
          <w:instrText xml:space="preserve"> PAGEREF _Toc13224969 \h </w:instrText>
        </w:r>
        <w:r w:rsidR="00F74C6A" w:rsidRPr="00324FCB">
          <w:rPr>
            <w:noProof/>
            <w:webHidden/>
          </w:rPr>
        </w:r>
        <w:r w:rsidR="00F74C6A" w:rsidRPr="00324FCB">
          <w:rPr>
            <w:noProof/>
            <w:webHidden/>
          </w:rPr>
          <w:fldChar w:fldCharType="separate"/>
        </w:r>
        <w:r w:rsidR="00F74C6A" w:rsidRPr="00324FCB">
          <w:rPr>
            <w:noProof/>
            <w:webHidden/>
          </w:rPr>
          <w:t>14</w:t>
        </w:r>
        <w:r w:rsidR="00F74C6A" w:rsidRPr="00324FCB">
          <w:rPr>
            <w:noProof/>
            <w:webHidden/>
          </w:rPr>
          <w:fldChar w:fldCharType="end"/>
        </w:r>
      </w:hyperlink>
    </w:p>
    <w:p w14:paraId="35372899" w14:textId="0695347B" w:rsidR="00F74C6A" w:rsidRPr="00324FCB" w:rsidRDefault="000652D9" w:rsidP="00324FCB">
      <w:pPr>
        <w:pStyle w:val="TableofFigures"/>
        <w:tabs>
          <w:tab w:val="right" w:pos="10194"/>
        </w:tabs>
        <w:spacing w:line="360" w:lineRule="auto"/>
        <w:rPr>
          <w:noProof/>
        </w:rPr>
      </w:pPr>
      <w:hyperlink w:anchor="_Toc13224970" w:history="1">
        <w:r w:rsidR="00F74C6A" w:rsidRPr="0010225E">
          <w:rPr>
            <w:rStyle w:val="Hyperlink"/>
            <w:noProof/>
          </w:rPr>
          <w:t>Table 3.</w:t>
        </w:r>
        <w:r w:rsidR="00F74C6A" w:rsidRPr="00324FCB">
          <w:rPr>
            <w:rStyle w:val="Hyperlink"/>
            <w:noProof/>
          </w:rPr>
          <w:t xml:space="preserve"> Employment outcomes for VET (2017 graduates surveyed in 2018)</w:t>
        </w:r>
        <w:r w:rsidR="00F74C6A" w:rsidRPr="00324FCB">
          <w:rPr>
            <w:noProof/>
            <w:webHidden/>
          </w:rPr>
          <w:tab/>
        </w:r>
        <w:r w:rsidR="00F74C6A" w:rsidRPr="00324FCB">
          <w:rPr>
            <w:noProof/>
            <w:webHidden/>
          </w:rPr>
          <w:fldChar w:fldCharType="begin"/>
        </w:r>
        <w:r w:rsidR="00F74C6A" w:rsidRPr="00324FCB">
          <w:rPr>
            <w:noProof/>
            <w:webHidden/>
          </w:rPr>
          <w:instrText xml:space="preserve"> PAGEREF _Toc13224970 \h </w:instrText>
        </w:r>
        <w:r w:rsidR="00F74C6A" w:rsidRPr="00324FCB">
          <w:rPr>
            <w:noProof/>
            <w:webHidden/>
          </w:rPr>
        </w:r>
        <w:r w:rsidR="00F74C6A" w:rsidRPr="00324FCB">
          <w:rPr>
            <w:noProof/>
            <w:webHidden/>
          </w:rPr>
          <w:fldChar w:fldCharType="separate"/>
        </w:r>
        <w:r w:rsidR="00F74C6A" w:rsidRPr="00324FCB">
          <w:rPr>
            <w:noProof/>
            <w:webHidden/>
          </w:rPr>
          <w:t>14</w:t>
        </w:r>
        <w:r w:rsidR="00F74C6A" w:rsidRPr="00324FCB">
          <w:rPr>
            <w:noProof/>
            <w:webHidden/>
          </w:rPr>
          <w:fldChar w:fldCharType="end"/>
        </w:r>
      </w:hyperlink>
    </w:p>
    <w:p w14:paraId="201D4BD4" w14:textId="250B1526" w:rsidR="00F74C6A" w:rsidRPr="00324FCB" w:rsidRDefault="000652D9" w:rsidP="00324FCB">
      <w:pPr>
        <w:pStyle w:val="TableofFigures"/>
        <w:tabs>
          <w:tab w:val="right" w:pos="10194"/>
        </w:tabs>
        <w:spacing w:line="360" w:lineRule="auto"/>
        <w:rPr>
          <w:noProof/>
        </w:rPr>
      </w:pPr>
      <w:hyperlink w:anchor="_Toc13224971" w:history="1">
        <w:r w:rsidR="00F74C6A" w:rsidRPr="0010225E">
          <w:rPr>
            <w:rStyle w:val="Hyperlink"/>
            <w:noProof/>
          </w:rPr>
          <w:t>Table 4.</w:t>
        </w:r>
        <w:r w:rsidR="00F74C6A" w:rsidRPr="00324FCB">
          <w:rPr>
            <w:rStyle w:val="Hyperlink"/>
            <w:noProof/>
          </w:rPr>
          <w:t xml:space="preserve"> Growth in total number of VET students (2015 to 2017)</w:t>
        </w:r>
        <w:r w:rsidR="00F74C6A" w:rsidRPr="00324FCB">
          <w:rPr>
            <w:noProof/>
            <w:webHidden/>
          </w:rPr>
          <w:tab/>
        </w:r>
        <w:r w:rsidR="00F74C6A" w:rsidRPr="00324FCB">
          <w:rPr>
            <w:noProof/>
            <w:webHidden/>
          </w:rPr>
          <w:fldChar w:fldCharType="begin"/>
        </w:r>
        <w:r w:rsidR="00F74C6A" w:rsidRPr="00324FCB">
          <w:rPr>
            <w:noProof/>
            <w:webHidden/>
          </w:rPr>
          <w:instrText xml:space="preserve"> PAGEREF _Toc13224971 \h </w:instrText>
        </w:r>
        <w:r w:rsidR="00F74C6A" w:rsidRPr="00324FCB">
          <w:rPr>
            <w:noProof/>
            <w:webHidden/>
          </w:rPr>
        </w:r>
        <w:r w:rsidR="00F74C6A" w:rsidRPr="00324FCB">
          <w:rPr>
            <w:noProof/>
            <w:webHidden/>
          </w:rPr>
          <w:fldChar w:fldCharType="separate"/>
        </w:r>
        <w:r w:rsidR="00F74C6A" w:rsidRPr="00324FCB">
          <w:rPr>
            <w:noProof/>
            <w:webHidden/>
          </w:rPr>
          <w:t>21</w:t>
        </w:r>
        <w:r w:rsidR="00F74C6A" w:rsidRPr="00324FCB">
          <w:rPr>
            <w:noProof/>
            <w:webHidden/>
          </w:rPr>
          <w:fldChar w:fldCharType="end"/>
        </w:r>
      </w:hyperlink>
    </w:p>
    <w:p w14:paraId="1EF2BA1E" w14:textId="35370AB4" w:rsidR="00F74C6A" w:rsidRPr="00324FCB" w:rsidRDefault="000652D9" w:rsidP="00324FCB">
      <w:pPr>
        <w:pStyle w:val="TableofFigures"/>
        <w:tabs>
          <w:tab w:val="right" w:pos="10194"/>
        </w:tabs>
        <w:spacing w:line="360" w:lineRule="auto"/>
        <w:rPr>
          <w:noProof/>
        </w:rPr>
      </w:pPr>
      <w:hyperlink w:anchor="_Toc13224972" w:history="1">
        <w:r w:rsidR="00F74C6A" w:rsidRPr="0010225E">
          <w:rPr>
            <w:rStyle w:val="Hyperlink"/>
            <w:noProof/>
          </w:rPr>
          <w:t>Table 5.</w:t>
        </w:r>
        <w:r w:rsidR="00F74C6A" w:rsidRPr="00324FCB">
          <w:rPr>
            <w:rStyle w:val="Hyperlink"/>
            <w:noProof/>
          </w:rPr>
          <w:t xml:space="preserve"> Percentage of children developmentally vulnerable by remoteness, 2018</w:t>
        </w:r>
        <w:r w:rsidR="00F74C6A" w:rsidRPr="00324FCB">
          <w:rPr>
            <w:noProof/>
            <w:webHidden/>
          </w:rPr>
          <w:tab/>
        </w:r>
        <w:r w:rsidR="00F74C6A" w:rsidRPr="00324FCB">
          <w:rPr>
            <w:noProof/>
            <w:webHidden/>
          </w:rPr>
          <w:fldChar w:fldCharType="begin"/>
        </w:r>
        <w:r w:rsidR="00F74C6A" w:rsidRPr="00324FCB">
          <w:rPr>
            <w:noProof/>
            <w:webHidden/>
          </w:rPr>
          <w:instrText xml:space="preserve"> PAGEREF _Toc13224972 \h </w:instrText>
        </w:r>
        <w:r w:rsidR="00F74C6A" w:rsidRPr="00324FCB">
          <w:rPr>
            <w:noProof/>
            <w:webHidden/>
          </w:rPr>
        </w:r>
        <w:r w:rsidR="00F74C6A" w:rsidRPr="00324FCB">
          <w:rPr>
            <w:noProof/>
            <w:webHidden/>
          </w:rPr>
          <w:fldChar w:fldCharType="separate"/>
        </w:r>
        <w:r w:rsidR="00F74C6A" w:rsidRPr="00324FCB">
          <w:rPr>
            <w:noProof/>
            <w:webHidden/>
          </w:rPr>
          <w:t>29</w:t>
        </w:r>
        <w:r w:rsidR="00F74C6A" w:rsidRPr="00324FCB">
          <w:rPr>
            <w:noProof/>
            <w:webHidden/>
          </w:rPr>
          <w:fldChar w:fldCharType="end"/>
        </w:r>
      </w:hyperlink>
    </w:p>
    <w:p w14:paraId="60DAC9EB" w14:textId="1BA26233" w:rsidR="00F74C6A" w:rsidRPr="00324FCB" w:rsidRDefault="000652D9" w:rsidP="00324FCB">
      <w:pPr>
        <w:pStyle w:val="TableofFigures"/>
        <w:tabs>
          <w:tab w:val="right" w:pos="10194"/>
        </w:tabs>
        <w:spacing w:line="360" w:lineRule="auto"/>
        <w:rPr>
          <w:noProof/>
        </w:rPr>
      </w:pPr>
      <w:hyperlink w:anchor="_Toc13224973" w:history="1">
        <w:r w:rsidR="00F74C6A" w:rsidRPr="0010225E">
          <w:rPr>
            <w:rStyle w:val="Hyperlink"/>
            <w:noProof/>
          </w:rPr>
          <w:t>Table 6.</w:t>
        </w:r>
        <w:r w:rsidR="00F74C6A" w:rsidRPr="00324FCB">
          <w:rPr>
            <w:rStyle w:val="Hyperlink"/>
            <w:noProof/>
          </w:rPr>
          <w:t xml:space="preserve"> Tertiary education participation by equity group, 2016</w:t>
        </w:r>
        <w:r w:rsidR="00F74C6A" w:rsidRPr="00324FCB">
          <w:rPr>
            <w:noProof/>
            <w:webHidden/>
          </w:rPr>
          <w:tab/>
        </w:r>
        <w:r w:rsidR="00F74C6A" w:rsidRPr="00324FCB">
          <w:rPr>
            <w:noProof/>
            <w:webHidden/>
          </w:rPr>
          <w:fldChar w:fldCharType="begin"/>
        </w:r>
        <w:r w:rsidR="00F74C6A" w:rsidRPr="00324FCB">
          <w:rPr>
            <w:noProof/>
            <w:webHidden/>
          </w:rPr>
          <w:instrText xml:space="preserve"> PAGEREF _Toc13224973 \h </w:instrText>
        </w:r>
        <w:r w:rsidR="00F74C6A" w:rsidRPr="00324FCB">
          <w:rPr>
            <w:noProof/>
            <w:webHidden/>
          </w:rPr>
        </w:r>
        <w:r w:rsidR="00F74C6A" w:rsidRPr="00324FCB">
          <w:rPr>
            <w:noProof/>
            <w:webHidden/>
          </w:rPr>
          <w:fldChar w:fldCharType="separate"/>
        </w:r>
        <w:r w:rsidR="00F74C6A" w:rsidRPr="00324FCB">
          <w:rPr>
            <w:noProof/>
            <w:webHidden/>
          </w:rPr>
          <w:t>34</w:t>
        </w:r>
        <w:r w:rsidR="00F74C6A" w:rsidRPr="00324FCB">
          <w:rPr>
            <w:noProof/>
            <w:webHidden/>
          </w:rPr>
          <w:fldChar w:fldCharType="end"/>
        </w:r>
      </w:hyperlink>
    </w:p>
    <w:p w14:paraId="44811EFA" w14:textId="3F9E0AF4" w:rsidR="00F74C6A" w:rsidRPr="00324FCB" w:rsidRDefault="000652D9" w:rsidP="00324FCB">
      <w:pPr>
        <w:pStyle w:val="TableofFigures"/>
        <w:tabs>
          <w:tab w:val="right" w:pos="10194"/>
        </w:tabs>
        <w:spacing w:line="360" w:lineRule="auto"/>
        <w:rPr>
          <w:noProof/>
        </w:rPr>
      </w:pPr>
      <w:hyperlink w:anchor="_Toc13224974" w:history="1">
        <w:r w:rsidR="00F74C6A" w:rsidRPr="0010225E">
          <w:rPr>
            <w:rStyle w:val="Hyperlink"/>
            <w:noProof/>
          </w:rPr>
          <w:t>Table 7.</w:t>
        </w:r>
        <w:r w:rsidR="00F74C6A" w:rsidRPr="00324FCB">
          <w:rPr>
            <w:rStyle w:val="Hyperlink"/>
            <w:noProof/>
          </w:rPr>
          <w:t xml:space="preserve"> Proportion of population and tertiary students with disability, 2016</w:t>
        </w:r>
        <w:r w:rsidR="00F74C6A" w:rsidRPr="00324FCB">
          <w:rPr>
            <w:noProof/>
            <w:webHidden/>
          </w:rPr>
          <w:tab/>
        </w:r>
        <w:r w:rsidR="00F74C6A" w:rsidRPr="00324FCB">
          <w:rPr>
            <w:noProof/>
            <w:webHidden/>
          </w:rPr>
          <w:fldChar w:fldCharType="begin"/>
        </w:r>
        <w:r w:rsidR="00F74C6A" w:rsidRPr="00324FCB">
          <w:rPr>
            <w:noProof/>
            <w:webHidden/>
          </w:rPr>
          <w:instrText xml:space="preserve"> PAGEREF _Toc13224974 \h </w:instrText>
        </w:r>
        <w:r w:rsidR="00F74C6A" w:rsidRPr="00324FCB">
          <w:rPr>
            <w:noProof/>
            <w:webHidden/>
          </w:rPr>
        </w:r>
        <w:r w:rsidR="00F74C6A" w:rsidRPr="00324FCB">
          <w:rPr>
            <w:noProof/>
            <w:webHidden/>
          </w:rPr>
          <w:fldChar w:fldCharType="separate"/>
        </w:r>
        <w:r w:rsidR="00F74C6A" w:rsidRPr="00324FCB">
          <w:rPr>
            <w:noProof/>
            <w:webHidden/>
          </w:rPr>
          <w:t>37</w:t>
        </w:r>
        <w:r w:rsidR="00F74C6A" w:rsidRPr="00324FCB">
          <w:rPr>
            <w:noProof/>
            <w:webHidden/>
          </w:rPr>
          <w:fldChar w:fldCharType="end"/>
        </w:r>
      </w:hyperlink>
    </w:p>
    <w:p w14:paraId="56CEA81E" w14:textId="31F7FEB2" w:rsidR="008136A6" w:rsidRPr="00306207" w:rsidRDefault="00F74C6A" w:rsidP="00F74C6A">
      <w:pPr>
        <w:pStyle w:val="Heading1"/>
        <w:tabs>
          <w:tab w:val="right" w:pos="8364"/>
        </w:tabs>
        <w:rPr>
          <w:rFonts w:asciiTheme="majorHAnsi" w:hAnsiTheme="majorHAnsi" w:cstheme="majorBidi"/>
          <w:color w:val="2B363D" w:themeColor="accent1" w:themeShade="BF"/>
          <w:sz w:val="32"/>
          <w:szCs w:val="32"/>
        </w:rPr>
      </w:pPr>
      <w:r>
        <w:fldChar w:fldCharType="end"/>
      </w:r>
      <w:r w:rsidR="00955131" w:rsidRPr="00306207">
        <w:tab/>
      </w:r>
    </w:p>
    <w:p w14:paraId="48E2F202" w14:textId="77777777" w:rsidR="00324FCB" w:rsidRDefault="00324FCB"/>
    <w:p w14:paraId="077EBB4E" w14:textId="2D1716F9" w:rsidR="00324FCB" w:rsidRPr="00324FCB" w:rsidRDefault="00324FCB" w:rsidP="00324FCB">
      <w:pPr>
        <w:pStyle w:val="TableofFigures"/>
        <w:tabs>
          <w:tab w:val="right" w:pos="10194"/>
        </w:tabs>
        <w:spacing w:line="360" w:lineRule="auto"/>
        <w:rPr>
          <w:rFonts w:eastAsiaTheme="minorEastAsia"/>
          <w:noProof/>
          <w:lang w:eastAsia="en-AU"/>
        </w:rPr>
      </w:pPr>
      <w:r>
        <w:fldChar w:fldCharType="begin"/>
      </w:r>
      <w:r>
        <w:instrText xml:space="preserve"> TOC \h \z \c "Figure" </w:instrText>
      </w:r>
      <w:r>
        <w:fldChar w:fldCharType="separate"/>
      </w:r>
      <w:hyperlink w:anchor="_Toc13225132" w:history="1">
        <w:r w:rsidRPr="0010225E">
          <w:rPr>
            <w:rStyle w:val="Hyperlink"/>
            <w:noProof/>
          </w:rPr>
          <w:t>Figure 1.</w:t>
        </w:r>
        <w:r w:rsidRPr="00324FCB">
          <w:rPr>
            <w:rStyle w:val="Hyperlink"/>
            <w:noProof/>
          </w:rPr>
          <w:t xml:space="preserve"> Education attainment rates, 2016</w:t>
        </w:r>
        <w:r w:rsidRPr="00324FCB">
          <w:rPr>
            <w:noProof/>
            <w:webHidden/>
          </w:rPr>
          <w:tab/>
        </w:r>
        <w:r w:rsidRPr="00324FCB">
          <w:rPr>
            <w:noProof/>
            <w:webHidden/>
          </w:rPr>
          <w:fldChar w:fldCharType="begin"/>
        </w:r>
        <w:r w:rsidRPr="00324FCB">
          <w:rPr>
            <w:noProof/>
            <w:webHidden/>
          </w:rPr>
          <w:instrText xml:space="preserve"> PAGEREF _Toc13225132 \h </w:instrText>
        </w:r>
        <w:r w:rsidRPr="00324FCB">
          <w:rPr>
            <w:noProof/>
            <w:webHidden/>
          </w:rPr>
        </w:r>
        <w:r w:rsidRPr="00324FCB">
          <w:rPr>
            <w:noProof/>
            <w:webHidden/>
          </w:rPr>
          <w:fldChar w:fldCharType="separate"/>
        </w:r>
        <w:r w:rsidRPr="00324FCB">
          <w:rPr>
            <w:noProof/>
            <w:webHidden/>
          </w:rPr>
          <w:t>11</w:t>
        </w:r>
        <w:r w:rsidRPr="00324FCB">
          <w:rPr>
            <w:noProof/>
            <w:webHidden/>
          </w:rPr>
          <w:fldChar w:fldCharType="end"/>
        </w:r>
      </w:hyperlink>
    </w:p>
    <w:p w14:paraId="23E45D14" w14:textId="69D90A3F" w:rsidR="00324FCB" w:rsidRPr="00324FCB" w:rsidRDefault="000652D9" w:rsidP="00324FCB">
      <w:pPr>
        <w:pStyle w:val="TableofFigures"/>
        <w:tabs>
          <w:tab w:val="right" w:pos="10194"/>
        </w:tabs>
        <w:spacing w:line="360" w:lineRule="auto"/>
        <w:rPr>
          <w:rFonts w:eastAsiaTheme="minorEastAsia"/>
          <w:noProof/>
          <w:lang w:eastAsia="en-AU"/>
        </w:rPr>
      </w:pPr>
      <w:hyperlink w:anchor="_Toc13225133" w:history="1">
        <w:r w:rsidR="00324FCB" w:rsidRPr="0010225E">
          <w:rPr>
            <w:rStyle w:val="Hyperlink"/>
            <w:noProof/>
          </w:rPr>
          <w:t>Figure 2.</w:t>
        </w:r>
        <w:r w:rsidR="00324FCB" w:rsidRPr="00324FCB">
          <w:rPr>
            <w:rStyle w:val="Hyperlink"/>
            <w:noProof/>
          </w:rPr>
          <w:t xml:space="preserve"> Tertiary education sector snapshot, 2016</w:t>
        </w:r>
        <w:r w:rsidR="00324FCB" w:rsidRPr="00324FCB">
          <w:rPr>
            <w:noProof/>
            <w:webHidden/>
          </w:rPr>
          <w:tab/>
        </w:r>
        <w:r w:rsidR="00324FCB" w:rsidRPr="00324FCB">
          <w:rPr>
            <w:noProof/>
            <w:webHidden/>
          </w:rPr>
          <w:fldChar w:fldCharType="begin"/>
        </w:r>
        <w:r w:rsidR="00324FCB" w:rsidRPr="00324FCB">
          <w:rPr>
            <w:noProof/>
            <w:webHidden/>
          </w:rPr>
          <w:instrText xml:space="preserve"> PAGEREF _Toc13225133 \h </w:instrText>
        </w:r>
        <w:r w:rsidR="00324FCB" w:rsidRPr="00324FCB">
          <w:rPr>
            <w:noProof/>
            <w:webHidden/>
          </w:rPr>
        </w:r>
        <w:r w:rsidR="00324FCB" w:rsidRPr="00324FCB">
          <w:rPr>
            <w:noProof/>
            <w:webHidden/>
          </w:rPr>
          <w:fldChar w:fldCharType="separate"/>
        </w:r>
        <w:r w:rsidR="00324FCB" w:rsidRPr="00324FCB">
          <w:rPr>
            <w:noProof/>
            <w:webHidden/>
          </w:rPr>
          <w:t>12</w:t>
        </w:r>
        <w:r w:rsidR="00324FCB" w:rsidRPr="00324FCB">
          <w:rPr>
            <w:noProof/>
            <w:webHidden/>
          </w:rPr>
          <w:fldChar w:fldCharType="end"/>
        </w:r>
      </w:hyperlink>
    </w:p>
    <w:p w14:paraId="0AD39585" w14:textId="466B1124" w:rsidR="00324FCB" w:rsidRPr="00324FCB" w:rsidRDefault="000652D9" w:rsidP="00324FCB">
      <w:pPr>
        <w:pStyle w:val="TableofFigures"/>
        <w:tabs>
          <w:tab w:val="right" w:pos="10194"/>
        </w:tabs>
        <w:spacing w:line="360" w:lineRule="auto"/>
        <w:rPr>
          <w:rFonts w:eastAsiaTheme="minorEastAsia"/>
          <w:noProof/>
          <w:lang w:eastAsia="en-AU"/>
        </w:rPr>
      </w:pPr>
      <w:hyperlink w:anchor="_Toc13225134" w:history="1">
        <w:r w:rsidR="00324FCB" w:rsidRPr="0010225E">
          <w:rPr>
            <w:rStyle w:val="Hyperlink"/>
            <w:noProof/>
          </w:rPr>
          <w:t>Figure 3.</w:t>
        </w:r>
        <w:r w:rsidR="00324FCB" w:rsidRPr="00324FCB">
          <w:rPr>
            <w:rStyle w:val="Hyperlink"/>
            <w:noProof/>
          </w:rPr>
          <w:t xml:space="preserve"> Proportion of jobs for 25-34 year olds by remoteness, 2016</w:t>
        </w:r>
        <w:r w:rsidR="00324FCB" w:rsidRPr="00324FCB">
          <w:rPr>
            <w:noProof/>
            <w:webHidden/>
          </w:rPr>
          <w:tab/>
        </w:r>
        <w:r w:rsidR="00324FCB" w:rsidRPr="00324FCB">
          <w:rPr>
            <w:noProof/>
            <w:webHidden/>
          </w:rPr>
          <w:fldChar w:fldCharType="begin"/>
        </w:r>
        <w:r w:rsidR="00324FCB" w:rsidRPr="00324FCB">
          <w:rPr>
            <w:noProof/>
            <w:webHidden/>
          </w:rPr>
          <w:instrText xml:space="preserve"> PAGEREF _Toc13225134 \h </w:instrText>
        </w:r>
        <w:r w:rsidR="00324FCB" w:rsidRPr="00324FCB">
          <w:rPr>
            <w:noProof/>
            <w:webHidden/>
          </w:rPr>
        </w:r>
        <w:r w:rsidR="00324FCB" w:rsidRPr="00324FCB">
          <w:rPr>
            <w:noProof/>
            <w:webHidden/>
          </w:rPr>
          <w:fldChar w:fldCharType="separate"/>
        </w:r>
        <w:r w:rsidR="00324FCB" w:rsidRPr="00324FCB">
          <w:rPr>
            <w:noProof/>
            <w:webHidden/>
          </w:rPr>
          <w:t>19</w:t>
        </w:r>
        <w:r w:rsidR="00324FCB" w:rsidRPr="00324FCB">
          <w:rPr>
            <w:noProof/>
            <w:webHidden/>
          </w:rPr>
          <w:fldChar w:fldCharType="end"/>
        </w:r>
      </w:hyperlink>
    </w:p>
    <w:p w14:paraId="721BCD34" w14:textId="4D30E0C0" w:rsidR="00324FCB" w:rsidRPr="00324FCB" w:rsidRDefault="000652D9" w:rsidP="00324FCB">
      <w:pPr>
        <w:pStyle w:val="TableofFigures"/>
        <w:tabs>
          <w:tab w:val="right" w:pos="10194"/>
        </w:tabs>
        <w:spacing w:line="360" w:lineRule="auto"/>
        <w:rPr>
          <w:rFonts w:eastAsiaTheme="minorEastAsia"/>
          <w:noProof/>
          <w:lang w:eastAsia="en-AU"/>
        </w:rPr>
      </w:pPr>
      <w:hyperlink w:anchor="_Toc13225135" w:history="1">
        <w:r w:rsidR="00324FCB" w:rsidRPr="0010225E">
          <w:rPr>
            <w:rStyle w:val="Hyperlink"/>
            <w:noProof/>
          </w:rPr>
          <w:t>Figure 4.</w:t>
        </w:r>
        <w:r w:rsidR="00324FCB" w:rsidRPr="00324FCB">
          <w:rPr>
            <w:rStyle w:val="Hyperlink"/>
            <w:noProof/>
          </w:rPr>
          <w:t xml:space="preserve"> Map of remoteness categories and current tertiary education providers</w:t>
        </w:r>
        <w:r w:rsidR="00324FCB" w:rsidRPr="00324FCB">
          <w:rPr>
            <w:noProof/>
            <w:webHidden/>
          </w:rPr>
          <w:tab/>
        </w:r>
        <w:r w:rsidR="00324FCB" w:rsidRPr="00324FCB">
          <w:rPr>
            <w:noProof/>
            <w:webHidden/>
          </w:rPr>
          <w:fldChar w:fldCharType="begin"/>
        </w:r>
        <w:r w:rsidR="00324FCB" w:rsidRPr="00324FCB">
          <w:rPr>
            <w:noProof/>
            <w:webHidden/>
          </w:rPr>
          <w:instrText xml:space="preserve"> PAGEREF _Toc13225135 \h </w:instrText>
        </w:r>
        <w:r w:rsidR="00324FCB" w:rsidRPr="00324FCB">
          <w:rPr>
            <w:noProof/>
            <w:webHidden/>
          </w:rPr>
        </w:r>
        <w:r w:rsidR="00324FCB" w:rsidRPr="00324FCB">
          <w:rPr>
            <w:noProof/>
            <w:webHidden/>
          </w:rPr>
          <w:fldChar w:fldCharType="separate"/>
        </w:r>
        <w:r w:rsidR="00324FCB" w:rsidRPr="00324FCB">
          <w:rPr>
            <w:noProof/>
            <w:webHidden/>
          </w:rPr>
          <w:t>20</w:t>
        </w:r>
        <w:r w:rsidR="00324FCB" w:rsidRPr="00324FCB">
          <w:rPr>
            <w:noProof/>
            <w:webHidden/>
          </w:rPr>
          <w:fldChar w:fldCharType="end"/>
        </w:r>
      </w:hyperlink>
    </w:p>
    <w:p w14:paraId="2F9C4571" w14:textId="2B00C3C7" w:rsidR="00324FCB" w:rsidRPr="00324FCB" w:rsidRDefault="000652D9" w:rsidP="00324FCB">
      <w:pPr>
        <w:pStyle w:val="TableofFigures"/>
        <w:tabs>
          <w:tab w:val="right" w:pos="10194"/>
        </w:tabs>
        <w:spacing w:line="360" w:lineRule="auto"/>
        <w:rPr>
          <w:rFonts w:eastAsiaTheme="minorEastAsia"/>
          <w:noProof/>
          <w:lang w:eastAsia="en-AU"/>
        </w:rPr>
      </w:pPr>
      <w:hyperlink w:anchor="_Toc13225136" w:history="1">
        <w:r w:rsidR="00324FCB" w:rsidRPr="0010225E">
          <w:rPr>
            <w:rStyle w:val="Hyperlink"/>
            <w:noProof/>
          </w:rPr>
          <w:t>Figure 5.</w:t>
        </w:r>
        <w:r w:rsidR="00324FCB" w:rsidRPr="00324FCB">
          <w:rPr>
            <w:rStyle w:val="Hyperlink"/>
            <w:noProof/>
          </w:rPr>
          <w:t xml:space="preserve"> Attrition rate of domestic bachelor commencing students, 2017</w:t>
        </w:r>
        <w:r w:rsidR="00324FCB" w:rsidRPr="00324FCB">
          <w:rPr>
            <w:noProof/>
            <w:webHidden/>
          </w:rPr>
          <w:tab/>
        </w:r>
        <w:r w:rsidR="00324FCB" w:rsidRPr="00324FCB">
          <w:rPr>
            <w:noProof/>
            <w:webHidden/>
          </w:rPr>
          <w:fldChar w:fldCharType="begin"/>
        </w:r>
        <w:r w:rsidR="00324FCB" w:rsidRPr="00324FCB">
          <w:rPr>
            <w:noProof/>
            <w:webHidden/>
          </w:rPr>
          <w:instrText xml:space="preserve"> PAGEREF _Toc13225136 \h </w:instrText>
        </w:r>
        <w:r w:rsidR="00324FCB" w:rsidRPr="00324FCB">
          <w:rPr>
            <w:noProof/>
            <w:webHidden/>
          </w:rPr>
        </w:r>
        <w:r w:rsidR="00324FCB" w:rsidRPr="00324FCB">
          <w:rPr>
            <w:noProof/>
            <w:webHidden/>
          </w:rPr>
          <w:fldChar w:fldCharType="separate"/>
        </w:r>
        <w:r w:rsidR="00324FCB" w:rsidRPr="00324FCB">
          <w:rPr>
            <w:noProof/>
            <w:webHidden/>
          </w:rPr>
          <w:t>23</w:t>
        </w:r>
        <w:r w:rsidR="00324FCB" w:rsidRPr="00324FCB">
          <w:rPr>
            <w:noProof/>
            <w:webHidden/>
          </w:rPr>
          <w:fldChar w:fldCharType="end"/>
        </w:r>
      </w:hyperlink>
    </w:p>
    <w:p w14:paraId="1920DC24" w14:textId="57636DC7" w:rsidR="00324FCB" w:rsidRPr="00324FCB" w:rsidRDefault="000652D9" w:rsidP="00324FCB">
      <w:pPr>
        <w:pStyle w:val="TableofFigures"/>
        <w:tabs>
          <w:tab w:val="right" w:pos="10194"/>
        </w:tabs>
        <w:spacing w:line="360" w:lineRule="auto"/>
        <w:rPr>
          <w:rFonts w:eastAsiaTheme="minorEastAsia"/>
          <w:noProof/>
          <w:lang w:eastAsia="en-AU"/>
        </w:rPr>
      </w:pPr>
      <w:hyperlink r:id="rId15" w:anchor="_Toc13225137" w:history="1">
        <w:r w:rsidR="00324FCB" w:rsidRPr="0010225E">
          <w:rPr>
            <w:rStyle w:val="Hyperlink"/>
            <w:noProof/>
          </w:rPr>
          <w:t>Figure 6.</w:t>
        </w:r>
        <w:r w:rsidR="00324FCB" w:rsidRPr="00324FCB">
          <w:rPr>
            <w:rStyle w:val="Hyperlink"/>
            <w:noProof/>
          </w:rPr>
          <w:t xml:space="preserve"> NAPLAN - Average score in Reading by year level and remoteness, 2017</w:t>
        </w:r>
        <w:r w:rsidR="00324FCB" w:rsidRPr="00324FCB">
          <w:rPr>
            <w:noProof/>
            <w:webHidden/>
          </w:rPr>
          <w:tab/>
        </w:r>
        <w:r w:rsidR="00324FCB" w:rsidRPr="00324FCB">
          <w:rPr>
            <w:noProof/>
            <w:webHidden/>
          </w:rPr>
          <w:fldChar w:fldCharType="begin"/>
        </w:r>
        <w:r w:rsidR="00324FCB" w:rsidRPr="00324FCB">
          <w:rPr>
            <w:noProof/>
            <w:webHidden/>
          </w:rPr>
          <w:instrText xml:space="preserve"> PAGEREF _Toc13225137 \h </w:instrText>
        </w:r>
        <w:r w:rsidR="00324FCB" w:rsidRPr="00324FCB">
          <w:rPr>
            <w:noProof/>
            <w:webHidden/>
          </w:rPr>
        </w:r>
        <w:r w:rsidR="00324FCB" w:rsidRPr="00324FCB">
          <w:rPr>
            <w:noProof/>
            <w:webHidden/>
          </w:rPr>
          <w:fldChar w:fldCharType="separate"/>
        </w:r>
        <w:r w:rsidR="00324FCB" w:rsidRPr="00324FCB">
          <w:rPr>
            <w:noProof/>
            <w:webHidden/>
          </w:rPr>
          <w:t>30</w:t>
        </w:r>
        <w:r w:rsidR="00324FCB" w:rsidRPr="00324FCB">
          <w:rPr>
            <w:noProof/>
            <w:webHidden/>
          </w:rPr>
          <w:fldChar w:fldCharType="end"/>
        </w:r>
      </w:hyperlink>
    </w:p>
    <w:p w14:paraId="1CAA0D9F" w14:textId="1C7745E2" w:rsidR="00324FCB" w:rsidRPr="00324FCB" w:rsidRDefault="000652D9" w:rsidP="00324FCB">
      <w:pPr>
        <w:pStyle w:val="TableofFigures"/>
        <w:tabs>
          <w:tab w:val="right" w:pos="10194"/>
        </w:tabs>
        <w:spacing w:line="360" w:lineRule="auto"/>
        <w:rPr>
          <w:rFonts w:eastAsiaTheme="minorEastAsia"/>
          <w:noProof/>
          <w:lang w:eastAsia="en-AU"/>
        </w:rPr>
      </w:pPr>
      <w:hyperlink r:id="rId16" w:anchor="_Toc13225138" w:history="1">
        <w:r w:rsidR="00324FCB" w:rsidRPr="0010225E">
          <w:rPr>
            <w:rStyle w:val="Hyperlink"/>
            <w:noProof/>
          </w:rPr>
          <w:t>Figure 7.</w:t>
        </w:r>
        <w:r w:rsidR="00324FCB" w:rsidRPr="00324FCB">
          <w:rPr>
            <w:rStyle w:val="Hyperlink"/>
            <w:noProof/>
          </w:rPr>
          <w:t xml:space="preserve"> NAPLAN - Average score in Numeracy by year level and remoteness, 2017</w:t>
        </w:r>
        <w:r w:rsidR="00324FCB" w:rsidRPr="00324FCB">
          <w:rPr>
            <w:noProof/>
            <w:webHidden/>
          </w:rPr>
          <w:tab/>
        </w:r>
        <w:r w:rsidR="00324FCB" w:rsidRPr="00324FCB">
          <w:rPr>
            <w:noProof/>
            <w:webHidden/>
          </w:rPr>
          <w:fldChar w:fldCharType="begin"/>
        </w:r>
        <w:r w:rsidR="00324FCB" w:rsidRPr="00324FCB">
          <w:rPr>
            <w:noProof/>
            <w:webHidden/>
          </w:rPr>
          <w:instrText xml:space="preserve"> PAGEREF _Toc13225138 \h </w:instrText>
        </w:r>
        <w:r w:rsidR="00324FCB" w:rsidRPr="00324FCB">
          <w:rPr>
            <w:noProof/>
            <w:webHidden/>
          </w:rPr>
        </w:r>
        <w:r w:rsidR="00324FCB" w:rsidRPr="00324FCB">
          <w:rPr>
            <w:noProof/>
            <w:webHidden/>
          </w:rPr>
          <w:fldChar w:fldCharType="separate"/>
        </w:r>
        <w:r w:rsidR="00324FCB" w:rsidRPr="00324FCB">
          <w:rPr>
            <w:noProof/>
            <w:webHidden/>
          </w:rPr>
          <w:t>30</w:t>
        </w:r>
        <w:r w:rsidR="00324FCB" w:rsidRPr="00324FCB">
          <w:rPr>
            <w:noProof/>
            <w:webHidden/>
          </w:rPr>
          <w:fldChar w:fldCharType="end"/>
        </w:r>
      </w:hyperlink>
    </w:p>
    <w:p w14:paraId="42D95D9C" w14:textId="26C0B9BB" w:rsidR="00324FCB" w:rsidRPr="00324FCB" w:rsidRDefault="000652D9" w:rsidP="00324FCB">
      <w:pPr>
        <w:pStyle w:val="TableofFigures"/>
        <w:tabs>
          <w:tab w:val="right" w:pos="10194"/>
        </w:tabs>
        <w:spacing w:line="360" w:lineRule="auto"/>
        <w:rPr>
          <w:rFonts w:eastAsiaTheme="minorEastAsia"/>
          <w:noProof/>
          <w:lang w:eastAsia="en-AU"/>
        </w:rPr>
      </w:pPr>
      <w:hyperlink w:anchor="_Toc13225139" w:history="1">
        <w:r w:rsidR="00324FCB" w:rsidRPr="0010225E">
          <w:rPr>
            <w:rStyle w:val="Hyperlink"/>
            <w:noProof/>
          </w:rPr>
          <w:t>Figure 8.</w:t>
        </w:r>
        <w:r w:rsidR="00324FCB" w:rsidRPr="00324FCB">
          <w:rPr>
            <w:rStyle w:val="Hyperlink"/>
            <w:noProof/>
          </w:rPr>
          <w:t xml:space="preserve"> University attrition rates by equity group across remoteness levels, 2016</w:t>
        </w:r>
        <w:r w:rsidR="00324FCB" w:rsidRPr="00324FCB">
          <w:rPr>
            <w:noProof/>
            <w:webHidden/>
          </w:rPr>
          <w:tab/>
        </w:r>
        <w:r w:rsidR="00324FCB" w:rsidRPr="00324FCB">
          <w:rPr>
            <w:noProof/>
            <w:webHidden/>
          </w:rPr>
          <w:fldChar w:fldCharType="begin"/>
        </w:r>
        <w:r w:rsidR="00324FCB" w:rsidRPr="00324FCB">
          <w:rPr>
            <w:noProof/>
            <w:webHidden/>
          </w:rPr>
          <w:instrText xml:space="preserve"> PAGEREF _Toc13225139 \h </w:instrText>
        </w:r>
        <w:r w:rsidR="00324FCB" w:rsidRPr="00324FCB">
          <w:rPr>
            <w:noProof/>
            <w:webHidden/>
          </w:rPr>
        </w:r>
        <w:r w:rsidR="00324FCB" w:rsidRPr="00324FCB">
          <w:rPr>
            <w:noProof/>
            <w:webHidden/>
          </w:rPr>
          <w:fldChar w:fldCharType="separate"/>
        </w:r>
        <w:r w:rsidR="00324FCB" w:rsidRPr="00324FCB">
          <w:rPr>
            <w:noProof/>
            <w:webHidden/>
          </w:rPr>
          <w:t>35</w:t>
        </w:r>
        <w:r w:rsidR="00324FCB" w:rsidRPr="00324FCB">
          <w:rPr>
            <w:noProof/>
            <w:webHidden/>
          </w:rPr>
          <w:fldChar w:fldCharType="end"/>
        </w:r>
      </w:hyperlink>
    </w:p>
    <w:p w14:paraId="27E90323" w14:textId="4AA2117A" w:rsidR="00324FCB" w:rsidRPr="00324FCB" w:rsidRDefault="000652D9" w:rsidP="00324FCB">
      <w:pPr>
        <w:pStyle w:val="TableofFigures"/>
        <w:tabs>
          <w:tab w:val="right" w:pos="10194"/>
        </w:tabs>
        <w:spacing w:line="360" w:lineRule="auto"/>
        <w:rPr>
          <w:rFonts w:eastAsiaTheme="minorEastAsia"/>
          <w:noProof/>
          <w:lang w:eastAsia="en-AU"/>
        </w:rPr>
      </w:pPr>
      <w:hyperlink w:anchor="_Toc13225140" w:history="1">
        <w:r w:rsidR="00324FCB" w:rsidRPr="0010225E">
          <w:rPr>
            <w:rStyle w:val="Hyperlink"/>
            <w:noProof/>
          </w:rPr>
          <w:t>Figure 9.</w:t>
        </w:r>
        <w:r w:rsidR="00324FCB" w:rsidRPr="00324FCB">
          <w:rPr>
            <w:rStyle w:val="Hyperlink"/>
            <w:noProof/>
          </w:rPr>
          <w:t xml:space="preserve"> University student attrition rates across income levels, 2016</w:t>
        </w:r>
        <w:r w:rsidR="00324FCB" w:rsidRPr="00324FCB">
          <w:rPr>
            <w:noProof/>
            <w:webHidden/>
          </w:rPr>
          <w:tab/>
        </w:r>
        <w:r w:rsidR="00324FCB" w:rsidRPr="00324FCB">
          <w:rPr>
            <w:noProof/>
            <w:webHidden/>
          </w:rPr>
          <w:fldChar w:fldCharType="begin"/>
        </w:r>
        <w:r w:rsidR="00324FCB" w:rsidRPr="00324FCB">
          <w:rPr>
            <w:noProof/>
            <w:webHidden/>
          </w:rPr>
          <w:instrText xml:space="preserve"> PAGEREF _Toc13225140 \h </w:instrText>
        </w:r>
        <w:r w:rsidR="00324FCB" w:rsidRPr="00324FCB">
          <w:rPr>
            <w:noProof/>
            <w:webHidden/>
          </w:rPr>
        </w:r>
        <w:r w:rsidR="00324FCB" w:rsidRPr="00324FCB">
          <w:rPr>
            <w:noProof/>
            <w:webHidden/>
          </w:rPr>
          <w:fldChar w:fldCharType="separate"/>
        </w:r>
        <w:r w:rsidR="00324FCB" w:rsidRPr="00324FCB">
          <w:rPr>
            <w:noProof/>
            <w:webHidden/>
          </w:rPr>
          <w:t>36</w:t>
        </w:r>
        <w:r w:rsidR="00324FCB" w:rsidRPr="00324FCB">
          <w:rPr>
            <w:noProof/>
            <w:webHidden/>
          </w:rPr>
          <w:fldChar w:fldCharType="end"/>
        </w:r>
      </w:hyperlink>
    </w:p>
    <w:p w14:paraId="012EEFF4" w14:textId="75DF8422" w:rsidR="00324FCB" w:rsidRDefault="00324FCB">
      <w:r>
        <w:fldChar w:fldCharType="end"/>
      </w:r>
    </w:p>
    <w:p w14:paraId="57D8F1BB" w14:textId="77777777" w:rsidR="00324FCB" w:rsidRDefault="00324FCB"/>
    <w:p w14:paraId="64394347" w14:textId="4F38F9EE" w:rsidR="00F505F1" w:rsidRDefault="00F505F1">
      <w:pPr>
        <w:rPr>
          <w:rFonts w:eastAsiaTheme="majorEastAsia" w:cstheme="minorHAnsi"/>
          <w:color w:val="5B796D"/>
          <w:sz w:val="48"/>
          <w:szCs w:val="48"/>
        </w:rPr>
      </w:pPr>
      <w:r>
        <w:br w:type="page"/>
      </w:r>
    </w:p>
    <w:p w14:paraId="51147C3C" w14:textId="2DD87625" w:rsidR="008136A6" w:rsidRPr="00306207" w:rsidRDefault="008136A6" w:rsidP="00A368CF">
      <w:pPr>
        <w:pStyle w:val="Heading1"/>
      </w:pPr>
      <w:bookmarkStart w:id="6" w:name="_Toc13224783"/>
      <w:r w:rsidRPr="00306207">
        <w:lastRenderedPageBreak/>
        <w:t>Acronyms</w:t>
      </w:r>
      <w:bookmarkEnd w:id="4"/>
      <w:bookmarkEnd w:id="6"/>
      <w:r w:rsidRPr="00306207">
        <w:t xml:space="preserve"> </w:t>
      </w:r>
    </w:p>
    <w:p w14:paraId="07F980F4" w14:textId="77777777" w:rsidR="00F505F1" w:rsidRDefault="00F505F1" w:rsidP="00F505F1">
      <w:pPr>
        <w:spacing w:after="0"/>
      </w:pPr>
    </w:p>
    <w:p w14:paraId="6DEF7FDB" w14:textId="2B1C1698" w:rsidR="00F505F1" w:rsidRPr="00F505F1" w:rsidRDefault="00F505F1" w:rsidP="00F505F1">
      <w:pPr>
        <w:spacing w:after="0"/>
        <w:ind w:firstLine="993"/>
      </w:pPr>
      <w:r w:rsidRPr="00F505F1">
        <w:rPr>
          <w:b/>
        </w:rPr>
        <w:t>ABS</w:t>
      </w:r>
      <w:r w:rsidRPr="00F505F1">
        <w:t xml:space="preserve"> </w:t>
      </w:r>
      <w:r>
        <w:tab/>
      </w:r>
      <w:r>
        <w:tab/>
      </w:r>
      <w:r w:rsidRPr="00F505F1">
        <w:t xml:space="preserve">Australian Bureau of Statistics </w:t>
      </w:r>
    </w:p>
    <w:p w14:paraId="1808DD63" w14:textId="4DC519CD" w:rsidR="00F505F1" w:rsidRPr="00F505F1" w:rsidRDefault="00F505F1" w:rsidP="00F505F1">
      <w:pPr>
        <w:spacing w:after="0"/>
        <w:ind w:firstLine="993"/>
      </w:pPr>
      <w:r w:rsidRPr="00F505F1">
        <w:rPr>
          <w:b/>
        </w:rPr>
        <w:t>ACER</w:t>
      </w:r>
      <w:r w:rsidRPr="00F505F1">
        <w:t xml:space="preserve"> </w:t>
      </w:r>
      <w:r>
        <w:tab/>
      </w:r>
      <w:r w:rsidRPr="00F505F1">
        <w:t xml:space="preserve">Australian Council for Educational Research </w:t>
      </w:r>
    </w:p>
    <w:p w14:paraId="2721D6F0" w14:textId="3E2C3E2B" w:rsidR="00F505F1" w:rsidRPr="00F505F1" w:rsidRDefault="00F505F1" w:rsidP="00F505F1">
      <w:pPr>
        <w:spacing w:after="0"/>
        <w:ind w:firstLine="993"/>
      </w:pPr>
      <w:r w:rsidRPr="00F505F1">
        <w:rPr>
          <w:b/>
        </w:rPr>
        <w:t>AITSL</w:t>
      </w:r>
      <w:r w:rsidRPr="00F505F1">
        <w:t xml:space="preserve"> </w:t>
      </w:r>
      <w:r>
        <w:tab/>
      </w:r>
      <w:r w:rsidRPr="00F505F1">
        <w:t xml:space="preserve">Australian Institute for Teaching and School Leadership </w:t>
      </w:r>
    </w:p>
    <w:p w14:paraId="583F82F6" w14:textId="4C1E5500" w:rsidR="00F505F1" w:rsidRPr="00F505F1" w:rsidRDefault="00F505F1" w:rsidP="00F505F1">
      <w:pPr>
        <w:spacing w:after="0"/>
        <w:ind w:firstLine="993"/>
      </w:pPr>
      <w:r w:rsidRPr="00F505F1">
        <w:rPr>
          <w:b/>
        </w:rPr>
        <w:t>AQF</w:t>
      </w:r>
      <w:r w:rsidRPr="00F505F1">
        <w:t xml:space="preserve"> </w:t>
      </w:r>
      <w:r>
        <w:tab/>
      </w:r>
      <w:r>
        <w:tab/>
      </w:r>
      <w:r w:rsidRPr="00F505F1">
        <w:t xml:space="preserve">Australian Qualifications Framework </w:t>
      </w:r>
    </w:p>
    <w:p w14:paraId="1790060A" w14:textId="011A26AF" w:rsidR="00F505F1" w:rsidRPr="00F505F1" w:rsidRDefault="00F505F1" w:rsidP="00F505F1">
      <w:pPr>
        <w:spacing w:after="0"/>
        <w:ind w:firstLine="993"/>
      </w:pPr>
      <w:r w:rsidRPr="00F505F1">
        <w:rPr>
          <w:b/>
        </w:rPr>
        <w:t>ASGS</w:t>
      </w:r>
      <w:r w:rsidRPr="00F505F1">
        <w:t xml:space="preserve"> </w:t>
      </w:r>
      <w:r>
        <w:tab/>
      </w:r>
      <w:r w:rsidRPr="00F505F1">
        <w:t xml:space="preserve">Australian Statistical Geography Standard </w:t>
      </w:r>
    </w:p>
    <w:p w14:paraId="0B446BFA" w14:textId="43A8AF16" w:rsidR="00F505F1" w:rsidRPr="00F505F1" w:rsidRDefault="00F505F1" w:rsidP="00F505F1">
      <w:pPr>
        <w:spacing w:after="0"/>
        <w:ind w:firstLine="993"/>
      </w:pPr>
      <w:r w:rsidRPr="00F505F1">
        <w:rPr>
          <w:b/>
        </w:rPr>
        <w:t>ATAR</w:t>
      </w:r>
      <w:r>
        <w:tab/>
      </w:r>
      <w:r w:rsidRPr="00F505F1">
        <w:t xml:space="preserve">Australian Tertiary Admission Rank </w:t>
      </w:r>
    </w:p>
    <w:p w14:paraId="5AEF0E17" w14:textId="254475BF" w:rsidR="00F505F1" w:rsidRPr="00F505F1" w:rsidRDefault="00F505F1" w:rsidP="00F505F1">
      <w:pPr>
        <w:spacing w:after="0"/>
        <w:ind w:firstLine="993"/>
      </w:pPr>
      <w:r w:rsidRPr="00F505F1">
        <w:rPr>
          <w:b/>
        </w:rPr>
        <w:t>CSP</w:t>
      </w:r>
      <w:r w:rsidRPr="00F505F1">
        <w:t xml:space="preserve"> </w:t>
      </w:r>
      <w:r>
        <w:tab/>
      </w:r>
      <w:r>
        <w:tab/>
      </w:r>
      <w:r w:rsidRPr="00F505F1">
        <w:t xml:space="preserve">Commonwealth supported place </w:t>
      </w:r>
    </w:p>
    <w:p w14:paraId="1FFC7202" w14:textId="1E4001C6" w:rsidR="00F505F1" w:rsidRPr="00F505F1" w:rsidRDefault="00F505F1" w:rsidP="00F505F1">
      <w:pPr>
        <w:spacing w:after="0"/>
        <w:ind w:firstLine="993"/>
      </w:pPr>
      <w:r w:rsidRPr="00F505F1">
        <w:rPr>
          <w:b/>
        </w:rPr>
        <w:t>CUC</w:t>
      </w:r>
      <w:r w:rsidRPr="00F505F1">
        <w:t xml:space="preserve"> </w:t>
      </w:r>
      <w:r>
        <w:tab/>
      </w:r>
      <w:r>
        <w:tab/>
      </w:r>
      <w:r w:rsidRPr="00F505F1">
        <w:t xml:space="preserve">Country Universities Centre </w:t>
      </w:r>
    </w:p>
    <w:p w14:paraId="32AE6E8D" w14:textId="29ED60E1" w:rsidR="00F505F1" w:rsidRPr="00F505F1" w:rsidRDefault="00F505F1" w:rsidP="00F505F1">
      <w:pPr>
        <w:spacing w:after="0"/>
        <w:ind w:firstLine="993"/>
      </w:pPr>
      <w:r w:rsidRPr="00F505F1">
        <w:rPr>
          <w:b/>
        </w:rPr>
        <w:t>DAAWS</w:t>
      </w:r>
      <w:r w:rsidRPr="00F505F1">
        <w:t xml:space="preserve"> </w:t>
      </w:r>
      <w:r>
        <w:tab/>
      </w:r>
      <w:r w:rsidRPr="00F505F1">
        <w:t xml:space="preserve">Disabled Australian Apprenticeship Wage Support </w:t>
      </w:r>
    </w:p>
    <w:p w14:paraId="68D3D70F" w14:textId="12E755A1" w:rsidR="00F505F1" w:rsidRPr="00F505F1" w:rsidRDefault="00F505F1" w:rsidP="00F505F1">
      <w:pPr>
        <w:spacing w:after="0"/>
        <w:ind w:firstLine="993"/>
      </w:pPr>
      <w:r w:rsidRPr="00F505F1">
        <w:rPr>
          <w:b/>
        </w:rPr>
        <w:t>DoE</w:t>
      </w:r>
      <w:r w:rsidRPr="00F505F1">
        <w:t xml:space="preserve"> </w:t>
      </w:r>
      <w:r>
        <w:tab/>
      </w:r>
      <w:r>
        <w:tab/>
      </w:r>
      <w:r w:rsidRPr="00F505F1">
        <w:t xml:space="preserve">Department of Education </w:t>
      </w:r>
    </w:p>
    <w:p w14:paraId="21EE515D" w14:textId="3F48FC1D" w:rsidR="00F505F1" w:rsidRPr="00F505F1" w:rsidRDefault="00F505F1" w:rsidP="00F505F1">
      <w:pPr>
        <w:spacing w:after="0"/>
        <w:ind w:firstLine="993"/>
      </w:pPr>
      <w:r w:rsidRPr="00F505F1">
        <w:rPr>
          <w:b/>
        </w:rPr>
        <w:t>DSP</w:t>
      </w:r>
      <w:r w:rsidRPr="00F505F1">
        <w:t xml:space="preserve"> </w:t>
      </w:r>
      <w:r>
        <w:tab/>
      </w:r>
      <w:r>
        <w:tab/>
      </w:r>
      <w:r w:rsidRPr="00F505F1">
        <w:t xml:space="preserve">Higher Education Disability Support Program </w:t>
      </w:r>
    </w:p>
    <w:p w14:paraId="4EB41A60" w14:textId="6B22ADD2" w:rsidR="00F505F1" w:rsidRPr="00F505F1" w:rsidRDefault="00F505F1" w:rsidP="00F505F1">
      <w:pPr>
        <w:spacing w:after="0"/>
        <w:ind w:firstLine="993"/>
      </w:pPr>
      <w:r w:rsidRPr="00F505F1">
        <w:rPr>
          <w:b/>
        </w:rPr>
        <w:t>GDP</w:t>
      </w:r>
      <w:r w:rsidRPr="00F505F1">
        <w:t xml:space="preserve"> </w:t>
      </w:r>
      <w:r>
        <w:tab/>
      </w:r>
      <w:r>
        <w:tab/>
      </w:r>
      <w:r w:rsidRPr="00F505F1">
        <w:t xml:space="preserve">Gross Domestic Product </w:t>
      </w:r>
    </w:p>
    <w:p w14:paraId="6E64BA8D" w14:textId="235530E5" w:rsidR="00F505F1" w:rsidRPr="00F505F1" w:rsidRDefault="00F505F1" w:rsidP="00F505F1">
      <w:pPr>
        <w:spacing w:after="0"/>
        <w:ind w:firstLine="993"/>
      </w:pPr>
      <w:r w:rsidRPr="00F505F1">
        <w:rPr>
          <w:b/>
        </w:rPr>
        <w:t>HDR</w:t>
      </w:r>
      <w:r w:rsidRPr="00F505F1">
        <w:t xml:space="preserve"> </w:t>
      </w:r>
      <w:r>
        <w:tab/>
      </w:r>
      <w:r w:rsidRPr="00F505F1">
        <w:t xml:space="preserve">Higher Degree Research </w:t>
      </w:r>
    </w:p>
    <w:p w14:paraId="29559FB8" w14:textId="1EF1FFF6" w:rsidR="00F505F1" w:rsidRPr="00F505F1" w:rsidRDefault="00F505F1" w:rsidP="00F505F1">
      <w:pPr>
        <w:spacing w:after="0"/>
        <w:ind w:firstLine="993"/>
      </w:pPr>
      <w:r w:rsidRPr="00F505F1">
        <w:rPr>
          <w:b/>
        </w:rPr>
        <w:t>HEPPP</w:t>
      </w:r>
      <w:r w:rsidRPr="00F505F1">
        <w:t xml:space="preserve"> </w:t>
      </w:r>
      <w:r>
        <w:tab/>
      </w:r>
      <w:r w:rsidRPr="00F505F1">
        <w:t xml:space="preserve">Higher Education Participation and Partnerships Program </w:t>
      </w:r>
    </w:p>
    <w:p w14:paraId="54DD3048" w14:textId="6824539E" w:rsidR="00F505F1" w:rsidRPr="00F505F1" w:rsidRDefault="00F505F1" w:rsidP="00F505F1">
      <w:pPr>
        <w:spacing w:after="0"/>
        <w:ind w:firstLine="993"/>
      </w:pPr>
      <w:r w:rsidRPr="00F505F1">
        <w:rPr>
          <w:b/>
        </w:rPr>
        <w:t>ISSP</w:t>
      </w:r>
      <w:r w:rsidRPr="00F505F1">
        <w:t xml:space="preserve"> </w:t>
      </w:r>
      <w:r>
        <w:tab/>
      </w:r>
      <w:r>
        <w:tab/>
      </w:r>
      <w:r w:rsidRPr="00F505F1">
        <w:t xml:space="preserve">Indigenous Student Success Program </w:t>
      </w:r>
    </w:p>
    <w:p w14:paraId="44921D36" w14:textId="3ED3E43F" w:rsidR="00F505F1" w:rsidRPr="00F505F1" w:rsidRDefault="00F505F1" w:rsidP="00F505F1">
      <w:pPr>
        <w:spacing w:after="0"/>
        <w:ind w:firstLine="993"/>
      </w:pPr>
      <w:r w:rsidRPr="00F505F1">
        <w:rPr>
          <w:b/>
        </w:rPr>
        <w:t>LSAY</w:t>
      </w:r>
      <w:r w:rsidRPr="00F505F1">
        <w:t xml:space="preserve"> </w:t>
      </w:r>
      <w:r>
        <w:tab/>
      </w:r>
      <w:r w:rsidRPr="00F505F1">
        <w:t xml:space="preserve">Longitudinal Surveys of Australian Youth </w:t>
      </w:r>
    </w:p>
    <w:p w14:paraId="34777F67" w14:textId="5D007698" w:rsidR="00F505F1" w:rsidRPr="00F505F1" w:rsidRDefault="00F505F1" w:rsidP="00F505F1">
      <w:pPr>
        <w:spacing w:after="0"/>
        <w:ind w:firstLine="993"/>
      </w:pPr>
      <w:r w:rsidRPr="00F505F1">
        <w:rPr>
          <w:b/>
        </w:rPr>
        <w:t>NAPLAN</w:t>
      </w:r>
      <w:r w:rsidRPr="00F505F1">
        <w:t xml:space="preserve"> </w:t>
      </w:r>
      <w:r>
        <w:tab/>
      </w:r>
      <w:r w:rsidRPr="00F505F1">
        <w:t xml:space="preserve">National Assessment Program – Literacy and Numeracy </w:t>
      </w:r>
    </w:p>
    <w:p w14:paraId="675F63A3" w14:textId="431B1F38" w:rsidR="00F505F1" w:rsidRPr="00F505F1" w:rsidRDefault="00F505F1" w:rsidP="00F505F1">
      <w:pPr>
        <w:spacing w:after="0"/>
        <w:ind w:firstLine="993"/>
      </w:pPr>
      <w:r w:rsidRPr="00F505F1">
        <w:rPr>
          <w:b/>
        </w:rPr>
        <w:t>NCVER</w:t>
      </w:r>
      <w:r w:rsidRPr="00F505F1">
        <w:t xml:space="preserve"> </w:t>
      </w:r>
      <w:r>
        <w:tab/>
      </w:r>
      <w:r w:rsidRPr="00F505F1">
        <w:t xml:space="preserve">National Centre for Vocational Education Research </w:t>
      </w:r>
    </w:p>
    <w:p w14:paraId="517E6085" w14:textId="05CD3254" w:rsidR="00F505F1" w:rsidRPr="00F505F1" w:rsidRDefault="00F505F1" w:rsidP="00F505F1">
      <w:pPr>
        <w:spacing w:after="0"/>
        <w:ind w:firstLine="993"/>
      </w:pPr>
      <w:r w:rsidRPr="00F505F1">
        <w:rPr>
          <w:b/>
        </w:rPr>
        <w:t>NDCO</w:t>
      </w:r>
      <w:r w:rsidRPr="00F505F1">
        <w:t xml:space="preserve"> </w:t>
      </w:r>
      <w:r>
        <w:tab/>
      </w:r>
      <w:r w:rsidRPr="00F505F1">
        <w:t xml:space="preserve">National Disability Coordination Officer Program </w:t>
      </w:r>
    </w:p>
    <w:p w14:paraId="7849B544" w14:textId="699DDE06" w:rsidR="00F505F1" w:rsidRPr="00F505F1" w:rsidRDefault="00F505F1" w:rsidP="00F505F1">
      <w:pPr>
        <w:spacing w:after="0"/>
        <w:ind w:firstLine="993"/>
      </w:pPr>
      <w:r w:rsidRPr="00F505F1">
        <w:rPr>
          <w:b/>
        </w:rPr>
        <w:t>NPP</w:t>
      </w:r>
      <w:r w:rsidRPr="00F505F1">
        <w:t xml:space="preserve"> </w:t>
      </w:r>
      <w:r>
        <w:tab/>
      </w:r>
      <w:r>
        <w:tab/>
      </w:r>
      <w:r w:rsidRPr="00F505F1">
        <w:t xml:space="preserve">National Priorities Pool </w:t>
      </w:r>
    </w:p>
    <w:p w14:paraId="3EBBE192" w14:textId="75B470E8" w:rsidR="00F505F1" w:rsidRPr="00F505F1" w:rsidRDefault="00F505F1" w:rsidP="00F505F1">
      <w:pPr>
        <w:spacing w:after="0"/>
        <w:ind w:firstLine="993"/>
      </w:pPr>
      <w:r w:rsidRPr="00BF622D">
        <w:rPr>
          <w:b/>
        </w:rPr>
        <w:t>OECD</w:t>
      </w:r>
      <w:r w:rsidRPr="00F505F1">
        <w:t xml:space="preserve"> </w:t>
      </w:r>
      <w:r>
        <w:tab/>
      </w:r>
      <w:r w:rsidRPr="00F505F1">
        <w:t xml:space="preserve">Organisation for Economic Co-operation and Development </w:t>
      </w:r>
    </w:p>
    <w:p w14:paraId="48C97F39" w14:textId="636F1BFE" w:rsidR="00F505F1" w:rsidRPr="00F505F1" w:rsidRDefault="00F505F1" w:rsidP="00F505F1">
      <w:pPr>
        <w:spacing w:after="0"/>
        <w:ind w:firstLine="993"/>
      </w:pPr>
      <w:r w:rsidRPr="00BF622D">
        <w:rPr>
          <w:b/>
        </w:rPr>
        <w:t>QILT</w:t>
      </w:r>
      <w:r w:rsidRPr="00F505F1">
        <w:t xml:space="preserve"> </w:t>
      </w:r>
      <w:r>
        <w:tab/>
      </w:r>
      <w:r w:rsidRPr="00F505F1">
        <w:t xml:space="preserve">Quality Indicators for Learning and Teaching </w:t>
      </w:r>
    </w:p>
    <w:p w14:paraId="752277BC" w14:textId="345103C2" w:rsidR="00F505F1" w:rsidRPr="00F505F1" w:rsidRDefault="00F505F1" w:rsidP="00F505F1">
      <w:pPr>
        <w:spacing w:after="0"/>
        <w:ind w:firstLine="993"/>
      </w:pPr>
      <w:r w:rsidRPr="00BF622D">
        <w:rPr>
          <w:b/>
        </w:rPr>
        <w:t>RPL</w:t>
      </w:r>
      <w:r w:rsidRPr="00F505F1">
        <w:t xml:space="preserve"> </w:t>
      </w:r>
      <w:r>
        <w:tab/>
      </w:r>
      <w:r>
        <w:tab/>
      </w:r>
      <w:r w:rsidRPr="00F505F1">
        <w:t xml:space="preserve">Recognition of Prior Learning </w:t>
      </w:r>
    </w:p>
    <w:p w14:paraId="465852D2" w14:textId="51C013AB" w:rsidR="00F505F1" w:rsidRPr="00F505F1" w:rsidRDefault="00F505F1" w:rsidP="00F505F1">
      <w:pPr>
        <w:spacing w:after="0"/>
        <w:ind w:firstLine="993"/>
      </w:pPr>
      <w:r w:rsidRPr="00BF622D">
        <w:rPr>
          <w:b/>
        </w:rPr>
        <w:t>RRR</w:t>
      </w:r>
      <w:r w:rsidRPr="00F505F1">
        <w:t xml:space="preserve"> </w:t>
      </w:r>
      <w:r>
        <w:tab/>
      </w:r>
      <w:r>
        <w:tab/>
      </w:r>
      <w:r w:rsidRPr="00F505F1">
        <w:t xml:space="preserve">Regional, rural and remote </w:t>
      </w:r>
    </w:p>
    <w:p w14:paraId="456E0EF1" w14:textId="01923F1D" w:rsidR="00F505F1" w:rsidRPr="00F505F1" w:rsidRDefault="00F505F1" w:rsidP="00F505F1">
      <w:pPr>
        <w:spacing w:after="0"/>
        <w:ind w:firstLine="993"/>
      </w:pPr>
      <w:r w:rsidRPr="00BF622D">
        <w:rPr>
          <w:b/>
        </w:rPr>
        <w:t>RTO</w:t>
      </w:r>
      <w:r w:rsidRPr="00F505F1">
        <w:t xml:space="preserve"> </w:t>
      </w:r>
      <w:r>
        <w:tab/>
      </w:r>
      <w:r>
        <w:tab/>
      </w:r>
      <w:r w:rsidRPr="00F505F1">
        <w:t xml:space="preserve">Registered Training Organisation </w:t>
      </w:r>
    </w:p>
    <w:p w14:paraId="2A40066C" w14:textId="1252F379" w:rsidR="00F505F1" w:rsidRPr="00F505F1" w:rsidRDefault="00F505F1" w:rsidP="00F505F1">
      <w:pPr>
        <w:spacing w:after="0"/>
        <w:ind w:firstLine="993"/>
      </w:pPr>
      <w:r w:rsidRPr="00BF622D">
        <w:rPr>
          <w:b/>
        </w:rPr>
        <w:t>RUN</w:t>
      </w:r>
      <w:r w:rsidRPr="00F505F1">
        <w:t xml:space="preserve"> </w:t>
      </w:r>
      <w:r>
        <w:tab/>
      </w:r>
      <w:r w:rsidRPr="00F505F1">
        <w:t xml:space="preserve">Regional Universities Network </w:t>
      </w:r>
    </w:p>
    <w:p w14:paraId="75433306" w14:textId="6BEF304D" w:rsidR="00F505F1" w:rsidRPr="00F505F1" w:rsidRDefault="00F505F1" w:rsidP="00F505F1">
      <w:pPr>
        <w:spacing w:after="0"/>
        <w:ind w:firstLine="993"/>
      </w:pPr>
      <w:r w:rsidRPr="00BF622D">
        <w:rPr>
          <w:b/>
        </w:rPr>
        <w:t>SES</w:t>
      </w:r>
      <w:r w:rsidRPr="00F505F1">
        <w:t xml:space="preserve"> </w:t>
      </w:r>
      <w:r>
        <w:tab/>
      </w:r>
      <w:r>
        <w:tab/>
      </w:r>
      <w:r w:rsidRPr="00F505F1">
        <w:t xml:space="preserve">Socioeconomic status </w:t>
      </w:r>
    </w:p>
    <w:p w14:paraId="2E096C8F" w14:textId="09EACBAC" w:rsidR="00F505F1" w:rsidRPr="00F505F1" w:rsidRDefault="00F505F1" w:rsidP="00F505F1">
      <w:pPr>
        <w:spacing w:after="0"/>
        <w:ind w:firstLine="993"/>
      </w:pPr>
      <w:r w:rsidRPr="00BF622D">
        <w:rPr>
          <w:b/>
        </w:rPr>
        <w:t>TAFE</w:t>
      </w:r>
      <w:r w:rsidRPr="00F505F1">
        <w:t xml:space="preserve"> </w:t>
      </w:r>
      <w:r>
        <w:tab/>
      </w:r>
      <w:r w:rsidRPr="00F505F1">
        <w:t xml:space="preserve">Technical and Further Education </w:t>
      </w:r>
    </w:p>
    <w:p w14:paraId="3A967BB2" w14:textId="38B1F578" w:rsidR="00F505F1" w:rsidRPr="00F505F1" w:rsidRDefault="00F505F1" w:rsidP="00F505F1">
      <w:pPr>
        <w:spacing w:after="0"/>
        <w:ind w:firstLine="993"/>
      </w:pPr>
      <w:r w:rsidRPr="00BF622D">
        <w:rPr>
          <w:b/>
        </w:rPr>
        <w:t>VETiS</w:t>
      </w:r>
      <w:r w:rsidRPr="00F505F1">
        <w:t xml:space="preserve"> </w:t>
      </w:r>
      <w:r>
        <w:tab/>
      </w:r>
      <w:r w:rsidRPr="00F505F1">
        <w:t xml:space="preserve">Vocational education and training in Schools </w:t>
      </w:r>
    </w:p>
    <w:p w14:paraId="3A143C06" w14:textId="066AF7BA" w:rsidR="00F505F1" w:rsidRPr="00F505F1" w:rsidRDefault="00F505F1" w:rsidP="00F505F1">
      <w:pPr>
        <w:spacing w:after="0"/>
        <w:ind w:firstLine="993"/>
      </w:pPr>
      <w:r w:rsidRPr="00BF622D">
        <w:rPr>
          <w:b/>
        </w:rPr>
        <w:t>VET</w:t>
      </w:r>
      <w:r w:rsidRPr="00F505F1">
        <w:t xml:space="preserve"> </w:t>
      </w:r>
      <w:r>
        <w:tab/>
      </w:r>
      <w:r>
        <w:tab/>
      </w:r>
      <w:r w:rsidRPr="00F505F1">
        <w:t xml:space="preserve">Vocational education and training </w:t>
      </w:r>
    </w:p>
    <w:p w14:paraId="690CA650" w14:textId="7FE2F21A" w:rsidR="008136A6" w:rsidRPr="00306207" w:rsidRDefault="00F505F1" w:rsidP="00F505F1">
      <w:pPr>
        <w:spacing w:after="0"/>
        <w:ind w:firstLine="993"/>
      </w:pPr>
      <w:r w:rsidRPr="00BF622D">
        <w:rPr>
          <w:b/>
        </w:rPr>
        <w:t>WIL</w:t>
      </w:r>
      <w:r w:rsidRPr="00F505F1">
        <w:t xml:space="preserve"> </w:t>
      </w:r>
      <w:r>
        <w:tab/>
      </w:r>
      <w:r>
        <w:tab/>
      </w:r>
      <w:r w:rsidRPr="00F505F1">
        <w:t>Work integrated learning</w:t>
      </w:r>
    </w:p>
    <w:p w14:paraId="25553FBA" w14:textId="77777777" w:rsidR="008136A6" w:rsidRPr="00306207" w:rsidRDefault="008136A6" w:rsidP="00F505F1">
      <w:pPr>
        <w:ind w:firstLine="993"/>
      </w:pPr>
      <w:r w:rsidRPr="00306207">
        <w:br w:type="page"/>
      </w:r>
    </w:p>
    <w:p w14:paraId="3E0D380C" w14:textId="3D02D5D7" w:rsidR="00B769CF" w:rsidRPr="00306207" w:rsidRDefault="00B769CF" w:rsidP="00A368CF">
      <w:pPr>
        <w:pStyle w:val="Heading1"/>
      </w:pPr>
      <w:bookmarkStart w:id="7" w:name="_Toc13224784"/>
      <w:r w:rsidRPr="00306207">
        <w:lastRenderedPageBreak/>
        <w:t xml:space="preserve">Executive </w:t>
      </w:r>
      <w:r w:rsidR="00962159">
        <w:t>s</w:t>
      </w:r>
      <w:r w:rsidRPr="00306207">
        <w:t>ummary</w:t>
      </w:r>
      <w:bookmarkEnd w:id="7"/>
    </w:p>
    <w:p w14:paraId="1C2BEB52" w14:textId="0B3ADB0F" w:rsidR="00B769CF" w:rsidRPr="00BF622D" w:rsidRDefault="00B769CF" w:rsidP="00726804">
      <w:pPr>
        <w:pStyle w:val="Heading2"/>
      </w:pPr>
      <w:bookmarkStart w:id="8" w:name="_Toc11783233"/>
      <w:bookmarkStart w:id="9" w:name="_Toc11830096"/>
      <w:bookmarkStart w:id="10" w:name="_Toc11860978"/>
      <w:bookmarkStart w:id="11" w:name="_Toc13224785"/>
      <w:r w:rsidRPr="00BF622D">
        <w:t xml:space="preserve">Why </w:t>
      </w:r>
      <w:r w:rsidR="007A2017" w:rsidRPr="00BF622D">
        <w:t xml:space="preserve">Australia </w:t>
      </w:r>
      <w:r w:rsidRPr="00BF622D">
        <w:t>need</w:t>
      </w:r>
      <w:r w:rsidR="007A2017" w:rsidRPr="00BF622D">
        <w:t>s</w:t>
      </w:r>
      <w:r w:rsidRPr="00BF622D">
        <w:t xml:space="preserve"> a National Strategy for RRR tertiary education</w:t>
      </w:r>
      <w:bookmarkEnd w:id="8"/>
      <w:bookmarkEnd w:id="9"/>
      <w:bookmarkEnd w:id="10"/>
      <w:bookmarkEnd w:id="11"/>
    </w:p>
    <w:p w14:paraId="362575DD" w14:textId="77777777" w:rsidR="00BF622D" w:rsidRPr="00BF622D" w:rsidRDefault="00BF622D" w:rsidP="000A52B2">
      <w:bookmarkStart w:id="12" w:name="_Toc11783234"/>
      <w:bookmarkStart w:id="13" w:name="_Toc11830097"/>
      <w:bookmarkStart w:id="14" w:name="_Toc11860979"/>
      <w:r w:rsidRPr="00BF622D">
        <w:t xml:space="preserve">Every Australian, no matter where they live, should have the opportunity to access Australia’s world class tertiary education system. Currently, however, individuals who grow up in regional, rural and remote (RRR) areas are around 40 per cent less likely to gain a higher-level tertiary education qualification and less than half as likely to gain a bachelor and above qualification by the time they are 35 years old, compared to individuals from metropolitan areas. This report proposes a Strategy that aims to reduce this disparity and provide equal opportunity for every individual from RRR Australia to access tertiary education, regardless of personal circumstances and location. </w:t>
      </w:r>
    </w:p>
    <w:p w14:paraId="56276EEF" w14:textId="77777777" w:rsidR="00BF622D" w:rsidRPr="00BF622D" w:rsidRDefault="00BF622D" w:rsidP="000A52B2">
      <w:r w:rsidRPr="00BF622D">
        <w:t xml:space="preserve">There are many social and economic reasons and potential benefits providing a strong rationale for why the nation should give priority to addressing the disparity in tertiary education participation and attainment in RRR areas. This Strategy focuses on the following themes: </w:t>
      </w:r>
    </w:p>
    <w:p w14:paraId="41D7A3E3" w14:textId="77777777" w:rsidR="00BF622D" w:rsidRPr="00BF622D" w:rsidRDefault="00BF622D" w:rsidP="00041655">
      <w:pPr>
        <w:pStyle w:val="ListParagraph"/>
        <w:numPr>
          <w:ilvl w:val="0"/>
          <w:numId w:val="18"/>
        </w:numPr>
        <w:autoSpaceDE w:val="0"/>
        <w:autoSpaceDN w:val="0"/>
        <w:adjustRightInd w:val="0"/>
        <w:spacing w:after="40" w:line="211" w:lineRule="atLeast"/>
        <w:rPr>
          <w:rFonts w:cstheme="minorHAnsi"/>
          <w:color w:val="000000"/>
        </w:rPr>
      </w:pPr>
      <w:r w:rsidRPr="00BF622D">
        <w:rPr>
          <w:rFonts w:cstheme="minorHAnsi"/>
          <w:b/>
          <w:color w:val="000000"/>
        </w:rPr>
        <w:t>Individuals will benefit</w:t>
      </w:r>
      <w:r w:rsidRPr="00BF622D">
        <w:rPr>
          <w:rFonts w:cstheme="minorHAnsi"/>
          <w:color w:val="000000"/>
        </w:rPr>
        <w:t xml:space="preserve"> from having more opportunity to reach their potential and gain better employment with higher incomes and improved health outcomes. </w:t>
      </w:r>
    </w:p>
    <w:p w14:paraId="08B705DF" w14:textId="77777777" w:rsidR="00BF622D" w:rsidRPr="00BF622D" w:rsidRDefault="00BF622D" w:rsidP="00041655">
      <w:pPr>
        <w:pStyle w:val="ListParagraph"/>
        <w:numPr>
          <w:ilvl w:val="0"/>
          <w:numId w:val="18"/>
        </w:numPr>
        <w:autoSpaceDE w:val="0"/>
        <w:autoSpaceDN w:val="0"/>
        <w:adjustRightInd w:val="0"/>
        <w:spacing w:after="40" w:line="211" w:lineRule="atLeast"/>
        <w:rPr>
          <w:rFonts w:cstheme="minorHAnsi"/>
          <w:color w:val="000000"/>
        </w:rPr>
      </w:pPr>
      <w:r w:rsidRPr="00BF622D">
        <w:rPr>
          <w:rFonts w:cstheme="minorHAnsi"/>
          <w:b/>
          <w:color w:val="000000"/>
        </w:rPr>
        <w:t>Communities will benefit</w:t>
      </w:r>
      <w:r w:rsidRPr="00BF622D">
        <w:rPr>
          <w:rFonts w:cstheme="minorHAnsi"/>
          <w:color w:val="000000"/>
        </w:rPr>
        <w:t xml:space="preserve"> and remain vibrant through releasing the currently untapped potential of many RRR Australians. </w:t>
      </w:r>
    </w:p>
    <w:p w14:paraId="7068FDA5" w14:textId="77777777" w:rsidR="00BF622D" w:rsidRPr="00BF622D" w:rsidRDefault="00BF622D" w:rsidP="00041655">
      <w:pPr>
        <w:pStyle w:val="ListParagraph"/>
        <w:numPr>
          <w:ilvl w:val="0"/>
          <w:numId w:val="18"/>
        </w:numPr>
        <w:autoSpaceDE w:val="0"/>
        <w:autoSpaceDN w:val="0"/>
        <w:adjustRightInd w:val="0"/>
        <w:spacing w:after="40" w:line="211" w:lineRule="atLeast"/>
        <w:rPr>
          <w:rFonts w:cstheme="minorHAnsi"/>
          <w:color w:val="000000"/>
        </w:rPr>
      </w:pPr>
      <w:r w:rsidRPr="00BF622D">
        <w:rPr>
          <w:rFonts w:cstheme="minorHAnsi"/>
          <w:b/>
          <w:color w:val="000000"/>
        </w:rPr>
        <w:t>The nation will benefit</w:t>
      </w:r>
      <w:r w:rsidRPr="00BF622D">
        <w:rPr>
          <w:rFonts w:cstheme="minorHAnsi"/>
          <w:color w:val="000000"/>
        </w:rPr>
        <w:t xml:space="preserve"> through maximising the talents and skills of more Australians, which will strengthen the national economy, as well as foster greater aspiration in young people. </w:t>
      </w:r>
    </w:p>
    <w:p w14:paraId="50A33C8C" w14:textId="68755E00" w:rsidR="000E7B51" w:rsidRPr="00306207" w:rsidRDefault="000E7B51" w:rsidP="00726804">
      <w:pPr>
        <w:pStyle w:val="Heading2"/>
      </w:pPr>
      <w:bookmarkStart w:id="15" w:name="_Toc13224786"/>
      <w:r>
        <w:t>Issues and findings</w:t>
      </w:r>
      <w:bookmarkEnd w:id="12"/>
      <w:bookmarkEnd w:id="13"/>
      <w:bookmarkEnd w:id="14"/>
      <w:bookmarkEnd w:id="15"/>
    </w:p>
    <w:p w14:paraId="2EE38A63" w14:textId="77777777" w:rsidR="00BF622D" w:rsidRPr="00A85532" w:rsidRDefault="00BF622D" w:rsidP="00BF622D">
      <w:pPr>
        <w:pStyle w:val="Pa21"/>
        <w:spacing w:after="80"/>
        <w:rPr>
          <w:rFonts w:asciiTheme="minorHAnsi" w:hAnsiTheme="minorHAnsi" w:cstheme="minorHAnsi"/>
          <w:color w:val="000000"/>
          <w:sz w:val="22"/>
          <w:szCs w:val="22"/>
        </w:rPr>
      </w:pPr>
      <w:bookmarkStart w:id="16" w:name="_Toc11783235"/>
      <w:bookmarkStart w:id="17" w:name="_Toc11830098"/>
      <w:bookmarkStart w:id="18" w:name="_Toc11860980"/>
      <w:r w:rsidRPr="00A85532">
        <w:rPr>
          <w:rFonts w:asciiTheme="minorHAnsi" w:hAnsiTheme="minorHAnsi" w:cstheme="minorHAnsi"/>
          <w:color w:val="000000"/>
          <w:sz w:val="22"/>
          <w:szCs w:val="22"/>
        </w:rPr>
        <w:t xml:space="preserve">Five key issues have been identified as significant in driving lower levels of tertiary education participation and attainment by individuals from RRR areas. These issues are: </w:t>
      </w:r>
    </w:p>
    <w:p w14:paraId="6A40B81A" w14:textId="77777777" w:rsidR="00BF622D" w:rsidRPr="00A85532" w:rsidRDefault="00BF622D" w:rsidP="00E314C3">
      <w:pPr>
        <w:pStyle w:val="Default"/>
        <w:numPr>
          <w:ilvl w:val="0"/>
          <w:numId w:val="19"/>
        </w:numPr>
        <w:spacing w:after="47"/>
        <w:rPr>
          <w:rFonts w:asciiTheme="minorHAnsi" w:hAnsiTheme="minorHAnsi" w:cstheme="minorHAnsi"/>
          <w:sz w:val="22"/>
          <w:szCs w:val="22"/>
        </w:rPr>
      </w:pPr>
      <w:r w:rsidRPr="00A85532">
        <w:rPr>
          <w:rFonts w:asciiTheme="minorHAnsi" w:hAnsiTheme="minorHAnsi" w:cstheme="minorHAnsi"/>
          <w:b/>
          <w:sz w:val="22"/>
          <w:szCs w:val="22"/>
        </w:rPr>
        <w:t>Access, opportunity and choice:</w:t>
      </w:r>
      <w:r w:rsidRPr="00A85532">
        <w:rPr>
          <w:rFonts w:asciiTheme="minorHAnsi" w:hAnsiTheme="minorHAnsi" w:cstheme="minorHAnsi"/>
          <w:sz w:val="22"/>
          <w:szCs w:val="22"/>
        </w:rPr>
        <w:t xml:space="preserve"> There are fewer tertiary education options in RRR communities. Policies that increase access to tertiary education in RRR areas are critical to improving tertiary education participation and attainment. </w:t>
      </w:r>
    </w:p>
    <w:p w14:paraId="7BA118C2" w14:textId="77777777" w:rsidR="00BF622D" w:rsidRPr="00A85532" w:rsidRDefault="00BF622D" w:rsidP="00E314C3">
      <w:pPr>
        <w:pStyle w:val="Default"/>
        <w:numPr>
          <w:ilvl w:val="0"/>
          <w:numId w:val="19"/>
        </w:numPr>
        <w:spacing w:after="47"/>
        <w:rPr>
          <w:rFonts w:asciiTheme="minorHAnsi" w:hAnsiTheme="minorHAnsi" w:cstheme="minorHAnsi"/>
          <w:sz w:val="22"/>
          <w:szCs w:val="22"/>
        </w:rPr>
      </w:pPr>
      <w:r w:rsidRPr="00A85532">
        <w:rPr>
          <w:rFonts w:asciiTheme="minorHAnsi" w:hAnsiTheme="minorHAnsi" w:cstheme="minorHAnsi"/>
          <w:b/>
          <w:sz w:val="22"/>
          <w:szCs w:val="22"/>
        </w:rPr>
        <w:t>Student support:</w:t>
      </w:r>
      <w:r w:rsidRPr="00A85532">
        <w:rPr>
          <w:rFonts w:asciiTheme="minorHAnsi" w:hAnsiTheme="minorHAnsi" w:cstheme="minorHAnsi"/>
          <w:sz w:val="22"/>
          <w:szCs w:val="22"/>
        </w:rPr>
        <w:t xml:space="preserve"> There is insufficient support for RRR individuals who want to participate in tertiary education. Improving financial support is a necessary part of increasing access to, and completion of, tertiary education. There also needs to be a holistic range of support services available to RRR students.</w:t>
      </w:r>
    </w:p>
    <w:p w14:paraId="7DE04614" w14:textId="3F38A866" w:rsidR="00BF622D" w:rsidRPr="00A85532" w:rsidRDefault="00BF622D" w:rsidP="00E314C3">
      <w:pPr>
        <w:pStyle w:val="Default"/>
        <w:numPr>
          <w:ilvl w:val="0"/>
          <w:numId w:val="19"/>
        </w:numPr>
        <w:spacing w:after="47"/>
        <w:rPr>
          <w:rFonts w:asciiTheme="minorHAnsi" w:hAnsiTheme="minorHAnsi" w:cstheme="minorHAnsi"/>
          <w:sz w:val="22"/>
          <w:szCs w:val="22"/>
        </w:rPr>
      </w:pPr>
      <w:r w:rsidRPr="00A85532">
        <w:rPr>
          <w:rFonts w:asciiTheme="minorHAnsi" w:hAnsiTheme="minorHAnsi" w:cstheme="minorHAnsi"/>
          <w:b/>
          <w:sz w:val="22"/>
          <w:szCs w:val="22"/>
        </w:rPr>
        <w:t>Aspiration, career advice and schooling:</w:t>
      </w:r>
      <w:r w:rsidRPr="00A85532">
        <w:rPr>
          <w:rFonts w:asciiTheme="minorHAnsi" w:hAnsiTheme="minorHAnsi" w:cstheme="minorHAnsi"/>
          <w:sz w:val="22"/>
          <w:szCs w:val="22"/>
        </w:rPr>
        <w:t xml:space="preserve"> The aspirations of RRR individuals are hampered by additional challenges and they are less likely to be prepared for tertiary education. Policies that enhance the role and positive impact of schools and career advice will increase tertiary education aspiration, participation and attainment.</w:t>
      </w:r>
    </w:p>
    <w:p w14:paraId="3C74B3AD" w14:textId="77777777" w:rsidR="00BF622D" w:rsidRPr="00A85532" w:rsidRDefault="00BF622D" w:rsidP="00E314C3">
      <w:pPr>
        <w:pStyle w:val="Default"/>
        <w:numPr>
          <w:ilvl w:val="0"/>
          <w:numId w:val="19"/>
        </w:numPr>
        <w:spacing w:after="47"/>
        <w:rPr>
          <w:rFonts w:asciiTheme="minorHAnsi" w:hAnsiTheme="minorHAnsi" w:cstheme="minorHAnsi"/>
          <w:sz w:val="22"/>
          <w:szCs w:val="22"/>
        </w:rPr>
      </w:pPr>
      <w:r w:rsidRPr="00A85532">
        <w:rPr>
          <w:rFonts w:asciiTheme="minorHAnsi" w:hAnsiTheme="minorHAnsi" w:cstheme="minorHAnsi"/>
          <w:b/>
          <w:sz w:val="22"/>
          <w:szCs w:val="22"/>
        </w:rPr>
        <w:t>Equity groups:</w:t>
      </w:r>
      <w:r w:rsidRPr="00A85532">
        <w:rPr>
          <w:rFonts w:asciiTheme="minorHAnsi" w:hAnsiTheme="minorHAnsi" w:cstheme="minorHAnsi"/>
          <w:sz w:val="22"/>
          <w:szCs w:val="22"/>
        </w:rPr>
        <w:t xml:space="preserve"> There is insufficient targeted support for underrepresented groups who experience multiple, compounding challenges. Identified equity groups, including low socioeconomic status (SES) students, Indigenous Australians, students with disability and those from more remote areas, require additional support due to the cumulative challenges they face, which impact on their learning. </w:t>
      </w:r>
    </w:p>
    <w:p w14:paraId="684BABE2" w14:textId="5F7E058F" w:rsidR="00BF622D" w:rsidRPr="00A85532" w:rsidRDefault="00BF622D" w:rsidP="00E314C3">
      <w:pPr>
        <w:pStyle w:val="Default"/>
        <w:numPr>
          <w:ilvl w:val="0"/>
          <w:numId w:val="19"/>
        </w:numPr>
        <w:rPr>
          <w:sz w:val="22"/>
          <w:szCs w:val="22"/>
        </w:rPr>
      </w:pPr>
      <w:r w:rsidRPr="00A85532">
        <w:rPr>
          <w:rFonts w:asciiTheme="minorHAnsi" w:hAnsiTheme="minorHAnsi" w:cstheme="minorHAnsi"/>
          <w:b/>
          <w:sz w:val="22"/>
          <w:szCs w:val="22"/>
        </w:rPr>
        <w:t>Regional development:</w:t>
      </w:r>
      <w:r w:rsidRPr="00A85532">
        <w:rPr>
          <w:rFonts w:asciiTheme="minorHAnsi" w:hAnsiTheme="minorHAnsi" w:cstheme="minorHAnsi"/>
          <w:sz w:val="22"/>
          <w:szCs w:val="22"/>
        </w:rPr>
        <w:t xml:space="preserve"> The contribution of RRR areas is not being maximised. Boosting the contribution made by RRR Australia, including the capacity of education institutions, will build the nation, increase productivity, and promote decentralisation. RRR students who successfully complete tertiary education are also more likely to return to RRR areas. Increasing the participation of RRR students will directly and positively contribute to the economic and social development of RRR areas. </w:t>
      </w:r>
    </w:p>
    <w:p w14:paraId="00A81F50" w14:textId="77777777" w:rsidR="00BF622D" w:rsidRPr="00A85532" w:rsidRDefault="00BF622D" w:rsidP="00BF622D">
      <w:pPr>
        <w:pStyle w:val="Default"/>
        <w:ind w:left="720"/>
        <w:rPr>
          <w:sz w:val="22"/>
          <w:szCs w:val="22"/>
        </w:rPr>
      </w:pPr>
    </w:p>
    <w:p w14:paraId="049FEBFA" w14:textId="7F0B9AE7" w:rsidR="00BF622D" w:rsidRPr="00A85532" w:rsidRDefault="00BF622D" w:rsidP="00BF622D">
      <w:pPr>
        <w:pStyle w:val="Pa21"/>
        <w:spacing w:after="80"/>
        <w:rPr>
          <w:rFonts w:asciiTheme="minorHAnsi" w:hAnsiTheme="minorHAnsi" w:cstheme="minorHAnsi"/>
          <w:color w:val="000000"/>
          <w:sz w:val="22"/>
          <w:szCs w:val="22"/>
        </w:rPr>
      </w:pPr>
      <w:r w:rsidRPr="00A85532">
        <w:rPr>
          <w:rFonts w:asciiTheme="minorHAnsi" w:hAnsiTheme="minorHAnsi" w:cstheme="minorHAnsi"/>
          <w:color w:val="000000"/>
          <w:sz w:val="22"/>
          <w:szCs w:val="22"/>
        </w:rPr>
        <w:t xml:space="preserve">This report includes 25 findings related to these issues which provide a basis for the recommendations and actions included in the Strategy. </w:t>
      </w:r>
    </w:p>
    <w:p w14:paraId="7B428E3E" w14:textId="77777777" w:rsidR="00BF622D" w:rsidRPr="00BF622D" w:rsidRDefault="00BF622D" w:rsidP="00BF622D"/>
    <w:p w14:paraId="62DF4F5A" w14:textId="6C6F4B12" w:rsidR="00B769CF" w:rsidRPr="00306207" w:rsidRDefault="00B769CF" w:rsidP="00726804">
      <w:pPr>
        <w:pStyle w:val="Heading2"/>
      </w:pPr>
      <w:bookmarkStart w:id="19" w:name="_Toc13224787"/>
      <w:r w:rsidRPr="00306207">
        <w:lastRenderedPageBreak/>
        <w:t>Plan for change</w:t>
      </w:r>
      <w:bookmarkEnd w:id="16"/>
      <w:bookmarkEnd w:id="17"/>
      <w:bookmarkEnd w:id="18"/>
      <w:bookmarkEnd w:id="19"/>
    </w:p>
    <w:p w14:paraId="1E536E73" w14:textId="77777777" w:rsidR="00A85532" w:rsidRPr="00A85532" w:rsidRDefault="00A85532" w:rsidP="00A85532">
      <w:pPr>
        <w:pStyle w:val="Pa21"/>
        <w:spacing w:after="80"/>
        <w:rPr>
          <w:rFonts w:asciiTheme="minorHAnsi" w:hAnsiTheme="minorHAnsi" w:cstheme="minorHAnsi"/>
          <w:color w:val="000000"/>
          <w:sz w:val="22"/>
          <w:szCs w:val="22"/>
        </w:rPr>
      </w:pPr>
      <w:r w:rsidRPr="00A85532">
        <w:rPr>
          <w:rFonts w:asciiTheme="minorHAnsi" w:hAnsiTheme="minorHAnsi" w:cstheme="minorHAnsi"/>
          <w:color w:val="000000"/>
          <w:sz w:val="22"/>
          <w:szCs w:val="22"/>
        </w:rPr>
        <w:t xml:space="preserve">At the core of the Strategy is a vision of a tertiary education system which supports equal opportunity and access for individuals from RRR areas. This vision is underpinned by several core objectives and targets, specifically focused on halving the current disparity between RRR and metropolitan students in relation to tertiary education attainment and participation by 2030. </w:t>
      </w:r>
    </w:p>
    <w:p w14:paraId="01C0F4C4" w14:textId="77777777" w:rsidR="00A85532" w:rsidRPr="00A85532" w:rsidRDefault="00A85532" w:rsidP="00A85532">
      <w:pPr>
        <w:pStyle w:val="Pa21"/>
        <w:spacing w:after="80"/>
        <w:rPr>
          <w:rFonts w:asciiTheme="minorHAnsi" w:hAnsiTheme="minorHAnsi" w:cstheme="minorHAnsi"/>
          <w:color w:val="000000"/>
          <w:sz w:val="22"/>
          <w:szCs w:val="22"/>
        </w:rPr>
      </w:pPr>
      <w:r w:rsidRPr="00A85532">
        <w:rPr>
          <w:rFonts w:asciiTheme="minorHAnsi" w:hAnsiTheme="minorHAnsi" w:cstheme="minorHAnsi"/>
          <w:color w:val="000000"/>
          <w:sz w:val="22"/>
          <w:szCs w:val="22"/>
        </w:rPr>
        <w:t xml:space="preserve">No single recommendation or action can solve the education challenge facing RRR Australia on its own. The additional barriers facing individuals in RRR areas are multifaceted and require cultural and social shifts that cut across governments, communities and families. It will be a combination of actions taken together that will shift the tide. Recently, there has been significant investment in initiatives to provide RRR students with greater choice and access to opportunities. However, given the scale and complexity of the problem, more needs to be done. </w:t>
      </w:r>
    </w:p>
    <w:p w14:paraId="717B3AE5" w14:textId="2AD80B10" w:rsidR="00A85532" w:rsidRDefault="00A85532" w:rsidP="00A85532">
      <w:pPr>
        <w:pStyle w:val="Pa21"/>
        <w:spacing w:after="80"/>
        <w:rPr>
          <w:rFonts w:asciiTheme="minorHAnsi" w:hAnsiTheme="minorHAnsi" w:cstheme="minorHAnsi"/>
          <w:color w:val="000000"/>
          <w:sz w:val="22"/>
          <w:szCs w:val="22"/>
        </w:rPr>
      </w:pPr>
      <w:r w:rsidRPr="00A85532">
        <w:rPr>
          <w:rFonts w:asciiTheme="minorHAnsi" w:hAnsiTheme="minorHAnsi" w:cstheme="minorHAnsi"/>
          <w:color w:val="000000"/>
          <w:sz w:val="22"/>
          <w:szCs w:val="22"/>
        </w:rPr>
        <w:t xml:space="preserve">The Strategy includes seven recommendations and proposes 33 related actions: </w:t>
      </w:r>
    </w:p>
    <w:p w14:paraId="17A165C3" w14:textId="77777777" w:rsidR="00A85532" w:rsidRPr="00A85532" w:rsidRDefault="00A85532" w:rsidP="00A85532">
      <w:pPr>
        <w:pStyle w:val="Default"/>
        <w:rPr>
          <w:sz w:val="22"/>
          <w:szCs w:val="22"/>
        </w:rPr>
      </w:pPr>
      <w:r w:rsidRPr="00A85532">
        <w:rPr>
          <w:b/>
          <w:sz w:val="22"/>
          <w:szCs w:val="22"/>
        </w:rPr>
        <w:t>Recommendation one:</w:t>
      </w:r>
      <w:r w:rsidRPr="00A85532">
        <w:rPr>
          <w:sz w:val="22"/>
          <w:szCs w:val="22"/>
        </w:rPr>
        <w:t xml:space="preserve"> Improve access to tertiary study options for students in RRR areas by: </w:t>
      </w:r>
    </w:p>
    <w:p w14:paraId="25C9AB2E"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providing demand-driven funding for university places in regional areas </w:t>
      </w:r>
    </w:p>
    <w:p w14:paraId="44B8C62C"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exploring new higher education offerings focused on professional skills development </w:t>
      </w:r>
    </w:p>
    <w:p w14:paraId="7F97643E"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expanding access to Regional Study Hubs </w:t>
      </w:r>
    </w:p>
    <w:p w14:paraId="6DED8BB1"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addressing problems with student access to affordable, reliable, high speed internet services, and </w:t>
      </w:r>
    </w:p>
    <w:p w14:paraId="4D14F82A"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improving access to high quality VET programs in RRR areas. </w:t>
      </w:r>
    </w:p>
    <w:p w14:paraId="38814EA1" w14:textId="77777777" w:rsidR="00A85532" w:rsidRPr="00A85532" w:rsidRDefault="00A85532" w:rsidP="00A85532">
      <w:pPr>
        <w:pStyle w:val="Default"/>
        <w:rPr>
          <w:sz w:val="22"/>
          <w:szCs w:val="22"/>
        </w:rPr>
      </w:pPr>
    </w:p>
    <w:p w14:paraId="53B25B7E" w14:textId="77777777" w:rsidR="00A85532" w:rsidRPr="00A85532" w:rsidRDefault="00A85532" w:rsidP="00A85532">
      <w:pPr>
        <w:pStyle w:val="Default"/>
        <w:rPr>
          <w:sz w:val="22"/>
          <w:szCs w:val="22"/>
        </w:rPr>
      </w:pPr>
      <w:r w:rsidRPr="00A85532">
        <w:rPr>
          <w:b/>
          <w:sz w:val="22"/>
          <w:szCs w:val="22"/>
        </w:rPr>
        <w:t>Recommendation two:</w:t>
      </w:r>
      <w:r w:rsidRPr="00A85532">
        <w:rPr>
          <w:sz w:val="22"/>
          <w:szCs w:val="22"/>
        </w:rPr>
        <w:t xml:space="preserve"> Improve access to financial support, to support greater fairness and more equal opportunity by: </w:t>
      </w:r>
    </w:p>
    <w:p w14:paraId="7C6CC4EA"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introducing a new tertiary education access payment for students who relocate for study from an outer regional or remote area </w:t>
      </w:r>
    </w:p>
    <w:p w14:paraId="73CB4488"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allowing greater flexibility in pathways to qualify for independent Youth Allowance </w:t>
      </w:r>
    </w:p>
    <w:p w14:paraId="58111B9A"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providing greater assistance to students and families to meet costs associated with travel to and from their home communities, and </w:t>
      </w:r>
    </w:p>
    <w:p w14:paraId="235CC913" w14:textId="1C3FAC35"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promoting and improving the clarity of online information about available financial support.</w:t>
      </w:r>
    </w:p>
    <w:p w14:paraId="51BE290C" w14:textId="1393F104" w:rsidR="00A85532" w:rsidRDefault="00A85532" w:rsidP="00A85532">
      <w:pPr>
        <w:pStyle w:val="Default"/>
      </w:pPr>
    </w:p>
    <w:p w14:paraId="3B07103E" w14:textId="3E8E44A3" w:rsidR="00A85532" w:rsidRPr="00A85532" w:rsidRDefault="00A85532" w:rsidP="00A85532">
      <w:pPr>
        <w:autoSpaceDE w:val="0"/>
        <w:autoSpaceDN w:val="0"/>
        <w:adjustRightInd w:val="0"/>
        <w:spacing w:after="80" w:line="211" w:lineRule="atLeast"/>
        <w:rPr>
          <w:rFonts w:cstheme="minorHAnsi"/>
          <w:color w:val="000000"/>
        </w:rPr>
      </w:pPr>
      <w:r w:rsidRPr="00A85532">
        <w:rPr>
          <w:rFonts w:cstheme="minorHAnsi"/>
          <w:b/>
          <w:color w:val="000000"/>
        </w:rPr>
        <w:t>Recommendation three:</w:t>
      </w:r>
      <w:r w:rsidRPr="00A85532">
        <w:rPr>
          <w:rFonts w:cstheme="minorHAnsi"/>
          <w:color w:val="000000"/>
        </w:rPr>
        <w:t xml:space="preserve"> Improve the quality and range of student support services for RRR students to address the challenges of transition and higher rates of attrition by: </w:t>
      </w:r>
    </w:p>
    <w:p w14:paraId="1906F5A4"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identifying and disseminating information on best practice student support services </w:t>
      </w:r>
    </w:p>
    <w:p w14:paraId="3B0A4342"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introducing new requirements for providers to publish transparent information on available service offerings, and </w:t>
      </w:r>
    </w:p>
    <w:p w14:paraId="13C31B0A"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working with state and territory governments to improve transport options for students. </w:t>
      </w:r>
    </w:p>
    <w:p w14:paraId="3EF0FCDD" w14:textId="77777777" w:rsidR="00A85532" w:rsidRPr="00A85532" w:rsidRDefault="00A85532" w:rsidP="00A85532">
      <w:pPr>
        <w:autoSpaceDE w:val="0"/>
        <w:autoSpaceDN w:val="0"/>
        <w:adjustRightInd w:val="0"/>
        <w:spacing w:after="0" w:line="240" w:lineRule="auto"/>
        <w:rPr>
          <w:rFonts w:cstheme="minorHAnsi"/>
          <w:color w:val="000000"/>
        </w:rPr>
      </w:pPr>
    </w:p>
    <w:p w14:paraId="3E2186E6" w14:textId="77777777" w:rsidR="00A85532" w:rsidRPr="00A85532" w:rsidRDefault="00A85532" w:rsidP="00A85532">
      <w:pPr>
        <w:autoSpaceDE w:val="0"/>
        <w:autoSpaceDN w:val="0"/>
        <w:adjustRightInd w:val="0"/>
        <w:spacing w:after="80" w:line="211" w:lineRule="atLeast"/>
        <w:rPr>
          <w:rFonts w:cstheme="minorHAnsi"/>
          <w:color w:val="000000"/>
        </w:rPr>
      </w:pPr>
      <w:r w:rsidRPr="00A85532">
        <w:rPr>
          <w:rFonts w:cstheme="minorHAnsi"/>
          <w:b/>
          <w:color w:val="000000"/>
        </w:rPr>
        <w:t>Recommendation four:</w:t>
      </w:r>
      <w:r w:rsidRPr="00A85532">
        <w:rPr>
          <w:rFonts w:cstheme="minorHAnsi"/>
          <w:color w:val="000000"/>
        </w:rPr>
        <w:t xml:space="preserve"> Build aspiration, improve career advice and strengthen RRR schools to better prepare RRR students for success by: </w:t>
      </w:r>
    </w:p>
    <w:p w14:paraId="2740EC83"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implementing a regionally-based model for independent, professional career advice </w:t>
      </w:r>
    </w:p>
    <w:p w14:paraId="00BE37F5"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improving online career related information and advice </w:t>
      </w:r>
    </w:p>
    <w:p w14:paraId="1C7567BB"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establishing aspiration-raising initiatives covering both VET and higher education </w:t>
      </w:r>
    </w:p>
    <w:p w14:paraId="5F192D7A"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expanding access to high quality VET programs in RRR schools </w:t>
      </w:r>
    </w:p>
    <w:p w14:paraId="63F27DAB"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undertaking further work to improve RRR schools and Year 12 completion rates, and </w:t>
      </w:r>
    </w:p>
    <w:p w14:paraId="68CBF145"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improving support available to teachers, principals and school leaders. </w:t>
      </w:r>
    </w:p>
    <w:p w14:paraId="2D91D450" w14:textId="0A877B4F" w:rsidR="00A85532" w:rsidRDefault="00A85532" w:rsidP="00A85532">
      <w:pPr>
        <w:pStyle w:val="Default"/>
      </w:pPr>
    </w:p>
    <w:p w14:paraId="0A923EB9" w14:textId="7D3F47C6" w:rsidR="00A85532" w:rsidRDefault="00A85532">
      <w:pPr>
        <w:rPr>
          <w:rFonts w:ascii="Calibri" w:hAnsi="Calibri" w:cs="Calibri"/>
          <w:color w:val="000000"/>
          <w:sz w:val="24"/>
          <w:szCs w:val="24"/>
        </w:rPr>
      </w:pPr>
      <w:r>
        <w:br w:type="page"/>
      </w:r>
    </w:p>
    <w:p w14:paraId="153E3DCA" w14:textId="77777777" w:rsidR="00A85532" w:rsidRPr="00A85532" w:rsidRDefault="00A85532" w:rsidP="00A85532">
      <w:pPr>
        <w:autoSpaceDE w:val="0"/>
        <w:autoSpaceDN w:val="0"/>
        <w:adjustRightInd w:val="0"/>
        <w:spacing w:after="80" w:line="211" w:lineRule="atLeast"/>
        <w:rPr>
          <w:rFonts w:cstheme="minorHAnsi"/>
          <w:color w:val="000000"/>
        </w:rPr>
      </w:pPr>
      <w:r w:rsidRPr="00A85532">
        <w:rPr>
          <w:rFonts w:cstheme="minorHAnsi"/>
          <w:b/>
          <w:color w:val="000000"/>
        </w:rPr>
        <w:lastRenderedPageBreak/>
        <w:t>Recommendation five:</w:t>
      </w:r>
      <w:r w:rsidRPr="00A85532">
        <w:rPr>
          <w:rFonts w:cstheme="minorHAnsi"/>
          <w:color w:val="000000"/>
        </w:rPr>
        <w:t xml:space="preserve"> Improve participation and outcomes for RRR students from equity groups including low SES students, Indigenous students, students with disability and remote students by: </w:t>
      </w:r>
    </w:p>
    <w:p w14:paraId="0FD51F64"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modifying the Higher Education Participation and Partnerships Program (HEPPP) to better target funding to cost effective RRR programs </w:t>
      </w:r>
    </w:p>
    <w:p w14:paraId="7E21EADC"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providing demand-driven funding for RRR Indigenous university students, and </w:t>
      </w:r>
    </w:p>
    <w:p w14:paraId="763BE837"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establishing tailored initiatives for equity groups and those experiencing hardship. </w:t>
      </w:r>
    </w:p>
    <w:p w14:paraId="73486E34" w14:textId="77777777" w:rsidR="00A85532" w:rsidRPr="00A85532" w:rsidRDefault="00A85532" w:rsidP="00A85532">
      <w:pPr>
        <w:autoSpaceDE w:val="0"/>
        <w:autoSpaceDN w:val="0"/>
        <w:adjustRightInd w:val="0"/>
        <w:spacing w:after="0" w:line="240" w:lineRule="auto"/>
        <w:rPr>
          <w:rFonts w:cstheme="minorHAnsi"/>
          <w:color w:val="000000"/>
        </w:rPr>
      </w:pPr>
    </w:p>
    <w:p w14:paraId="3CB8B435" w14:textId="77777777" w:rsidR="00A85532" w:rsidRPr="00A85532" w:rsidRDefault="00A85532" w:rsidP="00A85532">
      <w:pPr>
        <w:autoSpaceDE w:val="0"/>
        <w:autoSpaceDN w:val="0"/>
        <w:adjustRightInd w:val="0"/>
        <w:spacing w:after="80" w:line="211" w:lineRule="atLeast"/>
        <w:rPr>
          <w:rFonts w:cstheme="minorHAnsi"/>
          <w:color w:val="000000"/>
        </w:rPr>
      </w:pPr>
      <w:r w:rsidRPr="00A85532">
        <w:rPr>
          <w:rFonts w:cstheme="minorHAnsi"/>
          <w:b/>
          <w:color w:val="000000"/>
        </w:rPr>
        <w:t>Recommendation six:</w:t>
      </w:r>
      <w:r w:rsidRPr="00A85532">
        <w:rPr>
          <w:rFonts w:cstheme="minorHAnsi"/>
          <w:color w:val="000000"/>
        </w:rPr>
        <w:t xml:space="preserve"> Strengthen the role of tertiary education providers in regional development and grow Australia’s regions by: </w:t>
      </w:r>
    </w:p>
    <w:p w14:paraId="14E61DB6"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increasing the research capacity of regional universities including identifying opportunities to establish research infrastructure </w:t>
      </w:r>
    </w:p>
    <w:p w14:paraId="5B0E9B65"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continuing to explore strategies to attract domestic and international students, and </w:t>
      </w:r>
    </w:p>
    <w:p w14:paraId="5A6C4815"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increasing opportunities to undertake work integrated learning in RRR areas. </w:t>
      </w:r>
    </w:p>
    <w:p w14:paraId="07163808" w14:textId="77777777" w:rsidR="00A85532" w:rsidRPr="00A85532" w:rsidRDefault="00A85532" w:rsidP="00A85532">
      <w:pPr>
        <w:autoSpaceDE w:val="0"/>
        <w:autoSpaceDN w:val="0"/>
        <w:adjustRightInd w:val="0"/>
        <w:spacing w:after="0" w:line="240" w:lineRule="auto"/>
        <w:rPr>
          <w:rFonts w:cstheme="minorHAnsi"/>
          <w:color w:val="000000"/>
        </w:rPr>
      </w:pPr>
    </w:p>
    <w:p w14:paraId="7A703BAE" w14:textId="77777777" w:rsidR="00A85532" w:rsidRPr="00A85532" w:rsidRDefault="00A85532" w:rsidP="00A85532">
      <w:pPr>
        <w:autoSpaceDE w:val="0"/>
        <w:autoSpaceDN w:val="0"/>
        <w:adjustRightInd w:val="0"/>
        <w:spacing w:line="211" w:lineRule="atLeast"/>
        <w:rPr>
          <w:rFonts w:cstheme="minorHAnsi"/>
          <w:color w:val="000000"/>
        </w:rPr>
      </w:pPr>
      <w:r w:rsidRPr="00A85532">
        <w:rPr>
          <w:rFonts w:cstheme="minorHAnsi"/>
          <w:color w:val="000000"/>
        </w:rPr>
        <w:t xml:space="preserve">The Advisory Group’s seventh recommendation is related to implementing and monitoring the Strategy: </w:t>
      </w:r>
    </w:p>
    <w:p w14:paraId="3EAE8BEE" w14:textId="77777777" w:rsidR="00A85532" w:rsidRPr="00A85532" w:rsidRDefault="00A85532" w:rsidP="00A85532">
      <w:pPr>
        <w:autoSpaceDE w:val="0"/>
        <w:autoSpaceDN w:val="0"/>
        <w:adjustRightInd w:val="0"/>
        <w:spacing w:after="80" w:line="211" w:lineRule="atLeast"/>
        <w:rPr>
          <w:rFonts w:cstheme="minorHAnsi"/>
          <w:color w:val="000000"/>
        </w:rPr>
      </w:pPr>
      <w:r w:rsidRPr="00A85532">
        <w:rPr>
          <w:rFonts w:cstheme="minorHAnsi"/>
          <w:b/>
          <w:color w:val="000000"/>
        </w:rPr>
        <w:t>Recommendation seven:</w:t>
      </w:r>
      <w:r w:rsidRPr="00A85532">
        <w:rPr>
          <w:rFonts w:cstheme="minorHAnsi"/>
          <w:color w:val="000000"/>
        </w:rPr>
        <w:t xml:space="preserve"> Establish mechanisms to coordinate the implementation effort and support monitoring of the Strategy by: </w:t>
      </w:r>
    </w:p>
    <w:p w14:paraId="493AFDE8"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establishing an RRR Education Commissioner, with a broad remit in relation to RRR education matters, and </w:t>
      </w:r>
    </w:p>
    <w:p w14:paraId="772B7BF4"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developing an improved geographical classification tool for tertiary education purposes.</w:t>
      </w:r>
    </w:p>
    <w:p w14:paraId="7FB16E10" w14:textId="77777777" w:rsidR="00A85532" w:rsidRDefault="00A85532" w:rsidP="00A85532">
      <w:pPr>
        <w:pStyle w:val="Default"/>
      </w:pPr>
    </w:p>
    <w:p w14:paraId="7E7868D8" w14:textId="1D030707" w:rsidR="005E2909" w:rsidRPr="00306207" w:rsidRDefault="005E2909" w:rsidP="00726804">
      <w:pPr>
        <w:pStyle w:val="Heading2"/>
      </w:pPr>
      <w:bookmarkStart w:id="20" w:name="_Toc11783236"/>
      <w:bookmarkStart w:id="21" w:name="_Toc11830099"/>
      <w:bookmarkStart w:id="22" w:name="_Toc11860981"/>
      <w:bookmarkStart w:id="23" w:name="_Toc13224788"/>
      <w:r w:rsidRPr="00306207">
        <w:t>Implement</w:t>
      </w:r>
      <w:r w:rsidR="0068026B">
        <w:t>ing the Strategy</w:t>
      </w:r>
      <w:bookmarkEnd w:id="20"/>
      <w:bookmarkEnd w:id="21"/>
      <w:bookmarkEnd w:id="22"/>
      <w:bookmarkEnd w:id="23"/>
      <w:r w:rsidRPr="00306207">
        <w:t xml:space="preserve"> </w:t>
      </w:r>
    </w:p>
    <w:p w14:paraId="121A1C94" w14:textId="77777777" w:rsidR="00A85532" w:rsidRPr="00A85532" w:rsidRDefault="00A85532" w:rsidP="00A85532">
      <w:pPr>
        <w:pStyle w:val="Pa21"/>
        <w:spacing w:after="80"/>
        <w:rPr>
          <w:rFonts w:asciiTheme="minorHAnsi" w:hAnsiTheme="minorHAnsi" w:cstheme="minorHAnsi"/>
          <w:color w:val="000000"/>
          <w:sz w:val="22"/>
          <w:szCs w:val="22"/>
        </w:rPr>
      </w:pPr>
      <w:r w:rsidRPr="00A85532">
        <w:rPr>
          <w:rFonts w:asciiTheme="minorHAnsi" w:hAnsiTheme="minorHAnsi" w:cstheme="minorHAnsi"/>
          <w:color w:val="000000"/>
          <w:sz w:val="22"/>
          <w:szCs w:val="22"/>
        </w:rPr>
        <w:t xml:space="preserve">The Advisory Group notes that for the Strategy to be successful, concerted and sustained effort is needed from a range of players, including all levels of government, tertiary education providers, employers, communities and families. The establishment of an RRR Education Commissioner would assist in this process – providing a national focus for RRR education and coordinating the Strategy’s implementation and monitoring. In addition, policy solutions need to recognise the diversity of RRR communities and their tertiary education needs. </w:t>
      </w:r>
    </w:p>
    <w:p w14:paraId="0EC7217A" w14:textId="77777777" w:rsidR="00A85532" w:rsidRPr="00A85532" w:rsidRDefault="00A85532" w:rsidP="00A85532">
      <w:pPr>
        <w:pStyle w:val="Pa21"/>
        <w:spacing w:after="80"/>
        <w:rPr>
          <w:rFonts w:asciiTheme="minorHAnsi" w:hAnsiTheme="minorHAnsi" w:cstheme="minorHAnsi"/>
          <w:color w:val="000000"/>
          <w:sz w:val="22"/>
          <w:szCs w:val="22"/>
        </w:rPr>
      </w:pPr>
      <w:r w:rsidRPr="00A85532">
        <w:rPr>
          <w:rFonts w:asciiTheme="minorHAnsi" w:hAnsiTheme="minorHAnsi" w:cstheme="minorHAnsi"/>
          <w:color w:val="000000"/>
          <w:sz w:val="22"/>
          <w:szCs w:val="22"/>
        </w:rPr>
        <w:t xml:space="preserve">The development of monitoring tools to track the progress of the Strategy and achievement of the proposed targets over its ten year timeframe will be important, as well as the development of an improved geographical classification tool specifically designed for tertiary education purposes. This new tool could enable better targeting of support to RRR communities and students, which will aid the success of the Strategy. </w:t>
      </w:r>
    </w:p>
    <w:p w14:paraId="2FCBA8B0" w14:textId="085BF248" w:rsidR="00CB3214" w:rsidRPr="00A85532" w:rsidRDefault="00A85532" w:rsidP="00A85532">
      <w:pPr>
        <w:pStyle w:val="Pa21"/>
        <w:spacing w:after="80"/>
        <w:rPr>
          <w:rFonts w:asciiTheme="minorHAnsi" w:hAnsiTheme="minorHAnsi" w:cstheme="minorHAnsi"/>
          <w:color w:val="000000"/>
          <w:sz w:val="22"/>
          <w:szCs w:val="22"/>
        </w:rPr>
        <w:sectPr w:rsidR="00CB3214" w:rsidRPr="00A85532" w:rsidSect="00DD4908">
          <w:footerReference w:type="default" r:id="rId17"/>
          <w:pgSz w:w="11906" w:h="16838"/>
          <w:pgMar w:top="1440" w:right="851" w:bottom="1440" w:left="851" w:header="709" w:footer="709" w:gutter="0"/>
          <w:pgNumType w:start="1"/>
          <w:cols w:space="708"/>
          <w:docGrid w:linePitch="360"/>
        </w:sectPr>
      </w:pPr>
      <w:r w:rsidRPr="00A85532">
        <w:rPr>
          <w:rFonts w:asciiTheme="minorHAnsi" w:hAnsiTheme="minorHAnsi" w:cstheme="minorHAnsi"/>
          <w:color w:val="000000"/>
          <w:sz w:val="22"/>
          <w:szCs w:val="22"/>
        </w:rPr>
        <w:t xml:space="preserve">Together, the recommendations and actions of this Strategy provide a comprehensive plan that seeks to address the challenges current and prospective RRR students face. Progress towards providing equality of access and opportunity will drive benefits for individuals, communities and the nation. A roadmap of this plan, which outlines the key actions and the desired end state, can be found on the following page. </w:t>
      </w:r>
      <w:r w:rsidR="00D31D95" w:rsidRPr="00A85532">
        <w:rPr>
          <w:rFonts w:asciiTheme="minorHAnsi" w:hAnsiTheme="minorHAnsi" w:cstheme="minorHAnsi"/>
          <w:color w:val="000000"/>
          <w:sz w:val="22"/>
          <w:szCs w:val="22"/>
        </w:rPr>
        <w:t xml:space="preserve"> </w:t>
      </w:r>
    </w:p>
    <w:p w14:paraId="67145F19" w14:textId="1D87BA74" w:rsidR="009163AD" w:rsidRDefault="000652D9" w:rsidP="009163AD">
      <w:r>
        <w:rPr>
          <w:noProof/>
        </w:rPr>
        <w:lastRenderedPageBreak/>
        <w:pict w14:anchorId="425D67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27pt;margin-top:-9.75pt;width:737.15pt;height:471pt;z-index:251708416">
            <v:imagedata r:id="rId18" o:title="ED19-0084 - HE - Regional Taskforce Final Report_Roadmap"/>
          </v:shape>
        </w:pict>
      </w:r>
    </w:p>
    <w:p w14:paraId="680CF9F8" w14:textId="6F394D3F" w:rsidR="00E314C3" w:rsidRPr="00480257" w:rsidRDefault="00E314C3" w:rsidP="00E314C3">
      <w:pPr>
        <w:spacing w:after="0"/>
        <w:rPr>
          <w:rFonts w:cstheme="minorHAnsi"/>
          <w:sz w:val="16"/>
          <w:szCs w:val="16"/>
        </w:rPr>
      </w:pPr>
      <w:r w:rsidRPr="00480257">
        <w:rPr>
          <w:rFonts w:cstheme="minorHAnsi"/>
          <w:sz w:val="16"/>
          <w:szCs w:val="16"/>
        </w:rPr>
        <w:t xml:space="preserve">The Problem – </w:t>
      </w:r>
      <w:r w:rsidRPr="00480257">
        <w:rPr>
          <w:rFonts w:cstheme="minorHAnsi"/>
          <w:sz w:val="16"/>
          <w:szCs w:val="16"/>
          <w:lang w:val="en-US"/>
        </w:rPr>
        <w:t>RRR Australians are 40 per cent less likely to gain a higher-level tertiary education qualification and half as likely to gain a Bachelor level qualification by the time they are 25, compared to individuals from metropolitan areas</w:t>
      </w:r>
      <w:r w:rsidRPr="00480257">
        <w:rPr>
          <w:rFonts w:cstheme="minorHAnsi"/>
          <w:sz w:val="16"/>
          <w:szCs w:val="16"/>
        </w:rPr>
        <w:t xml:space="preserve">. </w:t>
      </w:r>
    </w:p>
    <w:p w14:paraId="54DE805A" w14:textId="77777777" w:rsidR="00E314C3" w:rsidRPr="00480257" w:rsidRDefault="00E314C3" w:rsidP="00E314C3">
      <w:pPr>
        <w:spacing w:after="0"/>
        <w:rPr>
          <w:rFonts w:cstheme="minorHAnsi"/>
          <w:sz w:val="16"/>
          <w:szCs w:val="16"/>
        </w:rPr>
      </w:pPr>
      <w:r w:rsidRPr="00480257">
        <w:rPr>
          <w:rFonts w:cstheme="minorHAnsi"/>
          <w:sz w:val="16"/>
          <w:szCs w:val="16"/>
        </w:rPr>
        <w:t>The Aim – Equal opportunity for every individual from RRR areas to access tertiary education regardless of personal circumstances and location.</w:t>
      </w:r>
    </w:p>
    <w:tbl>
      <w:tblPr>
        <w:tblStyle w:val="TableGrid"/>
        <w:tblW w:w="0" w:type="auto"/>
        <w:tblLook w:val="04A0" w:firstRow="1" w:lastRow="0" w:firstColumn="1" w:lastColumn="0" w:noHBand="0" w:noVBand="1"/>
      </w:tblPr>
      <w:tblGrid>
        <w:gridCol w:w="2249"/>
        <w:gridCol w:w="1374"/>
        <w:gridCol w:w="4785"/>
        <w:gridCol w:w="2770"/>
        <w:gridCol w:w="2770"/>
      </w:tblGrid>
      <w:tr w:rsidR="00E314C3" w:rsidRPr="00480257" w14:paraId="190616B2" w14:textId="77777777" w:rsidTr="000F44D4">
        <w:trPr>
          <w:tblHeader/>
        </w:trPr>
        <w:tc>
          <w:tcPr>
            <w:tcW w:w="2263" w:type="dxa"/>
          </w:tcPr>
          <w:p w14:paraId="76EECDB1" w14:textId="77777777" w:rsidR="00E314C3" w:rsidRPr="00480257" w:rsidRDefault="00E314C3" w:rsidP="00F74C6A">
            <w:pPr>
              <w:rPr>
                <w:rFonts w:cstheme="minorHAnsi"/>
                <w:sz w:val="16"/>
                <w:szCs w:val="16"/>
              </w:rPr>
            </w:pPr>
            <w:r w:rsidRPr="00480257">
              <w:rPr>
                <w:rFonts w:cstheme="minorHAnsi"/>
                <w:sz w:val="16"/>
                <w:szCs w:val="16"/>
              </w:rPr>
              <w:t xml:space="preserve">Current state </w:t>
            </w:r>
          </w:p>
        </w:tc>
        <w:tc>
          <w:tcPr>
            <w:tcW w:w="1276" w:type="dxa"/>
          </w:tcPr>
          <w:p w14:paraId="4255E6B4" w14:textId="77777777" w:rsidR="00E314C3" w:rsidRPr="00480257" w:rsidRDefault="00E314C3" w:rsidP="00F74C6A">
            <w:pPr>
              <w:rPr>
                <w:rFonts w:cstheme="minorHAnsi"/>
                <w:sz w:val="16"/>
                <w:szCs w:val="16"/>
              </w:rPr>
            </w:pPr>
            <w:r w:rsidRPr="00480257">
              <w:rPr>
                <w:rFonts w:cstheme="minorHAnsi"/>
                <w:sz w:val="16"/>
                <w:szCs w:val="16"/>
              </w:rPr>
              <w:t>Recommendation</w:t>
            </w:r>
          </w:p>
        </w:tc>
        <w:tc>
          <w:tcPr>
            <w:tcW w:w="4829" w:type="dxa"/>
          </w:tcPr>
          <w:p w14:paraId="74805457" w14:textId="77777777" w:rsidR="00E314C3" w:rsidRPr="00480257" w:rsidRDefault="00E314C3" w:rsidP="00F74C6A">
            <w:pPr>
              <w:rPr>
                <w:rFonts w:cstheme="minorHAnsi"/>
                <w:sz w:val="16"/>
                <w:szCs w:val="16"/>
              </w:rPr>
            </w:pPr>
            <w:r w:rsidRPr="00480257">
              <w:rPr>
                <w:rFonts w:cstheme="minorHAnsi"/>
                <w:sz w:val="16"/>
                <w:szCs w:val="16"/>
              </w:rPr>
              <w:t xml:space="preserve">Actions </w:t>
            </w:r>
          </w:p>
        </w:tc>
        <w:tc>
          <w:tcPr>
            <w:tcW w:w="2790" w:type="dxa"/>
          </w:tcPr>
          <w:p w14:paraId="7A307C59" w14:textId="77777777" w:rsidR="00E314C3" w:rsidRPr="00480257" w:rsidRDefault="00E314C3" w:rsidP="00F74C6A">
            <w:pPr>
              <w:rPr>
                <w:rFonts w:cstheme="minorHAnsi"/>
                <w:sz w:val="16"/>
                <w:szCs w:val="16"/>
              </w:rPr>
            </w:pPr>
            <w:r w:rsidRPr="00480257">
              <w:rPr>
                <w:rFonts w:cstheme="minorHAnsi"/>
                <w:sz w:val="16"/>
                <w:szCs w:val="16"/>
              </w:rPr>
              <w:t xml:space="preserve">Outcomes </w:t>
            </w:r>
          </w:p>
        </w:tc>
        <w:tc>
          <w:tcPr>
            <w:tcW w:w="2790" w:type="dxa"/>
          </w:tcPr>
          <w:p w14:paraId="311F4E28" w14:textId="77777777" w:rsidR="00E314C3" w:rsidRPr="00480257" w:rsidRDefault="00E314C3" w:rsidP="00F74C6A">
            <w:pPr>
              <w:rPr>
                <w:rFonts w:cstheme="minorHAnsi"/>
                <w:sz w:val="16"/>
                <w:szCs w:val="16"/>
              </w:rPr>
            </w:pPr>
            <w:r w:rsidRPr="00480257">
              <w:rPr>
                <w:rFonts w:cstheme="minorHAnsi"/>
                <w:sz w:val="16"/>
                <w:szCs w:val="16"/>
              </w:rPr>
              <w:t xml:space="preserve">Targets </w:t>
            </w:r>
          </w:p>
        </w:tc>
      </w:tr>
      <w:tr w:rsidR="00E314C3" w:rsidRPr="00480257" w14:paraId="00D88EB8" w14:textId="77777777" w:rsidTr="00F74C6A">
        <w:tc>
          <w:tcPr>
            <w:tcW w:w="2263" w:type="dxa"/>
          </w:tcPr>
          <w:p w14:paraId="19A16D0E" w14:textId="77777777" w:rsidR="00E314C3" w:rsidRPr="00480257" w:rsidRDefault="00E314C3" w:rsidP="00F74C6A">
            <w:pPr>
              <w:rPr>
                <w:rFonts w:cstheme="minorHAnsi"/>
                <w:sz w:val="16"/>
                <w:szCs w:val="16"/>
              </w:rPr>
            </w:pPr>
            <w:r w:rsidRPr="00480257">
              <w:rPr>
                <w:rFonts w:cstheme="minorHAnsi"/>
                <w:sz w:val="16"/>
                <w:szCs w:val="16"/>
              </w:rPr>
              <w:t>There are fewer educ</w:t>
            </w:r>
            <w:r>
              <w:rPr>
                <w:rFonts w:cstheme="minorHAnsi"/>
                <w:sz w:val="16"/>
                <w:szCs w:val="16"/>
              </w:rPr>
              <w:t>ation options in RRR communities.</w:t>
            </w:r>
          </w:p>
        </w:tc>
        <w:tc>
          <w:tcPr>
            <w:tcW w:w="1276" w:type="dxa"/>
          </w:tcPr>
          <w:p w14:paraId="60E16303" w14:textId="77777777" w:rsidR="00E314C3" w:rsidRPr="00480257" w:rsidRDefault="00E314C3" w:rsidP="00F74C6A">
            <w:pPr>
              <w:rPr>
                <w:rFonts w:cstheme="minorHAnsi"/>
                <w:sz w:val="16"/>
                <w:szCs w:val="16"/>
              </w:rPr>
            </w:pPr>
            <w:r w:rsidRPr="00480257">
              <w:rPr>
                <w:rFonts w:cstheme="minorHAnsi"/>
                <w:sz w:val="16"/>
                <w:szCs w:val="16"/>
              </w:rPr>
              <w:t>Improve access to study options</w:t>
            </w:r>
            <w:r>
              <w:rPr>
                <w:rFonts w:cstheme="minorHAnsi"/>
                <w:sz w:val="16"/>
                <w:szCs w:val="16"/>
              </w:rPr>
              <w:t>.</w:t>
            </w:r>
          </w:p>
        </w:tc>
        <w:tc>
          <w:tcPr>
            <w:tcW w:w="4829" w:type="dxa"/>
          </w:tcPr>
          <w:p w14:paraId="41A05B62" w14:textId="77777777" w:rsidR="00E314C3" w:rsidRPr="00480257" w:rsidRDefault="00E314C3" w:rsidP="00F74C6A">
            <w:pPr>
              <w:rPr>
                <w:rFonts w:cstheme="minorHAnsi"/>
                <w:sz w:val="16"/>
                <w:szCs w:val="16"/>
              </w:rPr>
            </w:pPr>
            <w:r w:rsidRPr="00480257">
              <w:rPr>
                <w:rFonts w:cstheme="minorHAnsi"/>
                <w:sz w:val="16"/>
                <w:szCs w:val="16"/>
              </w:rPr>
              <w:t>Demand driven funding for bachelor level university places in RRR areas and additional funding for enabling and sub-bachelor places; explore development of a new tertiary education offering; expand and enhance the Regional Study Hubs program; improve internet access; make changes to recognition of prior learning; and improve access to high quality VET.</w:t>
            </w:r>
          </w:p>
        </w:tc>
        <w:tc>
          <w:tcPr>
            <w:tcW w:w="2790" w:type="dxa"/>
          </w:tcPr>
          <w:p w14:paraId="3FDE8AA7" w14:textId="77777777" w:rsidR="00E314C3" w:rsidRPr="00480257" w:rsidRDefault="00E314C3" w:rsidP="00F74C6A">
            <w:pPr>
              <w:rPr>
                <w:rFonts w:cstheme="minorHAnsi"/>
                <w:sz w:val="16"/>
                <w:szCs w:val="16"/>
              </w:rPr>
            </w:pPr>
            <w:r w:rsidRPr="00516CD4">
              <w:rPr>
                <w:rFonts w:cstheme="minorHAnsi"/>
                <w:sz w:val="16"/>
                <w:szCs w:val="16"/>
              </w:rPr>
              <w:t>Improve education opportunities and outcomes for individuals in RRR areas</w:t>
            </w:r>
            <w:r>
              <w:rPr>
                <w:rFonts w:cstheme="minorHAnsi"/>
                <w:sz w:val="16"/>
                <w:szCs w:val="16"/>
              </w:rPr>
              <w:t>.</w:t>
            </w:r>
          </w:p>
        </w:tc>
        <w:tc>
          <w:tcPr>
            <w:tcW w:w="2790" w:type="dxa"/>
          </w:tcPr>
          <w:p w14:paraId="577A1084" w14:textId="77777777" w:rsidR="00E314C3" w:rsidRPr="00480257" w:rsidRDefault="00E314C3" w:rsidP="00F74C6A">
            <w:pPr>
              <w:rPr>
                <w:rFonts w:cstheme="minorHAnsi"/>
                <w:sz w:val="16"/>
                <w:szCs w:val="16"/>
              </w:rPr>
            </w:pPr>
            <w:r w:rsidRPr="00516CD4">
              <w:rPr>
                <w:rFonts w:cstheme="minorHAnsi"/>
                <w:sz w:val="16"/>
                <w:szCs w:val="16"/>
                <w:lang w:val="en-US"/>
              </w:rPr>
              <w:t>By 2030, halve the disparity between metropolitan and each regional and remote location category for Cert IV and above attainment rates for 25-34 year olds.</w:t>
            </w:r>
          </w:p>
        </w:tc>
      </w:tr>
      <w:tr w:rsidR="00E314C3" w:rsidRPr="00480257" w14:paraId="6374A4E0" w14:textId="77777777" w:rsidTr="00F74C6A">
        <w:tc>
          <w:tcPr>
            <w:tcW w:w="2263" w:type="dxa"/>
          </w:tcPr>
          <w:p w14:paraId="0EE7D880" w14:textId="77777777" w:rsidR="00E314C3" w:rsidRPr="00480257" w:rsidRDefault="00E314C3" w:rsidP="00F74C6A">
            <w:pPr>
              <w:rPr>
                <w:rFonts w:cstheme="minorHAnsi"/>
                <w:sz w:val="16"/>
                <w:szCs w:val="16"/>
              </w:rPr>
            </w:pPr>
            <w:r w:rsidRPr="00480257">
              <w:rPr>
                <w:rFonts w:cstheme="minorHAnsi"/>
                <w:sz w:val="16"/>
                <w:szCs w:val="16"/>
              </w:rPr>
              <w:t>There is insufficient support for RRR individuals who want to participate in tertiary education</w:t>
            </w:r>
            <w:r>
              <w:rPr>
                <w:rFonts w:cstheme="minorHAnsi"/>
                <w:sz w:val="16"/>
                <w:szCs w:val="16"/>
              </w:rPr>
              <w:t>.</w:t>
            </w:r>
          </w:p>
          <w:p w14:paraId="6F696E0E" w14:textId="77777777" w:rsidR="00E314C3" w:rsidRPr="00480257" w:rsidRDefault="00E314C3" w:rsidP="00F74C6A">
            <w:pPr>
              <w:rPr>
                <w:rFonts w:cstheme="minorHAnsi"/>
                <w:sz w:val="16"/>
                <w:szCs w:val="16"/>
              </w:rPr>
            </w:pPr>
          </w:p>
        </w:tc>
        <w:tc>
          <w:tcPr>
            <w:tcW w:w="1276" w:type="dxa"/>
          </w:tcPr>
          <w:p w14:paraId="3AB00656" w14:textId="77777777" w:rsidR="00E314C3" w:rsidRPr="00480257" w:rsidRDefault="00E314C3" w:rsidP="00F74C6A">
            <w:pPr>
              <w:rPr>
                <w:rFonts w:cstheme="minorHAnsi"/>
                <w:sz w:val="16"/>
                <w:szCs w:val="16"/>
              </w:rPr>
            </w:pPr>
            <w:r w:rsidRPr="00480257">
              <w:rPr>
                <w:rFonts w:cstheme="minorHAnsi"/>
                <w:sz w:val="16"/>
                <w:szCs w:val="16"/>
              </w:rPr>
              <w:t>Improve financial support</w:t>
            </w:r>
            <w:r>
              <w:rPr>
                <w:rFonts w:cstheme="minorHAnsi"/>
                <w:sz w:val="16"/>
                <w:szCs w:val="16"/>
              </w:rPr>
              <w:t>.</w:t>
            </w:r>
          </w:p>
          <w:p w14:paraId="0DEFDB0D" w14:textId="77777777" w:rsidR="00E314C3" w:rsidRPr="00480257" w:rsidRDefault="00E314C3" w:rsidP="00F74C6A">
            <w:pPr>
              <w:rPr>
                <w:rFonts w:cstheme="minorHAnsi"/>
                <w:sz w:val="16"/>
                <w:szCs w:val="16"/>
              </w:rPr>
            </w:pPr>
          </w:p>
        </w:tc>
        <w:tc>
          <w:tcPr>
            <w:tcW w:w="4829" w:type="dxa"/>
          </w:tcPr>
          <w:p w14:paraId="45B331FA" w14:textId="77777777" w:rsidR="00E314C3" w:rsidRPr="00480257" w:rsidRDefault="00E314C3" w:rsidP="00F74C6A">
            <w:pPr>
              <w:rPr>
                <w:rFonts w:cstheme="minorHAnsi"/>
                <w:sz w:val="16"/>
                <w:szCs w:val="16"/>
              </w:rPr>
            </w:pPr>
            <w:r w:rsidRPr="00480257">
              <w:rPr>
                <w:rFonts w:cstheme="minorHAnsi"/>
                <w:sz w:val="16"/>
                <w:szCs w:val="16"/>
              </w:rPr>
              <w:t>Introduce a new tertiary education access payment; enable access to Independent Youth Allowance (IYA) after one year of external study; reduce earnings requirement of Concessional Workforce criteria for IYA; expand ‘Away from Base’ assistance and Fares Allowance support; and improve and promote online information on financial support.</w:t>
            </w:r>
          </w:p>
        </w:tc>
        <w:tc>
          <w:tcPr>
            <w:tcW w:w="2790" w:type="dxa"/>
          </w:tcPr>
          <w:p w14:paraId="06911CC4" w14:textId="77777777" w:rsidR="00E314C3" w:rsidRPr="00480257" w:rsidRDefault="00E314C3" w:rsidP="00F74C6A">
            <w:pPr>
              <w:rPr>
                <w:rFonts w:cstheme="minorHAnsi"/>
                <w:sz w:val="16"/>
                <w:szCs w:val="16"/>
              </w:rPr>
            </w:pPr>
            <w:r w:rsidRPr="00516CD4">
              <w:rPr>
                <w:rFonts w:cstheme="minorHAnsi"/>
                <w:sz w:val="16"/>
                <w:szCs w:val="16"/>
              </w:rPr>
              <w:t>Enable greater social and economic participation for all Australians</w:t>
            </w:r>
            <w:r>
              <w:rPr>
                <w:rFonts w:cstheme="minorHAnsi"/>
                <w:sz w:val="16"/>
                <w:szCs w:val="16"/>
              </w:rPr>
              <w:t>.</w:t>
            </w:r>
          </w:p>
        </w:tc>
        <w:tc>
          <w:tcPr>
            <w:tcW w:w="2790" w:type="dxa"/>
          </w:tcPr>
          <w:p w14:paraId="08092F9F" w14:textId="77777777" w:rsidR="00E314C3" w:rsidRPr="00480257" w:rsidRDefault="00E314C3" w:rsidP="00F74C6A">
            <w:pPr>
              <w:rPr>
                <w:rFonts w:cstheme="minorHAnsi"/>
                <w:sz w:val="16"/>
                <w:szCs w:val="16"/>
              </w:rPr>
            </w:pPr>
            <w:r w:rsidRPr="00516CD4">
              <w:rPr>
                <w:rFonts w:cstheme="minorHAnsi"/>
                <w:sz w:val="16"/>
                <w:szCs w:val="16"/>
                <w:lang w:val="en-US"/>
              </w:rPr>
              <w:t>By 2030, halve the disparity between metropolitan and each regional and remote location category for attainment</w:t>
            </w:r>
            <w:r>
              <w:rPr>
                <w:rFonts w:cstheme="minorHAnsi"/>
                <w:sz w:val="16"/>
                <w:szCs w:val="16"/>
                <w:lang w:val="en-US"/>
              </w:rPr>
              <w:t xml:space="preserve"> rates of higher education for </w:t>
            </w:r>
            <w:r w:rsidRPr="00516CD4">
              <w:rPr>
                <w:rFonts w:cstheme="minorHAnsi"/>
                <w:sz w:val="16"/>
                <w:szCs w:val="16"/>
                <w:lang w:val="en-US"/>
              </w:rPr>
              <w:t>25-34 year olds.</w:t>
            </w:r>
          </w:p>
        </w:tc>
      </w:tr>
      <w:tr w:rsidR="00E314C3" w:rsidRPr="00480257" w14:paraId="6F8162D1" w14:textId="77777777" w:rsidTr="00F74C6A">
        <w:tc>
          <w:tcPr>
            <w:tcW w:w="2263" w:type="dxa"/>
          </w:tcPr>
          <w:p w14:paraId="0CE61579" w14:textId="77777777" w:rsidR="00E314C3" w:rsidRPr="00480257" w:rsidRDefault="00E314C3" w:rsidP="00F74C6A">
            <w:pPr>
              <w:rPr>
                <w:rFonts w:cstheme="minorHAnsi"/>
                <w:sz w:val="16"/>
                <w:szCs w:val="16"/>
              </w:rPr>
            </w:pPr>
            <w:r w:rsidRPr="00480257">
              <w:rPr>
                <w:rFonts w:cstheme="minorHAnsi"/>
                <w:sz w:val="16"/>
                <w:szCs w:val="16"/>
              </w:rPr>
              <w:t>There is insufficient support for RRR individuals who want to participate in tertiary education</w:t>
            </w:r>
            <w:r>
              <w:rPr>
                <w:rFonts w:cstheme="minorHAnsi"/>
                <w:sz w:val="16"/>
                <w:szCs w:val="16"/>
              </w:rPr>
              <w:t>.</w:t>
            </w:r>
          </w:p>
        </w:tc>
        <w:tc>
          <w:tcPr>
            <w:tcW w:w="1276" w:type="dxa"/>
          </w:tcPr>
          <w:p w14:paraId="71D26C3D" w14:textId="77777777" w:rsidR="00E314C3" w:rsidRPr="00480257" w:rsidRDefault="00E314C3" w:rsidP="00F74C6A">
            <w:pPr>
              <w:rPr>
                <w:rFonts w:cstheme="minorHAnsi"/>
                <w:sz w:val="16"/>
                <w:szCs w:val="16"/>
              </w:rPr>
            </w:pPr>
            <w:r w:rsidRPr="00480257">
              <w:rPr>
                <w:rFonts w:cstheme="minorHAnsi"/>
                <w:sz w:val="16"/>
                <w:szCs w:val="16"/>
              </w:rPr>
              <w:t>Improve other student supports</w:t>
            </w:r>
            <w:r>
              <w:rPr>
                <w:rFonts w:cstheme="minorHAnsi"/>
                <w:sz w:val="16"/>
                <w:szCs w:val="16"/>
              </w:rPr>
              <w:t>.</w:t>
            </w:r>
          </w:p>
          <w:p w14:paraId="308F6396" w14:textId="77777777" w:rsidR="00E314C3" w:rsidRPr="00480257" w:rsidRDefault="00E314C3" w:rsidP="00F74C6A">
            <w:pPr>
              <w:rPr>
                <w:rFonts w:cstheme="minorHAnsi"/>
                <w:sz w:val="16"/>
                <w:szCs w:val="16"/>
              </w:rPr>
            </w:pPr>
          </w:p>
        </w:tc>
        <w:tc>
          <w:tcPr>
            <w:tcW w:w="4829" w:type="dxa"/>
          </w:tcPr>
          <w:p w14:paraId="07EC3C0D" w14:textId="77777777" w:rsidR="00E314C3" w:rsidRPr="00480257" w:rsidRDefault="00E314C3" w:rsidP="00F74C6A">
            <w:pPr>
              <w:rPr>
                <w:rFonts w:cstheme="minorHAnsi"/>
                <w:sz w:val="16"/>
                <w:szCs w:val="16"/>
              </w:rPr>
            </w:pPr>
            <w:r w:rsidRPr="00480257">
              <w:rPr>
                <w:rFonts w:cstheme="minorHAnsi"/>
                <w:sz w:val="16"/>
                <w:szCs w:val="16"/>
              </w:rPr>
              <w:t>Identify and disseminate information on best practice supports for RRR students; require institutional reporting on support services; encourage education providers to provide information on adulthood basics; and improve access to transport options.</w:t>
            </w:r>
          </w:p>
        </w:tc>
        <w:tc>
          <w:tcPr>
            <w:tcW w:w="2790" w:type="dxa"/>
          </w:tcPr>
          <w:p w14:paraId="0CC867F0" w14:textId="77777777" w:rsidR="00E314C3" w:rsidRPr="00516CD4" w:rsidRDefault="00E314C3" w:rsidP="00F74C6A">
            <w:pPr>
              <w:rPr>
                <w:rFonts w:cstheme="minorHAnsi"/>
                <w:sz w:val="16"/>
                <w:szCs w:val="16"/>
              </w:rPr>
            </w:pPr>
            <w:r w:rsidRPr="00516CD4">
              <w:rPr>
                <w:rFonts w:cstheme="minorHAnsi"/>
                <w:sz w:val="16"/>
                <w:szCs w:val="16"/>
              </w:rPr>
              <w:t>Make Australia a richer nation socially and economically</w:t>
            </w:r>
          </w:p>
          <w:p w14:paraId="7F4811EA" w14:textId="77777777" w:rsidR="00E314C3" w:rsidRPr="00480257" w:rsidRDefault="00E314C3" w:rsidP="00F74C6A">
            <w:pPr>
              <w:rPr>
                <w:rFonts w:cstheme="minorHAnsi"/>
                <w:sz w:val="16"/>
                <w:szCs w:val="16"/>
              </w:rPr>
            </w:pPr>
          </w:p>
        </w:tc>
        <w:tc>
          <w:tcPr>
            <w:tcW w:w="2790" w:type="dxa"/>
          </w:tcPr>
          <w:p w14:paraId="0AE432E6" w14:textId="77777777" w:rsidR="00E314C3" w:rsidRPr="00480257" w:rsidRDefault="00E314C3" w:rsidP="00F74C6A">
            <w:pPr>
              <w:rPr>
                <w:rFonts w:cstheme="minorHAnsi"/>
                <w:sz w:val="16"/>
                <w:szCs w:val="16"/>
              </w:rPr>
            </w:pPr>
            <w:r w:rsidRPr="00516CD4">
              <w:rPr>
                <w:rFonts w:cstheme="minorHAnsi"/>
                <w:sz w:val="16"/>
                <w:szCs w:val="16"/>
                <w:lang w:val="en-US"/>
              </w:rPr>
              <w:t>By 2030, halve the disparity between metropolitan and each regional and remote location category in the rate of participation for Cert IV and above by working age Australians (15-64 years).</w:t>
            </w:r>
          </w:p>
        </w:tc>
      </w:tr>
      <w:tr w:rsidR="00E314C3" w:rsidRPr="00480257" w14:paraId="2ED98970" w14:textId="77777777" w:rsidTr="00F74C6A">
        <w:tc>
          <w:tcPr>
            <w:tcW w:w="2263" w:type="dxa"/>
          </w:tcPr>
          <w:p w14:paraId="51B8CDC8" w14:textId="77777777" w:rsidR="00E314C3" w:rsidRPr="00480257" w:rsidRDefault="00E314C3" w:rsidP="00F74C6A">
            <w:pPr>
              <w:rPr>
                <w:rFonts w:cstheme="minorHAnsi"/>
                <w:sz w:val="16"/>
                <w:szCs w:val="16"/>
              </w:rPr>
            </w:pPr>
            <w:r w:rsidRPr="00480257">
              <w:rPr>
                <w:rFonts w:cstheme="minorHAnsi"/>
                <w:sz w:val="16"/>
                <w:szCs w:val="16"/>
              </w:rPr>
              <w:t>There is insufficient support for RRR individuals who want to participate in tertiary education</w:t>
            </w:r>
            <w:r>
              <w:rPr>
                <w:rFonts w:cstheme="minorHAnsi"/>
                <w:sz w:val="16"/>
                <w:szCs w:val="16"/>
              </w:rPr>
              <w:t>.</w:t>
            </w:r>
          </w:p>
          <w:p w14:paraId="39BB5430" w14:textId="77777777" w:rsidR="00E314C3" w:rsidRPr="00480257" w:rsidRDefault="00E314C3" w:rsidP="00F74C6A">
            <w:pPr>
              <w:rPr>
                <w:rFonts w:cstheme="minorHAnsi"/>
                <w:sz w:val="16"/>
                <w:szCs w:val="16"/>
              </w:rPr>
            </w:pPr>
          </w:p>
        </w:tc>
        <w:tc>
          <w:tcPr>
            <w:tcW w:w="1276" w:type="dxa"/>
          </w:tcPr>
          <w:p w14:paraId="629989CE" w14:textId="77777777" w:rsidR="00E314C3" w:rsidRPr="00480257" w:rsidRDefault="00E314C3" w:rsidP="00F74C6A">
            <w:pPr>
              <w:rPr>
                <w:rFonts w:cstheme="minorHAnsi"/>
                <w:sz w:val="16"/>
                <w:szCs w:val="16"/>
              </w:rPr>
            </w:pPr>
            <w:r w:rsidRPr="00480257">
              <w:rPr>
                <w:rFonts w:cstheme="minorHAnsi"/>
                <w:sz w:val="16"/>
                <w:szCs w:val="16"/>
              </w:rPr>
              <w:t>Build aspiration, provide better career advice and strengthen RRR schools</w:t>
            </w:r>
            <w:r>
              <w:rPr>
                <w:rFonts w:cstheme="minorHAnsi"/>
                <w:sz w:val="16"/>
                <w:szCs w:val="16"/>
              </w:rPr>
              <w:t>.</w:t>
            </w:r>
          </w:p>
          <w:p w14:paraId="374891E8" w14:textId="77777777" w:rsidR="00E314C3" w:rsidRPr="00480257" w:rsidRDefault="00E314C3" w:rsidP="00F74C6A">
            <w:pPr>
              <w:rPr>
                <w:rFonts w:cstheme="minorHAnsi"/>
                <w:sz w:val="16"/>
                <w:szCs w:val="16"/>
              </w:rPr>
            </w:pPr>
          </w:p>
        </w:tc>
        <w:tc>
          <w:tcPr>
            <w:tcW w:w="4829" w:type="dxa"/>
          </w:tcPr>
          <w:p w14:paraId="76124499" w14:textId="77777777" w:rsidR="00E314C3" w:rsidRPr="00480257" w:rsidRDefault="00E314C3" w:rsidP="00F74C6A">
            <w:pPr>
              <w:rPr>
                <w:rFonts w:cstheme="minorHAnsi"/>
                <w:sz w:val="16"/>
                <w:szCs w:val="16"/>
              </w:rPr>
            </w:pPr>
            <w:r w:rsidRPr="00480257">
              <w:rPr>
                <w:rFonts w:cstheme="minorHAnsi"/>
                <w:sz w:val="16"/>
                <w:szCs w:val="16"/>
              </w:rPr>
              <w:t>Deliver career advice through an independent regionally-based model; improve and promote portals providing career information; research how students access career advice; establish aspiration-raising initiatives; improve access to high-quality VET in schools; examine best practice for RRR school student engagement and retention and undertake further work to improve RRR schools, including support for, and supply of, RRR teachers, principals and school leaders.</w:t>
            </w:r>
          </w:p>
        </w:tc>
        <w:tc>
          <w:tcPr>
            <w:tcW w:w="2790" w:type="dxa"/>
          </w:tcPr>
          <w:p w14:paraId="35DEA130" w14:textId="77777777" w:rsidR="00E314C3" w:rsidRPr="00480257" w:rsidRDefault="00E314C3" w:rsidP="00F74C6A">
            <w:pPr>
              <w:rPr>
                <w:rFonts w:cstheme="minorHAnsi"/>
                <w:sz w:val="16"/>
                <w:szCs w:val="16"/>
              </w:rPr>
            </w:pPr>
            <w:r>
              <w:rPr>
                <w:rFonts w:cstheme="minorHAnsi"/>
                <w:sz w:val="16"/>
                <w:szCs w:val="16"/>
              </w:rPr>
              <w:t>Blank square.</w:t>
            </w:r>
          </w:p>
        </w:tc>
        <w:tc>
          <w:tcPr>
            <w:tcW w:w="2790" w:type="dxa"/>
          </w:tcPr>
          <w:p w14:paraId="38DA6ECD" w14:textId="77777777" w:rsidR="00E314C3" w:rsidRPr="00480257" w:rsidRDefault="00E314C3" w:rsidP="00F74C6A">
            <w:pPr>
              <w:rPr>
                <w:rFonts w:cstheme="minorHAnsi"/>
                <w:sz w:val="16"/>
                <w:szCs w:val="16"/>
              </w:rPr>
            </w:pPr>
            <w:r>
              <w:rPr>
                <w:rFonts w:cstheme="minorHAnsi"/>
                <w:sz w:val="16"/>
                <w:szCs w:val="16"/>
              </w:rPr>
              <w:t>Blank square.</w:t>
            </w:r>
          </w:p>
        </w:tc>
      </w:tr>
      <w:tr w:rsidR="00E314C3" w:rsidRPr="00480257" w14:paraId="2259C7C8" w14:textId="77777777" w:rsidTr="00F74C6A">
        <w:tc>
          <w:tcPr>
            <w:tcW w:w="2263" w:type="dxa"/>
          </w:tcPr>
          <w:p w14:paraId="6A7A54CB" w14:textId="77777777" w:rsidR="00E314C3" w:rsidRPr="00480257" w:rsidRDefault="00E314C3" w:rsidP="00F74C6A">
            <w:pPr>
              <w:rPr>
                <w:rFonts w:cstheme="minorHAnsi"/>
                <w:sz w:val="16"/>
                <w:szCs w:val="16"/>
              </w:rPr>
            </w:pPr>
            <w:r w:rsidRPr="00480257">
              <w:rPr>
                <w:rFonts w:cstheme="minorHAnsi"/>
                <w:sz w:val="16"/>
                <w:szCs w:val="16"/>
              </w:rPr>
              <w:t>There is insufficient targeted support for equity groups</w:t>
            </w:r>
            <w:r>
              <w:rPr>
                <w:rFonts w:cstheme="minorHAnsi"/>
                <w:sz w:val="16"/>
                <w:szCs w:val="16"/>
              </w:rPr>
              <w:t>.</w:t>
            </w:r>
          </w:p>
        </w:tc>
        <w:tc>
          <w:tcPr>
            <w:tcW w:w="1276" w:type="dxa"/>
          </w:tcPr>
          <w:p w14:paraId="7213D80B" w14:textId="77777777" w:rsidR="00E314C3" w:rsidRPr="00480257" w:rsidRDefault="00E314C3" w:rsidP="00F74C6A">
            <w:pPr>
              <w:rPr>
                <w:rFonts w:cstheme="minorHAnsi"/>
                <w:sz w:val="16"/>
                <w:szCs w:val="16"/>
              </w:rPr>
            </w:pPr>
            <w:r w:rsidRPr="00480257">
              <w:rPr>
                <w:rFonts w:cstheme="minorHAnsi"/>
                <w:sz w:val="16"/>
                <w:szCs w:val="16"/>
              </w:rPr>
              <w:t>Enhance support for equity groups</w:t>
            </w:r>
            <w:r>
              <w:rPr>
                <w:rFonts w:cstheme="minorHAnsi"/>
                <w:sz w:val="16"/>
                <w:szCs w:val="16"/>
              </w:rPr>
              <w:t>.</w:t>
            </w:r>
          </w:p>
          <w:p w14:paraId="7E541833" w14:textId="77777777" w:rsidR="00E314C3" w:rsidRPr="00480257" w:rsidRDefault="00E314C3" w:rsidP="00F74C6A">
            <w:pPr>
              <w:rPr>
                <w:rFonts w:cstheme="minorHAnsi"/>
                <w:sz w:val="16"/>
                <w:szCs w:val="16"/>
              </w:rPr>
            </w:pPr>
          </w:p>
        </w:tc>
        <w:tc>
          <w:tcPr>
            <w:tcW w:w="4829" w:type="dxa"/>
          </w:tcPr>
          <w:p w14:paraId="7B31669E" w14:textId="77777777" w:rsidR="00E314C3" w:rsidRPr="00480257" w:rsidRDefault="00E314C3" w:rsidP="00F74C6A">
            <w:pPr>
              <w:rPr>
                <w:rFonts w:cstheme="minorHAnsi"/>
                <w:sz w:val="16"/>
                <w:szCs w:val="16"/>
              </w:rPr>
            </w:pPr>
            <w:r w:rsidRPr="00480257">
              <w:rPr>
                <w:rFonts w:cstheme="minorHAnsi"/>
                <w:sz w:val="16"/>
                <w:szCs w:val="16"/>
              </w:rPr>
              <w:t>Modify the HEPPP to improve its effectiveness in supporting RRR students; uncap funding for university places for Indigenous students from RRR areas; improve support for Indigenous students including through flexible delivery models; implement programs for students facing hardship; and cater for the specific support needs of equity groups.</w:t>
            </w:r>
          </w:p>
        </w:tc>
        <w:tc>
          <w:tcPr>
            <w:tcW w:w="2790" w:type="dxa"/>
          </w:tcPr>
          <w:p w14:paraId="313AB29C" w14:textId="77777777" w:rsidR="00E314C3" w:rsidRPr="00480257" w:rsidRDefault="00E314C3" w:rsidP="00F74C6A">
            <w:pPr>
              <w:rPr>
                <w:rFonts w:cstheme="minorHAnsi"/>
                <w:sz w:val="16"/>
                <w:szCs w:val="16"/>
              </w:rPr>
            </w:pPr>
            <w:r>
              <w:rPr>
                <w:rFonts w:cstheme="minorHAnsi"/>
                <w:sz w:val="16"/>
                <w:szCs w:val="16"/>
              </w:rPr>
              <w:t>Blank square.</w:t>
            </w:r>
          </w:p>
        </w:tc>
        <w:tc>
          <w:tcPr>
            <w:tcW w:w="2790" w:type="dxa"/>
          </w:tcPr>
          <w:p w14:paraId="33E2E436" w14:textId="77777777" w:rsidR="00E314C3" w:rsidRPr="00480257" w:rsidRDefault="00E314C3" w:rsidP="00F74C6A">
            <w:pPr>
              <w:rPr>
                <w:rFonts w:cstheme="minorHAnsi"/>
                <w:sz w:val="16"/>
                <w:szCs w:val="16"/>
              </w:rPr>
            </w:pPr>
            <w:r>
              <w:rPr>
                <w:rFonts w:cstheme="minorHAnsi"/>
                <w:sz w:val="16"/>
                <w:szCs w:val="16"/>
              </w:rPr>
              <w:t>Blank square.</w:t>
            </w:r>
          </w:p>
        </w:tc>
      </w:tr>
      <w:tr w:rsidR="00E314C3" w:rsidRPr="00480257" w14:paraId="6DA54B7D" w14:textId="77777777" w:rsidTr="00F74C6A">
        <w:tc>
          <w:tcPr>
            <w:tcW w:w="2263" w:type="dxa"/>
          </w:tcPr>
          <w:p w14:paraId="6952072A" w14:textId="77777777" w:rsidR="00E314C3" w:rsidRPr="00480257" w:rsidRDefault="00E314C3" w:rsidP="00F74C6A">
            <w:pPr>
              <w:rPr>
                <w:rFonts w:cstheme="minorHAnsi"/>
                <w:sz w:val="16"/>
                <w:szCs w:val="16"/>
              </w:rPr>
            </w:pPr>
            <w:r w:rsidRPr="00480257">
              <w:rPr>
                <w:rFonts w:cstheme="minorHAnsi"/>
                <w:sz w:val="16"/>
                <w:szCs w:val="16"/>
              </w:rPr>
              <w:t>The contribution of RRR Australia is not being maximised</w:t>
            </w:r>
            <w:r>
              <w:rPr>
                <w:rFonts w:cstheme="minorHAnsi"/>
                <w:sz w:val="16"/>
                <w:szCs w:val="16"/>
              </w:rPr>
              <w:t>.</w:t>
            </w:r>
          </w:p>
        </w:tc>
        <w:tc>
          <w:tcPr>
            <w:tcW w:w="1276" w:type="dxa"/>
          </w:tcPr>
          <w:p w14:paraId="0AE9C95A" w14:textId="77777777" w:rsidR="00E314C3" w:rsidRPr="00480257" w:rsidRDefault="00E314C3" w:rsidP="00F74C6A">
            <w:pPr>
              <w:rPr>
                <w:rFonts w:cstheme="minorHAnsi"/>
                <w:sz w:val="16"/>
                <w:szCs w:val="16"/>
              </w:rPr>
            </w:pPr>
            <w:r w:rsidRPr="00480257">
              <w:rPr>
                <w:rFonts w:cstheme="minorHAnsi"/>
                <w:sz w:val="16"/>
                <w:szCs w:val="16"/>
              </w:rPr>
              <w:t>Develop regional communities</w:t>
            </w:r>
            <w:r>
              <w:rPr>
                <w:rFonts w:cstheme="minorHAnsi"/>
                <w:sz w:val="16"/>
                <w:szCs w:val="16"/>
              </w:rPr>
              <w:t>.</w:t>
            </w:r>
          </w:p>
          <w:p w14:paraId="45DE352C" w14:textId="77777777" w:rsidR="00E314C3" w:rsidRPr="00480257" w:rsidRDefault="00E314C3" w:rsidP="00F74C6A">
            <w:pPr>
              <w:rPr>
                <w:rFonts w:cstheme="minorHAnsi"/>
                <w:sz w:val="16"/>
                <w:szCs w:val="16"/>
              </w:rPr>
            </w:pPr>
          </w:p>
        </w:tc>
        <w:tc>
          <w:tcPr>
            <w:tcW w:w="4829" w:type="dxa"/>
          </w:tcPr>
          <w:p w14:paraId="78AAAAA7" w14:textId="77777777" w:rsidR="00E314C3" w:rsidRPr="00480257" w:rsidRDefault="00E314C3" w:rsidP="00F74C6A">
            <w:pPr>
              <w:rPr>
                <w:rFonts w:cstheme="minorHAnsi"/>
                <w:sz w:val="16"/>
                <w:szCs w:val="16"/>
              </w:rPr>
            </w:pPr>
            <w:r w:rsidRPr="00480257">
              <w:rPr>
                <w:rFonts w:cstheme="minorHAnsi"/>
                <w:sz w:val="16"/>
                <w:szCs w:val="16"/>
              </w:rPr>
              <w:t>Enhance regional research capacity; continue to explore strategies to attract domestic and international students to RRR areas; and establish a program to expand work-integrated learning placements in RRR areas.</w:t>
            </w:r>
          </w:p>
        </w:tc>
        <w:tc>
          <w:tcPr>
            <w:tcW w:w="2790" w:type="dxa"/>
          </w:tcPr>
          <w:p w14:paraId="4661C86C" w14:textId="77777777" w:rsidR="00E314C3" w:rsidRPr="00480257" w:rsidRDefault="00E314C3" w:rsidP="00F74C6A">
            <w:pPr>
              <w:rPr>
                <w:rFonts w:cstheme="minorHAnsi"/>
                <w:sz w:val="16"/>
                <w:szCs w:val="16"/>
              </w:rPr>
            </w:pPr>
            <w:r>
              <w:rPr>
                <w:rFonts w:cstheme="minorHAnsi"/>
                <w:sz w:val="16"/>
                <w:szCs w:val="16"/>
              </w:rPr>
              <w:t>Blank square.</w:t>
            </w:r>
          </w:p>
        </w:tc>
        <w:tc>
          <w:tcPr>
            <w:tcW w:w="2790" w:type="dxa"/>
          </w:tcPr>
          <w:p w14:paraId="3052A589" w14:textId="77777777" w:rsidR="00E314C3" w:rsidRPr="00480257" w:rsidRDefault="00E314C3" w:rsidP="00F74C6A">
            <w:pPr>
              <w:rPr>
                <w:rFonts w:cstheme="minorHAnsi"/>
                <w:sz w:val="16"/>
                <w:szCs w:val="16"/>
              </w:rPr>
            </w:pPr>
            <w:r>
              <w:rPr>
                <w:rFonts w:cstheme="minorHAnsi"/>
                <w:sz w:val="16"/>
                <w:szCs w:val="16"/>
              </w:rPr>
              <w:t>Blank square.</w:t>
            </w:r>
          </w:p>
        </w:tc>
      </w:tr>
      <w:tr w:rsidR="00E314C3" w:rsidRPr="00480257" w14:paraId="4C5CB261" w14:textId="77777777" w:rsidTr="00F74C6A">
        <w:tc>
          <w:tcPr>
            <w:tcW w:w="2263" w:type="dxa"/>
          </w:tcPr>
          <w:p w14:paraId="794DE8A0" w14:textId="77777777" w:rsidR="00E314C3" w:rsidRPr="00480257" w:rsidRDefault="00E314C3" w:rsidP="00F74C6A">
            <w:pPr>
              <w:rPr>
                <w:rFonts w:cstheme="minorHAnsi"/>
                <w:sz w:val="16"/>
                <w:szCs w:val="16"/>
              </w:rPr>
            </w:pPr>
            <w:r w:rsidRPr="00480257">
              <w:rPr>
                <w:rFonts w:cstheme="minorHAnsi"/>
                <w:sz w:val="16"/>
                <w:szCs w:val="16"/>
              </w:rPr>
              <w:t>Lack of a national focus and coordination for RRR education</w:t>
            </w:r>
            <w:r>
              <w:rPr>
                <w:rFonts w:cstheme="minorHAnsi"/>
                <w:sz w:val="16"/>
                <w:szCs w:val="16"/>
              </w:rPr>
              <w:t>.</w:t>
            </w:r>
          </w:p>
        </w:tc>
        <w:tc>
          <w:tcPr>
            <w:tcW w:w="1276" w:type="dxa"/>
          </w:tcPr>
          <w:p w14:paraId="3CE249D2" w14:textId="77777777" w:rsidR="00E314C3" w:rsidRPr="00480257" w:rsidRDefault="00E314C3" w:rsidP="00F74C6A">
            <w:pPr>
              <w:rPr>
                <w:rFonts w:cstheme="minorHAnsi"/>
                <w:sz w:val="16"/>
                <w:szCs w:val="16"/>
              </w:rPr>
            </w:pPr>
            <w:r w:rsidRPr="00480257">
              <w:rPr>
                <w:rFonts w:cstheme="minorHAnsi"/>
                <w:sz w:val="16"/>
                <w:szCs w:val="16"/>
              </w:rPr>
              <w:t>Establish national mechanisms to support the Strategy</w:t>
            </w:r>
            <w:r>
              <w:rPr>
                <w:rFonts w:cstheme="minorHAnsi"/>
                <w:sz w:val="16"/>
                <w:szCs w:val="16"/>
              </w:rPr>
              <w:t>.</w:t>
            </w:r>
          </w:p>
        </w:tc>
        <w:tc>
          <w:tcPr>
            <w:tcW w:w="4829" w:type="dxa"/>
          </w:tcPr>
          <w:p w14:paraId="5036D554" w14:textId="77777777" w:rsidR="00E314C3" w:rsidRPr="00480257" w:rsidRDefault="00E314C3" w:rsidP="00F74C6A">
            <w:pPr>
              <w:rPr>
                <w:rFonts w:cstheme="minorHAnsi"/>
                <w:sz w:val="16"/>
                <w:szCs w:val="16"/>
              </w:rPr>
            </w:pPr>
            <w:r w:rsidRPr="00480257">
              <w:rPr>
                <w:rFonts w:cstheme="minorHAnsi"/>
                <w:sz w:val="16"/>
                <w:szCs w:val="16"/>
              </w:rPr>
              <w:t>Establish an RRR Education Commissioner with broad remit in relation to RRR education matters; and develop a new geographical classification system that measures rurality and remoteness at a finer level for education and training purposes.</w:t>
            </w:r>
          </w:p>
        </w:tc>
        <w:tc>
          <w:tcPr>
            <w:tcW w:w="2790" w:type="dxa"/>
          </w:tcPr>
          <w:p w14:paraId="62A2E1C3" w14:textId="77777777" w:rsidR="00E314C3" w:rsidRPr="00480257" w:rsidRDefault="00E314C3" w:rsidP="00F74C6A">
            <w:pPr>
              <w:rPr>
                <w:rFonts w:cstheme="minorHAnsi"/>
                <w:sz w:val="16"/>
                <w:szCs w:val="16"/>
              </w:rPr>
            </w:pPr>
            <w:r>
              <w:rPr>
                <w:rFonts w:cstheme="minorHAnsi"/>
                <w:sz w:val="16"/>
                <w:szCs w:val="16"/>
              </w:rPr>
              <w:t>Blank square.</w:t>
            </w:r>
          </w:p>
        </w:tc>
        <w:tc>
          <w:tcPr>
            <w:tcW w:w="2790" w:type="dxa"/>
          </w:tcPr>
          <w:p w14:paraId="1DBBE569" w14:textId="77777777" w:rsidR="00E314C3" w:rsidRPr="00480257" w:rsidRDefault="00E314C3" w:rsidP="00F74C6A">
            <w:pPr>
              <w:rPr>
                <w:rFonts w:cstheme="minorHAnsi"/>
                <w:sz w:val="16"/>
                <w:szCs w:val="16"/>
              </w:rPr>
            </w:pPr>
            <w:r>
              <w:rPr>
                <w:rFonts w:cstheme="minorHAnsi"/>
                <w:sz w:val="16"/>
                <w:szCs w:val="16"/>
              </w:rPr>
              <w:t>Blank square.</w:t>
            </w:r>
          </w:p>
        </w:tc>
      </w:tr>
    </w:tbl>
    <w:p w14:paraId="522B5975" w14:textId="77777777" w:rsidR="0051019D" w:rsidRPr="009163AD" w:rsidRDefault="0051019D" w:rsidP="009163AD">
      <w:pPr>
        <w:sectPr w:rsidR="0051019D" w:rsidRPr="009163AD" w:rsidSect="004A469C">
          <w:pgSz w:w="16838" w:h="11906" w:orient="landscape"/>
          <w:pgMar w:top="1440" w:right="1440" w:bottom="1440" w:left="1440" w:header="709" w:footer="709" w:gutter="0"/>
          <w:cols w:space="708"/>
          <w:docGrid w:linePitch="360"/>
        </w:sectPr>
      </w:pPr>
    </w:p>
    <w:p w14:paraId="4154D333" w14:textId="2C22CAD6" w:rsidR="00D352D7" w:rsidRPr="00306207" w:rsidRDefault="005E5168" w:rsidP="00A368CF">
      <w:pPr>
        <w:pStyle w:val="Heading1"/>
      </w:pPr>
      <w:bookmarkStart w:id="24" w:name="_Toc13224789"/>
      <w:bookmarkEnd w:id="0"/>
      <w:r w:rsidRPr="00306207">
        <w:lastRenderedPageBreak/>
        <w:t>Background and</w:t>
      </w:r>
      <w:r w:rsidR="00E652AD" w:rsidRPr="00306207">
        <w:t xml:space="preserve"> contextual information</w:t>
      </w:r>
      <w:bookmarkEnd w:id="24"/>
    </w:p>
    <w:p w14:paraId="627DAB5D" w14:textId="77777777" w:rsidR="00A85532" w:rsidRPr="00A85532" w:rsidRDefault="00A85532" w:rsidP="00A85532">
      <w:pPr>
        <w:autoSpaceDE w:val="0"/>
        <w:autoSpaceDN w:val="0"/>
        <w:adjustRightInd w:val="0"/>
        <w:spacing w:line="211" w:lineRule="atLeast"/>
        <w:rPr>
          <w:rFonts w:cstheme="minorHAnsi"/>
          <w:color w:val="000000"/>
        </w:rPr>
      </w:pPr>
      <w:bookmarkStart w:id="25" w:name="_Toc11783238"/>
      <w:bookmarkStart w:id="26" w:name="_Toc11830101"/>
      <w:bookmarkStart w:id="27" w:name="_Toc11860983"/>
      <w:r w:rsidRPr="00A85532">
        <w:rPr>
          <w:rFonts w:cstheme="minorHAnsi"/>
          <w:color w:val="000000"/>
        </w:rPr>
        <w:t xml:space="preserve">In November 2018, the Minister for Education, the Hon Dan Tehan MP, announced that the Government would develop a National Regional, Rural and Remote Tertiary Education Strategy (the Strategy) focused on improving tertiary education outcomes for students from regional, rural and remote (RRR) areas. The Regional Education Expert Advisory Group (the Advisory Group) was established to advise the Government on how to improve educational opportunities and outcomes in RRR communities. </w:t>
      </w:r>
    </w:p>
    <w:p w14:paraId="0A2402C7" w14:textId="77777777" w:rsidR="00A85532" w:rsidRPr="00A85532" w:rsidRDefault="00A85532" w:rsidP="00A85532">
      <w:pPr>
        <w:autoSpaceDE w:val="0"/>
        <w:autoSpaceDN w:val="0"/>
        <w:adjustRightInd w:val="0"/>
        <w:spacing w:line="211" w:lineRule="atLeast"/>
        <w:rPr>
          <w:rFonts w:cstheme="minorHAnsi"/>
          <w:color w:val="000000"/>
        </w:rPr>
      </w:pPr>
      <w:r w:rsidRPr="00A85532">
        <w:rPr>
          <w:rFonts w:cstheme="minorHAnsi"/>
          <w:color w:val="000000"/>
        </w:rPr>
        <w:t xml:space="preserve">The development of the Strategy responds to and builds on Emeritus Professor John Halsey’s </w:t>
      </w:r>
      <w:r w:rsidRPr="00A85532">
        <w:rPr>
          <w:rStyle w:val="Emphasis"/>
        </w:rPr>
        <w:t>Independent Review into Regional, Rural and Remote Education</w:t>
      </w:r>
      <w:r w:rsidRPr="00A85532">
        <w:rPr>
          <w:rFonts w:cstheme="minorHAnsi"/>
          <w:color w:val="000000"/>
        </w:rPr>
        <w:t xml:space="preserve">, specifically Recommendation 11 which proposed establishing “a national focus for regional, rural and remote education, training and research to enhance access, outcomes and opportunities in regional Australia.” </w:t>
      </w:r>
    </w:p>
    <w:p w14:paraId="228B46AA" w14:textId="77777777" w:rsidR="00A85532" w:rsidRPr="00A85532" w:rsidRDefault="00A85532" w:rsidP="00A85532">
      <w:pPr>
        <w:autoSpaceDE w:val="0"/>
        <w:autoSpaceDN w:val="0"/>
        <w:adjustRightInd w:val="0"/>
        <w:spacing w:after="80" w:line="211" w:lineRule="atLeast"/>
        <w:rPr>
          <w:rFonts w:cstheme="minorHAnsi"/>
          <w:color w:val="000000"/>
        </w:rPr>
      </w:pPr>
      <w:r w:rsidRPr="00A85532">
        <w:rPr>
          <w:rFonts w:cstheme="minorHAnsi"/>
          <w:color w:val="000000"/>
        </w:rPr>
        <w:t xml:space="preserve">The Terms of Reference directed the Advisory Group to: </w:t>
      </w:r>
    </w:p>
    <w:p w14:paraId="5422AE57"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build on the work of the Halsey Review </w:t>
      </w:r>
    </w:p>
    <w:p w14:paraId="51871D7D"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investigate the need for a Regional Education Commissioner </w:t>
      </w:r>
    </w:p>
    <w:p w14:paraId="4783351A"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identify strategies to raise the attainment rate of RRR students </w:t>
      </w:r>
    </w:p>
    <w:p w14:paraId="0F99077B"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examine research on aspiration, access and success for regional students and the barriers to access to tertiary education in RRR Australia </w:t>
      </w:r>
    </w:p>
    <w:p w14:paraId="7CC0B5C6"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recommend a target for regional and remote education outcomes </w:t>
      </w:r>
    </w:p>
    <w:p w14:paraId="080A60B3"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consider how to support regional education providers, regional economic development and efforts to attract people to the regions, and </w:t>
      </w:r>
    </w:p>
    <w:p w14:paraId="112C5892" w14:textId="77777777" w:rsidR="00A85532" w:rsidRPr="00A85532" w:rsidRDefault="00A85532" w:rsidP="00041655">
      <w:pPr>
        <w:pStyle w:val="ListParagraph"/>
        <w:numPr>
          <w:ilvl w:val="0"/>
          <w:numId w:val="18"/>
        </w:numPr>
        <w:autoSpaceDE w:val="0"/>
        <w:autoSpaceDN w:val="0"/>
        <w:adjustRightInd w:val="0"/>
        <w:spacing w:after="40" w:line="211" w:lineRule="atLeast"/>
        <w:rPr>
          <w:rFonts w:cstheme="minorHAnsi"/>
          <w:color w:val="000000"/>
        </w:rPr>
      </w:pPr>
      <w:r w:rsidRPr="00A85532">
        <w:rPr>
          <w:rFonts w:cstheme="minorHAnsi"/>
          <w:color w:val="000000"/>
        </w:rPr>
        <w:t xml:space="preserve">apply lessons learnt from relevant programs to increase attainment in RRR areas. </w:t>
      </w:r>
    </w:p>
    <w:p w14:paraId="6D4E8C96" w14:textId="77777777" w:rsidR="00A85532" w:rsidRPr="00A85532" w:rsidRDefault="00A85532" w:rsidP="00A85532">
      <w:pPr>
        <w:autoSpaceDE w:val="0"/>
        <w:autoSpaceDN w:val="0"/>
        <w:adjustRightInd w:val="0"/>
        <w:spacing w:after="0" w:line="240" w:lineRule="auto"/>
        <w:rPr>
          <w:rFonts w:cstheme="minorHAnsi"/>
          <w:color w:val="000000"/>
        </w:rPr>
      </w:pPr>
    </w:p>
    <w:p w14:paraId="7974557E" w14:textId="5BD7DB5A" w:rsidR="00A85532" w:rsidRPr="00A85532" w:rsidRDefault="00A85532" w:rsidP="00A85532">
      <w:pPr>
        <w:autoSpaceDE w:val="0"/>
        <w:autoSpaceDN w:val="0"/>
        <w:adjustRightInd w:val="0"/>
        <w:spacing w:line="211" w:lineRule="atLeast"/>
        <w:rPr>
          <w:rFonts w:cstheme="minorHAnsi"/>
          <w:color w:val="000000"/>
        </w:rPr>
      </w:pPr>
      <w:r w:rsidRPr="00A85532">
        <w:rPr>
          <w:rFonts w:cstheme="minorHAnsi"/>
          <w:color w:val="000000"/>
        </w:rPr>
        <w:t>This Strategy responds to these Terms of Reference, drawing on issues and ideas raised in 79 public submissions, 4</w:t>
      </w:r>
      <w:r w:rsidR="008D794E">
        <w:rPr>
          <w:rFonts w:cstheme="minorHAnsi"/>
          <w:color w:val="000000"/>
        </w:rPr>
        <w:t>2</w:t>
      </w:r>
      <w:r w:rsidRPr="00A85532">
        <w:rPr>
          <w:rFonts w:cstheme="minorHAnsi"/>
          <w:color w:val="000000"/>
        </w:rPr>
        <w:t xml:space="preserve"> responses to issues papers and 80 consultations with a wide range of stakeholders across the country. The Strategy’s recommendations and actions represent the Advisory Group’s views about the action required to address the disparity in tertiary education outcomes between metropolitan and RRR areas. </w:t>
      </w:r>
    </w:p>
    <w:p w14:paraId="6D9DF498" w14:textId="77777777" w:rsidR="00A85532" w:rsidRPr="000A52B2" w:rsidRDefault="00A85532" w:rsidP="000A52B2">
      <w:pPr>
        <w:autoSpaceDE w:val="0"/>
        <w:autoSpaceDN w:val="0"/>
        <w:adjustRightInd w:val="0"/>
        <w:spacing w:line="211" w:lineRule="atLeast"/>
        <w:rPr>
          <w:rFonts w:cstheme="minorHAnsi"/>
          <w:color w:val="000000"/>
        </w:rPr>
      </w:pPr>
      <w:r w:rsidRPr="000A52B2">
        <w:rPr>
          <w:rFonts w:cstheme="minorHAnsi"/>
          <w:color w:val="000000"/>
        </w:rPr>
        <w:t xml:space="preserve">Appendices to this report include the Advisory Group’s Terms of Reference, further information on the process for developing the Strategy and an overview of the literature on tertiary education aspiration, enablers and barriers. </w:t>
      </w:r>
    </w:p>
    <w:p w14:paraId="0C9C4A2B" w14:textId="0D82CA77" w:rsidR="00E7741B" w:rsidRPr="004A18E3" w:rsidRDefault="00E7741B" w:rsidP="00726804">
      <w:pPr>
        <w:pStyle w:val="Heading2"/>
      </w:pPr>
      <w:bookmarkStart w:id="28" w:name="_Toc13224790"/>
      <w:r w:rsidRPr="004A18E3">
        <w:t>Definitional and data issues</w:t>
      </w:r>
      <w:bookmarkEnd w:id="25"/>
      <w:bookmarkEnd w:id="26"/>
      <w:bookmarkEnd w:id="27"/>
      <w:bookmarkEnd w:id="28"/>
    </w:p>
    <w:p w14:paraId="6F21B0D2" w14:textId="77777777" w:rsidR="008278D8" w:rsidRPr="008278D8" w:rsidRDefault="008278D8" w:rsidP="008278D8">
      <w:pPr>
        <w:rPr>
          <w:rFonts w:ascii="Calibri" w:eastAsia="Calibri" w:hAnsi="Calibri" w:cs="Times New Roman"/>
        </w:rPr>
      </w:pPr>
      <w:r w:rsidRPr="008278D8">
        <w:rPr>
          <w:rFonts w:ascii="Calibri" w:eastAsia="Calibri" w:hAnsi="Calibri" w:cs="Times New Roman"/>
        </w:rPr>
        <w:t xml:space="preserve">For the purposes of this Strategy, it should be noted that tertiary education covers all vocational education and training (VET) and higher education. In this report, “higher-level tertiary education” refers to Certificate IV and above qualifications. Analysis of available data indicates that the disparity between RRR and metropolitan students primarily exists in relation to higher-level tertiary education qualifications. For this reason, there is a particular focus in the Strategy’s targets on reducing the disparity for Certificate IV and above level qualifications. </w:t>
      </w:r>
    </w:p>
    <w:p w14:paraId="7A894892" w14:textId="77777777" w:rsidR="008278D8" w:rsidRPr="008278D8" w:rsidRDefault="008278D8" w:rsidP="008278D8">
      <w:pPr>
        <w:rPr>
          <w:rFonts w:ascii="Calibri" w:eastAsia="Calibri" w:hAnsi="Calibri" w:cs="Times New Roman"/>
        </w:rPr>
      </w:pPr>
      <w:r w:rsidRPr="008278D8">
        <w:rPr>
          <w:rFonts w:ascii="Calibri" w:eastAsia="Calibri" w:hAnsi="Calibri" w:cs="Times New Roman"/>
        </w:rPr>
        <w:t xml:space="preserve">It is recognised, however, that Certificate III level courses are a strong foundation of the VET sector and that qualifications at this level are particularly important in RRR areas due to local employment options and industries. Currently, there are relatively high rates of participation and attainment in Certificate III courses by RRR students and the Advisory Group believes it is vital these outcomes are maintained. As a result, the participation and attainment rates of other levels of qualifications, including Certificate III, should be monitored in line with the Strategy. </w:t>
      </w:r>
    </w:p>
    <w:p w14:paraId="7FB1F29C" w14:textId="77777777" w:rsidR="008278D8" w:rsidRPr="008278D8" w:rsidRDefault="008278D8" w:rsidP="008278D8">
      <w:pPr>
        <w:rPr>
          <w:rFonts w:ascii="Calibri" w:eastAsia="Calibri" w:hAnsi="Calibri" w:cs="Times New Roman"/>
        </w:rPr>
      </w:pPr>
      <w:r w:rsidRPr="008278D8">
        <w:rPr>
          <w:rFonts w:ascii="Calibri" w:eastAsia="Calibri" w:hAnsi="Calibri" w:cs="Times New Roman"/>
        </w:rPr>
        <w:lastRenderedPageBreak/>
        <w:t>For the purposes of this report, RRR is used as an umbrella term to characterise non</w:t>
      </w:r>
      <w:r w:rsidRPr="008278D8">
        <w:rPr>
          <w:rFonts w:ascii="Calibri" w:eastAsia="Calibri" w:hAnsi="Calibri" w:cs="Times New Roman"/>
        </w:rPr>
        <w:noBreakHyphen/>
        <w:t xml:space="preserve">metropolitan areas across Australia. Where the terms “regional” or “remote” are used, they are referring to the specific classes of remoteness under the Australian Statistical Geography Standard (ASGS), as used by the Australian Bureau of Statistics (ABS) and other organisations to provide comparable statistics. The ASGS has five classes of remoteness based on relative access to services: major cities, inner regional, outer regional, remote and very remote. </w:t>
      </w:r>
    </w:p>
    <w:p w14:paraId="68B54853" w14:textId="77777777" w:rsidR="008278D8" w:rsidRPr="008278D8" w:rsidRDefault="008278D8" w:rsidP="008278D8">
      <w:pPr>
        <w:rPr>
          <w:rFonts w:ascii="Calibri" w:eastAsia="Calibri" w:hAnsi="Calibri" w:cs="Times New Roman"/>
        </w:rPr>
      </w:pPr>
      <w:r w:rsidRPr="008278D8">
        <w:rPr>
          <w:rFonts w:ascii="Calibri" w:eastAsia="Calibri" w:hAnsi="Calibri" w:cs="Times New Roman"/>
        </w:rPr>
        <w:t xml:space="preserve">For statistical purposes in this report, the “remote” category generally includes “remote” and “very remote areas”, unless otherwise specified. While communities and individuals can identify themselves as “rural”, sometimes in association with particular rural industries, such as agriculture and mining, this term is not explicitly defined and does not correspond to any specific class of area within the ASGS framework. </w:t>
      </w:r>
    </w:p>
    <w:p w14:paraId="0DA48986" w14:textId="77777777" w:rsidR="008278D8" w:rsidRPr="008278D8" w:rsidRDefault="008278D8" w:rsidP="008278D8">
      <w:pPr>
        <w:rPr>
          <w:rFonts w:ascii="Calibri" w:eastAsia="Calibri" w:hAnsi="Calibri" w:cs="Times New Roman"/>
        </w:rPr>
      </w:pPr>
      <w:r w:rsidRPr="008278D8">
        <w:rPr>
          <w:rFonts w:ascii="Calibri" w:eastAsia="Calibri" w:hAnsi="Calibri" w:cs="Times New Roman"/>
        </w:rPr>
        <w:t xml:space="preserve">In addition, in this report, the terms “major cities” and “metropolitan” have both been used, depending on context. Both refer to the same location as captured in the major cities category in ASGS. A map of these categories is provided at Appendix B. </w:t>
      </w:r>
    </w:p>
    <w:p w14:paraId="7C3C8655" w14:textId="77777777" w:rsidR="008278D8" w:rsidRPr="008278D8" w:rsidRDefault="008278D8" w:rsidP="008278D8">
      <w:pPr>
        <w:rPr>
          <w:rFonts w:ascii="Calibri" w:eastAsia="Calibri" w:hAnsi="Calibri" w:cs="Times New Roman"/>
        </w:rPr>
      </w:pPr>
      <w:r w:rsidRPr="008278D8">
        <w:rPr>
          <w:rFonts w:ascii="Calibri" w:eastAsia="Calibri" w:hAnsi="Calibri" w:cs="Times New Roman"/>
        </w:rPr>
        <w:t xml:space="preserve">The ASGS framework has not been specifically designed for use in relation to education and, as a result, the Advisory Group considers there are limitations that make it difficult to use for tertiary education purposes (discussed further in Part four of the report). </w:t>
      </w:r>
    </w:p>
    <w:p w14:paraId="7410F4EF" w14:textId="38FA74F9" w:rsidR="00D352D7" w:rsidRPr="00306207" w:rsidRDefault="008278D8" w:rsidP="008278D8">
      <w:pPr>
        <w:rPr>
          <w:rFonts w:asciiTheme="majorHAnsi" w:eastAsiaTheme="majorEastAsia" w:hAnsiTheme="majorHAnsi" w:cstheme="majorBidi"/>
          <w:b/>
          <w:color w:val="2B363D" w:themeColor="accent1" w:themeShade="BF"/>
          <w:sz w:val="32"/>
          <w:szCs w:val="32"/>
        </w:rPr>
      </w:pPr>
      <w:r w:rsidRPr="008278D8">
        <w:rPr>
          <w:rFonts w:ascii="Calibri" w:eastAsia="Calibri" w:hAnsi="Calibri" w:cs="Times New Roman"/>
        </w:rPr>
        <w:t>Finally, in considering the information and data contained in this Strategy, it should be noted that there are variations in the student data collected by the Australian Government for VET and higher education. The data collected is fit-for-purpose for each sector. In some areas, there is a lack of metrics that enable cross sectorial comparison. Thus, throughout this report, different metrics may be referred to for VET and higher education, and, in some instances, aggregated data from each sector may be presented.</w:t>
      </w:r>
      <w:r w:rsidR="00D352D7" w:rsidRPr="00306207">
        <w:br w:type="page"/>
      </w:r>
    </w:p>
    <w:p w14:paraId="594B025B" w14:textId="4A3B575A" w:rsidR="00FF415A" w:rsidRPr="00306207" w:rsidRDefault="005C6A03" w:rsidP="00A368CF">
      <w:pPr>
        <w:pStyle w:val="Heading1"/>
      </w:pPr>
      <w:bookmarkStart w:id="29" w:name="_Toc13224791"/>
      <w:r w:rsidRPr="00306207">
        <w:lastRenderedPageBreak/>
        <w:t xml:space="preserve">Part </w:t>
      </w:r>
      <w:r w:rsidR="0068026B">
        <w:t>o</w:t>
      </w:r>
      <w:r w:rsidRPr="00306207">
        <w:t xml:space="preserve">ne: </w:t>
      </w:r>
      <w:r w:rsidR="00FF415A" w:rsidRPr="00306207">
        <w:t xml:space="preserve">Why </w:t>
      </w:r>
      <w:r w:rsidR="007A2017" w:rsidRPr="00306207">
        <w:t xml:space="preserve">Australia </w:t>
      </w:r>
      <w:r w:rsidR="00FF415A" w:rsidRPr="00306207">
        <w:t>need</w:t>
      </w:r>
      <w:r w:rsidR="007A2017" w:rsidRPr="00306207">
        <w:t>s</w:t>
      </w:r>
      <w:r w:rsidR="00FF415A" w:rsidRPr="00306207">
        <w:t xml:space="preserve"> a National Strategy for</w:t>
      </w:r>
      <w:r w:rsidR="00046E33" w:rsidRPr="00306207">
        <w:t xml:space="preserve"> RRR </w:t>
      </w:r>
      <w:r w:rsidR="00CC0CAA" w:rsidRPr="00306207">
        <w:t xml:space="preserve">tertiary </w:t>
      </w:r>
      <w:r w:rsidR="00FF415A" w:rsidRPr="00306207">
        <w:t>education</w:t>
      </w:r>
      <w:bookmarkEnd w:id="1"/>
      <w:bookmarkEnd w:id="29"/>
    </w:p>
    <w:p w14:paraId="2DA63181" w14:textId="2328566A" w:rsidR="00FF415A" w:rsidRPr="00306207" w:rsidRDefault="00FF415A" w:rsidP="00726804">
      <w:pPr>
        <w:pStyle w:val="Heading2"/>
      </w:pPr>
      <w:bookmarkStart w:id="30" w:name="_Toc6403657"/>
      <w:bookmarkStart w:id="31" w:name="_Toc13224792"/>
      <w:r w:rsidRPr="00306207">
        <w:t>Current state</w:t>
      </w:r>
      <w:bookmarkEnd w:id="30"/>
      <w:bookmarkEnd w:id="31"/>
    </w:p>
    <w:p w14:paraId="53A9AD55" w14:textId="031DDE43" w:rsidR="00627A28" w:rsidRDefault="00EE341D" w:rsidP="00627A28">
      <w:pPr>
        <w:spacing w:after="0" w:line="276" w:lineRule="auto"/>
        <w:rPr>
          <w:rFonts w:ascii="Calibri" w:eastAsia="Times New Roman" w:hAnsi="Calibri" w:cs="Times New Roman"/>
        </w:rPr>
      </w:pPr>
      <w:r w:rsidRPr="00EE341D">
        <w:rPr>
          <w:rFonts w:ascii="Calibri" w:eastAsia="Times New Roman" w:hAnsi="Calibri" w:cs="Times New Roman"/>
        </w:rPr>
        <w:t xml:space="preserve">Compared to those living in metropolitan areas, Australians living in RRR areas have lower educational attainment rates in school, in Year 12 and in tertiary education. Individuals who grow up in RRR areas are around 40 per cent less likely to gain a higher-level tertiary education qualification and less than half as likely to gain a bachelor and above qualification by the time they are 35 years old, compared to individuals from metropolitan areas. This disparity between metropolitan and RRR areas is most pronounced in remote and very remote areas and at university level (see Figure 1). </w:t>
      </w:r>
    </w:p>
    <w:p w14:paraId="2BE471D4" w14:textId="77777777" w:rsidR="003D281E" w:rsidRPr="00306207" w:rsidRDefault="003D281E" w:rsidP="00627A28">
      <w:pPr>
        <w:spacing w:after="0" w:line="276" w:lineRule="auto"/>
        <w:rPr>
          <w:rFonts w:ascii="Calibri" w:eastAsia="Times New Roman" w:hAnsi="Calibri" w:cs="Times New Roman"/>
          <w:noProof/>
          <w:lang w:eastAsia="en-AU"/>
        </w:rPr>
      </w:pPr>
    </w:p>
    <w:p w14:paraId="701DA5CE" w14:textId="6D896BC8" w:rsidR="00E314C3" w:rsidRPr="00E314C3" w:rsidRDefault="00E314C3" w:rsidP="00E314C3">
      <w:pPr>
        <w:pStyle w:val="Caption"/>
        <w:keepNext/>
        <w:rPr>
          <w:b/>
        </w:rPr>
      </w:pPr>
      <w:bookmarkStart w:id="32" w:name="_Toc13225132"/>
      <w:r w:rsidRPr="00E314C3">
        <w:rPr>
          <w:b/>
        </w:rPr>
        <w:t xml:space="preserve">Figure </w:t>
      </w:r>
      <w:r w:rsidRPr="00E314C3">
        <w:rPr>
          <w:b/>
        </w:rPr>
        <w:fldChar w:fldCharType="begin"/>
      </w:r>
      <w:r w:rsidRPr="00E314C3">
        <w:rPr>
          <w:b/>
        </w:rPr>
        <w:instrText xml:space="preserve"> SEQ Figure \* ARABIC </w:instrText>
      </w:r>
      <w:r w:rsidRPr="00E314C3">
        <w:rPr>
          <w:b/>
        </w:rPr>
        <w:fldChar w:fldCharType="separate"/>
      </w:r>
      <w:r w:rsidR="00D85656">
        <w:rPr>
          <w:b/>
          <w:noProof/>
        </w:rPr>
        <w:t>1</w:t>
      </w:r>
      <w:r w:rsidRPr="00E314C3">
        <w:rPr>
          <w:b/>
        </w:rPr>
        <w:fldChar w:fldCharType="end"/>
      </w:r>
      <w:r w:rsidRPr="00E314C3">
        <w:rPr>
          <w:b/>
        </w:rPr>
        <w:t>. Education attainment rates, 2016</w:t>
      </w:r>
      <w:bookmarkEnd w:id="32"/>
    </w:p>
    <w:p w14:paraId="142A5F69" w14:textId="77777777" w:rsidR="00E314C3" w:rsidRDefault="00E314C3" w:rsidP="00EE341D">
      <w:pPr>
        <w:pStyle w:val="Caption"/>
        <w:keepNext/>
        <w:rPr>
          <w:b/>
        </w:rPr>
      </w:pPr>
      <w:r>
        <w:rPr>
          <w:noProof/>
          <w:lang w:eastAsia="en-AU"/>
        </w:rPr>
        <w:drawing>
          <wp:inline distT="0" distB="0" distL="0" distR="0" wp14:anchorId="7C24B526" wp14:editId="1C9F8B58">
            <wp:extent cx="5400675" cy="3629025"/>
            <wp:effectExtent l="0" t="0" r="9525" b="9525"/>
            <wp:docPr id="3405" name="Picture 3405" descr="Figure 1 is a bar chart that shows the lower education attainment rates of inner regional, outer regional and remote students compared to their metropolitan counterparts in the following five qualification categories: Year 12, any tertiary education qualification, Certificate IV and above, bachelor and above and postgradu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EB2921\AppData\Local\Microsoft\Windows\INetCache\Content.Word\ED19-0084 - HE - Regional Taskforce Final Report_Figure 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675" cy="3629025"/>
                    </a:xfrm>
                    <a:prstGeom prst="rect">
                      <a:avLst/>
                    </a:prstGeom>
                    <a:noFill/>
                    <a:ln>
                      <a:noFill/>
                    </a:ln>
                  </pic:spPr>
                </pic:pic>
              </a:graphicData>
            </a:graphic>
          </wp:inline>
        </w:drawing>
      </w:r>
    </w:p>
    <w:p w14:paraId="7A84506E" w14:textId="54C94F94" w:rsidR="00E314C3" w:rsidRPr="009A5EF0" w:rsidRDefault="009A5EF0" w:rsidP="00EE341D">
      <w:pPr>
        <w:pStyle w:val="Caption"/>
        <w:keepNext/>
        <w:rPr>
          <w:sz w:val="16"/>
          <w:szCs w:val="16"/>
        </w:rPr>
      </w:pPr>
      <w:r w:rsidRPr="009A5EF0">
        <w:rPr>
          <w:sz w:val="16"/>
          <w:szCs w:val="16"/>
        </w:rPr>
        <w:t>Source: Year 12 rates are for people aged 19. Tertiary qualifications are for people aged 25-34 years. Remote includes Remote and Very Remote Categories. Any tertiary education qualification includes VET in Schools. Australian Bureau of Statistics (ABS) (2016) Census of Population and Housing.</w:t>
      </w:r>
    </w:p>
    <w:p w14:paraId="01795A3C" w14:textId="472628A9" w:rsidR="00EE341D" w:rsidRDefault="002D549B">
      <w:pPr>
        <w:rPr>
          <w:rFonts w:cstheme="minorHAnsi"/>
        </w:rPr>
      </w:pPr>
      <w:r w:rsidRPr="000652D9">
        <w:rPr>
          <w:rFonts w:ascii="Calibri" w:eastAsia="Times New Roman" w:hAnsi="Calibri" w:cs="Times New Roman"/>
        </w:rPr>
        <w:t>Rates of participation in higher</w:t>
      </w:r>
      <w:r w:rsidR="007D2342" w:rsidRPr="000652D9">
        <w:rPr>
          <w:rFonts w:ascii="Calibri" w:eastAsia="Times New Roman" w:hAnsi="Calibri" w:cs="Times New Roman"/>
        </w:rPr>
        <w:t>-level tertiary</w:t>
      </w:r>
      <w:r w:rsidRPr="000652D9">
        <w:rPr>
          <w:rFonts w:ascii="Calibri" w:eastAsia="Times New Roman" w:hAnsi="Calibri" w:cs="Times New Roman"/>
        </w:rPr>
        <w:t xml:space="preserve"> education (</w:t>
      </w:r>
      <w:r w:rsidR="007D2342" w:rsidRPr="000652D9">
        <w:rPr>
          <w:rFonts w:ascii="Calibri" w:eastAsia="Times New Roman" w:hAnsi="Calibri" w:cs="Times New Roman"/>
        </w:rPr>
        <w:t>C</w:t>
      </w:r>
      <w:r w:rsidRPr="000652D9">
        <w:rPr>
          <w:rFonts w:ascii="Calibri" w:eastAsia="Times New Roman" w:hAnsi="Calibri" w:cs="Times New Roman"/>
        </w:rPr>
        <w:t>ertificate IV and above) are also lower in</w:t>
      </w:r>
      <w:r>
        <w:rPr>
          <w:rFonts w:ascii="Calibri" w:eastAsia="Times New Roman" w:hAnsi="Calibri" w:cs="Times New Roman"/>
        </w:rPr>
        <w:t xml:space="preserve"> </w:t>
      </w:r>
      <w:r w:rsidR="00EE341D" w:rsidRPr="00EE341D">
        <w:rPr>
          <w:rFonts w:ascii="Calibri" w:eastAsia="Times New Roman" w:hAnsi="Calibri" w:cs="Times New Roman"/>
        </w:rPr>
        <w:t>RRR areas compared to metropolitan areas. People living in RRR areas account for 27.3 per cent of people aged 15-64 years, but only 21.7 per cent of domestic higher education enrolments, 13.4 per cent of research training students and 9.8 per cent of PhD and other Higher Degree Research (HDR) completions. By contrast, VET participation is higher and increases with remoteness, as shown in Figure 2 below. The proportion of domestic VET students at all levels in RRR areas was 32.4 per cent in 2016. However, RRR VET provision tends to focus on lower level qualifications (Certificate I, II and III).</w:t>
      </w:r>
      <w:r w:rsidR="00EE341D" w:rsidRPr="00EE341D">
        <w:rPr>
          <w:rFonts w:cstheme="minorHAnsi"/>
        </w:rPr>
        <w:t xml:space="preserve"> </w:t>
      </w:r>
      <w:r w:rsidR="00EE341D">
        <w:rPr>
          <w:rFonts w:cstheme="minorHAnsi"/>
        </w:rPr>
        <w:br w:type="page"/>
      </w:r>
    </w:p>
    <w:p w14:paraId="187C5B61" w14:textId="05AE874C" w:rsidR="009A5EF0" w:rsidRPr="009A5EF0" w:rsidRDefault="009A5EF0" w:rsidP="009A5EF0">
      <w:pPr>
        <w:pStyle w:val="Caption"/>
        <w:keepNext/>
        <w:rPr>
          <w:b/>
        </w:rPr>
      </w:pPr>
      <w:bookmarkStart w:id="33" w:name="_Toc13225133"/>
      <w:r w:rsidRPr="009A5EF0">
        <w:rPr>
          <w:b/>
        </w:rPr>
        <w:lastRenderedPageBreak/>
        <w:t xml:space="preserve">Figure </w:t>
      </w:r>
      <w:r w:rsidRPr="009A5EF0">
        <w:rPr>
          <w:b/>
        </w:rPr>
        <w:fldChar w:fldCharType="begin"/>
      </w:r>
      <w:r w:rsidRPr="009A5EF0">
        <w:rPr>
          <w:b/>
        </w:rPr>
        <w:instrText xml:space="preserve"> SEQ Figure \* ARABIC </w:instrText>
      </w:r>
      <w:r w:rsidRPr="009A5EF0">
        <w:rPr>
          <w:b/>
        </w:rPr>
        <w:fldChar w:fldCharType="separate"/>
      </w:r>
      <w:r w:rsidR="00D85656">
        <w:rPr>
          <w:b/>
          <w:noProof/>
        </w:rPr>
        <w:t>2</w:t>
      </w:r>
      <w:r w:rsidRPr="009A5EF0">
        <w:rPr>
          <w:b/>
        </w:rPr>
        <w:fldChar w:fldCharType="end"/>
      </w:r>
      <w:r w:rsidRPr="009A5EF0">
        <w:rPr>
          <w:b/>
        </w:rPr>
        <w:t>. Tertiary education sector snapshot, 2016</w:t>
      </w:r>
      <w:bookmarkEnd w:id="33"/>
    </w:p>
    <w:p w14:paraId="4D6CB32E" w14:textId="33E454D9" w:rsidR="009A5EF0" w:rsidRDefault="000652D9" w:rsidP="00DB6C35">
      <w:pPr>
        <w:pStyle w:val="Pa21"/>
        <w:spacing w:after="80"/>
        <w:rPr>
          <w:rFonts w:ascii="Calibri" w:eastAsia="Times New Roman" w:hAnsi="Calibri" w:cs="Times New Roman"/>
          <w:sz w:val="22"/>
          <w:szCs w:val="22"/>
        </w:rPr>
      </w:pPr>
      <w:r>
        <w:rPr>
          <w:noProof/>
        </w:rPr>
        <w:pict w14:anchorId="654F7264">
          <v:shape id="_x0000_s1040" type="#_x0000_t75" style="position:absolute;margin-left:0;margin-top:.85pt;width:445.5pt;height:474.75pt;z-index:251710464;mso-position-horizontal:absolute;mso-position-horizontal-relative:text;mso-position-vertical:absolute;mso-position-vertical-relative:text;mso-width-relative:page;mso-height-relative:page">
            <v:imagedata r:id="rId20" o:title="ED19-0084 - HE - Regional Taskforce Final Report_Figure 2"/>
          </v:shape>
        </w:pict>
      </w:r>
    </w:p>
    <w:tbl>
      <w:tblPr>
        <w:tblStyle w:val="TableGrid"/>
        <w:tblW w:w="0" w:type="auto"/>
        <w:jc w:val="center"/>
        <w:tblLook w:val="04A0" w:firstRow="1" w:lastRow="0" w:firstColumn="1" w:lastColumn="0" w:noHBand="0" w:noVBand="1"/>
      </w:tblPr>
      <w:tblGrid>
        <w:gridCol w:w="1943"/>
        <w:gridCol w:w="1248"/>
        <w:gridCol w:w="1291"/>
        <w:gridCol w:w="1494"/>
        <w:gridCol w:w="1495"/>
      </w:tblGrid>
      <w:tr w:rsidR="006C03BB" w:rsidRPr="00DF33AF" w14:paraId="4DEAE325" w14:textId="77777777" w:rsidTr="000F44D4">
        <w:trPr>
          <w:trHeight w:val="297"/>
          <w:tblHeader/>
          <w:jc w:val="center"/>
        </w:trPr>
        <w:tc>
          <w:tcPr>
            <w:tcW w:w="7471" w:type="dxa"/>
            <w:gridSpan w:val="5"/>
            <w:noWrap/>
            <w:hideMark/>
          </w:tcPr>
          <w:p w14:paraId="7E062CA0" w14:textId="77777777" w:rsidR="006C03BB" w:rsidRPr="001B28D0" w:rsidRDefault="006C03BB" w:rsidP="00F74C6A">
            <w:r w:rsidRPr="001B28D0">
              <w:rPr>
                <w:bCs/>
              </w:rPr>
              <w:t>Higher Education Participation rates</w:t>
            </w:r>
          </w:p>
        </w:tc>
      </w:tr>
      <w:tr w:rsidR="006C03BB" w:rsidRPr="00DF33AF" w14:paraId="4D3371E3" w14:textId="77777777" w:rsidTr="006C03BB">
        <w:trPr>
          <w:trHeight w:val="297"/>
          <w:jc w:val="center"/>
        </w:trPr>
        <w:tc>
          <w:tcPr>
            <w:tcW w:w="1943" w:type="dxa"/>
            <w:noWrap/>
            <w:hideMark/>
          </w:tcPr>
          <w:p w14:paraId="4718E75F" w14:textId="77777777" w:rsidR="006C03BB" w:rsidRPr="001B28D0" w:rsidRDefault="006C03BB" w:rsidP="00F74C6A">
            <w:r w:rsidRPr="001B28D0">
              <w:t>Major Cities</w:t>
            </w:r>
          </w:p>
        </w:tc>
        <w:tc>
          <w:tcPr>
            <w:tcW w:w="1248" w:type="dxa"/>
            <w:noWrap/>
            <w:hideMark/>
          </w:tcPr>
          <w:p w14:paraId="2170F4B1" w14:textId="77777777" w:rsidR="006C03BB" w:rsidRPr="001B28D0" w:rsidRDefault="006C03BB" w:rsidP="00F74C6A">
            <w:r w:rsidRPr="001B28D0">
              <w:t>Inner Regional</w:t>
            </w:r>
          </w:p>
        </w:tc>
        <w:tc>
          <w:tcPr>
            <w:tcW w:w="1291" w:type="dxa"/>
            <w:noWrap/>
            <w:hideMark/>
          </w:tcPr>
          <w:p w14:paraId="0567E13A" w14:textId="77777777" w:rsidR="006C03BB" w:rsidRPr="001B28D0" w:rsidRDefault="006C03BB" w:rsidP="00F74C6A">
            <w:r w:rsidRPr="001B28D0">
              <w:t>Outer Regional</w:t>
            </w:r>
          </w:p>
        </w:tc>
        <w:tc>
          <w:tcPr>
            <w:tcW w:w="1494" w:type="dxa"/>
            <w:noWrap/>
            <w:hideMark/>
          </w:tcPr>
          <w:p w14:paraId="7D382703" w14:textId="77777777" w:rsidR="006C03BB" w:rsidRPr="001B28D0" w:rsidRDefault="006C03BB" w:rsidP="00F74C6A">
            <w:r w:rsidRPr="001B28D0">
              <w:t xml:space="preserve">Remote </w:t>
            </w:r>
          </w:p>
        </w:tc>
        <w:tc>
          <w:tcPr>
            <w:tcW w:w="1495" w:type="dxa"/>
            <w:noWrap/>
            <w:hideMark/>
          </w:tcPr>
          <w:p w14:paraId="6E3DA017" w14:textId="77777777" w:rsidR="006C03BB" w:rsidRPr="001B28D0" w:rsidRDefault="006C03BB" w:rsidP="00F74C6A">
            <w:r w:rsidRPr="001B28D0">
              <w:t>Blank square</w:t>
            </w:r>
          </w:p>
        </w:tc>
      </w:tr>
      <w:tr w:rsidR="006C03BB" w:rsidRPr="00DF33AF" w14:paraId="5E4A87C6" w14:textId="77777777" w:rsidTr="006C03BB">
        <w:trPr>
          <w:trHeight w:val="297"/>
          <w:jc w:val="center"/>
        </w:trPr>
        <w:tc>
          <w:tcPr>
            <w:tcW w:w="1943" w:type="dxa"/>
            <w:noWrap/>
            <w:hideMark/>
          </w:tcPr>
          <w:p w14:paraId="49A50215" w14:textId="77777777" w:rsidR="006C03BB" w:rsidRPr="001B28D0" w:rsidRDefault="006C03BB" w:rsidP="00F74C6A">
            <w:r w:rsidRPr="001B28D0">
              <w:t>7.3%</w:t>
            </w:r>
          </w:p>
        </w:tc>
        <w:tc>
          <w:tcPr>
            <w:tcW w:w="1248" w:type="dxa"/>
            <w:noWrap/>
            <w:hideMark/>
          </w:tcPr>
          <w:p w14:paraId="5A4DB9B1" w14:textId="77777777" w:rsidR="006C03BB" w:rsidRPr="001B28D0" w:rsidRDefault="006C03BB" w:rsidP="00F74C6A">
            <w:r w:rsidRPr="001B28D0">
              <w:t>5.8%</w:t>
            </w:r>
          </w:p>
        </w:tc>
        <w:tc>
          <w:tcPr>
            <w:tcW w:w="1291" w:type="dxa"/>
            <w:noWrap/>
            <w:hideMark/>
          </w:tcPr>
          <w:p w14:paraId="72D9A1E0" w14:textId="77777777" w:rsidR="006C03BB" w:rsidRPr="001B28D0" w:rsidRDefault="006C03BB" w:rsidP="00F74C6A">
            <w:r w:rsidRPr="001B28D0">
              <w:t>5.1%</w:t>
            </w:r>
          </w:p>
        </w:tc>
        <w:tc>
          <w:tcPr>
            <w:tcW w:w="1494" w:type="dxa"/>
            <w:noWrap/>
            <w:hideMark/>
          </w:tcPr>
          <w:p w14:paraId="222401C4" w14:textId="77777777" w:rsidR="006C03BB" w:rsidRPr="001B28D0" w:rsidRDefault="006C03BB" w:rsidP="00F74C6A">
            <w:r w:rsidRPr="001B28D0">
              <w:t>3.2%</w:t>
            </w:r>
          </w:p>
        </w:tc>
        <w:tc>
          <w:tcPr>
            <w:tcW w:w="1495" w:type="dxa"/>
            <w:noWrap/>
            <w:hideMark/>
          </w:tcPr>
          <w:p w14:paraId="5A648B8D" w14:textId="77777777" w:rsidR="006C03BB" w:rsidRPr="001B28D0" w:rsidRDefault="006C03BB" w:rsidP="00F74C6A">
            <w:r w:rsidRPr="001B28D0">
              <w:t>Blank square</w:t>
            </w:r>
          </w:p>
        </w:tc>
      </w:tr>
      <w:tr w:rsidR="006C03BB" w:rsidRPr="00DF33AF" w14:paraId="10B1E56E" w14:textId="77777777" w:rsidTr="006C03BB">
        <w:trPr>
          <w:trHeight w:val="297"/>
          <w:jc w:val="center"/>
        </w:trPr>
        <w:tc>
          <w:tcPr>
            <w:tcW w:w="7471" w:type="dxa"/>
            <w:gridSpan w:val="5"/>
            <w:noWrap/>
            <w:hideMark/>
          </w:tcPr>
          <w:p w14:paraId="6C4791D1" w14:textId="77777777" w:rsidR="006C03BB" w:rsidRPr="001B28D0" w:rsidRDefault="006C03BB" w:rsidP="00F74C6A">
            <w:r w:rsidRPr="001B28D0">
              <w:rPr>
                <w:bCs/>
              </w:rPr>
              <w:t>VET Participation rates</w:t>
            </w:r>
          </w:p>
        </w:tc>
      </w:tr>
      <w:tr w:rsidR="006C03BB" w:rsidRPr="00DF33AF" w14:paraId="5BD74D7D" w14:textId="77777777" w:rsidTr="006C03BB">
        <w:trPr>
          <w:trHeight w:val="297"/>
          <w:jc w:val="center"/>
        </w:trPr>
        <w:tc>
          <w:tcPr>
            <w:tcW w:w="1943" w:type="dxa"/>
            <w:noWrap/>
            <w:hideMark/>
          </w:tcPr>
          <w:p w14:paraId="13BB7306" w14:textId="77777777" w:rsidR="006C03BB" w:rsidRPr="001B28D0" w:rsidRDefault="006C03BB" w:rsidP="00F74C6A">
            <w:r w:rsidRPr="001B28D0">
              <w:t>Major Cities</w:t>
            </w:r>
          </w:p>
        </w:tc>
        <w:tc>
          <w:tcPr>
            <w:tcW w:w="1248" w:type="dxa"/>
            <w:noWrap/>
            <w:hideMark/>
          </w:tcPr>
          <w:p w14:paraId="19385A4A" w14:textId="77777777" w:rsidR="006C03BB" w:rsidRPr="001B28D0" w:rsidRDefault="006C03BB" w:rsidP="00F74C6A">
            <w:r w:rsidRPr="001B28D0">
              <w:t>Inner Regional</w:t>
            </w:r>
          </w:p>
        </w:tc>
        <w:tc>
          <w:tcPr>
            <w:tcW w:w="1291" w:type="dxa"/>
            <w:noWrap/>
            <w:hideMark/>
          </w:tcPr>
          <w:p w14:paraId="21EC89B3" w14:textId="77777777" w:rsidR="006C03BB" w:rsidRPr="001B28D0" w:rsidRDefault="006C03BB" w:rsidP="00F74C6A">
            <w:r w:rsidRPr="001B28D0">
              <w:t>Outer Regional</w:t>
            </w:r>
          </w:p>
        </w:tc>
        <w:tc>
          <w:tcPr>
            <w:tcW w:w="1494" w:type="dxa"/>
            <w:noWrap/>
            <w:hideMark/>
          </w:tcPr>
          <w:p w14:paraId="0A6B5014" w14:textId="77777777" w:rsidR="006C03BB" w:rsidRPr="001B28D0" w:rsidRDefault="006C03BB" w:rsidP="00F74C6A">
            <w:r w:rsidRPr="001B28D0">
              <w:t>Remote</w:t>
            </w:r>
          </w:p>
        </w:tc>
        <w:tc>
          <w:tcPr>
            <w:tcW w:w="1495" w:type="dxa"/>
            <w:noWrap/>
            <w:hideMark/>
          </w:tcPr>
          <w:p w14:paraId="51EBBDA5" w14:textId="77777777" w:rsidR="006C03BB" w:rsidRPr="001B28D0" w:rsidRDefault="006C03BB" w:rsidP="00F74C6A">
            <w:r w:rsidRPr="001B28D0">
              <w:t>Blank square</w:t>
            </w:r>
          </w:p>
        </w:tc>
      </w:tr>
      <w:tr w:rsidR="006C03BB" w:rsidRPr="00DF33AF" w14:paraId="3035DA39" w14:textId="77777777" w:rsidTr="006C03BB">
        <w:trPr>
          <w:trHeight w:val="297"/>
          <w:jc w:val="center"/>
        </w:trPr>
        <w:tc>
          <w:tcPr>
            <w:tcW w:w="1943" w:type="dxa"/>
            <w:noWrap/>
            <w:hideMark/>
          </w:tcPr>
          <w:p w14:paraId="6DC4997C" w14:textId="77777777" w:rsidR="006C03BB" w:rsidRPr="001B28D0" w:rsidRDefault="006C03BB" w:rsidP="00F74C6A">
            <w:r w:rsidRPr="001B28D0">
              <w:t>22.1%</w:t>
            </w:r>
          </w:p>
        </w:tc>
        <w:tc>
          <w:tcPr>
            <w:tcW w:w="1248" w:type="dxa"/>
            <w:noWrap/>
            <w:hideMark/>
          </w:tcPr>
          <w:p w14:paraId="2A412B86" w14:textId="77777777" w:rsidR="006C03BB" w:rsidRPr="001B28D0" w:rsidRDefault="006C03BB" w:rsidP="00F74C6A">
            <w:r w:rsidRPr="001B28D0">
              <w:t>31.0%</w:t>
            </w:r>
          </w:p>
        </w:tc>
        <w:tc>
          <w:tcPr>
            <w:tcW w:w="1291" w:type="dxa"/>
            <w:noWrap/>
            <w:hideMark/>
          </w:tcPr>
          <w:p w14:paraId="212F88BA" w14:textId="77777777" w:rsidR="006C03BB" w:rsidRPr="001B28D0" w:rsidRDefault="006C03BB" w:rsidP="00F74C6A">
            <w:r w:rsidRPr="001B28D0">
              <w:t>32.4%</w:t>
            </w:r>
          </w:p>
        </w:tc>
        <w:tc>
          <w:tcPr>
            <w:tcW w:w="1494" w:type="dxa"/>
            <w:noWrap/>
            <w:hideMark/>
          </w:tcPr>
          <w:p w14:paraId="379D0144" w14:textId="77777777" w:rsidR="006C03BB" w:rsidRPr="001B28D0" w:rsidRDefault="006C03BB" w:rsidP="00F74C6A">
            <w:r w:rsidRPr="001B28D0">
              <w:t>36.2%</w:t>
            </w:r>
          </w:p>
        </w:tc>
        <w:tc>
          <w:tcPr>
            <w:tcW w:w="1495" w:type="dxa"/>
            <w:noWrap/>
            <w:hideMark/>
          </w:tcPr>
          <w:p w14:paraId="1D46624D" w14:textId="77777777" w:rsidR="006C03BB" w:rsidRPr="001B28D0" w:rsidRDefault="006C03BB" w:rsidP="00F74C6A">
            <w:r w:rsidRPr="001B28D0">
              <w:t>Blank square</w:t>
            </w:r>
          </w:p>
        </w:tc>
      </w:tr>
      <w:tr w:rsidR="006C03BB" w:rsidRPr="00DF33AF" w14:paraId="5E24EB1F" w14:textId="77777777" w:rsidTr="006C03BB">
        <w:trPr>
          <w:trHeight w:val="297"/>
          <w:jc w:val="center"/>
        </w:trPr>
        <w:tc>
          <w:tcPr>
            <w:tcW w:w="7471" w:type="dxa"/>
            <w:gridSpan w:val="5"/>
            <w:noWrap/>
            <w:hideMark/>
          </w:tcPr>
          <w:p w14:paraId="1D0183AB" w14:textId="77777777" w:rsidR="006C03BB" w:rsidRPr="001B28D0" w:rsidRDefault="006C03BB" w:rsidP="00F74C6A">
            <w:r w:rsidRPr="001B28D0">
              <w:t>Regional and remote Australia accounted for 27.3 per cent of people aged 15-64 compared to 21.7 per cent of Higher Education enrolments and 32.4 per cent of VET students.</w:t>
            </w:r>
          </w:p>
        </w:tc>
      </w:tr>
      <w:tr w:rsidR="006C03BB" w:rsidRPr="00DF33AF" w14:paraId="0B17993E" w14:textId="77777777" w:rsidTr="006C03BB">
        <w:trPr>
          <w:trHeight w:val="297"/>
          <w:jc w:val="center"/>
        </w:trPr>
        <w:tc>
          <w:tcPr>
            <w:tcW w:w="7471" w:type="dxa"/>
            <w:gridSpan w:val="5"/>
            <w:noWrap/>
            <w:hideMark/>
          </w:tcPr>
          <w:p w14:paraId="495CE059" w14:textId="77777777" w:rsidR="006C03BB" w:rsidRPr="001B28D0" w:rsidRDefault="006C03BB" w:rsidP="00F74C6A">
            <w:r w:rsidRPr="001B28D0">
              <w:rPr>
                <w:bCs/>
              </w:rPr>
              <w:t>Higher Education Enrolments</w:t>
            </w:r>
          </w:p>
        </w:tc>
      </w:tr>
      <w:tr w:rsidR="006C03BB" w:rsidRPr="00DF33AF" w14:paraId="7835191F" w14:textId="77777777" w:rsidTr="006C03BB">
        <w:trPr>
          <w:trHeight w:val="297"/>
          <w:jc w:val="center"/>
        </w:trPr>
        <w:tc>
          <w:tcPr>
            <w:tcW w:w="1943" w:type="dxa"/>
            <w:noWrap/>
            <w:hideMark/>
          </w:tcPr>
          <w:p w14:paraId="235E8A03" w14:textId="77777777" w:rsidR="006C03BB" w:rsidRPr="001B28D0" w:rsidRDefault="006C03BB" w:rsidP="00F74C6A">
            <w:r w:rsidRPr="001B28D0">
              <w:t>Major Cities</w:t>
            </w:r>
          </w:p>
        </w:tc>
        <w:tc>
          <w:tcPr>
            <w:tcW w:w="1248" w:type="dxa"/>
            <w:noWrap/>
            <w:hideMark/>
          </w:tcPr>
          <w:p w14:paraId="7CE14830" w14:textId="77777777" w:rsidR="006C03BB" w:rsidRPr="001B28D0" w:rsidRDefault="006C03BB" w:rsidP="00F74C6A">
            <w:r w:rsidRPr="001B28D0">
              <w:t>Inner Regional</w:t>
            </w:r>
          </w:p>
        </w:tc>
        <w:tc>
          <w:tcPr>
            <w:tcW w:w="1291" w:type="dxa"/>
            <w:noWrap/>
            <w:hideMark/>
          </w:tcPr>
          <w:p w14:paraId="699B54FE" w14:textId="77777777" w:rsidR="006C03BB" w:rsidRPr="001B28D0" w:rsidRDefault="006C03BB" w:rsidP="00F74C6A">
            <w:r w:rsidRPr="001B28D0">
              <w:t>Outer Regional</w:t>
            </w:r>
          </w:p>
        </w:tc>
        <w:tc>
          <w:tcPr>
            <w:tcW w:w="1494" w:type="dxa"/>
            <w:noWrap/>
            <w:hideMark/>
          </w:tcPr>
          <w:p w14:paraId="07188259" w14:textId="77777777" w:rsidR="006C03BB" w:rsidRPr="001B28D0" w:rsidRDefault="006C03BB" w:rsidP="00F74C6A">
            <w:r w:rsidRPr="001B28D0">
              <w:t xml:space="preserve">Remote </w:t>
            </w:r>
          </w:p>
        </w:tc>
        <w:tc>
          <w:tcPr>
            <w:tcW w:w="1495" w:type="dxa"/>
            <w:noWrap/>
            <w:hideMark/>
          </w:tcPr>
          <w:p w14:paraId="524D3D4A" w14:textId="77777777" w:rsidR="006C03BB" w:rsidRPr="001B28D0" w:rsidRDefault="006C03BB" w:rsidP="00F74C6A">
            <w:r w:rsidRPr="001B28D0">
              <w:t>Blank square</w:t>
            </w:r>
          </w:p>
        </w:tc>
      </w:tr>
      <w:tr w:rsidR="006C03BB" w:rsidRPr="00DF33AF" w14:paraId="0BA468B0" w14:textId="77777777" w:rsidTr="006C03BB">
        <w:trPr>
          <w:trHeight w:val="297"/>
          <w:jc w:val="center"/>
        </w:trPr>
        <w:tc>
          <w:tcPr>
            <w:tcW w:w="1943" w:type="dxa"/>
            <w:noWrap/>
            <w:hideMark/>
          </w:tcPr>
          <w:p w14:paraId="2811A0EA" w14:textId="77777777" w:rsidR="006C03BB" w:rsidRPr="001B28D0" w:rsidRDefault="006C03BB" w:rsidP="00F74C6A">
            <w:r w:rsidRPr="001B28D0">
              <w:t>78.3%</w:t>
            </w:r>
          </w:p>
        </w:tc>
        <w:tc>
          <w:tcPr>
            <w:tcW w:w="1248" w:type="dxa"/>
            <w:noWrap/>
            <w:hideMark/>
          </w:tcPr>
          <w:p w14:paraId="47570527" w14:textId="77777777" w:rsidR="006C03BB" w:rsidRPr="001B28D0" w:rsidRDefault="006C03BB" w:rsidP="00F74C6A">
            <w:r w:rsidRPr="001B28D0">
              <w:t>14.6%</w:t>
            </w:r>
          </w:p>
        </w:tc>
        <w:tc>
          <w:tcPr>
            <w:tcW w:w="1291" w:type="dxa"/>
            <w:noWrap/>
            <w:hideMark/>
          </w:tcPr>
          <w:p w14:paraId="706D8254" w14:textId="77777777" w:rsidR="006C03BB" w:rsidRPr="001B28D0" w:rsidRDefault="006C03BB" w:rsidP="00F74C6A">
            <w:r w:rsidRPr="001B28D0">
              <w:t>6.1%</w:t>
            </w:r>
          </w:p>
        </w:tc>
        <w:tc>
          <w:tcPr>
            <w:tcW w:w="1494" w:type="dxa"/>
            <w:noWrap/>
            <w:hideMark/>
          </w:tcPr>
          <w:p w14:paraId="342DD690" w14:textId="77777777" w:rsidR="006C03BB" w:rsidRPr="001B28D0" w:rsidRDefault="006C03BB" w:rsidP="00F74C6A">
            <w:r w:rsidRPr="001B28D0">
              <w:t>1.0%</w:t>
            </w:r>
          </w:p>
        </w:tc>
        <w:tc>
          <w:tcPr>
            <w:tcW w:w="1495" w:type="dxa"/>
            <w:noWrap/>
            <w:hideMark/>
          </w:tcPr>
          <w:p w14:paraId="5D8D2A80" w14:textId="77777777" w:rsidR="006C03BB" w:rsidRPr="001B28D0" w:rsidRDefault="006C03BB" w:rsidP="00F74C6A">
            <w:r w:rsidRPr="001B28D0">
              <w:t>Blank square</w:t>
            </w:r>
          </w:p>
        </w:tc>
      </w:tr>
      <w:tr w:rsidR="006C03BB" w:rsidRPr="00DF33AF" w14:paraId="6403ABE6" w14:textId="77777777" w:rsidTr="006C03BB">
        <w:trPr>
          <w:trHeight w:val="297"/>
          <w:jc w:val="center"/>
        </w:trPr>
        <w:tc>
          <w:tcPr>
            <w:tcW w:w="7471" w:type="dxa"/>
            <w:gridSpan w:val="5"/>
            <w:noWrap/>
            <w:hideMark/>
          </w:tcPr>
          <w:p w14:paraId="3D50E8E7" w14:textId="77777777" w:rsidR="006C03BB" w:rsidRPr="001B28D0" w:rsidRDefault="006C03BB" w:rsidP="00F74C6A">
            <w:r w:rsidRPr="001B28D0">
              <w:rPr>
                <w:bCs/>
              </w:rPr>
              <w:t>VET Students</w:t>
            </w:r>
          </w:p>
        </w:tc>
      </w:tr>
      <w:tr w:rsidR="006C03BB" w:rsidRPr="00DF33AF" w14:paraId="4B533913" w14:textId="77777777" w:rsidTr="006C03BB">
        <w:trPr>
          <w:trHeight w:val="297"/>
          <w:jc w:val="center"/>
        </w:trPr>
        <w:tc>
          <w:tcPr>
            <w:tcW w:w="1943" w:type="dxa"/>
            <w:noWrap/>
            <w:hideMark/>
          </w:tcPr>
          <w:p w14:paraId="7BE6896B" w14:textId="77777777" w:rsidR="006C03BB" w:rsidRPr="001B28D0" w:rsidRDefault="006C03BB" w:rsidP="00F74C6A">
            <w:r w:rsidRPr="001B28D0">
              <w:t>Major Cities</w:t>
            </w:r>
          </w:p>
        </w:tc>
        <w:tc>
          <w:tcPr>
            <w:tcW w:w="1248" w:type="dxa"/>
            <w:noWrap/>
            <w:hideMark/>
          </w:tcPr>
          <w:p w14:paraId="5632B92B" w14:textId="77777777" w:rsidR="006C03BB" w:rsidRPr="001B28D0" w:rsidRDefault="006C03BB" w:rsidP="00F74C6A">
            <w:r w:rsidRPr="001B28D0">
              <w:t>Inner Regional</w:t>
            </w:r>
          </w:p>
        </w:tc>
        <w:tc>
          <w:tcPr>
            <w:tcW w:w="1291" w:type="dxa"/>
            <w:noWrap/>
            <w:hideMark/>
          </w:tcPr>
          <w:p w14:paraId="72F684A7" w14:textId="77777777" w:rsidR="006C03BB" w:rsidRPr="001B28D0" w:rsidRDefault="006C03BB" w:rsidP="00F74C6A">
            <w:r w:rsidRPr="001B28D0">
              <w:t>Outer Regional</w:t>
            </w:r>
          </w:p>
        </w:tc>
        <w:tc>
          <w:tcPr>
            <w:tcW w:w="1494" w:type="dxa"/>
            <w:noWrap/>
            <w:hideMark/>
          </w:tcPr>
          <w:p w14:paraId="764BF94B" w14:textId="77777777" w:rsidR="006C03BB" w:rsidRPr="001B28D0" w:rsidRDefault="006C03BB" w:rsidP="00F74C6A">
            <w:r w:rsidRPr="001B28D0">
              <w:t xml:space="preserve">Remote </w:t>
            </w:r>
          </w:p>
        </w:tc>
        <w:tc>
          <w:tcPr>
            <w:tcW w:w="1495" w:type="dxa"/>
            <w:noWrap/>
            <w:hideMark/>
          </w:tcPr>
          <w:p w14:paraId="5BA7B18C" w14:textId="77777777" w:rsidR="006C03BB" w:rsidRPr="001B28D0" w:rsidRDefault="006C03BB" w:rsidP="00F74C6A">
            <w:r w:rsidRPr="001B28D0">
              <w:t>Overseas and unknown</w:t>
            </w:r>
          </w:p>
        </w:tc>
      </w:tr>
      <w:tr w:rsidR="006C03BB" w:rsidRPr="00DF33AF" w14:paraId="399ED2DD" w14:textId="77777777" w:rsidTr="006C03BB">
        <w:trPr>
          <w:trHeight w:val="297"/>
          <w:jc w:val="center"/>
        </w:trPr>
        <w:tc>
          <w:tcPr>
            <w:tcW w:w="1943" w:type="dxa"/>
            <w:noWrap/>
            <w:hideMark/>
          </w:tcPr>
          <w:p w14:paraId="52C17959" w14:textId="77777777" w:rsidR="006C03BB" w:rsidRPr="001B28D0" w:rsidRDefault="006C03BB" w:rsidP="00F74C6A">
            <w:r w:rsidRPr="001B28D0">
              <w:t>61.0%</w:t>
            </w:r>
          </w:p>
        </w:tc>
        <w:tc>
          <w:tcPr>
            <w:tcW w:w="1248" w:type="dxa"/>
            <w:noWrap/>
            <w:hideMark/>
          </w:tcPr>
          <w:p w14:paraId="6359374D" w14:textId="77777777" w:rsidR="006C03BB" w:rsidRPr="001B28D0" w:rsidRDefault="006C03BB" w:rsidP="00F74C6A">
            <w:r w:rsidRPr="001B28D0">
              <w:t>20.1%</w:t>
            </w:r>
          </w:p>
        </w:tc>
        <w:tc>
          <w:tcPr>
            <w:tcW w:w="1291" w:type="dxa"/>
            <w:noWrap/>
            <w:hideMark/>
          </w:tcPr>
          <w:p w14:paraId="70AB7B5B" w14:textId="77777777" w:rsidR="006C03BB" w:rsidRPr="001B28D0" w:rsidRDefault="006C03BB" w:rsidP="00F74C6A">
            <w:r w:rsidRPr="001B28D0">
              <w:t>10.0%</w:t>
            </w:r>
          </w:p>
        </w:tc>
        <w:tc>
          <w:tcPr>
            <w:tcW w:w="1494" w:type="dxa"/>
            <w:noWrap/>
            <w:hideMark/>
          </w:tcPr>
          <w:p w14:paraId="7DA851F5" w14:textId="77777777" w:rsidR="006C03BB" w:rsidRPr="001B28D0" w:rsidRDefault="006C03BB" w:rsidP="00F74C6A">
            <w:r w:rsidRPr="001B28D0">
              <w:t>2.9%</w:t>
            </w:r>
          </w:p>
        </w:tc>
        <w:tc>
          <w:tcPr>
            <w:tcW w:w="1495" w:type="dxa"/>
            <w:noWrap/>
            <w:hideMark/>
          </w:tcPr>
          <w:p w14:paraId="3D5D269B" w14:textId="77777777" w:rsidR="006C03BB" w:rsidRPr="001B28D0" w:rsidRDefault="006C03BB" w:rsidP="00F74C6A">
            <w:r w:rsidRPr="001B28D0">
              <w:t>6.0%</w:t>
            </w:r>
          </w:p>
        </w:tc>
      </w:tr>
    </w:tbl>
    <w:p w14:paraId="514842AD" w14:textId="77777777" w:rsidR="009A5EF0" w:rsidRDefault="009A5EF0" w:rsidP="00DB6C35">
      <w:pPr>
        <w:pStyle w:val="Pa21"/>
        <w:spacing w:after="80"/>
        <w:rPr>
          <w:rFonts w:ascii="Calibri" w:eastAsia="Times New Roman" w:hAnsi="Calibri" w:cs="Times New Roman"/>
          <w:sz w:val="22"/>
          <w:szCs w:val="22"/>
        </w:rPr>
      </w:pPr>
    </w:p>
    <w:p w14:paraId="022A9829" w14:textId="77777777" w:rsidR="009A5EF0" w:rsidRDefault="009A5EF0" w:rsidP="00DB6C35">
      <w:pPr>
        <w:pStyle w:val="Pa21"/>
        <w:spacing w:after="80"/>
        <w:rPr>
          <w:rFonts w:ascii="Calibri" w:eastAsia="Times New Roman" w:hAnsi="Calibri" w:cs="Times New Roman"/>
          <w:sz w:val="22"/>
          <w:szCs w:val="22"/>
        </w:rPr>
      </w:pPr>
    </w:p>
    <w:p w14:paraId="78BF6B26" w14:textId="77777777" w:rsidR="006C03BB" w:rsidRDefault="006C03BB" w:rsidP="00DB6C35">
      <w:pPr>
        <w:pStyle w:val="Pa21"/>
        <w:spacing w:after="80"/>
        <w:rPr>
          <w:rFonts w:ascii="Calibri" w:eastAsia="Times New Roman" w:hAnsi="Calibri" w:cs="Times New Roman"/>
          <w:sz w:val="22"/>
          <w:szCs w:val="22"/>
        </w:rPr>
      </w:pPr>
    </w:p>
    <w:p w14:paraId="79B98563" w14:textId="77777777" w:rsidR="006C03BB" w:rsidRDefault="006C03BB" w:rsidP="00DB6C35">
      <w:pPr>
        <w:pStyle w:val="Pa21"/>
        <w:spacing w:after="80"/>
        <w:rPr>
          <w:rFonts w:ascii="Calibri" w:eastAsia="Times New Roman" w:hAnsi="Calibri" w:cs="Times New Roman"/>
          <w:sz w:val="22"/>
          <w:szCs w:val="22"/>
        </w:rPr>
      </w:pPr>
    </w:p>
    <w:p w14:paraId="497000DA" w14:textId="77777777" w:rsidR="006C03BB" w:rsidRDefault="006C03BB" w:rsidP="00DB6C35">
      <w:pPr>
        <w:pStyle w:val="Pa21"/>
        <w:spacing w:after="80"/>
        <w:rPr>
          <w:rFonts w:ascii="Calibri" w:eastAsia="Times New Roman" w:hAnsi="Calibri" w:cs="Times New Roman"/>
          <w:sz w:val="22"/>
          <w:szCs w:val="22"/>
        </w:rPr>
      </w:pPr>
    </w:p>
    <w:p w14:paraId="7C5E5B6F" w14:textId="77777777" w:rsidR="006C03BB" w:rsidRDefault="006C03BB" w:rsidP="00DB6C35">
      <w:pPr>
        <w:pStyle w:val="Pa21"/>
        <w:spacing w:after="80"/>
        <w:rPr>
          <w:rFonts w:ascii="Calibri" w:eastAsia="Times New Roman" w:hAnsi="Calibri" w:cs="Times New Roman"/>
          <w:sz w:val="22"/>
          <w:szCs w:val="22"/>
        </w:rPr>
      </w:pPr>
    </w:p>
    <w:p w14:paraId="7712D6F6" w14:textId="77777777" w:rsidR="006C03BB" w:rsidRDefault="006C03BB" w:rsidP="00DB6C35">
      <w:pPr>
        <w:pStyle w:val="Pa21"/>
        <w:spacing w:after="80"/>
        <w:rPr>
          <w:rFonts w:ascii="Calibri" w:eastAsia="Times New Roman" w:hAnsi="Calibri" w:cs="Times New Roman"/>
          <w:sz w:val="22"/>
          <w:szCs w:val="22"/>
        </w:rPr>
      </w:pPr>
    </w:p>
    <w:p w14:paraId="190191BD" w14:textId="77777777" w:rsidR="006C03BB" w:rsidRDefault="006C03BB" w:rsidP="00DB6C35">
      <w:pPr>
        <w:pStyle w:val="Pa21"/>
        <w:spacing w:after="80"/>
        <w:rPr>
          <w:rFonts w:ascii="Calibri" w:eastAsia="Times New Roman" w:hAnsi="Calibri" w:cs="Times New Roman"/>
          <w:sz w:val="22"/>
          <w:szCs w:val="22"/>
        </w:rPr>
      </w:pPr>
    </w:p>
    <w:p w14:paraId="045286A9" w14:textId="77777777" w:rsidR="006C03BB" w:rsidRDefault="006C03BB" w:rsidP="00DB6C35">
      <w:pPr>
        <w:pStyle w:val="Pa21"/>
        <w:spacing w:after="80"/>
        <w:rPr>
          <w:rFonts w:ascii="Calibri" w:eastAsia="Times New Roman" w:hAnsi="Calibri" w:cs="Times New Roman"/>
          <w:sz w:val="22"/>
          <w:szCs w:val="22"/>
        </w:rPr>
      </w:pPr>
    </w:p>
    <w:p w14:paraId="35057EAE" w14:textId="77777777" w:rsidR="006C03BB" w:rsidRDefault="006C03BB" w:rsidP="00DB6C35">
      <w:pPr>
        <w:pStyle w:val="Pa21"/>
        <w:spacing w:after="80"/>
        <w:rPr>
          <w:rFonts w:ascii="Calibri" w:eastAsia="Times New Roman" w:hAnsi="Calibri" w:cs="Times New Roman"/>
          <w:sz w:val="22"/>
          <w:szCs w:val="22"/>
        </w:rPr>
      </w:pPr>
    </w:p>
    <w:p w14:paraId="6DC4B072" w14:textId="77777777" w:rsidR="006C03BB" w:rsidRDefault="006C03BB" w:rsidP="00DB6C35">
      <w:pPr>
        <w:pStyle w:val="Pa21"/>
        <w:spacing w:after="80"/>
        <w:rPr>
          <w:rFonts w:ascii="Calibri" w:eastAsia="Times New Roman" w:hAnsi="Calibri" w:cs="Times New Roman"/>
          <w:sz w:val="22"/>
          <w:szCs w:val="22"/>
        </w:rPr>
      </w:pPr>
    </w:p>
    <w:p w14:paraId="5F9426F6" w14:textId="029D59DC" w:rsidR="00DB6C35" w:rsidRPr="00DB6C35" w:rsidRDefault="00DB6C35" w:rsidP="00DB6C35">
      <w:pPr>
        <w:pStyle w:val="Pa21"/>
        <w:spacing w:after="80"/>
        <w:rPr>
          <w:rFonts w:ascii="Calibri" w:eastAsia="Times New Roman" w:hAnsi="Calibri" w:cs="Times New Roman"/>
          <w:sz w:val="22"/>
          <w:szCs w:val="22"/>
        </w:rPr>
      </w:pPr>
      <w:r w:rsidRPr="00DB6C35">
        <w:rPr>
          <w:rFonts w:ascii="Calibri" w:eastAsia="Times New Roman" w:hAnsi="Calibri" w:cs="Times New Roman"/>
          <w:sz w:val="22"/>
          <w:szCs w:val="22"/>
        </w:rPr>
        <w:t>The rates of participation and attainment in higher-level tertiary education have been increasing across Australia in recent years. However, the rate of increase has been faster in metropolitan areas than RRR areas, resulting in a widening of the disparity in attainment between metropolitan and RRR areas. Between 2006 and 2016, the rate of Certificate IV and above attainment for people aged between 25 and 34 years increased:</w:t>
      </w:r>
      <w:r>
        <w:rPr>
          <w:rStyle w:val="FootnoteReference"/>
          <w:rFonts w:ascii="Calibri" w:eastAsia="Times New Roman" w:hAnsi="Calibri" w:cs="Times New Roman"/>
          <w:sz w:val="22"/>
          <w:szCs w:val="22"/>
        </w:rPr>
        <w:footnoteReference w:id="2"/>
      </w:r>
      <w:r w:rsidRPr="00DB6C35">
        <w:rPr>
          <w:rFonts w:ascii="Calibri" w:eastAsia="Times New Roman" w:hAnsi="Calibri" w:cs="Times New Roman"/>
          <w:sz w:val="22"/>
          <w:szCs w:val="22"/>
        </w:rPr>
        <w:t xml:space="preserve"> </w:t>
      </w:r>
    </w:p>
    <w:p w14:paraId="51A7965D" w14:textId="77777777" w:rsidR="00DB6C35" w:rsidRPr="00DB6C35" w:rsidRDefault="00DB6C35" w:rsidP="00041655">
      <w:pPr>
        <w:pStyle w:val="ListParagraph"/>
        <w:numPr>
          <w:ilvl w:val="0"/>
          <w:numId w:val="18"/>
        </w:numPr>
        <w:autoSpaceDE w:val="0"/>
        <w:autoSpaceDN w:val="0"/>
        <w:adjustRightInd w:val="0"/>
        <w:spacing w:after="40" w:line="211" w:lineRule="atLeast"/>
        <w:rPr>
          <w:rFonts w:cstheme="minorHAnsi"/>
          <w:color w:val="000000"/>
        </w:rPr>
      </w:pPr>
      <w:r w:rsidRPr="00DB6C35">
        <w:rPr>
          <w:rFonts w:cstheme="minorHAnsi"/>
          <w:color w:val="000000"/>
        </w:rPr>
        <w:t xml:space="preserve">in metropolitan areas by 12 percentage points (42 per cent to 54 per cent) </w:t>
      </w:r>
    </w:p>
    <w:p w14:paraId="25405650" w14:textId="77777777" w:rsidR="00DB6C35" w:rsidRPr="00DB6C35" w:rsidRDefault="00DB6C35" w:rsidP="00041655">
      <w:pPr>
        <w:pStyle w:val="ListParagraph"/>
        <w:numPr>
          <w:ilvl w:val="0"/>
          <w:numId w:val="18"/>
        </w:numPr>
        <w:autoSpaceDE w:val="0"/>
        <w:autoSpaceDN w:val="0"/>
        <w:adjustRightInd w:val="0"/>
        <w:spacing w:after="40" w:line="211" w:lineRule="atLeast"/>
        <w:rPr>
          <w:rFonts w:cstheme="minorHAnsi"/>
          <w:color w:val="000000"/>
        </w:rPr>
      </w:pPr>
      <w:r w:rsidRPr="00DB6C35">
        <w:rPr>
          <w:rFonts w:cstheme="minorHAnsi"/>
          <w:color w:val="000000"/>
        </w:rPr>
        <w:t xml:space="preserve">in inner regional areas by 9 percentage points (25 per cent to 34 per cent) </w:t>
      </w:r>
    </w:p>
    <w:p w14:paraId="303BFD73" w14:textId="77777777" w:rsidR="00DB6C35" w:rsidRPr="00DB6C35" w:rsidRDefault="00DB6C35" w:rsidP="00041655">
      <w:pPr>
        <w:pStyle w:val="ListParagraph"/>
        <w:numPr>
          <w:ilvl w:val="0"/>
          <w:numId w:val="18"/>
        </w:numPr>
        <w:autoSpaceDE w:val="0"/>
        <w:autoSpaceDN w:val="0"/>
        <w:adjustRightInd w:val="0"/>
        <w:spacing w:after="40" w:line="211" w:lineRule="atLeast"/>
        <w:rPr>
          <w:rFonts w:cstheme="minorHAnsi"/>
          <w:color w:val="000000"/>
        </w:rPr>
      </w:pPr>
      <w:r w:rsidRPr="00DB6C35">
        <w:rPr>
          <w:rFonts w:cstheme="minorHAnsi"/>
          <w:color w:val="000000"/>
        </w:rPr>
        <w:t xml:space="preserve">in outer regional areas by 8 percentage points (23 per cent to 31 per cent) </w:t>
      </w:r>
    </w:p>
    <w:p w14:paraId="0876FC13" w14:textId="77777777" w:rsidR="00DB6C35" w:rsidRPr="00DB6C35" w:rsidRDefault="00DB6C35" w:rsidP="00041655">
      <w:pPr>
        <w:pStyle w:val="ListParagraph"/>
        <w:numPr>
          <w:ilvl w:val="0"/>
          <w:numId w:val="18"/>
        </w:numPr>
        <w:autoSpaceDE w:val="0"/>
        <w:autoSpaceDN w:val="0"/>
        <w:adjustRightInd w:val="0"/>
        <w:spacing w:after="40" w:line="211" w:lineRule="atLeast"/>
        <w:rPr>
          <w:rFonts w:cstheme="minorHAnsi"/>
          <w:color w:val="000000"/>
        </w:rPr>
      </w:pPr>
      <w:r w:rsidRPr="00DB6C35">
        <w:rPr>
          <w:rFonts w:cstheme="minorHAnsi"/>
          <w:color w:val="000000"/>
        </w:rPr>
        <w:t xml:space="preserve">in remote areas by 6 percentage points (20 per cent to 26 per cent). </w:t>
      </w:r>
    </w:p>
    <w:p w14:paraId="57B10977" w14:textId="77777777" w:rsidR="00DB6C35" w:rsidRDefault="00DB6C35" w:rsidP="00DB6C35">
      <w:pPr>
        <w:pStyle w:val="Default"/>
        <w:rPr>
          <w:sz w:val="21"/>
          <w:szCs w:val="21"/>
        </w:rPr>
      </w:pPr>
    </w:p>
    <w:p w14:paraId="62A75E59" w14:textId="407031B3" w:rsidR="00DB6C35" w:rsidRPr="00DB6C35" w:rsidRDefault="00DB6C35" w:rsidP="00DB6C35">
      <w:pPr>
        <w:pStyle w:val="Pa21"/>
        <w:spacing w:after="80"/>
        <w:rPr>
          <w:rFonts w:ascii="Calibri" w:eastAsia="Times New Roman" w:hAnsi="Calibri" w:cs="Times New Roman"/>
          <w:sz w:val="22"/>
          <w:szCs w:val="22"/>
        </w:rPr>
      </w:pPr>
      <w:r w:rsidRPr="00DB6C35">
        <w:rPr>
          <w:rFonts w:ascii="Calibri" w:eastAsia="Times New Roman" w:hAnsi="Calibri" w:cs="Times New Roman"/>
          <w:sz w:val="22"/>
          <w:szCs w:val="22"/>
        </w:rPr>
        <w:lastRenderedPageBreak/>
        <w:t>The characteristics of RRR students differ from those in metropolitan areas. For example, RRR higher education students are more likely to be studying part-time, studying off</w:t>
      </w:r>
      <w:r w:rsidRPr="00DB6C35">
        <w:rPr>
          <w:rFonts w:ascii="Calibri" w:eastAsia="Times New Roman" w:hAnsi="Calibri" w:cs="Times New Roman"/>
          <w:sz w:val="22"/>
          <w:szCs w:val="22"/>
        </w:rPr>
        <w:noBreakHyphen/>
        <w:t>campus, be female, mature age and studying health or education courses (Table 1). Tertiary education policies developed to benefit RRR students must consider the specific circumstances and needs of this cohort of students.</w:t>
      </w:r>
    </w:p>
    <w:p w14:paraId="135C43B2" w14:textId="3D3A94AE" w:rsidR="00DB6C35" w:rsidRPr="00104DBE" w:rsidRDefault="00DB6C35" w:rsidP="00DB6C35">
      <w:pPr>
        <w:pStyle w:val="Caption"/>
        <w:keepNext/>
        <w:rPr>
          <w:b/>
        </w:rPr>
      </w:pPr>
      <w:bookmarkStart w:id="34" w:name="_Toc13224968"/>
      <w:r w:rsidRPr="00104DBE">
        <w:rPr>
          <w:b/>
        </w:rPr>
        <w:t xml:space="preserve">Table </w:t>
      </w:r>
      <w:r w:rsidRPr="00104DBE">
        <w:rPr>
          <w:b/>
        </w:rPr>
        <w:fldChar w:fldCharType="begin"/>
      </w:r>
      <w:r w:rsidRPr="00104DBE">
        <w:rPr>
          <w:b/>
        </w:rPr>
        <w:instrText xml:space="preserve"> SEQ Table \* ARABIC </w:instrText>
      </w:r>
      <w:r w:rsidRPr="00104DBE">
        <w:rPr>
          <w:b/>
        </w:rPr>
        <w:fldChar w:fldCharType="separate"/>
      </w:r>
      <w:r w:rsidR="00731756">
        <w:rPr>
          <w:b/>
          <w:noProof/>
        </w:rPr>
        <w:t>1</w:t>
      </w:r>
      <w:r w:rsidRPr="00104DBE">
        <w:rPr>
          <w:b/>
        </w:rPr>
        <w:fldChar w:fldCharType="end"/>
      </w:r>
      <w:r w:rsidRPr="00104DBE">
        <w:rPr>
          <w:b/>
        </w:rPr>
        <w:t>. Characteristics of tertiary participation in RRR areas, 2017</w:t>
      </w:r>
      <w:bookmarkEnd w:id="34"/>
    </w:p>
    <w:tbl>
      <w:tblPr>
        <w:tblStyle w:val="GridTable4-Accent1"/>
        <w:tblpPr w:leftFromText="180" w:rightFromText="180" w:vertAnchor="text" w:horzAnchor="margin" w:tblpY="-42"/>
        <w:tblW w:w="0" w:type="auto"/>
        <w:tblLook w:val="04A0" w:firstRow="1" w:lastRow="0" w:firstColumn="1" w:lastColumn="0" w:noHBand="0" w:noVBand="1"/>
      </w:tblPr>
      <w:tblGrid>
        <w:gridCol w:w="3061"/>
        <w:gridCol w:w="1653"/>
        <w:gridCol w:w="1304"/>
        <w:gridCol w:w="1582"/>
        <w:gridCol w:w="1406"/>
      </w:tblGrid>
      <w:tr w:rsidR="00DB6C35" w:rsidRPr="00306207" w14:paraId="3E780B31" w14:textId="77777777" w:rsidTr="005B1E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61" w:type="dxa"/>
            <w:vMerge w:val="restart"/>
            <w:hideMark/>
          </w:tcPr>
          <w:p w14:paraId="4236A0E8" w14:textId="5B7BAD53" w:rsidR="00DB6C35" w:rsidRPr="0088114E" w:rsidRDefault="00DB6C35" w:rsidP="00DB6C35">
            <w:pPr>
              <w:rPr>
                <w:color w:val="3A4952" w:themeColor="accent1"/>
              </w:rPr>
            </w:pPr>
            <w:r w:rsidRPr="0088114E">
              <w:rPr>
                <w:color w:val="3A4952" w:themeColor="accent1"/>
                <w:lang w:val="en-US"/>
              </w:rPr>
              <w:t> </w:t>
            </w:r>
            <w:r w:rsidR="0088114E" w:rsidRPr="0088114E">
              <w:rPr>
                <w:color w:val="3A4952" w:themeColor="accent1"/>
                <w:lang w:val="en-US"/>
              </w:rPr>
              <w:t>Blank square</w:t>
            </w:r>
          </w:p>
        </w:tc>
        <w:tc>
          <w:tcPr>
            <w:tcW w:w="2957" w:type="dxa"/>
            <w:gridSpan w:val="2"/>
            <w:hideMark/>
          </w:tcPr>
          <w:p w14:paraId="44C7B3DB" w14:textId="608DFF68" w:rsidR="00DB6C35" w:rsidRPr="009A14C6" w:rsidRDefault="00DB6C35" w:rsidP="00DB6C35">
            <w:pPr>
              <w:jc w:val="center"/>
              <w:cnfStyle w:val="100000000000" w:firstRow="1" w:lastRow="0" w:firstColumn="0" w:lastColumn="0" w:oddVBand="0" w:evenVBand="0" w:oddHBand="0" w:evenHBand="0" w:firstRowFirstColumn="0" w:firstRowLastColumn="0" w:lastRowFirstColumn="0" w:lastRowLastColumn="0"/>
            </w:pPr>
            <w:r w:rsidRPr="009A14C6">
              <w:rPr>
                <w:lang w:val="en-US"/>
              </w:rPr>
              <w:t>Higher Education*</w:t>
            </w:r>
          </w:p>
        </w:tc>
        <w:tc>
          <w:tcPr>
            <w:tcW w:w="2988" w:type="dxa"/>
            <w:gridSpan w:val="2"/>
            <w:hideMark/>
          </w:tcPr>
          <w:p w14:paraId="3C4BAEA7" w14:textId="77777777" w:rsidR="00DB6C35" w:rsidRPr="009A14C6" w:rsidRDefault="00DB6C35" w:rsidP="00DB6C35">
            <w:pPr>
              <w:jc w:val="center"/>
              <w:cnfStyle w:val="100000000000" w:firstRow="1" w:lastRow="0" w:firstColumn="0" w:lastColumn="0" w:oddVBand="0" w:evenVBand="0" w:oddHBand="0" w:evenHBand="0" w:firstRowFirstColumn="0" w:firstRowLastColumn="0" w:lastRowFirstColumn="0" w:lastRowLastColumn="0"/>
            </w:pPr>
            <w:r w:rsidRPr="009A14C6">
              <w:rPr>
                <w:lang w:val="en-US"/>
              </w:rPr>
              <w:t>VET</w:t>
            </w:r>
          </w:p>
        </w:tc>
      </w:tr>
      <w:tr w:rsidR="00DB6C35" w:rsidRPr="00306207" w14:paraId="0823839F" w14:textId="77777777" w:rsidTr="005B1E6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hideMark/>
          </w:tcPr>
          <w:p w14:paraId="1E523E6E" w14:textId="77777777" w:rsidR="00DB6C35" w:rsidRPr="00306207" w:rsidRDefault="00DB6C35" w:rsidP="00DB6C35">
            <w:pPr>
              <w:rPr>
                <w:rFonts w:ascii="Calibri" w:hAnsi="Calibri" w:cs="Calibri"/>
              </w:rPr>
            </w:pPr>
          </w:p>
        </w:tc>
        <w:tc>
          <w:tcPr>
            <w:tcW w:w="1653" w:type="dxa"/>
            <w:hideMark/>
          </w:tcPr>
          <w:p w14:paraId="5431BD74" w14:textId="77777777" w:rsidR="00DB6C35" w:rsidRPr="009A14C6" w:rsidRDefault="00DB6C35" w:rsidP="00DB6C35">
            <w:pPr>
              <w:jc w:val="center"/>
              <w:cnfStyle w:val="100000000000" w:firstRow="1" w:lastRow="0" w:firstColumn="0" w:lastColumn="0" w:oddVBand="0" w:evenVBand="0" w:oddHBand="0" w:evenHBand="0" w:firstRowFirstColumn="0" w:firstRowLastColumn="0" w:lastRowFirstColumn="0" w:lastRowLastColumn="0"/>
            </w:pPr>
            <w:r w:rsidRPr="009A14C6">
              <w:rPr>
                <w:lang w:val="en-US"/>
              </w:rPr>
              <w:t>Metropolitan</w:t>
            </w:r>
          </w:p>
        </w:tc>
        <w:tc>
          <w:tcPr>
            <w:tcW w:w="1304" w:type="dxa"/>
            <w:hideMark/>
          </w:tcPr>
          <w:p w14:paraId="133DED86" w14:textId="77777777" w:rsidR="00DB6C35" w:rsidRPr="009A14C6" w:rsidRDefault="00DB6C35" w:rsidP="00DB6C35">
            <w:pPr>
              <w:jc w:val="center"/>
              <w:cnfStyle w:val="100000000000" w:firstRow="1" w:lastRow="0" w:firstColumn="0" w:lastColumn="0" w:oddVBand="0" w:evenVBand="0" w:oddHBand="0" w:evenHBand="0" w:firstRowFirstColumn="0" w:firstRowLastColumn="0" w:lastRowFirstColumn="0" w:lastRowLastColumn="0"/>
            </w:pPr>
            <w:r w:rsidRPr="009A14C6">
              <w:rPr>
                <w:lang w:val="en-US"/>
              </w:rPr>
              <w:t>RRR</w:t>
            </w:r>
          </w:p>
        </w:tc>
        <w:tc>
          <w:tcPr>
            <w:tcW w:w="1582" w:type="dxa"/>
            <w:hideMark/>
          </w:tcPr>
          <w:p w14:paraId="49CDF41D" w14:textId="77777777" w:rsidR="00DB6C35" w:rsidRPr="009A14C6" w:rsidRDefault="00DB6C35" w:rsidP="00DB6C35">
            <w:pPr>
              <w:jc w:val="center"/>
              <w:cnfStyle w:val="100000000000" w:firstRow="1" w:lastRow="0" w:firstColumn="0" w:lastColumn="0" w:oddVBand="0" w:evenVBand="0" w:oddHBand="0" w:evenHBand="0" w:firstRowFirstColumn="0" w:firstRowLastColumn="0" w:lastRowFirstColumn="0" w:lastRowLastColumn="0"/>
            </w:pPr>
            <w:r w:rsidRPr="009A14C6">
              <w:rPr>
                <w:lang w:val="en-US"/>
              </w:rPr>
              <w:t>Metropolitan</w:t>
            </w:r>
          </w:p>
        </w:tc>
        <w:tc>
          <w:tcPr>
            <w:tcW w:w="1406" w:type="dxa"/>
            <w:hideMark/>
          </w:tcPr>
          <w:p w14:paraId="7D1ACC7B" w14:textId="77777777" w:rsidR="00DB6C35" w:rsidRPr="009A14C6" w:rsidRDefault="00DB6C35" w:rsidP="00DB6C35">
            <w:pPr>
              <w:jc w:val="center"/>
              <w:cnfStyle w:val="100000000000" w:firstRow="1" w:lastRow="0" w:firstColumn="0" w:lastColumn="0" w:oddVBand="0" w:evenVBand="0" w:oddHBand="0" w:evenHBand="0" w:firstRowFirstColumn="0" w:firstRowLastColumn="0" w:lastRowFirstColumn="0" w:lastRowLastColumn="0"/>
            </w:pPr>
            <w:r w:rsidRPr="009A14C6">
              <w:rPr>
                <w:lang w:val="en-US"/>
              </w:rPr>
              <w:t>RRR</w:t>
            </w:r>
          </w:p>
        </w:tc>
      </w:tr>
      <w:tr w:rsidR="00DB6C35" w:rsidRPr="00306207" w14:paraId="5202BF3E"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1" w:type="dxa"/>
            <w:hideMark/>
          </w:tcPr>
          <w:p w14:paraId="557D24D5" w14:textId="385E47DD" w:rsidR="00DB6C35" w:rsidRPr="00306207" w:rsidRDefault="00DB6C35" w:rsidP="00104DBE">
            <w:r w:rsidRPr="00306207">
              <w:rPr>
                <w:lang w:val="en-US"/>
              </w:rPr>
              <w:t xml:space="preserve">Part-time study </w:t>
            </w:r>
          </w:p>
        </w:tc>
        <w:tc>
          <w:tcPr>
            <w:tcW w:w="1653" w:type="dxa"/>
            <w:vAlign w:val="center"/>
            <w:hideMark/>
          </w:tcPr>
          <w:p w14:paraId="3CFAD074" w14:textId="78D5957A" w:rsidR="00DB6C35" w:rsidRPr="00306207" w:rsidRDefault="00104DBE" w:rsidP="003D1CD9">
            <w:pPr>
              <w:jc w:val="center"/>
              <w:cnfStyle w:val="000000100000" w:firstRow="0" w:lastRow="0" w:firstColumn="0" w:lastColumn="0" w:oddVBand="0" w:evenVBand="0" w:oddHBand="1" w:evenHBand="0" w:firstRowFirstColumn="0" w:firstRowLastColumn="0" w:lastRowFirstColumn="0" w:lastRowLastColumn="0"/>
            </w:pPr>
            <w:r>
              <w:rPr>
                <w:lang w:val="en-US"/>
              </w:rPr>
              <w:t>18.8</w:t>
            </w:r>
            <w:r w:rsidR="00DB6C35" w:rsidRPr="00306207">
              <w:rPr>
                <w:lang w:val="en-US"/>
              </w:rPr>
              <w:t>%</w:t>
            </w:r>
          </w:p>
        </w:tc>
        <w:tc>
          <w:tcPr>
            <w:tcW w:w="1304" w:type="dxa"/>
            <w:vAlign w:val="center"/>
            <w:hideMark/>
          </w:tcPr>
          <w:p w14:paraId="7D1BBA25" w14:textId="0B90353E" w:rsidR="00DB6C35" w:rsidRPr="00306207" w:rsidRDefault="00104DBE" w:rsidP="003D1CD9">
            <w:pPr>
              <w:jc w:val="center"/>
              <w:cnfStyle w:val="000000100000" w:firstRow="0" w:lastRow="0" w:firstColumn="0" w:lastColumn="0" w:oddVBand="0" w:evenVBand="0" w:oddHBand="1" w:evenHBand="0" w:firstRowFirstColumn="0" w:firstRowLastColumn="0" w:lastRowFirstColumn="0" w:lastRowLastColumn="0"/>
            </w:pPr>
            <w:r>
              <w:rPr>
                <w:lang w:val="en-US"/>
              </w:rPr>
              <w:t>23.0</w:t>
            </w:r>
            <w:r w:rsidR="00DB6C35" w:rsidRPr="00306207">
              <w:rPr>
                <w:lang w:val="en-US"/>
              </w:rPr>
              <w:t>%</w:t>
            </w:r>
          </w:p>
        </w:tc>
        <w:tc>
          <w:tcPr>
            <w:tcW w:w="1582" w:type="dxa"/>
            <w:vAlign w:val="center"/>
            <w:hideMark/>
          </w:tcPr>
          <w:p w14:paraId="2BC10CA3" w14:textId="77777777" w:rsidR="00DB6C35" w:rsidRPr="00306207" w:rsidRDefault="00DB6C35" w:rsidP="003D1CD9">
            <w:pPr>
              <w:jc w:val="center"/>
              <w:cnfStyle w:val="000000100000" w:firstRow="0" w:lastRow="0" w:firstColumn="0" w:lastColumn="0" w:oddVBand="0" w:evenVBand="0" w:oddHBand="1" w:evenHBand="0" w:firstRowFirstColumn="0" w:firstRowLastColumn="0" w:lastRowFirstColumn="0" w:lastRowLastColumn="0"/>
            </w:pPr>
            <w:r w:rsidRPr="00306207">
              <w:rPr>
                <w:lang w:val="en-US"/>
              </w:rPr>
              <w:t>89.5%</w:t>
            </w:r>
          </w:p>
        </w:tc>
        <w:tc>
          <w:tcPr>
            <w:tcW w:w="1406" w:type="dxa"/>
            <w:vAlign w:val="center"/>
            <w:hideMark/>
          </w:tcPr>
          <w:p w14:paraId="280E91F9" w14:textId="77777777" w:rsidR="00DB6C35" w:rsidRPr="00306207" w:rsidRDefault="00DB6C35" w:rsidP="003D1CD9">
            <w:pPr>
              <w:jc w:val="center"/>
              <w:cnfStyle w:val="000000100000" w:firstRow="0" w:lastRow="0" w:firstColumn="0" w:lastColumn="0" w:oddVBand="0" w:evenVBand="0" w:oddHBand="1" w:evenHBand="0" w:firstRowFirstColumn="0" w:firstRowLastColumn="0" w:lastRowFirstColumn="0" w:lastRowLastColumn="0"/>
            </w:pPr>
            <w:r w:rsidRPr="00306207">
              <w:rPr>
                <w:lang w:val="en-US"/>
              </w:rPr>
              <w:t>91.3%</w:t>
            </w:r>
          </w:p>
        </w:tc>
      </w:tr>
      <w:tr w:rsidR="00DB6C35" w:rsidRPr="00306207" w14:paraId="127EDD17" w14:textId="77777777" w:rsidTr="00263861">
        <w:tc>
          <w:tcPr>
            <w:cnfStyle w:val="001000000000" w:firstRow="0" w:lastRow="0" w:firstColumn="1" w:lastColumn="0" w:oddVBand="0" w:evenVBand="0" w:oddHBand="0" w:evenHBand="0" w:firstRowFirstColumn="0" w:firstRowLastColumn="0" w:lastRowFirstColumn="0" w:lastRowLastColumn="0"/>
            <w:tcW w:w="3061" w:type="dxa"/>
            <w:hideMark/>
          </w:tcPr>
          <w:p w14:paraId="4E6F99CB" w14:textId="77777777" w:rsidR="00DB6C35" w:rsidRPr="00306207" w:rsidRDefault="00DB6C35" w:rsidP="00DB6C35">
            <w:r w:rsidRPr="00306207">
              <w:rPr>
                <w:lang w:val="en-US"/>
              </w:rPr>
              <w:t>Female</w:t>
            </w:r>
          </w:p>
        </w:tc>
        <w:tc>
          <w:tcPr>
            <w:tcW w:w="1653" w:type="dxa"/>
            <w:vAlign w:val="center"/>
            <w:hideMark/>
          </w:tcPr>
          <w:p w14:paraId="2A6BECA5" w14:textId="2C4BB269" w:rsidR="00DB6C35" w:rsidRPr="00306207" w:rsidRDefault="00104DBE" w:rsidP="003D1CD9">
            <w:pPr>
              <w:jc w:val="center"/>
              <w:cnfStyle w:val="000000000000" w:firstRow="0" w:lastRow="0" w:firstColumn="0" w:lastColumn="0" w:oddVBand="0" w:evenVBand="0" w:oddHBand="0" w:evenHBand="0" w:firstRowFirstColumn="0" w:firstRowLastColumn="0" w:lastRowFirstColumn="0" w:lastRowLastColumn="0"/>
            </w:pPr>
            <w:r>
              <w:rPr>
                <w:lang w:val="en-US"/>
              </w:rPr>
              <w:t>57.2</w:t>
            </w:r>
            <w:r w:rsidR="00DB6C35" w:rsidRPr="00306207">
              <w:rPr>
                <w:lang w:val="en-US"/>
              </w:rPr>
              <w:t>%</w:t>
            </w:r>
          </w:p>
        </w:tc>
        <w:tc>
          <w:tcPr>
            <w:tcW w:w="1304" w:type="dxa"/>
            <w:vAlign w:val="center"/>
            <w:hideMark/>
          </w:tcPr>
          <w:p w14:paraId="09623F00" w14:textId="5816EA08" w:rsidR="00DB6C35" w:rsidRPr="00306207" w:rsidRDefault="00104DBE" w:rsidP="003D1CD9">
            <w:pPr>
              <w:jc w:val="center"/>
              <w:cnfStyle w:val="000000000000" w:firstRow="0" w:lastRow="0" w:firstColumn="0" w:lastColumn="0" w:oddVBand="0" w:evenVBand="0" w:oddHBand="0" w:evenHBand="0" w:firstRowFirstColumn="0" w:firstRowLastColumn="0" w:lastRowFirstColumn="0" w:lastRowLastColumn="0"/>
            </w:pPr>
            <w:r>
              <w:rPr>
                <w:lang w:val="en-US"/>
              </w:rPr>
              <w:t>63.6</w:t>
            </w:r>
            <w:r w:rsidR="00DB6C35" w:rsidRPr="00306207">
              <w:rPr>
                <w:lang w:val="en-US"/>
              </w:rPr>
              <w:t>%</w:t>
            </w:r>
          </w:p>
        </w:tc>
        <w:tc>
          <w:tcPr>
            <w:tcW w:w="1582" w:type="dxa"/>
            <w:vAlign w:val="center"/>
            <w:hideMark/>
          </w:tcPr>
          <w:p w14:paraId="19179A4D" w14:textId="77777777" w:rsidR="00DB6C35" w:rsidRPr="00306207" w:rsidRDefault="00DB6C35" w:rsidP="003D1CD9">
            <w:pPr>
              <w:jc w:val="center"/>
              <w:cnfStyle w:val="000000000000" w:firstRow="0" w:lastRow="0" w:firstColumn="0" w:lastColumn="0" w:oddVBand="0" w:evenVBand="0" w:oddHBand="0" w:evenHBand="0" w:firstRowFirstColumn="0" w:firstRowLastColumn="0" w:lastRowFirstColumn="0" w:lastRowLastColumn="0"/>
            </w:pPr>
            <w:r w:rsidRPr="00306207">
              <w:rPr>
                <w:lang w:val="en-US"/>
              </w:rPr>
              <w:t>47.5%</w:t>
            </w:r>
          </w:p>
        </w:tc>
        <w:tc>
          <w:tcPr>
            <w:tcW w:w="1406" w:type="dxa"/>
            <w:vAlign w:val="center"/>
            <w:hideMark/>
          </w:tcPr>
          <w:p w14:paraId="39873166" w14:textId="77777777" w:rsidR="00DB6C35" w:rsidRPr="00306207" w:rsidRDefault="00DB6C35" w:rsidP="003D1CD9">
            <w:pPr>
              <w:jc w:val="center"/>
              <w:cnfStyle w:val="000000000000" w:firstRow="0" w:lastRow="0" w:firstColumn="0" w:lastColumn="0" w:oddVBand="0" w:evenVBand="0" w:oddHBand="0" w:evenHBand="0" w:firstRowFirstColumn="0" w:firstRowLastColumn="0" w:lastRowFirstColumn="0" w:lastRowLastColumn="0"/>
            </w:pPr>
            <w:r w:rsidRPr="00306207">
              <w:rPr>
                <w:lang w:val="en-US"/>
              </w:rPr>
              <w:t>45.4%</w:t>
            </w:r>
          </w:p>
        </w:tc>
      </w:tr>
      <w:tr w:rsidR="00DB6C35" w:rsidRPr="00306207" w14:paraId="0DC31ED8"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1" w:type="dxa"/>
            <w:hideMark/>
          </w:tcPr>
          <w:p w14:paraId="27F47653" w14:textId="77777777" w:rsidR="00DB6C35" w:rsidRPr="00306207" w:rsidRDefault="00DB6C35" w:rsidP="00DB6C35">
            <w:r w:rsidRPr="00306207">
              <w:rPr>
                <w:lang w:val="en-US"/>
              </w:rPr>
              <w:t>25 years and over</w:t>
            </w:r>
          </w:p>
        </w:tc>
        <w:tc>
          <w:tcPr>
            <w:tcW w:w="1653" w:type="dxa"/>
            <w:vAlign w:val="center"/>
            <w:hideMark/>
          </w:tcPr>
          <w:p w14:paraId="686C261E" w14:textId="5299EF96" w:rsidR="00DB6C35" w:rsidRPr="00306207" w:rsidRDefault="00104DBE" w:rsidP="003D1CD9">
            <w:pPr>
              <w:jc w:val="center"/>
              <w:cnfStyle w:val="000000100000" w:firstRow="0" w:lastRow="0" w:firstColumn="0" w:lastColumn="0" w:oddVBand="0" w:evenVBand="0" w:oddHBand="1" w:evenHBand="0" w:firstRowFirstColumn="0" w:firstRowLastColumn="0" w:lastRowFirstColumn="0" w:lastRowLastColumn="0"/>
            </w:pPr>
            <w:r>
              <w:rPr>
                <w:lang w:val="en-US"/>
              </w:rPr>
              <w:t>37.3</w:t>
            </w:r>
            <w:r w:rsidR="00DB6C35" w:rsidRPr="00306207">
              <w:rPr>
                <w:lang w:val="en-US"/>
              </w:rPr>
              <w:t>%</w:t>
            </w:r>
          </w:p>
        </w:tc>
        <w:tc>
          <w:tcPr>
            <w:tcW w:w="1304" w:type="dxa"/>
            <w:vAlign w:val="center"/>
            <w:hideMark/>
          </w:tcPr>
          <w:p w14:paraId="17FF302E" w14:textId="6CEEADA5" w:rsidR="00DB6C35" w:rsidRPr="00306207" w:rsidRDefault="00104DBE" w:rsidP="003D1CD9">
            <w:pPr>
              <w:jc w:val="center"/>
              <w:cnfStyle w:val="000000100000" w:firstRow="0" w:lastRow="0" w:firstColumn="0" w:lastColumn="0" w:oddVBand="0" w:evenVBand="0" w:oddHBand="1" w:evenHBand="0" w:firstRowFirstColumn="0" w:firstRowLastColumn="0" w:lastRowFirstColumn="0" w:lastRowLastColumn="0"/>
            </w:pPr>
            <w:r>
              <w:rPr>
                <w:lang w:val="en-US"/>
              </w:rPr>
              <w:t>42.1</w:t>
            </w:r>
            <w:r w:rsidR="00DB6C35" w:rsidRPr="00306207">
              <w:rPr>
                <w:lang w:val="en-US"/>
              </w:rPr>
              <w:t>%</w:t>
            </w:r>
          </w:p>
        </w:tc>
        <w:tc>
          <w:tcPr>
            <w:tcW w:w="1582" w:type="dxa"/>
            <w:vAlign w:val="center"/>
            <w:hideMark/>
          </w:tcPr>
          <w:p w14:paraId="33E8220A" w14:textId="77777777" w:rsidR="00DB6C35" w:rsidRPr="00306207" w:rsidRDefault="00DB6C35" w:rsidP="003D1CD9">
            <w:pPr>
              <w:jc w:val="center"/>
              <w:cnfStyle w:val="000000100000" w:firstRow="0" w:lastRow="0" w:firstColumn="0" w:lastColumn="0" w:oddVBand="0" w:evenVBand="0" w:oddHBand="1" w:evenHBand="0" w:firstRowFirstColumn="0" w:firstRowLastColumn="0" w:lastRowFirstColumn="0" w:lastRowLastColumn="0"/>
            </w:pPr>
            <w:r w:rsidRPr="00306207">
              <w:rPr>
                <w:lang w:val="en-US"/>
              </w:rPr>
              <w:t>66.2%</w:t>
            </w:r>
          </w:p>
        </w:tc>
        <w:tc>
          <w:tcPr>
            <w:tcW w:w="1406" w:type="dxa"/>
            <w:vAlign w:val="center"/>
            <w:hideMark/>
          </w:tcPr>
          <w:p w14:paraId="6B6E9E7D" w14:textId="77777777" w:rsidR="00DB6C35" w:rsidRPr="00306207" w:rsidRDefault="00DB6C35" w:rsidP="003D1CD9">
            <w:pPr>
              <w:jc w:val="center"/>
              <w:cnfStyle w:val="000000100000" w:firstRow="0" w:lastRow="0" w:firstColumn="0" w:lastColumn="0" w:oddVBand="0" w:evenVBand="0" w:oddHBand="1" w:evenHBand="0" w:firstRowFirstColumn="0" w:firstRowLastColumn="0" w:lastRowFirstColumn="0" w:lastRowLastColumn="0"/>
            </w:pPr>
            <w:r w:rsidRPr="00306207">
              <w:rPr>
                <w:lang w:val="en-US"/>
              </w:rPr>
              <w:t>67.0%</w:t>
            </w:r>
          </w:p>
        </w:tc>
      </w:tr>
      <w:tr w:rsidR="00DB6C35" w:rsidRPr="00306207" w14:paraId="688EAF0F" w14:textId="77777777" w:rsidTr="00263861">
        <w:tc>
          <w:tcPr>
            <w:cnfStyle w:val="001000000000" w:firstRow="0" w:lastRow="0" w:firstColumn="1" w:lastColumn="0" w:oddVBand="0" w:evenVBand="0" w:oddHBand="0" w:evenHBand="0" w:firstRowFirstColumn="0" w:firstRowLastColumn="0" w:lastRowFirstColumn="0" w:lastRowLastColumn="0"/>
            <w:tcW w:w="3061" w:type="dxa"/>
            <w:hideMark/>
          </w:tcPr>
          <w:p w14:paraId="1182FAA5" w14:textId="77777777" w:rsidR="00DB6C35" w:rsidRPr="00306207" w:rsidRDefault="00DB6C35" w:rsidP="00DB6C35">
            <w:r w:rsidRPr="00306207">
              <w:rPr>
                <w:lang w:val="en-US"/>
              </w:rPr>
              <w:t>Online/external/remote study</w:t>
            </w:r>
          </w:p>
        </w:tc>
        <w:tc>
          <w:tcPr>
            <w:tcW w:w="1653" w:type="dxa"/>
            <w:vAlign w:val="center"/>
            <w:hideMark/>
          </w:tcPr>
          <w:p w14:paraId="68D64BEE" w14:textId="7DCDF552" w:rsidR="00DB6C35" w:rsidRPr="00306207" w:rsidRDefault="00104DBE" w:rsidP="003D1CD9">
            <w:pPr>
              <w:jc w:val="center"/>
              <w:cnfStyle w:val="000000000000" w:firstRow="0" w:lastRow="0" w:firstColumn="0" w:lastColumn="0" w:oddVBand="0" w:evenVBand="0" w:oddHBand="0" w:evenHBand="0" w:firstRowFirstColumn="0" w:firstRowLastColumn="0" w:lastRowFirstColumn="0" w:lastRowLastColumn="0"/>
            </w:pPr>
            <w:r>
              <w:rPr>
                <w:lang w:val="en-US"/>
              </w:rPr>
              <w:t>17.7</w:t>
            </w:r>
            <w:r w:rsidR="00DB6C35" w:rsidRPr="00306207">
              <w:rPr>
                <w:lang w:val="en-US"/>
              </w:rPr>
              <w:t>%</w:t>
            </w:r>
          </w:p>
        </w:tc>
        <w:tc>
          <w:tcPr>
            <w:tcW w:w="1304" w:type="dxa"/>
            <w:vAlign w:val="center"/>
            <w:hideMark/>
          </w:tcPr>
          <w:p w14:paraId="002BC7F3" w14:textId="6B23AAB2" w:rsidR="00DB6C35" w:rsidRPr="00306207" w:rsidRDefault="00104DBE" w:rsidP="003D1CD9">
            <w:pPr>
              <w:jc w:val="center"/>
              <w:cnfStyle w:val="000000000000" w:firstRow="0" w:lastRow="0" w:firstColumn="0" w:lastColumn="0" w:oddVBand="0" w:evenVBand="0" w:oddHBand="0" w:evenHBand="0" w:firstRowFirstColumn="0" w:firstRowLastColumn="0" w:lastRowFirstColumn="0" w:lastRowLastColumn="0"/>
            </w:pPr>
            <w:r>
              <w:rPr>
                <w:lang w:val="en-US"/>
              </w:rPr>
              <w:t>32.0</w:t>
            </w:r>
            <w:r w:rsidR="00DB6C35" w:rsidRPr="00306207">
              <w:rPr>
                <w:lang w:val="en-US"/>
              </w:rPr>
              <w:t>%</w:t>
            </w:r>
          </w:p>
        </w:tc>
        <w:tc>
          <w:tcPr>
            <w:tcW w:w="1582" w:type="dxa"/>
            <w:vAlign w:val="center"/>
            <w:hideMark/>
          </w:tcPr>
          <w:p w14:paraId="2AA26AA1" w14:textId="77777777" w:rsidR="00DB6C35" w:rsidRPr="00306207" w:rsidRDefault="00DB6C35" w:rsidP="003D1CD9">
            <w:pPr>
              <w:jc w:val="center"/>
              <w:cnfStyle w:val="000000000000" w:firstRow="0" w:lastRow="0" w:firstColumn="0" w:lastColumn="0" w:oddVBand="0" w:evenVBand="0" w:oddHBand="0" w:evenHBand="0" w:firstRowFirstColumn="0" w:firstRowLastColumn="0" w:lastRowFirstColumn="0" w:lastRowLastColumn="0"/>
            </w:pPr>
            <w:r w:rsidRPr="00306207">
              <w:rPr>
                <w:lang w:val="en-US"/>
              </w:rPr>
              <w:t>15.0%</w:t>
            </w:r>
          </w:p>
        </w:tc>
        <w:tc>
          <w:tcPr>
            <w:tcW w:w="1406" w:type="dxa"/>
            <w:vAlign w:val="center"/>
            <w:hideMark/>
          </w:tcPr>
          <w:p w14:paraId="33E1628E" w14:textId="77777777" w:rsidR="00DB6C35" w:rsidRPr="00306207" w:rsidRDefault="00DB6C35" w:rsidP="003D1CD9">
            <w:pPr>
              <w:jc w:val="center"/>
              <w:cnfStyle w:val="000000000000" w:firstRow="0" w:lastRow="0" w:firstColumn="0" w:lastColumn="0" w:oddVBand="0" w:evenVBand="0" w:oddHBand="0" w:evenHBand="0" w:firstRowFirstColumn="0" w:firstRowLastColumn="0" w:lastRowFirstColumn="0" w:lastRowLastColumn="0"/>
            </w:pPr>
            <w:r w:rsidRPr="00306207">
              <w:rPr>
                <w:lang w:val="en-US"/>
              </w:rPr>
              <w:t>16.0%</w:t>
            </w:r>
          </w:p>
        </w:tc>
      </w:tr>
      <w:tr w:rsidR="00DB6C35" w:rsidRPr="00306207" w14:paraId="47AF4B8C"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1" w:type="dxa"/>
            <w:hideMark/>
          </w:tcPr>
          <w:p w14:paraId="44DECB9C" w14:textId="77777777" w:rsidR="00DB6C35" w:rsidRPr="00306207" w:rsidRDefault="00DB6C35" w:rsidP="00DB6C35">
            <w:r w:rsidRPr="00306207">
              <w:rPr>
                <w:lang w:val="en-US"/>
              </w:rPr>
              <w:t>Field of Education (highest percentage enrolments)</w:t>
            </w:r>
          </w:p>
        </w:tc>
        <w:tc>
          <w:tcPr>
            <w:tcW w:w="1653" w:type="dxa"/>
            <w:vAlign w:val="center"/>
            <w:hideMark/>
          </w:tcPr>
          <w:p w14:paraId="3235EE7F" w14:textId="0C7357D8" w:rsidR="00DB6C35" w:rsidRPr="00306207" w:rsidRDefault="00104DBE" w:rsidP="003D1CD9">
            <w:pPr>
              <w:jc w:val="center"/>
              <w:cnfStyle w:val="000000100000" w:firstRow="0" w:lastRow="0" w:firstColumn="0" w:lastColumn="0" w:oddVBand="0" w:evenVBand="0" w:oddHBand="1" w:evenHBand="0" w:firstRowFirstColumn="0" w:firstRowLastColumn="0" w:lastRowFirstColumn="0" w:lastRowLastColumn="0"/>
            </w:pPr>
            <w:r>
              <w:rPr>
                <w:lang w:val="en-US"/>
              </w:rPr>
              <w:t>Society and c</w:t>
            </w:r>
            <w:r w:rsidR="00DB6C35" w:rsidRPr="00306207">
              <w:rPr>
                <w:lang w:val="en-US"/>
              </w:rPr>
              <w:t>ulture</w:t>
            </w:r>
          </w:p>
          <w:p w14:paraId="5A0B5B45" w14:textId="7296EFC5" w:rsidR="00DB6C35" w:rsidRPr="00306207" w:rsidRDefault="00104DBE" w:rsidP="003D1CD9">
            <w:pPr>
              <w:jc w:val="center"/>
              <w:cnfStyle w:val="000000100000" w:firstRow="0" w:lastRow="0" w:firstColumn="0" w:lastColumn="0" w:oddVBand="0" w:evenVBand="0" w:oddHBand="1" w:evenHBand="0" w:firstRowFirstColumn="0" w:firstRowLastColumn="0" w:lastRowFirstColumn="0" w:lastRowLastColumn="0"/>
            </w:pPr>
            <w:r>
              <w:rPr>
                <w:lang w:val="en-US"/>
              </w:rPr>
              <w:t>(24.7</w:t>
            </w:r>
            <w:r w:rsidR="00DB6C35" w:rsidRPr="00306207">
              <w:rPr>
                <w:lang w:val="en-US"/>
              </w:rPr>
              <w:t>%)</w:t>
            </w:r>
          </w:p>
        </w:tc>
        <w:tc>
          <w:tcPr>
            <w:tcW w:w="1304" w:type="dxa"/>
            <w:vAlign w:val="center"/>
            <w:hideMark/>
          </w:tcPr>
          <w:p w14:paraId="00B95DCE" w14:textId="77777777" w:rsidR="00DB6C35" w:rsidRPr="00306207" w:rsidRDefault="00DB6C35" w:rsidP="003D1CD9">
            <w:pPr>
              <w:jc w:val="center"/>
              <w:cnfStyle w:val="000000100000" w:firstRow="0" w:lastRow="0" w:firstColumn="0" w:lastColumn="0" w:oddVBand="0" w:evenVBand="0" w:oddHBand="1" w:evenHBand="0" w:firstRowFirstColumn="0" w:firstRowLastColumn="0" w:lastRowFirstColumn="0" w:lastRowLastColumn="0"/>
            </w:pPr>
            <w:r w:rsidRPr="00306207">
              <w:rPr>
                <w:lang w:val="en-US"/>
              </w:rPr>
              <w:t>Health</w:t>
            </w:r>
          </w:p>
          <w:p w14:paraId="6250655A" w14:textId="20C47511" w:rsidR="00DB6C35" w:rsidRPr="00306207" w:rsidRDefault="00104DBE" w:rsidP="003D1CD9">
            <w:pPr>
              <w:jc w:val="center"/>
              <w:cnfStyle w:val="000000100000" w:firstRow="0" w:lastRow="0" w:firstColumn="0" w:lastColumn="0" w:oddVBand="0" w:evenVBand="0" w:oddHBand="1" w:evenHBand="0" w:firstRowFirstColumn="0" w:firstRowLastColumn="0" w:lastRowFirstColumn="0" w:lastRowLastColumn="0"/>
            </w:pPr>
            <w:r>
              <w:rPr>
                <w:lang w:val="en-US"/>
              </w:rPr>
              <w:t>(23.5</w:t>
            </w:r>
            <w:r w:rsidR="00DB6C35" w:rsidRPr="00306207">
              <w:rPr>
                <w:lang w:val="en-US"/>
              </w:rPr>
              <w:t>%)</w:t>
            </w:r>
          </w:p>
        </w:tc>
        <w:tc>
          <w:tcPr>
            <w:tcW w:w="1582" w:type="dxa"/>
            <w:vAlign w:val="center"/>
            <w:hideMark/>
          </w:tcPr>
          <w:p w14:paraId="414D0C68" w14:textId="77777777" w:rsidR="00DB6C35" w:rsidRPr="00306207" w:rsidRDefault="00DB6C35" w:rsidP="003D1CD9">
            <w:pPr>
              <w:jc w:val="center"/>
              <w:cnfStyle w:val="000000100000" w:firstRow="0" w:lastRow="0" w:firstColumn="0" w:lastColumn="0" w:oddVBand="0" w:evenVBand="0" w:oddHBand="1" w:evenHBand="0" w:firstRowFirstColumn="0" w:firstRowLastColumn="0" w:lastRowFirstColumn="0" w:lastRowLastColumn="0"/>
            </w:pPr>
            <w:r w:rsidRPr="00306207">
              <w:rPr>
                <w:lang w:val="en-US"/>
              </w:rPr>
              <w:t>Management and commerce (10.6%)</w:t>
            </w:r>
          </w:p>
        </w:tc>
        <w:tc>
          <w:tcPr>
            <w:tcW w:w="1406" w:type="dxa"/>
            <w:vAlign w:val="center"/>
            <w:hideMark/>
          </w:tcPr>
          <w:p w14:paraId="43E1C780" w14:textId="77777777" w:rsidR="00DB6C35" w:rsidRPr="00306207" w:rsidRDefault="00DB6C35" w:rsidP="003D1CD9">
            <w:pPr>
              <w:jc w:val="center"/>
              <w:cnfStyle w:val="000000100000" w:firstRow="0" w:lastRow="0" w:firstColumn="0" w:lastColumn="0" w:oddVBand="0" w:evenVBand="0" w:oddHBand="1" w:evenHBand="0" w:firstRowFirstColumn="0" w:firstRowLastColumn="0" w:lastRowFirstColumn="0" w:lastRowLastColumn="0"/>
            </w:pPr>
            <w:r w:rsidRPr="00306207">
              <w:rPr>
                <w:lang w:val="en-US"/>
              </w:rPr>
              <w:t>Engineering and related technologies (10.4%)</w:t>
            </w:r>
          </w:p>
        </w:tc>
      </w:tr>
    </w:tbl>
    <w:p w14:paraId="232EB6E7" w14:textId="69F24811" w:rsidR="00104DBE" w:rsidRPr="00104DBE" w:rsidRDefault="00104DBE" w:rsidP="00A50297">
      <w:pPr>
        <w:rPr>
          <w:sz w:val="16"/>
          <w:szCs w:val="16"/>
        </w:rPr>
      </w:pPr>
      <w:r w:rsidRPr="00104DBE">
        <w:rPr>
          <w:sz w:val="16"/>
          <w:szCs w:val="16"/>
        </w:rPr>
        <w:t xml:space="preserve">* Undergraduate students </w:t>
      </w:r>
    </w:p>
    <w:p w14:paraId="0EC3B308" w14:textId="4F1A556C" w:rsidR="00104DBE" w:rsidRPr="00104DBE" w:rsidRDefault="00104DBE" w:rsidP="00104DBE">
      <w:pPr>
        <w:rPr>
          <w:sz w:val="16"/>
          <w:szCs w:val="16"/>
        </w:rPr>
      </w:pPr>
      <w:r w:rsidRPr="00104DBE">
        <w:rPr>
          <w:sz w:val="16"/>
          <w:szCs w:val="16"/>
        </w:rPr>
        <w:t xml:space="preserve">Source: </w:t>
      </w:r>
      <w:r w:rsidRPr="00104DBE">
        <w:rPr>
          <w:rFonts w:cs="HelveticaNeue LT 45 Light"/>
          <w:color w:val="000000"/>
          <w:sz w:val="16"/>
          <w:szCs w:val="16"/>
        </w:rPr>
        <w:t>DoE, Higher Education Statistics Collection; NCVER, Total VET Students and Courses - TVA 2017, unpublished data.</w:t>
      </w:r>
    </w:p>
    <w:p w14:paraId="47EF64AA" w14:textId="77777777" w:rsidR="005B1E69" w:rsidRPr="005B1E69" w:rsidRDefault="005B1E69" w:rsidP="005B1E69">
      <w:pPr>
        <w:autoSpaceDE w:val="0"/>
        <w:autoSpaceDN w:val="0"/>
        <w:adjustRightInd w:val="0"/>
        <w:spacing w:after="80" w:line="211" w:lineRule="atLeast"/>
        <w:rPr>
          <w:rFonts w:cs="HelveticaNeue LT 45 Light"/>
          <w:color w:val="000000"/>
        </w:rPr>
      </w:pPr>
      <w:r w:rsidRPr="005B1E69">
        <w:rPr>
          <w:rFonts w:cs="HelveticaNeue LT 45 Light"/>
          <w:color w:val="000000"/>
        </w:rPr>
        <w:t xml:space="preserve">A range of factors contribute to lower attainment and participation rates in RRR areas. In some cases, these reflect individual choices in response to different local employment opportunities. In general, however, students in RRR areas face additional challenges compared with metropolitan students. While many students have the desire and ability to successfully undertake higher-level tertiary study, various factors often deter or prevent them from doing so, including: </w:t>
      </w:r>
    </w:p>
    <w:p w14:paraId="45F5A4AD" w14:textId="77777777" w:rsidR="005B1E69" w:rsidRPr="005B1E69" w:rsidRDefault="005B1E69" w:rsidP="00041655">
      <w:pPr>
        <w:pStyle w:val="ListParagraph"/>
        <w:numPr>
          <w:ilvl w:val="0"/>
          <w:numId w:val="18"/>
        </w:numPr>
        <w:autoSpaceDE w:val="0"/>
        <w:autoSpaceDN w:val="0"/>
        <w:adjustRightInd w:val="0"/>
        <w:spacing w:after="40" w:line="211" w:lineRule="atLeast"/>
        <w:rPr>
          <w:rFonts w:cstheme="minorHAnsi"/>
          <w:color w:val="000000"/>
        </w:rPr>
      </w:pPr>
      <w:r w:rsidRPr="005B1E69">
        <w:rPr>
          <w:rFonts w:cstheme="minorHAnsi"/>
          <w:color w:val="000000"/>
        </w:rPr>
        <w:t xml:space="preserve">there are fewer local study options, which means RRR students often need to relocate at considerable financial and social cost </w:t>
      </w:r>
    </w:p>
    <w:p w14:paraId="7BBB4F4B" w14:textId="77777777" w:rsidR="005B1E69" w:rsidRPr="005B1E69" w:rsidRDefault="005B1E69" w:rsidP="00041655">
      <w:pPr>
        <w:pStyle w:val="ListParagraph"/>
        <w:numPr>
          <w:ilvl w:val="0"/>
          <w:numId w:val="18"/>
        </w:numPr>
        <w:autoSpaceDE w:val="0"/>
        <w:autoSpaceDN w:val="0"/>
        <w:adjustRightInd w:val="0"/>
        <w:spacing w:after="40" w:line="211" w:lineRule="atLeast"/>
        <w:rPr>
          <w:rFonts w:cstheme="minorHAnsi"/>
          <w:color w:val="000000"/>
        </w:rPr>
      </w:pPr>
      <w:r w:rsidRPr="005B1E69">
        <w:rPr>
          <w:rFonts w:cstheme="minorHAnsi"/>
          <w:color w:val="000000"/>
        </w:rPr>
        <w:t xml:space="preserve">this lack of options, in turn, can affect students’ aspirations and choices, sometimes from a very early age </w:t>
      </w:r>
    </w:p>
    <w:p w14:paraId="5BDDF744" w14:textId="77777777" w:rsidR="005B1E69" w:rsidRPr="005B1E69" w:rsidRDefault="005B1E69" w:rsidP="00041655">
      <w:pPr>
        <w:pStyle w:val="ListParagraph"/>
        <w:numPr>
          <w:ilvl w:val="0"/>
          <w:numId w:val="18"/>
        </w:numPr>
        <w:autoSpaceDE w:val="0"/>
        <w:autoSpaceDN w:val="0"/>
        <w:adjustRightInd w:val="0"/>
        <w:spacing w:after="40" w:line="211" w:lineRule="atLeast"/>
        <w:rPr>
          <w:rFonts w:cstheme="minorHAnsi"/>
          <w:color w:val="000000"/>
        </w:rPr>
      </w:pPr>
      <w:r w:rsidRPr="005B1E69">
        <w:rPr>
          <w:rFonts w:cstheme="minorHAnsi"/>
          <w:color w:val="000000"/>
        </w:rPr>
        <w:t xml:space="preserve">there are problems accessing high quality career advice in RRR areas, and </w:t>
      </w:r>
    </w:p>
    <w:p w14:paraId="6D63D1D4" w14:textId="77777777" w:rsidR="005B1E69" w:rsidRPr="005B1E69" w:rsidRDefault="005B1E69" w:rsidP="00041655">
      <w:pPr>
        <w:pStyle w:val="ListParagraph"/>
        <w:numPr>
          <w:ilvl w:val="0"/>
          <w:numId w:val="18"/>
        </w:numPr>
        <w:autoSpaceDE w:val="0"/>
        <w:autoSpaceDN w:val="0"/>
        <w:adjustRightInd w:val="0"/>
        <w:spacing w:after="40" w:line="211" w:lineRule="atLeast"/>
        <w:rPr>
          <w:rFonts w:cstheme="minorHAnsi"/>
          <w:color w:val="000000"/>
        </w:rPr>
      </w:pPr>
      <w:r w:rsidRPr="005B1E69">
        <w:rPr>
          <w:rFonts w:cstheme="minorHAnsi"/>
          <w:color w:val="000000"/>
        </w:rPr>
        <w:t xml:space="preserve">access to reliable, high speed internet is a significant issue, particularly in rural and remote areas. </w:t>
      </w:r>
    </w:p>
    <w:p w14:paraId="40613A65" w14:textId="77777777" w:rsidR="005B1E69" w:rsidRPr="005B1E69" w:rsidRDefault="005B1E69" w:rsidP="005B1E69">
      <w:pPr>
        <w:autoSpaceDE w:val="0"/>
        <w:autoSpaceDN w:val="0"/>
        <w:adjustRightInd w:val="0"/>
        <w:spacing w:before="240" w:after="80" w:line="211" w:lineRule="atLeast"/>
        <w:rPr>
          <w:rFonts w:cs="HelveticaNeue LT 45 Light"/>
          <w:color w:val="000000"/>
        </w:rPr>
      </w:pPr>
      <w:r w:rsidRPr="005B1E69">
        <w:rPr>
          <w:rFonts w:cs="HelveticaNeue LT 45 Light"/>
          <w:color w:val="000000"/>
        </w:rPr>
        <w:t xml:space="preserve">These challenges can be compounded for RRR students from low socioeconomic status (SES) backgrounds, Indigenous students, students from very remote areas and those with a disability. Indigenous students, particularly from remote and very remote communities and where English is their second language, face significant additional challenges and have much poorer educational outcomes. While VET participation rates for Indigenous RRR students are comparable with the broader population, participation rates in higher education by Indigenous RRR students are less than half the participation rate of the broader population (Table 6). </w:t>
      </w:r>
    </w:p>
    <w:p w14:paraId="6D0A1220" w14:textId="77777777" w:rsidR="005B1E69" w:rsidRPr="005B1E69" w:rsidRDefault="005B1E69" w:rsidP="005B1E69">
      <w:pPr>
        <w:autoSpaceDE w:val="0"/>
        <w:autoSpaceDN w:val="0"/>
        <w:adjustRightInd w:val="0"/>
        <w:spacing w:after="80" w:line="211" w:lineRule="atLeast"/>
        <w:rPr>
          <w:rFonts w:cs="HelveticaNeue LT 45 Light"/>
          <w:color w:val="000000"/>
        </w:rPr>
      </w:pPr>
      <w:r w:rsidRPr="005B1E69">
        <w:rPr>
          <w:rFonts w:cs="HelveticaNeue LT 45 Light"/>
          <w:color w:val="000000"/>
        </w:rPr>
        <w:t xml:space="preserve">Compared to their metropolitan peers, RRR students are: </w:t>
      </w:r>
    </w:p>
    <w:p w14:paraId="366642DF" w14:textId="54DD1A82" w:rsidR="005B1E69" w:rsidRPr="005B1E69" w:rsidRDefault="005B1E69" w:rsidP="00041655">
      <w:pPr>
        <w:pStyle w:val="ListParagraph"/>
        <w:numPr>
          <w:ilvl w:val="0"/>
          <w:numId w:val="18"/>
        </w:numPr>
        <w:autoSpaceDE w:val="0"/>
        <w:autoSpaceDN w:val="0"/>
        <w:adjustRightInd w:val="0"/>
        <w:spacing w:after="40" w:line="211" w:lineRule="atLeast"/>
        <w:rPr>
          <w:rFonts w:cstheme="minorHAnsi"/>
          <w:color w:val="000000"/>
        </w:rPr>
      </w:pPr>
      <w:r w:rsidRPr="005B1E69">
        <w:rPr>
          <w:rFonts w:cstheme="minorHAnsi"/>
          <w:b/>
          <w:color w:val="000000"/>
        </w:rPr>
        <w:t>Less likely to complete secondary schooling:</w:t>
      </w:r>
      <w:r w:rsidRPr="005B1E69">
        <w:rPr>
          <w:rFonts w:cstheme="minorHAnsi"/>
          <w:color w:val="000000"/>
        </w:rPr>
        <w:t xml:space="preserve"> 80.3 per cent of students in metropolitan areas complete Year 12 or equivalent by the age of 19, falling to 63.9 per cent in inner regional areas and 40.3 per cent in very remote regions.</w:t>
      </w:r>
      <w:r>
        <w:rPr>
          <w:rStyle w:val="FootnoteReference"/>
          <w:rFonts w:cstheme="minorHAnsi"/>
          <w:color w:val="000000"/>
        </w:rPr>
        <w:footnoteReference w:id="3"/>
      </w:r>
      <w:r w:rsidRPr="005B1E69">
        <w:rPr>
          <w:rFonts w:cstheme="minorHAnsi"/>
          <w:color w:val="000000"/>
        </w:rPr>
        <w:t xml:space="preserve"> </w:t>
      </w:r>
    </w:p>
    <w:p w14:paraId="0C20388F" w14:textId="2A591D27" w:rsidR="005B1E69" w:rsidRPr="005B1E69" w:rsidRDefault="005B1E69" w:rsidP="00041655">
      <w:pPr>
        <w:pStyle w:val="ListParagraph"/>
        <w:numPr>
          <w:ilvl w:val="0"/>
          <w:numId w:val="18"/>
        </w:numPr>
        <w:autoSpaceDE w:val="0"/>
        <w:autoSpaceDN w:val="0"/>
        <w:adjustRightInd w:val="0"/>
        <w:spacing w:after="40" w:line="211" w:lineRule="atLeast"/>
        <w:rPr>
          <w:rFonts w:cstheme="minorHAnsi"/>
          <w:color w:val="000000"/>
        </w:rPr>
      </w:pPr>
      <w:r w:rsidRPr="005B1E69">
        <w:rPr>
          <w:rFonts w:cstheme="minorHAnsi"/>
          <w:b/>
          <w:color w:val="000000"/>
        </w:rPr>
        <w:t>Less likely to apply for higher education:</w:t>
      </w:r>
      <w:r w:rsidRPr="005B1E69">
        <w:rPr>
          <w:rFonts w:cstheme="minorHAnsi"/>
          <w:color w:val="000000"/>
        </w:rPr>
        <w:t xml:space="preserve"> Young people from RRR areas who do complete schooling are far less likely to go onto higher education. Even when controlling for differences in </w:t>
      </w:r>
      <w:r w:rsidRPr="005B1E69">
        <w:rPr>
          <w:rFonts w:cstheme="minorHAnsi"/>
          <w:color w:val="000000"/>
        </w:rPr>
        <w:lastRenderedPageBreak/>
        <w:t>ATAR scores, regional students are less likely to attend university than those from metropolitan areas.</w:t>
      </w:r>
      <w:r>
        <w:rPr>
          <w:rStyle w:val="FootnoteReference"/>
          <w:rFonts w:cstheme="minorHAnsi"/>
          <w:color w:val="000000"/>
        </w:rPr>
        <w:footnoteReference w:id="4"/>
      </w:r>
    </w:p>
    <w:p w14:paraId="4B268DBB" w14:textId="15F2000F" w:rsidR="005B1E69" w:rsidRPr="005B1E69" w:rsidRDefault="005B1E69" w:rsidP="00041655">
      <w:pPr>
        <w:pStyle w:val="ListParagraph"/>
        <w:numPr>
          <w:ilvl w:val="0"/>
          <w:numId w:val="18"/>
        </w:numPr>
        <w:autoSpaceDE w:val="0"/>
        <w:autoSpaceDN w:val="0"/>
        <w:adjustRightInd w:val="0"/>
        <w:spacing w:after="40" w:line="211" w:lineRule="atLeast"/>
        <w:rPr>
          <w:rFonts w:cstheme="minorHAnsi"/>
          <w:color w:val="000000"/>
        </w:rPr>
      </w:pPr>
      <w:r w:rsidRPr="005B1E69">
        <w:rPr>
          <w:rFonts w:cstheme="minorHAnsi"/>
          <w:b/>
          <w:color w:val="000000"/>
        </w:rPr>
        <w:t>Less likely to accept their university offer:</w:t>
      </w:r>
      <w:r w:rsidRPr="005B1E69">
        <w:rPr>
          <w:rFonts w:cstheme="minorHAnsi"/>
          <w:color w:val="000000"/>
        </w:rPr>
        <w:t xml:space="preserve"> While university applicants from regional areas are more likely to receive an offer when they apply, they are less likely to accept it (70 per cent compared to 77 per </w:t>
      </w:r>
      <w:r>
        <w:rPr>
          <w:rFonts w:cstheme="minorHAnsi"/>
          <w:color w:val="000000"/>
        </w:rPr>
        <w:t>cent for metropolitan students).</w:t>
      </w:r>
      <w:r>
        <w:rPr>
          <w:rStyle w:val="FootnoteReference"/>
          <w:rFonts w:cstheme="minorHAnsi"/>
          <w:color w:val="000000"/>
        </w:rPr>
        <w:footnoteReference w:id="5"/>
      </w:r>
      <w:r w:rsidRPr="005B1E69">
        <w:rPr>
          <w:rFonts w:cstheme="minorHAnsi"/>
          <w:color w:val="000000"/>
        </w:rPr>
        <w:t xml:space="preserve"> </w:t>
      </w:r>
    </w:p>
    <w:p w14:paraId="21181939" w14:textId="77777777" w:rsidR="005B1E69" w:rsidRPr="005B1E69" w:rsidRDefault="005B1E69" w:rsidP="00041655">
      <w:pPr>
        <w:pStyle w:val="ListParagraph"/>
        <w:numPr>
          <w:ilvl w:val="0"/>
          <w:numId w:val="18"/>
        </w:numPr>
        <w:autoSpaceDE w:val="0"/>
        <w:autoSpaceDN w:val="0"/>
        <w:adjustRightInd w:val="0"/>
        <w:spacing w:after="40" w:line="211" w:lineRule="atLeast"/>
        <w:rPr>
          <w:rFonts w:cstheme="minorHAnsi"/>
          <w:color w:val="000000"/>
        </w:rPr>
      </w:pPr>
      <w:r w:rsidRPr="005B1E69">
        <w:rPr>
          <w:rFonts w:cstheme="minorHAnsi"/>
          <w:b/>
          <w:color w:val="000000"/>
        </w:rPr>
        <w:t>More likely to defer university offers</w:t>
      </w:r>
      <w:r w:rsidRPr="005B1E69">
        <w:rPr>
          <w:rFonts w:cstheme="minorHAnsi"/>
          <w:color w:val="000000"/>
        </w:rPr>
        <w:t xml:space="preserve">: RRR students are twice as likely to defer their university offer. </w:t>
      </w:r>
    </w:p>
    <w:p w14:paraId="0B6AA9AF" w14:textId="6DCEDA5A" w:rsidR="005B1E69" w:rsidRPr="005B1E69" w:rsidRDefault="005B1E69" w:rsidP="00041655">
      <w:pPr>
        <w:pStyle w:val="ListParagraph"/>
        <w:numPr>
          <w:ilvl w:val="0"/>
          <w:numId w:val="18"/>
        </w:numPr>
        <w:autoSpaceDE w:val="0"/>
        <w:autoSpaceDN w:val="0"/>
        <w:adjustRightInd w:val="0"/>
        <w:spacing w:line="240" w:lineRule="auto"/>
        <w:rPr>
          <w:rFonts w:ascii="HelveticaNeue LT 45 Light" w:hAnsi="HelveticaNeue LT 45 Light" w:cs="HelveticaNeue LT 45 Light"/>
          <w:color w:val="000000"/>
          <w:sz w:val="21"/>
          <w:szCs w:val="21"/>
        </w:rPr>
      </w:pPr>
      <w:r w:rsidRPr="005B1E69">
        <w:rPr>
          <w:rFonts w:cstheme="minorHAnsi"/>
          <w:b/>
          <w:color w:val="000000"/>
        </w:rPr>
        <w:t>Less likely</w:t>
      </w:r>
      <w:r>
        <w:rPr>
          <w:rFonts w:cstheme="minorHAnsi"/>
          <w:b/>
          <w:color w:val="000000"/>
        </w:rPr>
        <w:t xml:space="preserve"> to complete tertiary education:</w:t>
      </w:r>
      <w:r w:rsidRPr="005B1E69">
        <w:rPr>
          <w:rFonts w:cstheme="minorHAnsi"/>
          <w:color w:val="000000"/>
        </w:rPr>
        <w:t xml:space="preserve"> The completion rate for domestic, bachelor-level university students six years after commencing in 2012, is 65.5 per cent for students from metropolitan areas, compared to 61.4 per cent for inner regional, 58.5 per cent for outer regional, and 48.7 per cent for remote areas.</w:t>
      </w:r>
      <w:r>
        <w:rPr>
          <w:rStyle w:val="FootnoteReference"/>
          <w:rFonts w:cstheme="minorHAnsi"/>
          <w:color w:val="000000"/>
        </w:rPr>
        <w:footnoteReference w:id="6"/>
      </w:r>
      <w:r w:rsidRPr="005B1E69">
        <w:rPr>
          <w:rFonts w:cstheme="minorHAnsi"/>
          <w:color w:val="000000"/>
        </w:rPr>
        <w:t xml:space="preserve"> Similarly, projected VET completion rates are lower for students in RRR areas.</w:t>
      </w:r>
      <w:r>
        <w:rPr>
          <w:rStyle w:val="FootnoteReference"/>
          <w:rFonts w:cstheme="minorHAnsi"/>
          <w:color w:val="000000"/>
        </w:rPr>
        <w:footnoteReference w:id="7"/>
      </w:r>
    </w:p>
    <w:p w14:paraId="733120B2" w14:textId="4AC79E08" w:rsidR="00264F32" w:rsidRDefault="005B1E69" w:rsidP="005B1E69">
      <w:r w:rsidRPr="005B1E69">
        <w:rPr>
          <w:rFonts w:cs="HelveticaNeue LT 45 Light"/>
          <w:color w:val="000000"/>
        </w:rPr>
        <w:t>Those RRR students who do complete tertiary study tend to have better employment outcomes than their metropolitan counterparts (see Table 2 and Table 3).</w:t>
      </w:r>
      <w:r w:rsidRPr="005B1E69">
        <w:rPr>
          <w:rFonts w:ascii="HelveticaNeue LT 45 Light" w:hAnsi="HelveticaNeue LT 45 Light" w:cs="HelveticaNeue LT 45 Light"/>
          <w:color w:val="000000"/>
          <w:sz w:val="21"/>
          <w:szCs w:val="21"/>
        </w:rPr>
        <w:t xml:space="preserve"> </w:t>
      </w:r>
    </w:p>
    <w:p w14:paraId="6A861F7A" w14:textId="4179D82D" w:rsidR="00726804" w:rsidRPr="00726804" w:rsidRDefault="00726804" w:rsidP="00726804">
      <w:pPr>
        <w:pStyle w:val="Caption"/>
        <w:keepNext/>
        <w:rPr>
          <w:b/>
        </w:rPr>
      </w:pPr>
      <w:bookmarkStart w:id="36" w:name="_Toc13224969"/>
      <w:r w:rsidRPr="00726804">
        <w:rPr>
          <w:b/>
        </w:rPr>
        <w:t xml:space="preserve">Table </w:t>
      </w:r>
      <w:r w:rsidRPr="00726804">
        <w:rPr>
          <w:b/>
        </w:rPr>
        <w:fldChar w:fldCharType="begin"/>
      </w:r>
      <w:r w:rsidRPr="00726804">
        <w:rPr>
          <w:b/>
        </w:rPr>
        <w:instrText xml:space="preserve"> SEQ Table \* ARABIC </w:instrText>
      </w:r>
      <w:r w:rsidRPr="00726804">
        <w:rPr>
          <w:b/>
        </w:rPr>
        <w:fldChar w:fldCharType="separate"/>
      </w:r>
      <w:r w:rsidR="00731756">
        <w:rPr>
          <w:b/>
          <w:noProof/>
        </w:rPr>
        <w:t>2</w:t>
      </w:r>
      <w:r w:rsidRPr="00726804">
        <w:rPr>
          <w:b/>
        </w:rPr>
        <w:fldChar w:fldCharType="end"/>
      </w:r>
      <w:r w:rsidRPr="00726804">
        <w:rPr>
          <w:b/>
        </w:rPr>
        <w:t>. Employment outcomes of recent graduates (undergraduate level) by remoteness, 2018</w:t>
      </w:r>
      <w:bookmarkEnd w:id="36"/>
    </w:p>
    <w:tbl>
      <w:tblPr>
        <w:tblStyle w:val="GridTable4-Accent1"/>
        <w:tblW w:w="9209" w:type="dxa"/>
        <w:tblLook w:val="04A0" w:firstRow="1" w:lastRow="0" w:firstColumn="1" w:lastColumn="0" w:noHBand="0" w:noVBand="1"/>
      </w:tblPr>
      <w:tblGrid>
        <w:gridCol w:w="2122"/>
        <w:gridCol w:w="2268"/>
        <w:gridCol w:w="2268"/>
        <w:gridCol w:w="2551"/>
      </w:tblGrid>
      <w:tr w:rsidR="00C62014" w:rsidRPr="00306207" w14:paraId="671538E1" w14:textId="77777777" w:rsidTr="00263861">
        <w:trPr>
          <w:cnfStyle w:val="100000000000" w:firstRow="1" w:lastRow="0" w:firstColumn="0" w:lastColumn="0" w:oddVBand="0" w:evenVBand="0" w:oddHBand="0" w:evenHBand="0" w:firstRowFirstColumn="0" w:firstRowLastColumn="0" w:lastRowFirstColumn="0" w:lastRowLastColumn="0"/>
          <w:trHeight w:val="297"/>
          <w:tblHeader/>
        </w:trPr>
        <w:tc>
          <w:tcPr>
            <w:cnfStyle w:val="001000000000" w:firstRow="0" w:lastRow="0" w:firstColumn="1" w:lastColumn="0" w:oddVBand="0" w:evenVBand="0" w:oddHBand="0" w:evenHBand="0" w:firstRowFirstColumn="0" w:firstRowLastColumn="0" w:lastRowFirstColumn="0" w:lastRowLastColumn="0"/>
            <w:tcW w:w="2122" w:type="dxa"/>
          </w:tcPr>
          <w:p w14:paraId="071E3487" w14:textId="77777777" w:rsidR="00C62014" w:rsidRPr="009A14C6" w:rsidRDefault="00C62014" w:rsidP="00C62014">
            <w:pPr>
              <w:contextualSpacing/>
              <w:jc w:val="center"/>
              <w:rPr>
                <w:rFonts w:ascii="Calibri" w:eastAsia="Times New Roman" w:hAnsi="Calibri" w:cs="Calibri"/>
                <w:sz w:val="20"/>
                <w:szCs w:val="20"/>
                <w:lang w:eastAsia="en-AU"/>
              </w:rPr>
            </w:pPr>
            <w:r w:rsidRPr="009A14C6">
              <w:rPr>
                <w:rFonts w:ascii="Calibri" w:eastAsia="Times New Roman" w:hAnsi="Calibri" w:cs="Calibri"/>
                <w:sz w:val="20"/>
                <w:szCs w:val="20"/>
                <w:lang w:eastAsia="en-AU"/>
              </w:rPr>
              <w:t>Regional classification</w:t>
            </w:r>
          </w:p>
        </w:tc>
        <w:tc>
          <w:tcPr>
            <w:tcW w:w="2268" w:type="dxa"/>
          </w:tcPr>
          <w:p w14:paraId="2CD1C9E7" w14:textId="77777777" w:rsidR="00C62014" w:rsidRPr="009A14C6" w:rsidRDefault="00C62014" w:rsidP="00C62014">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9A14C6">
              <w:rPr>
                <w:rFonts w:ascii="Calibri" w:eastAsia="Times New Roman" w:hAnsi="Calibri" w:cs="Calibri"/>
                <w:sz w:val="20"/>
                <w:szCs w:val="20"/>
                <w:lang w:eastAsia="en-AU"/>
              </w:rPr>
              <w:t>Employed full-time (%)</w:t>
            </w:r>
          </w:p>
        </w:tc>
        <w:tc>
          <w:tcPr>
            <w:tcW w:w="2268" w:type="dxa"/>
          </w:tcPr>
          <w:p w14:paraId="073B78DD" w14:textId="77777777" w:rsidR="00C62014" w:rsidRPr="009A14C6" w:rsidRDefault="00C62014" w:rsidP="00C62014">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9A14C6">
              <w:rPr>
                <w:rFonts w:ascii="Calibri" w:eastAsia="Times New Roman" w:hAnsi="Calibri" w:cs="Calibri"/>
                <w:sz w:val="20"/>
                <w:szCs w:val="20"/>
                <w:lang w:eastAsia="en-AU"/>
              </w:rPr>
              <w:t>Overall employed (%)</w:t>
            </w:r>
          </w:p>
        </w:tc>
        <w:tc>
          <w:tcPr>
            <w:tcW w:w="2551" w:type="dxa"/>
          </w:tcPr>
          <w:p w14:paraId="0F9876E0" w14:textId="77777777" w:rsidR="00C62014" w:rsidRPr="009A14C6" w:rsidRDefault="00C62014" w:rsidP="00C62014">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9A14C6">
              <w:rPr>
                <w:rFonts w:ascii="Calibri" w:eastAsia="Times New Roman" w:hAnsi="Calibri" w:cs="Calibri"/>
                <w:sz w:val="20"/>
                <w:szCs w:val="20"/>
                <w:lang w:eastAsia="en-AU"/>
              </w:rPr>
              <w:t>Median full-time salary ($)</w:t>
            </w:r>
          </w:p>
        </w:tc>
      </w:tr>
      <w:tr w:rsidR="00C62014" w:rsidRPr="00306207" w14:paraId="01222753" w14:textId="77777777" w:rsidTr="00263861">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122" w:type="dxa"/>
          </w:tcPr>
          <w:p w14:paraId="3433F0D9" w14:textId="77777777" w:rsidR="00C62014" w:rsidRPr="00306207" w:rsidRDefault="00C62014" w:rsidP="00C62014">
            <w:pPr>
              <w:contextualSpacing/>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Metropolitan</w:t>
            </w:r>
          </w:p>
        </w:tc>
        <w:tc>
          <w:tcPr>
            <w:tcW w:w="2268" w:type="dxa"/>
            <w:vAlign w:val="center"/>
          </w:tcPr>
          <w:p w14:paraId="47AB77E5" w14:textId="77777777" w:rsidR="00C62014" w:rsidRPr="00306207" w:rsidRDefault="00C62014" w:rsidP="00263861">
            <w:pPr>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71.8</w:t>
            </w:r>
          </w:p>
        </w:tc>
        <w:tc>
          <w:tcPr>
            <w:tcW w:w="2268" w:type="dxa"/>
            <w:vAlign w:val="center"/>
          </w:tcPr>
          <w:p w14:paraId="18235579" w14:textId="77777777" w:rsidR="00C62014" w:rsidRPr="00306207" w:rsidRDefault="00C62014" w:rsidP="00263861">
            <w:pPr>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86.5</w:t>
            </w:r>
          </w:p>
        </w:tc>
        <w:tc>
          <w:tcPr>
            <w:tcW w:w="2551" w:type="dxa"/>
            <w:vAlign w:val="center"/>
          </w:tcPr>
          <w:p w14:paraId="1E92CF29" w14:textId="77777777" w:rsidR="00C62014" w:rsidRPr="00306207" w:rsidRDefault="00C62014" w:rsidP="00263861">
            <w:pPr>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60,200</w:t>
            </w:r>
          </w:p>
        </w:tc>
      </w:tr>
      <w:tr w:rsidR="00C62014" w:rsidRPr="00306207" w14:paraId="6005AA35" w14:textId="77777777" w:rsidTr="00263861">
        <w:trPr>
          <w:trHeight w:val="262"/>
        </w:trPr>
        <w:tc>
          <w:tcPr>
            <w:cnfStyle w:val="001000000000" w:firstRow="0" w:lastRow="0" w:firstColumn="1" w:lastColumn="0" w:oddVBand="0" w:evenVBand="0" w:oddHBand="0" w:evenHBand="0" w:firstRowFirstColumn="0" w:firstRowLastColumn="0" w:lastRowFirstColumn="0" w:lastRowLastColumn="0"/>
            <w:tcW w:w="2122" w:type="dxa"/>
          </w:tcPr>
          <w:p w14:paraId="164B3CF3" w14:textId="77777777" w:rsidR="00C62014" w:rsidRPr="00306207" w:rsidRDefault="00C62014" w:rsidP="00C62014">
            <w:pPr>
              <w:contextualSpacing/>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Regional/remote</w:t>
            </w:r>
          </w:p>
        </w:tc>
        <w:tc>
          <w:tcPr>
            <w:tcW w:w="2268" w:type="dxa"/>
            <w:vAlign w:val="center"/>
          </w:tcPr>
          <w:p w14:paraId="5F6DE6AE" w14:textId="77777777" w:rsidR="00C62014" w:rsidRPr="00306207" w:rsidRDefault="00C62014" w:rsidP="00263861">
            <w:pPr>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76.7</w:t>
            </w:r>
          </w:p>
        </w:tc>
        <w:tc>
          <w:tcPr>
            <w:tcW w:w="2268" w:type="dxa"/>
            <w:vAlign w:val="center"/>
          </w:tcPr>
          <w:p w14:paraId="16379398" w14:textId="77777777" w:rsidR="00C62014" w:rsidRPr="00306207" w:rsidRDefault="00C62014" w:rsidP="00263861">
            <w:pPr>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89.3</w:t>
            </w:r>
          </w:p>
        </w:tc>
        <w:tc>
          <w:tcPr>
            <w:tcW w:w="2551" w:type="dxa"/>
            <w:vAlign w:val="center"/>
          </w:tcPr>
          <w:p w14:paraId="6D25D913" w14:textId="77777777" w:rsidR="00C62014" w:rsidRPr="00306207" w:rsidRDefault="00C62014" w:rsidP="00263861">
            <w:pPr>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62,000</w:t>
            </w:r>
          </w:p>
        </w:tc>
      </w:tr>
      <w:tr w:rsidR="00C62014" w:rsidRPr="00306207" w14:paraId="71B2181A" w14:textId="77777777" w:rsidTr="00263861">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122" w:type="dxa"/>
          </w:tcPr>
          <w:p w14:paraId="545F9A48" w14:textId="77777777" w:rsidR="00C62014" w:rsidRPr="00306207" w:rsidRDefault="00C62014" w:rsidP="00C62014">
            <w:pPr>
              <w:contextualSpacing/>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Total</w:t>
            </w:r>
          </w:p>
        </w:tc>
        <w:tc>
          <w:tcPr>
            <w:tcW w:w="2268" w:type="dxa"/>
            <w:vAlign w:val="center"/>
          </w:tcPr>
          <w:p w14:paraId="72AE8CA0" w14:textId="77777777" w:rsidR="00C62014" w:rsidRPr="00306207" w:rsidRDefault="00C62014" w:rsidP="00263861">
            <w:pPr>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72.9</w:t>
            </w:r>
          </w:p>
        </w:tc>
        <w:tc>
          <w:tcPr>
            <w:tcW w:w="2268" w:type="dxa"/>
            <w:vAlign w:val="center"/>
          </w:tcPr>
          <w:p w14:paraId="2D55D97A" w14:textId="77777777" w:rsidR="00C62014" w:rsidRPr="00306207" w:rsidRDefault="00C62014" w:rsidP="00263861">
            <w:pPr>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87.0</w:t>
            </w:r>
          </w:p>
        </w:tc>
        <w:tc>
          <w:tcPr>
            <w:tcW w:w="2551" w:type="dxa"/>
            <w:vAlign w:val="center"/>
          </w:tcPr>
          <w:p w14:paraId="5184E0D4" w14:textId="77777777" w:rsidR="00C62014" w:rsidRPr="00306207" w:rsidRDefault="00C62014" w:rsidP="00263861">
            <w:pPr>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61,000</w:t>
            </w:r>
          </w:p>
        </w:tc>
      </w:tr>
    </w:tbl>
    <w:p w14:paraId="58539DA5" w14:textId="240A7EB8" w:rsidR="00C62014" w:rsidRPr="00726804" w:rsidRDefault="00C62014" w:rsidP="00726804">
      <w:pPr>
        <w:spacing w:after="0" w:line="240" w:lineRule="auto"/>
        <w:rPr>
          <w:rFonts w:ascii="Calibri" w:eastAsia="Times New Roman" w:hAnsi="Calibri" w:cs="Calibri"/>
          <w:sz w:val="16"/>
          <w:szCs w:val="16"/>
          <w:lang w:eastAsia="en-AU"/>
        </w:rPr>
      </w:pPr>
      <w:r w:rsidRPr="00726804">
        <w:rPr>
          <w:rFonts w:ascii="Calibri" w:eastAsia="Times New Roman" w:hAnsi="Calibri" w:cs="Calibri"/>
          <w:sz w:val="16"/>
          <w:szCs w:val="16"/>
          <w:lang w:eastAsia="en-AU"/>
        </w:rPr>
        <w:t xml:space="preserve">Source: </w:t>
      </w:r>
      <w:r w:rsidR="00726804" w:rsidRPr="00726804">
        <w:rPr>
          <w:rFonts w:ascii="Calibri" w:eastAsia="Times New Roman" w:hAnsi="Calibri" w:cs="Calibri"/>
          <w:sz w:val="16"/>
          <w:szCs w:val="16"/>
          <w:lang w:eastAsia="en-AU"/>
        </w:rPr>
        <w:t>Employment outcomes are as a proportion of those available for each employment type. Overall employed includes people employed on a full-time, part-time or casual basis. Location based on student’s first address at the time of enrolment. DoE (2018) Graduate Outcomes Survey.</w:t>
      </w:r>
    </w:p>
    <w:p w14:paraId="1AD3BB0E" w14:textId="55D1A600" w:rsidR="00662960" w:rsidRPr="00306207" w:rsidRDefault="00662960">
      <w:pPr>
        <w:rPr>
          <w:rFonts w:ascii="Calibri" w:eastAsia="Times New Roman" w:hAnsi="Calibri" w:cs="Calibri"/>
          <w:lang w:eastAsia="en-AU"/>
        </w:rPr>
      </w:pPr>
    </w:p>
    <w:p w14:paraId="1085096A" w14:textId="4CAF3476" w:rsidR="00726804" w:rsidRPr="00726804" w:rsidRDefault="00726804" w:rsidP="00726804">
      <w:pPr>
        <w:pStyle w:val="Caption"/>
        <w:keepNext/>
        <w:rPr>
          <w:b/>
        </w:rPr>
      </w:pPr>
      <w:bookmarkStart w:id="37" w:name="_Toc13224970"/>
      <w:r w:rsidRPr="00726804">
        <w:rPr>
          <w:b/>
        </w:rPr>
        <w:t xml:space="preserve">Table </w:t>
      </w:r>
      <w:r w:rsidRPr="00726804">
        <w:rPr>
          <w:b/>
        </w:rPr>
        <w:fldChar w:fldCharType="begin"/>
      </w:r>
      <w:r w:rsidRPr="00726804">
        <w:rPr>
          <w:b/>
        </w:rPr>
        <w:instrText xml:space="preserve"> SEQ Table \* ARABIC </w:instrText>
      </w:r>
      <w:r w:rsidRPr="00726804">
        <w:rPr>
          <w:b/>
        </w:rPr>
        <w:fldChar w:fldCharType="separate"/>
      </w:r>
      <w:r w:rsidR="00731756">
        <w:rPr>
          <w:b/>
          <w:noProof/>
        </w:rPr>
        <w:t>3</w:t>
      </w:r>
      <w:r w:rsidRPr="00726804">
        <w:rPr>
          <w:b/>
        </w:rPr>
        <w:fldChar w:fldCharType="end"/>
      </w:r>
      <w:r w:rsidRPr="00726804">
        <w:rPr>
          <w:b/>
        </w:rPr>
        <w:t>. Employment outcomes for VET (2017 graduates surveyed in 2018)</w:t>
      </w:r>
      <w:bookmarkEnd w:id="37"/>
    </w:p>
    <w:tbl>
      <w:tblPr>
        <w:tblStyle w:val="GridTable4-Accent1"/>
        <w:tblW w:w="9067" w:type="dxa"/>
        <w:tblLook w:val="04A0" w:firstRow="1" w:lastRow="0" w:firstColumn="1" w:lastColumn="0" w:noHBand="0" w:noVBand="1"/>
      </w:tblPr>
      <w:tblGrid>
        <w:gridCol w:w="2689"/>
        <w:gridCol w:w="3260"/>
        <w:gridCol w:w="3118"/>
      </w:tblGrid>
      <w:tr w:rsidR="00C62014" w:rsidRPr="00306207" w14:paraId="4A89F60C" w14:textId="77777777" w:rsidTr="00263861">
        <w:trPr>
          <w:cnfStyle w:val="100000000000" w:firstRow="1" w:lastRow="0" w:firstColumn="0" w:lastColumn="0" w:oddVBand="0" w:evenVBand="0" w:oddHBand="0" w:evenHBand="0" w:firstRowFirstColumn="0" w:firstRowLastColumn="0" w:lastRowFirstColumn="0" w:lastRowLastColumn="0"/>
          <w:trHeight w:val="83"/>
          <w:tblHeader/>
        </w:trPr>
        <w:tc>
          <w:tcPr>
            <w:cnfStyle w:val="001000000000" w:firstRow="0" w:lastRow="0" w:firstColumn="1" w:lastColumn="0" w:oddVBand="0" w:evenVBand="0" w:oddHBand="0" w:evenHBand="0" w:firstRowFirstColumn="0" w:firstRowLastColumn="0" w:lastRowFirstColumn="0" w:lastRowLastColumn="0"/>
            <w:tcW w:w="2689" w:type="dxa"/>
          </w:tcPr>
          <w:p w14:paraId="7C121D6C" w14:textId="77777777" w:rsidR="00C62014" w:rsidRPr="009A14C6" w:rsidRDefault="00C62014" w:rsidP="00C62014">
            <w:pPr>
              <w:rPr>
                <w:rFonts w:ascii="Calibri" w:eastAsia="Times New Roman" w:hAnsi="Calibri" w:cs="Calibri"/>
                <w:sz w:val="20"/>
                <w:szCs w:val="20"/>
                <w:lang w:eastAsia="en-AU"/>
              </w:rPr>
            </w:pPr>
            <w:r w:rsidRPr="009A14C6">
              <w:rPr>
                <w:rFonts w:ascii="Calibri" w:eastAsia="Times New Roman" w:hAnsi="Calibri" w:cs="Calibri"/>
                <w:sz w:val="20"/>
                <w:szCs w:val="20"/>
                <w:lang w:eastAsia="en-AU"/>
              </w:rPr>
              <w:t>Student remoteness region</w:t>
            </w:r>
          </w:p>
        </w:tc>
        <w:tc>
          <w:tcPr>
            <w:tcW w:w="3260" w:type="dxa"/>
          </w:tcPr>
          <w:p w14:paraId="5DFFA70D" w14:textId="77777777" w:rsidR="00C62014" w:rsidRPr="009A14C6" w:rsidRDefault="00C62014" w:rsidP="00C6201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9A14C6">
              <w:rPr>
                <w:rFonts w:ascii="Calibri" w:eastAsia="Times New Roman" w:hAnsi="Calibri" w:cs="Calibri"/>
                <w:sz w:val="20"/>
                <w:szCs w:val="20"/>
                <w:lang w:eastAsia="en-AU"/>
              </w:rPr>
              <w:t>Overall employed (%)</w:t>
            </w:r>
          </w:p>
        </w:tc>
        <w:tc>
          <w:tcPr>
            <w:tcW w:w="3118" w:type="dxa"/>
          </w:tcPr>
          <w:p w14:paraId="33B89070" w14:textId="77777777" w:rsidR="00C62014" w:rsidRPr="009A14C6" w:rsidRDefault="00C62014" w:rsidP="00C6201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9A14C6">
              <w:rPr>
                <w:rFonts w:ascii="Calibri" w:eastAsia="Times New Roman" w:hAnsi="Calibri" w:cs="Calibri"/>
                <w:sz w:val="20"/>
                <w:szCs w:val="20"/>
                <w:lang w:eastAsia="en-AU"/>
              </w:rPr>
              <w:t>Median full-time salary ($)</w:t>
            </w:r>
          </w:p>
        </w:tc>
      </w:tr>
      <w:tr w:rsidR="00C62014" w:rsidRPr="00306207" w14:paraId="6F6F2A41" w14:textId="77777777" w:rsidTr="0026386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689" w:type="dxa"/>
          </w:tcPr>
          <w:p w14:paraId="29B110A3" w14:textId="77777777" w:rsidR="00C62014" w:rsidRPr="00306207" w:rsidRDefault="00C62014" w:rsidP="00C62014">
            <w:pPr>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Major cities</w:t>
            </w:r>
          </w:p>
        </w:tc>
        <w:tc>
          <w:tcPr>
            <w:tcW w:w="3260" w:type="dxa"/>
            <w:vAlign w:val="center"/>
          </w:tcPr>
          <w:p w14:paraId="08D814BC" w14:textId="77777777" w:rsidR="00C62014" w:rsidRPr="00306207" w:rsidRDefault="00C62014"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75.6</w:t>
            </w:r>
          </w:p>
        </w:tc>
        <w:tc>
          <w:tcPr>
            <w:tcW w:w="3118" w:type="dxa"/>
            <w:vAlign w:val="center"/>
          </w:tcPr>
          <w:p w14:paraId="64A029C4" w14:textId="77777777" w:rsidR="00C62014" w:rsidRPr="00306207" w:rsidRDefault="00C62014"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56,400</w:t>
            </w:r>
          </w:p>
        </w:tc>
      </w:tr>
      <w:tr w:rsidR="00C62014" w:rsidRPr="00306207" w14:paraId="44B1CDB7" w14:textId="77777777" w:rsidTr="00263861">
        <w:trPr>
          <w:trHeight w:val="275"/>
        </w:trPr>
        <w:tc>
          <w:tcPr>
            <w:cnfStyle w:val="001000000000" w:firstRow="0" w:lastRow="0" w:firstColumn="1" w:lastColumn="0" w:oddVBand="0" w:evenVBand="0" w:oddHBand="0" w:evenHBand="0" w:firstRowFirstColumn="0" w:firstRowLastColumn="0" w:lastRowFirstColumn="0" w:lastRowLastColumn="0"/>
            <w:tcW w:w="2689" w:type="dxa"/>
          </w:tcPr>
          <w:p w14:paraId="16B4E897" w14:textId="77777777" w:rsidR="00C62014" w:rsidRPr="00306207" w:rsidRDefault="00C62014" w:rsidP="00C62014">
            <w:pPr>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Inner and outer regional</w:t>
            </w:r>
          </w:p>
        </w:tc>
        <w:tc>
          <w:tcPr>
            <w:tcW w:w="3260" w:type="dxa"/>
            <w:vAlign w:val="center"/>
          </w:tcPr>
          <w:p w14:paraId="354BAEC4" w14:textId="77777777" w:rsidR="00C62014" w:rsidRPr="00306207" w:rsidRDefault="00C62014"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80.4</w:t>
            </w:r>
          </w:p>
        </w:tc>
        <w:tc>
          <w:tcPr>
            <w:tcW w:w="3118" w:type="dxa"/>
            <w:vAlign w:val="center"/>
          </w:tcPr>
          <w:p w14:paraId="337C5ABD" w14:textId="77777777" w:rsidR="00C62014" w:rsidRPr="00306207" w:rsidRDefault="00C62014"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55,000</w:t>
            </w:r>
          </w:p>
        </w:tc>
      </w:tr>
      <w:tr w:rsidR="00C62014" w:rsidRPr="00306207" w14:paraId="0956E26B" w14:textId="77777777" w:rsidTr="0026386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689" w:type="dxa"/>
          </w:tcPr>
          <w:p w14:paraId="742DC323" w14:textId="77777777" w:rsidR="00C62014" w:rsidRPr="00306207" w:rsidRDefault="00C62014" w:rsidP="00C62014">
            <w:pPr>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Remote and very remote</w:t>
            </w:r>
          </w:p>
        </w:tc>
        <w:tc>
          <w:tcPr>
            <w:tcW w:w="3260" w:type="dxa"/>
            <w:vAlign w:val="center"/>
          </w:tcPr>
          <w:p w14:paraId="1AA417DE" w14:textId="77777777" w:rsidR="00C62014" w:rsidRPr="00306207" w:rsidRDefault="00C62014"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87.2</w:t>
            </w:r>
          </w:p>
        </w:tc>
        <w:tc>
          <w:tcPr>
            <w:tcW w:w="3118" w:type="dxa"/>
            <w:vAlign w:val="center"/>
          </w:tcPr>
          <w:p w14:paraId="243466C2" w14:textId="77777777" w:rsidR="00C62014" w:rsidRPr="00306207" w:rsidRDefault="00C62014"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n-AU"/>
              </w:rPr>
            </w:pPr>
            <w:r w:rsidRPr="00306207">
              <w:rPr>
                <w:rFonts w:ascii="Calibri" w:eastAsia="Times New Roman" w:hAnsi="Calibri" w:cs="Calibri"/>
                <w:sz w:val="20"/>
                <w:szCs w:val="20"/>
                <w:lang w:eastAsia="en-AU"/>
              </w:rPr>
              <w:t>64,900</w:t>
            </w:r>
          </w:p>
        </w:tc>
      </w:tr>
    </w:tbl>
    <w:p w14:paraId="1845EFE6" w14:textId="019459A2" w:rsidR="00726804" w:rsidRPr="00726804" w:rsidRDefault="00726804" w:rsidP="00726804">
      <w:pPr>
        <w:rPr>
          <w:sz w:val="16"/>
          <w:szCs w:val="16"/>
          <w:lang w:eastAsia="en-AU"/>
        </w:rPr>
      </w:pPr>
      <w:r w:rsidRPr="00726804">
        <w:rPr>
          <w:sz w:val="16"/>
          <w:szCs w:val="16"/>
          <w:lang w:eastAsia="en-AU"/>
        </w:rPr>
        <w:t xml:space="preserve">Source: NCVER, 2017, Australian VET statistics: VET student outcomes 2017. </w:t>
      </w:r>
    </w:p>
    <w:p w14:paraId="333F5E77" w14:textId="77777777" w:rsidR="00726804" w:rsidRDefault="00726804">
      <w:pPr>
        <w:rPr>
          <w:rFonts w:ascii="Calibri" w:eastAsia="Times New Roman" w:hAnsi="Calibri" w:cs="Calibri"/>
          <w:sz w:val="16"/>
          <w:szCs w:val="16"/>
          <w:lang w:eastAsia="en-AU"/>
        </w:rPr>
      </w:pPr>
      <w:r>
        <w:rPr>
          <w:rFonts w:ascii="Calibri" w:eastAsia="Times New Roman" w:hAnsi="Calibri" w:cs="Calibri"/>
          <w:sz w:val="16"/>
          <w:szCs w:val="16"/>
          <w:lang w:eastAsia="en-AU"/>
        </w:rPr>
        <w:br w:type="page"/>
      </w:r>
    </w:p>
    <w:p w14:paraId="6BDBAA77" w14:textId="7560A925" w:rsidR="00FE64D1" w:rsidRPr="00726804" w:rsidRDefault="00FE64D1" w:rsidP="00726804">
      <w:pPr>
        <w:pStyle w:val="Heading2"/>
      </w:pPr>
      <w:bookmarkStart w:id="38" w:name="_Toc13224793"/>
      <w:r w:rsidRPr="00726804">
        <w:lastRenderedPageBreak/>
        <w:t>Imperative for change</w:t>
      </w:r>
      <w:bookmarkEnd w:id="38"/>
      <w:r w:rsidRPr="00726804">
        <w:t xml:space="preserve"> </w:t>
      </w:r>
    </w:p>
    <w:p w14:paraId="4EFD3983" w14:textId="77777777" w:rsidR="00726804" w:rsidRPr="00726804" w:rsidRDefault="00726804" w:rsidP="00FE64D1">
      <w:r w:rsidRPr="00726804">
        <w:t>Given the much lower education participation, attainment and completion rates, there is a strong case for further action to improve educational opportunities and outcomes for RRR Australians. It is recognised that individuals will make different educational and career choices. This may be based on personal preferences or influenced by local options and opportunities. The future, however, is likely to involve significant change and digital disruption and a likely need for the population across the board to have higher</w:t>
      </w:r>
      <w:r w:rsidRPr="00726804">
        <w:noBreakHyphen/>
        <w:t xml:space="preserve">level skills and educational attainment. This will, in turn, provide the best opportunities for individuals, communities and the country to prosper in a changing environment. </w:t>
      </w:r>
    </w:p>
    <w:p w14:paraId="65277B68" w14:textId="2F960F83" w:rsidR="00FE64D1" w:rsidRPr="00306207" w:rsidRDefault="00726804" w:rsidP="00FE64D1">
      <w:r w:rsidRPr="00726804">
        <w:t>Education accrues substantial benefits to the individual, as well as society as a whole</w:t>
      </w:r>
      <w:r w:rsidR="00FE64D1" w:rsidRPr="00306207">
        <w:t>.</w:t>
      </w:r>
      <w:r w:rsidR="00331135" w:rsidRPr="00306207">
        <w:rPr>
          <w:rStyle w:val="FootnoteReference"/>
        </w:rPr>
        <w:footnoteReference w:id="8"/>
      </w:r>
      <w:r w:rsidR="00FE64D1" w:rsidRPr="00306207">
        <w:t xml:space="preserve"> Investment in education </w:t>
      </w:r>
      <w:r w:rsidR="0065108C" w:rsidRPr="00306207">
        <w:t>therefore</w:t>
      </w:r>
      <w:r w:rsidR="00E56A87" w:rsidRPr="00306207">
        <w:t xml:space="preserve"> needs to be prioritised by both</w:t>
      </w:r>
      <w:r w:rsidR="00FE64D1" w:rsidRPr="00306207">
        <w:t xml:space="preserve"> individuals and governments. </w:t>
      </w:r>
      <w:r w:rsidR="00A01A71" w:rsidRPr="00306207">
        <w:t>As well as</w:t>
      </w:r>
      <w:r w:rsidR="00FE64D1" w:rsidRPr="00306207">
        <w:t xml:space="preserve"> productivity gains from human capital accumulation, the education sector contributes nearly $90</w:t>
      </w:r>
      <w:r w:rsidR="00BC68BE" w:rsidRPr="00306207">
        <w:t> </w:t>
      </w:r>
      <w:r w:rsidR="00FE64D1" w:rsidRPr="00306207">
        <w:t>billion to gross domestic product (GDP)</w:t>
      </w:r>
      <w:r w:rsidR="00FE64D1" w:rsidRPr="00306207">
        <w:rPr>
          <w:rStyle w:val="FootnoteReference"/>
        </w:rPr>
        <w:footnoteReference w:id="9"/>
      </w:r>
      <w:r w:rsidR="00FE64D1" w:rsidRPr="00306207">
        <w:t xml:space="preserve"> and employs well over </w:t>
      </w:r>
      <w:r w:rsidR="00A01A71" w:rsidRPr="00306207">
        <w:t>one</w:t>
      </w:r>
      <w:r w:rsidR="00FE64D1" w:rsidRPr="00306207">
        <w:t xml:space="preserve"> million workers</w:t>
      </w:r>
      <w:r w:rsidR="00331135" w:rsidRPr="00306207">
        <w:t>.</w:t>
      </w:r>
      <w:r w:rsidR="00FE64D1" w:rsidRPr="00306207">
        <w:rPr>
          <w:rStyle w:val="FootnoteReference"/>
        </w:rPr>
        <w:footnoteReference w:id="10"/>
      </w:r>
    </w:p>
    <w:p w14:paraId="08AC92CB" w14:textId="77777777" w:rsidR="00FE64D1" w:rsidRPr="00726804" w:rsidRDefault="00FE64D1" w:rsidP="00726804">
      <w:pPr>
        <w:pStyle w:val="Heading3"/>
      </w:pPr>
      <w:r w:rsidRPr="00726804">
        <w:t>Benefits to the individual</w:t>
      </w:r>
    </w:p>
    <w:p w14:paraId="5B03F219" w14:textId="0E8B5172" w:rsidR="00726804" w:rsidRPr="00726804" w:rsidRDefault="00726804" w:rsidP="00726804">
      <w:pPr>
        <w:rPr>
          <w:rFonts w:ascii="Calibri" w:eastAsia="Calibri" w:hAnsi="Calibri" w:cs="Times New Roman"/>
        </w:rPr>
      </w:pPr>
      <w:r w:rsidRPr="00726804">
        <w:rPr>
          <w:rFonts w:ascii="Calibri" w:eastAsia="Calibri" w:hAnsi="Calibri" w:cs="Times New Roman"/>
        </w:rPr>
        <w:t>From a student perspective, higher-levels of tertiary education can bring many benefits. Education provides individuals with greater freedom in choosing a career and exposes them to different ideas, people and opportunities. Individuals with higher-level tertiary qualifications also have better employment and earnings outcomes and are more likely to be active participants in the economy and society</w:t>
      </w:r>
      <w:r w:rsidR="00FE64D1" w:rsidRPr="00306207">
        <w:rPr>
          <w:rFonts w:ascii="Calibri" w:eastAsia="Calibri" w:hAnsi="Calibri" w:cs="Times New Roman"/>
        </w:rPr>
        <w:t>.</w:t>
      </w:r>
      <w:r w:rsidR="00FE64D1" w:rsidRPr="00306207">
        <w:rPr>
          <w:rFonts w:ascii="Calibri" w:eastAsia="Calibri" w:hAnsi="Calibri" w:cs="Times New Roman"/>
          <w:vertAlign w:val="superscript"/>
        </w:rPr>
        <w:footnoteReference w:id="11"/>
      </w:r>
      <w:r w:rsidR="00FE64D1" w:rsidRPr="00306207">
        <w:rPr>
          <w:rFonts w:ascii="Calibri" w:eastAsia="Calibri" w:hAnsi="Calibri" w:cs="Times New Roman"/>
        </w:rPr>
        <w:t xml:space="preserve"> </w:t>
      </w:r>
      <w:r w:rsidRPr="00726804">
        <w:rPr>
          <w:rFonts w:ascii="Calibri" w:eastAsia="Calibri" w:hAnsi="Calibri" w:cs="Times New Roman"/>
        </w:rPr>
        <w:t>In addition, higher levels of education are associated with better life e</w:t>
      </w:r>
      <w:r w:rsidR="00C9712D">
        <w:rPr>
          <w:rFonts w:ascii="Calibri" w:eastAsia="Calibri" w:hAnsi="Calibri" w:cs="Times New Roman"/>
        </w:rPr>
        <w:t>xpectancy and health outcomes.</w:t>
      </w:r>
      <w:r w:rsidR="00C9712D">
        <w:rPr>
          <w:rStyle w:val="FootnoteReference"/>
          <w:rFonts w:ascii="Calibri" w:eastAsia="Calibri" w:hAnsi="Calibri" w:cs="Times New Roman"/>
        </w:rPr>
        <w:footnoteReference w:id="12"/>
      </w:r>
      <w:r w:rsidRPr="00726804">
        <w:rPr>
          <w:rFonts w:ascii="Calibri" w:eastAsia="Calibri" w:hAnsi="Calibri" w:cs="Times New Roman"/>
        </w:rPr>
        <w:t xml:space="preserve"> Moreover, research shows that even those who commence and then drop out of a bachelor degree are better off – both in terms of finances and health outcomes – than those who nev</w:t>
      </w:r>
      <w:r w:rsidR="00C9712D">
        <w:rPr>
          <w:rFonts w:ascii="Calibri" w:eastAsia="Calibri" w:hAnsi="Calibri" w:cs="Times New Roman"/>
        </w:rPr>
        <w:t>er undertake higher education.</w:t>
      </w:r>
      <w:r w:rsidR="00C9712D">
        <w:rPr>
          <w:rStyle w:val="FootnoteReference"/>
          <w:rFonts w:ascii="Calibri" w:eastAsia="Calibri" w:hAnsi="Calibri" w:cs="Times New Roman"/>
        </w:rPr>
        <w:footnoteReference w:id="13"/>
      </w:r>
      <w:r w:rsidRPr="00726804">
        <w:rPr>
          <w:rFonts w:ascii="Calibri" w:eastAsia="Calibri" w:hAnsi="Calibri" w:cs="Times New Roman"/>
        </w:rPr>
        <w:t xml:space="preserve"> It is estimated that the premium on lifetime income for a person with a bachelor degree is up to 50 per cent higher, and for a diploma or advanced diploma is up to 27 per cent higher, compared to those whose highest level qual</w:t>
      </w:r>
      <w:r w:rsidR="00C9712D">
        <w:rPr>
          <w:rFonts w:ascii="Calibri" w:eastAsia="Calibri" w:hAnsi="Calibri" w:cs="Times New Roman"/>
        </w:rPr>
        <w:t>ification is Year 12 or below.</w:t>
      </w:r>
      <w:r w:rsidR="00C9712D">
        <w:rPr>
          <w:rStyle w:val="FootnoteReference"/>
          <w:rFonts w:ascii="Calibri" w:eastAsia="Calibri" w:hAnsi="Calibri" w:cs="Times New Roman"/>
        </w:rPr>
        <w:footnoteReference w:id="14"/>
      </w:r>
      <w:r w:rsidRPr="00726804">
        <w:rPr>
          <w:rFonts w:ascii="Calibri" w:eastAsia="Calibri" w:hAnsi="Calibri" w:cs="Times New Roman"/>
        </w:rPr>
        <w:t xml:space="preserve"> Similarly, the rate of unemployment for those with a Certificate III qualification or above is 3.9 per cent, compared to 7.</w:t>
      </w:r>
      <w:r w:rsidR="00C9712D">
        <w:rPr>
          <w:rFonts w:ascii="Calibri" w:eastAsia="Calibri" w:hAnsi="Calibri" w:cs="Times New Roman"/>
        </w:rPr>
        <w:t>9 per cent for those without.</w:t>
      </w:r>
      <w:r w:rsidR="00C9712D">
        <w:rPr>
          <w:rStyle w:val="FootnoteReference"/>
          <w:rFonts w:ascii="Calibri" w:eastAsia="Calibri" w:hAnsi="Calibri" w:cs="Times New Roman"/>
        </w:rPr>
        <w:footnoteReference w:id="15"/>
      </w:r>
    </w:p>
    <w:p w14:paraId="416BA23E" w14:textId="709E9F70" w:rsidR="00726804" w:rsidRPr="00726804" w:rsidRDefault="00726804" w:rsidP="00726804">
      <w:pPr>
        <w:rPr>
          <w:rFonts w:ascii="Calibri" w:eastAsia="Calibri" w:hAnsi="Calibri" w:cs="Times New Roman"/>
        </w:rPr>
      </w:pPr>
      <w:r w:rsidRPr="00726804">
        <w:rPr>
          <w:rFonts w:ascii="Calibri" w:eastAsia="Calibri" w:hAnsi="Calibri" w:cs="Times New Roman"/>
        </w:rPr>
        <w:t>Increasing attainment of higher-level tertiary qualifications will provide RRR individuals with the knowledge and skills they need to compete for – or create – the jobs of the future, thus enabling them to successfully participate in an increasingly dynamic and complex world. Industry and workplaces are changing, not only in major cities but also in regional economies. Workers will need information and communication technology (ICT) and critical thinking skills in order to successfully engage in the workforce and maximise productivity in most industries, including traditional regional industries, such as agriculture, fishing, forestry and mining. Workers with higher-level skills and qualifications are increasingly in higher demand than those without, with young people without a tertiary education much more likely to experience underemployment, unempl</w:t>
      </w:r>
      <w:r w:rsidR="00C9712D">
        <w:rPr>
          <w:rFonts w:ascii="Calibri" w:eastAsia="Calibri" w:hAnsi="Calibri" w:cs="Times New Roman"/>
        </w:rPr>
        <w:t>oyment or lower rates of pay.</w:t>
      </w:r>
      <w:r w:rsidR="00C9712D">
        <w:rPr>
          <w:rStyle w:val="FootnoteReference"/>
          <w:rFonts w:ascii="Calibri" w:eastAsia="Calibri" w:hAnsi="Calibri" w:cs="Times New Roman"/>
        </w:rPr>
        <w:footnoteReference w:id="16"/>
      </w:r>
    </w:p>
    <w:p w14:paraId="4E453EA6" w14:textId="636D0B2C" w:rsidR="00726804" w:rsidRDefault="00726804" w:rsidP="00726804">
      <w:pPr>
        <w:rPr>
          <w:rFonts w:ascii="Calibri" w:eastAsia="Calibri" w:hAnsi="Calibri" w:cs="Times New Roman"/>
        </w:rPr>
      </w:pPr>
      <w:r w:rsidRPr="00726804">
        <w:rPr>
          <w:rFonts w:ascii="Calibri" w:eastAsia="Calibri" w:hAnsi="Calibri" w:cs="Times New Roman"/>
        </w:rPr>
        <w:lastRenderedPageBreak/>
        <w:t>Furthermore, tertiary education has strong intergenerational benefits. The educational attainment of parents is closely correlated with improved health and educationa</w:t>
      </w:r>
      <w:r w:rsidR="00C9712D">
        <w:rPr>
          <w:rFonts w:ascii="Calibri" w:eastAsia="Calibri" w:hAnsi="Calibri" w:cs="Times New Roman"/>
        </w:rPr>
        <w:t>l outcomes for their children.</w:t>
      </w:r>
      <w:r w:rsidR="00C9712D">
        <w:rPr>
          <w:rStyle w:val="FootnoteReference"/>
          <w:rFonts w:ascii="Calibri" w:eastAsia="Calibri" w:hAnsi="Calibri" w:cs="Times New Roman"/>
        </w:rPr>
        <w:footnoteReference w:id="17"/>
      </w:r>
      <w:r w:rsidRPr="00726804">
        <w:rPr>
          <w:rFonts w:ascii="Calibri" w:eastAsia="Calibri" w:hAnsi="Calibri" w:cs="Times New Roman"/>
        </w:rPr>
        <w:t xml:space="preserve"> Parents’ education also affects their child’s lifetime earnings. A one year increase in parents’ schooling increases their child’s lifetime earnin</w:t>
      </w:r>
      <w:r w:rsidR="00C9712D">
        <w:rPr>
          <w:rFonts w:ascii="Calibri" w:eastAsia="Calibri" w:hAnsi="Calibri" w:cs="Times New Roman"/>
        </w:rPr>
        <w:t>gs by 1.2 per cent on average.</w:t>
      </w:r>
      <w:r w:rsidR="00C9712D">
        <w:rPr>
          <w:rStyle w:val="FootnoteReference"/>
          <w:rFonts w:ascii="Calibri" w:eastAsia="Calibri" w:hAnsi="Calibri" w:cs="Times New Roman"/>
        </w:rPr>
        <w:footnoteReference w:id="18"/>
      </w:r>
      <w:r w:rsidRPr="00726804">
        <w:rPr>
          <w:rFonts w:ascii="Calibri" w:eastAsia="Calibri" w:hAnsi="Calibri" w:cs="Times New Roman"/>
        </w:rPr>
        <w:t xml:space="preserve"> Thus, increasing attainment rates for RRR people now, will not only have a positive effect on the individuals themselves, but will also have a positive flow-on effect for their children into the future. </w:t>
      </w:r>
    </w:p>
    <w:p w14:paraId="2E98F96D" w14:textId="06C4FDB2" w:rsidR="00FE64D1" w:rsidRPr="00306207" w:rsidRDefault="00FE64D1" w:rsidP="00726804">
      <w:pPr>
        <w:pStyle w:val="Heading3"/>
      </w:pPr>
      <w:r w:rsidRPr="00306207">
        <w:t xml:space="preserve">Benefits to communities </w:t>
      </w:r>
      <w:r w:rsidR="00CE6FBE" w:rsidRPr="00306207">
        <w:t>and society</w:t>
      </w:r>
    </w:p>
    <w:p w14:paraId="1C5FD8A2" w14:textId="77777777" w:rsidR="00C9712D" w:rsidRPr="00C9712D" w:rsidRDefault="00C9712D" w:rsidP="00C9712D">
      <w:pPr>
        <w:rPr>
          <w:rFonts w:ascii="Calibri" w:eastAsia="Calibri" w:hAnsi="Calibri" w:cs="Times New Roman"/>
        </w:rPr>
      </w:pPr>
      <w:r w:rsidRPr="00C9712D">
        <w:rPr>
          <w:rFonts w:ascii="Calibri" w:eastAsia="Calibri" w:hAnsi="Calibri" w:cs="Times New Roman"/>
        </w:rPr>
        <w:t xml:space="preserve">Reducing disparity in educational outcomes is also necessary to create opportunities for greater social and economic participation for people living in RRR Australia. Increased educational attainment across RRR communities will lead to increased productivity and further strengthen industries, economies and communities. Enhancing RRR industries and communities will also help to attract more students and professionals to the regions. Families will have greater confidence in relocating to, or remaining in, RRR locations if they know their children will have equal opportunities to undertake tertiary education. This will ensure regions remain vibrant and, in turn, contribute to decentralising the economy and easing pressure on metropolitan areas. </w:t>
      </w:r>
    </w:p>
    <w:p w14:paraId="240676E6" w14:textId="77777777" w:rsidR="00C9712D" w:rsidRPr="00C9712D" w:rsidRDefault="00C9712D" w:rsidP="00C9712D">
      <w:pPr>
        <w:rPr>
          <w:rFonts w:ascii="Calibri" w:eastAsia="Calibri" w:hAnsi="Calibri" w:cs="Times New Roman"/>
        </w:rPr>
      </w:pPr>
      <w:r w:rsidRPr="00C9712D">
        <w:rPr>
          <w:rFonts w:ascii="Calibri" w:eastAsia="Calibri" w:hAnsi="Calibri" w:cs="Times New Roman"/>
        </w:rPr>
        <w:t xml:space="preserve">A skilled population is more agile and thus able to respond more effectively to challenges and opportunities facing their region. These can include unexpected climatic events, such as drought, changes in employment opportunities and the emergence of new industries. An important element of this is enabling individuals to upskill and reskill to equip them with the right tools to adapt to change. Improving educational opportunities in RRR areas will ensure both individuals and communities are able to participate in, and benefit from, these expected developments. </w:t>
      </w:r>
    </w:p>
    <w:p w14:paraId="7FD723C9" w14:textId="77777777" w:rsidR="00C9712D" w:rsidRPr="00C9712D" w:rsidRDefault="00C9712D" w:rsidP="00C9712D">
      <w:pPr>
        <w:rPr>
          <w:rFonts w:ascii="Calibri" w:eastAsia="Calibri" w:hAnsi="Calibri" w:cs="Times New Roman"/>
        </w:rPr>
      </w:pPr>
      <w:r w:rsidRPr="00C9712D">
        <w:rPr>
          <w:rFonts w:ascii="Calibri" w:eastAsia="Calibri" w:hAnsi="Calibri" w:cs="Times New Roman"/>
        </w:rPr>
        <w:t xml:space="preserve">Addressing the disparity in educational outcomes is essential in supporting an equitable and cohesive society. From an equity perspective, students should have the opportunity to access high quality education and training and reach their potential, irrespective of where they live. Supporting equal opportunity in education is likely to have an increasingly important role in maintaining social cohesion by ensuring that wealth and prosperity are spread through all parts of Australia. </w:t>
      </w:r>
    </w:p>
    <w:p w14:paraId="2A944970" w14:textId="0BD830DC" w:rsidR="00FE64D1" w:rsidRPr="00306207" w:rsidRDefault="00FE64D1" w:rsidP="00C9712D">
      <w:pPr>
        <w:pStyle w:val="Heading3"/>
      </w:pPr>
      <w:r w:rsidRPr="00306207">
        <w:t xml:space="preserve">Benefits to the nation </w:t>
      </w:r>
    </w:p>
    <w:p w14:paraId="49BAFC13" w14:textId="77777777" w:rsidR="00C9712D" w:rsidRPr="00C9712D" w:rsidRDefault="00C9712D" w:rsidP="005D3E1C">
      <w:pPr>
        <w:rPr>
          <w:rFonts w:ascii="Calibri" w:eastAsia="Calibri" w:hAnsi="Calibri" w:cs="Times New Roman"/>
        </w:rPr>
      </w:pPr>
      <w:r w:rsidRPr="00C9712D">
        <w:rPr>
          <w:rFonts w:ascii="Calibri" w:eastAsia="Calibri" w:hAnsi="Calibri" w:cs="Times New Roman"/>
        </w:rPr>
        <w:t xml:space="preserve">Improving economic and social circumstances for RRR individuals and communities will see benefits flow through to the nation as a whole. Maximising the talents and skills of all individuals, regardless of where they live, will increase the overall productivity of the nation, as well as foster greater aspiration in young people, leading to a richer nation both socially and economically. </w:t>
      </w:r>
    </w:p>
    <w:p w14:paraId="3899CADB" w14:textId="3EBBE7DE" w:rsidR="00FE64D1" w:rsidRPr="00306207" w:rsidRDefault="00FE64D1" w:rsidP="005D3E1C">
      <w:r w:rsidRPr="00306207">
        <w:t>Currently, rural industries make a significant contribution to the economy</w:t>
      </w:r>
      <w:r w:rsidR="0065108C" w:rsidRPr="00306207">
        <w:t>;</w:t>
      </w:r>
      <w:r w:rsidRPr="00306207">
        <w:t xml:space="preserve"> for example, agriculture was responsible for more than a quarter of total growth in GDP in 2016-17.</w:t>
      </w:r>
      <w:r w:rsidR="009819BB" w:rsidRPr="00306207">
        <w:rPr>
          <w:rStyle w:val="FootnoteReference"/>
        </w:rPr>
        <w:footnoteReference w:id="19"/>
      </w:r>
      <w:r w:rsidRPr="00306207">
        <w:t xml:space="preserve"> </w:t>
      </w:r>
      <w:r w:rsidR="003B70DA" w:rsidRPr="00306207">
        <w:t>I</w:t>
      </w:r>
      <w:r w:rsidRPr="00306207">
        <w:t>ncreasing education</w:t>
      </w:r>
      <w:r w:rsidR="007D6F8B" w:rsidRPr="00306207">
        <w:t>al</w:t>
      </w:r>
      <w:r w:rsidRPr="00306207">
        <w:t xml:space="preserve"> </w:t>
      </w:r>
      <w:r w:rsidR="003B70DA" w:rsidRPr="00306207">
        <w:t xml:space="preserve">attainment in </w:t>
      </w:r>
      <w:r w:rsidR="007D6F8B" w:rsidRPr="00306207">
        <w:t>RRR</w:t>
      </w:r>
      <w:r w:rsidR="003B70DA" w:rsidRPr="00306207">
        <w:t xml:space="preserve"> areas </w:t>
      </w:r>
      <w:r w:rsidRPr="00306207">
        <w:t xml:space="preserve">will provide the highly skilled and flexible workers </w:t>
      </w:r>
      <w:r w:rsidR="007D6F8B" w:rsidRPr="00306207">
        <w:t>necessary</w:t>
      </w:r>
      <w:r w:rsidRPr="00306207">
        <w:t xml:space="preserve"> to increase productivity and </w:t>
      </w:r>
      <w:r w:rsidR="00942ECD" w:rsidRPr="00306207">
        <w:t>maximise the</w:t>
      </w:r>
      <w:r w:rsidRPr="00306207">
        <w:t xml:space="preserve"> economic benefits of regional industry.  </w:t>
      </w:r>
    </w:p>
    <w:p w14:paraId="44B7C469" w14:textId="6C4E76CF" w:rsidR="00C9712D" w:rsidRPr="00C9712D" w:rsidRDefault="00C9712D" w:rsidP="00C9712D">
      <w:r w:rsidRPr="00C9712D">
        <w:t xml:space="preserve">The Gonski Institute undertook modelling which estimated the forgone economic benefit presented by the gap between metropolitan and RRR primary and secondary schooling outcomes, using </w:t>
      </w:r>
      <w:r w:rsidRPr="00C9712D">
        <w:lastRenderedPageBreak/>
        <w:t>NAPLAN results for all year levels tested in 2017. The modelling estimated that the forgone GDP of this gap was around $56 billion in today’s dollars.</w:t>
      </w:r>
      <w:r>
        <w:rPr>
          <w:rStyle w:val="FootnoteReference"/>
        </w:rPr>
        <w:footnoteReference w:id="20"/>
      </w:r>
    </w:p>
    <w:p w14:paraId="3C1AF711" w14:textId="77777777" w:rsidR="00C9712D" w:rsidRPr="00C9712D" w:rsidRDefault="00C9712D" w:rsidP="00C9712D">
      <w:r w:rsidRPr="00C9712D">
        <w:t xml:space="preserve">Based on internal projections of tertiary attainment rates of Certificate IV and above, the Department of Education (DoE) estimates that halving the metropolitan and RRR attainment rate gap by 2030 would increase GDP by around 0.6 per cent by 2050. In today’s dollars, that would be around $11 billion, however, in 2050 terms, when the full projected impact of halving the gap is likely to be felt, this would be an estimated $25 billion. </w:t>
      </w:r>
    </w:p>
    <w:p w14:paraId="2F9502E8" w14:textId="746AB126" w:rsidR="00FE64D1" w:rsidRPr="00306207" w:rsidRDefault="00893596" w:rsidP="00C9712D">
      <w:pPr>
        <w:pStyle w:val="Heading3"/>
      </w:pPr>
      <w:r>
        <w:t>Investing in the future</w:t>
      </w:r>
    </w:p>
    <w:p w14:paraId="12B5354E" w14:textId="77777777" w:rsidR="00C9712D" w:rsidRPr="00C9712D" w:rsidRDefault="00C9712D" w:rsidP="00C9712D">
      <w:r w:rsidRPr="00C9712D">
        <w:t xml:space="preserve">In the modern global economy, international competitiveness is critical to maintaining and improving standards of living for individuals, communities and the nation. Australia’s productivity and outputs must be constantly improving to maintain global competitiveness. Improved education and training outcomes will play a critical part in achieving this. </w:t>
      </w:r>
    </w:p>
    <w:p w14:paraId="4CCAAA6E" w14:textId="77777777" w:rsidR="00C9712D" w:rsidRPr="00C9712D" w:rsidRDefault="00C9712D" w:rsidP="00C9712D">
      <w:r w:rsidRPr="00C9712D">
        <w:t xml:space="preserve">Investing in educational equality for RRR students and communities is nation building in the same way as investing in infrastructure. It strengthens and builds skills in individuals and communities, which, in turn, brings opportunities to build broader economic and social capacity. Constant investment in human capital is required to maximise the value of resources. This is especially true in RRR economies where the production of agricultural and mining commodities plays a key role. </w:t>
      </w:r>
    </w:p>
    <w:p w14:paraId="15F9278A" w14:textId="5BAA6674" w:rsidR="00C9712D" w:rsidRPr="00C9712D" w:rsidRDefault="00C9712D" w:rsidP="00C9712D">
      <w:r w:rsidRPr="00C9712D">
        <w:t>The jobs of the future, impacted by technology, demographic shifts and globalisation, require new skills and more highly skilled individuals. Total employment is projected to increase by 7.1 per cent, over the next five years to May 2023. Employment at skill level 1 (bachelor degree or higher) is expected to increase by 10 per cent, over the same period.</w:t>
      </w:r>
      <w:r>
        <w:rPr>
          <w:rStyle w:val="FootnoteReference"/>
        </w:rPr>
        <w:footnoteReference w:id="21"/>
      </w:r>
      <w:r w:rsidRPr="00C9712D">
        <w:t xml:space="preserve"> Investments to overcome the disparity in educational outcomes between metropolitan and RRR areas will ‘future proof’ Australia and provide the foundation for national success. </w:t>
      </w:r>
    </w:p>
    <w:p w14:paraId="126E89FD" w14:textId="6B01FE2A" w:rsidR="00C9712D" w:rsidRPr="00C9712D" w:rsidRDefault="00C9712D" w:rsidP="00C9712D">
      <w:r w:rsidRPr="00C9712D">
        <w:t>Given the vast disparity in outcomes and size of the population affected, there are great risks in not taking further action. 28.4 per cent of the population lives outside the major cities,</w:t>
      </w:r>
      <w:r>
        <w:rPr>
          <w:rStyle w:val="FootnoteReference"/>
        </w:rPr>
        <w:footnoteReference w:id="22"/>
      </w:r>
      <w:r w:rsidRPr="00C9712D">
        <w:t xml:space="preserve"> with around one million students in RRR schools and approximately 100,000 students starting primary school each year. Currently, however, only a third of RRR students achieve a higher-level VET or university qualification by the time they are 35 years old. </w:t>
      </w:r>
    </w:p>
    <w:p w14:paraId="5A7E2F17" w14:textId="66ADF2C6" w:rsidR="002D3D8E" w:rsidRPr="00C9712D" w:rsidRDefault="00C9712D" w:rsidP="00C9712D">
      <w:r w:rsidRPr="00C9712D">
        <w:t xml:space="preserve">In the highly competitive global economy and labour market of the future, there is a need to support all students to fulfil their potential. There will be significant costs to individuals and the nation as a whole if students are left behind. At the same time, the scale of the problem and the success achieved to date by numerous RRR individuals points to high potential returns, with even modest gains likely to lead to significant long-term individual, social and economic benefits. In 2014, for example, the </w:t>
      </w:r>
      <w:r w:rsidRPr="00D23878">
        <w:rPr>
          <w:i/>
        </w:rPr>
        <w:t>Australian Financial Review</w:t>
      </w:r>
      <w:r w:rsidRPr="00C9712D">
        <w:t xml:space="preserve"> reported that people from regional backgrounds are strongly represented in leadership positions in Australian business, with 38 per cent of Australian Chief Executive Officers of ASX 100 companies growing up in regional Australia.</w:t>
      </w:r>
      <w:r>
        <w:rPr>
          <w:rStyle w:val="FootnoteReference"/>
        </w:rPr>
        <w:footnoteReference w:id="23"/>
      </w:r>
    </w:p>
    <w:p w14:paraId="17158194" w14:textId="77777777" w:rsidR="00913A00" w:rsidRPr="00306207" w:rsidRDefault="00913A00">
      <w:r w:rsidRPr="00306207">
        <w:br w:type="page"/>
      </w:r>
    </w:p>
    <w:p w14:paraId="49BCFA7D" w14:textId="4D8497A8" w:rsidR="00FE64D1" w:rsidRPr="00306207" w:rsidRDefault="003B7FF9" w:rsidP="00A368CF">
      <w:pPr>
        <w:pStyle w:val="Heading1"/>
      </w:pPr>
      <w:bookmarkStart w:id="39" w:name="_Toc13224794"/>
      <w:r w:rsidRPr="00306207">
        <w:lastRenderedPageBreak/>
        <w:t xml:space="preserve">Part </w:t>
      </w:r>
      <w:r w:rsidR="0068026B">
        <w:t>t</w:t>
      </w:r>
      <w:r w:rsidRPr="00306207">
        <w:t>wo: Issues</w:t>
      </w:r>
      <w:r w:rsidR="00767CE9" w:rsidRPr="00306207">
        <w:t xml:space="preserve"> and findings</w:t>
      </w:r>
      <w:bookmarkEnd w:id="39"/>
      <w:r w:rsidR="00767CE9" w:rsidRPr="00306207">
        <w:t xml:space="preserve"> </w:t>
      </w:r>
    </w:p>
    <w:p w14:paraId="5FA18C68" w14:textId="66DB3F68" w:rsidR="00B62774" w:rsidRPr="00306207" w:rsidRDefault="00A9334A" w:rsidP="00B62774">
      <w:r w:rsidRPr="00306207">
        <w:t>T</w:t>
      </w:r>
      <w:r w:rsidR="00B62774" w:rsidRPr="00306207">
        <w:t xml:space="preserve">he Advisory Group have identified </w:t>
      </w:r>
      <w:r w:rsidR="00767CE9" w:rsidRPr="00306207">
        <w:t>a number of key issues and findings</w:t>
      </w:r>
      <w:r w:rsidRPr="00306207">
        <w:t xml:space="preserve"> linked to RRR individuals’ lower levels of tertiary education participation and attainment</w:t>
      </w:r>
      <w:r w:rsidR="003C095F" w:rsidRPr="00306207">
        <w:t>. These issues</w:t>
      </w:r>
      <w:r w:rsidR="00767CE9" w:rsidRPr="00306207">
        <w:t xml:space="preserve"> </w:t>
      </w:r>
      <w:r w:rsidRPr="00306207">
        <w:t>can be grouped into</w:t>
      </w:r>
      <w:r w:rsidR="006D407F" w:rsidRPr="00306207">
        <w:t xml:space="preserve"> the following</w:t>
      </w:r>
      <w:r w:rsidRPr="00306207">
        <w:t xml:space="preserve"> </w:t>
      </w:r>
      <w:r w:rsidR="00B62774" w:rsidRPr="00306207">
        <w:t>five key areas</w:t>
      </w:r>
      <w:r w:rsidR="00DA1494" w:rsidRPr="00306207">
        <w:t>:</w:t>
      </w:r>
      <w:r w:rsidR="00B62774" w:rsidRPr="00306207">
        <w:t xml:space="preserve"> </w:t>
      </w:r>
    </w:p>
    <w:p w14:paraId="53945908" w14:textId="38260051" w:rsidR="00B62774" w:rsidRPr="00306207" w:rsidRDefault="00B62774" w:rsidP="00041655">
      <w:pPr>
        <w:pStyle w:val="ListParagraph"/>
        <w:numPr>
          <w:ilvl w:val="0"/>
          <w:numId w:val="13"/>
        </w:numPr>
        <w:spacing w:line="256" w:lineRule="auto"/>
        <w:rPr>
          <w:rFonts w:cstheme="minorHAnsi"/>
        </w:rPr>
      </w:pPr>
      <w:r w:rsidRPr="00306207">
        <w:rPr>
          <w:rFonts w:cstheme="minorHAnsi"/>
        </w:rPr>
        <w:t>Access, opportunity and choice: There are fewer tertiary education options in RRR communities</w:t>
      </w:r>
      <w:r w:rsidR="00DA1494" w:rsidRPr="00306207">
        <w:rPr>
          <w:rFonts w:cstheme="minorHAnsi"/>
        </w:rPr>
        <w:t>.</w:t>
      </w:r>
    </w:p>
    <w:p w14:paraId="7D286D48" w14:textId="7779B59F" w:rsidR="00B62774" w:rsidRPr="00306207" w:rsidRDefault="00B62774" w:rsidP="00041655">
      <w:pPr>
        <w:pStyle w:val="ListParagraph"/>
        <w:numPr>
          <w:ilvl w:val="0"/>
          <w:numId w:val="13"/>
        </w:numPr>
        <w:spacing w:line="256" w:lineRule="auto"/>
        <w:rPr>
          <w:rFonts w:cstheme="minorHAnsi"/>
        </w:rPr>
      </w:pPr>
      <w:r w:rsidRPr="00306207">
        <w:rPr>
          <w:rFonts w:cstheme="minorHAnsi"/>
        </w:rPr>
        <w:t>Student support: There is insufficient support for RRR individuals who want to participate in tertiary education</w:t>
      </w:r>
      <w:r w:rsidR="00DA1494" w:rsidRPr="00306207">
        <w:rPr>
          <w:rFonts w:cstheme="minorHAnsi"/>
        </w:rPr>
        <w:t>.</w:t>
      </w:r>
      <w:r w:rsidRPr="00306207">
        <w:rPr>
          <w:rFonts w:cstheme="minorHAnsi"/>
        </w:rPr>
        <w:t xml:space="preserve">  </w:t>
      </w:r>
    </w:p>
    <w:p w14:paraId="7356B3E7" w14:textId="2D9C6935" w:rsidR="0093279A" w:rsidRPr="00CC375D" w:rsidRDefault="006D407F" w:rsidP="00041655">
      <w:pPr>
        <w:pStyle w:val="ListParagraph"/>
        <w:numPr>
          <w:ilvl w:val="0"/>
          <w:numId w:val="13"/>
        </w:numPr>
        <w:spacing w:line="256" w:lineRule="auto"/>
        <w:rPr>
          <w:rFonts w:cstheme="minorHAnsi"/>
        </w:rPr>
      </w:pPr>
      <w:r w:rsidRPr="00306207">
        <w:rPr>
          <w:rFonts w:cstheme="minorHAnsi"/>
        </w:rPr>
        <w:t>Aspiration, career advice and s</w:t>
      </w:r>
      <w:r w:rsidR="00B62774" w:rsidRPr="00306207">
        <w:rPr>
          <w:rFonts w:cstheme="minorHAnsi"/>
        </w:rPr>
        <w:t xml:space="preserve">chooling: </w:t>
      </w:r>
      <w:r w:rsidR="00EC52BD">
        <w:t>The aspirations of</w:t>
      </w:r>
      <w:r w:rsidR="001219EF">
        <w:t xml:space="preserve"> RRR</w:t>
      </w:r>
      <w:r w:rsidR="00EC52BD">
        <w:t xml:space="preserve"> individuals are hampered by </w:t>
      </w:r>
      <w:r w:rsidR="00EE7A82">
        <w:t xml:space="preserve">additional challenges </w:t>
      </w:r>
      <w:r w:rsidR="00EC52BD">
        <w:t xml:space="preserve">and they are less likely to be prepared for tertiary education. </w:t>
      </w:r>
    </w:p>
    <w:p w14:paraId="69900200" w14:textId="3E69391C" w:rsidR="00B62774" w:rsidRPr="00306207" w:rsidRDefault="00B62774" w:rsidP="00041655">
      <w:pPr>
        <w:pStyle w:val="ListParagraph"/>
        <w:numPr>
          <w:ilvl w:val="0"/>
          <w:numId w:val="13"/>
        </w:numPr>
        <w:spacing w:line="256" w:lineRule="auto"/>
        <w:rPr>
          <w:rFonts w:cstheme="minorHAnsi"/>
        </w:rPr>
      </w:pPr>
      <w:r w:rsidRPr="00306207">
        <w:rPr>
          <w:rFonts w:cstheme="minorHAnsi"/>
        </w:rPr>
        <w:t xml:space="preserve">Equity groups: </w:t>
      </w:r>
      <w:r w:rsidR="00736C96" w:rsidRPr="00306207">
        <w:rPr>
          <w:rFonts w:cstheme="minorHAnsi"/>
        </w:rPr>
        <w:t>There is insufficient targeted support for u</w:t>
      </w:r>
      <w:r w:rsidRPr="00306207">
        <w:rPr>
          <w:rFonts w:cstheme="minorHAnsi"/>
        </w:rPr>
        <w:t xml:space="preserve">nderrepresented groups </w:t>
      </w:r>
      <w:r w:rsidR="00736C96" w:rsidRPr="00306207">
        <w:rPr>
          <w:rFonts w:cstheme="minorHAnsi"/>
        </w:rPr>
        <w:t xml:space="preserve">who </w:t>
      </w:r>
      <w:r w:rsidRPr="00306207">
        <w:rPr>
          <w:rFonts w:cstheme="minorHAnsi"/>
        </w:rPr>
        <w:t>experience multiple, compounding challenges</w:t>
      </w:r>
      <w:r w:rsidR="00736C96" w:rsidRPr="00306207">
        <w:rPr>
          <w:rFonts w:cstheme="minorHAnsi"/>
        </w:rPr>
        <w:t xml:space="preserve">, </w:t>
      </w:r>
      <w:r w:rsidRPr="00306207">
        <w:rPr>
          <w:rFonts w:cstheme="minorHAnsi"/>
        </w:rPr>
        <w:t>influenc</w:t>
      </w:r>
      <w:r w:rsidR="00736C96" w:rsidRPr="00306207">
        <w:rPr>
          <w:rFonts w:cstheme="minorHAnsi"/>
        </w:rPr>
        <w:t>ing</w:t>
      </w:r>
      <w:r w:rsidRPr="00306207">
        <w:rPr>
          <w:rFonts w:cstheme="minorHAnsi"/>
        </w:rPr>
        <w:t xml:space="preserve"> their tertiary education aspirations, access and retention</w:t>
      </w:r>
      <w:r w:rsidR="00DA1494" w:rsidRPr="00306207">
        <w:rPr>
          <w:rFonts w:cstheme="minorHAnsi"/>
        </w:rPr>
        <w:t>.</w:t>
      </w:r>
    </w:p>
    <w:p w14:paraId="54A99B8E" w14:textId="10798258" w:rsidR="00B62774" w:rsidRPr="00306207" w:rsidRDefault="00B62774" w:rsidP="00041655">
      <w:pPr>
        <w:pStyle w:val="ListParagraph"/>
        <w:numPr>
          <w:ilvl w:val="0"/>
          <w:numId w:val="13"/>
        </w:numPr>
        <w:spacing w:line="256" w:lineRule="auto"/>
        <w:rPr>
          <w:rFonts w:cstheme="minorHAnsi"/>
        </w:rPr>
      </w:pPr>
      <w:r w:rsidRPr="00306207">
        <w:rPr>
          <w:rFonts w:cstheme="minorHAnsi"/>
        </w:rPr>
        <w:t>Regional development</w:t>
      </w:r>
      <w:r w:rsidR="00DA1494" w:rsidRPr="00306207">
        <w:rPr>
          <w:rFonts w:cstheme="minorHAnsi"/>
        </w:rPr>
        <w:t xml:space="preserve"> and nation building</w:t>
      </w:r>
      <w:r w:rsidRPr="00306207">
        <w:rPr>
          <w:rFonts w:cstheme="minorHAnsi"/>
        </w:rPr>
        <w:t>:</w:t>
      </w:r>
      <w:r w:rsidR="00DA1494" w:rsidRPr="00306207">
        <w:rPr>
          <w:rFonts w:cstheme="minorHAnsi"/>
        </w:rPr>
        <w:t xml:space="preserve"> While s</w:t>
      </w:r>
      <w:r w:rsidRPr="00306207">
        <w:rPr>
          <w:rFonts w:cstheme="minorHAnsi"/>
        </w:rPr>
        <w:t xml:space="preserve">trong and vibrant regional communities support RRR individuals </w:t>
      </w:r>
      <w:r w:rsidR="00DA1494" w:rsidRPr="00306207">
        <w:rPr>
          <w:rFonts w:cstheme="minorHAnsi"/>
        </w:rPr>
        <w:t>and</w:t>
      </w:r>
      <w:r w:rsidRPr="00306207">
        <w:rPr>
          <w:rFonts w:cstheme="minorHAnsi"/>
        </w:rPr>
        <w:t xml:space="preserve"> provid</w:t>
      </w:r>
      <w:r w:rsidR="00DA1494" w:rsidRPr="00306207">
        <w:rPr>
          <w:rFonts w:cstheme="minorHAnsi"/>
        </w:rPr>
        <w:t>e</w:t>
      </w:r>
      <w:r w:rsidRPr="00306207">
        <w:rPr>
          <w:rFonts w:cstheme="minorHAnsi"/>
        </w:rPr>
        <w:t xml:space="preserve"> significant benefits to the nation</w:t>
      </w:r>
      <w:r w:rsidR="00DA1494" w:rsidRPr="00306207">
        <w:rPr>
          <w:rFonts w:cstheme="minorHAnsi"/>
        </w:rPr>
        <w:t>, the</w:t>
      </w:r>
      <w:r w:rsidR="00572A20">
        <w:rPr>
          <w:rFonts w:cstheme="minorHAnsi"/>
        </w:rPr>
        <w:t>ir</w:t>
      </w:r>
      <w:r w:rsidR="00DA1494" w:rsidRPr="00306207">
        <w:rPr>
          <w:rFonts w:cstheme="minorHAnsi"/>
        </w:rPr>
        <w:t xml:space="preserve"> contribution is </w:t>
      </w:r>
      <w:r w:rsidR="00572A20">
        <w:rPr>
          <w:rFonts w:cstheme="minorHAnsi"/>
        </w:rPr>
        <w:t xml:space="preserve">not </w:t>
      </w:r>
      <w:r w:rsidR="00DA1494" w:rsidRPr="00306207">
        <w:rPr>
          <w:rFonts w:cstheme="minorHAnsi"/>
        </w:rPr>
        <w:t>currently being maximised.</w:t>
      </w:r>
      <w:r w:rsidRPr="00306207">
        <w:rPr>
          <w:rFonts w:cstheme="minorHAnsi"/>
        </w:rPr>
        <w:t xml:space="preserve"> </w:t>
      </w:r>
    </w:p>
    <w:p w14:paraId="09C18376" w14:textId="2182F42E" w:rsidR="00B62774" w:rsidRPr="00306207" w:rsidRDefault="00B62774" w:rsidP="00B62774">
      <w:r w:rsidRPr="00306207">
        <w:t>These priority areas offer both challenges and opportunities in terms of policy reform.</w:t>
      </w:r>
    </w:p>
    <w:p w14:paraId="6226FA08" w14:textId="07D5586B" w:rsidR="006B5798" w:rsidRPr="00306207" w:rsidRDefault="00183D07" w:rsidP="00726804">
      <w:pPr>
        <w:pStyle w:val="Heading2"/>
      </w:pPr>
      <w:bookmarkStart w:id="40" w:name="_Toc13224795"/>
      <w:r w:rsidRPr="00183D07">
        <w:t>1.</w:t>
      </w:r>
      <w:r>
        <w:t xml:space="preserve"> </w:t>
      </w:r>
      <w:r w:rsidR="00D14BB0" w:rsidRPr="00306207">
        <w:t>Access, opportunity and choice</w:t>
      </w:r>
      <w:r w:rsidR="003C5E6C" w:rsidRPr="00306207">
        <w:t>: There are fewer tertiary education options in RRR communities</w:t>
      </w:r>
      <w:bookmarkEnd w:id="40"/>
      <w:r w:rsidR="00D14BB0" w:rsidRPr="00306207">
        <w:t xml:space="preserve"> </w:t>
      </w:r>
    </w:p>
    <w:p w14:paraId="05B99CF6" w14:textId="1D2572E5" w:rsidR="009163AD" w:rsidRDefault="009163AD" w:rsidP="009163AD">
      <w:pPr>
        <w:rPr>
          <w:rFonts w:ascii="Calibri" w:eastAsia="Times New Roman" w:hAnsi="Calibri" w:cs="Calibri"/>
        </w:rPr>
      </w:pPr>
      <w:r w:rsidRPr="009163AD">
        <w:rPr>
          <w:rFonts w:ascii="Calibri" w:eastAsia="Times New Roman" w:hAnsi="Calibri" w:cs="Calibri"/>
        </w:rPr>
        <w:t xml:space="preserve">RRR students have less access to tertiary education options in their local community.   RRR areas are often “thin markets” for education provision, </w:t>
      </w:r>
      <w:r>
        <w:rPr>
          <w:rFonts w:ascii="Calibri" w:eastAsia="Times New Roman" w:hAnsi="Calibri" w:cs="Calibri"/>
        </w:rPr>
        <w:t xml:space="preserve">particularly in outer regional </w:t>
      </w:r>
      <w:r w:rsidRPr="009163AD">
        <w:rPr>
          <w:rFonts w:ascii="Calibri" w:eastAsia="Times New Roman" w:hAnsi="Calibri" w:cs="Calibri"/>
        </w:rPr>
        <w:t>and remote areas where a low population density can make it unsustainable for providers to operate or provide a large suite of academic programs. Stakeholders have consistently highlighted that the issue of “thin markets” has a significant impact on levels of educational participation and attainment.</w:t>
      </w:r>
    </w:p>
    <w:p w14:paraId="42E0DC04" w14:textId="289AAFEE" w:rsidR="006B2068" w:rsidRPr="00306207" w:rsidRDefault="009163AD">
      <w:pPr>
        <w:rPr>
          <w:vertAlign w:val="superscript"/>
        </w:rPr>
      </w:pPr>
      <w:r w:rsidRPr="009163AD">
        <w:t>Differences in tertiary participation and attainment levels in RRR areas can be partly attributed to individual choices made in response to different local employment opportunities. While there has been a general expansion in servic</w:t>
      </w:r>
      <w:r>
        <w:t>e industries across Australia,</w:t>
      </w:r>
      <w:r>
        <w:rPr>
          <w:rStyle w:val="FootnoteReference"/>
        </w:rPr>
        <w:footnoteReference w:id="24"/>
      </w:r>
      <w:r w:rsidRPr="009163AD">
        <w:t xml:space="preserve"> there continue to be differences in labour market needs between metropolitan and RRR areas. As indicated in Figure 3, in RRR areas, especially in more remote areas, technical and trades jobs account for a higher proportion of the labour market than in cities, while the reverse is the case for professi</w:t>
      </w:r>
      <w:r>
        <w:t>onal and managerial positions.</w:t>
      </w:r>
      <w:r>
        <w:rPr>
          <w:rStyle w:val="FootnoteReference"/>
        </w:rPr>
        <w:footnoteReference w:id="25"/>
      </w:r>
      <w:r w:rsidR="006B2068" w:rsidRPr="00306207">
        <w:rPr>
          <w:vertAlign w:val="superscript"/>
        </w:rPr>
        <w:br w:type="page"/>
      </w:r>
    </w:p>
    <w:p w14:paraId="78E3A195" w14:textId="708DECC1" w:rsidR="0088114E" w:rsidRPr="0088114E" w:rsidRDefault="0088114E" w:rsidP="0088114E">
      <w:pPr>
        <w:pStyle w:val="Caption"/>
        <w:keepNext/>
        <w:rPr>
          <w:b/>
        </w:rPr>
      </w:pPr>
      <w:bookmarkStart w:id="41" w:name="_Toc13225134"/>
      <w:r w:rsidRPr="0088114E">
        <w:rPr>
          <w:b/>
        </w:rPr>
        <w:lastRenderedPageBreak/>
        <w:t xml:space="preserve">Figure </w:t>
      </w:r>
      <w:r w:rsidRPr="0088114E">
        <w:rPr>
          <w:b/>
        </w:rPr>
        <w:fldChar w:fldCharType="begin"/>
      </w:r>
      <w:r w:rsidRPr="0088114E">
        <w:rPr>
          <w:b/>
        </w:rPr>
        <w:instrText xml:space="preserve"> SEQ Figure \* ARABIC </w:instrText>
      </w:r>
      <w:r w:rsidRPr="0088114E">
        <w:rPr>
          <w:b/>
        </w:rPr>
        <w:fldChar w:fldCharType="separate"/>
      </w:r>
      <w:r w:rsidR="00D85656">
        <w:rPr>
          <w:b/>
          <w:noProof/>
        </w:rPr>
        <w:t>3</w:t>
      </w:r>
      <w:r w:rsidRPr="0088114E">
        <w:rPr>
          <w:b/>
        </w:rPr>
        <w:fldChar w:fldCharType="end"/>
      </w:r>
      <w:r w:rsidRPr="0088114E">
        <w:rPr>
          <w:b/>
        </w:rPr>
        <w:t>. Proportion of jobs for 25-34 year olds by remoteness, 2016</w:t>
      </w:r>
      <w:bookmarkEnd w:id="41"/>
    </w:p>
    <w:p w14:paraId="7898CECF" w14:textId="1CCFCA3B" w:rsidR="0088114E" w:rsidRDefault="000652D9" w:rsidP="009163AD">
      <w:pPr>
        <w:rPr>
          <w:rFonts w:ascii="Calibri" w:eastAsia="Times New Roman" w:hAnsi="Calibri" w:cs="Calibri"/>
        </w:rPr>
      </w:pPr>
      <w:r>
        <w:rPr>
          <w:rFonts w:ascii="Calibri" w:eastAsia="Times New Roman" w:hAnsi="Calibri" w:cs="Calibri"/>
        </w:rPr>
        <w:pict w14:anchorId="0E1F3E50">
          <v:shape id="_x0000_i1025" type="#_x0000_t75" alt="Figure 3 is a stacked bar chart that shows there is a higher proportion of technical jobs and a lower proportion of professional and managerial jobs in RRR areas compared to major cities. " style="width:439.5pt;height:123.25pt">
            <v:imagedata r:id="rId21" o:title="ED19-0084 - HE - Regional Taskforce Final Report_Figure 3"/>
          </v:shape>
        </w:pict>
      </w:r>
    </w:p>
    <w:p w14:paraId="67ECE1DF" w14:textId="4ED50B3F" w:rsidR="0088114E" w:rsidRPr="0088114E" w:rsidRDefault="0088114E" w:rsidP="0088114E">
      <w:pPr>
        <w:rPr>
          <w:rFonts w:ascii="Calibri" w:eastAsia="Times New Roman" w:hAnsi="Calibri" w:cs="Calibri"/>
          <w:sz w:val="16"/>
          <w:szCs w:val="16"/>
        </w:rPr>
      </w:pPr>
      <w:r w:rsidRPr="0088114E">
        <w:rPr>
          <w:rFonts w:ascii="Calibri" w:eastAsia="Times New Roman" w:hAnsi="Calibri" w:cs="Calibri"/>
          <w:sz w:val="16"/>
          <w:szCs w:val="16"/>
        </w:rPr>
        <w:t>Source: Norton, A., Cherastidtham, I., Mackey, W. and Lannan, F. (2019), Presentation to the Regional Education Expert Advisory Group. Grattan Institute, Melbourne.</w:t>
      </w:r>
    </w:p>
    <w:p w14:paraId="0BF418CD" w14:textId="446EC0F2" w:rsidR="009163AD" w:rsidRPr="009163AD" w:rsidRDefault="009163AD" w:rsidP="009163AD">
      <w:pPr>
        <w:rPr>
          <w:rFonts w:ascii="Calibri" w:eastAsia="Times New Roman" w:hAnsi="Calibri" w:cs="Calibri"/>
        </w:rPr>
      </w:pPr>
      <w:r w:rsidRPr="009163AD">
        <w:rPr>
          <w:rFonts w:ascii="Calibri" w:eastAsia="Times New Roman" w:hAnsi="Calibri" w:cs="Calibri"/>
        </w:rPr>
        <w:t>Despite different labour market needs, RRR individuals should have the opportunity to access all types of tertiary education. As shown in the map below (Figure 4), the vast majority of Australian education providers are currently clustered in metropolitan and, to a lesser extent, inner regional areas. Moreover, a review of tertiary education provision across 545 Australian Local Government Areas (LGAs) found that only two-fifths offered qualifications a</w:t>
      </w:r>
      <w:r>
        <w:rPr>
          <w:rFonts w:ascii="Calibri" w:eastAsia="Times New Roman" w:hAnsi="Calibri" w:cs="Calibri"/>
        </w:rPr>
        <w:t>bove the Certificate IV level.</w:t>
      </w:r>
      <w:r w:rsidR="00C4631C">
        <w:rPr>
          <w:rStyle w:val="FootnoteReference"/>
          <w:rFonts w:ascii="Calibri" w:eastAsia="Times New Roman" w:hAnsi="Calibri" w:cs="Calibri"/>
        </w:rPr>
        <w:footnoteReference w:id="26"/>
      </w:r>
      <w:r w:rsidRPr="009163AD">
        <w:rPr>
          <w:rFonts w:ascii="Calibri" w:eastAsia="Times New Roman" w:hAnsi="Calibri" w:cs="Calibri"/>
        </w:rPr>
        <w:t xml:space="preserve">  There is also a li</w:t>
      </w:r>
      <w:r w:rsidR="00C4631C">
        <w:rPr>
          <w:rFonts w:ascii="Calibri" w:eastAsia="Times New Roman" w:hAnsi="Calibri" w:cs="Calibri"/>
        </w:rPr>
        <w:t xml:space="preserve">mited choice of field of study </w:t>
      </w:r>
      <w:r w:rsidRPr="009163AD">
        <w:rPr>
          <w:rFonts w:ascii="Calibri" w:eastAsia="Times New Roman" w:hAnsi="Calibri" w:cs="Calibri"/>
        </w:rPr>
        <w:t xml:space="preserve">in a large proportion of Australia, with half of Australian LGAs having fewer than five out of 12 </w:t>
      </w:r>
      <w:r w:rsidR="00C4631C">
        <w:rPr>
          <w:rFonts w:ascii="Calibri" w:eastAsia="Times New Roman" w:hAnsi="Calibri" w:cs="Calibri"/>
        </w:rPr>
        <w:t>Fields of Education available.</w:t>
      </w:r>
      <w:r w:rsidR="00C4631C">
        <w:rPr>
          <w:rStyle w:val="FootnoteReference"/>
          <w:rFonts w:ascii="Calibri" w:eastAsia="Times New Roman" w:hAnsi="Calibri" w:cs="Calibri"/>
        </w:rPr>
        <w:footnoteReference w:id="27"/>
      </w:r>
      <w:r w:rsidRPr="009163AD">
        <w:rPr>
          <w:rFonts w:ascii="Calibri" w:eastAsia="Times New Roman" w:hAnsi="Calibri" w:cs="Calibri"/>
        </w:rPr>
        <w:t xml:space="preserve"> As a result, people living in those LGAs have less choice in the level and field of study that they can undertake.</w:t>
      </w:r>
    </w:p>
    <w:p w14:paraId="2E6838C8" w14:textId="3A0195DB" w:rsidR="009163AD" w:rsidRPr="009163AD" w:rsidRDefault="009163AD" w:rsidP="009163AD">
      <w:pPr>
        <w:rPr>
          <w:rFonts w:ascii="Calibri" w:eastAsia="Times New Roman" w:hAnsi="Calibri" w:cs="Calibri"/>
        </w:rPr>
      </w:pPr>
      <w:r w:rsidRPr="009163AD">
        <w:rPr>
          <w:rFonts w:ascii="Calibri" w:eastAsia="Times New Roman" w:hAnsi="Calibri" w:cs="Calibri"/>
        </w:rPr>
        <w:t>Consequently, to access their desired course of study, people in RRR are</w:t>
      </w:r>
      <w:r w:rsidR="00C4631C">
        <w:rPr>
          <w:rFonts w:ascii="Calibri" w:eastAsia="Times New Roman" w:hAnsi="Calibri" w:cs="Calibri"/>
        </w:rPr>
        <w:t xml:space="preserve">as often have </w:t>
      </w:r>
      <w:r w:rsidRPr="009163AD">
        <w:rPr>
          <w:rFonts w:ascii="Calibri" w:eastAsia="Times New Roman" w:hAnsi="Calibri" w:cs="Calibri"/>
        </w:rPr>
        <w:t>to relocate, travel significant distances or pursue other options, such as external study (this includes online and distance). While these options are the preference of some individuals, for others they are a necessity rather than a choice and come with their own challenges, such as poor internet access in many rural and remote areas and lack of academic and pastoral support lead</w:t>
      </w:r>
      <w:r w:rsidR="00C4631C">
        <w:rPr>
          <w:rFonts w:ascii="Calibri" w:eastAsia="Times New Roman" w:hAnsi="Calibri" w:cs="Calibri"/>
        </w:rPr>
        <w:t>ing to lower completion rates.</w:t>
      </w:r>
      <w:r w:rsidR="00C4631C">
        <w:rPr>
          <w:rStyle w:val="FootnoteReference"/>
          <w:rFonts w:ascii="Calibri" w:eastAsia="Times New Roman" w:hAnsi="Calibri" w:cs="Calibri"/>
        </w:rPr>
        <w:footnoteReference w:id="28"/>
      </w:r>
    </w:p>
    <w:p w14:paraId="3925F56F" w14:textId="32E9B08E" w:rsidR="00226F41" w:rsidRDefault="009163AD" w:rsidP="00C82C74">
      <w:pPr>
        <w:spacing w:after="0" w:line="276" w:lineRule="auto"/>
        <w:rPr>
          <w:rFonts w:cstheme="minorHAnsi"/>
        </w:rPr>
      </w:pPr>
      <w:r w:rsidRPr="009163AD">
        <w:rPr>
          <w:rFonts w:cstheme="minorHAnsi"/>
        </w:rPr>
        <w:t>In addition, while the population is declining in some RRR areas, consultations suggest there is unmet demand for tertiary education in others. Regional university providers have indicated that they are constrained in their efforts to increase levels of higher education participation under the current capped system for Commonwealth funded university places. Although the Australian Government is expanding sub-bachelor places in RRR areas in response to the 2018</w:t>
      </w:r>
      <w:r w:rsidRPr="00C4631C">
        <w:rPr>
          <w:rStyle w:val="Emphasis"/>
        </w:rPr>
        <w:t xml:space="preserve"> Independent Review into Regional Rural and Remote Education</w:t>
      </w:r>
      <w:r w:rsidRPr="009163AD">
        <w:rPr>
          <w:rFonts w:cstheme="minorHAnsi"/>
        </w:rPr>
        <w:t xml:space="preserve"> (the Halsey Review), regionally-based universities and those with regional campuses argued strongly that increased funding for university places is essential to raising participation and attainment rates in RRR communities</w:t>
      </w:r>
      <w:r w:rsidR="00B81E44">
        <w:rPr>
          <w:rFonts w:cstheme="minorHAnsi"/>
        </w:rPr>
        <w:t>.</w:t>
      </w:r>
    </w:p>
    <w:p w14:paraId="17CFEDF2" w14:textId="2731A80D" w:rsidR="000A1E06" w:rsidRDefault="000A1E06">
      <w:pPr>
        <w:rPr>
          <w:rFonts w:cstheme="minorHAnsi"/>
        </w:rPr>
      </w:pPr>
      <w:r>
        <w:rPr>
          <w:rFonts w:cstheme="minorHAnsi"/>
        </w:rPr>
        <w:br w:type="page"/>
      </w:r>
    </w:p>
    <w:p w14:paraId="3F1D60E0" w14:textId="33F39B75" w:rsidR="00C82C74" w:rsidRPr="00C82C74" w:rsidRDefault="00C82C74" w:rsidP="00C82C74">
      <w:pPr>
        <w:pStyle w:val="Caption"/>
        <w:keepNext/>
        <w:rPr>
          <w:b/>
        </w:rPr>
      </w:pPr>
      <w:bookmarkStart w:id="42" w:name="_Toc13225135"/>
      <w:r w:rsidRPr="00C82C74">
        <w:rPr>
          <w:b/>
        </w:rPr>
        <w:lastRenderedPageBreak/>
        <w:t xml:space="preserve">Figure </w:t>
      </w:r>
      <w:r w:rsidRPr="00C82C74">
        <w:rPr>
          <w:b/>
        </w:rPr>
        <w:fldChar w:fldCharType="begin"/>
      </w:r>
      <w:r w:rsidRPr="00C82C74">
        <w:rPr>
          <w:b/>
        </w:rPr>
        <w:instrText xml:space="preserve"> SEQ Figure \* ARABIC </w:instrText>
      </w:r>
      <w:r w:rsidRPr="00C82C74">
        <w:rPr>
          <w:b/>
        </w:rPr>
        <w:fldChar w:fldCharType="separate"/>
      </w:r>
      <w:r w:rsidR="00D85656">
        <w:rPr>
          <w:b/>
          <w:noProof/>
        </w:rPr>
        <w:t>4</w:t>
      </w:r>
      <w:r w:rsidRPr="00C82C74">
        <w:rPr>
          <w:b/>
        </w:rPr>
        <w:fldChar w:fldCharType="end"/>
      </w:r>
      <w:r w:rsidRPr="00C82C74">
        <w:rPr>
          <w:b/>
        </w:rPr>
        <w:t>. Map of remoteness categories and current tertiary education providers*</w:t>
      </w:r>
      <w:bookmarkEnd w:id="42"/>
    </w:p>
    <w:p w14:paraId="4583760D" w14:textId="27AC1FB3" w:rsidR="00C82C74" w:rsidRDefault="000652D9" w:rsidP="00C82C74">
      <w:pPr>
        <w:spacing w:after="0" w:line="276" w:lineRule="auto"/>
        <w:rPr>
          <w:rFonts w:cstheme="minorHAnsi"/>
        </w:rPr>
      </w:pPr>
      <w:r>
        <w:rPr>
          <w:rFonts w:cstheme="minorHAnsi"/>
        </w:rPr>
        <w:pict w14:anchorId="281C732E">
          <v:shape id="_x0000_i1026" type="#_x0000_t75" alt="Figure 4 is a map of Australia that shows the majority of Australian tertiary education providers are based in metropolitan and, to a lesser extent, inner regional areas. There is a greater spread of VET providers in outer regional and remote areas than higher education providers. " style="width:454.45pt;height:366.9pt">
            <v:imagedata r:id="rId22" o:title="ED19-0084 - HE - Regional Taskforce Final Report_Figure 4"/>
          </v:shape>
        </w:pict>
      </w:r>
    </w:p>
    <w:p w14:paraId="27BA84A9" w14:textId="77777777" w:rsidR="00C82C74" w:rsidRPr="00C82C74" w:rsidRDefault="00C82C74" w:rsidP="00C82C74">
      <w:pPr>
        <w:spacing w:after="0" w:line="276" w:lineRule="auto"/>
        <w:rPr>
          <w:rFonts w:cstheme="minorHAnsi"/>
          <w:sz w:val="16"/>
          <w:szCs w:val="16"/>
        </w:rPr>
      </w:pPr>
      <w:r w:rsidRPr="00C82C74">
        <w:rPr>
          <w:rFonts w:cstheme="minorHAnsi"/>
          <w:sz w:val="16"/>
          <w:szCs w:val="16"/>
        </w:rPr>
        <w:t xml:space="preserve">* Based on address of main campus of registered training organisations (RTOs). As such, it is not a comprehensive picture of all locations where VET services are being provided. </w:t>
      </w:r>
    </w:p>
    <w:p w14:paraId="52D5D65D" w14:textId="397FFE05" w:rsidR="00C82C74" w:rsidRPr="00C82C74" w:rsidRDefault="00C82C74" w:rsidP="00C82C74">
      <w:pPr>
        <w:spacing w:after="0" w:line="276" w:lineRule="auto"/>
        <w:rPr>
          <w:rFonts w:cstheme="minorHAnsi"/>
          <w:sz w:val="16"/>
          <w:szCs w:val="16"/>
        </w:rPr>
      </w:pPr>
      <w:r w:rsidRPr="00C82C74">
        <w:rPr>
          <w:rFonts w:cstheme="minorHAnsi"/>
          <w:sz w:val="16"/>
          <w:szCs w:val="16"/>
        </w:rPr>
        <w:t>Source: DoE (2019) Analysis conducted using National Map. https://nationalmap.gov.au/</w:t>
      </w:r>
    </w:p>
    <w:p w14:paraId="7366E3A4" w14:textId="77777777" w:rsidR="00164D52" w:rsidRPr="00306207" w:rsidRDefault="00164D52" w:rsidP="00726804">
      <w:pPr>
        <w:pStyle w:val="Heading3"/>
      </w:pPr>
      <w:r w:rsidRPr="00306207">
        <w:t>The importance of VET in RRR areas</w:t>
      </w:r>
    </w:p>
    <w:p w14:paraId="10A6985F" w14:textId="3877DCFB" w:rsidR="00C4631C" w:rsidRPr="00C4631C" w:rsidRDefault="00C4631C" w:rsidP="00C4631C">
      <w:pPr>
        <w:spacing w:line="276" w:lineRule="auto"/>
        <w:rPr>
          <w:rFonts w:ascii="Calibri" w:eastAsia="Times New Roman" w:hAnsi="Calibri" w:cs="Calibri"/>
        </w:rPr>
      </w:pPr>
      <w:r w:rsidRPr="00C4631C">
        <w:rPr>
          <w:rFonts w:ascii="Calibri" w:eastAsia="Times New Roman" w:hAnsi="Calibri" w:cs="Calibri"/>
        </w:rPr>
        <w:t>In contrast to higher education, access to VET is relatively high in RRR areas, with the   value and importance of VET evident in overall VET participation rates in RRR areas, which are higher than in m</w:t>
      </w:r>
      <w:r>
        <w:rPr>
          <w:rFonts w:ascii="Calibri" w:eastAsia="Times New Roman" w:hAnsi="Calibri" w:cs="Calibri"/>
        </w:rPr>
        <w:t>etropolitan areas.</w:t>
      </w:r>
      <w:r>
        <w:rPr>
          <w:rStyle w:val="FootnoteReference"/>
          <w:rFonts w:ascii="Calibri" w:eastAsia="Times New Roman" w:hAnsi="Calibri" w:cs="Calibri"/>
        </w:rPr>
        <w:footnoteReference w:id="29"/>
      </w:r>
      <w:r w:rsidRPr="00C4631C">
        <w:rPr>
          <w:rFonts w:ascii="Calibri" w:eastAsia="Times New Roman" w:hAnsi="Calibri" w:cs="Calibri"/>
        </w:rPr>
        <w:t xml:space="preserve"> VET providers deliver courses in outer regional and remote areas that are critical to meeting local needs and often play a leading role in the rebuilding and retraining of RRR communities that have experienced economic dislocation from a</w:t>
      </w:r>
      <w:r>
        <w:rPr>
          <w:rFonts w:ascii="Calibri" w:eastAsia="Times New Roman" w:hAnsi="Calibri" w:cs="Calibri"/>
        </w:rPr>
        <w:t>utomation and industry change.</w:t>
      </w:r>
      <w:r>
        <w:rPr>
          <w:rStyle w:val="FootnoteReference"/>
          <w:rFonts w:ascii="Calibri" w:eastAsia="Times New Roman" w:hAnsi="Calibri" w:cs="Calibri"/>
        </w:rPr>
        <w:footnoteReference w:id="30"/>
      </w:r>
    </w:p>
    <w:p w14:paraId="429E84CB" w14:textId="2AD85DA2" w:rsidR="00C4631C" w:rsidRDefault="00C4631C" w:rsidP="00C4631C">
      <w:pPr>
        <w:spacing w:after="0" w:line="276" w:lineRule="auto"/>
        <w:rPr>
          <w:rFonts w:ascii="Calibri" w:eastAsia="Times New Roman" w:hAnsi="Calibri" w:cs="Calibri"/>
        </w:rPr>
      </w:pPr>
      <w:r w:rsidRPr="00C4631C">
        <w:rPr>
          <w:rFonts w:ascii="Calibri" w:eastAsia="Times New Roman" w:hAnsi="Calibri" w:cs="Calibri"/>
        </w:rPr>
        <w:t>While RRR students are more likely to have a VET qualification, there are limited opportunities for articulation and recognition of prior learning. This can create barriers to undertaking further study. Stakeholders from RRR areas expressed the difficulty of identifying where they can receive credit for prior learning, particularly when there are few education and training options in their community. There are also issues with inconsistent approaches to articulation, with each higher education provider defining their own policies around recognition of prior learning.</w:t>
      </w:r>
    </w:p>
    <w:p w14:paraId="7C9E348A" w14:textId="084C2397" w:rsidR="008E2747" w:rsidRPr="00C4631C" w:rsidRDefault="00C4631C" w:rsidP="00C4631C">
      <w:pPr>
        <w:spacing w:after="0"/>
        <w:rPr>
          <w:rFonts w:ascii="Calibri" w:eastAsia="Times New Roman" w:hAnsi="Calibri" w:cs="Calibri"/>
        </w:rPr>
      </w:pPr>
      <w:r w:rsidRPr="00C4631C">
        <w:rPr>
          <w:rFonts w:ascii="Calibri" w:eastAsia="Times New Roman" w:hAnsi="Calibri" w:cs="Calibri"/>
        </w:rPr>
        <w:lastRenderedPageBreak/>
        <w:t>A number of stakeholders raised concerns about recent cuts in publicly funded VET services, particularly in remote towns where VET is critical for engaging students and meeting local skills needs. Recent years have seen VET student numbers grow in major cities but decline overall in outer regional and remote area</w:t>
      </w:r>
      <w:r>
        <w:rPr>
          <w:rFonts w:ascii="Calibri" w:eastAsia="Times New Roman" w:hAnsi="Calibri" w:cs="Calibri"/>
        </w:rPr>
        <w:t xml:space="preserve">s (Table 4). While lower rates </w:t>
      </w:r>
      <w:r w:rsidRPr="00C4631C">
        <w:rPr>
          <w:rFonts w:ascii="Calibri" w:eastAsia="Times New Roman" w:hAnsi="Calibri" w:cs="Calibri"/>
        </w:rPr>
        <w:t xml:space="preserve">of population growth contributed to this trend, there </w:t>
      </w:r>
      <w:r w:rsidR="00D16513" w:rsidRPr="00C4631C">
        <w:rPr>
          <w:rFonts w:ascii="Calibri" w:eastAsia="Times New Roman" w:hAnsi="Calibri" w:cs="Calibri"/>
        </w:rPr>
        <w:t>was nevertheless</w:t>
      </w:r>
      <w:r w:rsidRPr="00C4631C">
        <w:rPr>
          <w:rFonts w:ascii="Calibri" w:eastAsia="Times New Roman" w:hAnsi="Calibri" w:cs="Calibri"/>
        </w:rPr>
        <w:t xml:space="preserve"> </w:t>
      </w:r>
      <w:r w:rsidR="00D16513" w:rsidRPr="00C4631C">
        <w:rPr>
          <w:rFonts w:ascii="Calibri" w:eastAsia="Times New Roman" w:hAnsi="Calibri" w:cs="Calibri"/>
        </w:rPr>
        <w:t>a decrease</w:t>
      </w:r>
      <w:r w:rsidRPr="00C4631C">
        <w:rPr>
          <w:rFonts w:ascii="Calibri" w:eastAsia="Times New Roman" w:hAnsi="Calibri" w:cs="Calibri"/>
        </w:rPr>
        <w:t xml:space="preserve"> in the number of students relative to population for all categories of regional and remote locations. Some responses pointed to challenges caused by different policies across states and territories. For example, Mark Dixon, the </w:t>
      </w:r>
      <w:r>
        <w:rPr>
          <w:rFonts w:ascii="Calibri" w:eastAsia="Times New Roman" w:hAnsi="Calibri" w:cs="Calibri"/>
        </w:rPr>
        <w:t xml:space="preserve">CEO of Wodonga TAFE, raised how </w:t>
      </w:r>
      <w:r w:rsidRPr="00C4631C">
        <w:rPr>
          <w:rFonts w:ascii="Calibri" w:eastAsia="Times New Roman" w:hAnsi="Calibri" w:cs="Calibri"/>
        </w:rPr>
        <w:t>state barriers and different policies support “anti-competitive behaviour and create artificial barriers to educational participation that are significant for students and industry.”</w:t>
      </w:r>
    </w:p>
    <w:p w14:paraId="5C527FC0" w14:textId="127BCCA2" w:rsidR="008E2747" w:rsidRDefault="008E2747" w:rsidP="008E2747">
      <w:pPr>
        <w:spacing w:after="0" w:line="276" w:lineRule="auto"/>
        <w:rPr>
          <w:rFonts w:ascii="Calibri" w:eastAsia="Times New Roman" w:hAnsi="Calibri" w:cs="Calibri"/>
          <w:sz w:val="24"/>
          <w:szCs w:val="24"/>
        </w:rPr>
      </w:pPr>
    </w:p>
    <w:p w14:paraId="1E42A2F0" w14:textId="7FBF4223" w:rsidR="00C4631C" w:rsidRPr="00C4631C" w:rsidRDefault="00C4631C" w:rsidP="00C4631C">
      <w:pPr>
        <w:pStyle w:val="Caption"/>
        <w:keepNext/>
        <w:rPr>
          <w:b/>
        </w:rPr>
      </w:pPr>
      <w:bookmarkStart w:id="43" w:name="_Toc13224971"/>
      <w:r w:rsidRPr="00C4631C">
        <w:rPr>
          <w:b/>
        </w:rPr>
        <w:t xml:space="preserve">Table </w:t>
      </w:r>
      <w:r w:rsidRPr="00C4631C">
        <w:rPr>
          <w:b/>
        </w:rPr>
        <w:fldChar w:fldCharType="begin"/>
      </w:r>
      <w:r w:rsidRPr="00C4631C">
        <w:rPr>
          <w:b/>
        </w:rPr>
        <w:instrText xml:space="preserve"> SEQ Table \* ARABIC </w:instrText>
      </w:r>
      <w:r w:rsidRPr="00C4631C">
        <w:rPr>
          <w:b/>
        </w:rPr>
        <w:fldChar w:fldCharType="separate"/>
      </w:r>
      <w:r w:rsidR="00731756">
        <w:rPr>
          <w:b/>
          <w:noProof/>
        </w:rPr>
        <w:t>4</w:t>
      </w:r>
      <w:r w:rsidRPr="00C4631C">
        <w:rPr>
          <w:b/>
        </w:rPr>
        <w:fldChar w:fldCharType="end"/>
      </w:r>
      <w:r w:rsidRPr="00C4631C">
        <w:rPr>
          <w:b/>
        </w:rPr>
        <w:t>. Growth in total number of VET students (2015 to 2017)</w:t>
      </w:r>
      <w:bookmarkEnd w:id="43"/>
    </w:p>
    <w:tbl>
      <w:tblPr>
        <w:tblStyle w:val="GridTable4-Accent1"/>
        <w:tblW w:w="9179" w:type="dxa"/>
        <w:tblLook w:val="04A0" w:firstRow="1" w:lastRow="0" w:firstColumn="1" w:lastColumn="0" w:noHBand="0" w:noVBand="1"/>
      </w:tblPr>
      <w:tblGrid>
        <w:gridCol w:w="2573"/>
        <w:gridCol w:w="1607"/>
        <w:gridCol w:w="1732"/>
        <w:gridCol w:w="1587"/>
        <w:gridCol w:w="1680"/>
      </w:tblGrid>
      <w:tr w:rsidR="00754499" w14:paraId="2167B87C" w14:textId="77777777" w:rsidTr="00263861">
        <w:trPr>
          <w:cnfStyle w:val="100000000000" w:firstRow="1" w:lastRow="0" w:firstColumn="0" w:lastColumn="0" w:oddVBand="0" w:evenVBand="0" w:oddHBand="0" w:evenHBand="0" w:firstRowFirstColumn="0" w:firstRowLastColumn="0" w:lastRowFirstColumn="0" w:lastRowLastColumn="0"/>
          <w:trHeight w:val="538"/>
          <w:tblHeader/>
        </w:trPr>
        <w:tc>
          <w:tcPr>
            <w:cnfStyle w:val="001000000000" w:firstRow="0" w:lastRow="0" w:firstColumn="1" w:lastColumn="0" w:oddVBand="0" w:evenVBand="0" w:oddHBand="0" w:evenHBand="0" w:firstRowFirstColumn="0" w:firstRowLastColumn="0" w:lastRowFirstColumn="0" w:lastRowLastColumn="0"/>
            <w:tcW w:w="2573" w:type="dxa"/>
          </w:tcPr>
          <w:p w14:paraId="5B5DCE47" w14:textId="2ED76F55" w:rsidR="00754499" w:rsidRPr="000F44D4" w:rsidRDefault="000F44D4">
            <w:pPr>
              <w:jc w:val="center"/>
              <w:rPr>
                <w:b w:val="0"/>
                <w:bCs w:val="0"/>
                <w:color w:val="3A4952" w:themeColor="accent1"/>
              </w:rPr>
            </w:pPr>
            <w:r>
              <w:rPr>
                <w:b w:val="0"/>
                <w:bCs w:val="0"/>
                <w:color w:val="3A4952" w:themeColor="accent1"/>
              </w:rPr>
              <w:t>Blank square</w:t>
            </w:r>
          </w:p>
        </w:tc>
        <w:tc>
          <w:tcPr>
            <w:tcW w:w="1607" w:type="dxa"/>
            <w:vAlign w:val="center"/>
            <w:hideMark/>
          </w:tcPr>
          <w:p w14:paraId="38BF6158" w14:textId="77777777" w:rsidR="00754499" w:rsidRDefault="00754499" w:rsidP="003D1CD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Pr>
                <w:color w:val="FFFFFF"/>
              </w:rPr>
              <w:t>2015</w:t>
            </w:r>
          </w:p>
        </w:tc>
        <w:tc>
          <w:tcPr>
            <w:tcW w:w="1732" w:type="dxa"/>
            <w:vAlign w:val="center"/>
            <w:hideMark/>
          </w:tcPr>
          <w:p w14:paraId="210647DC" w14:textId="77777777" w:rsidR="00754499" w:rsidRDefault="00754499" w:rsidP="003D1CD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Pr>
                <w:color w:val="FFFFFF"/>
              </w:rPr>
              <w:t>2017</w:t>
            </w:r>
          </w:p>
        </w:tc>
        <w:tc>
          <w:tcPr>
            <w:tcW w:w="1587" w:type="dxa"/>
            <w:vAlign w:val="center"/>
            <w:hideMark/>
          </w:tcPr>
          <w:p w14:paraId="08FF8310" w14:textId="6391ADBB" w:rsidR="00754499" w:rsidRDefault="00754499" w:rsidP="003D1CD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sidRPr="00D53B13">
              <w:rPr>
                <w:color w:val="FFFFFF"/>
              </w:rPr>
              <w:t>% change</w:t>
            </w:r>
            <w:r w:rsidR="00C4631C">
              <w:rPr>
                <w:color w:val="FFFFFF"/>
              </w:rPr>
              <w:t xml:space="preserve"> (growth)</w:t>
            </w:r>
          </w:p>
        </w:tc>
        <w:tc>
          <w:tcPr>
            <w:tcW w:w="1680" w:type="dxa"/>
            <w:vAlign w:val="center"/>
            <w:hideMark/>
          </w:tcPr>
          <w:p w14:paraId="4D53C2DF" w14:textId="66D27474" w:rsidR="00754499" w:rsidRDefault="00754499" w:rsidP="003D1CD9">
            <w:pPr>
              <w:jc w:val="center"/>
              <w:cnfStyle w:val="100000000000" w:firstRow="1" w:lastRow="0" w:firstColumn="0" w:lastColumn="0" w:oddVBand="0" w:evenVBand="0" w:oddHBand="0" w:evenHBand="0" w:firstRowFirstColumn="0" w:firstRowLastColumn="0" w:lastRowFirstColumn="0" w:lastRowLastColumn="0"/>
              <w:rPr>
                <w:b w:val="0"/>
                <w:bCs w:val="0"/>
                <w:color w:val="FFFFFF"/>
              </w:rPr>
            </w:pPr>
            <w:r>
              <w:rPr>
                <w:color w:val="FFFFFF"/>
              </w:rPr>
              <w:t>% change i</w:t>
            </w:r>
            <w:r w:rsidR="008F17DA">
              <w:rPr>
                <w:color w:val="FFFFFF"/>
              </w:rPr>
              <w:t>n population</w:t>
            </w:r>
          </w:p>
        </w:tc>
      </w:tr>
      <w:tr w:rsidR="00754499" w14:paraId="3B69BE26" w14:textId="77777777" w:rsidTr="00263861">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573" w:type="dxa"/>
            <w:vAlign w:val="center"/>
            <w:hideMark/>
          </w:tcPr>
          <w:p w14:paraId="231D2DDD" w14:textId="494529B0" w:rsidR="00754499" w:rsidRDefault="00754499" w:rsidP="00263861">
            <w:pPr>
              <w:jc w:val="center"/>
              <w:rPr>
                <w:b w:val="0"/>
                <w:bCs w:val="0"/>
              </w:rPr>
            </w:pPr>
            <w:r>
              <w:t>All Domestic Students</w:t>
            </w:r>
            <w:r w:rsidR="00C4631C">
              <w:t>*</w:t>
            </w:r>
          </w:p>
        </w:tc>
        <w:tc>
          <w:tcPr>
            <w:tcW w:w="1607" w:type="dxa"/>
            <w:vAlign w:val="center"/>
            <w:hideMark/>
          </w:tcPr>
          <w:p w14:paraId="31752F55" w14:textId="10264BB6" w:rsidR="00754499" w:rsidRDefault="00C4631C" w:rsidP="00263861">
            <w:pPr>
              <w:jc w:val="center"/>
              <w:cnfStyle w:val="000000100000" w:firstRow="0" w:lastRow="0" w:firstColumn="0" w:lastColumn="0" w:oddVBand="0" w:evenVBand="0" w:oddHBand="1" w:evenHBand="0" w:firstRowFirstColumn="0" w:firstRowLastColumn="0" w:lastRowFirstColumn="0" w:lastRowLastColumn="0"/>
            </w:pPr>
            <w:r>
              <w:t>3,854,815</w:t>
            </w:r>
          </w:p>
        </w:tc>
        <w:tc>
          <w:tcPr>
            <w:tcW w:w="1732" w:type="dxa"/>
            <w:vAlign w:val="center"/>
            <w:hideMark/>
          </w:tcPr>
          <w:p w14:paraId="77A5A49F" w14:textId="081C7FED" w:rsidR="00754499" w:rsidRDefault="00C4631C" w:rsidP="00263861">
            <w:pPr>
              <w:jc w:val="center"/>
              <w:cnfStyle w:val="000000100000" w:firstRow="0" w:lastRow="0" w:firstColumn="0" w:lastColumn="0" w:oddVBand="0" w:evenVBand="0" w:oddHBand="1" w:evenHBand="0" w:firstRowFirstColumn="0" w:firstRowLastColumn="0" w:lastRowFirstColumn="0" w:lastRowLastColumn="0"/>
            </w:pPr>
            <w:r>
              <w:t>4,049,275</w:t>
            </w:r>
          </w:p>
        </w:tc>
        <w:tc>
          <w:tcPr>
            <w:tcW w:w="1587" w:type="dxa"/>
            <w:vAlign w:val="center"/>
            <w:hideMark/>
          </w:tcPr>
          <w:p w14:paraId="28A95250" w14:textId="684990CF" w:rsidR="00754499" w:rsidRDefault="00C4631C" w:rsidP="00263861">
            <w:pPr>
              <w:jc w:val="center"/>
              <w:cnfStyle w:val="000000100000" w:firstRow="0" w:lastRow="0" w:firstColumn="0" w:lastColumn="0" w:oddVBand="0" w:evenVBand="0" w:oddHBand="1" w:evenHBand="0" w:firstRowFirstColumn="0" w:firstRowLastColumn="0" w:lastRowFirstColumn="0" w:lastRowLastColumn="0"/>
            </w:pPr>
            <w:r>
              <w:t>5.0</w:t>
            </w:r>
          </w:p>
        </w:tc>
        <w:tc>
          <w:tcPr>
            <w:tcW w:w="1680" w:type="dxa"/>
            <w:vAlign w:val="center"/>
            <w:hideMark/>
          </w:tcPr>
          <w:p w14:paraId="02C785EE" w14:textId="03331625" w:rsidR="00754499" w:rsidRDefault="00754499" w:rsidP="00263861">
            <w:pPr>
              <w:jc w:val="center"/>
              <w:cnfStyle w:val="000000100000" w:firstRow="0" w:lastRow="0" w:firstColumn="0" w:lastColumn="0" w:oddVBand="0" w:evenVBand="0" w:oddHBand="1" w:evenHBand="0" w:firstRowFirstColumn="0" w:firstRowLastColumn="0" w:lastRowFirstColumn="0" w:lastRowLastColumn="0"/>
            </w:pPr>
            <w:r>
              <w:t>3.3</w:t>
            </w:r>
          </w:p>
        </w:tc>
      </w:tr>
      <w:tr w:rsidR="00754499" w14:paraId="064EC353" w14:textId="77777777" w:rsidTr="00263861">
        <w:trPr>
          <w:trHeight w:val="391"/>
        </w:trPr>
        <w:tc>
          <w:tcPr>
            <w:cnfStyle w:val="001000000000" w:firstRow="0" w:lastRow="0" w:firstColumn="1" w:lastColumn="0" w:oddVBand="0" w:evenVBand="0" w:oddHBand="0" w:evenHBand="0" w:firstRowFirstColumn="0" w:firstRowLastColumn="0" w:lastRowFirstColumn="0" w:lastRowLastColumn="0"/>
            <w:tcW w:w="2573" w:type="dxa"/>
            <w:vAlign w:val="center"/>
            <w:hideMark/>
          </w:tcPr>
          <w:p w14:paraId="62B0849B" w14:textId="4F1B973A" w:rsidR="00754499" w:rsidRDefault="00754499" w:rsidP="00263861">
            <w:pPr>
              <w:jc w:val="center"/>
              <w:rPr>
                <w:b w:val="0"/>
                <w:bCs w:val="0"/>
              </w:rPr>
            </w:pPr>
            <w:r>
              <w:t>Major</w:t>
            </w:r>
            <w:r w:rsidR="00C4631C">
              <w:t xml:space="preserve"> C</w:t>
            </w:r>
            <w:r>
              <w:t>ities</w:t>
            </w:r>
          </w:p>
        </w:tc>
        <w:tc>
          <w:tcPr>
            <w:tcW w:w="1607" w:type="dxa"/>
            <w:vAlign w:val="center"/>
            <w:hideMark/>
          </w:tcPr>
          <w:p w14:paraId="28DC261F" w14:textId="77777777" w:rsidR="00754499" w:rsidRDefault="00754499" w:rsidP="00263861">
            <w:pPr>
              <w:jc w:val="center"/>
              <w:cnfStyle w:val="000000000000" w:firstRow="0" w:lastRow="0" w:firstColumn="0" w:lastColumn="0" w:oddVBand="0" w:evenVBand="0" w:oddHBand="0" w:evenHBand="0" w:firstRowFirstColumn="0" w:firstRowLastColumn="0" w:lastRowFirstColumn="0" w:lastRowLastColumn="0"/>
            </w:pPr>
            <w:r>
              <w:t>2,363,215</w:t>
            </w:r>
          </w:p>
        </w:tc>
        <w:tc>
          <w:tcPr>
            <w:tcW w:w="1732" w:type="dxa"/>
            <w:vAlign w:val="center"/>
            <w:hideMark/>
          </w:tcPr>
          <w:p w14:paraId="20AF37C0" w14:textId="77777777" w:rsidR="00754499" w:rsidRDefault="00754499" w:rsidP="00263861">
            <w:pPr>
              <w:jc w:val="center"/>
              <w:cnfStyle w:val="000000000000" w:firstRow="0" w:lastRow="0" w:firstColumn="0" w:lastColumn="0" w:oddVBand="0" w:evenVBand="0" w:oddHBand="0" w:evenHBand="0" w:firstRowFirstColumn="0" w:firstRowLastColumn="0" w:lastRowFirstColumn="0" w:lastRowLastColumn="0"/>
            </w:pPr>
            <w:r>
              <w:t>2,509,555</w:t>
            </w:r>
          </w:p>
        </w:tc>
        <w:tc>
          <w:tcPr>
            <w:tcW w:w="1587" w:type="dxa"/>
            <w:vAlign w:val="center"/>
            <w:hideMark/>
          </w:tcPr>
          <w:p w14:paraId="7CFA74F9" w14:textId="18A41DAD" w:rsidR="00754499" w:rsidRDefault="00C4631C" w:rsidP="00263861">
            <w:pPr>
              <w:jc w:val="center"/>
              <w:cnfStyle w:val="000000000000" w:firstRow="0" w:lastRow="0" w:firstColumn="0" w:lastColumn="0" w:oddVBand="0" w:evenVBand="0" w:oddHBand="0" w:evenHBand="0" w:firstRowFirstColumn="0" w:firstRowLastColumn="0" w:lastRowFirstColumn="0" w:lastRowLastColumn="0"/>
            </w:pPr>
            <w:r>
              <w:t>6.2</w:t>
            </w:r>
          </w:p>
        </w:tc>
        <w:tc>
          <w:tcPr>
            <w:tcW w:w="1680" w:type="dxa"/>
            <w:vAlign w:val="center"/>
            <w:hideMark/>
          </w:tcPr>
          <w:p w14:paraId="2F666573" w14:textId="59E539D8" w:rsidR="00754499" w:rsidRDefault="00754499" w:rsidP="00263861">
            <w:pPr>
              <w:jc w:val="center"/>
              <w:cnfStyle w:val="000000000000" w:firstRow="0" w:lastRow="0" w:firstColumn="0" w:lastColumn="0" w:oddVBand="0" w:evenVBand="0" w:oddHBand="0" w:evenHBand="0" w:firstRowFirstColumn="0" w:firstRowLastColumn="0" w:lastRowFirstColumn="0" w:lastRowLastColumn="0"/>
            </w:pPr>
            <w:r>
              <w:t>4.0</w:t>
            </w:r>
          </w:p>
        </w:tc>
      </w:tr>
      <w:tr w:rsidR="00754499" w14:paraId="0C05FAE9" w14:textId="77777777" w:rsidTr="00263861">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573" w:type="dxa"/>
            <w:vAlign w:val="center"/>
            <w:hideMark/>
          </w:tcPr>
          <w:p w14:paraId="16A7F2C3" w14:textId="77777777" w:rsidR="00754499" w:rsidRDefault="00754499" w:rsidP="00263861">
            <w:pPr>
              <w:jc w:val="center"/>
              <w:rPr>
                <w:b w:val="0"/>
                <w:bCs w:val="0"/>
              </w:rPr>
            </w:pPr>
            <w:r>
              <w:t>Inner Regional</w:t>
            </w:r>
          </w:p>
          <w:p w14:paraId="4418F1BD" w14:textId="77777777" w:rsidR="00754499" w:rsidRDefault="00754499" w:rsidP="00263861">
            <w:pPr>
              <w:jc w:val="center"/>
              <w:rPr>
                <w:b w:val="0"/>
                <w:bCs w:val="0"/>
              </w:rPr>
            </w:pPr>
            <w:r>
              <w:rPr>
                <w:i/>
                <w:iCs/>
                <w:sz w:val="18"/>
                <w:szCs w:val="18"/>
              </w:rPr>
              <w:t>(proportion of total)</w:t>
            </w:r>
          </w:p>
        </w:tc>
        <w:tc>
          <w:tcPr>
            <w:tcW w:w="1607" w:type="dxa"/>
            <w:vAlign w:val="center"/>
            <w:hideMark/>
          </w:tcPr>
          <w:p w14:paraId="0BFEC3C5" w14:textId="77777777" w:rsidR="00754499" w:rsidRDefault="00754499" w:rsidP="00263861">
            <w:pPr>
              <w:jc w:val="center"/>
              <w:cnfStyle w:val="000000100000" w:firstRow="0" w:lastRow="0" w:firstColumn="0" w:lastColumn="0" w:oddVBand="0" w:evenVBand="0" w:oddHBand="1" w:evenHBand="0" w:firstRowFirstColumn="0" w:firstRowLastColumn="0" w:lastRowFirstColumn="0" w:lastRowLastColumn="0"/>
            </w:pPr>
            <w:r>
              <w:t>790,640</w:t>
            </w:r>
          </w:p>
          <w:p w14:paraId="47A90374" w14:textId="582924D5" w:rsidR="00754499" w:rsidRDefault="00C4631C" w:rsidP="00263861">
            <w:pPr>
              <w:jc w:val="center"/>
              <w:cnfStyle w:val="000000100000" w:firstRow="0" w:lastRow="0" w:firstColumn="0" w:lastColumn="0" w:oddVBand="0" w:evenVBand="0" w:oddHBand="1" w:evenHBand="0" w:firstRowFirstColumn="0" w:firstRowLastColumn="0" w:lastRowFirstColumn="0" w:lastRowLastColumn="0"/>
              <w:rPr>
                <w:i/>
                <w:iCs/>
                <w:sz w:val="18"/>
                <w:szCs w:val="18"/>
              </w:rPr>
            </w:pPr>
            <w:r>
              <w:rPr>
                <w:i/>
                <w:iCs/>
                <w:sz w:val="18"/>
                <w:szCs w:val="18"/>
              </w:rPr>
              <w:t>(20</w:t>
            </w:r>
            <w:r w:rsidR="00754499">
              <w:rPr>
                <w:i/>
                <w:iCs/>
                <w:sz w:val="18"/>
                <w:szCs w:val="18"/>
              </w:rPr>
              <w:t>.5%)</w:t>
            </w:r>
          </w:p>
        </w:tc>
        <w:tc>
          <w:tcPr>
            <w:tcW w:w="1732" w:type="dxa"/>
            <w:vAlign w:val="center"/>
            <w:hideMark/>
          </w:tcPr>
          <w:p w14:paraId="39F65D65" w14:textId="77777777" w:rsidR="00754499" w:rsidRDefault="00754499" w:rsidP="00263861">
            <w:pPr>
              <w:jc w:val="center"/>
              <w:cnfStyle w:val="000000100000" w:firstRow="0" w:lastRow="0" w:firstColumn="0" w:lastColumn="0" w:oddVBand="0" w:evenVBand="0" w:oddHBand="1" w:evenHBand="0" w:firstRowFirstColumn="0" w:firstRowLastColumn="0" w:lastRowFirstColumn="0" w:lastRowLastColumn="0"/>
            </w:pPr>
            <w:r>
              <w:t>806,700</w:t>
            </w:r>
          </w:p>
          <w:p w14:paraId="3B69C6E1" w14:textId="6D68A55D" w:rsidR="00754499" w:rsidRDefault="00C4631C" w:rsidP="00263861">
            <w:pPr>
              <w:jc w:val="center"/>
              <w:cnfStyle w:val="000000100000" w:firstRow="0" w:lastRow="0" w:firstColumn="0" w:lastColumn="0" w:oddVBand="0" w:evenVBand="0" w:oddHBand="1" w:evenHBand="0" w:firstRowFirstColumn="0" w:firstRowLastColumn="0" w:lastRowFirstColumn="0" w:lastRowLastColumn="0"/>
              <w:rPr>
                <w:i/>
                <w:iCs/>
                <w:sz w:val="18"/>
                <w:szCs w:val="18"/>
              </w:rPr>
            </w:pPr>
            <w:r>
              <w:rPr>
                <w:i/>
                <w:iCs/>
                <w:sz w:val="18"/>
                <w:szCs w:val="18"/>
              </w:rPr>
              <w:t>(19.9</w:t>
            </w:r>
            <w:r w:rsidR="00754499">
              <w:rPr>
                <w:i/>
                <w:iCs/>
                <w:sz w:val="18"/>
                <w:szCs w:val="18"/>
              </w:rPr>
              <w:t>%)</w:t>
            </w:r>
          </w:p>
        </w:tc>
        <w:tc>
          <w:tcPr>
            <w:tcW w:w="1587" w:type="dxa"/>
            <w:vAlign w:val="center"/>
            <w:hideMark/>
          </w:tcPr>
          <w:p w14:paraId="63FF81C0" w14:textId="77777777" w:rsidR="00754499" w:rsidRDefault="00754499" w:rsidP="00263861">
            <w:pPr>
              <w:jc w:val="center"/>
              <w:cnfStyle w:val="000000100000" w:firstRow="0" w:lastRow="0" w:firstColumn="0" w:lastColumn="0" w:oddVBand="0" w:evenVBand="0" w:oddHBand="1" w:evenHBand="0" w:firstRowFirstColumn="0" w:firstRowLastColumn="0" w:lastRowFirstColumn="0" w:lastRowLastColumn="0"/>
            </w:pPr>
            <w:r>
              <w:t>2.0</w:t>
            </w:r>
          </w:p>
        </w:tc>
        <w:tc>
          <w:tcPr>
            <w:tcW w:w="1680" w:type="dxa"/>
            <w:vAlign w:val="center"/>
            <w:hideMark/>
          </w:tcPr>
          <w:p w14:paraId="5C217EB0" w14:textId="49E8FA59" w:rsidR="00754499" w:rsidRDefault="00754499" w:rsidP="00263861">
            <w:pPr>
              <w:jc w:val="center"/>
              <w:cnfStyle w:val="000000100000" w:firstRow="0" w:lastRow="0" w:firstColumn="0" w:lastColumn="0" w:oddVBand="0" w:evenVBand="0" w:oddHBand="1" w:evenHBand="0" w:firstRowFirstColumn="0" w:firstRowLastColumn="0" w:lastRowFirstColumn="0" w:lastRowLastColumn="0"/>
            </w:pPr>
            <w:r>
              <w:t>2.2</w:t>
            </w:r>
          </w:p>
        </w:tc>
      </w:tr>
      <w:tr w:rsidR="00754499" w14:paraId="6C4EB8D9" w14:textId="77777777" w:rsidTr="00263861">
        <w:trPr>
          <w:trHeight w:val="559"/>
        </w:trPr>
        <w:tc>
          <w:tcPr>
            <w:cnfStyle w:val="001000000000" w:firstRow="0" w:lastRow="0" w:firstColumn="1" w:lastColumn="0" w:oddVBand="0" w:evenVBand="0" w:oddHBand="0" w:evenHBand="0" w:firstRowFirstColumn="0" w:firstRowLastColumn="0" w:lastRowFirstColumn="0" w:lastRowLastColumn="0"/>
            <w:tcW w:w="2573" w:type="dxa"/>
            <w:vAlign w:val="center"/>
            <w:hideMark/>
          </w:tcPr>
          <w:p w14:paraId="5C776F5F" w14:textId="77777777" w:rsidR="00754499" w:rsidRDefault="00754499" w:rsidP="00263861">
            <w:pPr>
              <w:jc w:val="center"/>
              <w:rPr>
                <w:b w:val="0"/>
                <w:bCs w:val="0"/>
              </w:rPr>
            </w:pPr>
            <w:r>
              <w:t>Outer Regional</w:t>
            </w:r>
          </w:p>
          <w:p w14:paraId="6CF86839" w14:textId="77777777" w:rsidR="00754499" w:rsidRDefault="00754499" w:rsidP="00263861">
            <w:pPr>
              <w:jc w:val="center"/>
              <w:rPr>
                <w:b w:val="0"/>
                <w:bCs w:val="0"/>
              </w:rPr>
            </w:pPr>
            <w:r>
              <w:rPr>
                <w:i/>
                <w:iCs/>
                <w:sz w:val="18"/>
                <w:szCs w:val="18"/>
              </w:rPr>
              <w:t>(proportion of total)</w:t>
            </w:r>
          </w:p>
        </w:tc>
        <w:tc>
          <w:tcPr>
            <w:tcW w:w="1607" w:type="dxa"/>
            <w:vAlign w:val="center"/>
            <w:hideMark/>
          </w:tcPr>
          <w:p w14:paraId="10C3554F" w14:textId="77777777" w:rsidR="00754499" w:rsidRDefault="00754499" w:rsidP="00263861">
            <w:pPr>
              <w:jc w:val="center"/>
              <w:cnfStyle w:val="000000000000" w:firstRow="0" w:lastRow="0" w:firstColumn="0" w:lastColumn="0" w:oddVBand="0" w:evenVBand="0" w:oddHBand="0" w:evenHBand="0" w:firstRowFirstColumn="0" w:firstRowLastColumn="0" w:lastRowFirstColumn="0" w:lastRowLastColumn="0"/>
            </w:pPr>
            <w:r>
              <w:t>408,290</w:t>
            </w:r>
          </w:p>
          <w:p w14:paraId="30AC8241" w14:textId="0BEF9096" w:rsidR="00754499" w:rsidRDefault="00C4631C" w:rsidP="00263861">
            <w:pPr>
              <w:jc w:val="center"/>
              <w:cnfStyle w:val="000000000000" w:firstRow="0" w:lastRow="0" w:firstColumn="0" w:lastColumn="0" w:oddVBand="0" w:evenVBand="0" w:oddHBand="0" w:evenHBand="0" w:firstRowFirstColumn="0" w:firstRowLastColumn="0" w:lastRowFirstColumn="0" w:lastRowLastColumn="0"/>
            </w:pPr>
            <w:r>
              <w:rPr>
                <w:i/>
                <w:iCs/>
                <w:sz w:val="18"/>
                <w:szCs w:val="18"/>
              </w:rPr>
              <w:t>(10.6</w:t>
            </w:r>
            <w:r w:rsidR="00754499">
              <w:rPr>
                <w:i/>
                <w:iCs/>
                <w:sz w:val="18"/>
                <w:szCs w:val="18"/>
              </w:rPr>
              <w:t>%)</w:t>
            </w:r>
          </w:p>
        </w:tc>
        <w:tc>
          <w:tcPr>
            <w:tcW w:w="1732" w:type="dxa"/>
            <w:vAlign w:val="center"/>
            <w:hideMark/>
          </w:tcPr>
          <w:p w14:paraId="650DC72F" w14:textId="77777777" w:rsidR="00754499" w:rsidRDefault="00754499" w:rsidP="00263861">
            <w:pPr>
              <w:jc w:val="center"/>
              <w:cnfStyle w:val="000000000000" w:firstRow="0" w:lastRow="0" w:firstColumn="0" w:lastColumn="0" w:oddVBand="0" w:evenVBand="0" w:oddHBand="0" w:evenHBand="0" w:firstRowFirstColumn="0" w:firstRowLastColumn="0" w:lastRowFirstColumn="0" w:lastRowLastColumn="0"/>
            </w:pPr>
            <w:r>
              <w:t>395,320</w:t>
            </w:r>
          </w:p>
          <w:p w14:paraId="5C9F5287" w14:textId="75AED590" w:rsidR="00754499" w:rsidRDefault="00C4631C" w:rsidP="00263861">
            <w:pPr>
              <w:jc w:val="center"/>
              <w:cnfStyle w:val="000000000000" w:firstRow="0" w:lastRow="0" w:firstColumn="0" w:lastColumn="0" w:oddVBand="0" w:evenVBand="0" w:oddHBand="0" w:evenHBand="0" w:firstRowFirstColumn="0" w:firstRowLastColumn="0" w:lastRowFirstColumn="0" w:lastRowLastColumn="0"/>
            </w:pPr>
            <w:r>
              <w:rPr>
                <w:i/>
                <w:iCs/>
                <w:sz w:val="18"/>
                <w:szCs w:val="18"/>
              </w:rPr>
              <w:t>(9.8</w:t>
            </w:r>
            <w:r w:rsidR="00754499">
              <w:rPr>
                <w:i/>
                <w:iCs/>
                <w:sz w:val="18"/>
                <w:szCs w:val="18"/>
              </w:rPr>
              <w:t>%)</w:t>
            </w:r>
          </w:p>
        </w:tc>
        <w:tc>
          <w:tcPr>
            <w:tcW w:w="1587" w:type="dxa"/>
            <w:vAlign w:val="center"/>
            <w:hideMark/>
          </w:tcPr>
          <w:p w14:paraId="672DF9EE" w14:textId="77777777" w:rsidR="00754499" w:rsidRDefault="00754499" w:rsidP="00263861">
            <w:pPr>
              <w:jc w:val="center"/>
              <w:cnfStyle w:val="000000000000" w:firstRow="0" w:lastRow="0" w:firstColumn="0" w:lastColumn="0" w:oddVBand="0" w:evenVBand="0" w:oddHBand="0" w:evenHBand="0" w:firstRowFirstColumn="0" w:firstRowLastColumn="0" w:lastRowFirstColumn="0" w:lastRowLastColumn="0"/>
            </w:pPr>
            <w:r>
              <w:t>-3.2</w:t>
            </w:r>
          </w:p>
        </w:tc>
        <w:tc>
          <w:tcPr>
            <w:tcW w:w="1680" w:type="dxa"/>
            <w:vAlign w:val="center"/>
            <w:hideMark/>
          </w:tcPr>
          <w:p w14:paraId="69DA0716" w14:textId="09D901E0" w:rsidR="00754499" w:rsidRDefault="00754499" w:rsidP="00263861">
            <w:pPr>
              <w:jc w:val="center"/>
              <w:cnfStyle w:val="000000000000" w:firstRow="0" w:lastRow="0" w:firstColumn="0" w:lastColumn="0" w:oddVBand="0" w:evenVBand="0" w:oddHBand="0" w:evenHBand="0" w:firstRowFirstColumn="0" w:firstRowLastColumn="0" w:lastRowFirstColumn="0" w:lastRowLastColumn="0"/>
            </w:pPr>
            <w:r>
              <w:t>0.6</w:t>
            </w:r>
          </w:p>
        </w:tc>
      </w:tr>
      <w:tr w:rsidR="00754499" w14:paraId="25A4B25D" w14:textId="77777777" w:rsidTr="00263861">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573" w:type="dxa"/>
            <w:vAlign w:val="center"/>
            <w:hideMark/>
          </w:tcPr>
          <w:p w14:paraId="23163F37" w14:textId="77777777" w:rsidR="00754499" w:rsidRDefault="00754499" w:rsidP="00263861">
            <w:pPr>
              <w:jc w:val="center"/>
              <w:rPr>
                <w:b w:val="0"/>
                <w:bCs w:val="0"/>
              </w:rPr>
            </w:pPr>
            <w:r>
              <w:t>Remote</w:t>
            </w:r>
          </w:p>
          <w:p w14:paraId="2783E77D" w14:textId="77777777" w:rsidR="00754499" w:rsidRDefault="00754499" w:rsidP="00263861">
            <w:pPr>
              <w:jc w:val="center"/>
              <w:rPr>
                <w:b w:val="0"/>
                <w:bCs w:val="0"/>
              </w:rPr>
            </w:pPr>
            <w:r>
              <w:rPr>
                <w:i/>
                <w:iCs/>
                <w:sz w:val="18"/>
                <w:szCs w:val="18"/>
              </w:rPr>
              <w:t>(proportion of total)</w:t>
            </w:r>
          </w:p>
        </w:tc>
        <w:tc>
          <w:tcPr>
            <w:tcW w:w="1607" w:type="dxa"/>
            <w:vAlign w:val="center"/>
            <w:hideMark/>
          </w:tcPr>
          <w:p w14:paraId="0A547D55" w14:textId="77777777" w:rsidR="00754499" w:rsidRDefault="00754499" w:rsidP="00263861">
            <w:pPr>
              <w:jc w:val="center"/>
              <w:cnfStyle w:val="000000100000" w:firstRow="0" w:lastRow="0" w:firstColumn="0" w:lastColumn="0" w:oddVBand="0" w:evenVBand="0" w:oddHBand="1" w:evenHBand="0" w:firstRowFirstColumn="0" w:firstRowLastColumn="0" w:lastRowFirstColumn="0" w:lastRowLastColumn="0"/>
            </w:pPr>
            <w:r>
              <w:t>119,385</w:t>
            </w:r>
          </w:p>
          <w:p w14:paraId="6658CDF7" w14:textId="678A3199" w:rsidR="00754499" w:rsidRDefault="00C4631C" w:rsidP="00263861">
            <w:pPr>
              <w:jc w:val="center"/>
              <w:cnfStyle w:val="000000100000" w:firstRow="0" w:lastRow="0" w:firstColumn="0" w:lastColumn="0" w:oddVBand="0" w:evenVBand="0" w:oddHBand="1" w:evenHBand="0" w:firstRowFirstColumn="0" w:firstRowLastColumn="0" w:lastRowFirstColumn="0" w:lastRowLastColumn="0"/>
            </w:pPr>
            <w:r>
              <w:rPr>
                <w:i/>
                <w:iCs/>
                <w:sz w:val="18"/>
                <w:szCs w:val="18"/>
              </w:rPr>
              <w:t>(3.1</w:t>
            </w:r>
            <w:r w:rsidR="00754499">
              <w:rPr>
                <w:i/>
                <w:iCs/>
                <w:sz w:val="18"/>
                <w:szCs w:val="18"/>
              </w:rPr>
              <w:t>%)</w:t>
            </w:r>
          </w:p>
        </w:tc>
        <w:tc>
          <w:tcPr>
            <w:tcW w:w="1732" w:type="dxa"/>
            <w:vAlign w:val="center"/>
            <w:hideMark/>
          </w:tcPr>
          <w:p w14:paraId="77E25D63" w14:textId="77777777" w:rsidR="00754499" w:rsidRDefault="00754499" w:rsidP="00263861">
            <w:pPr>
              <w:jc w:val="center"/>
              <w:cnfStyle w:val="000000100000" w:firstRow="0" w:lastRow="0" w:firstColumn="0" w:lastColumn="0" w:oddVBand="0" w:evenVBand="0" w:oddHBand="1" w:evenHBand="0" w:firstRowFirstColumn="0" w:firstRowLastColumn="0" w:lastRowFirstColumn="0" w:lastRowLastColumn="0"/>
            </w:pPr>
            <w:r>
              <w:t>109,580</w:t>
            </w:r>
          </w:p>
          <w:p w14:paraId="422584F1" w14:textId="7AC1E8A1" w:rsidR="00754499" w:rsidRDefault="00C4631C" w:rsidP="00263861">
            <w:pPr>
              <w:jc w:val="center"/>
              <w:cnfStyle w:val="000000100000" w:firstRow="0" w:lastRow="0" w:firstColumn="0" w:lastColumn="0" w:oddVBand="0" w:evenVBand="0" w:oddHBand="1" w:evenHBand="0" w:firstRowFirstColumn="0" w:firstRowLastColumn="0" w:lastRowFirstColumn="0" w:lastRowLastColumn="0"/>
            </w:pPr>
            <w:r>
              <w:rPr>
                <w:i/>
                <w:iCs/>
                <w:sz w:val="18"/>
                <w:szCs w:val="18"/>
              </w:rPr>
              <w:t>(2.7</w:t>
            </w:r>
            <w:r w:rsidR="00754499">
              <w:rPr>
                <w:i/>
                <w:iCs/>
                <w:sz w:val="18"/>
                <w:szCs w:val="18"/>
              </w:rPr>
              <w:t>%)</w:t>
            </w:r>
          </w:p>
        </w:tc>
        <w:tc>
          <w:tcPr>
            <w:tcW w:w="1587" w:type="dxa"/>
            <w:vAlign w:val="center"/>
            <w:hideMark/>
          </w:tcPr>
          <w:p w14:paraId="3469F3A2" w14:textId="77777777" w:rsidR="00754499" w:rsidRDefault="00754499" w:rsidP="00263861">
            <w:pPr>
              <w:jc w:val="center"/>
              <w:cnfStyle w:val="000000100000" w:firstRow="0" w:lastRow="0" w:firstColumn="0" w:lastColumn="0" w:oddVBand="0" w:evenVBand="0" w:oddHBand="1" w:evenHBand="0" w:firstRowFirstColumn="0" w:firstRowLastColumn="0" w:lastRowFirstColumn="0" w:lastRowLastColumn="0"/>
            </w:pPr>
            <w:r>
              <w:t>- 8.2</w:t>
            </w:r>
          </w:p>
        </w:tc>
        <w:tc>
          <w:tcPr>
            <w:tcW w:w="1680" w:type="dxa"/>
            <w:vAlign w:val="center"/>
            <w:hideMark/>
          </w:tcPr>
          <w:p w14:paraId="5FB45EC6" w14:textId="6529A42C" w:rsidR="00754499" w:rsidRDefault="00754499" w:rsidP="00263861">
            <w:pPr>
              <w:jc w:val="center"/>
              <w:cnfStyle w:val="000000100000" w:firstRow="0" w:lastRow="0" w:firstColumn="0" w:lastColumn="0" w:oddVBand="0" w:evenVBand="0" w:oddHBand="1" w:evenHBand="0" w:firstRowFirstColumn="0" w:firstRowLastColumn="0" w:lastRowFirstColumn="0" w:lastRowLastColumn="0"/>
            </w:pPr>
            <w:r>
              <w:t>-1.8</w:t>
            </w:r>
          </w:p>
        </w:tc>
      </w:tr>
    </w:tbl>
    <w:p w14:paraId="7A84E0AF" w14:textId="77777777" w:rsidR="00C4631C" w:rsidRPr="00C4631C" w:rsidRDefault="00C4631C" w:rsidP="00C4631C">
      <w:pPr>
        <w:rPr>
          <w:sz w:val="16"/>
          <w:szCs w:val="16"/>
        </w:rPr>
      </w:pPr>
      <w:r w:rsidRPr="00C4631C">
        <w:rPr>
          <w:sz w:val="16"/>
          <w:szCs w:val="16"/>
        </w:rPr>
        <w:t>* All Domestic Students includes students with an overseas address (which fell from 18,875 in 2015 to 13,760 in 2017) and those whose remoteness is not known (which increased from 154,405 in 2015 to 214,360 in 2017).</w:t>
      </w:r>
    </w:p>
    <w:p w14:paraId="28217E06" w14:textId="14C8958E" w:rsidR="00C4631C" w:rsidRPr="00C4631C" w:rsidRDefault="00C4631C" w:rsidP="00C4631C">
      <w:pPr>
        <w:rPr>
          <w:sz w:val="16"/>
          <w:szCs w:val="16"/>
        </w:rPr>
      </w:pPr>
      <w:r w:rsidRPr="00C4631C">
        <w:rPr>
          <w:sz w:val="16"/>
          <w:szCs w:val="16"/>
        </w:rPr>
        <w:t>Source: NCVER, Total VET Students and Courses Collection; ABS (2018) Regional Popula</w:t>
      </w:r>
      <w:r w:rsidRPr="00C4631C">
        <w:rPr>
          <w:b/>
          <w:sz w:val="16"/>
          <w:szCs w:val="16"/>
        </w:rPr>
        <w:t xml:space="preserve">tion Growth, Australia, 2016-17 </w:t>
      </w:r>
      <w:r>
        <w:rPr>
          <w:sz w:val="16"/>
          <w:szCs w:val="16"/>
        </w:rPr>
        <w:t>(cat. no.</w:t>
      </w:r>
      <w:r w:rsidRPr="00C4631C">
        <w:rPr>
          <w:sz w:val="16"/>
          <w:szCs w:val="16"/>
        </w:rPr>
        <w:t>333218.0).</w:t>
      </w:r>
    </w:p>
    <w:p w14:paraId="22DE944A" w14:textId="150CD3AE" w:rsidR="00164D52" w:rsidRPr="00C4631C" w:rsidRDefault="00164D52" w:rsidP="00C4631C">
      <w:pPr>
        <w:pStyle w:val="Heading3"/>
        <w:rPr>
          <w:rFonts w:eastAsia="Times New Roman"/>
        </w:rPr>
      </w:pPr>
      <w:r w:rsidRPr="00306207">
        <w:t>The importance of innovative educational models in RRR areas</w:t>
      </w:r>
    </w:p>
    <w:p w14:paraId="644C8053" w14:textId="77777777" w:rsidR="007D6BDB" w:rsidRPr="007D6BDB" w:rsidRDefault="007D6BDB" w:rsidP="007D6BDB">
      <w:pPr>
        <w:rPr>
          <w:rFonts w:ascii="Calibri" w:eastAsia="Times New Roman" w:hAnsi="Calibri" w:cs="Calibri"/>
        </w:rPr>
      </w:pPr>
      <w:r w:rsidRPr="007D6BDB">
        <w:rPr>
          <w:rFonts w:ascii="Calibri" w:eastAsia="Times New Roman" w:hAnsi="Calibri" w:cs="Calibri"/>
        </w:rPr>
        <w:t>A clear message coming out of consultations was the need for innovation in both course offerings and modes of delivery, including better integration of higher education and VET. Consultations suggested there would likely be demand in RRR areas for new, innovative course offerings that integrate or bridge the gap between VET and higher education courses, such as apprenticeship degrees and higher education qualifications focused more on practical learning and technical and professional skills development.</w:t>
      </w:r>
    </w:p>
    <w:p w14:paraId="6F4A4120" w14:textId="096B5EB3" w:rsidR="007D6BDB" w:rsidRPr="007D6BDB" w:rsidRDefault="007D6BDB" w:rsidP="002D549B">
      <w:pPr>
        <w:spacing w:after="0"/>
        <w:rPr>
          <w:rFonts w:ascii="Calibri" w:eastAsia="Times New Roman" w:hAnsi="Calibri" w:cs="Calibri"/>
        </w:rPr>
      </w:pPr>
      <w:r w:rsidRPr="007D6BDB">
        <w:rPr>
          <w:rFonts w:ascii="Calibri" w:eastAsia="Times New Roman" w:hAnsi="Calibri" w:cs="Calibri"/>
        </w:rPr>
        <w:t>Regional Study Hubs are a recent innovation, design</w:t>
      </w:r>
      <w:r>
        <w:rPr>
          <w:rFonts w:ascii="Calibri" w:eastAsia="Times New Roman" w:hAnsi="Calibri" w:cs="Calibri"/>
        </w:rPr>
        <w:t>ed to support students who wish</w:t>
      </w:r>
      <w:r w:rsidRPr="007D6BDB">
        <w:rPr>
          <w:rFonts w:ascii="Calibri" w:eastAsia="Times New Roman" w:hAnsi="Calibri" w:cs="Calibri"/>
        </w:rPr>
        <w:t xml:space="preserve"> to, or who have no alternative but to, stay in their community. The model is particularly important for mature age students, who often hav</w:t>
      </w:r>
      <w:r>
        <w:rPr>
          <w:rFonts w:ascii="Calibri" w:eastAsia="Times New Roman" w:hAnsi="Calibri" w:cs="Calibri"/>
        </w:rPr>
        <w:t xml:space="preserve">e family and work commitments, </w:t>
      </w:r>
      <w:r w:rsidRPr="007D6BDB">
        <w:rPr>
          <w:rFonts w:ascii="Calibri" w:eastAsia="Times New Roman" w:hAnsi="Calibri" w:cs="Calibri"/>
        </w:rPr>
        <w:t>which prevent them from moving. Hubs are community facilities that provide support for students to study courses delivered externally by an Australian university. They provide physical infrastructure, as well as academic and pastoral support for students studying externally. The Commonwealth currently supports 1</w:t>
      </w:r>
      <w:r>
        <w:rPr>
          <w:rFonts w:ascii="Calibri" w:eastAsia="Times New Roman" w:hAnsi="Calibri" w:cs="Calibri"/>
        </w:rPr>
        <w:t xml:space="preserve">6 community-owned Study Hubs at </w:t>
      </w:r>
      <w:r w:rsidRPr="007D6BDB">
        <w:rPr>
          <w:rFonts w:ascii="Calibri" w:eastAsia="Times New Roman" w:hAnsi="Calibri" w:cs="Calibri"/>
        </w:rPr>
        <w:t>23 sites across Australia, with a further five Hubs to be established. While the Hubs to date have focused on higher education, stakeholders have raised the potential to incorporate VET qualifications. The recent review of Australia’s VET System, undertaken by the</w:t>
      </w:r>
    </w:p>
    <w:p w14:paraId="41451F7A" w14:textId="552DAC49" w:rsidR="00A91BF6" w:rsidRDefault="007D6BDB" w:rsidP="007D6BDB">
      <w:r w:rsidRPr="007D6BDB">
        <w:rPr>
          <w:rFonts w:ascii="Calibri" w:eastAsia="Times New Roman" w:hAnsi="Calibri" w:cs="Calibri"/>
        </w:rPr>
        <w:t>Hon Steven Joyce (the Joyce Review), included a recommendation, which suggested that the program be expanded to support the participation of VET providers</w:t>
      </w:r>
      <w:r w:rsidR="00A25C21" w:rsidRPr="00306207">
        <w:t>.</w:t>
      </w:r>
      <w:r w:rsidR="00891C08" w:rsidRPr="00306207">
        <w:rPr>
          <w:rStyle w:val="FootnoteReference"/>
        </w:rPr>
        <w:footnoteReference w:id="31"/>
      </w:r>
      <w:r w:rsidR="00A25C21" w:rsidRPr="00306207">
        <w:t xml:space="preserve"> </w:t>
      </w:r>
    </w:p>
    <w:tbl>
      <w:tblPr>
        <w:tblStyle w:val="TableGrid"/>
        <w:tblW w:w="0" w:type="auto"/>
        <w:tblBorders>
          <w:top w:val="single" w:sz="12" w:space="0" w:color="5B796D" w:themeColor="accent5"/>
          <w:left w:val="single" w:sz="12" w:space="0" w:color="5B796D" w:themeColor="accent5"/>
          <w:bottom w:val="single" w:sz="12" w:space="0" w:color="5B796D" w:themeColor="accent5"/>
          <w:right w:val="single" w:sz="12" w:space="0" w:color="5B796D" w:themeColor="accent5"/>
          <w:insideH w:val="single" w:sz="12" w:space="0" w:color="5B796D" w:themeColor="accent5"/>
          <w:insideV w:val="single" w:sz="12" w:space="0" w:color="5B796D" w:themeColor="accent5"/>
        </w:tblBorders>
        <w:tblLook w:val="04A0" w:firstRow="1" w:lastRow="0" w:firstColumn="1" w:lastColumn="0" w:noHBand="0" w:noVBand="1"/>
      </w:tblPr>
      <w:tblGrid>
        <w:gridCol w:w="8996"/>
      </w:tblGrid>
      <w:tr w:rsidR="007D6BDB" w14:paraId="4A8230AA" w14:textId="77777777" w:rsidTr="007D6BDB">
        <w:tc>
          <w:tcPr>
            <w:tcW w:w="9016" w:type="dxa"/>
            <w:shd w:val="clear" w:color="auto" w:fill="E2E6E4"/>
          </w:tcPr>
          <w:p w14:paraId="67331F1C" w14:textId="0C1931A4" w:rsidR="007D6BDB" w:rsidRPr="007D6BDB" w:rsidRDefault="007D6BDB" w:rsidP="007D6BDB">
            <w:pPr>
              <w:spacing w:before="240"/>
              <w:rPr>
                <w:rStyle w:val="Strong"/>
                <w:sz w:val="36"/>
                <w:szCs w:val="36"/>
              </w:rPr>
            </w:pPr>
            <w:r w:rsidRPr="007D6BDB">
              <w:rPr>
                <w:rStyle w:val="Strong"/>
                <w:sz w:val="36"/>
                <w:szCs w:val="36"/>
              </w:rPr>
              <w:lastRenderedPageBreak/>
              <w:t>CASE STUDY</w:t>
            </w:r>
          </w:p>
          <w:p w14:paraId="3674354D" w14:textId="2168F25B" w:rsidR="007D6BDB" w:rsidRPr="007D6BDB" w:rsidRDefault="007D6BDB" w:rsidP="007D6BDB">
            <w:pPr>
              <w:spacing w:before="240"/>
              <w:rPr>
                <w:rStyle w:val="Strong"/>
                <w:color w:val="auto"/>
              </w:rPr>
            </w:pPr>
            <w:r w:rsidRPr="007D6BDB">
              <w:rPr>
                <w:rStyle w:val="Strong"/>
                <w:color w:val="auto"/>
              </w:rPr>
              <w:t>Regional Study Hubs – The Cooma Country Universities Centre.</w:t>
            </w:r>
          </w:p>
          <w:p w14:paraId="696E01FF" w14:textId="77777777" w:rsidR="007D6BDB" w:rsidRDefault="007D6BDB" w:rsidP="007D6BDB">
            <w:pPr>
              <w:spacing w:before="240"/>
            </w:pPr>
            <w:r>
              <w:t>The Country Universities Centre (CUC) is an affiliated network of not-for-profit, community owned and operated regional study centres in New South Wales (NSW). It was established in Cooma in 2013, funded through a joint venture between Snowy Hydro Ltd and the then Snowy Monaro Regional Council. Snowy Hydro gifted the centre to the Cooma community in 2014. A number of other CUCs have subsequently opened in RRR areas in NSW. Since 2013, CUC Snowy Monaro (Cooma) has supported over 220 students studying 92 different degrees at 33 universities, CUC Far West has registered 80 students and CUC Goulburn has registered 60 students. Each CUC facility offers computer terminals, high speed internet, video conferencing, printers, scanners and a textbook library. The centres employ staff to assist students with general educational, administrative and technical queries. There are also general academic and study skills workshops taught by postgraduate qualified local instructors.</w:t>
            </w:r>
          </w:p>
          <w:p w14:paraId="077910B2" w14:textId="55423EBF" w:rsidR="007D6BDB" w:rsidRDefault="007D6BDB" w:rsidP="007D6BDB">
            <w:pPr>
              <w:spacing w:before="240"/>
            </w:pPr>
          </w:p>
        </w:tc>
      </w:tr>
    </w:tbl>
    <w:p w14:paraId="5DDB9FAA" w14:textId="3880127C" w:rsidR="007D6BDB" w:rsidRDefault="007D6BDB" w:rsidP="007D6BDB">
      <w:pPr>
        <w:spacing w:before="240" w:line="276" w:lineRule="auto"/>
        <w:rPr>
          <w:rFonts w:ascii="Calibri" w:eastAsia="Times New Roman" w:hAnsi="Calibri" w:cs="Times New Roman"/>
        </w:rPr>
      </w:pPr>
      <w:r w:rsidRPr="007D6BDB">
        <w:rPr>
          <w:rFonts w:ascii="Calibri" w:eastAsia="Times New Roman" w:hAnsi="Calibri" w:cs="Times New Roman"/>
        </w:rPr>
        <w:t>To understand the success of the two most prominent hubs, the Advisory Group visited the Geraldton Universities Centre and the Cooma Country Universities Centre. The key lesson from the visits was that the effectiveness of Hubs is dependent on strong local leadership and ongoing local engagement and participation, which facilitate flexibility to cater to the local labour market and community need.</w:t>
      </w:r>
    </w:p>
    <w:tbl>
      <w:tblPr>
        <w:tblStyle w:val="TableGrid"/>
        <w:tblW w:w="0" w:type="auto"/>
        <w:tblLook w:val="04A0" w:firstRow="1" w:lastRow="0" w:firstColumn="1" w:lastColumn="0" w:noHBand="0" w:noVBand="1"/>
      </w:tblPr>
      <w:tblGrid>
        <w:gridCol w:w="8996"/>
      </w:tblGrid>
      <w:tr w:rsidR="007D6BDB" w14:paraId="5C6EDA00" w14:textId="77777777" w:rsidTr="007D6BDB">
        <w:tc>
          <w:tcPr>
            <w:tcW w:w="9016" w:type="dxa"/>
            <w:tcBorders>
              <w:top w:val="single" w:sz="12" w:space="0" w:color="F6A060"/>
              <w:left w:val="single" w:sz="12" w:space="0" w:color="F6A060"/>
              <w:bottom w:val="single" w:sz="12" w:space="0" w:color="F6A060"/>
              <w:right w:val="single" w:sz="12" w:space="0" w:color="F6A060"/>
            </w:tcBorders>
          </w:tcPr>
          <w:p w14:paraId="69E4C959" w14:textId="77777777" w:rsidR="007D6BDB" w:rsidRDefault="007D6BDB" w:rsidP="007D6BDB">
            <w:pPr>
              <w:spacing w:before="240" w:line="276" w:lineRule="auto"/>
            </w:pPr>
            <w:r w:rsidRPr="007D6BDB">
              <w:rPr>
                <w:rStyle w:val="Strong"/>
              </w:rPr>
              <w:t>KEY FINDING 1:</w:t>
            </w:r>
            <w:r>
              <w:t xml:space="preserve"> There is limited scope to raise participation and attainment rates within the current capped system for allocation of Commonwealth funded university places.</w:t>
            </w:r>
          </w:p>
          <w:p w14:paraId="090D5159" w14:textId="77777777" w:rsidR="007D6BDB" w:rsidRDefault="007D6BDB" w:rsidP="007D6BDB">
            <w:pPr>
              <w:spacing w:before="240" w:line="276" w:lineRule="auto"/>
            </w:pPr>
            <w:r w:rsidRPr="007D6BDB">
              <w:rPr>
                <w:rStyle w:val="Strong"/>
              </w:rPr>
              <w:t>KEY FINDING 2:</w:t>
            </w:r>
            <w:r>
              <w:t xml:space="preserve"> There is potential to improve the range of study options available to students by expanding access to Regional Study Hubs and developing new higher education offerings that bridge the gap between VET and university.</w:t>
            </w:r>
          </w:p>
          <w:p w14:paraId="5EF67A07" w14:textId="77777777" w:rsidR="007D6BDB" w:rsidRDefault="007D6BDB" w:rsidP="007D6BDB">
            <w:pPr>
              <w:spacing w:before="240" w:line="276" w:lineRule="auto"/>
            </w:pPr>
            <w:r w:rsidRPr="007D6BDB">
              <w:rPr>
                <w:rStyle w:val="Strong"/>
              </w:rPr>
              <w:t>KEY FINDING 3:</w:t>
            </w:r>
            <w:r>
              <w:t xml:space="preserve"> Access to 21st century internet is crucial to improving educational opportunities and outcomes for students, particularly in rural and remote locations where issues with affordable access and reliability are frequently experienced.</w:t>
            </w:r>
          </w:p>
          <w:p w14:paraId="30B44F50" w14:textId="77777777" w:rsidR="007D6BDB" w:rsidRDefault="007D6BDB" w:rsidP="007D6BDB">
            <w:pPr>
              <w:spacing w:before="240" w:line="276" w:lineRule="auto"/>
            </w:pPr>
            <w:r w:rsidRPr="007D6BDB">
              <w:rPr>
                <w:rStyle w:val="Strong"/>
              </w:rPr>
              <w:t>KEY FINDING 4:</w:t>
            </w:r>
            <w:r>
              <w:t xml:space="preserve"> There are issues with articulation and recognition of prior learning between VET and higher education, which disproportionately affect RRR students.</w:t>
            </w:r>
          </w:p>
          <w:p w14:paraId="1E4F1F42" w14:textId="105371B4" w:rsidR="007D6BDB" w:rsidRDefault="007D6BDB" w:rsidP="007D6BDB">
            <w:pPr>
              <w:spacing w:before="240" w:line="276" w:lineRule="auto"/>
            </w:pPr>
            <w:r w:rsidRPr="007D6BDB">
              <w:rPr>
                <w:rStyle w:val="Strong"/>
              </w:rPr>
              <w:t>KEY FINDING 5:</w:t>
            </w:r>
            <w:r>
              <w:t xml:space="preserve"> VET plays an important role in meeting the needs of RRR areas, but there are issues with declining levels of service provision in some areas and inconsistent regulations between jurisdictions that need to be addressed.</w:t>
            </w:r>
          </w:p>
        </w:tc>
      </w:tr>
    </w:tbl>
    <w:p w14:paraId="142F276D" w14:textId="1D2A1125" w:rsidR="006D28EE" w:rsidRPr="00306207" w:rsidRDefault="006D28EE" w:rsidP="00726804">
      <w:pPr>
        <w:pStyle w:val="Heading2"/>
      </w:pPr>
      <w:bookmarkStart w:id="44" w:name="_Toc13224796"/>
      <w:r w:rsidRPr="00306207">
        <w:t xml:space="preserve">2. </w:t>
      </w:r>
      <w:r w:rsidR="00362365" w:rsidRPr="00306207">
        <w:t xml:space="preserve">Student support: </w:t>
      </w:r>
      <w:r w:rsidRPr="00306207">
        <w:t>There is insufficient support for RRR individuals who want to participate in tertiary education</w:t>
      </w:r>
      <w:bookmarkEnd w:id="44"/>
    </w:p>
    <w:p w14:paraId="763106F5" w14:textId="279193E8" w:rsidR="007D6BDB" w:rsidRDefault="007D6BDB" w:rsidP="007D6BDB">
      <w:r>
        <w:t xml:space="preserve">RRR students face additional challenges in successfully transitioning into post-secondary education and completing their studies and, as a result, often need additional support. This is particularly the </w:t>
      </w:r>
      <w:r>
        <w:lastRenderedPageBreak/>
        <w:t>case for RRR higher education students who relocate to undertake their studies, with significant financial imposts and social dislocation. In addition, many RRR students tend to have characteristics associated with higher risk of non-completion, such as external study, mature age and part time enrolment.</w:t>
      </w:r>
    </w:p>
    <w:p w14:paraId="2CCC541A" w14:textId="08288837" w:rsidR="006A515B" w:rsidRDefault="007D6BDB" w:rsidP="000F44D4">
      <w:pPr>
        <w:spacing w:after="0"/>
      </w:pPr>
      <w:r>
        <w:t>As indicated in Figure 5, RRR students are more likely than metropolitan students to drop out of their university degree</w:t>
      </w:r>
      <w:r w:rsidR="000F44D4">
        <w:t>.</w:t>
      </w:r>
    </w:p>
    <w:p w14:paraId="15FE4A8D" w14:textId="77777777" w:rsidR="000F44D4" w:rsidRDefault="000F44D4" w:rsidP="000F44D4">
      <w:pPr>
        <w:spacing w:after="0"/>
      </w:pPr>
    </w:p>
    <w:p w14:paraId="67A0E1D4" w14:textId="31B99D2D" w:rsidR="000F44D4" w:rsidRPr="000F44D4" w:rsidRDefault="000F44D4" w:rsidP="000F44D4">
      <w:pPr>
        <w:pStyle w:val="Caption"/>
        <w:keepNext/>
        <w:rPr>
          <w:b/>
        </w:rPr>
      </w:pPr>
      <w:bookmarkStart w:id="45" w:name="_Toc13225136"/>
      <w:r w:rsidRPr="000F44D4">
        <w:rPr>
          <w:b/>
        </w:rPr>
        <w:t xml:space="preserve">Figure </w:t>
      </w:r>
      <w:r w:rsidRPr="000F44D4">
        <w:rPr>
          <w:b/>
        </w:rPr>
        <w:fldChar w:fldCharType="begin"/>
      </w:r>
      <w:r w:rsidRPr="000F44D4">
        <w:rPr>
          <w:b/>
        </w:rPr>
        <w:instrText xml:space="preserve"> SEQ Figure \* ARABIC </w:instrText>
      </w:r>
      <w:r w:rsidRPr="000F44D4">
        <w:rPr>
          <w:b/>
        </w:rPr>
        <w:fldChar w:fldCharType="separate"/>
      </w:r>
      <w:r w:rsidR="00D85656">
        <w:rPr>
          <w:b/>
          <w:noProof/>
        </w:rPr>
        <w:t>5</w:t>
      </w:r>
      <w:r w:rsidRPr="000F44D4">
        <w:rPr>
          <w:b/>
        </w:rPr>
        <w:fldChar w:fldCharType="end"/>
      </w:r>
      <w:r w:rsidRPr="000F44D4">
        <w:rPr>
          <w:b/>
        </w:rPr>
        <w:t>. Attrition rate of domestic bachelor commencing students, 2017</w:t>
      </w:r>
      <w:bookmarkEnd w:id="45"/>
    </w:p>
    <w:p w14:paraId="3A5A55B3" w14:textId="7E7F9723" w:rsidR="000F44D4" w:rsidRDefault="000652D9" w:rsidP="000F44D4">
      <w:pPr>
        <w:spacing w:after="0"/>
      </w:pPr>
      <w:r>
        <w:pict w14:anchorId="66673121">
          <v:shape id="_x0000_i1027" type="#_x0000_t75" alt="Figure 5 is a chart showing the Attrition rate of domestic bachelor comencing students, 2017&#10;Major cities 13.3%&#10;Inner Regional 17.7%&#10;Outer Regional 17.5%&#10;Remote 19.5%" style="width:474.6pt;height:85.25pt">
            <v:imagedata r:id="rId23" o:title="ED19-0084 - HE - Regional Taskforce Final Report_Figure 5"/>
          </v:shape>
        </w:pict>
      </w:r>
    </w:p>
    <w:p w14:paraId="27C09CED" w14:textId="4A0CB950" w:rsidR="000F44D4" w:rsidRPr="000F44D4" w:rsidRDefault="000F44D4" w:rsidP="000F44D4">
      <w:pPr>
        <w:spacing w:after="0"/>
        <w:rPr>
          <w:sz w:val="16"/>
          <w:szCs w:val="16"/>
        </w:rPr>
      </w:pPr>
      <w:r w:rsidRPr="000F44D4">
        <w:rPr>
          <w:sz w:val="16"/>
          <w:szCs w:val="16"/>
        </w:rPr>
        <w:t>Source: Location based on student’s first address at time of enrolment. DoE, Higher Education Statistics Collection.</w:t>
      </w:r>
    </w:p>
    <w:p w14:paraId="023D53BB" w14:textId="77777777" w:rsidR="000F44D4" w:rsidRPr="00306207" w:rsidRDefault="000F44D4" w:rsidP="000F44D4">
      <w:pPr>
        <w:spacing w:after="0"/>
      </w:pPr>
    </w:p>
    <w:p w14:paraId="44AC7D0C" w14:textId="25C99D96" w:rsidR="003308BE" w:rsidRPr="003308BE" w:rsidRDefault="003308BE" w:rsidP="003308BE">
      <w:pPr>
        <w:pStyle w:val="Pa11"/>
        <w:spacing w:after="160"/>
        <w:jc w:val="both"/>
        <w:rPr>
          <w:rFonts w:asciiTheme="minorHAnsi" w:hAnsiTheme="minorHAnsi" w:cstheme="minorHAnsi"/>
          <w:color w:val="000000"/>
          <w:sz w:val="22"/>
          <w:szCs w:val="22"/>
        </w:rPr>
      </w:pPr>
      <w:r w:rsidRPr="003308BE">
        <w:rPr>
          <w:rFonts w:asciiTheme="minorHAnsi" w:hAnsiTheme="minorHAnsi" w:cstheme="minorHAnsi"/>
          <w:color w:val="000000"/>
          <w:sz w:val="22"/>
          <w:szCs w:val="22"/>
        </w:rPr>
        <w:t>Completion rates follow a broadly similar pattern. The completion rate for domestic bachelor</w:t>
      </w:r>
      <w:r w:rsidRPr="003308BE">
        <w:rPr>
          <w:rFonts w:asciiTheme="minorHAnsi" w:hAnsiTheme="minorHAnsi" w:cstheme="minorHAnsi"/>
          <w:color w:val="000000"/>
          <w:sz w:val="22"/>
          <w:szCs w:val="22"/>
        </w:rPr>
        <w:noBreakHyphen/>
        <w:t>level university students six years after commencing in 2012, is 65.5 per cent for students from metropolitan areas, compared to 61.4 per cent for inner regional, 58.5 per cent for outer regional, and 48.7 per cent for remote areas.</w:t>
      </w:r>
      <w:r>
        <w:rPr>
          <w:rStyle w:val="FootnoteReference"/>
          <w:rFonts w:asciiTheme="minorHAnsi" w:hAnsiTheme="minorHAnsi" w:cstheme="minorHAnsi"/>
          <w:color w:val="000000"/>
          <w:sz w:val="22"/>
          <w:szCs w:val="22"/>
        </w:rPr>
        <w:footnoteReference w:id="32"/>
      </w:r>
      <w:r w:rsidRPr="003308BE">
        <w:rPr>
          <w:rStyle w:val="A101"/>
          <w:rFonts w:asciiTheme="minorHAnsi" w:hAnsiTheme="minorHAnsi" w:cstheme="minorHAnsi"/>
          <w:sz w:val="22"/>
          <w:szCs w:val="22"/>
        </w:rPr>
        <w:t xml:space="preserve"> </w:t>
      </w:r>
      <w:r w:rsidRPr="003308BE">
        <w:rPr>
          <w:rFonts w:asciiTheme="minorHAnsi" w:hAnsiTheme="minorHAnsi" w:cstheme="minorHAnsi"/>
          <w:color w:val="000000"/>
          <w:sz w:val="22"/>
          <w:szCs w:val="22"/>
        </w:rPr>
        <w:t>Similarly, projected VET completion rates are lower for students in regional and remote areas. For Certificate I and above VET programs commenced in 2016, the projected completion rates were 41.7 per cent for inner regional, 41.1 per cent for outer regional, 37.6 per cent for remote and 32.4 per cent for very remote, compared to 47.8 per cent in major cities.</w:t>
      </w:r>
      <w:r>
        <w:rPr>
          <w:rStyle w:val="FootnoteReference"/>
          <w:rFonts w:asciiTheme="minorHAnsi" w:hAnsiTheme="minorHAnsi" w:cstheme="minorHAnsi"/>
          <w:color w:val="000000"/>
          <w:sz w:val="22"/>
          <w:szCs w:val="22"/>
        </w:rPr>
        <w:footnoteReference w:id="33"/>
      </w:r>
      <w:r w:rsidRPr="003308BE">
        <w:rPr>
          <w:rStyle w:val="A101"/>
          <w:rFonts w:asciiTheme="minorHAnsi" w:hAnsiTheme="minorHAnsi" w:cstheme="minorHAnsi"/>
          <w:sz w:val="22"/>
          <w:szCs w:val="22"/>
        </w:rPr>
        <w:t xml:space="preserve"> </w:t>
      </w:r>
      <w:r w:rsidRPr="003308BE">
        <w:rPr>
          <w:rFonts w:asciiTheme="minorHAnsi" w:hAnsiTheme="minorHAnsi" w:cstheme="minorHAnsi"/>
          <w:color w:val="000000"/>
          <w:sz w:val="22"/>
          <w:szCs w:val="22"/>
        </w:rPr>
        <w:t xml:space="preserve">Completion rates for higher education and VET are not directly comparable, due to the use of different approaches for the calculations, reflecting the differences in duration and structure of courses. </w:t>
      </w:r>
    </w:p>
    <w:p w14:paraId="0E1EC0EC" w14:textId="77777777" w:rsidR="000F44D4" w:rsidRDefault="003308BE" w:rsidP="000F44D4">
      <w:pPr>
        <w:jc w:val="both"/>
        <w:rPr>
          <w:rFonts w:cstheme="minorHAnsi"/>
        </w:rPr>
      </w:pPr>
      <w:r w:rsidRPr="003308BE">
        <w:rPr>
          <w:rFonts w:cstheme="minorHAnsi"/>
        </w:rPr>
        <w:t xml:space="preserve">Improvements to financial support, as well as the student support services offered by tertiary institutions, would assist in ensuring RRR students are well supported in their transition into tertiary education, as well as throughout their tertiary study. </w:t>
      </w:r>
    </w:p>
    <w:p w14:paraId="2601ACCB" w14:textId="77777777" w:rsidR="000F44D4" w:rsidRDefault="000F44D4">
      <w:pPr>
        <w:rPr>
          <w:rFonts w:cstheme="minorHAnsi"/>
        </w:rPr>
      </w:pPr>
      <w:r>
        <w:rPr>
          <w:rFonts w:cstheme="minorHAnsi"/>
        </w:rPr>
        <w:br w:type="page"/>
      </w:r>
    </w:p>
    <w:p w14:paraId="778ADBFD" w14:textId="4CDBC42C" w:rsidR="006D28EE" w:rsidRPr="00306207" w:rsidRDefault="003076FA" w:rsidP="000F44D4">
      <w:pPr>
        <w:pStyle w:val="Heading3"/>
      </w:pPr>
      <w:r w:rsidRPr="00306207">
        <w:lastRenderedPageBreak/>
        <w:t xml:space="preserve">Financial Support </w:t>
      </w:r>
    </w:p>
    <w:p w14:paraId="1FA1D8A9" w14:textId="30AEE1F2" w:rsidR="006D28EE" w:rsidRDefault="003308BE" w:rsidP="00672817">
      <w:pPr>
        <w:spacing w:after="0"/>
        <w:jc w:val="both"/>
        <w:rPr>
          <w:color w:val="7030A0"/>
        </w:rPr>
      </w:pPr>
      <w:r w:rsidRPr="003308BE">
        <w:rPr>
          <w:rFonts w:eastAsia="Times New Roman" w:cstheme="minorHAnsi"/>
          <w:lang w:val="en" w:eastAsia="en-AU"/>
        </w:rPr>
        <w:t>RRR students are twice as likely as metropolitan students to m</w:t>
      </w:r>
      <w:r>
        <w:rPr>
          <w:rFonts w:eastAsia="Times New Roman" w:cstheme="minorHAnsi"/>
          <w:lang w:val="en" w:eastAsia="en-AU"/>
        </w:rPr>
        <w:t>ove away for higher education.</w:t>
      </w:r>
      <w:r>
        <w:rPr>
          <w:rStyle w:val="FootnoteReference"/>
          <w:rFonts w:eastAsia="Times New Roman" w:cstheme="minorHAnsi"/>
          <w:lang w:val="en" w:eastAsia="en-AU"/>
        </w:rPr>
        <w:footnoteReference w:id="34"/>
      </w:r>
      <w:r w:rsidRPr="003308BE">
        <w:rPr>
          <w:rFonts w:eastAsia="Times New Roman" w:cstheme="minorHAnsi"/>
          <w:lang w:val="en" w:eastAsia="en-AU"/>
        </w:rPr>
        <w:t xml:space="preserve"> Nearly 60 per cent of RRR students relocate to metropolitan areas to study, with a further 12 per cent m</w:t>
      </w:r>
      <w:r>
        <w:rPr>
          <w:rFonts w:eastAsia="Times New Roman" w:cstheme="minorHAnsi"/>
          <w:lang w:val="en" w:eastAsia="en-AU"/>
        </w:rPr>
        <w:t>oving to another RRR location.</w:t>
      </w:r>
      <w:r>
        <w:rPr>
          <w:rStyle w:val="FootnoteReference"/>
          <w:rFonts w:eastAsia="Times New Roman" w:cstheme="minorHAnsi"/>
          <w:lang w:val="en" w:eastAsia="en-AU"/>
        </w:rPr>
        <w:footnoteReference w:id="35"/>
      </w:r>
      <w:r w:rsidRPr="003308BE">
        <w:rPr>
          <w:rFonts w:eastAsia="Times New Roman" w:cstheme="minorHAnsi"/>
          <w:lang w:val="en" w:eastAsia="en-AU"/>
        </w:rPr>
        <w:t xml:space="preserve"> Moving can as much as double the</w:t>
      </w:r>
      <w:r>
        <w:rPr>
          <w:rFonts w:eastAsia="Times New Roman" w:cstheme="minorHAnsi"/>
          <w:lang w:val="en" w:eastAsia="en-AU"/>
        </w:rPr>
        <w:t xml:space="preserve"> cost of undertaking a degree,</w:t>
      </w:r>
      <w:r>
        <w:rPr>
          <w:rStyle w:val="FootnoteReference"/>
          <w:rFonts w:eastAsia="Times New Roman" w:cstheme="minorHAnsi"/>
          <w:lang w:val="en" w:eastAsia="en-AU"/>
        </w:rPr>
        <w:footnoteReference w:id="36"/>
      </w:r>
      <w:r w:rsidRPr="003308BE">
        <w:rPr>
          <w:rFonts w:eastAsia="Times New Roman" w:cstheme="minorHAnsi"/>
          <w:lang w:val="en" w:eastAsia="en-AU"/>
        </w:rPr>
        <w:t xml:space="preserve"> with figures of $25,000 to $30,000 per annum consistently cited by RRR parents as the cost they need to meet to support their child.</w:t>
      </w:r>
    </w:p>
    <w:p w14:paraId="401EC254" w14:textId="77777777" w:rsidR="00F62F03" w:rsidRPr="00306207" w:rsidRDefault="00F62F03" w:rsidP="00672817">
      <w:pPr>
        <w:spacing w:after="0"/>
        <w:jc w:val="both"/>
        <w:rPr>
          <w:rFonts w:cstheme="minorHAnsi"/>
          <w:color w:val="7030A0"/>
        </w:rPr>
      </w:pPr>
    </w:p>
    <w:p w14:paraId="1F018278" w14:textId="77777777" w:rsidR="006D28EE" w:rsidRPr="00306207" w:rsidRDefault="006D28EE" w:rsidP="007135BA">
      <w:pPr>
        <w:pStyle w:val="Quote"/>
        <w:rPr>
          <w:rFonts w:eastAsia="Times New Roman"/>
          <w:lang w:val="en" w:eastAsia="en-AU"/>
        </w:rPr>
      </w:pPr>
      <w:r w:rsidRPr="00306207">
        <w:rPr>
          <w:rFonts w:eastAsia="Times New Roman"/>
          <w:lang w:val="en" w:eastAsia="en-AU"/>
        </w:rPr>
        <w:t>“As a parent of a high performing student considering his future after high school, I can tell you that the major turn off to attend uni [sic] is the cost involved. As we live 4.5 hours away he would have to relocate, find accommodation, pay living expenses, pay for books etc. and also have fees to consider. We don't earn a lot and as such the costs involved really worry him…There needs to be more information and help… to allay the HUGE stress of affordability.”</w:t>
      </w:r>
    </w:p>
    <w:p w14:paraId="17F6FC7B" w14:textId="77777777" w:rsidR="006D28EE" w:rsidRPr="00306207" w:rsidRDefault="006D28EE" w:rsidP="007135BA">
      <w:pPr>
        <w:pStyle w:val="Quote"/>
        <w:jc w:val="right"/>
        <w:rPr>
          <w:rFonts w:eastAsia="Times New Roman" w:cstheme="minorHAnsi"/>
          <w:lang w:val="en" w:eastAsia="en-AU"/>
        </w:rPr>
      </w:pPr>
      <w:r w:rsidRPr="00306207">
        <w:rPr>
          <w:rFonts w:eastAsia="Times New Roman" w:cstheme="minorHAnsi"/>
          <w:lang w:val="en" w:eastAsia="en-AU"/>
        </w:rPr>
        <w:t>Ms Jodi Knight – Submission</w:t>
      </w:r>
    </w:p>
    <w:p w14:paraId="7940A7B6" w14:textId="3F52E1A8" w:rsidR="006D28EE" w:rsidRPr="00306207" w:rsidRDefault="006D28EE" w:rsidP="00672817">
      <w:pPr>
        <w:spacing w:after="0"/>
        <w:jc w:val="right"/>
        <w:rPr>
          <w:rFonts w:eastAsia="Times New Roman" w:cstheme="minorHAnsi"/>
          <w:i/>
          <w:color w:val="7030A0"/>
          <w:lang w:val="en" w:eastAsia="en-AU"/>
        </w:rPr>
      </w:pPr>
    </w:p>
    <w:p w14:paraId="23E3DAC8" w14:textId="664FCD04" w:rsidR="00F62F03" w:rsidRPr="00F62F03" w:rsidRDefault="00F62F03" w:rsidP="009A14C6">
      <w:pPr>
        <w:jc w:val="both"/>
        <w:rPr>
          <w:rFonts w:eastAsia="Times New Roman" w:cstheme="minorHAnsi"/>
          <w:lang w:val="en" w:eastAsia="en-AU"/>
        </w:rPr>
      </w:pPr>
      <w:r w:rsidRPr="00F62F03">
        <w:rPr>
          <w:rFonts w:eastAsia="Times New Roman" w:cstheme="minorHAnsi"/>
          <w:lang w:val="en" w:eastAsia="en-AU"/>
        </w:rPr>
        <w:t>The costs of relocating means RRR students are more likely to delay entering university.</w:t>
      </w:r>
      <w:r w:rsidR="009A14C6">
        <w:rPr>
          <w:rFonts w:eastAsia="Times New Roman" w:cstheme="minorHAnsi"/>
          <w:lang w:val="en" w:eastAsia="en-AU"/>
        </w:rPr>
        <w:t xml:space="preserve"> </w:t>
      </w:r>
      <w:r w:rsidRPr="00F62F03">
        <w:rPr>
          <w:rFonts w:eastAsia="Times New Roman" w:cstheme="minorHAnsi"/>
          <w:lang w:val="en" w:eastAsia="en-AU"/>
        </w:rPr>
        <w:t>Whereas 78 per cent of Year 12 metropolitan students with an Australian Tertiary Admission</w:t>
      </w:r>
      <w:r w:rsidR="009A14C6">
        <w:rPr>
          <w:rFonts w:eastAsia="Times New Roman" w:cstheme="minorHAnsi"/>
          <w:lang w:val="en" w:eastAsia="en-AU"/>
        </w:rPr>
        <w:t xml:space="preserve"> </w:t>
      </w:r>
      <w:r w:rsidRPr="00F62F03">
        <w:rPr>
          <w:rFonts w:eastAsia="Times New Roman" w:cstheme="minorHAnsi"/>
          <w:lang w:val="en" w:eastAsia="en-AU"/>
        </w:rPr>
        <w:t>Rank (ATAR) of more than 60 transition straight to university, only 55 per cent of regional</w:t>
      </w:r>
      <w:r w:rsidR="009A14C6">
        <w:rPr>
          <w:rFonts w:eastAsia="Times New Roman" w:cstheme="minorHAnsi"/>
          <w:lang w:val="en" w:eastAsia="en-AU"/>
        </w:rPr>
        <w:t xml:space="preserve"> </w:t>
      </w:r>
      <w:r>
        <w:rPr>
          <w:rFonts w:eastAsia="Times New Roman" w:cstheme="minorHAnsi"/>
          <w:lang w:val="en" w:eastAsia="en-AU"/>
        </w:rPr>
        <w:t>students do so.</w:t>
      </w:r>
      <w:r>
        <w:rPr>
          <w:rStyle w:val="FootnoteReference"/>
          <w:rFonts w:eastAsia="Times New Roman" w:cstheme="minorHAnsi"/>
          <w:lang w:val="en" w:eastAsia="en-AU"/>
        </w:rPr>
        <w:footnoteReference w:id="37"/>
      </w:r>
    </w:p>
    <w:p w14:paraId="117778A1" w14:textId="7A899911" w:rsidR="00F62F03" w:rsidRDefault="00F62F03" w:rsidP="009A14C6">
      <w:pPr>
        <w:spacing w:after="0"/>
        <w:jc w:val="both"/>
        <w:rPr>
          <w:rFonts w:eastAsia="Times New Roman" w:cstheme="minorHAnsi"/>
          <w:lang w:val="en" w:eastAsia="en-AU"/>
        </w:rPr>
      </w:pPr>
      <w:r w:rsidRPr="00F62F03">
        <w:rPr>
          <w:rFonts w:eastAsia="Times New Roman" w:cstheme="minorHAnsi"/>
          <w:lang w:val="en" w:eastAsia="en-AU"/>
        </w:rPr>
        <w:t>RRR students often defer their study to earn money to support their studies and/or to qualify</w:t>
      </w:r>
      <w:r w:rsidR="009A14C6">
        <w:rPr>
          <w:rFonts w:eastAsia="Times New Roman" w:cstheme="minorHAnsi"/>
          <w:lang w:val="en" w:eastAsia="en-AU"/>
        </w:rPr>
        <w:t xml:space="preserve"> </w:t>
      </w:r>
      <w:r w:rsidRPr="00F62F03">
        <w:rPr>
          <w:rFonts w:eastAsia="Times New Roman" w:cstheme="minorHAnsi"/>
          <w:lang w:val="en" w:eastAsia="en-AU"/>
        </w:rPr>
        <w:t>fo</w:t>
      </w:r>
      <w:r>
        <w:rPr>
          <w:rFonts w:eastAsia="Times New Roman" w:cstheme="minorHAnsi"/>
          <w:lang w:val="en" w:eastAsia="en-AU"/>
        </w:rPr>
        <w:t>r independent Youth Allowance.</w:t>
      </w:r>
      <w:r>
        <w:rPr>
          <w:rStyle w:val="FootnoteReference"/>
          <w:rFonts w:eastAsia="Times New Roman" w:cstheme="minorHAnsi"/>
          <w:lang w:val="en" w:eastAsia="en-AU"/>
        </w:rPr>
        <w:footnoteReference w:id="38"/>
      </w:r>
      <w:r w:rsidRPr="00F62F03">
        <w:rPr>
          <w:rFonts w:eastAsia="Times New Roman" w:cstheme="minorHAnsi"/>
          <w:lang w:val="en" w:eastAsia="en-AU"/>
        </w:rPr>
        <w:t xml:space="preserve"> A survey of RRR students on the ATAR track found that</w:t>
      </w:r>
      <w:r w:rsidR="009A14C6">
        <w:rPr>
          <w:rFonts w:eastAsia="Times New Roman" w:cstheme="minorHAnsi"/>
          <w:lang w:val="en" w:eastAsia="en-AU"/>
        </w:rPr>
        <w:t xml:space="preserve"> around half </w:t>
      </w:r>
      <w:r w:rsidRPr="00F62F03">
        <w:rPr>
          <w:rFonts w:eastAsia="Times New Roman" w:cstheme="minorHAnsi"/>
          <w:lang w:val="en" w:eastAsia="en-AU"/>
        </w:rPr>
        <w:t>of senior students expected to take a gap year, while only a third plan to go</w:t>
      </w:r>
      <w:r w:rsidR="009A14C6">
        <w:rPr>
          <w:rFonts w:eastAsia="Times New Roman" w:cstheme="minorHAnsi"/>
          <w:lang w:val="en" w:eastAsia="en-AU"/>
        </w:rPr>
        <w:t xml:space="preserve"> </w:t>
      </w:r>
      <w:r w:rsidRPr="00F62F03">
        <w:rPr>
          <w:rFonts w:eastAsia="Times New Roman" w:cstheme="minorHAnsi"/>
          <w:lang w:val="en" w:eastAsia="en-AU"/>
        </w:rPr>
        <w:t>straight</w:t>
      </w:r>
      <w:r w:rsidR="009A14C6">
        <w:rPr>
          <w:rFonts w:eastAsia="Times New Roman" w:cstheme="minorHAnsi"/>
          <w:lang w:val="en" w:eastAsia="en-AU"/>
        </w:rPr>
        <w:t xml:space="preserve"> to university. For </w:t>
      </w:r>
      <w:r w:rsidRPr="00F62F03">
        <w:rPr>
          <w:rFonts w:eastAsia="Times New Roman" w:cstheme="minorHAnsi"/>
          <w:lang w:val="en" w:eastAsia="en-AU"/>
        </w:rPr>
        <w:t>Year 12 students who completed the survey, the most common</w:t>
      </w:r>
      <w:r w:rsidR="009A14C6">
        <w:rPr>
          <w:rFonts w:eastAsia="Times New Roman" w:cstheme="minorHAnsi"/>
          <w:lang w:val="en" w:eastAsia="en-AU"/>
        </w:rPr>
        <w:t xml:space="preserve"> </w:t>
      </w:r>
      <w:r w:rsidRPr="00F62F03">
        <w:rPr>
          <w:rFonts w:eastAsia="Times New Roman" w:cstheme="minorHAnsi"/>
          <w:lang w:val="en" w:eastAsia="en-AU"/>
        </w:rPr>
        <w:t>reason</w:t>
      </w:r>
      <w:r w:rsidR="009A14C6">
        <w:rPr>
          <w:rFonts w:eastAsia="Times New Roman" w:cstheme="minorHAnsi"/>
          <w:lang w:val="en" w:eastAsia="en-AU"/>
        </w:rPr>
        <w:t xml:space="preserve"> for taking a gap year was “the </w:t>
      </w:r>
      <w:r w:rsidRPr="00F62F03">
        <w:rPr>
          <w:rFonts w:eastAsia="Times New Roman" w:cstheme="minorHAnsi"/>
          <w:lang w:val="en" w:eastAsia="en-AU"/>
        </w:rPr>
        <w:t>need to work to sa</w:t>
      </w:r>
      <w:r>
        <w:rPr>
          <w:rFonts w:eastAsia="Times New Roman" w:cstheme="minorHAnsi"/>
          <w:lang w:val="en" w:eastAsia="en-AU"/>
        </w:rPr>
        <w:t>ve money to go to university”.</w:t>
      </w:r>
      <w:r>
        <w:rPr>
          <w:rStyle w:val="FootnoteReference"/>
          <w:rFonts w:eastAsia="Times New Roman" w:cstheme="minorHAnsi"/>
          <w:lang w:val="en" w:eastAsia="en-AU"/>
        </w:rPr>
        <w:footnoteReference w:id="39"/>
      </w:r>
      <w:r w:rsidR="009A14C6">
        <w:rPr>
          <w:rFonts w:eastAsia="Times New Roman" w:cstheme="minorHAnsi"/>
          <w:lang w:val="en" w:eastAsia="en-AU"/>
        </w:rPr>
        <w:t xml:space="preserve"> </w:t>
      </w:r>
      <w:r w:rsidRPr="00F62F03">
        <w:rPr>
          <w:rFonts w:eastAsia="Times New Roman" w:cstheme="minorHAnsi"/>
          <w:lang w:val="en" w:eastAsia="en-AU"/>
        </w:rPr>
        <w:t>Research by the G</w:t>
      </w:r>
      <w:r w:rsidR="009A14C6">
        <w:rPr>
          <w:rFonts w:eastAsia="Times New Roman" w:cstheme="minorHAnsi"/>
          <w:lang w:val="en" w:eastAsia="en-AU"/>
        </w:rPr>
        <w:t xml:space="preserve">rattan Institute shows the best </w:t>
      </w:r>
      <w:r w:rsidRPr="00F62F03">
        <w:rPr>
          <w:rFonts w:eastAsia="Times New Roman" w:cstheme="minorHAnsi"/>
          <w:lang w:val="en" w:eastAsia="en-AU"/>
        </w:rPr>
        <w:t>predictors of successful completion of</w:t>
      </w:r>
      <w:r w:rsidR="009A14C6">
        <w:rPr>
          <w:rFonts w:eastAsia="Times New Roman" w:cstheme="minorHAnsi"/>
          <w:lang w:val="en" w:eastAsia="en-AU"/>
        </w:rPr>
        <w:t xml:space="preserve"> </w:t>
      </w:r>
      <w:r w:rsidRPr="00F62F03">
        <w:rPr>
          <w:rFonts w:eastAsia="Times New Roman" w:cstheme="minorHAnsi"/>
          <w:lang w:val="en" w:eastAsia="en-AU"/>
        </w:rPr>
        <w:t>education is the age individuals begin tertiary education and the mode of study – full time</w:t>
      </w:r>
      <w:r w:rsidR="009A14C6">
        <w:rPr>
          <w:rFonts w:eastAsia="Times New Roman" w:cstheme="minorHAnsi"/>
          <w:lang w:val="en" w:eastAsia="en-AU"/>
        </w:rPr>
        <w:t xml:space="preserve"> </w:t>
      </w:r>
      <w:r>
        <w:rPr>
          <w:rFonts w:eastAsia="Times New Roman" w:cstheme="minorHAnsi"/>
          <w:lang w:val="en" w:eastAsia="en-AU"/>
        </w:rPr>
        <w:t>or part-time.</w:t>
      </w:r>
      <w:r>
        <w:rPr>
          <w:rStyle w:val="FootnoteReference"/>
          <w:rFonts w:eastAsia="Times New Roman" w:cstheme="minorHAnsi"/>
          <w:lang w:val="en" w:eastAsia="en-AU"/>
        </w:rPr>
        <w:footnoteReference w:id="40"/>
      </w:r>
      <w:r w:rsidRPr="00F62F03">
        <w:rPr>
          <w:rFonts w:eastAsia="Times New Roman" w:cstheme="minorHAnsi"/>
          <w:lang w:val="en" w:eastAsia="en-AU"/>
        </w:rPr>
        <w:t xml:space="preserve"> RRR students who take</w:t>
      </w:r>
      <w:r w:rsidR="009A14C6">
        <w:rPr>
          <w:rFonts w:eastAsia="Times New Roman" w:cstheme="minorHAnsi"/>
          <w:lang w:val="en" w:eastAsia="en-AU"/>
        </w:rPr>
        <w:t xml:space="preserve"> a gap year and hence delay the </w:t>
      </w:r>
      <w:r w:rsidRPr="00F62F03">
        <w:rPr>
          <w:rFonts w:eastAsia="Times New Roman" w:cstheme="minorHAnsi"/>
          <w:lang w:val="en" w:eastAsia="en-AU"/>
        </w:rPr>
        <w:t>start of their tertiary</w:t>
      </w:r>
      <w:r w:rsidR="009A14C6">
        <w:rPr>
          <w:rFonts w:eastAsia="Times New Roman" w:cstheme="minorHAnsi"/>
          <w:lang w:val="en" w:eastAsia="en-AU"/>
        </w:rPr>
        <w:t xml:space="preserve"> </w:t>
      </w:r>
      <w:r w:rsidRPr="00F62F03">
        <w:rPr>
          <w:rFonts w:eastAsia="Times New Roman" w:cstheme="minorHAnsi"/>
          <w:lang w:val="en" w:eastAsia="en-AU"/>
        </w:rPr>
        <w:t>studies are, on average, less likely to complete tertiary education.</w:t>
      </w:r>
    </w:p>
    <w:p w14:paraId="0BC20AAE" w14:textId="77777777" w:rsidR="009A14C6" w:rsidRDefault="009A14C6" w:rsidP="009A14C6">
      <w:pPr>
        <w:spacing w:after="0"/>
        <w:jc w:val="both"/>
        <w:rPr>
          <w:rFonts w:eastAsia="Times New Roman" w:cstheme="minorHAnsi"/>
          <w:lang w:val="en" w:eastAsia="en-AU"/>
        </w:rPr>
      </w:pPr>
    </w:p>
    <w:p w14:paraId="014F7083" w14:textId="50D51AC3" w:rsidR="00B7095C" w:rsidRPr="009A14C6" w:rsidRDefault="009A14C6" w:rsidP="008067B5">
      <w:pPr>
        <w:rPr>
          <w:rFonts w:eastAsia="Times New Roman" w:cstheme="minorHAnsi"/>
          <w:lang w:val="en" w:eastAsia="en-AU"/>
        </w:rPr>
      </w:pPr>
      <w:r w:rsidRPr="009A14C6">
        <w:rPr>
          <w:rFonts w:eastAsia="Times New Roman" w:cstheme="minorHAnsi"/>
          <w:lang w:val="en" w:eastAsia="en-AU"/>
        </w:rPr>
        <w:t>The added financial stress of relocating can also contrib</w:t>
      </w:r>
      <w:r>
        <w:rPr>
          <w:rFonts w:eastAsia="Times New Roman" w:cstheme="minorHAnsi"/>
          <w:lang w:val="en" w:eastAsia="en-AU"/>
        </w:rPr>
        <w:t xml:space="preserve">ute to RRR students considering an early </w:t>
      </w:r>
      <w:r w:rsidRPr="009A14C6">
        <w:rPr>
          <w:rFonts w:eastAsia="Times New Roman" w:cstheme="minorHAnsi"/>
          <w:lang w:val="en" w:eastAsia="en-AU"/>
        </w:rPr>
        <w:t>departure from their tertiary studies. For example</w:t>
      </w:r>
      <w:r>
        <w:rPr>
          <w:rFonts w:eastAsia="Times New Roman" w:cstheme="minorHAnsi"/>
          <w:lang w:val="en" w:eastAsia="en-AU"/>
        </w:rPr>
        <w:t xml:space="preserve">, 30.8 per cent of RRR students </w:t>
      </w:r>
      <w:r w:rsidRPr="009A14C6">
        <w:rPr>
          <w:rFonts w:eastAsia="Times New Roman" w:cstheme="minorHAnsi"/>
          <w:lang w:val="en" w:eastAsia="en-AU"/>
        </w:rPr>
        <w:t>cite financial difficulties as the reason for considering early departure, c</w:t>
      </w:r>
      <w:r>
        <w:rPr>
          <w:rFonts w:eastAsia="Times New Roman" w:cstheme="minorHAnsi"/>
          <w:lang w:val="en" w:eastAsia="en-AU"/>
        </w:rPr>
        <w:t>ompared to 21.6 per cent of metropolitan students.</w:t>
      </w:r>
      <w:r>
        <w:rPr>
          <w:rStyle w:val="FootnoteReference"/>
          <w:rFonts w:eastAsia="Times New Roman" w:cstheme="minorHAnsi"/>
          <w:lang w:val="en" w:eastAsia="en-AU"/>
        </w:rPr>
        <w:footnoteReference w:id="41"/>
      </w:r>
      <w:r w:rsidRPr="009A14C6">
        <w:rPr>
          <w:rFonts w:eastAsia="Times New Roman" w:cstheme="minorHAnsi"/>
          <w:lang w:val="en" w:eastAsia="en-AU"/>
        </w:rPr>
        <w:t xml:space="preserve"> This can be a result of RRR students being more</w:t>
      </w:r>
      <w:r w:rsidR="008067B5">
        <w:rPr>
          <w:rFonts w:eastAsia="Times New Roman" w:cstheme="minorHAnsi"/>
          <w:lang w:val="en" w:eastAsia="en-AU"/>
        </w:rPr>
        <w:t xml:space="preserve"> </w:t>
      </w:r>
      <w:r w:rsidR="00515F2C" w:rsidRPr="00306207">
        <w:t>likely to work part-</w:t>
      </w:r>
      <w:r>
        <w:t>time to support</w:t>
      </w:r>
      <w:r w:rsidR="008067B5">
        <w:t xml:space="preserve"> </w:t>
      </w:r>
      <w:r w:rsidR="006D28EE" w:rsidRPr="00306207">
        <w:lastRenderedPageBreak/>
        <w:t xml:space="preserve">themselves, which can prevent them from participating in co-curricular activities and </w:t>
      </w:r>
      <w:r w:rsidR="00BD299F" w:rsidRPr="00306207">
        <w:t xml:space="preserve">put </w:t>
      </w:r>
      <w:r>
        <w:t xml:space="preserve">more </w:t>
      </w:r>
      <w:r w:rsidR="006D28EE" w:rsidRPr="00306207">
        <w:t>pressure and strain on their studies.</w:t>
      </w:r>
    </w:p>
    <w:p w14:paraId="0077D656" w14:textId="7A3FEF09" w:rsidR="00B7095C" w:rsidRPr="00306207" w:rsidRDefault="006F651D" w:rsidP="006F651D">
      <w:r w:rsidRPr="00306207">
        <w:t xml:space="preserve">While RRR students </w:t>
      </w:r>
      <w:r w:rsidR="00BD299F" w:rsidRPr="00306207">
        <w:t xml:space="preserve">who </w:t>
      </w:r>
      <w:r w:rsidRPr="00306207">
        <w:t>remain in their local communities do not face relocation cost</w:t>
      </w:r>
      <w:r w:rsidR="00BD299F" w:rsidRPr="00306207">
        <w:t>s</w:t>
      </w:r>
      <w:r w:rsidRPr="00306207">
        <w:t xml:space="preserve">, they can face their own unique social and financial pressures. </w:t>
      </w:r>
      <w:r w:rsidR="00B740DC" w:rsidRPr="00306207">
        <w:t>For example,</w:t>
      </w:r>
      <w:r w:rsidR="00B7095C" w:rsidRPr="00306207">
        <w:t xml:space="preserve"> they can face significant costs in terms of travelling to participate in intensive units and practicum </w:t>
      </w:r>
      <w:r w:rsidR="004C0863" w:rsidRPr="00306207">
        <w:t>components</w:t>
      </w:r>
      <w:r w:rsidR="00B7095C" w:rsidRPr="00306207">
        <w:t xml:space="preserve"> for their courses.</w:t>
      </w:r>
      <w:r w:rsidR="00B7095C" w:rsidRPr="00306207">
        <w:rPr>
          <w:vertAlign w:val="superscript"/>
        </w:rPr>
        <w:footnoteReference w:id="42"/>
      </w:r>
      <w:r w:rsidR="00B7095C" w:rsidRPr="00306207">
        <w:t xml:space="preserve"> </w:t>
      </w:r>
    </w:p>
    <w:p w14:paraId="49CB74E4" w14:textId="76ADF4D1" w:rsidR="00B7095C" w:rsidRPr="005D3E1C" w:rsidRDefault="00B7095C" w:rsidP="005D3E1C">
      <w:pPr>
        <w:spacing w:after="180"/>
      </w:pPr>
      <w:r w:rsidRPr="00306207">
        <w:t xml:space="preserve">The higher costs of supporting regional students </w:t>
      </w:r>
      <w:r w:rsidR="004C0863" w:rsidRPr="00306207">
        <w:t xml:space="preserve">to undertake tertiary study </w:t>
      </w:r>
      <w:r w:rsidRPr="00306207">
        <w:t xml:space="preserve">are recognised by the existing Youth Allowance system, which provides up to $12,000 </w:t>
      </w:r>
      <w:r w:rsidRPr="0023084F">
        <w:t xml:space="preserve">extra per year to support RRR students </w:t>
      </w:r>
      <w:r w:rsidRPr="008F17DA">
        <w:t>living away from home, compared to their city counterparts who live at home.</w:t>
      </w:r>
      <w:r w:rsidR="00AA54DA" w:rsidRPr="008F17DA">
        <w:t xml:space="preserve"> It is estimated that </w:t>
      </w:r>
      <w:r w:rsidR="00AA54DA" w:rsidRPr="00FE550B">
        <w:t>around half of the</w:t>
      </w:r>
      <w:r w:rsidR="00FE550B">
        <w:t xml:space="preserve"> 73,669 full-time</w:t>
      </w:r>
      <w:r w:rsidR="00AA54DA" w:rsidRPr="00FE550B">
        <w:t xml:space="preserve"> higher education students aged under 22 from RRR areas receive some form of Youth Allowance, with</w:t>
      </w:r>
      <w:r w:rsidR="00FE550B">
        <w:t xml:space="preserve"> around half of these students</w:t>
      </w:r>
      <w:r w:rsidR="00AA54DA" w:rsidRPr="00FE550B">
        <w:t xml:space="preserve"> receiving the maximum rate.</w:t>
      </w:r>
    </w:p>
    <w:p w14:paraId="30940EE0" w14:textId="75832E0D" w:rsidR="00B7095C" w:rsidRPr="00306207" w:rsidRDefault="00B7095C" w:rsidP="00B7095C">
      <w:r w:rsidRPr="00306207">
        <w:t xml:space="preserve">The Government also provides Fares Allowance to </w:t>
      </w:r>
      <w:r w:rsidR="004C0863" w:rsidRPr="00306207">
        <w:t xml:space="preserve">eligible </w:t>
      </w:r>
      <w:r w:rsidRPr="00306207">
        <w:t xml:space="preserve">RRR students who have to move away from home to study. This allowance enables RRR students who have relocated for </w:t>
      </w:r>
      <w:r w:rsidR="008067B5">
        <w:t xml:space="preserve">tertiary education to travel to and </w:t>
      </w:r>
      <w:r w:rsidRPr="00306207">
        <w:t xml:space="preserve">from their place of study at the beginning and end of the academic year. </w:t>
      </w:r>
      <w:r w:rsidR="00EE1669" w:rsidRPr="00306207">
        <w:t xml:space="preserve">The </w:t>
      </w:r>
      <w:r w:rsidRPr="00306207">
        <w:t xml:space="preserve">Halsey Review identified </w:t>
      </w:r>
      <w:r w:rsidR="007D3F3C">
        <w:t>several</w:t>
      </w:r>
      <w:r w:rsidR="002A4214">
        <w:t xml:space="preserve"> </w:t>
      </w:r>
      <w:r w:rsidRPr="00306207">
        <w:t xml:space="preserve">areas where Fares Allowance policy could be improved. For example, it does not provide any assistance for </w:t>
      </w:r>
      <w:r w:rsidR="00A91BF6" w:rsidRPr="00306207">
        <w:t>families</w:t>
      </w:r>
      <w:r w:rsidRPr="00306207">
        <w:t xml:space="preserve"> to help </w:t>
      </w:r>
      <w:r w:rsidR="00A91BF6" w:rsidRPr="00306207">
        <w:t>students</w:t>
      </w:r>
      <w:r w:rsidRPr="00306207">
        <w:t xml:space="preserve"> settle into their new accommodation at the start of study</w:t>
      </w:r>
      <w:r w:rsidR="00A91BF6" w:rsidRPr="00306207">
        <w:t>. N</w:t>
      </w:r>
      <w:r w:rsidR="00BD299F" w:rsidRPr="00306207">
        <w:t>or</w:t>
      </w:r>
      <w:r w:rsidR="00C76EC0" w:rsidRPr="00306207">
        <w:t xml:space="preserve"> does it assist</w:t>
      </w:r>
      <w:r w:rsidR="00BD299F" w:rsidRPr="00306207">
        <w:t xml:space="preserve"> </w:t>
      </w:r>
      <w:r w:rsidR="00554DE5" w:rsidRPr="00306207">
        <w:t xml:space="preserve">prospective </w:t>
      </w:r>
      <w:r w:rsidRPr="00306207">
        <w:t xml:space="preserve">students </w:t>
      </w:r>
      <w:r w:rsidR="004C0863" w:rsidRPr="00306207">
        <w:t>to</w:t>
      </w:r>
      <w:r w:rsidR="00C76EC0" w:rsidRPr="00306207">
        <w:t xml:space="preserve"> visit potential tertiary education institutions</w:t>
      </w:r>
      <w:r w:rsidR="004C0863" w:rsidRPr="00306207">
        <w:t xml:space="preserve"> </w:t>
      </w:r>
      <w:r w:rsidR="00C76EC0" w:rsidRPr="00306207">
        <w:t xml:space="preserve">or </w:t>
      </w:r>
      <w:r w:rsidRPr="00306207">
        <w:t>undertake testing</w:t>
      </w:r>
      <w:r w:rsidR="00BD299F" w:rsidRPr="00306207">
        <w:t xml:space="preserve"> </w:t>
      </w:r>
      <w:r w:rsidRPr="00306207">
        <w:t>required for entry</w:t>
      </w:r>
      <w:r w:rsidR="00BD299F" w:rsidRPr="00306207">
        <w:t xml:space="preserve"> into</w:t>
      </w:r>
      <w:r w:rsidRPr="00306207">
        <w:t xml:space="preserve"> a specific course. </w:t>
      </w:r>
    </w:p>
    <w:p w14:paraId="19AD6212" w14:textId="77777777" w:rsidR="008067B5" w:rsidRDefault="008067B5" w:rsidP="005D3E1C">
      <w:pPr>
        <w:spacing w:after="180"/>
      </w:pPr>
      <w:r w:rsidRPr="008067B5">
        <w:t xml:space="preserve">For Indigenous tertiary education students, financial support initiatives include ABSTUDY, which provides financial assistance for Indigenous students or apprentices, and the Indigenous Student Success Program (ISSP), which provides supplementary funding to universities to offer scholarships, tutorial assistance, mentoring, study skills and other support services. ABSTUDY recipients are also eligible to apply for Away from Base assistance, which provides funding to support students who study by distance to attend compulsory, face-to-face components of their course, for example, professional placements. </w:t>
      </w:r>
    </w:p>
    <w:p w14:paraId="7FBD3E6E" w14:textId="7699D5C5" w:rsidR="006D28EE" w:rsidRPr="00306207" w:rsidRDefault="002100E0" w:rsidP="005D3E1C">
      <w:pPr>
        <w:spacing w:after="180"/>
        <w:rPr>
          <w:rFonts w:cstheme="minorHAnsi"/>
        </w:rPr>
      </w:pPr>
      <w:r w:rsidRPr="00306207">
        <w:t xml:space="preserve">In </w:t>
      </w:r>
      <w:r w:rsidR="003076FA" w:rsidRPr="00306207">
        <w:t>response to</w:t>
      </w:r>
      <w:r w:rsidR="00B7095C" w:rsidRPr="00306207">
        <w:t xml:space="preserve"> </w:t>
      </w:r>
      <w:r w:rsidR="003076FA" w:rsidRPr="00306207">
        <w:t>the Halsey Review</w:t>
      </w:r>
      <w:r w:rsidRPr="00306207">
        <w:t>,</w:t>
      </w:r>
      <w:r w:rsidR="006D28EE" w:rsidRPr="00306207">
        <w:t xml:space="preserve"> </w:t>
      </w:r>
      <w:r w:rsidR="006D28EE" w:rsidRPr="00306207">
        <w:rPr>
          <w:rFonts w:cstheme="minorHAnsi"/>
        </w:rPr>
        <w:t>the Australian Government</w:t>
      </w:r>
      <w:r w:rsidR="003076FA" w:rsidRPr="00306207">
        <w:rPr>
          <w:rFonts w:cstheme="minorHAnsi"/>
        </w:rPr>
        <w:t xml:space="preserve"> has taken</w:t>
      </w:r>
      <w:r w:rsidRPr="00306207">
        <w:rPr>
          <w:rFonts w:cstheme="minorHAnsi"/>
        </w:rPr>
        <w:t xml:space="preserve"> recent</w:t>
      </w:r>
      <w:r w:rsidR="003076FA" w:rsidRPr="00306207">
        <w:rPr>
          <w:rFonts w:cstheme="minorHAnsi"/>
        </w:rPr>
        <w:t xml:space="preserve"> action</w:t>
      </w:r>
      <w:r w:rsidR="006D28EE" w:rsidRPr="00306207">
        <w:rPr>
          <w:rFonts w:cstheme="minorHAnsi"/>
        </w:rPr>
        <w:t xml:space="preserve"> in the area of income support to make it easier for RRR students to become independent for Youth Allowance purposes. On 1 January 2019, the Government introduced changes to the Concessional Workforce Independence criteria, which increased the parental cut-off from $150,000 to $160,000 for regional students, with the cut-off increasing by $10,000 for each additional child in the family. While it is too early to determine the impact of these changes, it is expected these reforms will benefit an addition</w:t>
      </w:r>
      <w:r w:rsidR="008067B5">
        <w:rPr>
          <w:rFonts w:cstheme="minorHAnsi"/>
        </w:rPr>
        <w:t>al 2</w:t>
      </w:r>
      <w:r w:rsidR="006D28EE" w:rsidRPr="00306207">
        <w:rPr>
          <w:rFonts w:cstheme="minorHAnsi"/>
        </w:rPr>
        <w:t>300 RRR students.</w:t>
      </w:r>
      <w:r w:rsidR="004F2686" w:rsidRPr="00306207">
        <w:rPr>
          <w:rFonts w:cstheme="minorHAnsi"/>
        </w:rPr>
        <w:t xml:space="preserve"> </w:t>
      </w:r>
    </w:p>
    <w:p w14:paraId="76AC278A" w14:textId="44BE3093" w:rsidR="00C0619F" w:rsidRPr="00306207" w:rsidRDefault="00BD299F" w:rsidP="005D3E1C">
      <w:pPr>
        <w:spacing w:after="180"/>
        <w:rPr>
          <w:rFonts w:eastAsia="Times New Roman" w:cstheme="minorHAnsi"/>
          <w:lang w:val="en" w:eastAsia="en-AU"/>
        </w:rPr>
      </w:pPr>
      <w:r w:rsidRPr="00306207">
        <w:rPr>
          <w:rFonts w:eastAsia="Times New Roman" w:cstheme="minorHAnsi"/>
          <w:lang w:val="en" w:eastAsia="en-AU"/>
        </w:rPr>
        <w:t>Despite the recent changes, s</w:t>
      </w:r>
      <w:r w:rsidR="00C0619F" w:rsidRPr="00306207">
        <w:rPr>
          <w:rFonts w:eastAsia="Times New Roman" w:cstheme="minorHAnsi"/>
          <w:lang w:val="en" w:eastAsia="en-AU"/>
        </w:rPr>
        <w:t>takeholder feedback</w:t>
      </w:r>
      <w:r w:rsidRPr="00306207">
        <w:rPr>
          <w:rFonts w:eastAsia="Times New Roman" w:cstheme="minorHAnsi"/>
          <w:lang w:val="en" w:eastAsia="en-AU"/>
        </w:rPr>
        <w:t xml:space="preserve"> </w:t>
      </w:r>
      <w:r w:rsidR="00C0619F" w:rsidRPr="00306207">
        <w:rPr>
          <w:rFonts w:eastAsia="Times New Roman" w:cstheme="minorHAnsi"/>
          <w:lang w:val="en" w:eastAsia="en-AU"/>
        </w:rPr>
        <w:t>indicates that the financial cost of tertiary educatio</w:t>
      </w:r>
      <w:r w:rsidRPr="00306207">
        <w:rPr>
          <w:rFonts w:eastAsia="Times New Roman" w:cstheme="minorHAnsi"/>
          <w:lang w:val="en" w:eastAsia="en-AU"/>
        </w:rPr>
        <w:t xml:space="preserve">n </w:t>
      </w:r>
      <w:r w:rsidR="00463118" w:rsidRPr="00306207">
        <w:rPr>
          <w:rFonts w:eastAsia="Times New Roman" w:cstheme="minorHAnsi"/>
          <w:lang w:val="en" w:eastAsia="en-AU"/>
        </w:rPr>
        <w:t xml:space="preserve">remains </w:t>
      </w:r>
      <w:r w:rsidR="00C0619F" w:rsidRPr="00306207">
        <w:rPr>
          <w:rFonts w:eastAsia="Times New Roman" w:cstheme="minorHAnsi"/>
          <w:lang w:val="en" w:eastAsia="en-AU"/>
        </w:rPr>
        <w:t>a significant issue and deterrent for RRR student</w:t>
      </w:r>
      <w:r w:rsidRPr="00306207">
        <w:rPr>
          <w:rFonts w:eastAsia="Times New Roman" w:cstheme="minorHAnsi"/>
          <w:lang w:val="en" w:eastAsia="en-AU"/>
        </w:rPr>
        <w:t>s</w:t>
      </w:r>
      <w:r w:rsidR="00C0619F" w:rsidRPr="00306207">
        <w:rPr>
          <w:rFonts w:eastAsia="Times New Roman" w:cstheme="minorHAnsi"/>
          <w:lang w:val="en" w:eastAsia="en-AU"/>
        </w:rPr>
        <w:t>. One explanatio</w:t>
      </w:r>
      <w:r w:rsidRPr="00306207">
        <w:rPr>
          <w:rFonts w:eastAsia="Times New Roman" w:cstheme="minorHAnsi"/>
          <w:lang w:val="en" w:eastAsia="en-AU"/>
        </w:rPr>
        <w:t>n</w:t>
      </w:r>
      <w:r w:rsidR="00C0619F" w:rsidRPr="00306207">
        <w:rPr>
          <w:rFonts w:eastAsia="Times New Roman" w:cstheme="minorHAnsi"/>
          <w:lang w:val="en" w:eastAsia="en-AU"/>
        </w:rPr>
        <w:t xml:space="preserve"> could be that students do not fully understand what </w:t>
      </w:r>
      <w:r w:rsidR="00C76EC0" w:rsidRPr="00306207">
        <w:rPr>
          <w:rFonts w:eastAsia="Times New Roman" w:cstheme="minorHAnsi"/>
          <w:lang w:val="en" w:eastAsia="en-AU"/>
        </w:rPr>
        <w:t xml:space="preserve">financial </w:t>
      </w:r>
      <w:r w:rsidR="00C0619F" w:rsidRPr="00306207">
        <w:rPr>
          <w:rFonts w:eastAsia="Times New Roman" w:cstheme="minorHAnsi"/>
          <w:lang w:val="en" w:eastAsia="en-AU"/>
        </w:rPr>
        <w:t xml:space="preserve">support they </w:t>
      </w:r>
      <w:r w:rsidR="007D3F3C">
        <w:rPr>
          <w:rFonts w:eastAsia="Times New Roman" w:cstheme="minorHAnsi"/>
          <w:lang w:val="en" w:eastAsia="en-AU"/>
        </w:rPr>
        <w:t>could access</w:t>
      </w:r>
      <w:r w:rsidR="00C0619F" w:rsidRPr="00306207">
        <w:rPr>
          <w:rFonts w:eastAsia="Times New Roman" w:cstheme="minorHAnsi"/>
          <w:lang w:val="en" w:eastAsia="en-AU"/>
        </w:rPr>
        <w:t>.</w:t>
      </w:r>
      <w:r w:rsidR="00C76EC0" w:rsidRPr="00306207">
        <w:rPr>
          <w:rFonts w:eastAsia="Times New Roman" w:cstheme="minorHAnsi"/>
          <w:lang w:val="en" w:eastAsia="en-AU"/>
        </w:rPr>
        <w:t xml:space="preserve"> </w:t>
      </w:r>
      <w:r w:rsidR="00C76EC0" w:rsidRPr="00306207">
        <w:t>There are currently more than 3000 scholarships available to Australian students studying VET and higher education, administered through various sources, such as education provider</w:t>
      </w:r>
      <w:r w:rsidR="002A4214">
        <w:t>s</w:t>
      </w:r>
      <w:r w:rsidR="00C76EC0" w:rsidRPr="00306207">
        <w:t>, charities, private entities and government</w:t>
      </w:r>
      <w:r w:rsidR="002A4214">
        <w:t>s</w:t>
      </w:r>
      <w:r w:rsidR="00C76EC0" w:rsidRPr="00306207">
        <w:t>.</w:t>
      </w:r>
      <w:r w:rsidR="00C76EC0" w:rsidRPr="00306207">
        <w:rPr>
          <w:rStyle w:val="FootnoteReference"/>
        </w:rPr>
        <w:footnoteReference w:id="43"/>
      </w:r>
      <w:r w:rsidR="00C76EC0" w:rsidRPr="00306207">
        <w:t xml:space="preserve"> </w:t>
      </w:r>
      <w:r w:rsidR="00C0619F" w:rsidRPr="00306207">
        <w:rPr>
          <w:rFonts w:eastAsia="Times New Roman" w:cstheme="minorHAnsi"/>
          <w:lang w:val="en" w:eastAsia="en-AU"/>
        </w:rPr>
        <w:t>A number of submissions noted that young people in RRR areas often do not know, or cannot decipher</w:t>
      </w:r>
      <w:r w:rsidRPr="00306207">
        <w:rPr>
          <w:rFonts w:eastAsia="Times New Roman" w:cstheme="minorHAnsi"/>
          <w:lang w:val="en" w:eastAsia="en-AU"/>
        </w:rPr>
        <w:t>,</w:t>
      </w:r>
      <w:r w:rsidR="00C0619F" w:rsidRPr="00306207">
        <w:rPr>
          <w:rFonts w:eastAsia="Times New Roman" w:cstheme="minorHAnsi"/>
          <w:lang w:val="en" w:eastAsia="en-AU"/>
        </w:rPr>
        <w:t xml:space="preserve"> what financial support is available to them. These observations are supported by </w:t>
      </w:r>
      <w:r w:rsidR="00C0619F" w:rsidRPr="00306207">
        <w:rPr>
          <w:rFonts w:eastAsia="Times New Roman" w:cstheme="minorHAnsi"/>
          <w:lang w:val="en" w:eastAsia="en-AU"/>
        </w:rPr>
        <w:lastRenderedPageBreak/>
        <w:t>a survey of RRR students in NSW, which found that students are often “ignorant of the Centrelink rules about qualifying for independence.”</w:t>
      </w:r>
      <w:r w:rsidR="00C0619F" w:rsidRPr="00306207">
        <w:rPr>
          <w:rFonts w:eastAsia="Times New Roman" w:cstheme="minorHAnsi"/>
          <w:vertAlign w:val="superscript"/>
          <w:lang w:val="en" w:eastAsia="en-AU"/>
        </w:rPr>
        <w:footnoteReference w:id="44"/>
      </w:r>
      <w:r w:rsidR="00C0619F" w:rsidRPr="00306207">
        <w:rPr>
          <w:rFonts w:eastAsia="Times New Roman" w:cstheme="minorHAnsi"/>
          <w:lang w:val="en" w:eastAsia="en-AU"/>
        </w:rPr>
        <w:t xml:space="preserve"> </w:t>
      </w:r>
      <w:r w:rsidR="00911091" w:rsidRPr="00306207">
        <w:rPr>
          <w:rFonts w:eastAsia="Times New Roman" w:cstheme="minorHAnsi"/>
          <w:lang w:val="en" w:eastAsia="en-AU"/>
        </w:rPr>
        <w:t xml:space="preserve"> </w:t>
      </w:r>
    </w:p>
    <w:p w14:paraId="28FD9D22" w14:textId="4F5A5EE1" w:rsidR="007B0351" w:rsidRPr="00306207" w:rsidRDefault="006D28EE" w:rsidP="005D3E1C">
      <w:pPr>
        <w:spacing w:after="120"/>
      </w:pPr>
      <w:r w:rsidRPr="00306207">
        <w:t>Another explanation could be that the current arrangements are not delivering the intended outcome of improving support for RRR students. Stakeholder feedback captures a wide range of reasons why this might be the case, including the timing of payments, the rate of payments, parental income cut</w:t>
      </w:r>
      <w:r w:rsidR="002A4214">
        <w:noBreakHyphen/>
      </w:r>
      <w:r w:rsidRPr="00306207">
        <w:t xml:space="preserve">offs and tapering rates, the criteria to become independent and how payments are targeted. </w:t>
      </w:r>
    </w:p>
    <w:p w14:paraId="1CA6110F" w14:textId="77777777" w:rsidR="00B7095C" w:rsidRPr="00306207" w:rsidRDefault="00B7095C" w:rsidP="00726804">
      <w:pPr>
        <w:pStyle w:val="Heading3"/>
      </w:pPr>
      <w:r w:rsidRPr="00306207">
        <w:t>Other forms of support</w:t>
      </w:r>
    </w:p>
    <w:p w14:paraId="151D186F" w14:textId="37A74E43" w:rsidR="00B7095C" w:rsidRPr="00306207" w:rsidRDefault="00B7095C" w:rsidP="008067B5">
      <w:r w:rsidRPr="00306207">
        <w:t xml:space="preserve">Emotional and social challenges can be significant for tertiary students, and particularly so for RRR students. RRR students who relocate are often separated from their traditional social and support networks, which can have a negative impact on their intrinsic sense of belonging. </w:t>
      </w:r>
      <w:r w:rsidR="00BD7F7C" w:rsidRPr="00306207">
        <w:t>H</w:t>
      </w:r>
      <w:r w:rsidRPr="00306207">
        <w:t xml:space="preserve">ealth and stress is by far the most common reason RRR students consider withdrawing from university </w:t>
      </w:r>
      <w:r w:rsidR="00BD299F" w:rsidRPr="00306207">
        <w:t>(</w:t>
      </w:r>
      <w:r w:rsidR="008067B5">
        <w:t>50.5</w:t>
      </w:r>
      <w:r w:rsidRPr="00306207">
        <w:t xml:space="preserve"> per cent</w:t>
      </w:r>
      <w:r w:rsidR="008067B5">
        <w:t xml:space="preserve"> of RRR students, compared to 44.6</w:t>
      </w:r>
      <w:r w:rsidRPr="00306207">
        <w:t xml:space="preserve"> per cent of metropolitan students</w:t>
      </w:r>
      <w:r w:rsidR="00BD299F" w:rsidRPr="00306207">
        <w:t>).</w:t>
      </w:r>
      <w:r w:rsidR="00BD299F" w:rsidRPr="00306207">
        <w:rPr>
          <w:rStyle w:val="FootnoteReference"/>
        </w:rPr>
        <w:footnoteReference w:id="45"/>
      </w:r>
    </w:p>
    <w:p w14:paraId="183F04BD" w14:textId="77777777" w:rsidR="00B7095C" w:rsidRPr="00306207" w:rsidRDefault="00B7095C" w:rsidP="008067B5">
      <w:pPr>
        <w:pStyle w:val="Quote"/>
      </w:pPr>
      <w:r w:rsidRPr="00306207">
        <w:t>“RRR students are particularly vulnerable and need additional support to maintain good mental health, due to a number of factors including the stress of moving to the city to study, absence of family and previously built support networks, and financial strain. Most Australian universities are falling short of student needs when it comes to providing suitable mental health services. When done correctly, these services can increase retention rates and completion times.”</w:t>
      </w:r>
    </w:p>
    <w:p w14:paraId="1A31AF10" w14:textId="476CDCD2" w:rsidR="00B7095C" w:rsidRPr="00306207" w:rsidRDefault="00B7095C" w:rsidP="008067B5">
      <w:pPr>
        <w:pStyle w:val="Quote"/>
      </w:pPr>
      <w:r w:rsidRPr="00306207">
        <w:t>Council of Australian Postgra</w:t>
      </w:r>
      <w:r w:rsidR="008067B5">
        <w:t>duate Associations - Submission</w:t>
      </w:r>
    </w:p>
    <w:p w14:paraId="1ED00188" w14:textId="05E4FA1C" w:rsidR="00C76EC0" w:rsidRPr="00306207" w:rsidRDefault="00C76EC0" w:rsidP="00B7095C">
      <w:r w:rsidRPr="004A18E3">
        <w:t>For Indigenous RRR students, relocating can involve additional challenges associated with moving off Country. Indigenous students may also be required to return home more regularly in order to participate in important cultural activities.</w:t>
      </w:r>
      <w:r w:rsidRPr="004A18E3">
        <w:rPr>
          <w:rStyle w:val="FootnoteReference"/>
        </w:rPr>
        <w:footnoteReference w:id="46"/>
      </w:r>
    </w:p>
    <w:p w14:paraId="01BB5086" w14:textId="4551E218" w:rsidR="00B7095C" w:rsidRPr="00306207" w:rsidRDefault="00B7095C" w:rsidP="00B7095C">
      <w:r w:rsidRPr="00306207">
        <w:t xml:space="preserve">RRR </w:t>
      </w:r>
      <w:r w:rsidR="00B740DC" w:rsidRPr="00306207">
        <w:t xml:space="preserve">higher education </w:t>
      </w:r>
      <w:r w:rsidRPr="00306207">
        <w:t>students who study in their home communities face different challenges.</w:t>
      </w:r>
      <w:r w:rsidR="00B740DC" w:rsidRPr="00306207">
        <w:t xml:space="preserve"> </w:t>
      </w:r>
      <w:r w:rsidR="0065328C">
        <w:t>As noted above, s</w:t>
      </w:r>
      <w:r w:rsidR="00B740DC" w:rsidRPr="00306207">
        <w:t xml:space="preserve">tudents </w:t>
      </w:r>
      <w:r w:rsidRPr="00306207">
        <w:t>at regional universities are more likely to be mature age and studying part</w:t>
      </w:r>
      <w:r w:rsidR="008067B5">
        <w:noBreakHyphen/>
      </w:r>
      <w:r w:rsidRPr="00306207">
        <w:t>time,</w:t>
      </w:r>
      <w:r w:rsidRPr="00306207">
        <w:rPr>
          <w:vertAlign w:val="superscript"/>
        </w:rPr>
        <w:footnoteReference w:id="47"/>
      </w:r>
      <w:r w:rsidRPr="00306207">
        <w:t xml:space="preserve"> which means they are often juggling competing priorities, including work commitments and caring responsibilities. This may limit the time they are able to dedicate to their studies and, as a result, inhibit their ability to finish their degree. They are also more likely to be female, Indigenous and</w:t>
      </w:r>
      <w:r w:rsidR="00C76EC0" w:rsidRPr="00306207">
        <w:t xml:space="preserve"> </w:t>
      </w:r>
      <w:r w:rsidRPr="00306207">
        <w:t xml:space="preserve">from a low </w:t>
      </w:r>
      <w:r w:rsidR="00BD299F" w:rsidRPr="00306207">
        <w:t xml:space="preserve">SES </w:t>
      </w:r>
      <w:r w:rsidRPr="00306207">
        <w:t>background, which can mean they require additional support services, such as child</w:t>
      </w:r>
      <w:r w:rsidR="008067B5">
        <w:t xml:space="preserve"> </w:t>
      </w:r>
      <w:r w:rsidRPr="00306207">
        <w:t>care.</w:t>
      </w:r>
      <w:r w:rsidRPr="00306207">
        <w:rPr>
          <w:vertAlign w:val="superscript"/>
        </w:rPr>
        <w:footnoteReference w:id="48"/>
      </w:r>
      <w:r w:rsidRPr="00306207">
        <w:t xml:space="preserve"> In addition, for students in </w:t>
      </w:r>
      <w:r w:rsidR="00B53784" w:rsidRPr="00306207">
        <w:t xml:space="preserve">outer regional and </w:t>
      </w:r>
      <w:r w:rsidRPr="00306207">
        <w:t xml:space="preserve">remote areas, transportation to attend classes can be an issue, with limited options available for students who do not have access </w:t>
      </w:r>
      <w:r w:rsidR="00A718FD" w:rsidRPr="00306207">
        <w:t>to</w:t>
      </w:r>
      <w:r w:rsidRPr="00306207">
        <w:t xml:space="preserve"> a car. </w:t>
      </w:r>
    </w:p>
    <w:p w14:paraId="01BB9CD5" w14:textId="61EAB3FF" w:rsidR="00B740DC" w:rsidRPr="00306207" w:rsidRDefault="00B7095C" w:rsidP="00B7095C">
      <w:r w:rsidRPr="00306207">
        <w:t xml:space="preserve">RRR higher education students are also more likely to study </w:t>
      </w:r>
      <w:r w:rsidR="00043ED1">
        <w:t>externally</w:t>
      </w:r>
      <w:r w:rsidR="00043ED1" w:rsidRPr="00306207">
        <w:t xml:space="preserve"> </w:t>
      </w:r>
      <w:r w:rsidR="008067B5">
        <w:t>(32.0 per cent compared to 17.7</w:t>
      </w:r>
      <w:r w:rsidR="0065328C">
        <w:t> </w:t>
      </w:r>
      <w:r w:rsidRPr="00306207">
        <w:t>per</w:t>
      </w:r>
      <w:r w:rsidR="0065328C">
        <w:t> </w:t>
      </w:r>
      <w:r w:rsidRPr="00306207">
        <w:t>cent in metropolitan areas).</w:t>
      </w:r>
      <w:r w:rsidR="00BE2179">
        <w:rPr>
          <w:rStyle w:val="FootnoteReference"/>
        </w:rPr>
        <w:footnoteReference w:id="49"/>
      </w:r>
      <w:r w:rsidRPr="00306207">
        <w:t xml:space="preserve"> While </w:t>
      </w:r>
      <w:r w:rsidR="00043ED1">
        <w:t>external</w:t>
      </w:r>
      <w:r w:rsidR="00043ED1" w:rsidRPr="00306207">
        <w:t xml:space="preserve"> </w:t>
      </w:r>
      <w:r w:rsidRPr="00306207">
        <w:t xml:space="preserve">learning is, in many ways, enhancing access in RRR areas, it has its own set of issues. For example, unreliable internet access and lack of </w:t>
      </w:r>
      <w:r w:rsidR="00F509AA">
        <w:t>face</w:t>
      </w:r>
      <w:r w:rsidR="00F509AA">
        <w:noBreakHyphen/>
        <w:t>to</w:t>
      </w:r>
      <w:r w:rsidR="00F509AA">
        <w:noBreakHyphen/>
      </w:r>
      <w:r w:rsidRPr="00306207">
        <w:t xml:space="preserve">face support can also have an impact on learning experience and chances of success. </w:t>
      </w:r>
    </w:p>
    <w:p w14:paraId="11EF3723" w14:textId="7DDB4EF2" w:rsidR="00BD299F" w:rsidRPr="00306207" w:rsidRDefault="00BD299F" w:rsidP="000A569F"/>
    <w:p w14:paraId="2122F642" w14:textId="77777777" w:rsidR="00BD299F" w:rsidRPr="00306207" w:rsidRDefault="00BD299F" w:rsidP="00F509AA">
      <w:pPr>
        <w:pStyle w:val="Quote"/>
      </w:pPr>
      <w:r w:rsidRPr="00306207">
        <w:lastRenderedPageBreak/>
        <w:t xml:space="preserve">“Many students studying independently in RRR areas, such as through online courses, drop out of their courses for a variety of reasons; they may suffer from lack of mentoring/assistance to keep on track with their studies or to surmount hurdles they may encounter, such as with their course assessments, with IT, or in their personal lives. The recent </w:t>
      </w:r>
      <w:hyperlink r:id="rId24" w:history="1">
        <w:r w:rsidRPr="00306207">
          <w:t>Regional Study Hubs Program</w:t>
        </w:r>
      </w:hyperlink>
      <w:r w:rsidRPr="00306207">
        <w:t xml:space="preserve"> has sought to address this to some extent, but this could be further expanded with additional hubs and services that take a more personalised approach to tracking student progression and wellbeing to aid retention.”</w:t>
      </w:r>
    </w:p>
    <w:p w14:paraId="554E12D3" w14:textId="77777777" w:rsidR="00BD299F" w:rsidRPr="00306207" w:rsidRDefault="00BD299F" w:rsidP="00F509AA">
      <w:pPr>
        <w:pStyle w:val="Quote"/>
      </w:pPr>
      <w:r w:rsidRPr="00306207">
        <w:t>Charles Darwin University – Submission</w:t>
      </w:r>
    </w:p>
    <w:p w14:paraId="0A0CE293" w14:textId="3823747B" w:rsidR="00B7095C" w:rsidRPr="00306207" w:rsidRDefault="00B7095C" w:rsidP="00BD299F"/>
    <w:p w14:paraId="081AD47B" w14:textId="141A9690" w:rsidR="00F509AA" w:rsidRDefault="00B7095C" w:rsidP="0065328C">
      <w:pPr>
        <w:rPr>
          <w:rFonts w:cstheme="minorHAnsi"/>
        </w:rPr>
      </w:pPr>
      <w:r w:rsidRPr="00306207">
        <w:rPr>
          <w:rFonts w:cstheme="minorHAnsi"/>
        </w:rPr>
        <w:t>Consultations highlighted the important role of student su</w:t>
      </w:r>
      <w:r w:rsidR="00106B6D">
        <w:rPr>
          <w:rFonts w:cstheme="minorHAnsi"/>
        </w:rPr>
        <w:t xml:space="preserve">pport services, particularly in </w:t>
      </w:r>
      <w:r w:rsidR="00505678">
        <w:rPr>
          <w:rFonts w:cstheme="minorHAnsi"/>
        </w:rPr>
        <w:t>“</w:t>
      </w:r>
      <w:r w:rsidRPr="00306207">
        <w:rPr>
          <w:rFonts w:cstheme="minorHAnsi"/>
        </w:rPr>
        <w:t>on</w:t>
      </w:r>
      <w:r w:rsidR="007A1688">
        <w:rPr>
          <w:rFonts w:cstheme="minorHAnsi"/>
        </w:rPr>
        <w:noBreakHyphen/>
      </w:r>
      <w:r w:rsidRPr="00306207">
        <w:rPr>
          <w:rFonts w:cstheme="minorHAnsi"/>
        </w:rPr>
        <w:t>boarding</w:t>
      </w:r>
      <w:r w:rsidR="00505678">
        <w:rPr>
          <w:rFonts w:cstheme="minorHAnsi"/>
        </w:rPr>
        <w:t>”</w:t>
      </w:r>
      <w:r w:rsidRPr="00306207">
        <w:rPr>
          <w:rFonts w:cstheme="minorHAnsi"/>
        </w:rPr>
        <w:t xml:space="preserve"> </w:t>
      </w:r>
      <w:r w:rsidR="00EC7FED" w:rsidRPr="00306207">
        <w:rPr>
          <w:rFonts w:cstheme="minorHAnsi"/>
        </w:rPr>
        <w:t xml:space="preserve">relocating </w:t>
      </w:r>
      <w:r w:rsidRPr="00306207">
        <w:rPr>
          <w:rFonts w:cstheme="minorHAnsi"/>
        </w:rPr>
        <w:t xml:space="preserve">students </w:t>
      </w:r>
      <w:r w:rsidR="00EC7FED" w:rsidRPr="00306207">
        <w:rPr>
          <w:rFonts w:cstheme="minorHAnsi"/>
        </w:rPr>
        <w:t>who</w:t>
      </w:r>
      <w:r w:rsidRPr="00306207">
        <w:rPr>
          <w:rFonts w:cstheme="minorHAnsi"/>
        </w:rPr>
        <w:t xml:space="preserve"> are isolated from their</w:t>
      </w:r>
      <w:r w:rsidR="00106B6D">
        <w:rPr>
          <w:rFonts w:cstheme="minorHAnsi"/>
        </w:rPr>
        <w:t xml:space="preserve"> social networks, with research </w:t>
      </w:r>
      <w:r w:rsidRPr="00306207">
        <w:rPr>
          <w:rFonts w:cstheme="minorHAnsi"/>
        </w:rPr>
        <w:t>showing that students are mo</w:t>
      </w:r>
      <w:r w:rsidR="00EC7FED" w:rsidRPr="00306207">
        <w:rPr>
          <w:rFonts w:cstheme="minorHAnsi"/>
        </w:rPr>
        <w:t>st</w:t>
      </w:r>
      <w:r w:rsidRPr="00306207">
        <w:rPr>
          <w:rFonts w:cstheme="minorHAnsi"/>
        </w:rPr>
        <w:t xml:space="preserve"> likely to withdraw from study in their first year.</w:t>
      </w:r>
      <w:r w:rsidRPr="00306207">
        <w:rPr>
          <w:rStyle w:val="FootnoteReference"/>
          <w:rFonts w:cstheme="minorHAnsi"/>
        </w:rPr>
        <w:footnoteReference w:id="50"/>
      </w:r>
      <w:r w:rsidRPr="00306207">
        <w:rPr>
          <w:rFonts w:cstheme="minorHAnsi"/>
        </w:rPr>
        <w:t xml:space="preserve"> </w:t>
      </w:r>
    </w:p>
    <w:p w14:paraId="63503E98" w14:textId="635D29D6" w:rsidR="0065328C" w:rsidRPr="007A1688" w:rsidRDefault="00EC7FED" w:rsidP="0065328C">
      <w:pPr>
        <w:rPr>
          <w:rFonts w:cstheme="minorHAnsi"/>
        </w:rPr>
      </w:pPr>
      <w:r w:rsidRPr="00306207">
        <w:t xml:space="preserve">Many </w:t>
      </w:r>
      <w:r w:rsidR="00B7095C" w:rsidRPr="00306207">
        <w:t>positive examples of student support services provided at universities</w:t>
      </w:r>
      <w:r w:rsidR="00BD299F" w:rsidRPr="00306207">
        <w:t xml:space="preserve">, including mentoring programs and targeted orientation sessions, </w:t>
      </w:r>
      <w:r w:rsidRPr="00306207">
        <w:t xml:space="preserve">were raised </w:t>
      </w:r>
      <w:r w:rsidR="00BD299F" w:rsidRPr="00306207">
        <w:t>by stakeholders.</w:t>
      </w:r>
      <w:r w:rsidR="0065328C">
        <w:t xml:space="preserve"> In addition, many institutions</w:t>
      </w:r>
      <w:r w:rsidR="007A1688">
        <w:t xml:space="preserve"> have implemented</w:t>
      </w:r>
      <w:r w:rsidR="0065328C">
        <w:t xml:space="preserve"> </w:t>
      </w:r>
      <w:r w:rsidR="007A1688">
        <w:t>c</w:t>
      </w:r>
      <w:r w:rsidR="0065328C">
        <w:t>ultural safety programs</w:t>
      </w:r>
      <w:r w:rsidR="007A1688">
        <w:t>, which</w:t>
      </w:r>
      <w:r w:rsidR="0065328C">
        <w:t xml:space="preserve"> </w:t>
      </w:r>
      <w:r w:rsidR="007A1688">
        <w:t xml:space="preserve">provide an opportunity for staff and students to learn, </w:t>
      </w:r>
      <w:r w:rsidR="0065328C">
        <w:t>recognise and respect the cultural identities of others, and safely meet their needs, expectations and rights.</w:t>
      </w:r>
      <w:r w:rsidR="007A1688">
        <w:rPr>
          <w:rFonts w:cstheme="minorHAnsi"/>
        </w:rPr>
        <w:t xml:space="preserve"> </w:t>
      </w:r>
      <w:r w:rsidR="00BD299F" w:rsidRPr="00306207">
        <w:t>I</w:t>
      </w:r>
      <w:r w:rsidR="00595316" w:rsidRPr="00306207">
        <w:t>mpro</w:t>
      </w:r>
      <w:r w:rsidR="00BD299F" w:rsidRPr="00306207">
        <w:t>ving</w:t>
      </w:r>
      <w:r w:rsidR="00595316" w:rsidRPr="00306207">
        <w:t xml:space="preserve"> the consistency of these</w:t>
      </w:r>
      <w:r w:rsidR="007A1688">
        <w:t xml:space="preserve"> </w:t>
      </w:r>
      <w:r w:rsidR="00BD299F" w:rsidRPr="00306207">
        <w:t>services</w:t>
      </w:r>
      <w:r w:rsidR="00595316" w:rsidRPr="00306207">
        <w:t xml:space="preserve"> across </w:t>
      </w:r>
      <w:r w:rsidR="00913171" w:rsidRPr="00306207">
        <w:t>all ter</w:t>
      </w:r>
      <w:r w:rsidR="00595316" w:rsidRPr="00306207">
        <w:t>tiary education providers will have a positive impact on RRR student</w:t>
      </w:r>
      <w:r w:rsidR="00B7095C" w:rsidRPr="00306207">
        <w:t xml:space="preserve"> </w:t>
      </w:r>
      <w:r w:rsidR="00595316" w:rsidRPr="00306207">
        <w:t xml:space="preserve">outcomes. </w:t>
      </w:r>
    </w:p>
    <w:p w14:paraId="3BF4D9DF" w14:textId="77777777" w:rsidR="00F509AA" w:rsidRDefault="00714A97" w:rsidP="00F509AA">
      <w:r w:rsidRPr="00306207">
        <w:t>RRR VET students are more likely to be studying locally or at a regional institution, which</w:t>
      </w:r>
      <w:r w:rsidR="00204770" w:rsidRPr="00306207">
        <w:t xml:space="preserve"> are often </w:t>
      </w:r>
      <w:r w:rsidRPr="00306207">
        <w:t xml:space="preserve">supportive and responsive to RRR student needs. </w:t>
      </w:r>
      <w:r w:rsidR="00B7095C" w:rsidRPr="00306207">
        <w:t>VET providers</w:t>
      </w:r>
      <w:r w:rsidR="00BD299F" w:rsidRPr="00306207">
        <w:t xml:space="preserve"> also</w:t>
      </w:r>
      <w:r w:rsidR="00B7095C" w:rsidRPr="00306207">
        <w:t xml:space="preserve"> employ </w:t>
      </w:r>
      <w:r w:rsidRPr="00306207">
        <w:t xml:space="preserve">specific </w:t>
      </w:r>
      <w:r w:rsidR="00B7095C" w:rsidRPr="00306207">
        <w:t xml:space="preserve">strategies to engage and support students from RRR areas, including those with additional literacy and numeracy learning needs. </w:t>
      </w:r>
      <w:r w:rsidR="00C76EC0" w:rsidRPr="00306207">
        <w:t>A number of stakehold</w:t>
      </w:r>
      <w:r w:rsidR="00C76EC0" w:rsidRPr="00F509AA">
        <w:t>er</w:t>
      </w:r>
      <w:r w:rsidR="00B758AF" w:rsidRPr="00F509AA">
        <w:t>s</w:t>
      </w:r>
      <w:r w:rsidR="00C76EC0" w:rsidRPr="00306207">
        <w:t xml:space="preserve"> raised that</w:t>
      </w:r>
      <w:r w:rsidR="004721EB" w:rsidRPr="00306207">
        <w:t xml:space="preserve"> addressing low levels of Language, Literacy and Numeracy (LLN) is a major part of </w:t>
      </w:r>
      <w:r w:rsidR="00F509AA">
        <w:t>VET</w:t>
      </w:r>
      <w:r w:rsidR="004721EB" w:rsidRPr="00306207">
        <w:t xml:space="preserve"> delivery in RRR areas. </w:t>
      </w:r>
      <w:r w:rsidR="00B740DC" w:rsidRPr="00306207">
        <w:t>I</w:t>
      </w:r>
      <w:r w:rsidR="00130A9E" w:rsidRPr="00306207">
        <w:t>n some instances</w:t>
      </w:r>
      <w:r w:rsidR="00B740DC" w:rsidRPr="00306207">
        <w:t xml:space="preserve"> this</w:t>
      </w:r>
      <w:r w:rsidR="00130A9E" w:rsidRPr="00306207">
        <w:t xml:space="preserve"> is </w:t>
      </w:r>
      <w:r w:rsidR="001F5FAF" w:rsidRPr="004A18E3">
        <w:t>related to Engli</w:t>
      </w:r>
      <w:r w:rsidR="00B740DC" w:rsidRPr="004A18E3">
        <w:t xml:space="preserve">sh being a second language for </w:t>
      </w:r>
      <w:r w:rsidR="00F509AA">
        <w:t>the student, which can</w:t>
      </w:r>
      <w:r w:rsidR="001F5FAF" w:rsidRPr="00306207">
        <w:t xml:space="preserve"> </w:t>
      </w:r>
      <w:r w:rsidR="00F509AA">
        <w:t>impact</w:t>
      </w:r>
      <w:r w:rsidR="005A2309" w:rsidRPr="00306207">
        <w:t xml:space="preserve"> on tertiary education participation and success.</w:t>
      </w:r>
      <w:r w:rsidR="004721EB" w:rsidRPr="00306207">
        <w:rPr>
          <w:rStyle w:val="FootnoteReference"/>
        </w:rPr>
        <w:footnoteReference w:id="51"/>
      </w:r>
      <w:r w:rsidR="005A2309" w:rsidRPr="00306207">
        <w:t xml:space="preserve"> </w:t>
      </w:r>
    </w:p>
    <w:p w14:paraId="0E39CF39" w14:textId="23670E94" w:rsidR="00F509AA" w:rsidRPr="00F509AA" w:rsidRDefault="00F509AA" w:rsidP="00F509AA">
      <w:r w:rsidRPr="00F509AA">
        <w:rPr>
          <w:bCs/>
          <w:iCs/>
        </w:rPr>
        <w:t>Analysis conducted by the National Centre for Vocational Education Research (NCVER) in 2018 identified 13 regions where participation and completion rates for VET were notably high.</w:t>
      </w:r>
      <w:r>
        <w:rPr>
          <w:rStyle w:val="FootnoteReference"/>
          <w:bCs/>
          <w:iCs/>
        </w:rPr>
        <w:footnoteReference w:id="52"/>
      </w:r>
      <w:r w:rsidRPr="00F509AA">
        <w:rPr>
          <w:bCs/>
          <w:iCs/>
        </w:rPr>
        <w:t xml:space="preserve"> It showed that these regions used a combination of course and learner</w:t>
      </w:r>
      <w:r w:rsidRPr="00F509AA">
        <w:rPr>
          <w:bCs/>
          <w:iCs/>
        </w:rPr>
        <w:noBreakHyphen/>
        <w:t>based strategies to improve outcomes.</w:t>
      </w:r>
      <w:r w:rsidR="00106B6D">
        <w:rPr>
          <w:rStyle w:val="FootnoteReference"/>
          <w:bCs/>
          <w:iCs/>
        </w:rPr>
        <w:footnoteReference w:id="53"/>
      </w:r>
      <w:r w:rsidRPr="00F509AA">
        <w:rPr>
          <w:bCs/>
          <w:iCs/>
        </w:rPr>
        <w:t xml:space="preserve"> Strategies used by training providers in high performing regions include:</w:t>
      </w:r>
    </w:p>
    <w:p w14:paraId="026DDE51" w14:textId="65B6BB37" w:rsidR="00B7095C" w:rsidRPr="00306207" w:rsidRDefault="00B7095C" w:rsidP="00AE4055">
      <w:pPr>
        <w:pStyle w:val="ListParagraph"/>
        <w:numPr>
          <w:ilvl w:val="0"/>
          <w:numId w:val="1"/>
        </w:numPr>
        <w:spacing w:after="120" w:line="276" w:lineRule="auto"/>
        <w:rPr>
          <w:bCs/>
          <w:iCs/>
          <w:lang w:val="en"/>
        </w:rPr>
      </w:pPr>
      <w:r w:rsidRPr="00306207">
        <w:rPr>
          <w:bCs/>
          <w:iCs/>
          <w:lang w:val="en"/>
        </w:rPr>
        <w:t>using community member programs and engaging in community partnerships</w:t>
      </w:r>
    </w:p>
    <w:p w14:paraId="4BF683CB" w14:textId="1B52608C" w:rsidR="00B7095C" w:rsidRPr="00306207" w:rsidRDefault="00B7095C" w:rsidP="00AE4055">
      <w:pPr>
        <w:pStyle w:val="ListParagraph"/>
        <w:numPr>
          <w:ilvl w:val="0"/>
          <w:numId w:val="1"/>
        </w:numPr>
        <w:spacing w:after="120" w:line="276" w:lineRule="auto"/>
        <w:rPr>
          <w:bCs/>
          <w:iCs/>
          <w:lang w:val="en"/>
        </w:rPr>
      </w:pPr>
      <w:r w:rsidRPr="00306207">
        <w:rPr>
          <w:bCs/>
          <w:iCs/>
          <w:lang w:val="en"/>
        </w:rPr>
        <w:t>co-locating education and training with other community services</w:t>
      </w:r>
    </w:p>
    <w:p w14:paraId="4B2AEFB2" w14:textId="424EA0FE" w:rsidR="00B7095C" w:rsidRPr="00306207" w:rsidRDefault="00B7095C" w:rsidP="00AE4055">
      <w:pPr>
        <w:pStyle w:val="ListParagraph"/>
        <w:numPr>
          <w:ilvl w:val="0"/>
          <w:numId w:val="1"/>
        </w:numPr>
        <w:spacing w:after="120" w:line="276" w:lineRule="auto"/>
        <w:rPr>
          <w:bCs/>
          <w:iCs/>
          <w:lang w:val="en"/>
        </w:rPr>
      </w:pPr>
      <w:r w:rsidRPr="00306207">
        <w:rPr>
          <w:bCs/>
          <w:iCs/>
          <w:lang w:val="en"/>
        </w:rPr>
        <w:t>delivering programs in community settings</w:t>
      </w:r>
    </w:p>
    <w:p w14:paraId="493A4E30" w14:textId="5D830AB6" w:rsidR="00B7095C" w:rsidRPr="00306207" w:rsidRDefault="00B7095C" w:rsidP="00AE4055">
      <w:pPr>
        <w:pStyle w:val="ListParagraph"/>
        <w:numPr>
          <w:ilvl w:val="0"/>
          <w:numId w:val="1"/>
        </w:numPr>
        <w:spacing w:after="120" w:line="276" w:lineRule="auto"/>
        <w:rPr>
          <w:bCs/>
          <w:iCs/>
          <w:lang w:val="en"/>
        </w:rPr>
      </w:pPr>
      <w:r w:rsidRPr="00306207">
        <w:rPr>
          <w:bCs/>
          <w:iCs/>
          <w:lang w:val="en"/>
        </w:rPr>
        <w:t>tailoring programs specifically for learners with low skills</w:t>
      </w:r>
      <w:r w:rsidR="00714F56">
        <w:rPr>
          <w:bCs/>
          <w:iCs/>
          <w:lang w:val="en"/>
        </w:rPr>
        <w:t>,</w:t>
      </w:r>
      <w:r w:rsidR="005A2309" w:rsidRPr="00306207">
        <w:rPr>
          <w:bCs/>
          <w:iCs/>
          <w:lang w:val="en"/>
        </w:rPr>
        <w:t xml:space="preserve"> and</w:t>
      </w:r>
    </w:p>
    <w:p w14:paraId="5CD66F10" w14:textId="03151ACF" w:rsidR="00F509AA" w:rsidRDefault="00B7095C" w:rsidP="00AE4055">
      <w:pPr>
        <w:pStyle w:val="ListParagraph"/>
        <w:numPr>
          <w:ilvl w:val="0"/>
          <w:numId w:val="1"/>
        </w:numPr>
        <w:spacing w:after="120" w:line="276" w:lineRule="auto"/>
        <w:rPr>
          <w:bCs/>
          <w:iCs/>
          <w:lang w:val="en"/>
        </w:rPr>
      </w:pPr>
      <w:r w:rsidRPr="00306207">
        <w:rPr>
          <w:bCs/>
          <w:iCs/>
          <w:lang w:val="en"/>
        </w:rPr>
        <w:t>building relationships with local employers to help learners gain work experience</w:t>
      </w:r>
      <w:r w:rsidR="005A2309" w:rsidRPr="00306207">
        <w:rPr>
          <w:bCs/>
          <w:iCs/>
          <w:lang w:val="en"/>
        </w:rPr>
        <w:t>.</w:t>
      </w:r>
    </w:p>
    <w:p w14:paraId="395EC0BE" w14:textId="5D368E6A" w:rsidR="00391367" w:rsidRPr="00306207" w:rsidRDefault="00F509AA" w:rsidP="00F509AA">
      <w:pPr>
        <w:rPr>
          <w:bCs/>
          <w:iCs/>
          <w:lang w:val="en"/>
        </w:rPr>
      </w:pPr>
      <w:r>
        <w:rPr>
          <w:bCs/>
          <w:iCs/>
          <w:lang w:val="en"/>
        </w:rPr>
        <w:br w:type="page"/>
      </w:r>
    </w:p>
    <w:p w14:paraId="18C1D361" w14:textId="073ECB2D" w:rsidR="00B7095C" w:rsidRPr="00306207" w:rsidRDefault="00391367" w:rsidP="00A50297">
      <w:pPr>
        <w:spacing w:after="0"/>
      </w:pPr>
      <w:r w:rsidRPr="00306207">
        <w:rPr>
          <w:rFonts w:cstheme="minorHAnsi"/>
        </w:rPr>
        <w:lastRenderedPageBreak/>
        <w:t>T</w:t>
      </w:r>
      <w:r w:rsidR="00B7095C" w:rsidRPr="00306207">
        <w:rPr>
          <w:rFonts w:cstheme="minorHAnsi"/>
        </w:rPr>
        <w:t xml:space="preserve">he </w:t>
      </w:r>
      <w:r w:rsidR="00B7095C" w:rsidRPr="00306207">
        <w:t>Higher Education Participation and Partnerships Program (HEPPP) also plays a role in supporting public universities to implement strategies to improve attainment and retention outcomes for students</w:t>
      </w:r>
      <w:r w:rsidR="001F5FAF" w:rsidRPr="00306207">
        <w:t>, targeted at those</w:t>
      </w:r>
      <w:r w:rsidR="00B7095C" w:rsidRPr="00306207">
        <w:t xml:space="preserve"> from low SES backgrounds, including </w:t>
      </w:r>
      <w:r w:rsidR="001F5FAF" w:rsidRPr="00306207">
        <w:t xml:space="preserve">students </w:t>
      </w:r>
      <w:r w:rsidR="00B7095C" w:rsidRPr="00306207">
        <w:t xml:space="preserve">from RRR areas. </w:t>
      </w:r>
      <w:r w:rsidR="00B740DC" w:rsidRPr="00306207">
        <w:t xml:space="preserve">Further discussion about the HEPPP </w:t>
      </w:r>
      <w:r w:rsidR="00672817" w:rsidRPr="00306207">
        <w:t>is</w:t>
      </w:r>
      <w:r w:rsidR="002A301F" w:rsidRPr="00306207">
        <w:t xml:space="preserve"> provided</w:t>
      </w:r>
      <w:r w:rsidR="00672817" w:rsidRPr="00306207">
        <w:t xml:space="preserve"> </w:t>
      </w:r>
      <w:r w:rsidR="00714F56">
        <w:t>in</w:t>
      </w:r>
      <w:r w:rsidR="00714F56" w:rsidRPr="00306207">
        <w:t xml:space="preserve"> </w:t>
      </w:r>
      <w:r w:rsidR="00672817" w:rsidRPr="00306207">
        <w:t>the next section on equity groups.</w:t>
      </w:r>
    </w:p>
    <w:p w14:paraId="79188190" w14:textId="77777777" w:rsidR="00BD299F" w:rsidRPr="00306207" w:rsidRDefault="00BD299F" w:rsidP="00A50297">
      <w:pPr>
        <w:spacing w:after="0"/>
      </w:pPr>
    </w:p>
    <w:p w14:paraId="5ED7014F" w14:textId="2C3BC8C5" w:rsidR="002A301F" w:rsidRDefault="003365B0" w:rsidP="00B7095C">
      <w:pPr>
        <w:rPr>
          <w:rFonts w:cstheme="minorHAnsi"/>
        </w:rPr>
      </w:pPr>
      <w:r>
        <w:rPr>
          <w:rFonts w:cstheme="minorHAnsi"/>
        </w:rPr>
        <w:t>W</w:t>
      </w:r>
      <w:r w:rsidR="00B7095C" w:rsidRPr="00306207">
        <w:rPr>
          <w:rFonts w:cstheme="minorHAnsi"/>
        </w:rPr>
        <w:t xml:space="preserve">hile there are many examples where tertiary institutions, </w:t>
      </w:r>
      <w:r w:rsidR="00B53784" w:rsidRPr="00306207">
        <w:rPr>
          <w:rFonts w:cstheme="minorHAnsi"/>
        </w:rPr>
        <w:t xml:space="preserve">often </w:t>
      </w:r>
      <w:r w:rsidR="00B7095C" w:rsidRPr="00306207">
        <w:rPr>
          <w:rFonts w:cstheme="minorHAnsi"/>
        </w:rPr>
        <w:t>drawing on government funding, have put in place targeted and successful support services to assist RRR students, available service offerings vary considerably across institutions</w:t>
      </w:r>
      <w:r w:rsidR="00B7095C" w:rsidRPr="00306207">
        <w:t xml:space="preserve">. More could be done to increase transparency and accountability, particularly in the higher education sector where </w:t>
      </w:r>
      <w:r w:rsidR="00B7095C" w:rsidRPr="00306207">
        <w:rPr>
          <w:rFonts w:cstheme="minorHAnsi"/>
        </w:rPr>
        <w:t>the provision of support services to university students is a core requirement of the higher education standards framework</w:t>
      </w:r>
      <w:r w:rsidR="00B7095C" w:rsidRPr="00306207">
        <w:t xml:space="preserve">. </w:t>
      </w:r>
      <w:r w:rsidR="00B7095C" w:rsidRPr="00306207">
        <w:rPr>
          <w:rFonts w:cstheme="minorHAnsi"/>
        </w:rPr>
        <w:t xml:space="preserve">There are also opportunities for institutions to increase their effort in supporting students in smaller and diverse community settings, including through </w:t>
      </w:r>
      <w:r>
        <w:rPr>
          <w:rFonts w:cstheme="minorHAnsi"/>
        </w:rPr>
        <w:t>S</w:t>
      </w:r>
      <w:r w:rsidR="00B7095C" w:rsidRPr="00306207">
        <w:rPr>
          <w:rFonts w:cstheme="minorHAnsi"/>
        </w:rPr>
        <w:t>tudy </w:t>
      </w:r>
      <w:r>
        <w:rPr>
          <w:rFonts w:cstheme="minorHAnsi"/>
        </w:rPr>
        <w:t>H</w:t>
      </w:r>
      <w:r w:rsidR="00B7095C" w:rsidRPr="00306207">
        <w:rPr>
          <w:rFonts w:cstheme="minorHAnsi"/>
        </w:rPr>
        <w:t>ubs and delivery of outreach support on</w:t>
      </w:r>
      <w:r>
        <w:rPr>
          <w:rFonts w:cstheme="minorHAnsi"/>
        </w:rPr>
        <w:t> </w:t>
      </w:r>
      <w:r w:rsidR="00B7095C" w:rsidRPr="00306207">
        <w:rPr>
          <w:rFonts w:cstheme="minorHAnsi"/>
        </w:rPr>
        <w:t>Country</w:t>
      </w:r>
      <w:r w:rsidR="00B7095C" w:rsidRPr="00306207">
        <w:rPr>
          <w:rFonts w:cstheme="minorHAnsi"/>
          <w:vertAlign w:val="superscript"/>
        </w:rPr>
        <w:footnoteReference w:id="54"/>
      </w:r>
      <w:r w:rsidR="00B7095C" w:rsidRPr="00306207">
        <w:rPr>
          <w:rFonts w:cstheme="minorHAnsi"/>
        </w:rPr>
        <w:t xml:space="preserve"> to remote Indigenous communities.</w:t>
      </w:r>
    </w:p>
    <w:tbl>
      <w:tblPr>
        <w:tblStyle w:val="TableGrid"/>
        <w:tblW w:w="0" w:type="auto"/>
        <w:tblLook w:val="04A0" w:firstRow="1" w:lastRow="0" w:firstColumn="1" w:lastColumn="0" w:noHBand="0" w:noVBand="1"/>
      </w:tblPr>
      <w:tblGrid>
        <w:gridCol w:w="8996"/>
      </w:tblGrid>
      <w:tr w:rsidR="00F509AA" w14:paraId="38D88B42" w14:textId="77777777" w:rsidTr="00D051E8">
        <w:tc>
          <w:tcPr>
            <w:tcW w:w="9016" w:type="dxa"/>
            <w:tcBorders>
              <w:top w:val="single" w:sz="12" w:space="0" w:color="F6A060"/>
              <w:left w:val="single" w:sz="12" w:space="0" w:color="F6A060"/>
              <w:bottom w:val="single" w:sz="12" w:space="0" w:color="F6A060"/>
              <w:right w:val="single" w:sz="12" w:space="0" w:color="F6A060"/>
            </w:tcBorders>
          </w:tcPr>
          <w:p w14:paraId="042FA38A" w14:textId="3E1176B0" w:rsidR="00F509AA" w:rsidRPr="00D051E8" w:rsidRDefault="00D051E8" w:rsidP="00D051E8">
            <w:pPr>
              <w:spacing w:before="240" w:line="276" w:lineRule="auto"/>
              <w:rPr>
                <w:rStyle w:val="Strong"/>
              </w:rPr>
            </w:pPr>
            <w:r>
              <w:rPr>
                <w:rStyle w:val="Strong"/>
              </w:rPr>
              <w:t>K</w:t>
            </w:r>
            <w:r w:rsidR="00F509AA" w:rsidRPr="00D051E8">
              <w:rPr>
                <w:rStyle w:val="Strong"/>
              </w:rPr>
              <w:t xml:space="preserve">EY FINDING 6: </w:t>
            </w:r>
            <w:r w:rsidR="00F509AA" w:rsidRPr="00D051E8">
              <w:t>The costs associated with relocating for tertiary study can deter RRR students and create additional pressures for RRR students and their families, leading to higher rates of RRR students who defer their studies or drop out in their first year.</w:t>
            </w:r>
            <w:r w:rsidR="00F509AA" w:rsidRPr="00D051E8">
              <w:rPr>
                <w:rStyle w:val="Strong"/>
              </w:rPr>
              <w:t xml:space="preserve"> </w:t>
            </w:r>
          </w:p>
          <w:p w14:paraId="2B8D0EEF" w14:textId="77777777" w:rsidR="00F509AA" w:rsidRPr="00D051E8" w:rsidRDefault="00F509AA" w:rsidP="00D051E8">
            <w:pPr>
              <w:spacing w:before="240" w:line="276" w:lineRule="auto"/>
            </w:pPr>
            <w:r w:rsidRPr="00D051E8">
              <w:rPr>
                <w:rStyle w:val="Strong"/>
              </w:rPr>
              <w:t xml:space="preserve">KEY FINDING 7: </w:t>
            </w:r>
            <w:r w:rsidRPr="00D051E8">
              <w:t xml:space="preserve">Transport costs associated with tertiary education can be a major issue for students who relocate to study and for those who live in RRR areas. </w:t>
            </w:r>
          </w:p>
          <w:p w14:paraId="5D82BA85" w14:textId="77777777" w:rsidR="00F509AA" w:rsidRPr="00D051E8" w:rsidRDefault="00F509AA" w:rsidP="00D051E8">
            <w:pPr>
              <w:spacing w:before="240" w:line="276" w:lineRule="auto"/>
              <w:rPr>
                <w:rStyle w:val="Strong"/>
              </w:rPr>
            </w:pPr>
            <w:r w:rsidRPr="00D051E8">
              <w:rPr>
                <w:rStyle w:val="Strong"/>
              </w:rPr>
              <w:t xml:space="preserve">KEY FINDING 8: </w:t>
            </w:r>
            <w:r w:rsidRPr="00D051E8">
              <w:t>RRR students often experience difficulty obtaining clear and accessible information about financial support.</w:t>
            </w:r>
            <w:r w:rsidRPr="00D051E8">
              <w:rPr>
                <w:rStyle w:val="Strong"/>
              </w:rPr>
              <w:t xml:space="preserve"> </w:t>
            </w:r>
          </w:p>
          <w:p w14:paraId="7B3A5608" w14:textId="77777777" w:rsidR="00F509AA" w:rsidRPr="00D051E8" w:rsidRDefault="00F509AA" w:rsidP="00D051E8">
            <w:pPr>
              <w:spacing w:before="240" w:line="276" w:lineRule="auto"/>
              <w:rPr>
                <w:rStyle w:val="Strong"/>
              </w:rPr>
            </w:pPr>
            <w:r w:rsidRPr="00D051E8">
              <w:rPr>
                <w:rStyle w:val="Strong"/>
              </w:rPr>
              <w:t xml:space="preserve">KEY FINDING 9: </w:t>
            </w:r>
            <w:r w:rsidRPr="00D051E8">
              <w:t>There are a variety of successful support programs that higher education and VET institutions run to assist RRR students throughout their studies; however, offerings are ad hoc and vary considerably between education providers.</w:t>
            </w:r>
            <w:r w:rsidRPr="00D051E8">
              <w:rPr>
                <w:rStyle w:val="Strong"/>
              </w:rPr>
              <w:t xml:space="preserve"> </w:t>
            </w:r>
          </w:p>
          <w:p w14:paraId="601FA3B7" w14:textId="08036952" w:rsidR="00F509AA" w:rsidRDefault="00F509AA" w:rsidP="00D051E8">
            <w:pPr>
              <w:spacing w:before="240" w:line="276" w:lineRule="auto"/>
              <w:rPr>
                <w:rFonts w:cstheme="minorHAnsi"/>
              </w:rPr>
            </w:pPr>
            <w:r w:rsidRPr="00D051E8">
              <w:rPr>
                <w:rStyle w:val="Strong"/>
              </w:rPr>
              <w:t xml:space="preserve">KEY FINDING 10: </w:t>
            </w:r>
            <w:r w:rsidRPr="00D051E8">
              <w:t>RRR school leavers are more likely to relocate for study and live independently, away from their family and other support networks.</w:t>
            </w:r>
          </w:p>
        </w:tc>
      </w:tr>
    </w:tbl>
    <w:p w14:paraId="2D63D2B0" w14:textId="5B0FA399" w:rsidR="00106B6D" w:rsidRDefault="00106B6D" w:rsidP="00D051E8"/>
    <w:p w14:paraId="02041AE6" w14:textId="77777777" w:rsidR="00106B6D" w:rsidRDefault="00106B6D">
      <w:r>
        <w:br w:type="page"/>
      </w:r>
    </w:p>
    <w:p w14:paraId="069A861C" w14:textId="167F516F" w:rsidR="00422673" w:rsidRDefault="006D28EE" w:rsidP="00726804">
      <w:pPr>
        <w:pStyle w:val="Heading2"/>
      </w:pPr>
      <w:bookmarkStart w:id="46" w:name="_Toc13224797"/>
      <w:r w:rsidRPr="00306207">
        <w:lastRenderedPageBreak/>
        <w:t xml:space="preserve">3. </w:t>
      </w:r>
      <w:r w:rsidR="001F5FAF" w:rsidRPr="00306207">
        <w:t xml:space="preserve">Aspiration, career advice and schooling: </w:t>
      </w:r>
      <w:r w:rsidR="001219EF">
        <w:t>Aspirations of RRR individuals are hampered by additional challenges and they are less likely to be prepared for tertiary education</w:t>
      </w:r>
      <w:bookmarkEnd w:id="46"/>
      <w:r w:rsidR="001219EF" w:rsidRPr="00306207" w:rsidDel="001219EF">
        <w:t xml:space="preserve"> </w:t>
      </w:r>
    </w:p>
    <w:p w14:paraId="2119B8AC" w14:textId="0ECFA96E" w:rsidR="00515F2C" w:rsidRPr="00306207" w:rsidRDefault="00515F2C" w:rsidP="00A50297">
      <w:pPr>
        <w:spacing w:after="0" w:line="276" w:lineRule="auto"/>
        <w:rPr>
          <w:rFonts w:eastAsiaTheme="minorEastAsia"/>
        </w:rPr>
      </w:pPr>
      <w:r w:rsidRPr="00306207">
        <w:rPr>
          <w:rFonts w:eastAsiaTheme="minorEastAsia"/>
        </w:rPr>
        <w:t>Recent Australian research show</w:t>
      </w:r>
      <w:r w:rsidR="004F31E4" w:rsidRPr="00306207">
        <w:rPr>
          <w:rFonts w:eastAsiaTheme="minorEastAsia"/>
        </w:rPr>
        <w:t xml:space="preserve">s </w:t>
      </w:r>
      <w:r w:rsidRPr="00306207">
        <w:rPr>
          <w:rFonts w:eastAsiaTheme="minorEastAsia"/>
        </w:rPr>
        <w:t xml:space="preserve">that young people have high aspiration, irrespective of their </w:t>
      </w:r>
      <w:r w:rsidR="001F5FAF" w:rsidRPr="00306207">
        <w:rPr>
          <w:rFonts w:eastAsiaTheme="minorEastAsia"/>
        </w:rPr>
        <w:t>personal circumstances</w:t>
      </w:r>
      <w:r w:rsidR="00106B6D">
        <w:rPr>
          <w:rFonts w:eastAsiaTheme="minorEastAsia"/>
        </w:rPr>
        <w:t xml:space="preserve"> (see Appendix A, Section 2</w:t>
      </w:r>
      <w:r w:rsidR="00831679" w:rsidRPr="00306207">
        <w:rPr>
          <w:rFonts w:eastAsiaTheme="minorEastAsia"/>
        </w:rPr>
        <w:t>)</w:t>
      </w:r>
      <w:r w:rsidR="004F31E4" w:rsidRPr="00306207">
        <w:rPr>
          <w:rFonts w:eastAsiaTheme="minorEastAsia"/>
        </w:rPr>
        <w:t>. H</w:t>
      </w:r>
      <w:r w:rsidRPr="00306207">
        <w:rPr>
          <w:rFonts w:eastAsiaTheme="minorEastAsia"/>
        </w:rPr>
        <w:t xml:space="preserve">owever, students in RRR areas struggle to maintain and broaden the scope of their aspiration through school and into </w:t>
      </w:r>
      <w:r w:rsidR="00130A9E" w:rsidRPr="00306207">
        <w:rPr>
          <w:rFonts w:eastAsiaTheme="minorEastAsia"/>
        </w:rPr>
        <w:t>higher</w:t>
      </w:r>
      <w:r w:rsidR="004F31E4" w:rsidRPr="00306207">
        <w:rPr>
          <w:rFonts w:eastAsiaTheme="minorEastAsia"/>
        </w:rPr>
        <w:t xml:space="preserve"> education</w:t>
      </w:r>
      <w:r w:rsidR="00F47017" w:rsidRPr="00306207">
        <w:rPr>
          <w:rFonts w:eastAsiaTheme="minorEastAsia"/>
        </w:rPr>
        <w:t>.</w:t>
      </w:r>
      <w:r w:rsidRPr="00306207">
        <w:rPr>
          <w:rFonts w:eastAsiaTheme="minorEastAsia"/>
          <w:vertAlign w:val="superscript"/>
        </w:rPr>
        <w:footnoteReference w:id="55"/>
      </w:r>
      <w:r w:rsidRPr="00306207">
        <w:rPr>
          <w:rFonts w:eastAsiaTheme="minorEastAsia"/>
        </w:rPr>
        <w:t xml:space="preserve"> This </w:t>
      </w:r>
      <w:r w:rsidR="004C540A">
        <w:rPr>
          <w:rFonts w:eastAsiaTheme="minorEastAsia"/>
        </w:rPr>
        <w:t>is</w:t>
      </w:r>
      <w:r w:rsidRPr="00306207">
        <w:rPr>
          <w:rFonts w:eastAsiaTheme="minorEastAsia"/>
        </w:rPr>
        <w:t xml:space="preserve"> linked to a range of factors, including </w:t>
      </w:r>
      <w:r w:rsidR="00824D78" w:rsidRPr="00306207">
        <w:rPr>
          <w:rFonts w:eastAsiaTheme="minorEastAsia"/>
        </w:rPr>
        <w:t xml:space="preserve">personal choice, </w:t>
      </w:r>
      <w:r w:rsidRPr="00306207">
        <w:rPr>
          <w:rFonts w:eastAsiaTheme="minorEastAsia"/>
        </w:rPr>
        <w:t>the views and expectations of family</w:t>
      </w:r>
      <w:r w:rsidR="00F47017" w:rsidRPr="00306207">
        <w:rPr>
          <w:rFonts w:eastAsiaTheme="minorEastAsia"/>
        </w:rPr>
        <w:t xml:space="preserve">, </w:t>
      </w:r>
      <w:r w:rsidRPr="00306207">
        <w:rPr>
          <w:rFonts w:eastAsiaTheme="minorEastAsia"/>
        </w:rPr>
        <w:t>perceptions of local employment opportunities</w:t>
      </w:r>
      <w:r w:rsidR="004F31E4" w:rsidRPr="00306207">
        <w:rPr>
          <w:rFonts w:eastAsiaTheme="minorEastAsia"/>
        </w:rPr>
        <w:t>,</w:t>
      </w:r>
      <w:r w:rsidR="00F47017" w:rsidRPr="00306207">
        <w:rPr>
          <w:rFonts w:eastAsiaTheme="minorEastAsia"/>
        </w:rPr>
        <w:t xml:space="preserve"> </w:t>
      </w:r>
      <w:r w:rsidR="003B62C3" w:rsidRPr="00306207">
        <w:rPr>
          <w:rFonts w:eastAsiaTheme="minorEastAsia"/>
        </w:rPr>
        <w:t xml:space="preserve">early childhood education and </w:t>
      </w:r>
      <w:r w:rsidR="00AD6F07" w:rsidRPr="00306207">
        <w:rPr>
          <w:rFonts w:eastAsiaTheme="minorEastAsia"/>
        </w:rPr>
        <w:t xml:space="preserve">school experiences </w:t>
      </w:r>
      <w:r w:rsidR="00F47017" w:rsidRPr="00306207">
        <w:rPr>
          <w:rFonts w:eastAsiaTheme="minorEastAsia"/>
        </w:rPr>
        <w:t xml:space="preserve">and </w:t>
      </w:r>
      <w:r w:rsidRPr="00306207">
        <w:rPr>
          <w:rFonts w:eastAsiaTheme="minorEastAsia"/>
        </w:rPr>
        <w:t>concerns about</w:t>
      </w:r>
      <w:r w:rsidR="004F31E4" w:rsidRPr="00306207">
        <w:rPr>
          <w:rFonts w:eastAsiaTheme="minorEastAsia"/>
        </w:rPr>
        <w:t xml:space="preserve"> </w:t>
      </w:r>
      <w:r w:rsidRPr="00306207">
        <w:rPr>
          <w:rFonts w:eastAsiaTheme="minorEastAsia"/>
        </w:rPr>
        <w:t>cost</w:t>
      </w:r>
      <w:r w:rsidR="00F47017" w:rsidRPr="00306207">
        <w:rPr>
          <w:rFonts w:eastAsiaTheme="minorEastAsia"/>
        </w:rPr>
        <w:t xml:space="preserve">. </w:t>
      </w:r>
    </w:p>
    <w:p w14:paraId="239E07C2" w14:textId="0AB8D416" w:rsidR="000518C1" w:rsidRPr="00306207" w:rsidRDefault="000518C1" w:rsidP="00A50297">
      <w:pPr>
        <w:spacing w:after="0" w:line="276" w:lineRule="auto"/>
        <w:rPr>
          <w:rFonts w:eastAsiaTheme="minorEastAsia"/>
        </w:rPr>
      </w:pPr>
    </w:p>
    <w:p w14:paraId="0A657403" w14:textId="05EEA3B5" w:rsidR="00550A8E" w:rsidRPr="00306207" w:rsidRDefault="000518C1" w:rsidP="00EA1091">
      <w:pPr>
        <w:pStyle w:val="Quote"/>
        <w:rPr>
          <w:color w:val="7030A0"/>
        </w:rPr>
      </w:pPr>
      <w:r w:rsidRPr="00306207">
        <w:t>“Some young people living in rural Australia make an early decision that there is a pleasant and rewarding life to be lived in the part of Australia they love, and employment may be available for which a university qualification is neither necessary nor seen as helpful. The decision not to pursue higher education may be made with no regrets and may not be perceived by them as a personal loss or a dream unfulfilled. Equally, there are other young people who may hold ambitions to attend university but are hindered by a perceived obstacle.”</w:t>
      </w:r>
      <w:r w:rsidRPr="00306207">
        <w:rPr>
          <w:rStyle w:val="FootnoteReference"/>
          <w:i w:val="0"/>
          <w:iCs w:val="0"/>
        </w:rPr>
        <w:footnoteReference w:id="56"/>
      </w:r>
    </w:p>
    <w:p w14:paraId="6A1438BA" w14:textId="4BD8422F" w:rsidR="00550A8E" w:rsidRPr="00306207" w:rsidRDefault="00550A8E" w:rsidP="00726804">
      <w:pPr>
        <w:pStyle w:val="Heading3"/>
        <w:rPr>
          <w:rFonts w:eastAsiaTheme="minorEastAsia"/>
        </w:rPr>
      </w:pPr>
      <w:r w:rsidRPr="00306207">
        <w:rPr>
          <w:rFonts w:eastAsiaTheme="minorEastAsia"/>
        </w:rPr>
        <w:t>Early childhood and schools</w:t>
      </w:r>
    </w:p>
    <w:p w14:paraId="2A4BA57A" w14:textId="2BE5022D" w:rsidR="004C3E8A" w:rsidRDefault="00EA1091" w:rsidP="00D53B13">
      <w:pPr>
        <w:autoSpaceDE w:val="0"/>
        <w:autoSpaceDN w:val="0"/>
        <w:adjustRightInd w:val="0"/>
        <w:spacing w:after="0" w:line="240" w:lineRule="auto"/>
        <w:rPr>
          <w:rFonts w:eastAsiaTheme="minorEastAsia"/>
        </w:rPr>
      </w:pPr>
      <w:r w:rsidRPr="00EA1091">
        <w:rPr>
          <w:rFonts w:eastAsiaTheme="minorEastAsia"/>
        </w:rPr>
        <w:t>The first five years of life are critical to brain development and impact on future education and employment outcomes. Access to quality early childhood education and care and preschool services is important for all families, however, access and quality can be poorer with increased distance from metropolitan areas. Data from the Australian Children’s Education and Care Quality Authority (ACECQA) shows that services in remote and very remote Australia are less likely to meet the National Quality Standards.</w:t>
      </w:r>
      <w:r>
        <w:rPr>
          <w:rStyle w:val="FootnoteReference"/>
          <w:rFonts w:eastAsiaTheme="minorEastAsia"/>
        </w:rPr>
        <w:footnoteReference w:id="57"/>
      </w:r>
      <w:r w:rsidRPr="00EA1091">
        <w:rPr>
          <w:rFonts w:eastAsiaTheme="minorEastAsia"/>
        </w:rPr>
        <w:t xml:space="preserve"> Currently, RRR students are more likely to start school developmentally vulnerable than </w:t>
      </w:r>
      <w:r>
        <w:rPr>
          <w:rFonts w:eastAsiaTheme="minorEastAsia"/>
        </w:rPr>
        <w:t xml:space="preserve">metropolitan students (Table </w:t>
      </w:r>
      <w:r w:rsidRPr="00EA1091">
        <w:rPr>
          <w:rFonts w:eastAsiaTheme="minorEastAsia"/>
        </w:rPr>
        <w:t>5)</w:t>
      </w:r>
      <w:r w:rsidR="00567CF7" w:rsidRPr="00EA1091">
        <w:rPr>
          <w:rFonts w:eastAsiaTheme="minorEastAsia"/>
        </w:rPr>
        <w:t>.</w:t>
      </w:r>
      <w:r w:rsidR="00567CF7" w:rsidRPr="00EA1091">
        <w:rPr>
          <w:rStyle w:val="FootnoteReference"/>
          <w:rFonts w:eastAsiaTheme="minorEastAsia"/>
        </w:rPr>
        <w:footnoteReference w:id="58"/>
      </w:r>
    </w:p>
    <w:p w14:paraId="4A93C070" w14:textId="440B04FF" w:rsidR="00DD39F6" w:rsidRPr="00EA1091" w:rsidRDefault="00DD39F6" w:rsidP="00A50297">
      <w:pPr>
        <w:autoSpaceDE w:val="0"/>
        <w:autoSpaceDN w:val="0"/>
        <w:adjustRightInd w:val="0"/>
        <w:spacing w:after="0" w:line="240" w:lineRule="auto"/>
        <w:rPr>
          <w:rFonts w:eastAsiaTheme="minorEastAsia"/>
          <w:sz w:val="24"/>
          <w:szCs w:val="24"/>
        </w:rPr>
      </w:pPr>
    </w:p>
    <w:p w14:paraId="7503DF5E" w14:textId="735EA2F6" w:rsidR="00EA1091" w:rsidRPr="00EA1091" w:rsidRDefault="00EA1091" w:rsidP="00EA1091">
      <w:pPr>
        <w:pStyle w:val="Caption"/>
        <w:keepNext/>
        <w:rPr>
          <w:b/>
        </w:rPr>
      </w:pPr>
      <w:bookmarkStart w:id="47" w:name="_Toc13224972"/>
      <w:r w:rsidRPr="00EA1091">
        <w:rPr>
          <w:b/>
        </w:rPr>
        <w:t xml:space="preserve">Table </w:t>
      </w:r>
      <w:r w:rsidRPr="00EA1091">
        <w:rPr>
          <w:b/>
        </w:rPr>
        <w:fldChar w:fldCharType="begin"/>
      </w:r>
      <w:r w:rsidRPr="00EA1091">
        <w:rPr>
          <w:b/>
        </w:rPr>
        <w:instrText xml:space="preserve"> SEQ Table \* ARABIC </w:instrText>
      </w:r>
      <w:r w:rsidRPr="00EA1091">
        <w:rPr>
          <w:b/>
        </w:rPr>
        <w:fldChar w:fldCharType="separate"/>
      </w:r>
      <w:r w:rsidR="00731756">
        <w:rPr>
          <w:b/>
          <w:noProof/>
        </w:rPr>
        <w:t>5</w:t>
      </w:r>
      <w:r w:rsidRPr="00EA1091">
        <w:rPr>
          <w:b/>
        </w:rPr>
        <w:fldChar w:fldCharType="end"/>
      </w:r>
      <w:r w:rsidRPr="00EA1091">
        <w:rPr>
          <w:b/>
        </w:rPr>
        <w:t>. Percentage of children developmentally vulnerable by remoteness, 2018</w:t>
      </w:r>
      <w:bookmarkEnd w:id="47"/>
    </w:p>
    <w:tbl>
      <w:tblPr>
        <w:tblStyle w:val="GridTable4-Accent1"/>
        <w:tblW w:w="0" w:type="auto"/>
        <w:tblLook w:val="04A0" w:firstRow="1" w:lastRow="0" w:firstColumn="1" w:lastColumn="0" w:noHBand="0" w:noVBand="1"/>
      </w:tblPr>
      <w:tblGrid>
        <w:gridCol w:w="1623"/>
        <w:gridCol w:w="924"/>
        <w:gridCol w:w="924"/>
        <w:gridCol w:w="924"/>
        <w:gridCol w:w="924"/>
        <w:gridCol w:w="925"/>
        <w:gridCol w:w="924"/>
        <w:gridCol w:w="924"/>
        <w:gridCol w:w="924"/>
      </w:tblGrid>
      <w:tr w:rsidR="00DD39F6" w:rsidRPr="00EA1091" w14:paraId="2DC5FE40" w14:textId="77777777" w:rsidTr="00263861">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34A5E9B" w14:textId="5C074BBF" w:rsidR="00DD39F6" w:rsidRPr="00EA1091" w:rsidRDefault="00DD39F6" w:rsidP="00DD39F6">
            <w:pPr>
              <w:rPr>
                <w:rFonts w:ascii="Calibri" w:eastAsia="Times New Roman" w:hAnsi="Calibri" w:cs="Calibri"/>
                <w:color w:val="000000"/>
                <w:lang w:eastAsia="en-AU"/>
              </w:rPr>
            </w:pPr>
            <w:r w:rsidRPr="000F44D4">
              <w:rPr>
                <w:rFonts w:ascii="Calibri" w:eastAsia="Times New Roman" w:hAnsi="Calibri" w:cs="Calibri"/>
                <w:color w:val="3A4952" w:themeColor="accent1"/>
                <w:lang w:eastAsia="en-AU"/>
              </w:rPr>
              <w:t> </w:t>
            </w:r>
            <w:r w:rsidR="000F44D4" w:rsidRPr="000F44D4">
              <w:rPr>
                <w:rFonts w:ascii="Calibri" w:eastAsia="Times New Roman" w:hAnsi="Calibri" w:cs="Calibri"/>
                <w:color w:val="3A4952" w:themeColor="accent1"/>
                <w:lang w:eastAsia="en-AU"/>
              </w:rPr>
              <w:t xml:space="preserve">Blank square </w:t>
            </w:r>
          </w:p>
        </w:tc>
        <w:tc>
          <w:tcPr>
            <w:tcW w:w="0" w:type="auto"/>
            <w:gridSpan w:val="4"/>
            <w:hideMark/>
          </w:tcPr>
          <w:p w14:paraId="771C1581" w14:textId="77777777" w:rsidR="00DD39F6" w:rsidRPr="00EA1091" w:rsidRDefault="00DD39F6" w:rsidP="00DD39F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lang w:eastAsia="en-AU"/>
              </w:rPr>
            </w:pPr>
            <w:r w:rsidRPr="00EA1091">
              <w:rPr>
                <w:rFonts w:ascii="Calibri" w:eastAsia="Times New Roman" w:hAnsi="Calibri" w:cs="Calibri"/>
                <w:b w:val="0"/>
                <w:bCs w:val="0"/>
                <w:color w:val="FFFFFF"/>
                <w:lang w:eastAsia="en-AU"/>
              </w:rPr>
              <w:t>Percentage of children developmentally vulnerable in one or more domains</w:t>
            </w:r>
          </w:p>
        </w:tc>
        <w:tc>
          <w:tcPr>
            <w:tcW w:w="0" w:type="auto"/>
            <w:gridSpan w:val="4"/>
            <w:vAlign w:val="center"/>
            <w:hideMark/>
          </w:tcPr>
          <w:p w14:paraId="0B71F4B8" w14:textId="42ACDDEB" w:rsidR="00DD39F6" w:rsidRPr="00EA1091" w:rsidRDefault="00DD39F6" w:rsidP="003D1CD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lang w:eastAsia="en-AU"/>
              </w:rPr>
            </w:pPr>
            <w:r w:rsidRPr="00EA1091">
              <w:rPr>
                <w:rFonts w:ascii="Calibri" w:eastAsia="Times New Roman" w:hAnsi="Calibri" w:cs="Calibri"/>
                <w:b w:val="0"/>
                <w:bCs w:val="0"/>
                <w:color w:val="FFFFFF"/>
                <w:lang w:eastAsia="en-AU"/>
              </w:rPr>
              <w:t xml:space="preserve">Percentage of children </w:t>
            </w:r>
            <w:r w:rsidR="00505678" w:rsidRPr="00EA1091">
              <w:rPr>
                <w:rFonts w:ascii="Calibri" w:eastAsia="Times New Roman" w:hAnsi="Calibri" w:cs="Calibri"/>
                <w:b w:val="0"/>
                <w:bCs w:val="0"/>
                <w:color w:val="FFFFFF"/>
                <w:lang w:eastAsia="en-AU"/>
              </w:rPr>
              <w:t>d</w:t>
            </w:r>
            <w:r w:rsidRPr="00EA1091">
              <w:rPr>
                <w:rFonts w:ascii="Calibri" w:eastAsia="Times New Roman" w:hAnsi="Calibri" w:cs="Calibri"/>
                <w:b w:val="0"/>
                <w:bCs w:val="0"/>
                <w:color w:val="FFFFFF"/>
                <w:lang w:eastAsia="en-AU"/>
              </w:rPr>
              <w:t xml:space="preserve">evelopmentally </w:t>
            </w:r>
            <w:r w:rsidR="00505678" w:rsidRPr="00EA1091">
              <w:rPr>
                <w:rFonts w:ascii="Calibri" w:eastAsia="Times New Roman" w:hAnsi="Calibri" w:cs="Calibri"/>
                <w:b w:val="0"/>
                <w:bCs w:val="0"/>
                <w:color w:val="FFFFFF"/>
                <w:lang w:eastAsia="en-AU"/>
              </w:rPr>
              <w:t>v</w:t>
            </w:r>
            <w:r w:rsidRPr="00EA1091">
              <w:rPr>
                <w:rFonts w:ascii="Calibri" w:eastAsia="Times New Roman" w:hAnsi="Calibri" w:cs="Calibri"/>
                <w:b w:val="0"/>
                <w:bCs w:val="0"/>
                <w:color w:val="FFFFFF"/>
                <w:lang w:eastAsia="en-AU"/>
              </w:rPr>
              <w:t>ulnerable in two or more domains</w:t>
            </w:r>
          </w:p>
        </w:tc>
      </w:tr>
      <w:tr w:rsidR="00DD39F6" w:rsidRPr="00EA1091" w14:paraId="7A4997F8" w14:textId="77777777" w:rsidTr="0026386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FB7BB10" w14:textId="77777777" w:rsidR="00DD39F6" w:rsidRPr="003D1CD9" w:rsidRDefault="00DD39F6" w:rsidP="003D1CD9">
            <w:pPr>
              <w:jc w:val="center"/>
              <w:rPr>
                <w:rFonts w:ascii="Calibri" w:eastAsia="Times New Roman" w:hAnsi="Calibri" w:cs="Calibri"/>
                <w:b w:val="0"/>
                <w:bCs w:val="0"/>
                <w:lang w:eastAsia="en-AU"/>
              </w:rPr>
            </w:pPr>
            <w:r w:rsidRPr="003D1CD9">
              <w:rPr>
                <w:rFonts w:ascii="Calibri" w:eastAsia="Times New Roman" w:hAnsi="Calibri" w:cs="Calibri"/>
                <w:b w:val="0"/>
                <w:bCs w:val="0"/>
                <w:lang w:eastAsia="en-AU"/>
              </w:rPr>
              <w:t>Geolocation</w:t>
            </w:r>
          </w:p>
        </w:tc>
        <w:tc>
          <w:tcPr>
            <w:tcW w:w="0" w:type="auto"/>
            <w:noWrap/>
            <w:vAlign w:val="center"/>
            <w:hideMark/>
          </w:tcPr>
          <w:p w14:paraId="6690182C" w14:textId="77777777" w:rsidR="00DD39F6" w:rsidRPr="00263861"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en-AU"/>
              </w:rPr>
            </w:pPr>
            <w:r w:rsidRPr="00263861">
              <w:rPr>
                <w:rFonts w:ascii="Calibri" w:eastAsia="Times New Roman" w:hAnsi="Calibri" w:cs="Calibri"/>
                <w:bCs/>
                <w:color w:val="000000"/>
                <w:lang w:eastAsia="en-AU"/>
              </w:rPr>
              <w:t>2009</w:t>
            </w:r>
          </w:p>
        </w:tc>
        <w:tc>
          <w:tcPr>
            <w:tcW w:w="0" w:type="auto"/>
            <w:noWrap/>
            <w:vAlign w:val="center"/>
            <w:hideMark/>
          </w:tcPr>
          <w:p w14:paraId="40FC3523" w14:textId="77777777" w:rsidR="00DD39F6" w:rsidRPr="00263861"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en-AU"/>
              </w:rPr>
            </w:pPr>
            <w:r w:rsidRPr="00263861">
              <w:rPr>
                <w:rFonts w:ascii="Calibri" w:eastAsia="Times New Roman" w:hAnsi="Calibri" w:cs="Calibri"/>
                <w:bCs/>
                <w:color w:val="000000"/>
                <w:lang w:eastAsia="en-AU"/>
              </w:rPr>
              <w:t>2012</w:t>
            </w:r>
          </w:p>
        </w:tc>
        <w:tc>
          <w:tcPr>
            <w:tcW w:w="0" w:type="auto"/>
            <w:noWrap/>
            <w:vAlign w:val="center"/>
            <w:hideMark/>
          </w:tcPr>
          <w:p w14:paraId="268F61CC" w14:textId="77777777" w:rsidR="00DD39F6" w:rsidRPr="00263861"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en-AU"/>
              </w:rPr>
            </w:pPr>
            <w:r w:rsidRPr="00263861">
              <w:rPr>
                <w:rFonts w:ascii="Calibri" w:eastAsia="Times New Roman" w:hAnsi="Calibri" w:cs="Calibri"/>
                <w:bCs/>
                <w:color w:val="000000"/>
                <w:lang w:eastAsia="en-AU"/>
              </w:rPr>
              <w:t>2015</w:t>
            </w:r>
          </w:p>
        </w:tc>
        <w:tc>
          <w:tcPr>
            <w:tcW w:w="0" w:type="auto"/>
            <w:vAlign w:val="center"/>
            <w:hideMark/>
          </w:tcPr>
          <w:p w14:paraId="65A7A008" w14:textId="77777777" w:rsidR="00DD39F6" w:rsidRPr="00263861"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en-AU"/>
              </w:rPr>
            </w:pPr>
            <w:r w:rsidRPr="00263861">
              <w:rPr>
                <w:rFonts w:ascii="Calibri" w:eastAsia="Times New Roman" w:hAnsi="Calibri" w:cs="Calibri"/>
                <w:bCs/>
                <w:color w:val="000000"/>
                <w:lang w:eastAsia="en-AU"/>
              </w:rPr>
              <w:t>2018</w:t>
            </w:r>
          </w:p>
        </w:tc>
        <w:tc>
          <w:tcPr>
            <w:tcW w:w="0" w:type="auto"/>
            <w:noWrap/>
            <w:vAlign w:val="center"/>
            <w:hideMark/>
          </w:tcPr>
          <w:p w14:paraId="6AB33356" w14:textId="2EC65BE0" w:rsidR="00DD39F6" w:rsidRPr="00263861"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en-AU"/>
              </w:rPr>
            </w:pPr>
            <w:r w:rsidRPr="00263861">
              <w:rPr>
                <w:rFonts w:ascii="Calibri" w:eastAsia="Times New Roman" w:hAnsi="Calibri" w:cs="Calibri"/>
                <w:bCs/>
                <w:color w:val="000000"/>
                <w:lang w:eastAsia="en-AU"/>
              </w:rPr>
              <w:t>2009</w:t>
            </w:r>
          </w:p>
        </w:tc>
        <w:tc>
          <w:tcPr>
            <w:tcW w:w="0" w:type="auto"/>
            <w:noWrap/>
            <w:vAlign w:val="center"/>
            <w:hideMark/>
          </w:tcPr>
          <w:p w14:paraId="77C561AD" w14:textId="77777777" w:rsidR="00DD39F6" w:rsidRPr="00263861"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en-AU"/>
              </w:rPr>
            </w:pPr>
            <w:r w:rsidRPr="00263861">
              <w:rPr>
                <w:rFonts w:ascii="Calibri" w:eastAsia="Times New Roman" w:hAnsi="Calibri" w:cs="Calibri"/>
                <w:bCs/>
                <w:color w:val="000000"/>
                <w:lang w:eastAsia="en-AU"/>
              </w:rPr>
              <w:t>2012</w:t>
            </w:r>
          </w:p>
        </w:tc>
        <w:tc>
          <w:tcPr>
            <w:tcW w:w="0" w:type="auto"/>
            <w:noWrap/>
            <w:vAlign w:val="center"/>
            <w:hideMark/>
          </w:tcPr>
          <w:p w14:paraId="6A411837" w14:textId="77777777" w:rsidR="00DD39F6" w:rsidRPr="00263861"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en-AU"/>
              </w:rPr>
            </w:pPr>
            <w:r w:rsidRPr="00263861">
              <w:rPr>
                <w:rFonts w:ascii="Calibri" w:eastAsia="Times New Roman" w:hAnsi="Calibri" w:cs="Calibri"/>
                <w:bCs/>
                <w:color w:val="000000"/>
                <w:lang w:eastAsia="en-AU"/>
              </w:rPr>
              <w:t>2015</w:t>
            </w:r>
          </w:p>
        </w:tc>
        <w:tc>
          <w:tcPr>
            <w:tcW w:w="0" w:type="auto"/>
            <w:vAlign w:val="center"/>
            <w:hideMark/>
          </w:tcPr>
          <w:p w14:paraId="5E4AE53F" w14:textId="77777777" w:rsidR="00DD39F6" w:rsidRPr="00263861"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0000"/>
                <w:lang w:eastAsia="en-AU"/>
              </w:rPr>
            </w:pPr>
            <w:r w:rsidRPr="00263861">
              <w:rPr>
                <w:rFonts w:ascii="Calibri" w:eastAsia="Times New Roman" w:hAnsi="Calibri" w:cs="Calibri"/>
                <w:bCs/>
                <w:color w:val="000000"/>
                <w:lang w:eastAsia="en-AU"/>
              </w:rPr>
              <w:t>2018</w:t>
            </w:r>
          </w:p>
        </w:tc>
      </w:tr>
      <w:tr w:rsidR="00DD39F6" w:rsidRPr="00EA1091" w14:paraId="5B55FD41" w14:textId="77777777" w:rsidTr="00263861">
        <w:trPr>
          <w:trHeight w:val="29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580F7C" w14:textId="77777777" w:rsidR="00DD39F6" w:rsidRPr="003D1CD9" w:rsidRDefault="00DD39F6" w:rsidP="003D1CD9">
            <w:pPr>
              <w:jc w:val="center"/>
              <w:rPr>
                <w:rFonts w:ascii="Calibri" w:eastAsia="Times New Roman" w:hAnsi="Calibri" w:cs="Calibri"/>
                <w:b w:val="0"/>
                <w:bCs w:val="0"/>
                <w:lang w:eastAsia="en-AU"/>
              </w:rPr>
            </w:pPr>
            <w:r w:rsidRPr="003D1CD9">
              <w:rPr>
                <w:rFonts w:ascii="Calibri" w:eastAsia="Times New Roman" w:hAnsi="Calibri" w:cs="Calibri"/>
                <w:b w:val="0"/>
                <w:bCs w:val="0"/>
                <w:lang w:eastAsia="en-AU"/>
              </w:rPr>
              <w:t>Major Cities</w:t>
            </w:r>
          </w:p>
        </w:tc>
        <w:tc>
          <w:tcPr>
            <w:tcW w:w="0" w:type="auto"/>
            <w:noWrap/>
            <w:vAlign w:val="center"/>
            <w:hideMark/>
          </w:tcPr>
          <w:p w14:paraId="7156F4C4"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22.4</w:t>
            </w:r>
          </w:p>
        </w:tc>
        <w:tc>
          <w:tcPr>
            <w:tcW w:w="0" w:type="auto"/>
            <w:noWrap/>
            <w:vAlign w:val="center"/>
            <w:hideMark/>
          </w:tcPr>
          <w:p w14:paraId="2FF8F29F"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21.1</w:t>
            </w:r>
          </w:p>
        </w:tc>
        <w:tc>
          <w:tcPr>
            <w:tcW w:w="0" w:type="auto"/>
            <w:noWrap/>
            <w:vAlign w:val="center"/>
            <w:hideMark/>
          </w:tcPr>
          <w:p w14:paraId="7C809B7E" w14:textId="34FD5D32"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21</w:t>
            </w:r>
            <w:r w:rsidR="004E4202" w:rsidRPr="003D1CD9">
              <w:rPr>
                <w:rFonts w:ascii="Calibri" w:eastAsia="Times New Roman" w:hAnsi="Calibri" w:cs="Calibri"/>
                <w:color w:val="000000"/>
                <w:lang w:eastAsia="en-AU"/>
              </w:rPr>
              <w:t>.0</w:t>
            </w:r>
          </w:p>
        </w:tc>
        <w:tc>
          <w:tcPr>
            <w:tcW w:w="0" w:type="auto"/>
            <w:vAlign w:val="center"/>
            <w:hideMark/>
          </w:tcPr>
          <w:p w14:paraId="6CDA39E4"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20.8</w:t>
            </w:r>
          </w:p>
        </w:tc>
        <w:tc>
          <w:tcPr>
            <w:tcW w:w="0" w:type="auto"/>
            <w:noWrap/>
            <w:vAlign w:val="center"/>
            <w:hideMark/>
          </w:tcPr>
          <w:p w14:paraId="0AEBC941" w14:textId="5506C6EA"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11</w:t>
            </w:r>
            <w:r w:rsidR="00A64BF7" w:rsidRPr="003D1CD9">
              <w:rPr>
                <w:rFonts w:ascii="Calibri" w:eastAsia="Times New Roman" w:hAnsi="Calibri" w:cs="Calibri"/>
                <w:color w:val="000000"/>
                <w:lang w:eastAsia="en-AU"/>
              </w:rPr>
              <w:t>.0</w:t>
            </w:r>
          </w:p>
        </w:tc>
        <w:tc>
          <w:tcPr>
            <w:tcW w:w="0" w:type="auto"/>
            <w:noWrap/>
            <w:vAlign w:val="center"/>
            <w:hideMark/>
          </w:tcPr>
          <w:p w14:paraId="12948BF9"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10.1</w:t>
            </w:r>
          </w:p>
        </w:tc>
        <w:tc>
          <w:tcPr>
            <w:tcW w:w="0" w:type="auto"/>
            <w:noWrap/>
            <w:vAlign w:val="center"/>
            <w:hideMark/>
          </w:tcPr>
          <w:p w14:paraId="67CA7C43"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10.2</w:t>
            </w:r>
          </w:p>
        </w:tc>
        <w:tc>
          <w:tcPr>
            <w:tcW w:w="0" w:type="auto"/>
            <w:vAlign w:val="center"/>
            <w:hideMark/>
          </w:tcPr>
          <w:p w14:paraId="5E0E0801"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10.2</w:t>
            </w:r>
          </w:p>
        </w:tc>
      </w:tr>
      <w:tr w:rsidR="00DD39F6" w:rsidRPr="00EA1091" w14:paraId="2EF69353" w14:textId="77777777" w:rsidTr="0026386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E1A03A" w14:textId="77777777" w:rsidR="00DD39F6" w:rsidRPr="003D1CD9" w:rsidRDefault="00DD39F6" w:rsidP="003D1CD9">
            <w:pPr>
              <w:jc w:val="center"/>
              <w:rPr>
                <w:rFonts w:ascii="Calibri" w:eastAsia="Times New Roman" w:hAnsi="Calibri" w:cs="Calibri"/>
                <w:b w:val="0"/>
                <w:bCs w:val="0"/>
                <w:lang w:eastAsia="en-AU"/>
              </w:rPr>
            </w:pPr>
            <w:r w:rsidRPr="003D1CD9">
              <w:rPr>
                <w:rFonts w:ascii="Calibri" w:eastAsia="Times New Roman" w:hAnsi="Calibri" w:cs="Calibri"/>
                <w:b w:val="0"/>
                <w:bCs w:val="0"/>
                <w:lang w:eastAsia="en-AU"/>
              </w:rPr>
              <w:t>Inner Regional</w:t>
            </w:r>
          </w:p>
        </w:tc>
        <w:tc>
          <w:tcPr>
            <w:tcW w:w="0" w:type="auto"/>
            <w:noWrap/>
            <w:vAlign w:val="center"/>
            <w:hideMark/>
          </w:tcPr>
          <w:p w14:paraId="46CC7CFA"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23.9</w:t>
            </w:r>
          </w:p>
        </w:tc>
        <w:tc>
          <w:tcPr>
            <w:tcW w:w="0" w:type="auto"/>
            <w:noWrap/>
            <w:vAlign w:val="center"/>
            <w:hideMark/>
          </w:tcPr>
          <w:p w14:paraId="2DE36D98"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22.5</w:t>
            </w:r>
          </w:p>
        </w:tc>
        <w:tc>
          <w:tcPr>
            <w:tcW w:w="0" w:type="auto"/>
            <w:noWrap/>
            <w:vAlign w:val="center"/>
            <w:hideMark/>
          </w:tcPr>
          <w:p w14:paraId="08F033D8"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22.5</w:t>
            </w:r>
          </w:p>
        </w:tc>
        <w:tc>
          <w:tcPr>
            <w:tcW w:w="0" w:type="auto"/>
            <w:vAlign w:val="center"/>
            <w:hideMark/>
          </w:tcPr>
          <w:p w14:paraId="02018DDC"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22.3</w:t>
            </w:r>
          </w:p>
        </w:tc>
        <w:tc>
          <w:tcPr>
            <w:tcW w:w="0" w:type="auto"/>
            <w:noWrap/>
            <w:vAlign w:val="center"/>
            <w:hideMark/>
          </w:tcPr>
          <w:p w14:paraId="10ABE0BB"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12.4</w:t>
            </w:r>
          </w:p>
        </w:tc>
        <w:tc>
          <w:tcPr>
            <w:tcW w:w="0" w:type="auto"/>
            <w:noWrap/>
            <w:vAlign w:val="center"/>
            <w:hideMark/>
          </w:tcPr>
          <w:p w14:paraId="2CD91511"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11.2</w:t>
            </w:r>
          </w:p>
        </w:tc>
        <w:tc>
          <w:tcPr>
            <w:tcW w:w="0" w:type="auto"/>
            <w:noWrap/>
            <w:vAlign w:val="center"/>
            <w:hideMark/>
          </w:tcPr>
          <w:p w14:paraId="1F0A0153"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11.8</w:t>
            </w:r>
          </w:p>
        </w:tc>
        <w:tc>
          <w:tcPr>
            <w:tcW w:w="0" w:type="auto"/>
            <w:vAlign w:val="center"/>
            <w:hideMark/>
          </w:tcPr>
          <w:p w14:paraId="5DE17FF4"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11.9</w:t>
            </w:r>
          </w:p>
        </w:tc>
      </w:tr>
      <w:tr w:rsidR="00DD39F6" w:rsidRPr="00EA1091" w14:paraId="07BC31C5" w14:textId="77777777" w:rsidTr="00263861">
        <w:trPr>
          <w:trHeight w:val="29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7EAF45" w14:textId="77777777" w:rsidR="00DD39F6" w:rsidRPr="003D1CD9" w:rsidRDefault="00DD39F6" w:rsidP="003D1CD9">
            <w:pPr>
              <w:jc w:val="center"/>
              <w:rPr>
                <w:rFonts w:ascii="Calibri" w:eastAsia="Times New Roman" w:hAnsi="Calibri" w:cs="Calibri"/>
                <w:b w:val="0"/>
                <w:bCs w:val="0"/>
                <w:lang w:eastAsia="en-AU"/>
              </w:rPr>
            </w:pPr>
            <w:r w:rsidRPr="003D1CD9">
              <w:rPr>
                <w:rFonts w:ascii="Calibri" w:eastAsia="Times New Roman" w:hAnsi="Calibri" w:cs="Calibri"/>
                <w:b w:val="0"/>
                <w:bCs w:val="0"/>
                <w:lang w:eastAsia="en-AU"/>
              </w:rPr>
              <w:t>Outer Regional</w:t>
            </w:r>
          </w:p>
        </w:tc>
        <w:tc>
          <w:tcPr>
            <w:tcW w:w="0" w:type="auto"/>
            <w:noWrap/>
            <w:vAlign w:val="center"/>
            <w:hideMark/>
          </w:tcPr>
          <w:p w14:paraId="4B16B4EB"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26.9</w:t>
            </w:r>
          </w:p>
        </w:tc>
        <w:tc>
          <w:tcPr>
            <w:tcW w:w="0" w:type="auto"/>
            <w:noWrap/>
            <w:vAlign w:val="center"/>
            <w:hideMark/>
          </w:tcPr>
          <w:p w14:paraId="412786D2"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24.9</w:t>
            </w:r>
          </w:p>
        </w:tc>
        <w:tc>
          <w:tcPr>
            <w:tcW w:w="0" w:type="auto"/>
            <w:noWrap/>
            <w:vAlign w:val="center"/>
            <w:hideMark/>
          </w:tcPr>
          <w:p w14:paraId="246BEBE6"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25.2</w:t>
            </w:r>
          </w:p>
        </w:tc>
        <w:tc>
          <w:tcPr>
            <w:tcW w:w="0" w:type="auto"/>
            <w:vAlign w:val="center"/>
            <w:hideMark/>
          </w:tcPr>
          <w:p w14:paraId="5B45A694"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24.6</w:t>
            </w:r>
          </w:p>
        </w:tc>
        <w:tc>
          <w:tcPr>
            <w:tcW w:w="0" w:type="auto"/>
            <w:noWrap/>
            <w:vAlign w:val="center"/>
            <w:hideMark/>
          </w:tcPr>
          <w:p w14:paraId="1A14554F" w14:textId="7A8729D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14</w:t>
            </w:r>
            <w:r w:rsidR="00A64BF7" w:rsidRPr="003D1CD9">
              <w:rPr>
                <w:rFonts w:ascii="Calibri" w:eastAsia="Times New Roman" w:hAnsi="Calibri" w:cs="Calibri"/>
                <w:color w:val="000000"/>
                <w:lang w:eastAsia="en-AU"/>
              </w:rPr>
              <w:t>.0</w:t>
            </w:r>
          </w:p>
        </w:tc>
        <w:tc>
          <w:tcPr>
            <w:tcW w:w="0" w:type="auto"/>
            <w:noWrap/>
            <w:vAlign w:val="center"/>
            <w:hideMark/>
          </w:tcPr>
          <w:p w14:paraId="19196D80"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13.1</w:t>
            </w:r>
          </w:p>
        </w:tc>
        <w:tc>
          <w:tcPr>
            <w:tcW w:w="0" w:type="auto"/>
            <w:noWrap/>
            <w:vAlign w:val="center"/>
            <w:hideMark/>
          </w:tcPr>
          <w:p w14:paraId="7F8A8B02"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13.2</w:t>
            </w:r>
          </w:p>
        </w:tc>
        <w:tc>
          <w:tcPr>
            <w:tcW w:w="0" w:type="auto"/>
            <w:vAlign w:val="center"/>
            <w:hideMark/>
          </w:tcPr>
          <w:p w14:paraId="0103BED2" w14:textId="77777777" w:rsidR="00DD39F6" w:rsidRPr="003D1CD9" w:rsidRDefault="00DD39F6" w:rsidP="002638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13.5</w:t>
            </w:r>
          </w:p>
        </w:tc>
      </w:tr>
      <w:tr w:rsidR="00DD39F6" w:rsidRPr="00EA1091" w14:paraId="55AC60A8" w14:textId="77777777" w:rsidTr="00263861">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CDFDE0" w14:textId="77777777" w:rsidR="00DD39F6" w:rsidRPr="003D1CD9" w:rsidRDefault="00DD39F6" w:rsidP="003D1CD9">
            <w:pPr>
              <w:jc w:val="center"/>
              <w:rPr>
                <w:rFonts w:ascii="Calibri" w:eastAsia="Times New Roman" w:hAnsi="Calibri" w:cs="Calibri"/>
                <w:b w:val="0"/>
                <w:bCs w:val="0"/>
                <w:lang w:eastAsia="en-AU"/>
              </w:rPr>
            </w:pPr>
            <w:r w:rsidRPr="003D1CD9">
              <w:rPr>
                <w:rFonts w:ascii="Calibri" w:eastAsia="Times New Roman" w:hAnsi="Calibri" w:cs="Calibri"/>
                <w:b w:val="0"/>
                <w:bCs w:val="0"/>
                <w:lang w:eastAsia="en-AU"/>
              </w:rPr>
              <w:t>Remote/Very Remote</w:t>
            </w:r>
          </w:p>
        </w:tc>
        <w:tc>
          <w:tcPr>
            <w:tcW w:w="0" w:type="auto"/>
            <w:noWrap/>
            <w:vAlign w:val="center"/>
            <w:hideMark/>
          </w:tcPr>
          <w:p w14:paraId="4E915F44"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38.3</w:t>
            </w:r>
          </w:p>
        </w:tc>
        <w:tc>
          <w:tcPr>
            <w:tcW w:w="0" w:type="auto"/>
            <w:noWrap/>
            <w:vAlign w:val="center"/>
            <w:hideMark/>
          </w:tcPr>
          <w:p w14:paraId="3A00909D"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33.2</w:t>
            </w:r>
          </w:p>
        </w:tc>
        <w:tc>
          <w:tcPr>
            <w:tcW w:w="0" w:type="auto"/>
            <w:noWrap/>
            <w:vAlign w:val="center"/>
            <w:hideMark/>
          </w:tcPr>
          <w:p w14:paraId="42B8B9DE"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35.3</w:t>
            </w:r>
          </w:p>
        </w:tc>
        <w:tc>
          <w:tcPr>
            <w:tcW w:w="0" w:type="auto"/>
            <w:vAlign w:val="center"/>
            <w:hideMark/>
          </w:tcPr>
          <w:p w14:paraId="43BF4387"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34.1</w:t>
            </w:r>
          </w:p>
        </w:tc>
        <w:tc>
          <w:tcPr>
            <w:tcW w:w="0" w:type="auto"/>
            <w:noWrap/>
            <w:vAlign w:val="center"/>
            <w:hideMark/>
          </w:tcPr>
          <w:p w14:paraId="1B8E6FA2"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23.3</w:t>
            </w:r>
          </w:p>
        </w:tc>
        <w:tc>
          <w:tcPr>
            <w:tcW w:w="0" w:type="auto"/>
            <w:noWrap/>
            <w:vAlign w:val="center"/>
            <w:hideMark/>
          </w:tcPr>
          <w:p w14:paraId="425D484F" w14:textId="157E1BC0"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19</w:t>
            </w:r>
            <w:r w:rsidR="00A64BF7" w:rsidRPr="003D1CD9">
              <w:rPr>
                <w:rFonts w:ascii="Calibri" w:eastAsia="Times New Roman" w:hAnsi="Calibri" w:cs="Calibri"/>
                <w:color w:val="000000"/>
                <w:lang w:eastAsia="en-AU"/>
              </w:rPr>
              <w:t>.0</w:t>
            </w:r>
          </w:p>
        </w:tc>
        <w:tc>
          <w:tcPr>
            <w:tcW w:w="0" w:type="auto"/>
            <w:noWrap/>
            <w:vAlign w:val="center"/>
            <w:hideMark/>
          </w:tcPr>
          <w:p w14:paraId="0FABC9DB" w14:textId="46FD52C4"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22</w:t>
            </w:r>
            <w:r w:rsidR="00A64BF7" w:rsidRPr="003D1CD9">
              <w:rPr>
                <w:rFonts w:ascii="Calibri" w:eastAsia="Times New Roman" w:hAnsi="Calibri" w:cs="Calibri"/>
                <w:color w:val="000000"/>
                <w:lang w:eastAsia="en-AU"/>
              </w:rPr>
              <w:t>.0</w:t>
            </w:r>
          </w:p>
        </w:tc>
        <w:tc>
          <w:tcPr>
            <w:tcW w:w="0" w:type="auto"/>
            <w:vAlign w:val="center"/>
            <w:hideMark/>
          </w:tcPr>
          <w:p w14:paraId="4C6B9127" w14:textId="77777777" w:rsidR="00DD39F6" w:rsidRPr="003D1CD9" w:rsidRDefault="00DD39F6" w:rsidP="0026386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AU"/>
              </w:rPr>
            </w:pPr>
            <w:r w:rsidRPr="003D1CD9">
              <w:rPr>
                <w:rFonts w:ascii="Calibri" w:eastAsia="Times New Roman" w:hAnsi="Calibri" w:cs="Calibri"/>
                <w:color w:val="000000"/>
                <w:lang w:eastAsia="en-AU"/>
              </w:rPr>
              <w:t>20.9</w:t>
            </w:r>
          </w:p>
        </w:tc>
      </w:tr>
    </w:tbl>
    <w:p w14:paraId="036405BF" w14:textId="456E4CC7" w:rsidR="00EA1091" w:rsidRDefault="008C0C04" w:rsidP="00A50297">
      <w:pPr>
        <w:spacing w:after="0" w:line="276" w:lineRule="auto"/>
        <w:rPr>
          <w:sz w:val="16"/>
          <w:szCs w:val="16"/>
        </w:rPr>
      </w:pPr>
      <w:r w:rsidRPr="00EA1091">
        <w:rPr>
          <w:rFonts w:eastAsiaTheme="minorEastAsia"/>
          <w:sz w:val="16"/>
          <w:szCs w:val="16"/>
        </w:rPr>
        <w:t>Source:</w:t>
      </w:r>
      <w:r w:rsidR="00282C5A" w:rsidRPr="00EA1091">
        <w:rPr>
          <w:rFonts w:eastAsiaTheme="minorEastAsia"/>
          <w:sz w:val="16"/>
          <w:szCs w:val="16"/>
        </w:rPr>
        <w:t xml:space="preserve"> Australian Early Development Census (2018).</w:t>
      </w:r>
      <w:r w:rsidRPr="00EA1091">
        <w:rPr>
          <w:rFonts w:eastAsiaTheme="minorEastAsia"/>
          <w:sz w:val="16"/>
          <w:szCs w:val="16"/>
        </w:rPr>
        <w:t xml:space="preserve"> </w:t>
      </w:r>
      <w:r w:rsidR="00282C5A" w:rsidRPr="00EA1091">
        <w:rPr>
          <w:sz w:val="16"/>
          <w:szCs w:val="16"/>
        </w:rPr>
        <w:t>https://www.aedc.gov.au/</w:t>
      </w:r>
    </w:p>
    <w:p w14:paraId="338452FF" w14:textId="77777777" w:rsidR="00EA1091" w:rsidRDefault="00EA1091">
      <w:pPr>
        <w:rPr>
          <w:sz w:val="16"/>
          <w:szCs w:val="16"/>
        </w:rPr>
      </w:pPr>
      <w:r>
        <w:rPr>
          <w:sz w:val="16"/>
          <w:szCs w:val="16"/>
        </w:rPr>
        <w:br w:type="page"/>
      </w:r>
    </w:p>
    <w:p w14:paraId="160EB1C5" w14:textId="22E8AC47" w:rsidR="002A301F" w:rsidRDefault="00EA1091" w:rsidP="00D53B13">
      <w:pPr>
        <w:spacing w:before="120" w:after="0" w:line="276" w:lineRule="auto"/>
        <w:rPr>
          <w:rFonts w:eastAsiaTheme="minorEastAsia"/>
        </w:rPr>
      </w:pPr>
      <w:r w:rsidRPr="00EA1091">
        <w:rPr>
          <w:rFonts w:eastAsiaTheme="minorEastAsia"/>
        </w:rPr>
        <w:lastRenderedPageBreak/>
        <w:t>While some positive gains are made during school,</w:t>
      </w:r>
      <w:r>
        <w:rPr>
          <w:rStyle w:val="FootnoteReference"/>
          <w:rFonts w:eastAsiaTheme="minorEastAsia"/>
        </w:rPr>
        <w:footnoteReference w:id="59"/>
      </w:r>
      <w:r w:rsidRPr="00EA1091">
        <w:rPr>
          <w:rFonts w:eastAsiaTheme="minorEastAsia"/>
        </w:rPr>
        <w:t xml:space="preserve"> the National Assessment Program Literacy and Numeracy (NAPLAN) results show that the average results in RRR areas are poorer than in metropolitan areas, in all areas tested and across year levels (Figure 6 and Figure 7). This translates to lower rates of Year 12 attainment. By age 19, 80.3 per cent of people in metropolitan areas have attained Year 12 (or equivalent) compared to 66.4 per cent in inner regional areas, reducing to 40.3 per cent for very remote areas. This educational disadvantage for RRR students contributes to them being less likely to aspire to career options involving higher-level tertiary study by the end of school. </w:t>
      </w:r>
    </w:p>
    <w:p w14:paraId="47D5D1F2" w14:textId="159635C7" w:rsidR="00577013" w:rsidRDefault="00577013" w:rsidP="00D53B13">
      <w:pPr>
        <w:spacing w:before="120" w:after="0" w:line="276" w:lineRule="auto"/>
        <w:rPr>
          <w:rFonts w:eastAsiaTheme="minorEastAsia"/>
        </w:rPr>
      </w:pPr>
    </w:p>
    <w:p w14:paraId="0855C350" w14:textId="7C34C738" w:rsidR="00577013" w:rsidRDefault="00577013" w:rsidP="00D53B13">
      <w:pPr>
        <w:spacing w:before="120" w:after="0" w:line="276" w:lineRule="auto"/>
        <w:rPr>
          <w:rFonts w:eastAsiaTheme="minorEastAsia"/>
          <w:color w:val="7030A0"/>
        </w:rPr>
      </w:pPr>
    </w:p>
    <w:p w14:paraId="721CD573" w14:textId="6A23CF58" w:rsidR="000F44D4" w:rsidRDefault="00577013" w:rsidP="002E77EC">
      <w:pPr>
        <w:spacing w:after="200" w:line="276" w:lineRule="auto"/>
        <w:rPr>
          <w:rFonts w:ascii="Calibri" w:eastAsia="Calibri" w:hAnsi="Calibri"/>
        </w:rPr>
      </w:pPr>
      <w:r>
        <w:rPr>
          <w:noProof/>
          <w:lang w:eastAsia="en-AU"/>
        </w:rPr>
        <mc:AlternateContent>
          <mc:Choice Requires="wps">
            <w:drawing>
              <wp:anchor distT="0" distB="0" distL="114300" distR="114300" simplePos="0" relativeHeight="251714560" behindDoc="0" locked="0" layoutInCell="1" allowOverlap="1" wp14:anchorId="566C4371" wp14:editId="14EB727F">
                <wp:simplePos x="0" y="0"/>
                <wp:positionH relativeFrom="column">
                  <wp:posOffset>0</wp:posOffset>
                </wp:positionH>
                <wp:positionV relativeFrom="paragraph">
                  <wp:posOffset>-458470</wp:posOffset>
                </wp:positionV>
                <wp:extent cx="5400675" cy="4572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5400675" cy="457200"/>
                        </a:xfrm>
                        <a:prstGeom prst="rect">
                          <a:avLst/>
                        </a:prstGeom>
                        <a:solidFill>
                          <a:prstClr val="white"/>
                        </a:solidFill>
                        <a:ln>
                          <a:noFill/>
                        </a:ln>
                      </wps:spPr>
                      <wps:txbx>
                        <w:txbxContent>
                          <w:p w14:paraId="12751529" w14:textId="55E28AD8" w:rsidR="007331AF" w:rsidRPr="00577013" w:rsidRDefault="007331AF" w:rsidP="00577013">
                            <w:pPr>
                              <w:pStyle w:val="Caption"/>
                              <w:rPr>
                                <w:rFonts w:ascii="Calibri" w:eastAsia="Calibri" w:hAnsi="Calibri"/>
                                <w:b/>
                                <w:noProof/>
                              </w:rPr>
                            </w:pPr>
                            <w:bookmarkStart w:id="48" w:name="_Toc13225137"/>
                            <w:r w:rsidRPr="00577013">
                              <w:rPr>
                                <w:b/>
                              </w:rPr>
                              <w:t xml:space="preserve">Figure </w:t>
                            </w:r>
                            <w:r w:rsidRPr="00577013">
                              <w:rPr>
                                <w:b/>
                              </w:rPr>
                              <w:fldChar w:fldCharType="begin"/>
                            </w:r>
                            <w:r w:rsidRPr="00577013">
                              <w:rPr>
                                <w:b/>
                              </w:rPr>
                              <w:instrText xml:space="preserve"> SEQ Figure \* ARABIC </w:instrText>
                            </w:r>
                            <w:r w:rsidRPr="00577013">
                              <w:rPr>
                                <w:b/>
                              </w:rPr>
                              <w:fldChar w:fldCharType="separate"/>
                            </w:r>
                            <w:r>
                              <w:rPr>
                                <w:b/>
                                <w:noProof/>
                              </w:rPr>
                              <w:t>6</w:t>
                            </w:r>
                            <w:r w:rsidRPr="00577013">
                              <w:rPr>
                                <w:b/>
                              </w:rPr>
                              <w:fldChar w:fldCharType="end"/>
                            </w:r>
                            <w:r w:rsidRPr="00577013">
                              <w:rPr>
                                <w:b/>
                              </w:rPr>
                              <w:t>. NAPLAN - Average score in Reading by year level and remoteness, 2017</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66C4371" id="_x0000_t202" coordsize="21600,21600" o:spt="202" path="m,l,21600r21600,l21600,xe">
                <v:stroke joinstyle="miter"/>
                <v:path gradientshapeok="t" o:connecttype="rect"/>
              </v:shapetype>
              <v:shape id="Text Box 1" o:spid="_x0000_s1026" type="#_x0000_t202" style="position:absolute;margin-left:0;margin-top:-36.1pt;width:425.25pt;height:36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" stroked="f">
                <v:textbox inset="0,0,0,0">
                  <w:txbxContent>
                    <w:p w14:paraId="12751529" w14:textId="55E28AD8" w:rsidR="007331AF" w:rsidRPr="00577013" w:rsidRDefault="007331AF" w:rsidP="00577013">
                      <w:pPr>
                        <w:pStyle w:val="Caption"/>
                        <w:rPr>
                          <w:rFonts w:ascii="Calibri" w:eastAsia="Calibri" w:hAnsi="Calibri"/>
                          <w:b/>
                          <w:noProof/>
                        </w:rPr>
                      </w:pPr>
                      <w:bookmarkStart w:id="48" w:name="_Toc13225137"/>
                      <w:r w:rsidRPr="00577013">
                        <w:rPr>
                          <w:b/>
                        </w:rPr>
                        <w:t xml:space="preserve">Figure </w:t>
                      </w:r>
                      <w:r w:rsidRPr="00577013">
                        <w:rPr>
                          <w:b/>
                        </w:rPr>
                        <w:fldChar w:fldCharType="begin"/>
                      </w:r>
                      <w:r w:rsidRPr="00577013">
                        <w:rPr>
                          <w:b/>
                        </w:rPr>
                        <w:instrText xml:space="preserve"> SEQ Figure \* ARABIC </w:instrText>
                      </w:r>
                      <w:r w:rsidRPr="00577013">
                        <w:rPr>
                          <w:b/>
                        </w:rPr>
                        <w:fldChar w:fldCharType="separate"/>
                      </w:r>
                      <w:r>
                        <w:rPr>
                          <w:b/>
                          <w:noProof/>
                        </w:rPr>
                        <w:t>6</w:t>
                      </w:r>
                      <w:r w:rsidRPr="00577013">
                        <w:rPr>
                          <w:b/>
                        </w:rPr>
                        <w:fldChar w:fldCharType="end"/>
                      </w:r>
                      <w:r w:rsidRPr="00577013">
                        <w:rPr>
                          <w:b/>
                        </w:rPr>
                        <w:t>. NAPLAN - Average score in Reading by year level and remoteness, 2017</w:t>
                      </w:r>
                      <w:bookmarkEnd w:id="48"/>
                    </w:p>
                  </w:txbxContent>
                </v:textbox>
              </v:shape>
            </w:pict>
          </mc:Fallback>
        </mc:AlternateContent>
      </w:r>
    </w:p>
    <w:tbl>
      <w:tblPr>
        <w:tblStyle w:val="TableGrid"/>
        <w:tblW w:w="8790" w:type="dxa"/>
        <w:tblLook w:val="04A0" w:firstRow="1" w:lastRow="0" w:firstColumn="1" w:lastColumn="0" w:noHBand="0" w:noVBand="1"/>
      </w:tblPr>
      <w:tblGrid>
        <w:gridCol w:w="1247"/>
        <w:gridCol w:w="1457"/>
        <w:gridCol w:w="1741"/>
        <w:gridCol w:w="1805"/>
        <w:gridCol w:w="965"/>
        <w:gridCol w:w="1575"/>
      </w:tblGrid>
      <w:tr w:rsidR="00577013" w:rsidRPr="004F5189" w14:paraId="32810061" w14:textId="77777777" w:rsidTr="00577013">
        <w:trPr>
          <w:trHeight w:val="339"/>
          <w:tblHeader/>
        </w:trPr>
        <w:tc>
          <w:tcPr>
            <w:tcW w:w="1247" w:type="dxa"/>
            <w:noWrap/>
            <w:hideMark/>
          </w:tcPr>
          <w:p w14:paraId="0B19F201" w14:textId="77777777" w:rsidR="00577013" w:rsidRPr="004F5189" w:rsidRDefault="00577013" w:rsidP="00F74C6A">
            <w:pPr>
              <w:rPr>
                <w:rFonts w:ascii="Calibri" w:eastAsia="Times New Roman" w:hAnsi="Calibri" w:cs="Calibri"/>
                <w:color w:val="000000"/>
                <w:lang w:eastAsia="en-AU"/>
              </w:rPr>
            </w:pPr>
            <w:r>
              <w:rPr>
                <w:rFonts w:ascii="Calibri" w:eastAsia="Times New Roman" w:hAnsi="Calibri" w:cs="Calibri"/>
                <w:color w:val="000000"/>
                <w:lang w:eastAsia="en-AU"/>
              </w:rPr>
              <w:t>Year Level</w:t>
            </w:r>
          </w:p>
        </w:tc>
        <w:tc>
          <w:tcPr>
            <w:tcW w:w="1457" w:type="dxa"/>
            <w:noWrap/>
            <w:hideMark/>
          </w:tcPr>
          <w:p w14:paraId="7D65B885" w14:textId="77777777" w:rsidR="00577013" w:rsidRPr="004F5189" w:rsidRDefault="00577013" w:rsidP="00F74C6A">
            <w:pPr>
              <w:rPr>
                <w:rFonts w:ascii="Calibri" w:eastAsia="Times New Roman" w:hAnsi="Calibri" w:cs="Calibri"/>
                <w:color w:val="000000"/>
                <w:lang w:eastAsia="en-AU"/>
              </w:rPr>
            </w:pPr>
            <w:r w:rsidRPr="004F5189">
              <w:rPr>
                <w:rFonts w:ascii="Calibri" w:eastAsia="Times New Roman" w:hAnsi="Calibri" w:cs="Calibri"/>
                <w:color w:val="000000"/>
                <w:lang w:eastAsia="en-AU"/>
              </w:rPr>
              <w:t>Major Cities</w:t>
            </w:r>
          </w:p>
        </w:tc>
        <w:tc>
          <w:tcPr>
            <w:tcW w:w="1741" w:type="dxa"/>
            <w:noWrap/>
            <w:hideMark/>
          </w:tcPr>
          <w:p w14:paraId="4264D44E" w14:textId="77777777" w:rsidR="00577013" w:rsidRPr="004F5189" w:rsidRDefault="00577013" w:rsidP="00F74C6A">
            <w:pPr>
              <w:rPr>
                <w:rFonts w:ascii="Calibri" w:eastAsia="Times New Roman" w:hAnsi="Calibri" w:cs="Calibri"/>
                <w:color w:val="000000"/>
                <w:lang w:eastAsia="en-AU"/>
              </w:rPr>
            </w:pPr>
            <w:r w:rsidRPr="004F5189">
              <w:rPr>
                <w:rFonts w:ascii="Calibri" w:eastAsia="Times New Roman" w:hAnsi="Calibri" w:cs="Calibri"/>
                <w:color w:val="000000"/>
                <w:lang w:eastAsia="en-AU"/>
              </w:rPr>
              <w:t>Inner Regional</w:t>
            </w:r>
          </w:p>
        </w:tc>
        <w:tc>
          <w:tcPr>
            <w:tcW w:w="1805" w:type="dxa"/>
            <w:noWrap/>
            <w:hideMark/>
          </w:tcPr>
          <w:p w14:paraId="31319645" w14:textId="77777777" w:rsidR="00577013" w:rsidRPr="004F5189" w:rsidRDefault="00577013" w:rsidP="00F74C6A">
            <w:pPr>
              <w:rPr>
                <w:rFonts w:ascii="Calibri" w:eastAsia="Times New Roman" w:hAnsi="Calibri" w:cs="Calibri"/>
                <w:color w:val="000000"/>
                <w:lang w:eastAsia="en-AU"/>
              </w:rPr>
            </w:pPr>
            <w:r w:rsidRPr="004F5189">
              <w:rPr>
                <w:rFonts w:ascii="Calibri" w:eastAsia="Times New Roman" w:hAnsi="Calibri" w:cs="Calibri"/>
                <w:color w:val="000000"/>
                <w:lang w:eastAsia="en-AU"/>
              </w:rPr>
              <w:t>Outer Regional</w:t>
            </w:r>
          </w:p>
        </w:tc>
        <w:tc>
          <w:tcPr>
            <w:tcW w:w="965" w:type="dxa"/>
            <w:noWrap/>
            <w:hideMark/>
          </w:tcPr>
          <w:p w14:paraId="565E980D" w14:textId="77777777" w:rsidR="00577013" w:rsidRPr="004F5189" w:rsidRDefault="00577013" w:rsidP="00F74C6A">
            <w:pPr>
              <w:rPr>
                <w:rFonts w:ascii="Calibri" w:eastAsia="Times New Roman" w:hAnsi="Calibri" w:cs="Calibri"/>
                <w:color w:val="000000"/>
                <w:lang w:eastAsia="en-AU"/>
              </w:rPr>
            </w:pPr>
            <w:r w:rsidRPr="004F5189">
              <w:rPr>
                <w:rFonts w:ascii="Calibri" w:eastAsia="Times New Roman" w:hAnsi="Calibri" w:cs="Calibri"/>
                <w:color w:val="000000"/>
                <w:lang w:eastAsia="en-AU"/>
              </w:rPr>
              <w:t>Remote</w:t>
            </w:r>
          </w:p>
        </w:tc>
        <w:tc>
          <w:tcPr>
            <w:tcW w:w="1575" w:type="dxa"/>
            <w:noWrap/>
            <w:hideMark/>
          </w:tcPr>
          <w:p w14:paraId="05FC1367" w14:textId="77777777" w:rsidR="00577013" w:rsidRPr="004F5189" w:rsidRDefault="00577013" w:rsidP="00F74C6A">
            <w:pPr>
              <w:rPr>
                <w:rFonts w:ascii="Calibri" w:eastAsia="Times New Roman" w:hAnsi="Calibri" w:cs="Calibri"/>
                <w:color w:val="000000"/>
                <w:lang w:eastAsia="en-AU"/>
              </w:rPr>
            </w:pPr>
            <w:r w:rsidRPr="004F5189">
              <w:rPr>
                <w:rFonts w:ascii="Calibri" w:eastAsia="Times New Roman" w:hAnsi="Calibri" w:cs="Calibri"/>
                <w:color w:val="000000"/>
                <w:lang w:eastAsia="en-AU"/>
              </w:rPr>
              <w:t>Very Remote</w:t>
            </w:r>
          </w:p>
        </w:tc>
      </w:tr>
      <w:tr w:rsidR="00577013" w:rsidRPr="004F5189" w14:paraId="334CDEF5" w14:textId="77777777" w:rsidTr="00F74C6A">
        <w:trPr>
          <w:trHeight w:val="339"/>
        </w:trPr>
        <w:tc>
          <w:tcPr>
            <w:tcW w:w="1247" w:type="dxa"/>
            <w:noWrap/>
            <w:hideMark/>
          </w:tcPr>
          <w:p w14:paraId="19F8584A" w14:textId="77777777" w:rsidR="00577013" w:rsidRPr="004F5189" w:rsidRDefault="00577013" w:rsidP="00F74C6A">
            <w:pPr>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Year </w:t>
            </w:r>
            <w:r w:rsidRPr="004F5189">
              <w:rPr>
                <w:rFonts w:ascii="Calibri" w:eastAsia="Times New Roman" w:hAnsi="Calibri" w:cs="Calibri"/>
                <w:color w:val="000000"/>
                <w:lang w:eastAsia="en-AU"/>
              </w:rPr>
              <w:t>3</w:t>
            </w:r>
          </w:p>
        </w:tc>
        <w:tc>
          <w:tcPr>
            <w:tcW w:w="1457" w:type="dxa"/>
            <w:noWrap/>
            <w:hideMark/>
          </w:tcPr>
          <w:p w14:paraId="675FDA8F"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440.3</w:t>
            </w:r>
          </w:p>
        </w:tc>
        <w:tc>
          <w:tcPr>
            <w:tcW w:w="1741" w:type="dxa"/>
            <w:noWrap/>
            <w:hideMark/>
          </w:tcPr>
          <w:p w14:paraId="63508B52"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420.0</w:t>
            </w:r>
          </w:p>
        </w:tc>
        <w:tc>
          <w:tcPr>
            <w:tcW w:w="1805" w:type="dxa"/>
            <w:noWrap/>
            <w:hideMark/>
          </w:tcPr>
          <w:p w14:paraId="23FDADCB" w14:textId="3CA1772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406.6</w:t>
            </w:r>
          </w:p>
        </w:tc>
        <w:tc>
          <w:tcPr>
            <w:tcW w:w="965" w:type="dxa"/>
            <w:noWrap/>
            <w:hideMark/>
          </w:tcPr>
          <w:p w14:paraId="560118E4" w14:textId="45E6FEE1" w:rsidR="00577013" w:rsidRPr="004F5189" w:rsidRDefault="00577013" w:rsidP="00F74C6A">
            <w:pPr>
              <w:jc w:val="right"/>
              <w:rPr>
                <w:rFonts w:ascii="Calibri" w:eastAsia="Times New Roman" w:hAnsi="Calibri" w:cs="Calibri"/>
                <w:color w:val="000000"/>
                <w:lang w:eastAsia="en-AU"/>
              </w:rPr>
            </w:pPr>
            <w:r>
              <w:rPr>
                <w:rFonts w:ascii="Calibri" w:eastAsia="Calibri" w:hAnsi="Calibri"/>
                <w:noProof/>
                <w:lang w:eastAsia="en-AU"/>
              </w:rPr>
              <w:drawing>
                <wp:anchor distT="0" distB="0" distL="114300" distR="114300" simplePos="0" relativeHeight="251684863" behindDoc="0" locked="0" layoutInCell="1" allowOverlap="1" wp14:anchorId="6DFCD42A" wp14:editId="0ADE0380">
                  <wp:simplePos x="0" y="0"/>
                  <wp:positionH relativeFrom="column">
                    <wp:posOffset>-4345305</wp:posOffset>
                  </wp:positionH>
                  <wp:positionV relativeFrom="paragraph">
                    <wp:posOffset>-639445</wp:posOffset>
                  </wp:positionV>
                  <wp:extent cx="6276975" cy="2127885"/>
                  <wp:effectExtent l="0" t="0" r="9525" b="5715"/>
                  <wp:wrapNone/>
                  <wp:docPr id="3406" name="Picture 3406" descr="C:\Users\EB2921\AppData\Local\Microsoft\Windows\INetCache\Content.Word\ED19-0084 - HE - Regional Taskforce Final Report_Figur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EB2921\AppData\Local\Microsoft\Windows\INetCache\Content.Word\ED19-0084 - HE - Regional Taskforce Final Report_Figure 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76975" cy="2127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5189">
              <w:rPr>
                <w:rFonts w:ascii="Calibri" w:eastAsia="Times New Roman" w:hAnsi="Calibri" w:cs="Calibri"/>
                <w:color w:val="000000"/>
                <w:lang w:eastAsia="en-AU"/>
              </w:rPr>
              <w:t>381.1</w:t>
            </w:r>
          </w:p>
        </w:tc>
        <w:tc>
          <w:tcPr>
            <w:tcW w:w="1575" w:type="dxa"/>
            <w:noWrap/>
            <w:hideMark/>
          </w:tcPr>
          <w:p w14:paraId="0324BBFF"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298.8</w:t>
            </w:r>
          </w:p>
        </w:tc>
      </w:tr>
      <w:tr w:rsidR="00577013" w:rsidRPr="004F5189" w14:paraId="4A5F5A3E" w14:textId="77777777" w:rsidTr="00F74C6A">
        <w:trPr>
          <w:trHeight w:val="339"/>
        </w:trPr>
        <w:tc>
          <w:tcPr>
            <w:tcW w:w="1247" w:type="dxa"/>
            <w:noWrap/>
            <w:hideMark/>
          </w:tcPr>
          <w:p w14:paraId="27123520" w14:textId="77777777" w:rsidR="00577013" w:rsidRPr="004F5189" w:rsidRDefault="00577013" w:rsidP="00F74C6A">
            <w:pPr>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Year </w:t>
            </w:r>
            <w:r w:rsidRPr="004F5189">
              <w:rPr>
                <w:rFonts w:ascii="Calibri" w:eastAsia="Times New Roman" w:hAnsi="Calibri" w:cs="Calibri"/>
                <w:color w:val="000000"/>
                <w:lang w:eastAsia="en-AU"/>
              </w:rPr>
              <w:t>5</w:t>
            </w:r>
          </w:p>
        </w:tc>
        <w:tc>
          <w:tcPr>
            <w:tcW w:w="1457" w:type="dxa"/>
            <w:noWrap/>
            <w:hideMark/>
          </w:tcPr>
          <w:p w14:paraId="008CC81F"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513.2</w:t>
            </w:r>
          </w:p>
        </w:tc>
        <w:tc>
          <w:tcPr>
            <w:tcW w:w="1741" w:type="dxa"/>
            <w:noWrap/>
            <w:hideMark/>
          </w:tcPr>
          <w:p w14:paraId="33E60948"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496.4</w:t>
            </w:r>
          </w:p>
        </w:tc>
        <w:tc>
          <w:tcPr>
            <w:tcW w:w="1805" w:type="dxa"/>
            <w:noWrap/>
            <w:hideMark/>
          </w:tcPr>
          <w:p w14:paraId="1AFED598"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486.2</w:t>
            </w:r>
          </w:p>
        </w:tc>
        <w:tc>
          <w:tcPr>
            <w:tcW w:w="965" w:type="dxa"/>
            <w:noWrap/>
            <w:hideMark/>
          </w:tcPr>
          <w:p w14:paraId="3D54DD4E"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464.5</w:t>
            </w:r>
          </w:p>
        </w:tc>
        <w:tc>
          <w:tcPr>
            <w:tcW w:w="1575" w:type="dxa"/>
            <w:noWrap/>
            <w:hideMark/>
          </w:tcPr>
          <w:p w14:paraId="7BBADA8D"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386.2</w:t>
            </w:r>
          </w:p>
        </w:tc>
      </w:tr>
      <w:tr w:rsidR="00577013" w:rsidRPr="004F5189" w14:paraId="2EBF8088" w14:textId="77777777" w:rsidTr="00F74C6A">
        <w:trPr>
          <w:trHeight w:val="339"/>
        </w:trPr>
        <w:tc>
          <w:tcPr>
            <w:tcW w:w="1247" w:type="dxa"/>
            <w:noWrap/>
            <w:hideMark/>
          </w:tcPr>
          <w:p w14:paraId="4715E2A7" w14:textId="77777777" w:rsidR="00577013" w:rsidRPr="004F5189" w:rsidRDefault="00577013" w:rsidP="00F74C6A">
            <w:pPr>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Year </w:t>
            </w:r>
            <w:r w:rsidRPr="004F5189">
              <w:rPr>
                <w:rFonts w:ascii="Calibri" w:eastAsia="Times New Roman" w:hAnsi="Calibri" w:cs="Calibri"/>
                <w:color w:val="000000"/>
                <w:lang w:eastAsia="en-AU"/>
              </w:rPr>
              <w:t>7</w:t>
            </w:r>
          </w:p>
        </w:tc>
        <w:tc>
          <w:tcPr>
            <w:tcW w:w="1457" w:type="dxa"/>
            <w:noWrap/>
            <w:hideMark/>
          </w:tcPr>
          <w:p w14:paraId="2DA4EA40"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552.0</w:t>
            </w:r>
          </w:p>
        </w:tc>
        <w:tc>
          <w:tcPr>
            <w:tcW w:w="1741" w:type="dxa"/>
            <w:noWrap/>
            <w:hideMark/>
          </w:tcPr>
          <w:p w14:paraId="2ABB5AF7"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534.5</w:t>
            </w:r>
          </w:p>
        </w:tc>
        <w:tc>
          <w:tcPr>
            <w:tcW w:w="1805" w:type="dxa"/>
            <w:noWrap/>
            <w:hideMark/>
          </w:tcPr>
          <w:p w14:paraId="709D74AB"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523.0</w:t>
            </w:r>
          </w:p>
        </w:tc>
        <w:tc>
          <w:tcPr>
            <w:tcW w:w="965" w:type="dxa"/>
            <w:noWrap/>
            <w:hideMark/>
          </w:tcPr>
          <w:p w14:paraId="6391B423"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502.4</w:t>
            </w:r>
          </w:p>
        </w:tc>
        <w:tc>
          <w:tcPr>
            <w:tcW w:w="1575" w:type="dxa"/>
            <w:noWrap/>
            <w:hideMark/>
          </w:tcPr>
          <w:p w14:paraId="67B891D5"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417.8</w:t>
            </w:r>
          </w:p>
        </w:tc>
      </w:tr>
      <w:tr w:rsidR="00577013" w:rsidRPr="004F5189" w14:paraId="5BE22884" w14:textId="77777777" w:rsidTr="00F74C6A">
        <w:trPr>
          <w:trHeight w:val="339"/>
        </w:trPr>
        <w:tc>
          <w:tcPr>
            <w:tcW w:w="1247" w:type="dxa"/>
            <w:noWrap/>
            <w:hideMark/>
          </w:tcPr>
          <w:p w14:paraId="03B2A751" w14:textId="77777777" w:rsidR="00577013" w:rsidRPr="004F5189" w:rsidRDefault="00577013" w:rsidP="00F74C6A">
            <w:pPr>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Year </w:t>
            </w:r>
            <w:r w:rsidRPr="004F5189">
              <w:rPr>
                <w:rFonts w:ascii="Calibri" w:eastAsia="Times New Roman" w:hAnsi="Calibri" w:cs="Calibri"/>
                <w:color w:val="000000"/>
                <w:lang w:eastAsia="en-AU"/>
              </w:rPr>
              <w:t>9</w:t>
            </w:r>
          </w:p>
        </w:tc>
        <w:tc>
          <w:tcPr>
            <w:tcW w:w="1457" w:type="dxa"/>
            <w:noWrap/>
            <w:hideMark/>
          </w:tcPr>
          <w:p w14:paraId="77C993F5"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587.8</w:t>
            </w:r>
          </w:p>
        </w:tc>
        <w:tc>
          <w:tcPr>
            <w:tcW w:w="1741" w:type="dxa"/>
            <w:noWrap/>
            <w:hideMark/>
          </w:tcPr>
          <w:p w14:paraId="0B3E0D6D"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571.3</w:t>
            </w:r>
          </w:p>
        </w:tc>
        <w:tc>
          <w:tcPr>
            <w:tcW w:w="1805" w:type="dxa"/>
            <w:noWrap/>
            <w:hideMark/>
          </w:tcPr>
          <w:p w14:paraId="6695C5F8"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560.4</w:t>
            </w:r>
          </w:p>
        </w:tc>
        <w:tc>
          <w:tcPr>
            <w:tcW w:w="965" w:type="dxa"/>
            <w:noWrap/>
            <w:hideMark/>
          </w:tcPr>
          <w:p w14:paraId="1AD89DDA"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543.2</w:t>
            </w:r>
          </w:p>
        </w:tc>
        <w:tc>
          <w:tcPr>
            <w:tcW w:w="1575" w:type="dxa"/>
            <w:noWrap/>
            <w:hideMark/>
          </w:tcPr>
          <w:p w14:paraId="032C771C"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458.5</w:t>
            </w:r>
          </w:p>
        </w:tc>
      </w:tr>
    </w:tbl>
    <w:p w14:paraId="45913EB4" w14:textId="0435C409" w:rsidR="000F44D4" w:rsidRDefault="000F44D4" w:rsidP="002E77EC">
      <w:pPr>
        <w:spacing w:after="200" w:line="276" w:lineRule="auto"/>
        <w:rPr>
          <w:rFonts w:ascii="Calibri" w:eastAsia="Calibri" w:hAnsi="Calibri"/>
        </w:rPr>
      </w:pPr>
    </w:p>
    <w:p w14:paraId="74422E9F" w14:textId="288F7DD9" w:rsidR="00577013" w:rsidRDefault="00577013" w:rsidP="002E77EC">
      <w:pPr>
        <w:spacing w:after="200" w:line="276" w:lineRule="auto"/>
        <w:rPr>
          <w:rFonts w:ascii="Calibri" w:eastAsia="Calibri" w:hAnsi="Calibri"/>
        </w:rPr>
      </w:pPr>
    </w:p>
    <w:p w14:paraId="23DBB58A" w14:textId="77777777" w:rsidR="006844D8" w:rsidRDefault="006844D8" w:rsidP="002E77EC">
      <w:pPr>
        <w:spacing w:after="200" w:line="276" w:lineRule="auto"/>
        <w:rPr>
          <w:rFonts w:ascii="Calibri" w:eastAsia="Calibri" w:hAnsi="Calibri"/>
        </w:rPr>
      </w:pPr>
    </w:p>
    <w:p w14:paraId="042F4411" w14:textId="5946C775" w:rsidR="00577013" w:rsidRDefault="00577013" w:rsidP="002E77EC">
      <w:pPr>
        <w:spacing w:after="200" w:line="276" w:lineRule="auto"/>
        <w:rPr>
          <w:rFonts w:ascii="Calibri" w:eastAsia="Calibri" w:hAnsi="Calibri"/>
        </w:rPr>
      </w:pPr>
      <w:r>
        <w:rPr>
          <w:rFonts w:ascii="Calibri" w:eastAsia="Calibri" w:hAnsi="Calibri"/>
          <w:noProof/>
          <w:lang w:eastAsia="en-AU"/>
        </w:rPr>
        <w:drawing>
          <wp:anchor distT="0" distB="0" distL="114300" distR="114300" simplePos="0" relativeHeight="251712512" behindDoc="0" locked="0" layoutInCell="1" allowOverlap="1" wp14:anchorId="020EE150" wp14:editId="7159038D">
            <wp:simplePos x="0" y="0"/>
            <wp:positionH relativeFrom="column">
              <wp:posOffset>-285750</wp:posOffset>
            </wp:positionH>
            <wp:positionV relativeFrom="paragraph">
              <wp:posOffset>177800</wp:posOffset>
            </wp:positionV>
            <wp:extent cx="6374130" cy="2199462"/>
            <wp:effectExtent l="0" t="0" r="7620" b="0"/>
            <wp:wrapNone/>
            <wp:docPr id="3407" name="Picture 3407" descr="C:\Users\EB2921\AppData\Local\Microsoft\Windows\INetCache\Content.Word\ED19-0084 - HE - Regional Taskforce Final Report_Figur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EB2921\AppData\Local\Microsoft\Windows\INetCache\Content.Word\ED19-0084 - HE - Regional Taskforce Final Report_Figure 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86087" cy="22035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9F66FC" w14:textId="06ADEC16" w:rsidR="00577013" w:rsidRDefault="00577013" w:rsidP="002E77EC">
      <w:pPr>
        <w:spacing w:after="200" w:line="276" w:lineRule="auto"/>
        <w:rPr>
          <w:rFonts w:ascii="Calibri" w:eastAsia="Calibri" w:hAnsi="Calibri"/>
        </w:rPr>
      </w:pPr>
      <w:r>
        <w:rPr>
          <w:noProof/>
          <w:lang w:eastAsia="en-AU"/>
        </w:rPr>
        <mc:AlternateContent>
          <mc:Choice Requires="wps">
            <w:drawing>
              <wp:anchor distT="0" distB="0" distL="114300" distR="114300" simplePos="0" relativeHeight="251716608" behindDoc="0" locked="0" layoutInCell="1" allowOverlap="1" wp14:anchorId="4DF37400" wp14:editId="2E246BA3">
                <wp:simplePos x="0" y="0"/>
                <wp:positionH relativeFrom="column">
                  <wp:posOffset>0</wp:posOffset>
                </wp:positionH>
                <wp:positionV relativeFrom="paragraph">
                  <wp:posOffset>-455930</wp:posOffset>
                </wp:positionV>
                <wp:extent cx="5400675" cy="457200"/>
                <wp:effectExtent l="0" t="0" r="9525" b="0"/>
                <wp:wrapNone/>
                <wp:docPr id="3408" name="Text Box 3408"/>
                <wp:cNvGraphicFramePr/>
                <a:graphic xmlns:a="http://schemas.openxmlformats.org/drawingml/2006/main">
                  <a:graphicData uri="http://schemas.microsoft.com/office/word/2010/wordprocessingShape">
                    <wps:wsp>
                      <wps:cNvSpPr txBox="1"/>
                      <wps:spPr>
                        <a:xfrm>
                          <a:off x="0" y="0"/>
                          <a:ext cx="5400675" cy="457200"/>
                        </a:xfrm>
                        <a:prstGeom prst="rect">
                          <a:avLst/>
                        </a:prstGeom>
                        <a:solidFill>
                          <a:prstClr val="white"/>
                        </a:solidFill>
                        <a:ln>
                          <a:noFill/>
                        </a:ln>
                      </wps:spPr>
                      <wps:txbx>
                        <w:txbxContent>
                          <w:p w14:paraId="29DE3D01" w14:textId="30B3CBC1" w:rsidR="007331AF" w:rsidRPr="00577013" w:rsidRDefault="007331AF" w:rsidP="00577013">
                            <w:pPr>
                              <w:pStyle w:val="Caption"/>
                              <w:rPr>
                                <w:rFonts w:ascii="Calibri" w:eastAsia="Calibri" w:hAnsi="Calibri"/>
                                <w:b/>
                                <w:noProof/>
                              </w:rPr>
                            </w:pPr>
                            <w:bookmarkStart w:id="49" w:name="_Toc13225138"/>
                            <w:r w:rsidRPr="00577013">
                              <w:rPr>
                                <w:b/>
                              </w:rPr>
                              <w:t xml:space="preserve">Figure </w:t>
                            </w:r>
                            <w:r w:rsidRPr="00577013">
                              <w:rPr>
                                <w:b/>
                              </w:rPr>
                              <w:fldChar w:fldCharType="begin"/>
                            </w:r>
                            <w:r w:rsidRPr="00577013">
                              <w:rPr>
                                <w:b/>
                              </w:rPr>
                              <w:instrText xml:space="preserve"> SEQ Figure \* ARABIC </w:instrText>
                            </w:r>
                            <w:r w:rsidRPr="00577013">
                              <w:rPr>
                                <w:b/>
                              </w:rPr>
                              <w:fldChar w:fldCharType="separate"/>
                            </w:r>
                            <w:r>
                              <w:rPr>
                                <w:b/>
                                <w:noProof/>
                              </w:rPr>
                              <w:t>7</w:t>
                            </w:r>
                            <w:r w:rsidRPr="00577013">
                              <w:rPr>
                                <w:b/>
                              </w:rPr>
                              <w:fldChar w:fldCharType="end"/>
                            </w:r>
                            <w:r w:rsidRPr="00577013">
                              <w:rPr>
                                <w:b/>
                              </w:rPr>
                              <w:t>. NAPLAN - Average score in Numeracy by year level and remoteness, 2017</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DF37400" id="Text Box 3408" o:spid="_x0000_s1027" type="#_x0000_t202" style="position:absolute;margin-left:0;margin-top:-35.9pt;width:425.25pt;height:36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" stroked="f">
                <v:textbox inset="0,0,0,0">
                  <w:txbxContent>
                    <w:p w14:paraId="29DE3D01" w14:textId="30B3CBC1" w:rsidR="007331AF" w:rsidRPr="00577013" w:rsidRDefault="007331AF" w:rsidP="00577013">
                      <w:pPr>
                        <w:pStyle w:val="Caption"/>
                        <w:rPr>
                          <w:rFonts w:ascii="Calibri" w:eastAsia="Calibri" w:hAnsi="Calibri"/>
                          <w:b/>
                          <w:noProof/>
                        </w:rPr>
                      </w:pPr>
                      <w:bookmarkStart w:id="50" w:name="_Toc13225138"/>
                      <w:r w:rsidRPr="00577013">
                        <w:rPr>
                          <w:b/>
                        </w:rPr>
                        <w:t xml:space="preserve">Figure </w:t>
                      </w:r>
                      <w:r w:rsidRPr="00577013">
                        <w:rPr>
                          <w:b/>
                        </w:rPr>
                        <w:fldChar w:fldCharType="begin"/>
                      </w:r>
                      <w:r w:rsidRPr="00577013">
                        <w:rPr>
                          <w:b/>
                        </w:rPr>
                        <w:instrText xml:space="preserve"> SEQ Figure \* ARABIC </w:instrText>
                      </w:r>
                      <w:r w:rsidRPr="00577013">
                        <w:rPr>
                          <w:b/>
                        </w:rPr>
                        <w:fldChar w:fldCharType="separate"/>
                      </w:r>
                      <w:r>
                        <w:rPr>
                          <w:b/>
                          <w:noProof/>
                        </w:rPr>
                        <w:t>7</w:t>
                      </w:r>
                      <w:r w:rsidRPr="00577013">
                        <w:rPr>
                          <w:b/>
                        </w:rPr>
                        <w:fldChar w:fldCharType="end"/>
                      </w:r>
                      <w:r w:rsidRPr="00577013">
                        <w:rPr>
                          <w:b/>
                        </w:rPr>
                        <w:t>. NAPLAN - Average score in Numeracy by year level and remoteness, 2017</w:t>
                      </w:r>
                      <w:bookmarkEnd w:id="50"/>
                    </w:p>
                  </w:txbxContent>
                </v:textbox>
              </v:shape>
            </w:pict>
          </mc:Fallback>
        </mc:AlternateContent>
      </w:r>
    </w:p>
    <w:tbl>
      <w:tblPr>
        <w:tblStyle w:val="TableGrid"/>
        <w:tblW w:w="8894" w:type="dxa"/>
        <w:tblLook w:val="04A0" w:firstRow="1" w:lastRow="0" w:firstColumn="1" w:lastColumn="0" w:noHBand="0" w:noVBand="1"/>
      </w:tblPr>
      <w:tblGrid>
        <w:gridCol w:w="1262"/>
        <w:gridCol w:w="1474"/>
        <w:gridCol w:w="1761"/>
        <w:gridCol w:w="1827"/>
        <w:gridCol w:w="976"/>
        <w:gridCol w:w="1594"/>
      </w:tblGrid>
      <w:tr w:rsidR="00577013" w:rsidRPr="004F5189" w14:paraId="1FB15365" w14:textId="77777777" w:rsidTr="00577013">
        <w:trPr>
          <w:trHeight w:val="289"/>
          <w:tblHeader/>
        </w:trPr>
        <w:tc>
          <w:tcPr>
            <w:tcW w:w="1262" w:type="dxa"/>
            <w:noWrap/>
            <w:hideMark/>
          </w:tcPr>
          <w:p w14:paraId="3384F688" w14:textId="77777777" w:rsidR="00577013" w:rsidRPr="004F5189" w:rsidRDefault="00577013" w:rsidP="00F74C6A">
            <w:pPr>
              <w:rPr>
                <w:rFonts w:ascii="Calibri" w:eastAsia="Times New Roman" w:hAnsi="Calibri" w:cs="Calibri"/>
                <w:color w:val="000000"/>
                <w:lang w:eastAsia="en-AU"/>
              </w:rPr>
            </w:pPr>
            <w:r>
              <w:rPr>
                <w:rFonts w:ascii="Calibri" w:eastAsia="Times New Roman" w:hAnsi="Calibri" w:cs="Calibri"/>
                <w:color w:val="000000"/>
                <w:lang w:eastAsia="en-AU"/>
              </w:rPr>
              <w:t>Year Level</w:t>
            </w:r>
          </w:p>
        </w:tc>
        <w:tc>
          <w:tcPr>
            <w:tcW w:w="1474" w:type="dxa"/>
            <w:noWrap/>
            <w:hideMark/>
          </w:tcPr>
          <w:p w14:paraId="0EF2805F" w14:textId="77777777" w:rsidR="00577013" w:rsidRPr="004F5189" w:rsidRDefault="00577013" w:rsidP="00F74C6A">
            <w:pPr>
              <w:rPr>
                <w:rFonts w:ascii="Calibri" w:eastAsia="Times New Roman" w:hAnsi="Calibri" w:cs="Calibri"/>
                <w:color w:val="000000"/>
                <w:lang w:eastAsia="en-AU"/>
              </w:rPr>
            </w:pPr>
            <w:r w:rsidRPr="004F5189">
              <w:rPr>
                <w:rFonts w:ascii="Calibri" w:eastAsia="Times New Roman" w:hAnsi="Calibri" w:cs="Calibri"/>
                <w:color w:val="000000"/>
                <w:lang w:eastAsia="en-AU"/>
              </w:rPr>
              <w:t>Major Cities</w:t>
            </w:r>
          </w:p>
        </w:tc>
        <w:tc>
          <w:tcPr>
            <w:tcW w:w="1761" w:type="dxa"/>
            <w:noWrap/>
            <w:hideMark/>
          </w:tcPr>
          <w:p w14:paraId="08338280" w14:textId="77777777" w:rsidR="00577013" w:rsidRPr="004F5189" w:rsidRDefault="00577013" w:rsidP="00F74C6A">
            <w:pPr>
              <w:rPr>
                <w:rFonts w:ascii="Calibri" w:eastAsia="Times New Roman" w:hAnsi="Calibri" w:cs="Calibri"/>
                <w:color w:val="000000"/>
                <w:lang w:eastAsia="en-AU"/>
              </w:rPr>
            </w:pPr>
            <w:r w:rsidRPr="004F5189">
              <w:rPr>
                <w:rFonts w:ascii="Calibri" w:eastAsia="Times New Roman" w:hAnsi="Calibri" w:cs="Calibri"/>
                <w:color w:val="000000"/>
                <w:lang w:eastAsia="en-AU"/>
              </w:rPr>
              <w:t>Inner Regional</w:t>
            </w:r>
          </w:p>
        </w:tc>
        <w:tc>
          <w:tcPr>
            <w:tcW w:w="1827" w:type="dxa"/>
            <w:noWrap/>
            <w:hideMark/>
          </w:tcPr>
          <w:p w14:paraId="3B220EA4" w14:textId="77777777" w:rsidR="00577013" w:rsidRPr="004F5189" w:rsidRDefault="00577013" w:rsidP="00F74C6A">
            <w:pPr>
              <w:rPr>
                <w:rFonts w:ascii="Calibri" w:eastAsia="Times New Roman" w:hAnsi="Calibri" w:cs="Calibri"/>
                <w:color w:val="000000"/>
                <w:lang w:eastAsia="en-AU"/>
              </w:rPr>
            </w:pPr>
            <w:r w:rsidRPr="004F5189">
              <w:rPr>
                <w:rFonts w:ascii="Calibri" w:eastAsia="Times New Roman" w:hAnsi="Calibri" w:cs="Calibri"/>
                <w:color w:val="000000"/>
                <w:lang w:eastAsia="en-AU"/>
              </w:rPr>
              <w:t>Outer Regional</w:t>
            </w:r>
          </w:p>
        </w:tc>
        <w:tc>
          <w:tcPr>
            <w:tcW w:w="976" w:type="dxa"/>
            <w:noWrap/>
            <w:hideMark/>
          </w:tcPr>
          <w:p w14:paraId="24986E84" w14:textId="77777777" w:rsidR="00577013" w:rsidRPr="004F5189" w:rsidRDefault="00577013" w:rsidP="00F74C6A">
            <w:pPr>
              <w:rPr>
                <w:rFonts w:ascii="Calibri" w:eastAsia="Times New Roman" w:hAnsi="Calibri" w:cs="Calibri"/>
                <w:color w:val="000000"/>
                <w:lang w:eastAsia="en-AU"/>
              </w:rPr>
            </w:pPr>
            <w:r w:rsidRPr="004F5189">
              <w:rPr>
                <w:rFonts w:ascii="Calibri" w:eastAsia="Times New Roman" w:hAnsi="Calibri" w:cs="Calibri"/>
                <w:color w:val="000000"/>
                <w:lang w:eastAsia="en-AU"/>
              </w:rPr>
              <w:t>Remote</w:t>
            </w:r>
          </w:p>
        </w:tc>
        <w:tc>
          <w:tcPr>
            <w:tcW w:w="1594" w:type="dxa"/>
            <w:noWrap/>
            <w:hideMark/>
          </w:tcPr>
          <w:p w14:paraId="06D475A1" w14:textId="77777777" w:rsidR="00577013" w:rsidRPr="004F5189" w:rsidRDefault="00577013" w:rsidP="00F74C6A">
            <w:pPr>
              <w:rPr>
                <w:rFonts w:ascii="Calibri" w:eastAsia="Times New Roman" w:hAnsi="Calibri" w:cs="Calibri"/>
                <w:color w:val="000000"/>
                <w:lang w:eastAsia="en-AU"/>
              </w:rPr>
            </w:pPr>
            <w:r w:rsidRPr="004F5189">
              <w:rPr>
                <w:rFonts w:ascii="Calibri" w:eastAsia="Times New Roman" w:hAnsi="Calibri" w:cs="Calibri"/>
                <w:color w:val="000000"/>
                <w:lang w:eastAsia="en-AU"/>
              </w:rPr>
              <w:t>Very Remote</w:t>
            </w:r>
          </w:p>
        </w:tc>
      </w:tr>
      <w:tr w:rsidR="00577013" w:rsidRPr="004F5189" w14:paraId="0EEB2F49" w14:textId="77777777" w:rsidTr="00F74C6A">
        <w:trPr>
          <w:trHeight w:val="289"/>
        </w:trPr>
        <w:tc>
          <w:tcPr>
            <w:tcW w:w="1262" w:type="dxa"/>
            <w:noWrap/>
            <w:hideMark/>
          </w:tcPr>
          <w:p w14:paraId="70D8FC1E" w14:textId="77777777" w:rsidR="00577013" w:rsidRPr="004F5189" w:rsidRDefault="00577013" w:rsidP="00F74C6A">
            <w:pPr>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Year </w:t>
            </w:r>
            <w:r w:rsidRPr="004F5189">
              <w:rPr>
                <w:rFonts w:ascii="Calibri" w:eastAsia="Times New Roman" w:hAnsi="Calibri" w:cs="Calibri"/>
                <w:color w:val="000000"/>
                <w:lang w:eastAsia="en-AU"/>
              </w:rPr>
              <w:t>3</w:t>
            </w:r>
          </w:p>
        </w:tc>
        <w:tc>
          <w:tcPr>
            <w:tcW w:w="1474" w:type="dxa"/>
            <w:noWrap/>
            <w:hideMark/>
          </w:tcPr>
          <w:p w14:paraId="4F4CEE1A"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417.1</w:t>
            </w:r>
          </w:p>
        </w:tc>
        <w:tc>
          <w:tcPr>
            <w:tcW w:w="1761" w:type="dxa"/>
            <w:noWrap/>
            <w:hideMark/>
          </w:tcPr>
          <w:p w14:paraId="5557482A"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399.4</w:t>
            </w:r>
          </w:p>
        </w:tc>
        <w:tc>
          <w:tcPr>
            <w:tcW w:w="1827" w:type="dxa"/>
            <w:noWrap/>
            <w:hideMark/>
          </w:tcPr>
          <w:p w14:paraId="1078629B"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387.7</w:t>
            </w:r>
          </w:p>
        </w:tc>
        <w:tc>
          <w:tcPr>
            <w:tcW w:w="976" w:type="dxa"/>
            <w:noWrap/>
            <w:hideMark/>
          </w:tcPr>
          <w:p w14:paraId="756B84A2"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369.7</w:t>
            </w:r>
          </w:p>
        </w:tc>
        <w:tc>
          <w:tcPr>
            <w:tcW w:w="1594" w:type="dxa"/>
            <w:noWrap/>
            <w:hideMark/>
          </w:tcPr>
          <w:p w14:paraId="38CC4120"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304.8</w:t>
            </w:r>
          </w:p>
        </w:tc>
      </w:tr>
      <w:tr w:rsidR="00577013" w:rsidRPr="004F5189" w14:paraId="6E334538" w14:textId="77777777" w:rsidTr="00F74C6A">
        <w:trPr>
          <w:trHeight w:val="289"/>
        </w:trPr>
        <w:tc>
          <w:tcPr>
            <w:tcW w:w="1262" w:type="dxa"/>
            <w:noWrap/>
            <w:hideMark/>
          </w:tcPr>
          <w:p w14:paraId="6F81C202" w14:textId="77777777" w:rsidR="00577013" w:rsidRPr="004F5189" w:rsidRDefault="00577013" w:rsidP="00F74C6A">
            <w:pPr>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Year </w:t>
            </w:r>
            <w:r w:rsidRPr="004F5189">
              <w:rPr>
                <w:rFonts w:ascii="Calibri" w:eastAsia="Times New Roman" w:hAnsi="Calibri" w:cs="Calibri"/>
                <w:color w:val="000000"/>
                <w:lang w:eastAsia="en-AU"/>
              </w:rPr>
              <w:t>5</w:t>
            </w:r>
          </w:p>
        </w:tc>
        <w:tc>
          <w:tcPr>
            <w:tcW w:w="1474" w:type="dxa"/>
            <w:noWrap/>
            <w:hideMark/>
          </w:tcPr>
          <w:p w14:paraId="5FFCB34C"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501.4</w:t>
            </w:r>
          </w:p>
        </w:tc>
        <w:tc>
          <w:tcPr>
            <w:tcW w:w="1761" w:type="dxa"/>
            <w:noWrap/>
            <w:hideMark/>
          </w:tcPr>
          <w:p w14:paraId="7C774C16"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482.9</w:t>
            </w:r>
          </w:p>
        </w:tc>
        <w:tc>
          <w:tcPr>
            <w:tcW w:w="1827" w:type="dxa"/>
            <w:noWrap/>
            <w:hideMark/>
          </w:tcPr>
          <w:p w14:paraId="07AEF443"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474.1</w:t>
            </w:r>
          </w:p>
        </w:tc>
        <w:tc>
          <w:tcPr>
            <w:tcW w:w="976" w:type="dxa"/>
            <w:noWrap/>
            <w:hideMark/>
          </w:tcPr>
          <w:p w14:paraId="5DDD6303"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455.8</w:t>
            </w:r>
          </w:p>
        </w:tc>
        <w:tc>
          <w:tcPr>
            <w:tcW w:w="1594" w:type="dxa"/>
            <w:noWrap/>
            <w:hideMark/>
          </w:tcPr>
          <w:p w14:paraId="112C5E88"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402.0</w:t>
            </w:r>
          </w:p>
        </w:tc>
      </w:tr>
      <w:tr w:rsidR="00577013" w:rsidRPr="004F5189" w14:paraId="535B97D0" w14:textId="77777777" w:rsidTr="00F74C6A">
        <w:trPr>
          <w:trHeight w:val="289"/>
        </w:trPr>
        <w:tc>
          <w:tcPr>
            <w:tcW w:w="1262" w:type="dxa"/>
            <w:noWrap/>
            <w:hideMark/>
          </w:tcPr>
          <w:p w14:paraId="3FF36FED" w14:textId="77777777" w:rsidR="00577013" w:rsidRPr="004F5189" w:rsidRDefault="00577013" w:rsidP="00F74C6A">
            <w:pPr>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Year </w:t>
            </w:r>
            <w:r w:rsidRPr="004F5189">
              <w:rPr>
                <w:rFonts w:ascii="Calibri" w:eastAsia="Times New Roman" w:hAnsi="Calibri" w:cs="Calibri"/>
                <w:color w:val="000000"/>
                <w:lang w:eastAsia="en-AU"/>
              </w:rPr>
              <w:t>7</w:t>
            </w:r>
          </w:p>
        </w:tc>
        <w:tc>
          <w:tcPr>
            <w:tcW w:w="1474" w:type="dxa"/>
            <w:noWrap/>
            <w:hideMark/>
          </w:tcPr>
          <w:p w14:paraId="7919B73A"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562.5</w:t>
            </w:r>
          </w:p>
        </w:tc>
        <w:tc>
          <w:tcPr>
            <w:tcW w:w="1761" w:type="dxa"/>
            <w:noWrap/>
            <w:hideMark/>
          </w:tcPr>
          <w:p w14:paraId="6A972DFE"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538.6</w:t>
            </w:r>
          </w:p>
        </w:tc>
        <w:tc>
          <w:tcPr>
            <w:tcW w:w="1827" w:type="dxa"/>
            <w:noWrap/>
            <w:hideMark/>
          </w:tcPr>
          <w:p w14:paraId="44CC6847"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530.1</w:t>
            </w:r>
          </w:p>
        </w:tc>
        <w:tc>
          <w:tcPr>
            <w:tcW w:w="976" w:type="dxa"/>
            <w:noWrap/>
            <w:hideMark/>
          </w:tcPr>
          <w:p w14:paraId="70C9410F"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510.7</w:t>
            </w:r>
          </w:p>
        </w:tc>
        <w:tc>
          <w:tcPr>
            <w:tcW w:w="1594" w:type="dxa"/>
            <w:noWrap/>
            <w:hideMark/>
          </w:tcPr>
          <w:p w14:paraId="73D1D169"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443.4</w:t>
            </w:r>
          </w:p>
        </w:tc>
      </w:tr>
      <w:tr w:rsidR="00577013" w:rsidRPr="004F5189" w14:paraId="45F838DB" w14:textId="77777777" w:rsidTr="00F74C6A">
        <w:trPr>
          <w:trHeight w:val="289"/>
        </w:trPr>
        <w:tc>
          <w:tcPr>
            <w:tcW w:w="1262" w:type="dxa"/>
            <w:noWrap/>
            <w:hideMark/>
          </w:tcPr>
          <w:p w14:paraId="7BDBEB56" w14:textId="77777777" w:rsidR="00577013" w:rsidRPr="004F5189" w:rsidRDefault="00577013" w:rsidP="00F74C6A">
            <w:pPr>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Year </w:t>
            </w:r>
            <w:r w:rsidRPr="004F5189">
              <w:rPr>
                <w:rFonts w:ascii="Calibri" w:eastAsia="Times New Roman" w:hAnsi="Calibri" w:cs="Calibri"/>
                <w:color w:val="000000"/>
                <w:lang w:eastAsia="en-AU"/>
              </w:rPr>
              <w:t>9</w:t>
            </w:r>
          </w:p>
        </w:tc>
        <w:tc>
          <w:tcPr>
            <w:tcW w:w="1474" w:type="dxa"/>
            <w:noWrap/>
            <w:hideMark/>
          </w:tcPr>
          <w:p w14:paraId="3EE04E35"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599.8</w:t>
            </w:r>
          </w:p>
        </w:tc>
        <w:tc>
          <w:tcPr>
            <w:tcW w:w="1761" w:type="dxa"/>
            <w:noWrap/>
            <w:hideMark/>
          </w:tcPr>
          <w:p w14:paraId="3E252CC8"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577.0</w:t>
            </w:r>
          </w:p>
        </w:tc>
        <w:tc>
          <w:tcPr>
            <w:tcW w:w="1827" w:type="dxa"/>
            <w:noWrap/>
            <w:hideMark/>
          </w:tcPr>
          <w:p w14:paraId="3333D338"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571.5</w:t>
            </w:r>
          </w:p>
        </w:tc>
        <w:tc>
          <w:tcPr>
            <w:tcW w:w="976" w:type="dxa"/>
            <w:noWrap/>
            <w:hideMark/>
          </w:tcPr>
          <w:p w14:paraId="663AC7A9"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557.2</w:t>
            </w:r>
          </w:p>
        </w:tc>
        <w:tc>
          <w:tcPr>
            <w:tcW w:w="1594" w:type="dxa"/>
            <w:noWrap/>
            <w:hideMark/>
          </w:tcPr>
          <w:p w14:paraId="780A80B3" w14:textId="77777777" w:rsidR="00577013" w:rsidRPr="004F5189" w:rsidRDefault="00577013" w:rsidP="00F74C6A">
            <w:pPr>
              <w:jc w:val="right"/>
              <w:rPr>
                <w:rFonts w:ascii="Calibri" w:eastAsia="Times New Roman" w:hAnsi="Calibri" w:cs="Calibri"/>
                <w:color w:val="000000"/>
                <w:lang w:eastAsia="en-AU"/>
              </w:rPr>
            </w:pPr>
            <w:r w:rsidRPr="004F5189">
              <w:rPr>
                <w:rFonts w:ascii="Calibri" w:eastAsia="Times New Roman" w:hAnsi="Calibri" w:cs="Calibri"/>
                <w:color w:val="000000"/>
                <w:lang w:eastAsia="en-AU"/>
              </w:rPr>
              <w:t>505.2</w:t>
            </w:r>
          </w:p>
        </w:tc>
      </w:tr>
    </w:tbl>
    <w:p w14:paraId="04800A66" w14:textId="77777777" w:rsidR="000F44D4" w:rsidRDefault="000F44D4" w:rsidP="002E77EC">
      <w:pPr>
        <w:spacing w:after="200" w:line="276" w:lineRule="auto"/>
        <w:rPr>
          <w:rFonts w:ascii="Calibri" w:eastAsia="Calibri" w:hAnsi="Calibri"/>
        </w:rPr>
      </w:pPr>
    </w:p>
    <w:p w14:paraId="4E7E9C54" w14:textId="77777777" w:rsidR="000F44D4" w:rsidRDefault="000F44D4" w:rsidP="002E77EC">
      <w:pPr>
        <w:spacing w:after="200" w:line="276" w:lineRule="auto"/>
        <w:rPr>
          <w:rFonts w:ascii="Calibri" w:eastAsia="Calibri" w:hAnsi="Calibri"/>
        </w:rPr>
      </w:pPr>
    </w:p>
    <w:p w14:paraId="35A41031" w14:textId="140E68D2" w:rsidR="000F44D4" w:rsidRDefault="000F44D4" w:rsidP="002E77EC">
      <w:pPr>
        <w:spacing w:after="200" w:line="276" w:lineRule="auto"/>
        <w:rPr>
          <w:rFonts w:ascii="Calibri" w:eastAsia="Calibri" w:hAnsi="Calibri"/>
        </w:rPr>
      </w:pPr>
    </w:p>
    <w:p w14:paraId="3D6DCF67" w14:textId="34D00E4E" w:rsidR="007077B1" w:rsidRPr="00306207" w:rsidRDefault="007077B1" w:rsidP="002E77EC">
      <w:pPr>
        <w:spacing w:after="200" w:line="276" w:lineRule="auto"/>
        <w:rPr>
          <w:rFonts w:eastAsiaTheme="minorEastAsia"/>
        </w:rPr>
      </w:pPr>
      <w:r w:rsidRPr="00306207">
        <w:rPr>
          <w:rFonts w:ascii="Calibri" w:eastAsia="Calibri" w:hAnsi="Calibri"/>
        </w:rPr>
        <w:t xml:space="preserve">A number of reports over recent years have highlighted the challenges </w:t>
      </w:r>
      <w:r w:rsidR="00A16A26">
        <w:rPr>
          <w:rFonts w:ascii="Calibri" w:eastAsia="Calibri" w:hAnsi="Calibri"/>
        </w:rPr>
        <w:t>RRR</w:t>
      </w:r>
      <w:r w:rsidRPr="00306207">
        <w:rPr>
          <w:rFonts w:ascii="Calibri" w:eastAsia="Calibri" w:hAnsi="Calibri"/>
        </w:rPr>
        <w:t xml:space="preserve"> schools face in attracting and retaining the highest quality teachers, and issues with support available for teachers, principals and school</w:t>
      </w:r>
      <w:r w:rsidR="0065108C" w:rsidRPr="00306207">
        <w:rPr>
          <w:rFonts w:ascii="Calibri" w:eastAsia="Calibri" w:hAnsi="Calibri"/>
        </w:rPr>
        <w:t xml:space="preserve"> </w:t>
      </w:r>
      <w:r w:rsidRPr="00306207">
        <w:rPr>
          <w:rFonts w:ascii="Calibri" w:eastAsia="Calibri" w:hAnsi="Calibri"/>
        </w:rPr>
        <w:t xml:space="preserve">leaders. </w:t>
      </w:r>
      <w:r w:rsidR="008C0C3B" w:rsidRPr="00306207">
        <w:rPr>
          <w:rFonts w:eastAsiaTheme="minorEastAsia"/>
        </w:rPr>
        <w:t>T</w:t>
      </w:r>
      <w:r w:rsidR="00422673" w:rsidRPr="00306207">
        <w:rPr>
          <w:rFonts w:eastAsiaTheme="minorEastAsia"/>
        </w:rPr>
        <w:t xml:space="preserve">he </w:t>
      </w:r>
      <w:r w:rsidR="00422673" w:rsidRPr="003E6E8A">
        <w:rPr>
          <w:rStyle w:val="Emphasis"/>
        </w:rPr>
        <w:t>Review to Achieve Educational Excellence in Australian Schools</w:t>
      </w:r>
      <w:r w:rsidR="00422673" w:rsidRPr="00306207">
        <w:rPr>
          <w:rFonts w:eastAsiaTheme="minorEastAsia"/>
          <w:i/>
        </w:rPr>
        <w:t xml:space="preserve"> </w:t>
      </w:r>
      <w:r w:rsidR="00422673" w:rsidRPr="00306207">
        <w:rPr>
          <w:rFonts w:eastAsiaTheme="minorEastAsia"/>
        </w:rPr>
        <w:t>led by Mr David Gonski AC</w:t>
      </w:r>
      <w:r w:rsidR="00422673" w:rsidRPr="00306207">
        <w:rPr>
          <w:rFonts w:eastAsiaTheme="minorEastAsia"/>
          <w:vertAlign w:val="superscript"/>
        </w:rPr>
        <w:footnoteReference w:id="60"/>
      </w:r>
      <w:r w:rsidR="00422673" w:rsidRPr="00306207">
        <w:rPr>
          <w:rFonts w:eastAsiaTheme="minorEastAsia"/>
        </w:rPr>
        <w:t xml:space="preserve"> and the </w:t>
      </w:r>
      <w:r w:rsidR="000F7DC9" w:rsidRPr="00306207">
        <w:rPr>
          <w:rFonts w:eastAsiaTheme="minorEastAsia"/>
        </w:rPr>
        <w:t>Halsey Review</w:t>
      </w:r>
      <w:r w:rsidR="00422673" w:rsidRPr="00306207">
        <w:rPr>
          <w:rFonts w:eastAsiaTheme="minorEastAsia"/>
          <w:vertAlign w:val="superscript"/>
        </w:rPr>
        <w:footnoteReference w:id="61"/>
      </w:r>
      <w:r w:rsidR="00422673" w:rsidRPr="00306207">
        <w:rPr>
          <w:rFonts w:eastAsiaTheme="minorEastAsia"/>
        </w:rPr>
        <w:t xml:space="preserve"> </w:t>
      </w:r>
      <w:r w:rsidRPr="00306207">
        <w:rPr>
          <w:rFonts w:eastAsiaTheme="minorEastAsia"/>
        </w:rPr>
        <w:t xml:space="preserve">have </w:t>
      </w:r>
      <w:r w:rsidR="008C0C3B" w:rsidRPr="00306207">
        <w:rPr>
          <w:rFonts w:eastAsiaTheme="minorEastAsia"/>
        </w:rPr>
        <w:t>led to a</w:t>
      </w:r>
      <w:r w:rsidR="00422673" w:rsidRPr="00306207">
        <w:rPr>
          <w:rFonts w:eastAsiaTheme="minorEastAsia"/>
        </w:rPr>
        <w:t xml:space="preserve"> number of initiatives being implemented across the education system</w:t>
      </w:r>
      <w:r w:rsidR="008C0C3B" w:rsidRPr="00306207">
        <w:rPr>
          <w:rFonts w:eastAsiaTheme="minorEastAsia"/>
        </w:rPr>
        <w:t>,</w:t>
      </w:r>
      <w:r w:rsidR="00422673" w:rsidRPr="00306207">
        <w:rPr>
          <w:rFonts w:eastAsiaTheme="minorEastAsia"/>
        </w:rPr>
        <w:t xml:space="preserve"> including some with</w:t>
      </w:r>
      <w:r w:rsidR="008C0C3B" w:rsidRPr="00306207">
        <w:rPr>
          <w:rFonts w:eastAsiaTheme="minorEastAsia"/>
        </w:rPr>
        <w:t xml:space="preserve"> a</w:t>
      </w:r>
      <w:r w:rsidR="00422673" w:rsidRPr="00306207">
        <w:rPr>
          <w:rFonts w:eastAsiaTheme="minorEastAsia"/>
        </w:rPr>
        <w:t xml:space="preserve"> specific RRR focus.</w:t>
      </w:r>
      <w:r w:rsidR="00BC1A8F" w:rsidRPr="00306207">
        <w:rPr>
          <w:rFonts w:eastAsiaTheme="minorEastAsia"/>
        </w:rPr>
        <w:t xml:space="preserve"> </w:t>
      </w:r>
    </w:p>
    <w:p w14:paraId="6BF35F1B" w14:textId="65BA039A" w:rsidR="00422673" w:rsidRDefault="003E6E8A" w:rsidP="00422673">
      <w:pPr>
        <w:spacing w:after="0" w:line="276" w:lineRule="auto"/>
        <w:ind w:right="96"/>
        <w:rPr>
          <w:rFonts w:eastAsiaTheme="minorEastAsia"/>
          <w:color w:val="7030A0"/>
        </w:rPr>
      </w:pPr>
      <w:r w:rsidRPr="003E6E8A">
        <w:rPr>
          <w:rFonts w:eastAsiaTheme="minorEastAsia"/>
        </w:rPr>
        <w:lastRenderedPageBreak/>
        <w:t xml:space="preserve">In response to the Halsey Review, the Australian Government tasked the Australian Institute for Teaching and School Leadership (AITSL) to undertake research into best practice approaches to teacher and school leader training, professional development and support for RRR settings. In the 2019-20 Budget, the Government also announced a $15 million investment for Teach for Australia to train high achieving teachers to become school leaders in RRR or disadvantaged schools. The Advisory Group supports these initiatives and other work being done to enhance teacher quality and equitable distribution of high performing teachers. The Advisory Group also supports the creation of an environment that encourages experienced teachers to go and teach in an RRR school. </w:t>
      </w:r>
    </w:p>
    <w:p w14:paraId="2C2927DA" w14:textId="77777777" w:rsidR="003E6E8A" w:rsidRPr="00306207" w:rsidRDefault="003E6E8A" w:rsidP="00422673">
      <w:pPr>
        <w:spacing w:after="0" w:line="276" w:lineRule="auto"/>
        <w:ind w:right="96"/>
        <w:rPr>
          <w:rFonts w:eastAsiaTheme="minorEastAsia"/>
          <w:i/>
          <w:iCs/>
          <w:color w:val="7030A0"/>
        </w:rPr>
      </w:pPr>
    </w:p>
    <w:p w14:paraId="72948BDC" w14:textId="77777777" w:rsidR="00422673" w:rsidRPr="00306207" w:rsidRDefault="00422673" w:rsidP="003E6E8A">
      <w:pPr>
        <w:pStyle w:val="Quote"/>
      </w:pPr>
      <w:r w:rsidRPr="00306207">
        <w:t>“All my children were educated in our local regional school from R-12, but it has become increasingly difficult for our school to retain students as they are unable to provide a range of subject choices to the students therefore they go away to metropolitan schools to access the subjects they need. This has the flow on effect of decreasing the school numbers, decreasing the funding the school receives, decreasing the available teachers and decreasing the subject choices.”</w:t>
      </w:r>
    </w:p>
    <w:p w14:paraId="47C67D45" w14:textId="77777777" w:rsidR="00422673" w:rsidRPr="00306207" w:rsidRDefault="00422673" w:rsidP="003E6E8A">
      <w:pPr>
        <w:pStyle w:val="Quote"/>
      </w:pPr>
      <w:r w:rsidRPr="00306207">
        <w:t>Mrs Kerrie Robinson – Submission</w:t>
      </w:r>
    </w:p>
    <w:p w14:paraId="3E237ECC" w14:textId="54007B54" w:rsidR="003E6E8A" w:rsidRDefault="003E6E8A" w:rsidP="003E6E8A">
      <w:pPr>
        <w:rPr>
          <w:b/>
        </w:rPr>
      </w:pPr>
      <w:r w:rsidRPr="003E6E8A">
        <w:t>Distance and isolation also create complexities for school leaders. Opportunities for formal and informal professional development are more limited in RRR areas and often require a significant investment in time and money. Better “on-boarding” of new principals, including support, mentoring, training and professional development, would assist in ensuring they are well prepared. Gonski’s review found that “[a]spiring school principals require clear pathways leading to the role and comprehensive training and preparation to a quality standard before their appointment.”</w:t>
      </w:r>
      <w:r>
        <w:rPr>
          <w:rStyle w:val="FootnoteReference"/>
        </w:rPr>
        <w:footnoteReference w:id="62"/>
      </w:r>
      <w:r>
        <w:t xml:space="preserve"> </w:t>
      </w:r>
      <w:r w:rsidRPr="003E6E8A">
        <w:t xml:space="preserve">Feedback from stakeholders to the Advisory Group also emphasised the importance of professional development and mentoring for school principals, prior to commencing work in RRR areas, to mitigate the negative impact on professional growth that can come from isolation from their peers. Specifically, identifying and using retired principals and teachers with real experience in RRR areas, as mentors for new RRR principals and teachers, should be explored. </w:t>
      </w:r>
    </w:p>
    <w:p w14:paraId="68ABCE5E" w14:textId="5B5099A7" w:rsidR="00BE5D4F" w:rsidRPr="00306207" w:rsidRDefault="005C3915" w:rsidP="00726804">
      <w:pPr>
        <w:pStyle w:val="Heading3"/>
      </w:pPr>
      <w:r w:rsidRPr="00306207">
        <w:t>C</w:t>
      </w:r>
      <w:r w:rsidR="00911091" w:rsidRPr="00306207">
        <w:t>areer advice</w:t>
      </w:r>
      <w:r w:rsidRPr="00306207">
        <w:t xml:space="preserve"> and other aspiration building initiatives </w:t>
      </w:r>
    </w:p>
    <w:p w14:paraId="170994F2" w14:textId="3BA4F910" w:rsidR="00A64AE1" w:rsidRPr="00802B97" w:rsidRDefault="005C3915" w:rsidP="00802B97">
      <w:pPr>
        <w:spacing w:after="0" w:line="276" w:lineRule="auto"/>
        <w:rPr>
          <w:rFonts w:eastAsiaTheme="minorEastAsia"/>
        </w:rPr>
      </w:pPr>
      <w:r w:rsidRPr="00306207">
        <w:rPr>
          <w:rFonts w:eastAsiaTheme="minorEastAsia"/>
        </w:rPr>
        <w:t>The link between career advice and aspiration is clear.</w:t>
      </w:r>
      <w:r w:rsidRPr="00306207">
        <w:rPr>
          <w:rFonts w:eastAsiaTheme="minorEastAsia"/>
          <w:vertAlign w:val="superscript"/>
        </w:rPr>
        <w:footnoteReference w:id="63"/>
      </w:r>
      <w:r w:rsidRPr="00306207">
        <w:rPr>
          <w:rFonts w:eastAsiaTheme="minorEastAsia"/>
        </w:rPr>
        <w:t xml:space="preserve"> </w:t>
      </w:r>
      <w:r w:rsidR="00802B97" w:rsidRPr="00802B97">
        <w:rPr>
          <w:rFonts w:eastAsiaTheme="minorEastAsia"/>
        </w:rPr>
        <w:t>Relevant and supportive advice is critical to creating and maintaining aspiration in students, as well as building greater awareness of career possibilities. Aspiration and career advice are key issues related to tertiary participation and outcomes for RRR students. While challenges around access to career advice and information are widespread, they are felt more keenly in RRR areas where there may be fewer opportunities for students to gain exposure to a wide range of industries, employers and career options.</w:t>
      </w:r>
    </w:p>
    <w:p w14:paraId="3C840640" w14:textId="77777777" w:rsidR="00A64AE1" w:rsidRPr="00306207" w:rsidRDefault="00A64AE1" w:rsidP="00A50297">
      <w:pPr>
        <w:spacing w:after="0" w:line="276" w:lineRule="auto"/>
        <w:rPr>
          <w:rFonts w:eastAsiaTheme="minorEastAsia"/>
        </w:rPr>
      </w:pPr>
    </w:p>
    <w:p w14:paraId="4FB0D7CC" w14:textId="12D4657C" w:rsidR="005C3915" w:rsidRPr="00306207" w:rsidRDefault="005C3915" w:rsidP="00A50297">
      <w:pPr>
        <w:spacing w:after="0" w:line="276" w:lineRule="auto"/>
        <w:rPr>
          <w:rFonts w:eastAsiaTheme="minorEastAsia"/>
        </w:rPr>
      </w:pPr>
      <w:r w:rsidRPr="00306207">
        <w:rPr>
          <w:rFonts w:eastAsiaTheme="minorEastAsia"/>
        </w:rPr>
        <w:t>Almost 30 per cent (23 of 7</w:t>
      </w:r>
      <w:r w:rsidR="002A0DE0" w:rsidRPr="00306207">
        <w:rPr>
          <w:rFonts w:eastAsiaTheme="minorEastAsia"/>
        </w:rPr>
        <w:t>9</w:t>
      </w:r>
      <w:r w:rsidRPr="00306207">
        <w:rPr>
          <w:rFonts w:eastAsiaTheme="minorEastAsia"/>
        </w:rPr>
        <w:t>) of public submissions discussed the need for improvements in the quality and availability of career information and advice. Many of these submissions suggested that school resources are often insufficient to support dedicated career advisor positions in schools</w:t>
      </w:r>
      <w:r w:rsidR="004E204A" w:rsidRPr="00306207">
        <w:rPr>
          <w:rFonts w:eastAsiaTheme="minorEastAsia"/>
        </w:rPr>
        <w:t>. As a result,</w:t>
      </w:r>
      <w:r w:rsidRPr="00306207">
        <w:rPr>
          <w:rFonts w:eastAsiaTheme="minorEastAsia"/>
        </w:rPr>
        <w:t xml:space="preserve"> teachers undertake this role, sometimes on a part-time basis, with little</w:t>
      </w:r>
      <w:r w:rsidR="004E204A" w:rsidRPr="00306207">
        <w:rPr>
          <w:rFonts w:eastAsiaTheme="minorEastAsia"/>
        </w:rPr>
        <w:t xml:space="preserve"> in the way of</w:t>
      </w:r>
      <w:r w:rsidRPr="00306207">
        <w:rPr>
          <w:rFonts w:eastAsiaTheme="minorEastAsia"/>
        </w:rPr>
        <w:t xml:space="preserve"> support</w:t>
      </w:r>
      <w:r w:rsidR="00C42231">
        <w:rPr>
          <w:rFonts w:eastAsiaTheme="minorEastAsia"/>
        </w:rPr>
        <w:t xml:space="preserve">. </w:t>
      </w:r>
      <w:r w:rsidR="0088286A">
        <w:lastRenderedPageBreak/>
        <w:t>It was also raised that career advice needs to be provided earlier, and that school</w:t>
      </w:r>
      <w:r w:rsidR="00C42231">
        <w:t>-</w:t>
      </w:r>
      <w:r w:rsidR="0088286A">
        <w:t>based career advice is simply not available to mature age students and potential students seeking information about returning to study or changing careers</w:t>
      </w:r>
      <w:r w:rsidR="00C42231">
        <w:t xml:space="preserve">. </w:t>
      </w:r>
    </w:p>
    <w:p w14:paraId="76B49B34" w14:textId="6BA2B8A4" w:rsidR="005C3915" w:rsidRPr="00306207" w:rsidRDefault="005C3915" w:rsidP="00A64AE1">
      <w:pPr>
        <w:spacing w:after="0" w:line="276" w:lineRule="auto"/>
        <w:rPr>
          <w:rFonts w:eastAsia="Times New Roman" w:cstheme="minorHAnsi"/>
          <w:bCs/>
        </w:rPr>
      </w:pPr>
    </w:p>
    <w:p w14:paraId="09B31035" w14:textId="77777777" w:rsidR="005C3915" w:rsidRPr="00306207" w:rsidRDefault="005C3915" w:rsidP="00802B97">
      <w:pPr>
        <w:pStyle w:val="Quote"/>
      </w:pPr>
      <w:r w:rsidRPr="00306207">
        <w:t>“Over 50 per cent of university students in regional areas are over 25. It is difficult for this cohort to access advice around pathways to enter higher education and which degree may be the most suitable for accessing employment in their region.”</w:t>
      </w:r>
    </w:p>
    <w:p w14:paraId="35816D8A" w14:textId="77777777" w:rsidR="005C3915" w:rsidRPr="00306207" w:rsidRDefault="005C3915" w:rsidP="00802B97">
      <w:pPr>
        <w:pStyle w:val="Quote"/>
      </w:pPr>
      <w:r w:rsidRPr="00306207">
        <w:t xml:space="preserve">Country Universities Centre - Submission </w:t>
      </w:r>
    </w:p>
    <w:p w14:paraId="41540805" w14:textId="15619294" w:rsidR="005C3915" w:rsidRPr="00306207" w:rsidRDefault="005C3915" w:rsidP="00A50297">
      <w:pPr>
        <w:spacing w:after="0" w:line="276" w:lineRule="auto"/>
        <w:rPr>
          <w:rFonts w:eastAsiaTheme="minorEastAsia"/>
        </w:rPr>
      </w:pPr>
    </w:p>
    <w:p w14:paraId="1D9A2B01" w14:textId="271C3117" w:rsidR="00802B97" w:rsidRPr="00802B97" w:rsidRDefault="00802B97" w:rsidP="00802B97">
      <w:pPr>
        <w:spacing w:line="276" w:lineRule="auto"/>
        <w:rPr>
          <w:rFonts w:eastAsiaTheme="minorEastAsia"/>
        </w:rPr>
      </w:pPr>
      <w:r w:rsidRPr="00802B97">
        <w:rPr>
          <w:rFonts w:eastAsiaTheme="minorEastAsia"/>
        </w:rPr>
        <w:t>Regionally-based career advice models are used in places such as Finland and Denmark where regional career advisors are based out of town halls and municipal buildings and have expertise specific to that region, as well as national policies. Evidence suggests that this regional approach has advantages, with data showing that Finland and Denmark have greater proportions of students who have accessed face-to-face careers advice by age 15</w:t>
      </w:r>
      <w:r>
        <w:rPr>
          <w:rStyle w:val="FootnoteReference"/>
          <w:rFonts w:eastAsiaTheme="minorEastAsia"/>
        </w:rPr>
        <w:footnoteReference w:id="64"/>
      </w:r>
      <w:r w:rsidRPr="00802B97">
        <w:rPr>
          <w:rFonts w:eastAsiaTheme="minorEastAsia"/>
        </w:rPr>
        <w:t xml:space="preserve"> and Finland being ranked by </w:t>
      </w:r>
      <w:r w:rsidRPr="00802B97">
        <w:rPr>
          <w:rStyle w:val="Emphasis"/>
        </w:rPr>
        <w:t>The Economist</w:t>
      </w:r>
      <w:r w:rsidRPr="00802B97">
        <w:rPr>
          <w:rFonts w:eastAsiaTheme="minorEastAsia"/>
          <w:i/>
          <w:iCs/>
        </w:rPr>
        <w:t xml:space="preserve"> </w:t>
      </w:r>
      <w:r w:rsidRPr="00802B97">
        <w:rPr>
          <w:rFonts w:eastAsiaTheme="minorEastAsia"/>
        </w:rPr>
        <w:t>as providing the best environment to prepare students for life after school.</w:t>
      </w:r>
      <w:r>
        <w:rPr>
          <w:rStyle w:val="FootnoteReference"/>
          <w:rFonts w:eastAsiaTheme="minorEastAsia"/>
        </w:rPr>
        <w:footnoteReference w:id="65"/>
      </w:r>
    </w:p>
    <w:p w14:paraId="0AAFCF62" w14:textId="77777777" w:rsidR="00802B97" w:rsidRDefault="00802B97" w:rsidP="00802B97">
      <w:pPr>
        <w:spacing w:line="276" w:lineRule="auto"/>
        <w:rPr>
          <w:rFonts w:eastAsiaTheme="minorEastAsia"/>
        </w:rPr>
      </w:pPr>
      <w:r w:rsidRPr="00802B97">
        <w:rPr>
          <w:rFonts w:eastAsiaTheme="minorEastAsia"/>
        </w:rPr>
        <w:t xml:space="preserve">Many submissions also raised that there is no well known, simple and comprehensive online information resource to help students and families navigate different career information and advice. Existing online resources, such as the </w:t>
      </w:r>
      <w:r w:rsidRPr="00802B97">
        <w:rPr>
          <w:rStyle w:val="Emphasis"/>
        </w:rPr>
        <w:t>Job Outlook</w:t>
      </w:r>
      <w:r w:rsidRPr="00802B97">
        <w:rPr>
          <w:rFonts w:eastAsiaTheme="minorEastAsia"/>
          <w:i/>
          <w:iCs/>
        </w:rPr>
        <w:t xml:space="preserve"> </w:t>
      </w:r>
      <w:r w:rsidRPr="00802B97">
        <w:rPr>
          <w:rFonts w:eastAsiaTheme="minorEastAsia"/>
        </w:rPr>
        <w:t xml:space="preserve">site, provide high quality information to students on careers and growth industries. However, these tools are not always widely known, are limited in the detail they can provide and are not a substitute for speaking to a career advice professional, particularly one with local knowledge and understanding of the issues facing RRR students. </w:t>
      </w:r>
    </w:p>
    <w:p w14:paraId="34433C93" w14:textId="3451FC8D" w:rsidR="001C72C0" w:rsidRPr="00802B97" w:rsidRDefault="002A0DE0" w:rsidP="00802B97">
      <w:pPr>
        <w:spacing w:after="0" w:line="276" w:lineRule="auto"/>
        <w:rPr>
          <w:rFonts w:eastAsiaTheme="minorEastAsia"/>
        </w:rPr>
      </w:pPr>
      <w:r w:rsidRPr="00306207">
        <w:rPr>
          <w:rFonts w:eastAsiaTheme="minorEastAsia"/>
        </w:rPr>
        <w:t xml:space="preserve">Another method of broadening aspiration in school students is to provide access to mentors and ambassadors with recent, similar </w:t>
      </w:r>
      <w:r w:rsidRPr="00802B97">
        <w:rPr>
          <w:rFonts w:eastAsiaTheme="minorEastAsia"/>
        </w:rPr>
        <w:t>experience.</w:t>
      </w:r>
      <w:r w:rsidRPr="00802B97">
        <w:rPr>
          <w:rStyle w:val="FootnoteReference"/>
          <w:rFonts w:eastAsiaTheme="minorEastAsia"/>
        </w:rPr>
        <w:footnoteReference w:id="66"/>
      </w:r>
      <w:r w:rsidR="0063552E">
        <w:rPr>
          <w:rFonts w:eastAsiaTheme="minorEastAsia"/>
        </w:rPr>
        <w:t xml:space="preserve"> </w:t>
      </w:r>
      <w:r w:rsidR="00802B97" w:rsidRPr="00802B97">
        <w:rPr>
          <w:rFonts w:eastAsiaTheme="minorEastAsia"/>
        </w:rPr>
        <w:t>Using peers as a way of disseminating information can have a direct impact on the student’s understanding of what is involved, as well as demonstrate the possibilities available to them should they choose to undertake further study.</w:t>
      </w:r>
    </w:p>
    <w:p w14:paraId="426987C9" w14:textId="625151B4" w:rsidR="005C3915" w:rsidRPr="00306207" w:rsidRDefault="005C3915" w:rsidP="002A0DE0">
      <w:pPr>
        <w:spacing w:after="0" w:line="276" w:lineRule="auto"/>
        <w:rPr>
          <w:rFonts w:eastAsia="Times New Roman" w:cstheme="minorHAnsi"/>
          <w:bCs/>
        </w:rPr>
      </w:pPr>
    </w:p>
    <w:p w14:paraId="658B14F1" w14:textId="77777777" w:rsidR="005C3915" w:rsidRPr="00306207" w:rsidRDefault="005C3915" w:rsidP="00802B97">
      <w:pPr>
        <w:pStyle w:val="Quote"/>
      </w:pPr>
      <w:r w:rsidRPr="00306207">
        <w:t>“Building aspiration is an essential step in widening the education and career prospects of regional, rural and remote schoolchildren – ‘you can’t be what you can’t see’”</w:t>
      </w:r>
    </w:p>
    <w:p w14:paraId="23AF431C" w14:textId="77777777" w:rsidR="005C3915" w:rsidRPr="00306207" w:rsidRDefault="005C3915" w:rsidP="00802B97">
      <w:pPr>
        <w:pStyle w:val="Quote"/>
      </w:pPr>
      <w:r w:rsidRPr="00306207">
        <w:t xml:space="preserve">Professor S. Bruce Dowton, Macquarie University - Submission </w:t>
      </w:r>
    </w:p>
    <w:p w14:paraId="15AE4FAF" w14:textId="18013086" w:rsidR="005C3915" w:rsidRPr="00306207" w:rsidRDefault="005C3915" w:rsidP="005C3915">
      <w:pPr>
        <w:spacing w:after="200" w:line="276" w:lineRule="auto"/>
        <w:rPr>
          <w:rFonts w:eastAsiaTheme="minorEastAsia"/>
        </w:rPr>
      </w:pPr>
    </w:p>
    <w:p w14:paraId="78D44999" w14:textId="66BD552A" w:rsidR="009D08B8" w:rsidRPr="009D08B8" w:rsidRDefault="009D08B8" w:rsidP="009D08B8">
      <w:pPr>
        <w:spacing w:after="120" w:line="276" w:lineRule="auto"/>
        <w:rPr>
          <w:rFonts w:eastAsiaTheme="minorEastAsia"/>
        </w:rPr>
      </w:pPr>
      <w:r w:rsidRPr="009D08B8">
        <w:rPr>
          <w:rFonts w:eastAsiaTheme="minorEastAsia"/>
        </w:rPr>
        <w:t>As recommended by the Joyce Review, the Australian Government is establishing a National Careers Institute and appointing a National Careers Ambassador to improve career advice to young Australians and workers transitioning careers.</w:t>
      </w:r>
      <w:r>
        <w:rPr>
          <w:rStyle w:val="FootnoteReference"/>
          <w:rFonts w:eastAsiaTheme="minorEastAsia"/>
        </w:rPr>
        <w:footnoteReference w:id="67"/>
      </w:r>
      <w:r w:rsidRPr="009D08B8">
        <w:rPr>
          <w:rFonts w:eastAsiaTheme="minorEastAsia"/>
        </w:rPr>
        <w:t xml:space="preserve"> The provision of effective career information and advice nevertheless continues to be a complex challenge, in part due to the different levels of government involved. Further discussion or work with states and territories is needed to determine the best way forward and to ensure the work of the Careers Institute and Ambassador contributes to improving the relevance of the service to people living in RRR areas.</w:t>
      </w:r>
    </w:p>
    <w:p w14:paraId="2B4B66AC" w14:textId="77777777" w:rsidR="00422673" w:rsidRPr="00306207" w:rsidRDefault="00422673" w:rsidP="00726804">
      <w:pPr>
        <w:pStyle w:val="Heading3"/>
      </w:pPr>
      <w:r w:rsidRPr="00306207">
        <w:lastRenderedPageBreak/>
        <w:t>VET in Schools</w:t>
      </w:r>
    </w:p>
    <w:p w14:paraId="2BBC710F" w14:textId="05D9C251" w:rsidR="009D08B8" w:rsidRPr="009D08B8" w:rsidRDefault="009D08B8" w:rsidP="009D08B8">
      <w:pPr>
        <w:autoSpaceDE w:val="0"/>
        <w:autoSpaceDN w:val="0"/>
        <w:spacing w:line="240" w:lineRule="auto"/>
        <w:rPr>
          <w:rFonts w:eastAsiaTheme="minorEastAsia"/>
        </w:rPr>
      </w:pPr>
      <w:r w:rsidRPr="009D08B8">
        <w:rPr>
          <w:rFonts w:eastAsiaTheme="minorEastAsia"/>
        </w:rPr>
        <w:t>RRR areas traditionally have much higher rates of VET attainment than higher education attainment. Certificate-level VET attainment, up to and including Certificate III, is often above that of metropolitan areas. There are several regions where a strong culture of VET achievement is linked to positive local labour market outcomes. For example, the heavy machinery and diesel mechanic courses in Albany, Western Australia have waiting lists due to the strong employment outcomes of graduates.</w:t>
      </w:r>
      <w:r>
        <w:rPr>
          <w:rStyle w:val="FootnoteReference"/>
          <w:rFonts w:eastAsiaTheme="minorEastAsia"/>
        </w:rPr>
        <w:footnoteReference w:id="68"/>
      </w:r>
    </w:p>
    <w:p w14:paraId="774A0A69" w14:textId="2E50CBC9" w:rsidR="009D08B8" w:rsidRPr="009D08B8" w:rsidRDefault="009D08B8" w:rsidP="009D08B8">
      <w:pPr>
        <w:autoSpaceDE w:val="0"/>
        <w:autoSpaceDN w:val="0"/>
        <w:spacing w:line="240" w:lineRule="auto"/>
        <w:rPr>
          <w:rFonts w:eastAsiaTheme="minorEastAsia"/>
        </w:rPr>
      </w:pPr>
      <w:r w:rsidRPr="009D08B8">
        <w:rPr>
          <w:rFonts w:eastAsiaTheme="minorEastAsia"/>
        </w:rPr>
        <w:t>VET programs delivered in schools can provide an engaging and valuable pathway to tertiary education and employment for many students. VET in Schools (VETiS) can help broaden a student’s understanding of the choices and options available and creates a link between education and future employment. Access and quality, however, varies from school to school. The Joyce Review found that, while there are some excellent examples of VET delivered in schools, quality and outcomes vary in different states and territories. In addition, school students’ VET certificates are often not valued by employers and do not provide a pathway to a job.</w:t>
      </w:r>
      <w:r>
        <w:rPr>
          <w:rStyle w:val="FootnoteReference"/>
          <w:rFonts w:eastAsiaTheme="minorEastAsia"/>
        </w:rPr>
        <w:footnoteReference w:id="69"/>
      </w:r>
      <w:r w:rsidRPr="009D08B8">
        <w:rPr>
          <w:rFonts w:eastAsiaTheme="minorEastAsia"/>
        </w:rPr>
        <w:t xml:space="preserve"> </w:t>
      </w:r>
    </w:p>
    <w:p w14:paraId="6E7E66A9" w14:textId="77777777" w:rsidR="009D08B8" w:rsidRPr="009D08B8" w:rsidRDefault="009D08B8" w:rsidP="009D08B8">
      <w:pPr>
        <w:autoSpaceDE w:val="0"/>
        <w:autoSpaceDN w:val="0"/>
        <w:spacing w:line="240" w:lineRule="auto"/>
        <w:rPr>
          <w:rFonts w:eastAsiaTheme="minorEastAsia"/>
        </w:rPr>
      </w:pPr>
      <w:r w:rsidRPr="009D08B8">
        <w:rPr>
          <w:rFonts w:eastAsiaTheme="minorEastAsia"/>
        </w:rPr>
        <w:t xml:space="preserve">Issues related to VETiS were also raised in consultations and submissions. The Advisory Group heard from stakeholders that VETiS should - as a general rule - be delivered by registered training organisations (RTOs), as they have both technical and practical expertise. As a result, the Advisory Group came to the view that technical skills should not be taught by general teachers, who do not have sufficient experience in the specific field. This area would benefit from further research. </w:t>
      </w:r>
    </w:p>
    <w:p w14:paraId="0E2B133E" w14:textId="1E30DD42" w:rsidR="002C1F46" w:rsidRDefault="009D08B8" w:rsidP="009D08B8">
      <w:pPr>
        <w:autoSpaceDE w:val="0"/>
        <w:autoSpaceDN w:val="0"/>
        <w:spacing w:line="240" w:lineRule="auto"/>
        <w:rPr>
          <w:rFonts w:eastAsiaTheme="minorEastAsia"/>
        </w:rPr>
      </w:pPr>
      <w:r w:rsidRPr="009D08B8">
        <w:rPr>
          <w:rFonts w:eastAsiaTheme="minorEastAsia"/>
        </w:rPr>
        <w:t>While some RRR individuals may make early decisions to undertake a particular educational or occupational path, steps should be taken to ensure these choices are well informed and not limited by a lack of access to educational opportunities. Creating an environment through early childhood and schooling that fosters aspiration, as well as providing more relevant career advice, will equip RRR students with the tools they need to identify the path that is right for them, and provide the flexibility many of them will need as they navigate through their education and into work.</w:t>
      </w:r>
    </w:p>
    <w:tbl>
      <w:tblPr>
        <w:tblStyle w:val="TableGrid"/>
        <w:tblW w:w="0" w:type="auto"/>
        <w:tblLook w:val="04A0" w:firstRow="1" w:lastRow="0" w:firstColumn="1" w:lastColumn="0" w:noHBand="0" w:noVBand="1"/>
      </w:tblPr>
      <w:tblGrid>
        <w:gridCol w:w="8996"/>
      </w:tblGrid>
      <w:tr w:rsidR="008B22BB" w14:paraId="507F477A" w14:textId="77777777" w:rsidTr="008B22BB">
        <w:tc>
          <w:tcPr>
            <w:tcW w:w="8996" w:type="dxa"/>
            <w:tcBorders>
              <w:top w:val="single" w:sz="12" w:space="0" w:color="F6A060"/>
              <w:left w:val="single" w:sz="12" w:space="0" w:color="F6A060"/>
              <w:bottom w:val="single" w:sz="12" w:space="0" w:color="F6A060"/>
              <w:right w:val="single" w:sz="12" w:space="0" w:color="F6A060"/>
            </w:tcBorders>
          </w:tcPr>
          <w:p w14:paraId="50BD8F5D" w14:textId="09359FD6" w:rsidR="008B22BB" w:rsidRPr="008B22BB" w:rsidRDefault="008B22BB" w:rsidP="008B22BB">
            <w:pPr>
              <w:spacing w:before="240" w:line="276" w:lineRule="auto"/>
              <w:rPr>
                <w:rStyle w:val="Strong"/>
              </w:rPr>
            </w:pPr>
            <w:r>
              <w:rPr>
                <w:rFonts w:eastAsiaTheme="minorEastAsia"/>
              </w:rPr>
              <w:br w:type="page"/>
            </w:r>
            <w:r w:rsidRPr="008B22BB">
              <w:rPr>
                <w:rStyle w:val="Strong"/>
              </w:rPr>
              <w:t xml:space="preserve">KEY FINDING 11: </w:t>
            </w:r>
            <w:r w:rsidRPr="008B22BB">
              <w:t>Children in RRR areas are more likely to commence school developmentally vulnerable than those in metropolitan areas, and this relative disadvantage continues through school, with students less likely to finish Year 12.</w:t>
            </w:r>
            <w:r w:rsidRPr="008B22BB">
              <w:rPr>
                <w:rStyle w:val="Strong"/>
              </w:rPr>
              <w:t xml:space="preserve"> </w:t>
            </w:r>
          </w:p>
          <w:p w14:paraId="1331C22C" w14:textId="77777777" w:rsidR="008B22BB" w:rsidRPr="008B22BB" w:rsidRDefault="008B22BB" w:rsidP="008B22BB">
            <w:pPr>
              <w:spacing w:before="240" w:line="276" w:lineRule="auto"/>
              <w:rPr>
                <w:rStyle w:val="Strong"/>
              </w:rPr>
            </w:pPr>
            <w:r w:rsidRPr="008B22BB">
              <w:rPr>
                <w:rStyle w:val="Strong"/>
              </w:rPr>
              <w:t xml:space="preserve">KEY FINDING 12: </w:t>
            </w:r>
            <w:r w:rsidRPr="008B22BB">
              <w:t>There is a strong view among RRR tertiary education providers and communities that current mechanisms for delivering career advice, which are particularly important to build and maintain aspiration in RRR areas, are not working well.</w:t>
            </w:r>
            <w:r w:rsidRPr="008B22BB">
              <w:rPr>
                <w:rStyle w:val="Strong"/>
              </w:rPr>
              <w:t xml:space="preserve"> </w:t>
            </w:r>
          </w:p>
          <w:p w14:paraId="76F2CE39" w14:textId="77777777" w:rsidR="008B22BB" w:rsidRPr="008B22BB" w:rsidRDefault="008B22BB" w:rsidP="008B22BB">
            <w:pPr>
              <w:spacing w:before="240" w:line="276" w:lineRule="auto"/>
              <w:rPr>
                <w:rStyle w:val="Strong"/>
              </w:rPr>
            </w:pPr>
            <w:r w:rsidRPr="008B22BB">
              <w:rPr>
                <w:rStyle w:val="Strong"/>
              </w:rPr>
              <w:t xml:space="preserve">KEY FINDING 13: </w:t>
            </w:r>
            <w:r w:rsidRPr="008B22BB">
              <w:t>High quality VET in Schools programs engage and provide pathways for many RRR students; however, delivery is often inconsistent in RRR areas.</w:t>
            </w:r>
            <w:r w:rsidRPr="008B22BB">
              <w:rPr>
                <w:rStyle w:val="Strong"/>
              </w:rPr>
              <w:t xml:space="preserve"> </w:t>
            </w:r>
          </w:p>
          <w:p w14:paraId="2FA10D12" w14:textId="5BDE6268" w:rsidR="008B22BB" w:rsidRDefault="008B22BB" w:rsidP="008B22BB">
            <w:pPr>
              <w:spacing w:before="240" w:line="276" w:lineRule="auto"/>
              <w:rPr>
                <w:rFonts w:eastAsiaTheme="minorEastAsia"/>
              </w:rPr>
            </w:pPr>
            <w:r w:rsidRPr="008B22BB">
              <w:rPr>
                <w:rStyle w:val="Strong"/>
              </w:rPr>
              <w:t xml:space="preserve">KEY FINDING 14: </w:t>
            </w:r>
            <w:r w:rsidRPr="008B22BB">
              <w:t>Further effort is required to build on the work of Gonski and Halsey to improve teacher preparation and supply, as well as support for teachers and principals in RRR areas.</w:t>
            </w:r>
          </w:p>
        </w:tc>
      </w:tr>
    </w:tbl>
    <w:p w14:paraId="67448FBD" w14:textId="77777777" w:rsidR="009D08B8" w:rsidRPr="009D08B8" w:rsidRDefault="009D08B8" w:rsidP="009D08B8">
      <w:pPr>
        <w:autoSpaceDE w:val="0"/>
        <w:autoSpaceDN w:val="0"/>
        <w:spacing w:line="240" w:lineRule="auto"/>
        <w:rPr>
          <w:rFonts w:eastAsiaTheme="minorEastAsia"/>
        </w:rPr>
      </w:pPr>
    </w:p>
    <w:p w14:paraId="7B3BD2C2" w14:textId="77777777" w:rsidR="00DE2723" w:rsidRPr="00306207" w:rsidRDefault="00DE2723" w:rsidP="00726804">
      <w:pPr>
        <w:pStyle w:val="Heading2"/>
      </w:pPr>
      <w:bookmarkStart w:id="50" w:name="_Toc13224798"/>
      <w:bookmarkStart w:id="51" w:name="_Toc6403659"/>
      <w:r w:rsidRPr="00306207">
        <w:lastRenderedPageBreak/>
        <w:t>4. Equity groups: There is insufficient targeted support for underrepresented groups who experience multiple, compounding challenges</w:t>
      </w:r>
      <w:bookmarkEnd w:id="50"/>
    </w:p>
    <w:p w14:paraId="55554D44" w14:textId="2B5AA2B9" w:rsidR="00743F8E" w:rsidRDefault="008B22BB" w:rsidP="009E5BF7">
      <w:r w:rsidRPr="008B22BB">
        <w:t>Students from RRR areas are a formally recognised equity group</w:t>
      </w:r>
      <w:r>
        <w:rPr>
          <w:rStyle w:val="FootnoteReference"/>
        </w:rPr>
        <w:footnoteReference w:id="70"/>
      </w:r>
      <w:r w:rsidRPr="008B22BB">
        <w:t xml:space="preserve"> with lower access to tertiary education. While improving equity should be a priority for all RRR Australia, it is also recognised that there are sub-populations who experience additional challenges. RRR students from low SES backgrounds, Aboriginal and Torres Strait Islanders, people with disability and those from remote and very remote areas are of particular interest. These groups experience multiple types of inequity, which combine to exacerbate the challenges of aspiring to, accessing and succeeding in tertiary education. Compared to those from major cities, the participation rates in higher education is lower for RRR students who are from low SES and Indigenous backgrounds (Table 6). Consequently, students from these backgrounds require additional focus from policymakers, as well as tailored support to help them thrive in tertiary education.</w:t>
      </w:r>
    </w:p>
    <w:p w14:paraId="433D3ACB" w14:textId="5FF8F062" w:rsidR="0092108F" w:rsidRPr="0092108F" w:rsidRDefault="0092108F" w:rsidP="0092108F">
      <w:pPr>
        <w:pStyle w:val="Caption"/>
        <w:keepNext/>
        <w:rPr>
          <w:b/>
        </w:rPr>
      </w:pPr>
      <w:bookmarkStart w:id="52" w:name="_Toc13224973"/>
      <w:r w:rsidRPr="0092108F">
        <w:rPr>
          <w:b/>
        </w:rPr>
        <w:t xml:space="preserve">Table </w:t>
      </w:r>
      <w:r w:rsidRPr="0092108F">
        <w:rPr>
          <w:b/>
        </w:rPr>
        <w:fldChar w:fldCharType="begin"/>
      </w:r>
      <w:r w:rsidRPr="0092108F">
        <w:rPr>
          <w:b/>
        </w:rPr>
        <w:instrText xml:space="preserve"> SEQ Table \* ARABIC </w:instrText>
      </w:r>
      <w:r w:rsidRPr="0092108F">
        <w:rPr>
          <w:b/>
        </w:rPr>
        <w:fldChar w:fldCharType="separate"/>
      </w:r>
      <w:r w:rsidR="00731756">
        <w:rPr>
          <w:b/>
          <w:noProof/>
        </w:rPr>
        <w:t>6</w:t>
      </w:r>
      <w:r w:rsidRPr="0092108F">
        <w:rPr>
          <w:b/>
        </w:rPr>
        <w:fldChar w:fldCharType="end"/>
      </w:r>
      <w:r w:rsidRPr="0092108F">
        <w:rPr>
          <w:b/>
        </w:rPr>
        <w:t>. Tertiary education participation by equity group, 2016</w:t>
      </w:r>
      <w:bookmarkEnd w:id="52"/>
    </w:p>
    <w:tbl>
      <w:tblPr>
        <w:tblStyle w:val="GridTable4-Accent1"/>
        <w:tblW w:w="9072" w:type="dxa"/>
        <w:tblInd w:w="-5" w:type="dxa"/>
        <w:tblLook w:val="04A0" w:firstRow="1" w:lastRow="0" w:firstColumn="1" w:lastColumn="0" w:noHBand="0" w:noVBand="1"/>
      </w:tblPr>
      <w:tblGrid>
        <w:gridCol w:w="3828"/>
        <w:gridCol w:w="2551"/>
        <w:gridCol w:w="2693"/>
      </w:tblGrid>
      <w:tr w:rsidR="009E5BF7" w:rsidRPr="009E5BF7" w14:paraId="759954ED" w14:textId="77777777" w:rsidTr="00AA7F73">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828" w:type="dxa"/>
            <w:noWrap/>
            <w:hideMark/>
          </w:tcPr>
          <w:p w14:paraId="19C5B214" w14:textId="4E524F39" w:rsidR="0031772D" w:rsidRPr="009E5BF7" w:rsidRDefault="0031772D" w:rsidP="00AA7F73">
            <w:pPr>
              <w:spacing w:line="276" w:lineRule="auto"/>
              <w:rPr>
                <w:rFonts w:ascii="Calibri" w:hAnsi="Calibri" w:cs="Calibri"/>
                <w:color w:val="auto"/>
                <w:lang w:eastAsia="en-AU"/>
              </w:rPr>
            </w:pPr>
            <w:r w:rsidRPr="0091692B">
              <w:rPr>
                <w:rFonts w:ascii="Calibri" w:hAnsi="Calibri" w:cs="Calibri"/>
                <w:color w:val="3A4952" w:themeColor="accent1"/>
                <w:lang w:eastAsia="en-AU"/>
              </w:rPr>
              <w:t> </w:t>
            </w:r>
            <w:r w:rsidR="0091692B" w:rsidRPr="0091692B">
              <w:rPr>
                <w:rFonts w:ascii="Calibri" w:hAnsi="Calibri" w:cs="Calibri"/>
                <w:color w:val="3A4952" w:themeColor="accent1"/>
                <w:lang w:eastAsia="en-AU"/>
              </w:rPr>
              <w:t>Blank square</w:t>
            </w:r>
          </w:p>
        </w:tc>
        <w:tc>
          <w:tcPr>
            <w:tcW w:w="2551" w:type="dxa"/>
            <w:noWrap/>
            <w:hideMark/>
          </w:tcPr>
          <w:p w14:paraId="504D5C24" w14:textId="77777777" w:rsidR="0031772D" w:rsidRPr="009E5BF7" w:rsidRDefault="0031772D" w:rsidP="00AA7F7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eastAsia="en-AU"/>
              </w:rPr>
            </w:pPr>
            <w:r w:rsidRPr="009E5BF7">
              <w:rPr>
                <w:rFonts w:ascii="Calibri" w:hAnsi="Calibri" w:cs="Calibri"/>
                <w:lang w:eastAsia="en-AU"/>
              </w:rPr>
              <w:t>Total population</w:t>
            </w:r>
          </w:p>
        </w:tc>
        <w:tc>
          <w:tcPr>
            <w:tcW w:w="2693" w:type="dxa"/>
            <w:noWrap/>
          </w:tcPr>
          <w:p w14:paraId="42D4B7BB" w14:textId="77777777" w:rsidR="0031772D" w:rsidRPr="009E5BF7" w:rsidRDefault="0031772D" w:rsidP="00AA7F73">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eastAsia="en-AU"/>
              </w:rPr>
            </w:pPr>
            <w:r w:rsidRPr="009E5BF7">
              <w:rPr>
                <w:rFonts w:ascii="Calibri" w:hAnsi="Calibri" w:cs="Calibri"/>
                <w:lang w:eastAsia="en-AU"/>
              </w:rPr>
              <w:t>Regional and Remote</w:t>
            </w:r>
          </w:p>
        </w:tc>
      </w:tr>
      <w:tr w:rsidR="009E5BF7" w:rsidRPr="009E5BF7" w14:paraId="1CCB7591" w14:textId="77777777" w:rsidTr="00AA7F73">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828" w:type="dxa"/>
            <w:noWrap/>
          </w:tcPr>
          <w:p w14:paraId="165BF9B1" w14:textId="366539E8" w:rsidR="0031772D" w:rsidRPr="009E5BF7" w:rsidRDefault="0031772D" w:rsidP="00AA7F73">
            <w:pPr>
              <w:spacing w:line="276" w:lineRule="auto"/>
              <w:rPr>
                <w:rFonts w:ascii="Calibri" w:hAnsi="Calibri" w:cs="Calibri"/>
                <w:lang w:eastAsia="en-AU"/>
              </w:rPr>
            </w:pPr>
            <w:r w:rsidRPr="009E5BF7">
              <w:rPr>
                <w:rFonts w:ascii="Calibri" w:hAnsi="Calibri" w:cs="Calibri"/>
                <w:lang w:eastAsia="en-AU"/>
              </w:rPr>
              <w:t>Overall HE participation rates</w:t>
            </w:r>
            <w:r w:rsidR="0092108F">
              <w:rPr>
                <w:rFonts w:ascii="Calibri" w:hAnsi="Calibri" w:cs="Calibri"/>
                <w:lang w:eastAsia="en-AU"/>
              </w:rPr>
              <w:t>*</w:t>
            </w:r>
          </w:p>
        </w:tc>
        <w:tc>
          <w:tcPr>
            <w:tcW w:w="2551" w:type="dxa"/>
            <w:noWrap/>
          </w:tcPr>
          <w:p w14:paraId="6186BCDC" w14:textId="77777777" w:rsidR="0031772D" w:rsidRPr="009E5BF7" w:rsidRDefault="0031772D" w:rsidP="00AA7F7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9E5BF7">
              <w:rPr>
                <w:rFonts w:ascii="Calibri" w:hAnsi="Calibri" w:cs="Calibri"/>
                <w:lang w:eastAsia="en-AU"/>
              </w:rPr>
              <w:t>6.8%</w:t>
            </w:r>
          </w:p>
        </w:tc>
        <w:tc>
          <w:tcPr>
            <w:tcW w:w="2693" w:type="dxa"/>
            <w:noWrap/>
          </w:tcPr>
          <w:p w14:paraId="090841A8" w14:textId="77777777" w:rsidR="0031772D" w:rsidRPr="009E5BF7" w:rsidRDefault="0031772D" w:rsidP="00AA7F7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9E5BF7">
              <w:rPr>
                <w:rFonts w:ascii="Calibri" w:hAnsi="Calibri" w:cs="Calibri"/>
                <w:lang w:eastAsia="en-AU"/>
              </w:rPr>
              <w:t>5.3%</w:t>
            </w:r>
          </w:p>
        </w:tc>
      </w:tr>
      <w:tr w:rsidR="009E5BF7" w:rsidRPr="009E5BF7" w14:paraId="649BE6B7" w14:textId="77777777" w:rsidTr="00AA7F73">
        <w:trPr>
          <w:trHeight w:val="319"/>
        </w:trPr>
        <w:tc>
          <w:tcPr>
            <w:cnfStyle w:val="001000000000" w:firstRow="0" w:lastRow="0" w:firstColumn="1" w:lastColumn="0" w:oddVBand="0" w:evenVBand="0" w:oddHBand="0" w:evenHBand="0" w:firstRowFirstColumn="0" w:firstRowLastColumn="0" w:lastRowFirstColumn="0" w:lastRowLastColumn="0"/>
            <w:tcW w:w="3828" w:type="dxa"/>
            <w:noWrap/>
          </w:tcPr>
          <w:p w14:paraId="446A039B" w14:textId="77777777" w:rsidR="0031772D" w:rsidRPr="009E5BF7" w:rsidRDefault="0031772D" w:rsidP="00AA7F73">
            <w:pPr>
              <w:spacing w:line="276" w:lineRule="auto"/>
              <w:rPr>
                <w:rFonts w:ascii="Calibri" w:hAnsi="Calibri" w:cs="Calibri"/>
                <w:lang w:eastAsia="en-AU"/>
              </w:rPr>
            </w:pPr>
            <w:r w:rsidRPr="009E5BF7">
              <w:rPr>
                <w:rFonts w:ascii="Calibri" w:hAnsi="Calibri" w:cs="Calibri"/>
                <w:lang w:eastAsia="en-AU"/>
              </w:rPr>
              <w:t>Indigenous HE participation rates</w:t>
            </w:r>
          </w:p>
        </w:tc>
        <w:tc>
          <w:tcPr>
            <w:tcW w:w="2551" w:type="dxa"/>
            <w:noWrap/>
          </w:tcPr>
          <w:p w14:paraId="32193989" w14:textId="0C68E23B" w:rsidR="0031772D" w:rsidRPr="009E5BF7" w:rsidRDefault="0092108F" w:rsidP="00AA7F7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Pr>
                <w:rFonts w:ascii="Calibri" w:hAnsi="Calibri" w:cs="Calibri"/>
                <w:lang w:eastAsia="en-AU"/>
              </w:rPr>
              <w:t>3.6</w:t>
            </w:r>
            <w:r w:rsidR="0031772D" w:rsidRPr="009E5BF7">
              <w:rPr>
                <w:rFonts w:ascii="Calibri" w:hAnsi="Calibri" w:cs="Calibri"/>
                <w:lang w:eastAsia="en-AU"/>
              </w:rPr>
              <w:t>%</w:t>
            </w:r>
          </w:p>
        </w:tc>
        <w:tc>
          <w:tcPr>
            <w:tcW w:w="2693" w:type="dxa"/>
            <w:noWrap/>
          </w:tcPr>
          <w:p w14:paraId="0CC109A6" w14:textId="60E9653D" w:rsidR="0031772D" w:rsidRPr="009E5BF7" w:rsidRDefault="0092108F" w:rsidP="00AA7F7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Pr>
                <w:rFonts w:ascii="Calibri" w:hAnsi="Calibri" w:cs="Calibri"/>
                <w:lang w:eastAsia="en-AU"/>
              </w:rPr>
              <w:t>2.6</w:t>
            </w:r>
            <w:r w:rsidR="0031772D" w:rsidRPr="009E5BF7">
              <w:rPr>
                <w:rFonts w:ascii="Calibri" w:hAnsi="Calibri" w:cs="Calibri"/>
                <w:lang w:eastAsia="en-AU"/>
              </w:rPr>
              <w:t>%</w:t>
            </w:r>
          </w:p>
        </w:tc>
      </w:tr>
      <w:tr w:rsidR="009E5BF7" w:rsidRPr="009E5BF7" w14:paraId="05A53C9E" w14:textId="77777777" w:rsidTr="00AA7F73">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828" w:type="dxa"/>
            <w:noWrap/>
          </w:tcPr>
          <w:p w14:paraId="4BEEEA46" w14:textId="77777777" w:rsidR="0031772D" w:rsidRPr="009E5BF7" w:rsidRDefault="0031772D" w:rsidP="00AA7F73">
            <w:pPr>
              <w:spacing w:line="276" w:lineRule="auto"/>
              <w:rPr>
                <w:rFonts w:ascii="Calibri" w:hAnsi="Calibri" w:cs="Calibri"/>
                <w:lang w:eastAsia="en-AU"/>
              </w:rPr>
            </w:pPr>
            <w:r w:rsidRPr="009E5BF7">
              <w:rPr>
                <w:rFonts w:ascii="Calibri" w:hAnsi="Calibri" w:cs="Calibri"/>
                <w:lang w:eastAsia="en-AU"/>
              </w:rPr>
              <w:t>Low SES HE participation rates</w:t>
            </w:r>
          </w:p>
        </w:tc>
        <w:tc>
          <w:tcPr>
            <w:tcW w:w="2551" w:type="dxa"/>
            <w:noWrap/>
          </w:tcPr>
          <w:p w14:paraId="279E5992" w14:textId="19420979" w:rsidR="0031772D" w:rsidRPr="009E5BF7" w:rsidRDefault="0092108F" w:rsidP="00AA7F7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Pr>
                <w:rFonts w:ascii="Calibri" w:hAnsi="Calibri" w:cs="Calibri"/>
                <w:lang w:eastAsia="en-AU"/>
              </w:rPr>
              <w:t>3.3</w:t>
            </w:r>
            <w:r w:rsidR="0031772D" w:rsidRPr="009E5BF7">
              <w:rPr>
                <w:rFonts w:ascii="Calibri" w:hAnsi="Calibri" w:cs="Calibri"/>
                <w:lang w:eastAsia="en-AU"/>
              </w:rPr>
              <w:t>%</w:t>
            </w:r>
          </w:p>
        </w:tc>
        <w:tc>
          <w:tcPr>
            <w:tcW w:w="2693" w:type="dxa"/>
            <w:noWrap/>
          </w:tcPr>
          <w:p w14:paraId="00DEFD3A" w14:textId="0F176E3C" w:rsidR="0031772D" w:rsidRPr="009E5BF7" w:rsidRDefault="0092108F" w:rsidP="00AA7F7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Pr>
                <w:rFonts w:ascii="Calibri" w:hAnsi="Calibri" w:cs="Calibri"/>
                <w:lang w:eastAsia="en-AU"/>
              </w:rPr>
              <w:t>2.8</w:t>
            </w:r>
            <w:r w:rsidR="0031772D" w:rsidRPr="009E5BF7">
              <w:rPr>
                <w:rFonts w:ascii="Calibri" w:hAnsi="Calibri" w:cs="Calibri"/>
                <w:lang w:eastAsia="en-AU"/>
              </w:rPr>
              <w:t>%</w:t>
            </w:r>
          </w:p>
        </w:tc>
      </w:tr>
      <w:tr w:rsidR="0031772D" w:rsidRPr="00306207" w14:paraId="03C48A48" w14:textId="77777777" w:rsidTr="00AA7F73">
        <w:trPr>
          <w:trHeight w:val="319"/>
        </w:trPr>
        <w:tc>
          <w:tcPr>
            <w:cnfStyle w:val="001000000000" w:firstRow="0" w:lastRow="0" w:firstColumn="1" w:lastColumn="0" w:oddVBand="0" w:evenVBand="0" w:oddHBand="0" w:evenHBand="0" w:firstRowFirstColumn="0" w:firstRowLastColumn="0" w:lastRowFirstColumn="0" w:lastRowLastColumn="0"/>
            <w:tcW w:w="3828" w:type="dxa"/>
            <w:noWrap/>
          </w:tcPr>
          <w:p w14:paraId="10989D05" w14:textId="013DA60B" w:rsidR="0031772D" w:rsidRPr="008E5111" w:rsidRDefault="0031772D" w:rsidP="00AA7F73">
            <w:pPr>
              <w:spacing w:line="276" w:lineRule="auto"/>
              <w:rPr>
                <w:rFonts w:ascii="Calibri" w:hAnsi="Calibri" w:cs="Calibri"/>
                <w:color w:val="000000"/>
                <w:lang w:eastAsia="en-AU"/>
              </w:rPr>
            </w:pPr>
            <w:r w:rsidRPr="008E5111">
              <w:rPr>
                <w:rFonts w:ascii="Calibri" w:hAnsi="Calibri" w:cs="Calibri"/>
                <w:color w:val="000000"/>
                <w:lang w:eastAsia="en-AU"/>
              </w:rPr>
              <w:t>Overall VET participation rates</w:t>
            </w:r>
            <w:r w:rsidR="0092108F">
              <w:rPr>
                <w:rFonts w:ascii="Calibri" w:hAnsi="Calibri" w:cs="Calibri"/>
                <w:color w:val="000000"/>
                <w:lang w:eastAsia="en-AU"/>
              </w:rPr>
              <w:t>**</w:t>
            </w:r>
          </w:p>
        </w:tc>
        <w:tc>
          <w:tcPr>
            <w:tcW w:w="2551" w:type="dxa"/>
            <w:noWrap/>
          </w:tcPr>
          <w:p w14:paraId="49CC7EA7" w14:textId="46CBD91B" w:rsidR="0031772D" w:rsidRPr="008E5111" w:rsidRDefault="0092108F" w:rsidP="00AA7F7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n-AU"/>
              </w:rPr>
            </w:pPr>
            <w:r>
              <w:rPr>
                <w:rFonts w:ascii="Calibri" w:hAnsi="Calibri" w:cs="Calibri"/>
                <w:color w:val="000000"/>
                <w:lang w:eastAsia="en-AU"/>
              </w:rPr>
              <w:t>25.1</w:t>
            </w:r>
            <w:r w:rsidR="0031772D" w:rsidRPr="008E5111">
              <w:rPr>
                <w:rFonts w:ascii="Calibri" w:hAnsi="Calibri" w:cs="Calibri"/>
                <w:color w:val="000000"/>
                <w:lang w:eastAsia="en-AU"/>
              </w:rPr>
              <w:t>%</w:t>
            </w:r>
          </w:p>
        </w:tc>
        <w:tc>
          <w:tcPr>
            <w:tcW w:w="2693" w:type="dxa"/>
            <w:noWrap/>
          </w:tcPr>
          <w:p w14:paraId="4523A6D8" w14:textId="5304A0BD" w:rsidR="0031772D" w:rsidRPr="008E5111" w:rsidRDefault="0092108F" w:rsidP="00AA7F7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n-AU"/>
              </w:rPr>
            </w:pPr>
            <w:r>
              <w:rPr>
                <w:rFonts w:ascii="Calibri" w:hAnsi="Calibri" w:cs="Calibri"/>
                <w:color w:val="000000"/>
                <w:lang w:eastAsia="en-AU"/>
              </w:rPr>
              <w:t>30.8</w:t>
            </w:r>
            <w:r w:rsidR="0031772D" w:rsidRPr="008E5111">
              <w:rPr>
                <w:rFonts w:ascii="Calibri" w:hAnsi="Calibri" w:cs="Calibri"/>
                <w:color w:val="000000"/>
                <w:lang w:eastAsia="en-AU"/>
              </w:rPr>
              <w:t>%</w:t>
            </w:r>
          </w:p>
        </w:tc>
      </w:tr>
      <w:tr w:rsidR="0031772D" w:rsidRPr="00306207" w14:paraId="7E7C54D2" w14:textId="77777777" w:rsidTr="00AA7F73">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3828" w:type="dxa"/>
            <w:noWrap/>
          </w:tcPr>
          <w:p w14:paraId="25F9AF85" w14:textId="77777777" w:rsidR="0031772D" w:rsidRPr="008E5111" w:rsidRDefault="0031772D" w:rsidP="00AA7F73">
            <w:pPr>
              <w:spacing w:line="276" w:lineRule="auto"/>
              <w:rPr>
                <w:rFonts w:ascii="Calibri" w:hAnsi="Calibri" w:cs="Calibri"/>
                <w:color w:val="000000"/>
                <w:lang w:eastAsia="en-AU"/>
              </w:rPr>
            </w:pPr>
            <w:r w:rsidRPr="008E5111">
              <w:rPr>
                <w:rFonts w:ascii="Calibri" w:hAnsi="Calibri" w:cs="Calibri"/>
                <w:color w:val="000000"/>
                <w:lang w:eastAsia="en-AU"/>
              </w:rPr>
              <w:t>Indigenous VET participation rates</w:t>
            </w:r>
          </w:p>
        </w:tc>
        <w:tc>
          <w:tcPr>
            <w:tcW w:w="2551" w:type="dxa"/>
            <w:noWrap/>
          </w:tcPr>
          <w:p w14:paraId="76CF401A" w14:textId="29BF0CC5" w:rsidR="0031772D" w:rsidRPr="008E5111" w:rsidRDefault="0092108F" w:rsidP="00AA7F7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n-AU"/>
              </w:rPr>
            </w:pPr>
            <w:r>
              <w:rPr>
                <w:rFonts w:ascii="Calibri" w:hAnsi="Calibri" w:cs="Calibri"/>
                <w:color w:val="000000"/>
                <w:lang w:eastAsia="en-AU"/>
              </w:rPr>
              <w:t>30.2</w:t>
            </w:r>
            <w:r w:rsidR="0031772D" w:rsidRPr="008E5111">
              <w:rPr>
                <w:rFonts w:ascii="Calibri" w:hAnsi="Calibri" w:cs="Calibri"/>
                <w:color w:val="000000"/>
                <w:lang w:eastAsia="en-AU"/>
              </w:rPr>
              <w:t>%</w:t>
            </w:r>
          </w:p>
        </w:tc>
        <w:tc>
          <w:tcPr>
            <w:tcW w:w="2693" w:type="dxa"/>
            <w:noWrap/>
          </w:tcPr>
          <w:p w14:paraId="07DB2DE5" w14:textId="4ACCB47C" w:rsidR="0031772D" w:rsidRPr="008E5111" w:rsidRDefault="0092108F" w:rsidP="00AA7F73">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en-AU"/>
              </w:rPr>
            </w:pPr>
            <w:r>
              <w:rPr>
                <w:rFonts w:ascii="Calibri" w:hAnsi="Calibri" w:cs="Calibri"/>
                <w:color w:val="000000"/>
                <w:lang w:eastAsia="en-AU"/>
              </w:rPr>
              <w:t>29.2</w:t>
            </w:r>
            <w:r w:rsidR="0031772D" w:rsidRPr="008E5111">
              <w:rPr>
                <w:rFonts w:ascii="Calibri" w:hAnsi="Calibri" w:cs="Calibri"/>
                <w:color w:val="000000"/>
                <w:lang w:eastAsia="en-AU"/>
              </w:rPr>
              <w:t>%</w:t>
            </w:r>
          </w:p>
        </w:tc>
      </w:tr>
      <w:tr w:rsidR="0031772D" w:rsidRPr="00306207" w14:paraId="724965C3" w14:textId="77777777" w:rsidTr="00AA7F73">
        <w:trPr>
          <w:trHeight w:val="319"/>
        </w:trPr>
        <w:tc>
          <w:tcPr>
            <w:cnfStyle w:val="001000000000" w:firstRow="0" w:lastRow="0" w:firstColumn="1" w:lastColumn="0" w:oddVBand="0" w:evenVBand="0" w:oddHBand="0" w:evenHBand="0" w:firstRowFirstColumn="0" w:firstRowLastColumn="0" w:lastRowFirstColumn="0" w:lastRowLastColumn="0"/>
            <w:tcW w:w="3828" w:type="dxa"/>
            <w:noWrap/>
          </w:tcPr>
          <w:p w14:paraId="02CF0A0F" w14:textId="72A0B3FD" w:rsidR="0031772D" w:rsidRPr="007D11F2" w:rsidRDefault="0031772D" w:rsidP="00AA7F73">
            <w:pPr>
              <w:spacing w:line="276" w:lineRule="auto"/>
              <w:rPr>
                <w:rFonts w:ascii="Calibri" w:hAnsi="Calibri" w:cs="Calibri"/>
                <w:color w:val="000000"/>
                <w:lang w:eastAsia="en-AU"/>
              </w:rPr>
            </w:pPr>
            <w:r w:rsidRPr="007D11F2">
              <w:rPr>
                <w:rFonts w:ascii="Calibri" w:hAnsi="Calibri" w:cs="Calibri"/>
                <w:color w:val="000000"/>
                <w:lang w:eastAsia="en-AU"/>
              </w:rPr>
              <w:t>Low SES VET participation rates</w:t>
            </w:r>
            <w:r w:rsidR="0092108F">
              <w:rPr>
                <w:rFonts w:ascii="Calibri" w:hAnsi="Calibri" w:cs="Calibri"/>
                <w:color w:val="000000"/>
                <w:lang w:eastAsia="en-AU"/>
              </w:rPr>
              <w:t>***</w:t>
            </w:r>
          </w:p>
        </w:tc>
        <w:tc>
          <w:tcPr>
            <w:tcW w:w="2551" w:type="dxa"/>
            <w:noWrap/>
          </w:tcPr>
          <w:p w14:paraId="5BC18809" w14:textId="078FB3EA" w:rsidR="0031772D" w:rsidRPr="007D11F2" w:rsidRDefault="0092108F" w:rsidP="00AA7F7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n-AU"/>
              </w:rPr>
            </w:pPr>
            <w:r>
              <w:rPr>
                <w:rFonts w:ascii="Calibri" w:hAnsi="Calibri" w:cs="Calibri"/>
                <w:color w:val="000000"/>
                <w:lang w:eastAsia="en-AU"/>
              </w:rPr>
              <w:t>25.3</w:t>
            </w:r>
            <w:r w:rsidR="0031772D" w:rsidRPr="007D11F2">
              <w:rPr>
                <w:rFonts w:ascii="Calibri" w:hAnsi="Calibri" w:cs="Calibri"/>
                <w:color w:val="000000"/>
                <w:lang w:eastAsia="en-AU"/>
              </w:rPr>
              <w:t>%</w:t>
            </w:r>
          </w:p>
        </w:tc>
        <w:tc>
          <w:tcPr>
            <w:tcW w:w="2693" w:type="dxa"/>
            <w:noWrap/>
          </w:tcPr>
          <w:p w14:paraId="2A8CB004" w14:textId="4C8677FD" w:rsidR="0031772D" w:rsidRPr="007D11F2" w:rsidRDefault="0092108F" w:rsidP="00AA7F73">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en-AU"/>
              </w:rPr>
            </w:pPr>
            <w:r>
              <w:rPr>
                <w:rFonts w:ascii="Calibri" w:hAnsi="Calibri" w:cs="Calibri"/>
                <w:color w:val="000000"/>
                <w:lang w:eastAsia="en-AU"/>
              </w:rPr>
              <w:t>27.2</w:t>
            </w:r>
            <w:r w:rsidR="0031772D" w:rsidRPr="007D11F2">
              <w:rPr>
                <w:rFonts w:ascii="Calibri" w:hAnsi="Calibri" w:cs="Calibri"/>
                <w:color w:val="000000"/>
                <w:lang w:eastAsia="en-AU"/>
              </w:rPr>
              <w:t>%</w:t>
            </w:r>
          </w:p>
        </w:tc>
      </w:tr>
    </w:tbl>
    <w:p w14:paraId="4FDE3609" w14:textId="77777777" w:rsidR="00743F8E" w:rsidRPr="00743F8E" w:rsidRDefault="00743F8E" w:rsidP="00743F8E">
      <w:pPr>
        <w:spacing w:line="276" w:lineRule="auto"/>
        <w:rPr>
          <w:rFonts w:ascii="Calibri" w:hAnsi="Calibri" w:cs="Calibri"/>
          <w:color w:val="000000"/>
          <w:sz w:val="16"/>
          <w:szCs w:val="16"/>
          <w:lang w:eastAsia="en-AU"/>
        </w:rPr>
      </w:pPr>
      <w:r w:rsidRPr="00743F8E">
        <w:rPr>
          <w:rFonts w:ascii="Calibri" w:hAnsi="Calibri" w:cs="Calibri"/>
          <w:color w:val="000000"/>
          <w:sz w:val="16"/>
          <w:szCs w:val="16"/>
          <w:lang w:eastAsia="en-AU"/>
        </w:rPr>
        <w:t>* HE Participation rates are derived by dividing the number of domestic student enrolments in 2016 by the number of people aged 15</w:t>
      </w:r>
      <w:r w:rsidRPr="00743F8E">
        <w:rPr>
          <w:rFonts w:ascii="Calibri" w:hAnsi="Calibri" w:cs="Calibri"/>
          <w:color w:val="000000"/>
          <w:sz w:val="16"/>
          <w:szCs w:val="16"/>
          <w:lang w:eastAsia="en-AU"/>
        </w:rPr>
        <w:noBreakHyphen/>
        <w:t xml:space="preserve">64 years in location categories (based on first recorded address). </w:t>
      </w:r>
    </w:p>
    <w:p w14:paraId="1ACBD60E" w14:textId="77777777" w:rsidR="00743F8E" w:rsidRPr="00743F8E" w:rsidRDefault="00743F8E" w:rsidP="00743F8E">
      <w:pPr>
        <w:spacing w:line="276" w:lineRule="auto"/>
        <w:rPr>
          <w:rFonts w:ascii="Calibri" w:hAnsi="Calibri" w:cs="Calibri"/>
          <w:color w:val="000000"/>
          <w:sz w:val="16"/>
          <w:szCs w:val="16"/>
          <w:lang w:eastAsia="en-AU"/>
        </w:rPr>
      </w:pPr>
      <w:r w:rsidRPr="00743F8E">
        <w:rPr>
          <w:rFonts w:ascii="Calibri" w:hAnsi="Calibri" w:cs="Calibri"/>
          <w:color w:val="000000"/>
          <w:sz w:val="16"/>
          <w:szCs w:val="16"/>
          <w:lang w:eastAsia="en-AU"/>
        </w:rPr>
        <w:t xml:space="preserve">** VET Participation rates are derived broadly on a similar basis, but with a few differences: location is based on current address, NCVER estimates of student numbers are calculated using a deduplication algorithm (to adjust for students undertaking multiple training) and Indigenous student numbers are based on a three year average to adjust for potential volatility in this relatively small population. </w:t>
      </w:r>
    </w:p>
    <w:p w14:paraId="18DFA850" w14:textId="77777777" w:rsidR="00743F8E" w:rsidRPr="00743F8E" w:rsidRDefault="00743F8E" w:rsidP="00743F8E">
      <w:pPr>
        <w:spacing w:line="276" w:lineRule="auto"/>
        <w:rPr>
          <w:rFonts w:ascii="Calibri" w:hAnsi="Calibri" w:cs="Calibri"/>
          <w:color w:val="000000"/>
          <w:sz w:val="16"/>
          <w:szCs w:val="16"/>
          <w:lang w:eastAsia="en-AU"/>
        </w:rPr>
      </w:pPr>
      <w:r w:rsidRPr="00743F8E">
        <w:rPr>
          <w:rFonts w:ascii="Calibri" w:hAnsi="Calibri" w:cs="Calibri"/>
          <w:color w:val="000000"/>
          <w:sz w:val="16"/>
          <w:szCs w:val="16"/>
          <w:lang w:eastAsia="en-AU"/>
        </w:rPr>
        <w:t xml:space="preserve">*** Definitions for low SES in HE and VET data use slightly different SEIFA indexes and populations (HE data based on the bottom quartile, VET data based on the bottom quintile). </w:t>
      </w:r>
    </w:p>
    <w:p w14:paraId="02CA883B" w14:textId="10FE7102" w:rsidR="0031772D" w:rsidRPr="00306207" w:rsidRDefault="00743F8E" w:rsidP="00743F8E">
      <w:pPr>
        <w:spacing w:line="276" w:lineRule="auto"/>
      </w:pPr>
      <w:r w:rsidRPr="00D23878">
        <w:rPr>
          <w:rFonts w:ascii="Calibri" w:hAnsi="Calibri"/>
          <w:b/>
          <w:color w:val="000000"/>
          <w:sz w:val="16"/>
        </w:rPr>
        <w:t>Source</w:t>
      </w:r>
      <w:r w:rsidRPr="00743F8E">
        <w:rPr>
          <w:rFonts w:ascii="Calibri" w:hAnsi="Calibri" w:cs="Calibri"/>
          <w:color w:val="000000"/>
          <w:sz w:val="16"/>
          <w:szCs w:val="16"/>
          <w:lang w:eastAsia="en-AU"/>
        </w:rPr>
        <w:t>: ABS (2016) - Counting Persons, Place of Usual Residence (MB) and Estimates of Aboriginal and Torr</w:t>
      </w:r>
      <w:r>
        <w:rPr>
          <w:rFonts w:ascii="Calibri" w:hAnsi="Calibri" w:cs="Calibri"/>
          <w:color w:val="000000"/>
          <w:sz w:val="16"/>
          <w:szCs w:val="16"/>
          <w:lang w:eastAsia="en-AU"/>
        </w:rPr>
        <w:t xml:space="preserve">es Strait Islander Australians, </w:t>
      </w:r>
      <w:r w:rsidRPr="00743F8E">
        <w:rPr>
          <w:rFonts w:ascii="Calibri" w:hAnsi="Calibri" w:cs="Calibri"/>
          <w:color w:val="000000"/>
          <w:sz w:val="16"/>
          <w:szCs w:val="16"/>
          <w:lang w:eastAsia="en-AU"/>
        </w:rPr>
        <w:t>June 2016 – 3238.0.55.001; DoE Higher Education Statistics; NCVER Total VET Students and Courses Collection.</w:t>
      </w:r>
      <w:r w:rsidRPr="00743F8E">
        <w:rPr>
          <w:rFonts w:ascii="Calibri" w:hAnsi="Calibri" w:cs="Calibri"/>
          <w:color w:val="000000"/>
          <w:sz w:val="18"/>
          <w:szCs w:val="18"/>
          <w:lang w:eastAsia="en-AU"/>
        </w:rPr>
        <w:t xml:space="preserve"> </w:t>
      </w:r>
    </w:p>
    <w:p w14:paraId="5513B8FF" w14:textId="4892994E" w:rsidR="00DC26A9" w:rsidRDefault="00743F8E" w:rsidP="00743F8E">
      <w:pPr>
        <w:spacing w:after="0" w:line="276" w:lineRule="auto"/>
      </w:pPr>
      <w:r w:rsidRPr="00743F8E">
        <w:t>In higher education, there has been a concerted effort to increase the participation of underrepresented groups, resulting in a significant increase in enrolments.</w:t>
      </w:r>
      <w:r>
        <w:rPr>
          <w:rStyle w:val="FootnoteReference"/>
        </w:rPr>
        <w:footnoteReference w:id="71"/>
      </w:r>
      <w:r w:rsidRPr="00743F8E">
        <w:t xml:space="preserve"> While parity with the national population has yet to be achieved, the national enrolment trends are promising. Translating these increasing enrolments into better tertiary education outcomes is the next challenge as equity students, especially those from RRR areas, experience higher attrition rates due to ongoing inequities throughout their study (Figure 8).</w:t>
      </w:r>
    </w:p>
    <w:p w14:paraId="3B101E93" w14:textId="77777777" w:rsidR="00DC26A9" w:rsidRDefault="00DC26A9">
      <w:r>
        <w:br w:type="page"/>
      </w:r>
    </w:p>
    <w:p w14:paraId="5220D7B3" w14:textId="279CF678" w:rsidR="00DC26A9" w:rsidRPr="00DC26A9" w:rsidRDefault="00DC26A9" w:rsidP="00DC26A9">
      <w:pPr>
        <w:pStyle w:val="Caption"/>
        <w:keepNext/>
        <w:rPr>
          <w:b/>
        </w:rPr>
      </w:pPr>
      <w:bookmarkStart w:id="53" w:name="_Toc13225139"/>
      <w:r w:rsidRPr="00DC26A9">
        <w:rPr>
          <w:b/>
        </w:rPr>
        <w:lastRenderedPageBreak/>
        <w:t xml:space="preserve">Figure </w:t>
      </w:r>
      <w:r w:rsidRPr="00DC26A9">
        <w:rPr>
          <w:b/>
        </w:rPr>
        <w:fldChar w:fldCharType="begin"/>
      </w:r>
      <w:r w:rsidRPr="00DC26A9">
        <w:rPr>
          <w:b/>
        </w:rPr>
        <w:instrText xml:space="preserve"> SEQ Figure \* ARABIC </w:instrText>
      </w:r>
      <w:r w:rsidRPr="00DC26A9">
        <w:rPr>
          <w:b/>
        </w:rPr>
        <w:fldChar w:fldCharType="separate"/>
      </w:r>
      <w:r w:rsidR="00D85656">
        <w:rPr>
          <w:b/>
          <w:noProof/>
        </w:rPr>
        <w:t>8</w:t>
      </w:r>
      <w:r w:rsidRPr="00DC26A9">
        <w:rPr>
          <w:b/>
        </w:rPr>
        <w:fldChar w:fldCharType="end"/>
      </w:r>
      <w:r w:rsidRPr="00DC26A9">
        <w:rPr>
          <w:b/>
        </w:rPr>
        <w:t>. University attrition rates by equity group across remoteness levels, 2016</w:t>
      </w:r>
      <w:bookmarkEnd w:id="53"/>
    </w:p>
    <w:p w14:paraId="211DD6D5" w14:textId="045C0796" w:rsidR="00DC26A9" w:rsidRDefault="000652D9" w:rsidP="0031772D">
      <w:pPr>
        <w:spacing w:after="0"/>
      </w:pPr>
      <w:r>
        <w:pict w14:anchorId="0241168F">
          <v:shape id="_x0000_i1028" type="#_x0000_t75" alt="Figure 8 is a bar chart that shows that low SES students, Indigenous students and students with disability have higher rates of attrition from university compared to other students. It also shows that the rate of attrition for these students is higher again if they are from an RRR area. " style="width:460.8pt;height:138.25pt">
            <v:imagedata r:id="rId27" o:title="ED19-0084 - HE - Regional Taskforce Final Report_Figure 8"/>
          </v:shape>
        </w:pict>
      </w:r>
    </w:p>
    <w:p w14:paraId="30FEF612" w14:textId="22D237DC" w:rsidR="00DC26A9" w:rsidRDefault="00DC26A9" w:rsidP="0031772D">
      <w:pPr>
        <w:spacing w:after="0"/>
        <w:rPr>
          <w:sz w:val="16"/>
          <w:szCs w:val="16"/>
        </w:rPr>
      </w:pPr>
      <w:r w:rsidRPr="00DC26A9">
        <w:rPr>
          <w:sz w:val="16"/>
          <w:szCs w:val="16"/>
        </w:rPr>
        <w:t>Source: DoE, Higher Education Statistics Collection.</w:t>
      </w:r>
    </w:p>
    <w:p w14:paraId="75B5B1EF" w14:textId="77777777" w:rsidR="00DC26A9" w:rsidRPr="00DC26A9" w:rsidRDefault="00DC26A9" w:rsidP="0031772D">
      <w:pPr>
        <w:spacing w:after="0"/>
        <w:rPr>
          <w:sz w:val="16"/>
          <w:szCs w:val="16"/>
        </w:rPr>
      </w:pPr>
    </w:p>
    <w:p w14:paraId="76BB7147" w14:textId="77777777" w:rsidR="0031772D" w:rsidRPr="00306207" w:rsidRDefault="0031772D" w:rsidP="00726804">
      <w:pPr>
        <w:pStyle w:val="Heading3"/>
      </w:pPr>
      <w:r w:rsidRPr="00306207">
        <w:t xml:space="preserve">RRR students from low SES backgrounds    </w:t>
      </w:r>
    </w:p>
    <w:p w14:paraId="18D96948" w14:textId="67A309A7" w:rsidR="00743F8E" w:rsidRPr="00743F8E" w:rsidRDefault="00743F8E" w:rsidP="00743F8E">
      <w:r w:rsidRPr="00743F8E">
        <w:t>Over 30 per cent of RRR students are from low SES backgrounds</w:t>
      </w:r>
      <w:r>
        <w:rPr>
          <w:rStyle w:val="FootnoteReference"/>
        </w:rPr>
        <w:footnoteReference w:id="72"/>
      </w:r>
      <w:r w:rsidRPr="00743F8E">
        <w:t xml:space="preserve"> and often face hurdles such as balancing study, work and family commitments. The Advisory Group heard of the positive impact of HEPPP in RRR Australia. HEPPP aims to enhance aspirations among Australians from low SES backgrounds, both in metropolitan and RRR areas, and improve their higher education access, participation, success and outcomes. HEPPP has facilitated some 2679 programs, with over 310,000 students from identified equity groups and involving external partners, such as state and territory governments, VET providers, schools and community groups.</w:t>
      </w:r>
      <w:r>
        <w:rPr>
          <w:rStyle w:val="FootnoteReference"/>
        </w:rPr>
        <w:footnoteReference w:id="73"/>
      </w:r>
      <w:r w:rsidRPr="00743F8E">
        <w:t xml:space="preserve"> HEPPP-funded programs occur across the whole student lifecycle, with 13 per cent of programs targeted at low SES people from RRR areas.</w:t>
      </w:r>
      <w:r>
        <w:rPr>
          <w:rStyle w:val="FootnoteReference"/>
        </w:rPr>
        <w:footnoteReference w:id="74"/>
      </w:r>
      <w:r w:rsidRPr="00743F8E">
        <w:t xml:space="preserve"> Consultations and submissions pointed to the need for longer funding cycles for RRR outreach and tailored programs. The recent HEPPP evaluation recommended three year funding cycles to address these issues, as well as to better enable the development of partnerships with schools, VET providers and other external organisations.</w:t>
      </w:r>
      <w:r>
        <w:rPr>
          <w:rStyle w:val="FootnoteReference"/>
        </w:rPr>
        <w:footnoteReference w:id="75"/>
      </w:r>
      <w:r w:rsidRPr="00743F8E">
        <w:t xml:space="preserve"> </w:t>
      </w:r>
    </w:p>
    <w:p w14:paraId="1E19B07F" w14:textId="499808FF" w:rsidR="00743F8E" w:rsidRDefault="00743F8E" w:rsidP="00D85656">
      <w:pPr>
        <w:spacing w:after="0"/>
      </w:pPr>
      <w:r w:rsidRPr="00743F8E">
        <w:t xml:space="preserve">There is potential to enhance the role HEPPP plays in promoting better outcomes for RRR students. Stakeholders highlighted the benefits of collaboration for RRR community outreach, arguing that there should be a greater emphasis on targeted support for RRR students in HEPPP. There is a strong case for increasing the program’s focus on RRR students across the full income spectrum. Figure 9 shows that attrition tends to be higher for RRR students at all income levels, except for high SES RRR students who have about the same level of attrition as low SES </w:t>
      </w:r>
      <w:r w:rsidR="00DC26A9">
        <w:t>metropolitan students (15.4 per </w:t>
      </w:r>
      <w:r w:rsidRPr="00743F8E">
        <w:t xml:space="preserve">cent). </w:t>
      </w:r>
    </w:p>
    <w:p w14:paraId="689E0A4E" w14:textId="00C9CF94" w:rsidR="00D85656" w:rsidRDefault="00D85656">
      <w:r>
        <w:br w:type="page"/>
      </w:r>
    </w:p>
    <w:p w14:paraId="462A909B" w14:textId="5BFD8E9C" w:rsidR="00D85656" w:rsidRPr="00D85656" w:rsidRDefault="00D85656" w:rsidP="00D85656">
      <w:pPr>
        <w:pStyle w:val="Caption"/>
        <w:keepNext/>
        <w:rPr>
          <w:b/>
        </w:rPr>
      </w:pPr>
      <w:bookmarkStart w:id="54" w:name="_Toc13225140"/>
      <w:r w:rsidRPr="00D85656">
        <w:rPr>
          <w:b/>
        </w:rPr>
        <w:lastRenderedPageBreak/>
        <w:t xml:space="preserve">Figure </w:t>
      </w:r>
      <w:r w:rsidRPr="00D85656">
        <w:rPr>
          <w:b/>
        </w:rPr>
        <w:fldChar w:fldCharType="begin"/>
      </w:r>
      <w:r w:rsidRPr="00D85656">
        <w:rPr>
          <w:b/>
        </w:rPr>
        <w:instrText xml:space="preserve"> SEQ Figure \* ARABIC </w:instrText>
      </w:r>
      <w:r w:rsidRPr="00D85656">
        <w:rPr>
          <w:b/>
        </w:rPr>
        <w:fldChar w:fldCharType="separate"/>
      </w:r>
      <w:r w:rsidRPr="00D85656">
        <w:rPr>
          <w:b/>
          <w:noProof/>
        </w:rPr>
        <w:t>9</w:t>
      </w:r>
      <w:r w:rsidRPr="00D85656">
        <w:rPr>
          <w:b/>
        </w:rPr>
        <w:fldChar w:fldCharType="end"/>
      </w:r>
      <w:r w:rsidRPr="00D85656">
        <w:rPr>
          <w:b/>
        </w:rPr>
        <w:t>. University student attrition rates across income levels, 2016</w:t>
      </w:r>
      <w:bookmarkEnd w:id="54"/>
    </w:p>
    <w:p w14:paraId="02177889" w14:textId="545A173D" w:rsidR="00D85656" w:rsidRDefault="000652D9" w:rsidP="00D85656">
      <w:pPr>
        <w:spacing w:after="0"/>
        <w:rPr>
          <w:iCs/>
        </w:rPr>
      </w:pPr>
      <w:r>
        <w:rPr>
          <w:iCs/>
        </w:rPr>
        <w:pict w14:anchorId="1AC87E3B">
          <v:shape id="_x0000_i1029" type="#_x0000_t75" alt="As per paragraph above.&#10;Figure 9 University student attririon rates across income levels, 2016" style="width:446.4pt;height:100.2pt">
            <v:imagedata r:id="rId28" o:title="ED19-0084 - HE - Regional Taskforce Final Report_Figure 9-01"/>
          </v:shape>
        </w:pict>
      </w:r>
    </w:p>
    <w:p w14:paraId="22C06FA1" w14:textId="77777777" w:rsidR="00D85656" w:rsidRDefault="00D85656" w:rsidP="00D85656">
      <w:pPr>
        <w:spacing w:after="0"/>
        <w:rPr>
          <w:iCs/>
          <w:sz w:val="16"/>
          <w:szCs w:val="16"/>
        </w:rPr>
      </w:pPr>
    </w:p>
    <w:p w14:paraId="3B0024D9" w14:textId="254D54F1" w:rsidR="00D85656" w:rsidRDefault="00D85656" w:rsidP="00D85656">
      <w:pPr>
        <w:spacing w:after="0"/>
        <w:rPr>
          <w:iCs/>
          <w:sz w:val="16"/>
          <w:szCs w:val="16"/>
        </w:rPr>
      </w:pPr>
      <w:r w:rsidRPr="00D85656">
        <w:rPr>
          <w:iCs/>
          <w:sz w:val="16"/>
          <w:szCs w:val="16"/>
        </w:rPr>
        <w:t>Source: Location based on students’ first enrolment address. DoE, Higher Education Statistics Collection.</w:t>
      </w:r>
    </w:p>
    <w:p w14:paraId="660675CA" w14:textId="77777777" w:rsidR="00D85656" w:rsidRPr="00D85656" w:rsidRDefault="00D85656" w:rsidP="00D85656">
      <w:pPr>
        <w:spacing w:after="0"/>
        <w:rPr>
          <w:iCs/>
          <w:sz w:val="16"/>
          <w:szCs w:val="16"/>
        </w:rPr>
      </w:pPr>
    </w:p>
    <w:p w14:paraId="240C2E40" w14:textId="77777777" w:rsidR="00743F8E" w:rsidRPr="00743F8E" w:rsidRDefault="00743F8E" w:rsidP="00743F8E">
      <w:pPr>
        <w:rPr>
          <w:iCs/>
        </w:rPr>
      </w:pPr>
      <w:r w:rsidRPr="00743F8E">
        <w:rPr>
          <w:iCs/>
        </w:rPr>
        <w:t>The challenges facing RRR students impacts their participation, with attrition rates equal or higher across all SES classifications. More could be done within HEPPP to assist RRR students. Longer-term support would assist with the establishment of best practice, cost</w:t>
      </w:r>
      <w:r w:rsidRPr="00743F8E">
        <w:rPr>
          <w:iCs/>
        </w:rPr>
        <w:noBreakHyphen/>
        <w:t xml:space="preserve">effective and collaborative activities, as well as opportunities to develop innovative new approaches. </w:t>
      </w:r>
    </w:p>
    <w:p w14:paraId="7B837C0A" w14:textId="02570706" w:rsidR="00743F8E" w:rsidRPr="00743F8E" w:rsidRDefault="00743F8E" w:rsidP="00743F8E">
      <w:pPr>
        <w:rPr>
          <w:iCs/>
        </w:rPr>
      </w:pPr>
      <w:r w:rsidRPr="00743F8E">
        <w:rPr>
          <w:iCs/>
        </w:rPr>
        <w:t>While there is no equivalent program for VET students, state and territory governments have implemented a range of initiatives aimed at meeting the needs of low SES students and other equity groups. Learnings from HEPPP may be valuable for state and territory governments to inform new or existing support programs to improve VET access and participation for equity groups, including RRR students.</w:t>
      </w:r>
    </w:p>
    <w:p w14:paraId="3D8913C6" w14:textId="77777777" w:rsidR="0031772D" w:rsidRPr="00306207" w:rsidRDefault="0031772D" w:rsidP="00726804">
      <w:pPr>
        <w:pStyle w:val="Heading3"/>
      </w:pPr>
      <w:r w:rsidRPr="00306207">
        <w:t>Aboriginal and Torres Strait Islander students</w:t>
      </w:r>
    </w:p>
    <w:p w14:paraId="6995D396" w14:textId="1A504316" w:rsidR="007411CB" w:rsidRPr="007411CB" w:rsidRDefault="007411CB" w:rsidP="007411CB">
      <w:pPr>
        <w:spacing w:after="200" w:line="276" w:lineRule="auto"/>
      </w:pPr>
      <w:r w:rsidRPr="007411CB">
        <w:t>Aboriginal and Torres Strait Islander peoples comprise 2.8 per cent of the Australian population, of which 62.6 per cent live in RRR areas.</w:t>
      </w:r>
      <w:r>
        <w:rPr>
          <w:rStyle w:val="FootnoteReference"/>
        </w:rPr>
        <w:footnoteReference w:id="76"/>
      </w:r>
      <w:r w:rsidRPr="007411CB">
        <w:t xml:space="preserve"> Indigenous students are more likely to participate in VET (estimated at 3.4 per cent of all VET students)</w:t>
      </w:r>
      <w:r>
        <w:rPr>
          <w:rStyle w:val="FootnoteReference"/>
        </w:rPr>
        <w:footnoteReference w:id="77"/>
      </w:r>
      <w:r w:rsidRPr="007411CB">
        <w:t xml:space="preserve"> than in higher education (1.8 per cent of all higher education students).</w:t>
      </w:r>
      <w:r>
        <w:rPr>
          <w:rStyle w:val="FootnoteReference"/>
        </w:rPr>
        <w:footnoteReference w:id="78"/>
      </w:r>
      <w:r w:rsidRPr="007411CB">
        <w:t xml:space="preserve"> In 2017, 45.3 per cent of Indigenous higher education students came from RRR areas (first address at the commencement of study), with 43.7 per cent studying in RRR areas.</w:t>
      </w:r>
      <w:r>
        <w:rPr>
          <w:rStyle w:val="FootnoteReference"/>
        </w:rPr>
        <w:footnoteReference w:id="79"/>
      </w:r>
      <w:r w:rsidRPr="007411CB">
        <w:t xml:space="preserve"> </w:t>
      </w:r>
    </w:p>
    <w:p w14:paraId="59E4A515" w14:textId="56D6F4CD" w:rsidR="007411CB" w:rsidRPr="007411CB" w:rsidRDefault="007411CB" w:rsidP="007411CB">
      <w:pPr>
        <w:spacing w:after="200" w:line="276" w:lineRule="auto"/>
      </w:pPr>
      <w:r w:rsidRPr="007411CB">
        <w:t>Indigenous students in remote and very remote areas are particularly vulnerable to attrition (Figure 8). “Thin markets” can have a significant impact on Indigenous students in remote and very remote communities where VET access and completion – as well as the pathways from VET to higher education – are problematic. Some stakeholders attributed poor VET access rates and completion outcomes in remote and very remote Indigenous communities to the lack of flexible, on Country</w:t>
      </w:r>
      <w:r>
        <w:rPr>
          <w:rStyle w:val="FootnoteReference"/>
        </w:rPr>
        <w:footnoteReference w:id="80"/>
      </w:r>
      <w:r w:rsidRPr="007411CB">
        <w:t xml:space="preserve"> delivery of quality tertiary education. The Advisory Group heard of the preference for face-to-face</w:t>
      </w:r>
      <w:r>
        <w:rPr>
          <w:rStyle w:val="FootnoteReference"/>
        </w:rPr>
        <w:footnoteReference w:id="81"/>
      </w:r>
      <w:r w:rsidRPr="007411CB">
        <w:t xml:space="preserve"> delivery of tertiary education on Country, using flexible modes of delivery that are co-designed and co</w:t>
      </w:r>
      <w:r w:rsidRPr="007411CB">
        <w:noBreakHyphen/>
        <w:t xml:space="preserve">implemented with the local Indigenous community. For example, the Remote Area Teacher Education Program is a successful, multi-sector collaboration between James Cook University, TAFE </w:t>
      </w:r>
      <w:r w:rsidRPr="007411CB">
        <w:lastRenderedPageBreak/>
        <w:t xml:space="preserve">Queensland and the Queensland Department of Education, which assists Indigenous students to become school teachers. </w:t>
      </w:r>
    </w:p>
    <w:p w14:paraId="6A37CB52" w14:textId="44B7D467" w:rsidR="007411CB" w:rsidRDefault="007411CB" w:rsidP="007411CB">
      <w:pPr>
        <w:spacing w:after="180" w:line="276" w:lineRule="auto"/>
      </w:pPr>
      <w:r w:rsidRPr="007411CB">
        <w:t>Improved outreach services, mentoring and support for distance students were identified as initiatives that could improve outcomes for all RRR Indigenous students and that would be particularly helpful for those in remote and very remote locations. As Indigenous higher education students have higher attrition rates in the first year, as well as in subsequent years of study, than their non</w:t>
      </w:r>
      <w:r w:rsidRPr="007411CB">
        <w:noBreakHyphen/>
        <w:t>Indigenous peers,</w:t>
      </w:r>
      <w:r>
        <w:rPr>
          <w:rStyle w:val="FootnoteReference"/>
        </w:rPr>
        <w:footnoteReference w:id="82"/>
      </w:r>
      <w:r w:rsidRPr="007411CB">
        <w:t xml:space="preserve"> it is imperative that tailored academic support programs are designed for the entire student lifecycle. </w:t>
      </w:r>
    </w:p>
    <w:p w14:paraId="3627187A" w14:textId="693000B1" w:rsidR="007411CB" w:rsidRPr="007411CB" w:rsidRDefault="007411CB" w:rsidP="007411CB">
      <w:pPr>
        <w:spacing w:after="180" w:line="276" w:lineRule="auto"/>
      </w:pPr>
      <w:r w:rsidRPr="007411CB">
        <w:t>Increasing Indigenous educational attainment is a national priority. The most recent data shows a decline in both university applications from, and offers being made to, Indigenous students.</w:t>
      </w:r>
      <w:r>
        <w:rPr>
          <w:rStyle w:val="FootnoteReference"/>
        </w:rPr>
        <w:footnoteReference w:id="83"/>
      </w:r>
      <w:r w:rsidRPr="007411CB">
        <w:t xml:space="preserve"> In 2018, the number of applications from Indigenous Australians decreased by 5.2 per cent from the previous year. Furthermore, compared with 2017, there was a 3.3 per cent decrease in offers made to Indigenous applicants in 2018 – the first fall since data was originally reported in 2010. Within current controls on funding for bachelor degrees, there is limited capacity for universities to improve participation rates for Indigenous Australians. Better opportunities for Indigenous students would help support the broader agenda of improving the quality of life of Indigenous Australians, to which education is central.</w:t>
      </w:r>
    </w:p>
    <w:p w14:paraId="35A1E966" w14:textId="77777777" w:rsidR="0031772D" w:rsidRPr="00306207" w:rsidRDefault="0031772D" w:rsidP="00726804">
      <w:pPr>
        <w:pStyle w:val="Heading3"/>
      </w:pPr>
      <w:r w:rsidRPr="00306207">
        <w:t>RRR students with disability</w:t>
      </w:r>
    </w:p>
    <w:p w14:paraId="3BE93D83" w14:textId="45799BA2" w:rsidR="005A7C9F" w:rsidRPr="007411CB" w:rsidRDefault="00AA6DC0" w:rsidP="0031772D">
      <w:pPr>
        <w:rPr>
          <w:rFonts w:eastAsia="Times New Roman" w:cstheme="minorHAnsi"/>
          <w:bCs/>
        </w:rPr>
      </w:pPr>
      <w:r w:rsidRPr="007411CB">
        <w:rPr>
          <w:rFonts w:eastAsia="Times New Roman" w:cstheme="minorHAnsi"/>
          <w:bCs/>
        </w:rPr>
        <w:t>People with a disability account for a higher proportion of the overall population and the student population in RRR areas</w:t>
      </w:r>
      <w:r w:rsidR="00421C0A" w:rsidRPr="007411CB">
        <w:rPr>
          <w:rFonts w:eastAsia="Times New Roman" w:cstheme="minorHAnsi"/>
          <w:bCs/>
        </w:rPr>
        <w:t xml:space="preserve"> (Table </w:t>
      </w:r>
      <w:r w:rsidR="009866FB" w:rsidRPr="007411CB">
        <w:rPr>
          <w:rFonts w:eastAsia="Times New Roman" w:cstheme="minorHAnsi"/>
          <w:bCs/>
        </w:rPr>
        <w:t>7</w:t>
      </w:r>
      <w:r w:rsidRPr="007411CB">
        <w:rPr>
          <w:rFonts w:eastAsia="Times New Roman" w:cstheme="minorHAnsi"/>
          <w:bCs/>
        </w:rPr>
        <w:t>).</w:t>
      </w:r>
    </w:p>
    <w:p w14:paraId="715C6EE9" w14:textId="7325D154" w:rsidR="00731756" w:rsidRPr="00731756" w:rsidRDefault="00731756" w:rsidP="00731756">
      <w:pPr>
        <w:pStyle w:val="Caption"/>
        <w:keepNext/>
        <w:rPr>
          <w:b/>
        </w:rPr>
      </w:pPr>
      <w:bookmarkStart w:id="55" w:name="_Toc13224974"/>
      <w:r w:rsidRPr="00731756">
        <w:rPr>
          <w:b/>
        </w:rPr>
        <w:t xml:space="preserve">Table </w:t>
      </w:r>
      <w:r w:rsidRPr="00731756">
        <w:rPr>
          <w:b/>
        </w:rPr>
        <w:fldChar w:fldCharType="begin"/>
      </w:r>
      <w:r w:rsidRPr="00731756">
        <w:rPr>
          <w:b/>
        </w:rPr>
        <w:instrText xml:space="preserve"> SEQ Table \* ARABIC </w:instrText>
      </w:r>
      <w:r w:rsidRPr="00731756">
        <w:rPr>
          <w:b/>
        </w:rPr>
        <w:fldChar w:fldCharType="separate"/>
      </w:r>
      <w:r w:rsidRPr="00731756">
        <w:rPr>
          <w:b/>
          <w:noProof/>
        </w:rPr>
        <w:t>7</w:t>
      </w:r>
      <w:r w:rsidRPr="00731756">
        <w:rPr>
          <w:b/>
        </w:rPr>
        <w:fldChar w:fldCharType="end"/>
      </w:r>
      <w:r w:rsidRPr="00731756">
        <w:rPr>
          <w:b/>
        </w:rPr>
        <w:t>. Proportion of population and tertiary students with disability, 2016</w:t>
      </w:r>
      <w:bookmarkEnd w:id="55"/>
    </w:p>
    <w:tbl>
      <w:tblPr>
        <w:tblStyle w:val="GridTable4-Accent1"/>
        <w:tblW w:w="9021" w:type="dxa"/>
        <w:tblLook w:val="04A0" w:firstRow="1" w:lastRow="0" w:firstColumn="1" w:lastColumn="0" w:noHBand="0" w:noVBand="1"/>
      </w:tblPr>
      <w:tblGrid>
        <w:gridCol w:w="2268"/>
        <w:gridCol w:w="1276"/>
        <w:gridCol w:w="1418"/>
        <w:gridCol w:w="1275"/>
        <w:gridCol w:w="1418"/>
        <w:gridCol w:w="1366"/>
      </w:tblGrid>
      <w:tr w:rsidR="006C1355" w14:paraId="32128549" w14:textId="77777777" w:rsidTr="009E5BF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2EC9407" w14:textId="5CB3C823" w:rsidR="006C1355" w:rsidRDefault="006C1355" w:rsidP="00155571">
            <w:pPr>
              <w:spacing w:line="276" w:lineRule="auto"/>
              <w:rPr>
                <w:b w:val="0"/>
                <w:bCs w:val="0"/>
                <w:color w:val="000000"/>
                <w:lang w:eastAsia="en-AU"/>
              </w:rPr>
            </w:pPr>
            <w:r w:rsidRPr="00D85656">
              <w:rPr>
                <w:b w:val="0"/>
                <w:bCs w:val="0"/>
                <w:color w:val="3A4952" w:themeColor="accent1"/>
                <w:lang w:eastAsia="en-AU"/>
              </w:rPr>
              <w:t> </w:t>
            </w:r>
            <w:r w:rsidR="00D85656" w:rsidRPr="00D85656">
              <w:rPr>
                <w:b w:val="0"/>
                <w:bCs w:val="0"/>
                <w:color w:val="3A4952" w:themeColor="accent1"/>
                <w:lang w:eastAsia="en-AU"/>
              </w:rPr>
              <w:t xml:space="preserve">Blank square </w:t>
            </w:r>
          </w:p>
        </w:tc>
        <w:tc>
          <w:tcPr>
            <w:tcW w:w="1276" w:type="dxa"/>
            <w:noWrap/>
            <w:hideMark/>
          </w:tcPr>
          <w:p w14:paraId="48F77795" w14:textId="3A4347B1" w:rsidR="006C1355" w:rsidRPr="003D1CD9" w:rsidRDefault="006C1355" w:rsidP="00263861">
            <w:pPr>
              <w:jc w:val="center"/>
              <w:cnfStyle w:val="100000000000" w:firstRow="1" w:lastRow="0" w:firstColumn="0" w:lastColumn="0" w:oddVBand="0" w:evenVBand="0" w:oddHBand="0" w:evenHBand="0" w:firstRowFirstColumn="0" w:firstRowLastColumn="0" w:lastRowFirstColumn="0" w:lastRowLastColumn="0"/>
              <w:rPr>
                <w:lang w:eastAsia="en-AU"/>
              </w:rPr>
            </w:pPr>
            <w:r w:rsidRPr="003D1CD9">
              <w:rPr>
                <w:lang w:eastAsia="en-AU"/>
              </w:rPr>
              <w:t xml:space="preserve">Major </w:t>
            </w:r>
            <w:r w:rsidR="003D1CD9" w:rsidRPr="003D1CD9">
              <w:rPr>
                <w:lang w:eastAsia="en-AU"/>
              </w:rPr>
              <w:t>C</w:t>
            </w:r>
            <w:r w:rsidRPr="003D1CD9">
              <w:rPr>
                <w:lang w:eastAsia="en-AU"/>
              </w:rPr>
              <w:t>ities</w:t>
            </w:r>
          </w:p>
        </w:tc>
        <w:tc>
          <w:tcPr>
            <w:tcW w:w="1418" w:type="dxa"/>
            <w:noWrap/>
            <w:hideMark/>
          </w:tcPr>
          <w:p w14:paraId="58B35AF5" w14:textId="77777777" w:rsidR="006C1355" w:rsidRPr="003D1CD9" w:rsidRDefault="006C1355" w:rsidP="00263861">
            <w:pPr>
              <w:jc w:val="center"/>
              <w:cnfStyle w:val="100000000000" w:firstRow="1" w:lastRow="0" w:firstColumn="0" w:lastColumn="0" w:oddVBand="0" w:evenVBand="0" w:oddHBand="0" w:evenHBand="0" w:firstRowFirstColumn="0" w:firstRowLastColumn="0" w:lastRowFirstColumn="0" w:lastRowLastColumn="0"/>
              <w:rPr>
                <w:lang w:eastAsia="en-AU"/>
              </w:rPr>
            </w:pPr>
            <w:r w:rsidRPr="003D1CD9">
              <w:rPr>
                <w:lang w:eastAsia="en-AU"/>
              </w:rPr>
              <w:t>Inner Regional</w:t>
            </w:r>
          </w:p>
        </w:tc>
        <w:tc>
          <w:tcPr>
            <w:tcW w:w="1275" w:type="dxa"/>
            <w:hideMark/>
          </w:tcPr>
          <w:p w14:paraId="73B552F3" w14:textId="77777777" w:rsidR="006C1355" w:rsidRPr="003D1CD9" w:rsidRDefault="006C1355" w:rsidP="00263861">
            <w:pPr>
              <w:jc w:val="center"/>
              <w:cnfStyle w:val="100000000000" w:firstRow="1" w:lastRow="0" w:firstColumn="0" w:lastColumn="0" w:oddVBand="0" w:evenVBand="0" w:oddHBand="0" w:evenHBand="0" w:firstRowFirstColumn="0" w:firstRowLastColumn="0" w:lastRowFirstColumn="0" w:lastRowLastColumn="0"/>
              <w:rPr>
                <w:lang w:eastAsia="en-AU"/>
              </w:rPr>
            </w:pPr>
            <w:r w:rsidRPr="003D1CD9">
              <w:rPr>
                <w:lang w:eastAsia="en-AU"/>
              </w:rPr>
              <w:t>Outer Regional</w:t>
            </w:r>
          </w:p>
        </w:tc>
        <w:tc>
          <w:tcPr>
            <w:tcW w:w="1418" w:type="dxa"/>
            <w:hideMark/>
          </w:tcPr>
          <w:p w14:paraId="0E3C2E57" w14:textId="77777777" w:rsidR="006C1355" w:rsidRPr="003D1CD9" w:rsidRDefault="006C1355" w:rsidP="00263861">
            <w:pPr>
              <w:jc w:val="center"/>
              <w:cnfStyle w:val="100000000000" w:firstRow="1" w:lastRow="0" w:firstColumn="0" w:lastColumn="0" w:oddVBand="0" w:evenVBand="0" w:oddHBand="0" w:evenHBand="0" w:firstRowFirstColumn="0" w:firstRowLastColumn="0" w:lastRowFirstColumn="0" w:lastRowLastColumn="0"/>
              <w:rPr>
                <w:lang w:eastAsia="en-AU"/>
              </w:rPr>
            </w:pPr>
            <w:r w:rsidRPr="003D1CD9">
              <w:rPr>
                <w:lang w:eastAsia="en-AU"/>
              </w:rPr>
              <w:t>Remote and Very Remote</w:t>
            </w:r>
          </w:p>
        </w:tc>
        <w:tc>
          <w:tcPr>
            <w:tcW w:w="1366" w:type="dxa"/>
            <w:hideMark/>
          </w:tcPr>
          <w:p w14:paraId="35CA6F09" w14:textId="77777777" w:rsidR="006C1355" w:rsidRPr="003D1CD9" w:rsidRDefault="006C1355" w:rsidP="00263861">
            <w:pPr>
              <w:jc w:val="center"/>
              <w:cnfStyle w:val="100000000000" w:firstRow="1" w:lastRow="0" w:firstColumn="0" w:lastColumn="0" w:oddVBand="0" w:evenVBand="0" w:oddHBand="0" w:evenHBand="0" w:firstRowFirstColumn="0" w:firstRowLastColumn="0" w:lastRowFirstColumn="0" w:lastRowLastColumn="0"/>
              <w:rPr>
                <w:lang w:eastAsia="en-AU"/>
              </w:rPr>
            </w:pPr>
            <w:r w:rsidRPr="003D1CD9">
              <w:rPr>
                <w:lang w:eastAsia="en-AU"/>
              </w:rPr>
              <w:t>Regional and Remote</w:t>
            </w:r>
          </w:p>
        </w:tc>
      </w:tr>
      <w:tr w:rsidR="006C1355" w14:paraId="7D2B63B2" w14:textId="77777777" w:rsidTr="0026386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B901345" w14:textId="2FBB9971" w:rsidR="006C1355" w:rsidRDefault="006C1355" w:rsidP="00155571">
            <w:pPr>
              <w:spacing w:line="276" w:lineRule="auto"/>
              <w:rPr>
                <w:b w:val="0"/>
                <w:bCs w:val="0"/>
                <w:color w:val="000000"/>
                <w:lang w:eastAsia="en-AU"/>
              </w:rPr>
            </w:pPr>
            <w:r>
              <w:rPr>
                <w:b w:val="0"/>
                <w:bCs w:val="0"/>
                <w:color w:val="000000"/>
                <w:lang w:eastAsia="en-AU"/>
              </w:rPr>
              <w:t>Proportion of population</w:t>
            </w:r>
            <w:r w:rsidR="002C5A6F">
              <w:rPr>
                <w:b w:val="0"/>
                <w:bCs w:val="0"/>
                <w:color w:val="000000"/>
                <w:lang w:eastAsia="en-AU"/>
              </w:rPr>
              <w:t xml:space="preserve"> with disability</w:t>
            </w:r>
            <w:r>
              <w:rPr>
                <w:b w:val="0"/>
                <w:bCs w:val="0"/>
                <w:color w:val="000000"/>
                <w:lang w:eastAsia="en-AU"/>
              </w:rPr>
              <w:t xml:space="preserve"> aged 15-64*</w:t>
            </w:r>
          </w:p>
        </w:tc>
        <w:tc>
          <w:tcPr>
            <w:tcW w:w="1276" w:type="dxa"/>
            <w:noWrap/>
            <w:vAlign w:val="center"/>
            <w:hideMark/>
          </w:tcPr>
          <w:p w14:paraId="313FF810" w14:textId="77777777" w:rsidR="006C1355" w:rsidRDefault="006C1355" w:rsidP="003D1CD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12.6%</w:t>
            </w:r>
          </w:p>
        </w:tc>
        <w:tc>
          <w:tcPr>
            <w:tcW w:w="1418" w:type="dxa"/>
            <w:noWrap/>
            <w:vAlign w:val="center"/>
            <w:hideMark/>
          </w:tcPr>
          <w:p w14:paraId="7E1C47EA" w14:textId="77777777" w:rsidR="006C1355" w:rsidRDefault="006C1355" w:rsidP="003D1CD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18.5%</w:t>
            </w:r>
          </w:p>
        </w:tc>
        <w:tc>
          <w:tcPr>
            <w:tcW w:w="1275" w:type="dxa"/>
            <w:vAlign w:val="center"/>
            <w:hideMark/>
          </w:tcPr>
          <w:p w14:paraId="1DFFCE80" w14:textId="77777777" w:rsidR="006C1355" w:rsidRDefault="006C1355" w:rsidP="003D1CD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20.5%</w:t>
            </w:r>
          </w:p>
        </w:tc>
        <w:tc>
          <w:tcPr>
            <w:tcW w:w="1418" w:type="dxa"/>
            <w:vAlign w:val="center"/>
            <w:hideMark/>
          </w:tcPr>
          <w:p w14:paraId="79A1CCF4" w14:textId="2FE73388" w:rsidR="006C1355" w:rsidRDefault="006C1355" w:rsidP="003D1CD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6.8%</w:t>
            </w:r>
          </w:p>
        </w:tc>
        <w:tc>
          <w:tcPr>
            <w:tcW w:w="1366" w:type="dxa"/>
            <w:vAlign w:val="center"/>
            <w:hideMark/>
          </w:tcPr>
          <w:p w14:paraId="4F409F48" w14:textId="53B0A8B2" w:rsidR="006C1355" w:rsidRDefault="006C1355" w:rsidP="003D1CD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18.2%</w:t>
            </w:r>
          </w:p>
        </w:tc>
      </w:tr>
      <w:tr w:rsidR="006C1355" w14:paraId="72298868" w14:textId="77777777" w:rsidTr="00263861">
        <w:trPr>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49C9C01" w14:textId="77777777" w:rsidR="006C1355" w:rsidRDefault="006C1355" w:rsidP="00155571">
            <w:pPr>
              <w:spacing w:line="276" w:lineRule="auto"/>
              <w:rPr>
                <w:b w:val="0"/>
                <w:bCs w:val="0"/>
                <w:color w:val="000000"/>
                <w:lang w:eastAsia="en-AU"/>
              </w:rPr>
            </w:pPr>
            <w:r>
              <w:rPr>
                <w:b w:val="0"/>
                <w:bCs w:val="0"/>
                <w:color w:val="000000"/>
                <w:lang w:eastAsia="en-AU"/>
              </w:rPr>
              <w:t>Proportion of HE students^</w:t>
            </w:r>
          </w:p>
        </w:tc>
        <w:tc>
          <w:tcPr>
            <w:tcW w:w="1276" w:type="dxa"/>
            <w:noWrap/>
            <w:vAlign w:val="center"/>
            <w:hideMark/>
          </w:tcPr>
          <w:p w14:paraId="07197B0E" w14:textId="77777777" w:rsidR="006C1355" w:rsidRDefault="006C1355" w:rsidP="003D1CD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lang w:eastAsia="en-AU"/>
              </w:rPr>
            </w:pPr>
            <w:r>
              <w:rPr>
                <w:color w:val="000000"/>
                <w:lang w:eastAsia="en-AU"/>
              </w:rPr>
              <w:t>5.9%</w:t>
            </w:r>
          </w:p>
        </w:tc>
        <w:tc>
          <w:tcPr>
            <w:tcW w:w="1418" w:type="dxa"/>
            <w:noWrap/>
            <w:vAlign w:val="center"/>
            <w:hideMark/>
          </w:tcPr>
          <w:p w14:paraId="77926D66" w14:textId="77777777" w:rsidR="006C1355" w:rsidRDefault="006C1355" w:rsidP="003D1CD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lang w:eastAsia="en-AU"/>
              </w:rPr>
            </w:pPr>
            <w:r>
              <w:rPr>
                <w:color w:val="000000"/>
                <w:lang w:eastAsia="en-AU"/>
              </w:rPr>
              <w:t>7.4%</w:t>
            </w:r>
          </w:p>
        </w:tc>
        <w:tc>
          <w:tcPr>
            <w:tcW w:w="1275" w:type="dxa"/>
            <w:vAlign w:val="center"/>
            <w:hideMark/>
          </w:tcPr>
          <w:p w14:paraId="477BCD6D" w14:textId="77777777" w:rsidR="006C1355" w:rsidRDefault="006C1355" w:rsidP="003D1CD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lang w:eastAsia="en-AU"/>
              </w:rPr>
            </w:pPr>
            <w:r>
              <w:rPr>
                <w:color w:val="000000"/>
                <w:lang w:eastAsia="en-AU"/>
              </w:rPr>
              <w:t>6.1%</w:t>
            </w:r>
          </w:p>
        </w:tc>
        <w:tc>
          <w:tcPr>
            <w:tcW w:w="1418" w:type="dxa"/>
            <w:vAlign w:val="center"/>
            <w:hideMark/>
          </w:tcPr>
          <w:p w14:paraId="7384B3AC" w14:textId="77777777" w:rsidR="006C1355" w:rsidRDefault="006C1355" w:rsidP="003D1CD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lang w:eastAsia="en-AU"/>
              </w:rPr>
            </w:pPr>
            <w:r>
              <w:rPr>
                <w:color w:val="000000"/>
                <w:lang w:eastAsia="en-AU"/>
              </w:rPr>
              <w:t>4.7%</w:t>
            </w:r>
          </w:p>
        </w:tc>
        <w:tc>
          <w:tcPr>
            <w:tcW w:w="1366" w:type="dxa"/>
            <w:vAlign w:val="center"/>
            <w:hideMark/>
          </w:tcPr>
          <w:p w14:paraId="44EDCEF6" w14:textId="77777777" w:rsidR="006C1355" w:rsidRDefault="006C1355" w:rsidP="003D1CD9">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lang w:eastAsia="en-AU"/>
              </w:rPr>
            </w:pPr>
            <w:r>
              <w:rPr>
                <w:color w:val="000000"/>
                <w:lang w:eastAsia="en-AU"/>
              </w:rPr>
              <w:t>6.9%</w:t>
            </w:r>
          </w:p>
        </w:tc>
      </w:tr>
      <w:tr w:rsidR="006C1355" w14:paraId="74EBC8B5" w14:textId="77777777" w:rsidTr="0026386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E630434" w14:textId="77777777" w:rsidR="006C1355" w:rsidRDefault="006C1355" w:rsidP="00155571">
            <w:pPr>
              <w:spacing w:line="276" w:lineRule="auto"/>
              <w:rPr>
                <w:b w:val="0"/>
                <w:bCs w:val="0"/>
                <w:color w:val="000000"/>
                <w:lang w:eastAsia="en-AU"/>
              </w:rPr>
            </w:pPr>
            <w:r>
              <w:rPr>
                <w:b w:val="0"/>
                <w:bCs w:val="0"/>
                <w:color w:val="000000"/>
                <w:lang w:eastAsia="en-AU"/>
              </w:rPr>
              <w:t>Proportion of VET students^</w:t>
            </w:r>
          </w:p>
        </w:tc>
        <w:tc>
          <w:tcPr>
            <w:tcW w:w="1276" w:type="dxa"/>
            <w:noWrap/>
            <w:vAlign w:val="center"/>
            <w:hideMark/>
          </w:tcPr>
          <w:p w14:paraId="77A513A2" w14:textId="77777777" w:rsidR="006C1355" w:rsidRDefault="006C1355" w:rsidP="003D1CD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4.3%</w:t>
            </w:r>
          </w:p>
        </w:tc>
        <w:tc>
          <w:tcPr>
            <w:tcW w:w="1418" w:type="dxa"/>
            <w:noWrap/>
            <w:vAlign w:val="center"/>
            <w:hideMark/>
          </w:tcPr>
          <w:p w14:paraId="12EF1867" w14:textId="77777777" w:rsidR="006C1355" w:rsidRDefault="006C1355" w:rsidP="003D1CD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5.7%</w:t>
            </w:r>
          </w:p>
        </w:tc>
        <w:tc>
          <w:tcPr>
            <w:tcW w:w="1275" w:type="dxa"/>
            <w:vAlign w:val="center"/>
            <w:hideMark/>
          </w:tcPr>
          <w:p w14:paraId="7987E648" w14:textId="77777777" w:rsidR="006C1355" w:rsidRDefault="006C1355" w:rsidP="003D1CD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4.8%</w:t>
            </w:r>
          </w:p>
        </w:tc>
        <w:tc>
          <w:tcPr>
            <w:tcW w:w="1418" w:type="dxa"/>
            <w:vAlign w:val="center"/>
            <w:hideMark/>
          </w:tcPr>
          <w:p w14:paraId="6D9A4134" w14:textId="77777777" w:rsidR="006C1355" w:rsidRDefault="006C1355" w:rsidP="003D1CD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3.7%</w:t>
            </w:r>
          </w:p>
        </w:tc>
        <w:tc>
          <w:tcPr>
            <w:tcW w:w="1366" w:type="dxa"/>
            <w:vAlign w:val="center"/>
            <w:hideMark/>
          </w:tcPr>
          <w:p w14:paraId="51C45B34" w14:textId="77777777" w:rsidR="006C1355" w:rsidRDefault="006C1355" w:rsidP="003D1CD9">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lang w:eastAsia="en-AU"/>
              </w:rPr>
            </w:pPr>
            <w:r>
              <w:rPr>
                <w:color w:val="000000"/>
                <w:lang w:eastAsia="en-AU"/>
              </w:rPr>
              <w:t>5.3%</w:t>
            </w:r>
          </w:p>
        </w:tc>
      </w:tr>
    </w:tbl>
    <w:p w14:paraId="6AB98996" w14:textId="77777777" w:rsidR="00731756" w:rsidRPr="00731756" w:rsidRDefault="00731756" w:rsidP="00731756">
      <w:pPr>
        <w:spacing w:after="0"/>
        <w:rPr>
          <w:color w:val="000000"/>
          <w:sz w:val="16"/>
          <w:szCs w:val="16"/>
          <w:lang w:eastAsia="en-AU"/>
        </w:rPr>
      </w:pPr>
      <w:r w:rsidRPr="00731756">
        <w:rPr>
          <w:color w:val="000000"/>
          <w:sz w:val="16"/>
          <w:szCs w:val="16"/>
          <w:lang w:eastAsia="en-AU"/>
        </w:rPr>
        <w:t xml:space="preserve">* Persons with a disability as reported in ABS Cat. No. 4430.0. ^ Disability refers to whether student self-identifies as having a disability, impairment or long-term condition. </w:t>
      </w:r>
    </w:p>
    <w:p w14:paraId="25390A3D" w14:textId="23577358" w:rsidR="005A7C9F" w:rsidRDefault="00731756" w:rsidP="00731756">
      <w:pPr>
        <w:spacing w:after="0"/>
      </w:pPr>
      <w:r w:rsidRPr="00731756">
        <w:rPr>
          <w:color w:val="000000"/>
          <w:sz w:val="16"/>
          <w:szCs w:val="16"/>
          <w:lang w:eastAsia="en-AU"/>
        </w:rPr>
        <w:t>Source: NCVER, Total Students and Courses Collection; DoE, Higher Education Statistics Collection; ABS (2016) Census; ABS (2015) ABS Cat. No. 4430.0 Disability, Ageing and Carers, 2015</w:t>
      </w:r>
      <w:r w:rsidR="000569AA">
        <w:rPr>
          <w:color w:val="000000"/>
          <w:sz w:val="18"/>
          <w:szCs w:val="18"/>
          <w:lang w:eastAsia="en-AU"/>
        </w:rPr>
        <w:t>,</w:t>
      </w:r>
    </w:p>
    <w:p w14:paraId="496DA4FD" w14:textId="77777777" w:rsidR="00731756" w:rsidRPr="008D6B6F" w:rsidRDefault="00731756" w:rsidP="00731756">
      <w:pPr>
        <w:spacing w:after="0"/>
        <w:rPr>
          <w:color w:val="000000"/>
          <w:sz w:val="18"/>
          <w:szCs w:val="18"/>
          <w:lang w:eastAsia="en-AU"/>
        </w:rPr>
      </w:pPr>
    </w:p>
    <w:p w14:paraId="1A3A14AA" w14:textId="77777777" w:rsidR="0031772D" w:rsidRPr="00306207" w:rsidRDefault="0031772D" w:rsidP="0031772D">
      <w:pPr>
        <w:rPr>
          <w:rFonts w:eastAsia="Times New Roman" w:cstheme="minorHAnsi"/>
          <w:bCs/>
        </w:rPr>
      </w:pPr>
      <w:r w:rsidRPr="00306207">
        <w:rPr>
          <w:rFonts w:eastAsia="Times New Roman" w:cstheme="minorHAnsi"/>
          <w:bCs/>
        </w:rPr>
        <w:t xml:space="preserve">Initiatives to support students with </w:t>
      </w:r>
      <w:r w:rsidRPr="00306207">
        <w:rPr>
          <w:rFonts w:eastAsia="Times New Roman" w:cstheme="minorHAnsi"/>
          <w:bCs/>
          <w:noProof/>
        </w:rPr>
        <w:t>disability, including those from RRR areas,</w:t>
      </w:r>
      <w:r w:rsidRPr="00306207">
        <w:rPr>
          <w:rFonts w:eastAsia="Times New Roman" w:cstheme="minorHAnsi"/>
          <w:bCs/>
        </w:rPr>
        <w:t xml:space="preserve"> include the:</w:t>
      </w:r>
    </w:p>
    <w:p w14:paraId="4137797A" w14:textId="579586C9" w:rsidR="0031772D" w:rsidRPr="00306207" w:rsidRDefault="0031772D" w:rsidP="00AE4055">
      <w:pPr>
        <w:pStyle w:val="ListParagraph"/>
        <w:numPr>
          <w:ilvl w:val="0"/>
          <w:numId w:val="3"/>
        </w:numPr>
        <w:spacing w:after="200" w:line="276" w:lineRule="auto"/>
        <w:rPr>
          <w:rFonts w:cstheme="minorHAnsi"/>
        </w:rPr>
      </w:pPr>
      <w:r w:rsidRPr="00306207">
        <w:rPr>
          <w:rFonts w:cstheme="minorHAnsi"/>
        </w:rPr>
        <w:t>Higher Education Disability Support Program (DSP)</w:t>
      </w:r>
      <w:r w:rsidR="00B53933">
        <w:rPr>
          <w:rFonts w:cstheme="minorHAnsi"/>
        </w:rPr>
        <w:t>,</w:t>
      </w:r>
      <w:r w:rsidRPr="00306207">
        <w:rPr>
          <w:rFonts w:cstheme="minorHAnsi"/>
        </w:rPr>
        <w:t xml:space="preserve"> which funds universities to</w:t>
      </w:r>
      <w:r w:rsidRPr="00306207">
        <w:rPr>
          <w:rFonts w:cstheme="minorHAnsi"/>
          <w:noProof/>
        </w:rPr>
        <w:t xml:space="preserve"> improve access and participation in higher educati</w:t>
      </w:r>
      <w:r w:rsidR="00B53933">
        <w:rPr>
          <w:rFonts w:cstheme="minorHAnsi"/>
          <w:noProof/>
        </w:rPr>
        <w:t>on for students with disability</w:t>
      </w:r>
    </w:p>
    <w:p w14:paraId="083C0E3F" w14:textId="6443BF83" w:rsidR="0031772D" w:rsidRPr="00306207" w:rsidRDefault="0031772D" w:rsidP="00AE4055">
      <w:pPr>
        <w:pStyle w:val="ListParagraph"/>
        <w:numPr>
          <w:ilvl w:val="0"/>
          <w:numId w:val="3"/>
        </w:numPr>
        <w:spacing w:after="200" w:line="276" w:lineRule="auto"/>
        <w:rPr>
          <w:rFonts w:cstheme="minorHAnsi"/>
        </w:rPr>
      </w:pPr>
      <w:r w:rsidRPr="00306207">
        <w:rPr>
          <w:rFonts w:cstheme="minorHAnsi"/>
        </w:rPr>
        <w:lastRenderedPageBreak/>
        <w:t>National Disability Coordination Officer Program (NDCO)</w:t>
      </w:r>
      <w:r w:rsidR="00B53933">
        <w:rPr>
          <w:rFonts w:cstheme="minorHAnsi"/>
        </w:rPr>
        <w:t>,</w:t>
      </w:r>
      <w:r w:rsidRPr="00306207">
        <w:rPr>
          <w:rFonts w:cstheme="minorHAnsi"/>
        </w:rPr>
        <w:t xml:space="preserve"> which supports a network o</w:t>
      </w:r>
      <w:r w:rsidR="00B53933">
        <w:rPr>
          <w:rFonts w:cstheme="minorHAnsi"/>
        </w:rPr>
        <w:t>f regionally-</w:t>
      </w:r>
      <w:r w:rsidRPr="00306207">
        <w:rPr>
          <w:rFonts w:cstheme="minorHAnsi"/>
        </w:rPr>
        <w:t>based officers to assist people with disability to access and participate in tertiary educ</w:t>
      </w:r>
      <w:r w:rsidR="00B53933">
        <w:rPr>
          <w:rFonts w:cstheme="minorHAnsi"/>
        </w:rPr>
        <w:t>ation and subsequent employment</w:t>
      </w:r>
      <w:r w:rsidR="00731756">
        <w:rPr>
          <w:rFonts w:cstheme="minorHAnsi"/>
        </w:rPr>
        <w:t>, and</w:t>
      </w:r>
    </w:p>
    <w:p w14:paraId="7BF7C813" w14:textId="6CA4C9EF" w:rsidR="0031772D" w:rsidRPr="00731756" w:rsidRDefault="00731756" w:rsidP="00AE4055">
      <w:pPr>
        <w:pStyle w:val="ListParagraph"/>
        <w:numPr>
          <w:ilvl w:val="0"/>
          <w:numId w:val="3"/>
        </w:numPr>
        <w:spacing w:after="200" w:line="276" w:lineRule="auto"/>
        <w:rPr>
          <w:rFonts w:cstheme="minorHAnsi"/>
        </w:rPr>
      </w:pPr>
      <w:r w:rsidRPr="00731756">
        <w:rPr>
          <w:rFonts w:cstheme="minorHAnsi"/>
        </w:rPr>
        <w:t xml:space="preserve">Australian Apprenticeships Incentive Program, which includes a suite of incentives for equity groups, including Indigenous apprentices, apprentices with disability and apprentices working in RRR areas. Included in these incentives is the Disabled Australian Apprentice Wage Support (DAAWS), which is a wage subsidy available to employers who take on an eligible apprentice or trainee with disability. </w:t>
      </w:r>
    </w:p>
    <w:p w14:paraId="0747BD40" w14:textId="29333261" w:rsidR="00731756" w:rsidRPr="00731756" w:rsidRDefault="00731756" w:rsidP="00731756">
      <w:pPr>
        <w:rPr>
          <w:rFonts w:eastAsia="Times New Roman" w:cstheme="minorHAnsi"/>
          <w:bCs/>
        </w:rPr>
      </w:pPr>
      <w:r w:rsidRPr="00731756">
        <w:rPr>
          <w:rFonts w:eastAsia="Times New Roman" w:cstheme="minorHAnsi"/>
          <w:bCs/>
        </w:rPr>
        <w:t>Students with disability face a range of challenges, including issues related to learning spaces (physical and digital), a need for more inclusive educational environments, access to suitable accommodation if the student must move to a new location for study, and poor employment outcomes following completion.</w:t>
      </w:r>
      <w:r>
        <w:rPr>
          <w:rStyle w:val="FootnoteReference"/>
          <w:rFonts w:eastAsia="Times New Roman" w:cstheme="minorHAnsi"/>
          <w:bCs/>
        </w:rPr>
        <w:footnoteReference w:id="84"/>
      </w:r>
      <w:r w:rsidRPr="00731756">
        <w:rPr>
          <w:rFonts w:eastAsia="Times New Roman" w:cstheme="minorHAnsi"/>
          <w:bCs/>
        </w:rPr>
        <w:t xml:space="preserve"> As a result, there is an opportunity to supplement existing initiatives to support students with disability with more tailored programs.</w:t>
      </w:r>
    </w:p>
    <w:p w14:paraId="4390B043" w14:textId="77777777" w:rsidR="0031772D" w:rsidRPr="00306207" w:rsidRDefault="0031772D" w:rsidP="00726804">
      <w:pPr>
        <w:pStyle w:val="Heading3"/>
      </w:pPr>
      <w:r w:rsidRPr="00306207">
        <w:t xml:space="preserve">Students from remote and very remote communities </w:t>
      </w:r>
    </w:p>
    <w:p w14:paraId="28386D79" w14:textId="77777777" w:rsidR="00731756" w:rsidRPr="00731756" w:rsidRDefault="00731756" w:rsidP="00731756">
      <w:r w:rsidRPr="00731756">
        <w:t xml:space="preserve">People living in remote and very remote areas represent 2.1 per cent of Australia’s working age population and their rates of participation and attainment in higher-level tertiary education are lower than their metropolitan peers. For example, 39.7 per cent of people from metropolitan areas have a bachelor or higher qualification, compared to 16.3 per cent of people in remote areas (see Figure 1). </w:t>
      </w:r>
    </w:p>
    <w:p w14:paraId="3604F110" w14:textId="462C4213" w:rsidR="0031772D" w:rsidRPr="00306207" w:rsidRDefault="00731756" w:rsidP="00731756">
      <w:pPr>
        <w:rPr>
          <w:rFonts w:eastAsia="Times New Roman" w:cstheme="minorHAnsi"/>
          <w:bCs/>
        </w:rPr>
      </w:pPr>
      <w:r w:rsidRPr="00731756">
        <w:t xml:space="preserve">Remote and very remote areas include rural communities, which typically centre on agricultural and mining industries. Consultations and submissions noted many of the challenges faced by people in rural areas. </w:t>
      </w:r>
    </w:p>
    <w:p w14:paraId="76A0B1C0" w14:textId="6B35BA59" w:rsidR="0031772D" w:rsidRDefault="0031772D" w:rsidP="00731756">
      <w:pPr>
        <w:pStyle w:val="Quote"/>
      </w:pPr>
      <w:r w:rsidRPr="00306207">
        <w:t>“Rural and remote students isolated from tertiary and training education due to location must be recognised as a distinct disadvantage</w:t>
      </w:r>
      <w:r w:rsidR="00731756">
        <w:t>d</w:t>
      </w:r>
      <w:r w:rsidRPr="00306207">
        <w:t xml:space="preserve"> group so that assistance is provided to enhance access.”</w:t>
      </w:r>
    </w:p>
    <w:p w14:paraId="0DD002C5" w14:textId="77777777" w:rsidR="0031772D" w:rsidRPr="00306207" w:rsidRDefault="0031772D" w:rsidP="00731756">
      <w:pPr>
        <w:pStyle w:val="Quote"/>
      </w:pPr>
      <w:r w:rsidRPr="00306207">
        <w:t>The Isolated Children’s Parents’ Association of Australia – Submission</w:t>
      </w:r>
    </w:p>
    <w:p w14:paraId="00070853" w14:textId="341EBFFD" w:rsidR="0031772D" w:rsidRPr="00306207" w:rsidRDefault="0031772D" w:rsidP="0031772D">
      <w:pPr>
        <w:spacing w:after="0"/>
        <w:ind w:right="96"/>
        <w:jc w:val="right"/>
        <w:rPr>
          <w:i/>
          <w:iCs/>
          <w:color w:val="7030A0"/>
        </w:rPr>
      </w:pPr>
    </w:p>
    <w:p w14:paraId="790C7148" w14:textId="77777777" w:rsidR="00731756" w:rsidRPr="00731756" w:rsidRDefault="00731756" w:rsidP="00731756">
      <w:pPr>
        <w:rPr>
          <w:rFonts w:eastAsia="Times New Roman" w:cstheme="minorHAnsi"/>
          <w:bCs/>
        </w:rPr>
      </w:pPr>
      <w:r w:rsidRPr="00731756">
        <w:rPr>
          <w:rFonts w:eastAsia="Times New Roman" w:cstheme="minorHAnsi"/>
          <w:bCs/>
        </w:rPr>
        <w:t xml:space="preserve">Key challenges faced by those in rural communities include the distances to urban areas and services, sub-optimal internet access and the impact of hardships associated with extreme climatic events, such as drought, bushfire, floods and cyclones. Students in some outer regional areas face similar issues, including isolation, poor internet access and limited transport options, however these challenges are not always well reflected in the current geographical classification system. </w:t>
      </w:r>
    </w:p>
    <w:p w14:paraId="6ACFBB6C" w14:textId="727CCDC8" w:rsidR="00990491" w:rsidRDefault="00731756" w:rsidP="00731756">
      <w:pPr>
        <w:rPr>
          <w:rFonts w:eastAsia="Times New Roman" w:cstheme="minorHAnsi"/>
          <w:bCs/>
        </w:rPr>
      </w:pPr>
      <w:r w:rsidRPr="00731756">
        <w:rPr>
          <w:rFonts w:eastAsia="Times New Roman" w:cstheme="minorHAnsi"/>
          <w:bCs/>
        </w:rPr>
        <w:t xml:space="preserve">Opportunities for these students to help their families and community during times of hardship by being able to take a break from their studies without adversely disrupting their progress need to be improved. Tertiary providers could make it more explicit that such RRR hardships are acceptable grounds for leave of absence from tertiary study. Where a student cannot complete a unit of study due to certain circumstances, there are provisions under the </w:t>
      </w:r>
      <w:r w:rsidRPr="00F65089">
        <w:rPr>
          <w:rStyle w:val="Emphasis"/>
        </w:rPr>
        <w:t>Higher Education Support Act 2003</w:t>
      </w:r>
      <w:r w:rsidRPr="00731756">
        <w:rPr>
          <w:rFonts w:eastAsia="Times New Roman" w:cstheme="minorHAnsi"/>
          <w:bCs/>
        </w:rPr>
        <w:t xml:space="preserve"> that allow them to apply to have their tuition fees refunded and any associated student loan debt cancelled for that unit. Providers should not be penalised due to non-completion of such units.</w:t>
      </w:r>
    </w:p>
    <w:tbl>
      <w:tblPr>
        <w:tblStyle w:val="TableGrid"/>
        <w:tblW w:w="0" w:type="auto"/>
        <w:tblBorders>
          <w:top w:val="single" w:sz="12" w:space="0" w:color="F6A060"/>
          <w:left w:val="single" w:sz="12" w:space="0" w:color="F6A060"/>
          <w:bottom w:val="single" w:sz="12" w:space="0" w:color="F6A060"/>
          <w:right w:val="single" w:sz="12" w:space="0" w:color="F6A060"/>
          <w:insideH w:val="single" w:sz="12" w:space="0" w:color="F6A060"/>
          <w:insideV w:val="single" w:sz="12" w:space="0" w:color="F6A060"/>
        </w:tblBorders>
        <w:tblLook w:val="04A0" w:firstRow="1" w:lastRow="0" w:firstColumn="1" w:lastColumn="0" w:noHBand="0" w:noVBand="1"/>
      </w:tblPr>
      <w:tblGrid>
        <w:gridCol w:w="8996"/>
      </w:tblGrid>
      <w:tr w:rsidR="00F65089" w14:paraId="20E8CA54" w14:textId="77777777" w:rsidTr="00D85656">
        <w:tc>
          <w:tcPr>
            <w:tcW w:w="8996" w:type="dxa"/>
          </w:tcPr>
          <w:p w14:paraId="583A7EC8" w14:textId="77777777" w:rsidR="00F65089" w:rsidRPr="00990491" w:rsidRDefault="00F65089" w:rsidP="00990491">
            <w:pPr>
              <w:spacing w:before="240" w:line="276" w:lineRule="auto"/>
              <w:rPr>
                <w:rStyle w:val="Strong"/>
                <w:bCs w:val="0"/>
              </w:rPr>
            </w:pPr>
            <w:r w:rsidRPr="00990491">
              <w:rPr>
                <w:rStyle w:val="Strong"/>
                <w:bCs w:val="0"/>
              </w:rPr>
              <w:lastRenderedPageBreak/>
              <w:t xml:space="preserve">KEY FINDING 15: </w:t>
            </w:r>
            <w:r w:rsidRPr="00990491">
              <w:t>While HEPPP plays an important role in improving outcomes for low SES students, including RRR students, its role in supporting RRR students could be enhanced.</w:t>
            </w:r>
            <w:r w:rsidRPr="00990491">
              <w:rPr>
                <w:rStyle w:val="Strong"/>
                <w:bCs w:val="0"/>
              </w:rPr>
              <w:t xml:space="preserve"> </w:t>
            </w:r>
          </w:p>
          <w:p w14:paraId="571EB318" w14:textId="77777777" w:rsidR="00F65089" w:rsidRPr="00990491" w:rsidRDefault="00F65089" w:rsidP="00990491">
            <w:pPr>
              <w:spacing w:before="240" w:line="276" w:lineRule="auto"/>
              <w:rPr>
                <w:rStyle w:val="Strong"/>
                <w:bCs w:val="0"/>
              </w:rPr>
            </w:pPr>
            <w:r w:rsidRPr="00990491">
              <w:rPr>
                <w:rStyle w:val="Strong"/>
                <w:bCs w:val="0"/>
              </w:rPr>
              <w:t xml:space="preserve">KEY FINDING 16: </w:t>
            </w:r>
            <w:r w:rsidRPr="00990491">
              <w:t>There is limited scope within current university funding controls to increase participation in higher education by students from equity groups, including Indigenous students.</w:t>
            </w:r>
            <w:r w:rsidRPr="00990491">
              <w:rPr>
                <w:rStyle w:val="Strong"/>
                <w:bCs w:val="0"/>
              </w:rPr>
              <w:t xml:space="preserve"> </w:t>
            </w:r>
          </w:p>
          <w:p w14:paraId="4FC983E6" w14:textId="77777777" w:rsidR="00F65089" w:rsidRPr="00990491" w:rsidRDefault="00F65089" w:rsidP="00990491">
            <w:pPr>
              <w:spacing w:before="240" w:line="276" w:lineRule="auto"/>
              <w:rPr>
                <w:rStyle w:val="Strong"/>
                <w:bCs w:val="0"/>
              </w:rPr>
            </w:pPr>
            <w:r w:rsidRPr="00990491">
              <w:rPr>
                <w:rStyle w:val="Strong"/>
                <w:bCs w:val="0"/>
              </w:rPr>
              <w:t xml:space="preserve">KEY FINDING 17: </w:t>
            </w:r>
            <w:r w:rsidRPr="00990491">
              <w:t>Flexible delivery options are needed to appropriately cater for students from RRR areas, including co-designed and co-implemented on Country delivery for Indigenous Australians in remote and very remote areas.</w:t>
            </w:r>
            <w:r w:rsidRPr="00990491">
              <w:rPr>
                <w:rStyle w:val="Strong"/>
                <w:bCs w:val="0"/>
              </w:rPr>
              <w:t xml:space="preserve"> </w:t>
            </w:r>
          </w:p>
          <w:p w14:paraId="00D5E2C7" w14:textId="77777777" w:rsidR="00F65089" w:rsidRPr="00990491" w:rsidRDefault="00F65089" w:rsidP="00990491">
            <w:pPr>
              <w:spacing w:before="240" w:line="276" w:lineRule="auto"/>
              <w:rPr>
                <w:rStyle w:val="Strong"/>
                <w:bCs w:val="0"/>
              </w:rPr>
            </w:pPr>
            <w:r w:rsidRPr="00990491">
              <w:rPr>
                <w:rStyle w:val="Strong"/>
                <w:bCs w:val="0"/>
              </w:rPr>
              <w:t xml:space="preserve">KEY FINDING 18: </w:t>
            </w:r>
            <w:r w:rsidRPr="00990491">
              <w:t>Hardships such as drought and other climatic events and Indigenous cultural practices and protocols may impact on an RRR students’ study and retention.</w:t>
            </w:r>
            <w:r w:rsidRPr="00990491">
              <w:rPr>
                <w:rStyle w:val="Strong"/>
                <w:bCs w:val="0"/>
              </w:rPr>
              <w:t xml:space="preserve"> </w:t>
            </w:r>
          </w:p>
          <w:p w14:paraId="34EDC69A" w14:textId="2869A610" w:rsidR="00F65089" w:rsidRDefault="00F65089" w:rsidP="00990491">
            <w:pPr>
              <w:spacing w:before="240" w:line="276" w:lineRule="auto"/>
              <w:rPr>
                <w:rFonts w:eastAsia="Times New Roman" w:cstheme="minorHAnsi"/>
                <w:bCs/>
              </w:rPr>
            </w:pPr>
            <w:r w:rsidRPr="00990491">
              <w:rPr>
                <w:rStyle w:val="Strong"/>
                <w:bCs w:val="0"/>
              </w:rPr>
              <w:t xml:space="preserve">KEY FINDING 19: </w:t>
            </w:r>
            <w:r w:rsidRPr="00990491">
              <w:t>RRR students from low SES backgrounds, Indigenous students and students with disability face multiple challenges and require tailored support.</w:t>
            </w:r>
          </w:p>
        </w:tc>
      </w:tr>
    </w:tbl>
    <w:p w14:paraId="719C3A39" w14:textId="77777777" w:rsidR="00F65089" w:rsidRPr="00731756" w:rsidRDefault="00F65089" w:rsidP="00731756">
      <w:pPr>
        <w:rPr>
          <w:rFonts w:eastAsia="Times New Roman" w:cstheme="minorHAnsi"/>
          <w:bCs/>
        </w:rPr>
      </w:pPr>
    </w:p>
    <w:p w14:paraId="0AA8C00E" w14:textId="3B84EB10" w:rsidR="002A1A17" w:rsidRDefault="002A1A17" w:rsidP="00726804">
      <w:pPr>
        <w:pStyle w:val="Heading2"/>
      </w:pPr>
      <w:bookmarkStart w:id="56" w:name="_Toc13224799"/>
      <w:r>
        <w:t xml:space="preserve">5. </w:t>
      </w:r>
      <w:r w:rsidRPr="00F914F6">
        <w:t xml:space="preserve">Regional development: The contribution of </w:t>
      </w:r>
      <w:r>
        <w:t>RRR</w:t>
      </w:r>
      <w:r w:rsidRPr="00F914F6">
        <w:t xml:space="preserve"> areas is not being maximised</w:t>
      </w:r>
      <w:r w:rsidRPr="005A7C9F">
        <w:t>.</w:t>
      </w:r>
      <w:bookmarkEnd w:id="56"/>
    </w:p>
    <w:p w14:paraId="7FEA0407" w14:textId="60F27849" w:rsidR="00990491" w:rsidRPr="00990491" w:rsidRDefault="00990491" w:rsidP="00990491">
      <w:r w:rsidRPr="00990491">
        <w:t>RRR communities make a substantial contribution to Australia’s economy and broader social and cultural life. More than eight million people live outside the capital cities, including nearly one-third of Australia’s workforce, producing 31 per cent of our national economic output.</w:t>
      </w:r>
      <w:r>
        <w:rPr>
          <w:rStyle w:val="FootnoteReference"/>
        </w:rPr>
        <w:footnoteReference w:id="85"/>
      </w:r>
      <w:r w:rsidRPr="00990491">
        <w:t xml:space="preserve"> Some reports have suggested that the total economic contribution of RRR Australia is almost as high as 40 per cent.</w:t>
      </w:r>
      <w:r>
        <w:rPr>
          <w:rStyle w:val="FootnoteReference"/>
        </w:rPr>
        <w:footnoteReference w:id="86"/>
      </w:r>
      <w:r w:rsidRPr="00990491">
        <w:t xml:space="preserve"> The success of Australia relies on the success of its regions. As a result, efforts to support regional development, including through education, should be viewed as an opportunity to invest in Australia’s future. </w:t>
      </w:r>
    </w:p>
    <w:p w14:paraId="4FA977E7" w14:textId="3DCCFC2D" w:rsidR="00990491" w:rsidRPr="00990491" w:rsidRDefault="00990491" w:rsidP="00990491">
      <w:r w:rsidRPr="00990491">
        <w:t>In general, communities with a strong education sector are more likely to be growing.</w:t>
      </w:r>
      <w:r>
        <w:rPr>
          <w:rStyle w:val="FootnoteReference"/>
        </w:rPr>
        <w:footnoteReference w:id="87"/>
      </w:r>
      <w:r w:rsidRPr="00990491">
        <w:t xml:space="preserve"> A report by the Nous Group calculated that, in 2015, the six universities which comprise the Regional Universities Network contributed $1.7 billion to real GDP in their regions. This contribution was made through employing both skilled and unskilled staff, productivity, spending, and research and innovation.</w:t>
      </w:r>
      <w:r>
        <w:rPr>
          <w:rStyle w:val="FootnoteReference"/>
        </w:rPr>
        <w:footnoteReference w:id="88"/>
      </w:r>
      <w:r w:rsidRPr="00990491">
        <w:t xml:space="preserve"> VET providers also strengthen local economies through developing a wide range of skills suited to local employment opportunities and needs. As a result, increasing numbers of education providers in RRR communities could result in significant economic benefits for Australia and its regions. </w:t>
      </w:r>
    </w:p>
    <w:p w14:paraId="3369C065" w14:textId="0BC99638" w:rsidR="00990491" w:rsidRPr="00990491" w:rsidRDefault="00990491" w:rsidP="00990491">
      <w:r w:rsidRPr="00990491">
        <w:t xml:space="preserve">Local RRR industries also benefit from having thriving education providers in their communities. Education institutions support innovation and transfer of research and development to local employers, further boosting local economies. In addition, education providers help to attract talent </w:t>
      </w:r>
      <w:r w:rsidRPr="00990491">
        <w:lastRenderedPageBreak/>
        <w:t>and upskill local populations to meet the needs of employers. For example, it has been estimated that seven in ten graduates from regional universities go on to work in a regional area,</w:t>
      </w:r>
      <w:r>
        <w:rPr>
          <w:rStyle w:val="FootnoteReference"/>
        </w:rPr>
        <w:footnoteReference w:id="89"/>
      </w:r>
      <w:r w:rsidRPr="00990491">
        <w:t xml:space="preserve"> which suggests that expanding student numbers at regional universities is likely to have a positive impact on keeping skilled workers in the regions over the longer-term. </w:t>
      </w:r>
    </w:p>
    <w:p w14:paraId="7B06B69C" w14:textId="77777777" w:rsidR="00990491" w:rsidRPr="00990491" w:rsidRDefault="00990491" w:rsidP="00990491">
      <w:r w:rsidRPr="00990491">
        <w:t>The value of publicly funded VET providers to RRR communities was highlighted in consultations and submissions. VET providers are adept at catering for the diverse needs of RRR industries and training people for technical and trade jobs that are more prevalent in RRR areas (Figure 3). Furthermore, VET providers help draw lower</w:t>
      </w:r>
      <w:r w:rsidRPr="00990491">
        <w:noBreakHyphen/>
        <w:t xml:space="preserve">skilled and marginalised individuals into education and training, building their confidence and skills and often setting them on the path to higher-level qualifications. </w:t>
      </w:r>
    </w:p>
    <w:p w14:paraId="69136BB9" w14:textId="7EE34A27" w:rsidR="00990491" w:rsidRPr="00990491" w:rsidRDefault="00990491" w:rsidP="00990491">
      <w:r w:rsidRPr="00990491">
        <w:t>The presence of education providers can also have an impact on educational aspiration. One submission to the Advisory Group highlighted a study, which found that where a regional university has a physical presence, there is an increase in educational aspiration and overall participation in higher education in the regional areas surrounding the campus.</w:t>
      </w:r>
      <w:r>
        <w:rPr>
          <w:rStyle w:val="FootnoteReference"/>
        </w:rPr>
        <w:footnoteReference w:id="90"/>
      </w:r>
      <w:r w:rsidRPr="00990491">
        <w:t xml:space="preserve"> This may be due to the highly-skilled staff and students that education providers attract to RRR communities, which provide a wider range of role models for local students.</w:t>
      </w:r>
    </w:p>
    <w:p w14:paraId="21E33A93" w14:textId="65BC37F6" w:rsidR="00817B3A" w:rsidRPr="00306207" w:rsidRDefault="00FE2C5D" w:rsidP="00726804">
      <w:pPr>
        <w:pStyle w:val="Heading3"/>
      </w:pPr>
      <w:r w:rsidRPr="00306207">
        <w:t xml:space="preserve">Research and </w:t>
      </w:r>
      <w:r w:rsidR="009E3747" w:rsidRPr="00306207">
        <w:t>d</w:t>
      </w:r>
      <w:r w:rsidRPr="00306207">
        <w:t>evelopment in RRR communities</w:t>
      </w:r>
    </w:p>
    <w:p w14:paraId="3A93CDF0" w14:textId="28EE0124" w:rsidR="00FE2C5D" w:rsidRPr="00306207" w:rsidRDefault="00990491" w:rsidP="00FE2C5D">
      <w:pPr>
        <w:rPr>
          <w:rFonts w:eastAsia="Times New Roman" w:cstheme="minorHAnsi"/>
          <w:color w:val="000000" w:themeColor="text1"/>
          <w:lang w:eastAsia="en-AU"/>
        </w:rPr>
      </w:pPr>
      <w:r w:rsidRPr="00990491">
        <w:t>Regionally-based tertiary education providers play a key role in supporting research and development activities tailored to the needs of their region. Across countries in the Organisation for Economic Co-operation and Development (OECD), universities are increasingly taking a leading role in developing their regions and facilitating economic transition through investment in research and skills development in key growth sectors.</w:t>
      </w:r>
      <w:r>
        <w:rPr>
          <w:rStyle w:val="FootnoteReference"/>
        </w:rPr>
        <w:footnoteReference w:id="91"/>
      </w:r>
    </w:p>
    <w:p w14:paraId="53504335" w14:textId="77777777" w:rsidR="00FE2C5D" w:rsidRPr="00306207" w:rsidRDefault="00FE2C5D" w:rsidP="001C31F7">
      <w:pPr>
        <w:pStyle w:val="Quote"/>
        <w:spacing w:before="240"/>
      </w:pPr>
      <w:r w:rsidRPr="00306207">
        <w:t>“Funding regional research and development partnerships between local industry and tertiary providers will grow regional research profiles – building links nationally and internationally, strengthening the regional tertiary institutions and creating regional jobs.”</w:t>
      </w:r>
    </w:p>
    <w:p w14:paraId="31B73352" w14:textId="6C6260D0" w:rsidR="00FE2C5D" w:rsidRPr="001C31F7" w:rsidRDefault="00FE2C5D" w:rsidP="001C31F7">
      <w:pPr>
        <w:pStyle w:val="Quote"/>
      </w:pPr>
      <w:r w:rsidRPr="00306207">
        <w:t>Loddon Mallee Regional Deve</w:t>
      </w:r>
      <w:r w:rsidR="001C31F7">
        <w:t xml:space="preserve">lopment Australia – Submission </w:t>
      </w:r>
    </w:p>
    <w:p w14:paraId="3632013A" w14:textId="51712AC9" w:rsidR="001C31F7" w:rsidRPr="001C31F7" w:rsidRDefault="001C31F7" w:rsidP="001C31F7">
      <w:pPr>
        <w:rPr>
          <w:rFonts w:eastAsia="Times New Roman" w:cstheme="minorHAnsi"/>
          <w:color w:val="000000" w:themeColor="text1"/>
          <w:lang w:eastAsia="en-AU"/>
        </w:rPr>
      </w:pPr>
      <w:r w:rsidRPr="001C31F7">
        <w:rPr>
          <w:rFonts w:eastAsia="Times New Roman" w:cstheme="minorHAnsi"/>
          <w:color w:val="000000" w:themeColor="text1"/>
          <w:lang w:eastAsia="en-AU"/>
        </w:rPr>
        <w:t xml:space="preserve">Innovative Research Universities, in their report </w:t>
      </w:r>
      <w:r w:rsidRPr="001C31F7">
        <w:rPr>
          <w:rStyle w:val="Emphasis"/>
          <w:lang w:eastAsia="en-AU"/>
        </w:rPr>
        <w:t>Building Regional Research Systems Across Australia</w:t>
      </w:r>
      <w:r w:rsidRPr="001C31F7">
        <w:rPr>
          <w:rFonts w:eastAsia="Times New Roman" w:cstheme="minorHAnsi"/>
          <w:color w:val="000000" w:themeColor="text1"/>
          <w:lang w:eastAsia="en-AU"/>
        </w:rPr>
        <w:t>, pointed to the cyclical correlation between knowledge-based economic growth and the attraction of more innovative industry. This has the potential to alter the balance of population growth within Australia to ease pressure on major capital cities.</w:t>
      </w:r>
      <w:r>
        <w:rPr>
          <w:rStyle w:val="FootnoteReference"/>
          <w:rFonts w:eastAsia="Times New Roman" w:cstheme="minorHAnsi"/>
          <w:color w:val="000000" w:themeColor="text1"/>
          <w:lang w:eastAsia="en-AU"/>
        </w:rPr>
        <w:footnoteReference w:id="92"/>
      </w:r>
      <w:r w:rsidRPr="001C31F7">
        <w:rPr>
          <w:rFonts w:eastAsia="Times New Roman" w:cstheme="minorHAnsi"/>
          <w:color w:val="000000" w:themeColor="text1"/>
          <w:lang w:eastAsia="en-AU"/>
        </w:rPr>
        <w:t xml:space="preserve"> Strong or specialised research capabilities attract more domestic and international students to regional education providers as they can become known for being the best in their field. Many RRR universities and VET campuses also have unique local attributes and industries, making them ideal for new research initiatives. </w:t>
      </w:r>
    </w:p>
    <w:p w14:paraId="3CE13F52" w14:textId="3F0AB74D" w:rsidR="001C31F7" w:rsidRDefault="001C31F7" w:rsidP="001C31F7">
      <w:pPr>
        <w:rPr>
          <w:rFonts w:eastAsia="Times New Roman" w:cstheme="minorHAnsi"/>
          <w:color w:val="000000" w:themeColor="text1"/>
          <w:lang w:eastAsia="en-AU"/>
        </w:rPr>
      </w:pPr>
      <w:r w:rsidRPr="001C31F7">
        <w:rPr>
          <w:rFonts w:eastAsia="Times New Roman" w:cstheme="minorHAnsi"/>
          <w:color w:val="000000" w:themeColor="text1"/>
          <w:lang w:eastAsia="en-AU"/>
        </w:rPr>
        <w:t>Currently, research activity is largely concentrated in metropolitan areas. RRR areas account for around 28 per cent of the population but in 2017 accounted for only 13.4 per cent of research training students and 9.8 per cent of PhD and other HDR completions. Nevertheless, there are positive examples of specialised research and research training facilities in regional areas of Australia.</w:t>
      </w:r>
    </w:p>
    <w:p w14:paraId="1926D6CC" w14:textId="77777777" w:rsidR="00E17584" w:rsidRDefault="00E17584" w:rsidP="001C31F7">
      <w:pPr>
        <w:rPr>
          <w:rFonts w:eastAsia="Times New Roman" w:cstheme="minorHAnsi"/>
          <w:color w:val="000000" w:themeColor="text1"/>
          <w:lang w:eastAsia="en-AU"/>
        </w:rPr>
      </w:pPr>
    </w:p>
    <w:p w14:paraId="1E40E28C" w14:textId="10ABA170" w:rsidR="00E17584" w:rsidRDefault="00E17584" w:rsidP="001C31F7">
      <w:pPr>
        <w:rPr>
          <w:rFonts w:eastAsia="Times New Roman" w:cstheme="minorHAnsi"/>
          <w:color w:val="000000" w:themeColor="text1"/>
          <w:lang w:eastAsia="en-AU"/>
        </w:rPr>
      </w:pPr>
    </w:p>
    <w:tbl>
      <w:tblPr>
        <w:tblStyle w:val="TableGrid"/>
        <w:tblW w:w="0" w:type="auto"/>
        <w:tblLook w:val="04A0" w:firstRow="1" w:lastRow="0" w:firstColumn="1" w:lastColumn="0" w:noHBand="0" w:noVBand="1"/>
      </w:tblPr>
      <w:tblGrid>
        <w:gridCol w:w="8996"/>
      </w:tblGrid>
      <w:tr w:rsidR="00E17584" w14:paraId="1D1B7316" w14:textId="77777777" w:rsidTr="00E17584">
        <w:tc>
          <w:tcPr>
            <w:tcW w:w="9016" w:type="dxa"/>
            <w:tcBorders>
              <w:top w:val="single" w:sz="12" w:space="0" w:color="5B796D" w:themeColor="accent5"/>
              <w:left w:val="single" w:sz="12" w:space="0" w:color="5B796D" w:themeColor="accent5"/>
              <w:bottom w:val="single" w:sz="12" w:space="0" w:color="5B796D" w:themeColor="accent5"/>
              <w:right w:val="single" w:sz="12" w:space="0" w:color="5B796D" w:themeColor="accent5"/>
            </w:tcBorders>
            <w:shd w:val="clear" w:color="auto" w:fill="E2E6E4"/>
          </w:tcPr>
          <w:p w14:paraId="50D56ED4" w14:textId="0116FCAE" w:rsidR="00E17584" w:rsidRPr="00E17584" w:rsidRDefault="00E17584" w:rsidP="00E17584">
            <w:pPr>
              <w:spacing w:before="240"/>
              <w:rPr>
                <w:rStyle w:val="Strong"/>
                <w:b w:val="0"/>
                <w:bCs w:val="0"/>
                <w:sz w:val="36"/>
                <w:szCs w:val="36"/>
              </w:rPr>
            </w:pPr>
            <w:r w:rsidRPr="00E17584">
              <w:rPr>
                <w:rStyle w:val="Strong"/>
                <w:b w:val="0"/>
                <w:bCs w:val="0"/>
                <w:sz w:val="36"/>
                <w:szCs w:val="36"/>
              </w:rPr>
              <w:t xml:space="preserve">CASE STUDY </w:t>
            </w:r>
          </w:p>
          <w:p w14:paraId="2709984E" w14:textId="457A0245" w:rsidR="00E17584" w:rsidRPr="00E17584" w:rsidRDefault="00E17584" w:rsidP="00E17584">
            <w:pPr>
              <w:spacing w:before="240"/>
              <w:rPr>
                <w:rStyle w:val="Strong"/>
                <w:color w:val="auto"/>
              </w:rPr>
            </w:pPr>
            <w:r w:rsidRPr="00E17584">
              <w:rPr>
                <w:rStyle w:val="Strong"/>
                <w:color w:val="auto"/>
              </w:rPr>
              <w:t xml:space="preserve">Specialised research and training facility examples </w:t>
            </w:r>
          </w:p>
          <w:p w14:paraId="74B5F3BE" w14:textId="77777777" w:rsidR="00E17584" w:rsidRPr="00E17584" w:rsidRDefault="00E17584" w:rsidP="00E17584">
            <w:pPr>
              <w:rPr>
                <w:rFonts w:eastAsia="Times New Roman" w:cstheme="minorHAnsi"/>
                <w:color w:val="000000" w:themeColor="text1"/>
                <w:lang w:eastAsia="en-AU"/>
              </w:rPr>
            </w:pPr>
          </w:p>
          <w:p w14:paraId="3624A148" w14:textId="6EB738FE" w:rsidR="00E17584" w:rsidRDefault="00E17584" w:rsidP="00E17584">
            <w:pPr>
              <w:rPr>
                <w:rFonts w:eastAsia="Times New Roman" w:cstheme="minorHAnsi"/>
                <w:color w:val="000000" w:themeColor="text1"/>
                <w:lang w:eastAsia="en-AU"/>
              </w:rPr>
            </w:pPr>
            <w:r w:rsidRPr="00E17584">
              <w:rPr>
                <w:rFonts w:eastAsia="Times New Roman" w:cstheme="minorHAnsi"/>
                <w:b/>
                <w:color w:val="000000" w:themeColor="text1"/>
                <w:lang w:eastAsia="en-AU"/>
              </w:rPr>
              <w:t>The Batavia Coast Maritime Institute (BCMI)</w:t>
            </w:r>
            <w:r w:rsidRPr="00E17584">
              <w:rPr>
                <w:rFonts w:eastAsia="Times New Roman" w:cstheme="minorHAnsi"/>
                <w:color w:val="000000" w:themeColor="text1"/>
                <w:lang w:eastAsia="en-AU"/>
              </w:rPr>
              <w:t xml:space="preserve"> campus of Central Regional TAFE is an award-winning, state-of-the-art training, research and development facility located in Geraldton, Western Australia. BCMI specialises in the areas of aquaculture, marine and environmental science research and training. The BCMI attracts both domestic and international VET students to Geraldton with their strong focus on field-based training and real world, industry based projects and research.</w:t>
            </w:r>
            <w:r>
              <w:rPr>
                <w:rStyle w:val="FootnoteReference"/>
                <w:rFonts w:eastAsia="Times New Roman" w:cstheme="minorHAnsi"/>
                <w:color w:val="000000" w:themeColor="text1"/>
                <w:lang w:eastAsia="en-AU"/>
              </w:rPr>
              <w:footnoteReference w:id="93"/>
            </w:r>
          </w:p>
          <w:p w14:paraId="0ABC7C74" w14:textId="77777777" w:rsidR="00E17584" w:rsidRPr="00E17584" w:rsidRDefault="00E17584" w:rsidP="00E17584">
            <w:pPr>
              <w:rPr>
                <w:rFonts w:eastAsia="Times New Roman" w:cstheme="minorHAnsi"/>
                <w:color w:val="000000" w:themeColor="text1"/>
                <w:lang w:eastAsia="en-AU"/>
              </w:rPr>
            </w:pPr>
          </w:p>
          <w:p w14:paraId="00A7AA76" w14:textId="77777777" w:rsidR="00E17584" w:rsidRDefault="00E17584" w:rsidP="00E17584">
            <w:pPr>
              <w:rPr>
                <w:rFonts w:eastAsia="Times New Roman" w:cstheme="minorHAnsi"/>
                <w:color w:val="000000" w:themeColor="text1"/>
                <w:lang w:eastAsia="en-AU"/>
              </w:rPr>
            </w:pPr>
            <w:r w:rsidRPr="00E17584">
              <w:rPr>
                <w:rFonts w:eastAsia="Times New Roman" w:cstheme="minorHAnsi"/>
                <w:b/>
                <w:color w:val="000000" w:themeColor="text1"/>
                <w:lang w:eastAsia="en-AU"/>
              </w:rPr>
              <w:t>The Australian Institute of Tropical Health and Medicine (AITHM)</w:t>
            </w:r>
            <w:r w:rsidRPr="00E17584">
              <w:rPr>
                <w:rFonts w:eastAsia="Times New Roman" w:cstheme="minorHAnsi"/>
                <w:color w:val="000000" w:themeColor="text1"/>
                <w:lang w:eastAsia="en-AU"/>
              </w:rPr>
              <w:t xml:space="preserve"> is a research institute of James Cook University, based in the tropics of Queensland, known for its world-leading research and teaching. It is Australia’s only tropical health and medical research institute.</w:t>
            </w:r>
          </w:p>
          <w:p w14:paraId="6DA63A67" w14:textId="76ADB28C" w:rsidR="00E17584" w:rsidRDefault="00E17584" w:rsidP="00E17584">
            <w:pPr>
              <w:rPr>
                <w:rFonts w:eastAsia="Times New Roman" w:cstheme="minorHAnsi"/>
                <w:color w:val="000000" w:themeColor="text1"/>
                <w:lang w:eastAsia="en-AU"/>
              </w:rPr>
            </w:pPr>
          </w:p>
        </w:tc>
      </w:tr>
    </w:tbl>
    <w:p w14:paraId="235D0D52" w14:textId="51960FA3" w:rsidR="00E17584" w:rsidRDefault="00E17584" w:rsidP="001C31F7">
      <w:pPr>
        <w:rPr>
          <w:rFonts w:eastAsia="Times New Roman" w:cstheme="minorHAnsi"/>
          <w:color w:val="000000" w:themeColor="text1"/>
          <w:lang w:eastAsia="en-AU"/>
        </w:rPr>
      </w:pPr>
    </w:p>
    <w:p w14:paraId="552FE25E" w14:textId="290082ED" w:rsidR="00F24485" w:rsidRPr="00306207" w:rsidRDefault="00F24485" w:rsidP="00726804">
      <w:pPr>
        <w:pStyle w:val="Heading3"/>
      </w:pPr>
      <w:r w:rsidRPr="00306207">
        <w:t xml:space="preserve">Attracting </w:t>
      </w:r>
      <w:r w:rsidR="000960B2" w:rsidRPr="00306207">
        <w:t xml:space="preserve">and retaining </w:t>
      </w:r>
      <w:r w:rsidRPr="00306207">
        <w:t xml:space="preserve">students </w:t>
      </w:r>
      <w:r w:rsidR="000960B2" w:rsidRPr="00306207">
        <w:t>in</w:t>
      </w:r>
      <w:r w:rsidRPr="00306207">
        <w:t xml:space="preserve"> RRR areas</w:t>
      </w:r>
    </w:p>
    <w:p w14:paraId="4511B24D" w14:textId="77777777" w:rsidR="001D2E01" w:rsidRPr="001D2E01" w:rsidRDefault="001D2E01" w:rsidP="001D2E01">
      <w:pPr>
        <w:rPr>
          <w:rFonts w:ascii="Calibri" w:eastAsia="Times New Roman" w:hAnsi="Calibri" w:cs="Calibri"/>
        </w:rPr>
      </w:pPr>
      <w:r w:rsidRPr="001D2E01">
        <w:rPr>
          <w:rFonts w:ascii="Calibri" w:eastAsia="Times New Roman" w:hAnsi="Calibri" w:cs="Calibri"/>
        </w:rPr>
        <w:t xml:space="preserve">There are a number of positive flow-on effects from growing the student base in RRR areas. More students means education providers can offer a wider range of courses and support services, further enhancing options for individuals in local areas. Individuals who study in RRR areas also stimulate their local economy and contribute culturally, including through their involvement in local sport and volunteer work. </w:t>
      </w:r>
    </w:p>
    <w:p w14:paraId="52F20951" w14:textId="58726223" w:rsidR="001D2E01" w:rsidRPr="001D2E01" w:rsidRDefault="001D2E01" w:rsidP="001D2E01">
      <w:pPr>
        <w:rPr>
          <w:rFonts w:ascii="Calibri" w:eastAsia="Times New Roman" w:hAnsi="Calibri" w:cs="Calibri"/>
        </w:rPr>
      </w:pPr>
      <w:r w:rsidRPr="001D2E01">
        <w:rPr>
          <w:rFonts w:ascii="Calibri" w:eastAsia="Times New Roman" w:hAnsi="Calibri" w:cs="Calibri"/>
        </w:rPr>
        <w:t>The benefits are not just limited to students from RRR areas. Education providers with greater offerings create more options for students from metropolitan areas and overseas – enabling them to study their chosen course while experiencing the many lifestyle benefits that come with living in an RRR area. Only three per cent of Australia’s international students currently study in regional areas, which suggests there is potential to enrich RRR communities by increasing international student numbers.</w:t>
      </w:r>
      <w:r>
        <w:rPr>
          <w:rStyle w:val="FootnoteReference"/>
          <w:rFonts w:ascii="Calibri" w:eastAsia="Times New Roman" w:hAnsi="Calibri" w:cs="Calibri"/>
        </w:rPr>
        <w:footnoteReference w:id="94"/>
      </w:r>
      <w:r w:rsidRPr="001D2E01">
        <w:rPr>
          <w:rFonts w:ascii="Calibri" w:eastAsia="Times New Roman" w:hAnsi="Calibri" w:cs="Calibri"/>
        </w:rPr>
        <w:t xml:space="preserve"> Initiatives that encourage and promote the benefits of studying in RRR areas for both domestic and international students and the removal of constraints have the potential to attract students to RRR areas. </w:t>
      </w:r>
    </w:p>
    <w:p w14:paraId="5021DF40" w14:textId="2A5C3DFF" w:rsidR="001D2E01" w:rsidRPr="001D2E01" w:rsidRDefault="001D2E01" w:rsidP="001D2E01">
      <w:pPr>
        <w:rPr>
          <w:rFonts w:ascii="Calibri" w:eastAsia="Times New Roman" w:hAnsi="Calibri" w:cs="Calibri"/>
        </w:rPr>
      </w:pPr>
      <w:r w:rsidRPr="001D2E01">
        <w:rPr>
          <w:rFonts w:ascii="Calibri" w:eastAsia="Times New Roman" w:hAnsi="Calibri" w:cs="Calibri"/>
        </w:rPr>
        <w:t>International students not only contribute economically and academically to RRR education providers and communities, but also bring the benefits of cultural exchange. In March 2019, Expert Members of the Council for International Education, led by the Hon Phil Honeywood, provided advice to Government on Growing International Education in Regional Australia, the findings of which the Advisory Group supports. In March 2019, the Australian Government announced the Destination Australia Program, which will provide scholarships for both domestic and international students, at a Certificate IV to Doctoral level, to study in regional Australia. This program is designed to encourage study in areas outside Australia’s major cities and attract both international and domestic students to regional areas. The Government also announced an extension to post-study work visas for international students who study and then live in a regional area.</w:t>
      </w:r>
    </w:p>
    <w:p w14:paraId="5C36B4D0" w14:textId="656E5A48" w:rsidR="000960B2" w:rsidRPr="00306207" w:rsidRDefault="000960B2" w:rsidP="00726804">
      <w:pPr>
        <w:pStyle w:val="Heading3"/>
      </w:pPr>
      <w:r w:rsidRPr="00306207">
        <w:lastRenderedPageBreak/>
        <w:t>Work-integrated learning (WIL)</w:t>
      </w:r>
    </w:p>
    <w:p w14:paraId="20C8DD37" w14:textId="24B09A14" w:rsidR="000960B2" w:rsidRDefault="001D2E01" w:rsidP="000960B2">
      <w:pPr>
        <w:spacing w:after="0" w:line="240" w:lineRule="auto"/>
        <w:ind w:right="369"/>
      </w:pPr>
      <w:r w:rsidRPr="001D2E01">
        <w:t>Providing options for students to undertake WIL placements in RRR areas provides local opportunities to support RRR students, as well as the potential to attract other students to RRR areas, while meeting local industry needs by enhancing employability and skill outcomes.</w:t>
      </w:r>
      <w:r>
        <w:rPr>
          <w:rStyle w:val="FootnoteReference"/>
        </w:rPr>
        <w:footnoteReference w:id="95"/>
      </w:r>
      <w:r w:rsidRPr="001D2E01">
        <w:t xml:space="preserve"> It can also result in longer-term benefits to the RRR community if students remain or return to the region to work after graduation. </w:t>
      </w:r>
    </w:p>
    <w:p w14:paraId="537C7EFE" w14:textId="77777777" w:rsidR="001D2E01" w:rsidRPr="00306207" w:rsidRDefault="001D2E01" w:rsidP="000960B2">
      <w:pPr>
        <w:spacing w:after="0" w:line="240" w:lineRule="auto"/>
        <w:ind w:right="369"/>
        <w:rPr>
          <w:i/>
          <w:iCs/>
          <w:color w:val="7030A0"/>
        </w:rPr>
      </w:pPr>
    </w:p>
    <w:p w14:paraId="54DB58CD" w14:textId="77777777" w:rsidR="000960B2" w:rsidRPr="00306207" w:rsidRDefault="000960B2" w:rsidP="001D2E01">
      <w:pPr>
        <w:pStyle w:val="Quote"/>
      </w:pPr>
      <w:r w:rsidRPr="00306207">
        <w:t>“Students who have had a successful rural work experience are more likely to return to work in rural areas.”</w:t>
      </w:r>
    </w:p>
    <w:p w14:paraId="2BCE5975" w14:textId="190F7AF0" w:rsidR="000960B2" w:rsidRPr="00306207" w:rsidRDefault="000960B2" w:rsidP="001D2E01">
      <w:pPr>
        <w:pStyle w:val="Quote"/>
      </w:pPr>
      <w:r w:rsidRPr="00306207">
        <w:t>School of Education, Unive</w:t>
      </w:r>
      <w:r w:rsidR="001D2E01">
        <w:t xml:space="preserve">rsity of Tasmania – Submission </w:t>
      </w:r>
    </w:p>
    <w:p w14:paraId="6274C79E" w14:textId="1E8FE23A" w:rsidR="000960B2" w:rsidRPr="00306207" w:rsidRDefault="001D2E01">
      <w:r w:rsidRPr="001D2E01">
        <w:t>In many areas, however, there are not enough work placements in RRR Australia to fulfil the needs of all students. Moreover, RRR students are sometimes unable to undertake WIL placements due to travel and accommodation costs when the opportunity is not located close by. Fostering stronger links between RRR employers and educational institutions could help to maximise WIL opportunities for students.</w:t>
      </w:r>
    </w:p>
    <w:p w14:paraId="3D284EFD" w14:textId="6C7BBBE8" w:rsidR="005C1DCA" w:rsidRDefault="00904F39">
      <w:r w:rsidRPr="00306207">
        <w:t>Providing improved opportunities in regional areas for all students, including supporting RRR students and a</w:t>
      </w:r>
      <w:r w:rsidR="00E03D1E" w:rsidRPr="00306207">
        <w:t>ttracting and retaining international and domestic students to RRR locations</w:t>
      </w:r>
      <w:r w:rsidRPr="00306207">
        <w:t xml:space="preserve">, are </w:t>
      </w:r>
      <w:r w:rsidR="00E03D1E" w:rsidRPr="00306207">
        <w:t>area</w:t>
      </w:r>
      <w:r w:rsidRPr="00306207">
        <w:t xml:space="preserve">s </w:t>
      </w:r>
      <w:r w:rsidR="00E03D1E" w:rsidRPr="00306207">
        <w:t xml:space="preserve">where ongoing effort will be required, including in monitoring the impact of </w:t>
      </w:r>
      <w:r w:rsidR="002A301F" w:rsidRPr="00306207">
        <w:t xml:space="preserve">recent </w:t>
      </w:r>
      <w:r w:rsidR="00E03D1E" w:rsidRPr="00306207">
        <w:t xml:space="preserve">initiatives. </w:t>
      </w:r>
    </w:p>
    <w:tbl>
      <w:tblPr>
        <w:tblStyle w:val="TableGrid"/>
        <w:tblW w:w="0" w:type="auto"/>
        <w:tblLook w:val="04A0" w:firstRow="1" w:lastRow="0" w:firstColumn="1" w:lastColumn="0" w:noHBand="0" w:noVBand="1"/>
      </w:tblPr>
      <w:tblGrid>
        <w:gridCol w:w="8996"/>
      </w:tblGrid>
      <w:tr w:rsidR="001D2E01" w14:paraId="564BA4F9" w14:textId="77777777" w:rsidTr="00263861">
        <w:trPr>
          <w:trHeight w:val="4050"/>
        </w:trPr>
        <w:tc>
          <w:tcPr>
            <w:tcW w:w="9016" w:type="dxa"/>
            <w:tcBorders>
              <w:top w:val="single" w:sz="12" w:space="0" w:color="F6A060"/>
              <w:left w:val="single" w:sz="12" w:space="0" w:color="F6A060"/>
              <w:bottom w:val="single" w:sz="12" w:space="0" w:color="F6A060"/>
              <w:right w:val="single" w:sz="12" w:space="0" w:color="F6A060"/>
            </w:tcBorders>
          </w:tcPr>
          <w:p w14:paraId="3E3D26D4" w14:textId="77777777" w:rsidR="001D2E01" w:rsidRPr="001D2E01" w:rsidRDefault="001D2E01" w:rsidP="001D2E01">
            <w:pPr>
              <w:spacing w:before="240" w:line="276" w:lineRule="auto"/>
              <w:rPr>
                <w:rStyle w:val="Strong"/>
              </w:rPr>
            </w:pPr>
            <w:r w:rsidRPr="001D2E01">
              <w:rPr>
                <w:rStyle w:val="Strong"/>
              </w:rPr>
              <w:t xml:space="preserve">KEY FINDING 20: </w:t>
            </w:r>
            <w:r w:rsidRPr="001D2E01">
              <w:t>Research and development by tertiary providers enhances long-term regional development and local industries.</w:t>
            </w:r>
            <w:r w:rsidRPr="001D2E01">
              <w:rPr>
                <w:rStyle w:val="Strong"/>
              </w:rPr>
              <w:t xml:space="preserve"> </w:t>
            </w:r>
          </w:p>
          <w:p w14:paraId="4B07782B" w14:textId="77777777" w:rsidR="001D2E01" w:rsidRPr="001D2E01" w:rsidRDefault="001D2E01" w:rsidP="001D2E01">
            <w:pPr>
              <w:spacing w:before="240" w:line="276" w:lineRule="auto"/>
              <w:rPr>
                <w:rStyle w:val="Strong"/>
              </w:rPr>
            </w:pPr>
            <w:r w:rsidRPr="001D2E01">
              <w:rPr>
                <w:rStyle w:val="Strong"/>
              </w:rPr>
              <w:t xml:space="preserve">KEY FINDING 21: </w:t>
            </w:r>
            <w:r w:rsidRPr="001D2E01">
              <w:t>Increasing student places in RRR communities will increase education access while also growing communities both economically and culturally.</w:t>
            </w:r>
            <w:r w:rsidRPr="001D2E01">
              <w:rPr>
                <w:rStyle w:val="Strong"/>
              </w:rPr>
              <w:t xml:space="preserve"> </w:t>
            </w:r>
          </w:p>
          <w:p w14:paraId="7899EBB3" w14:textId="77777777" w:rsidR="001D2E01" w:rsidRPr="001D2E01" w:rsidRDefault="001D2E01" w:rsidP="001D2E01">
            <w:pPr>
              <w:spacing w:before="240" w:line="276" w:lineRule="auto"/>
              <w:rPr>
                <w:rStyle w:val="Strong"/>
              </w:rPr>
            </w:pPr>
            <w:r w:rsidRPr="001D2E01">
              <w:rPr>
                <w:rStyle w:val="Strong"/>
              </w:rPr>
              <w:t xml:space="preserve">KEY FINDING 22: </w:t>
            </w:r>
            <w:r w:rsidRPr="001D2E01">
              <w:t>International education enriches RRR communities, including by bringing economic benefits and valuable engagement opportunities.</w:t>
            </w:r>
            <w:r w:rsidRPr="001D2E01">
              <w:rPr>
                <w:rStyle w:val="Strong"/>
              </w:rPr>
              <w:t xml:space="preserve"> </w:t>
            </w:r>
          </w:p>
          <w:p w14:paraId="080F841B" w14:textId="5947388F" w:rsidR="003D1CD9" w:rsidRDefault="001D2E01" w:rsidP="003D1CD9">
            <w:pPr>
              <w:spacing w:before="240" w:line="276" w:lineRule="auto"/>
            </w:pPr>
            <w:r w:rsidRPr="001D2E01">
              <w:rPr>
                <w:rStyle w:val="Strong"/>
              </w:rPr>
              <w:t xml:space="preserve">KEY FINDING 23: </w:t>
            </w:r>
            <w:r w:rsidRPr="001D2E01">
              <w:t>The potential of RRR Australia could be further maximised by developing the research capacity of regional universities and supporting other opportunities to attract and retain students in RRR areas, including work integrated learning placements.</w:t>
            </w:r>
          </w:p>
        </w:tc>
      </w:tr>
    </w:tbl>
    <w:p w14:paraId="7D125642" w14:textId="77777777" w:rsidR="000558D0" w:rsidRDefault="000558D0" w:rsidP="000558D0"/>
    <w:p w14:paraId="222A0527" w14:textId="7CEF22AE" w:rsidR="00237C7B" w:rsidRPr="00306207" w:rsidRDefault="001753E3" w:rsidP="000558D0">
      <w:pPr>
        <w:pStyle w:val="Heading1"/>
      </w:pPr>
      <w:r w:rsidRPr="00306207">
        <w:br w:type="page"/>
      </w:r>
      <w:bookmarkStart w:id="57" w:name="_Toc13224800"/>
      <w:r w:rsidR="005C6A03" w:rsidRPr="00306207">
        <w:lastRenderedPageBreak/>
        <w:t xml:space="preserve">Part </w:t>
      </w:r>
      <w:r w:rsidR="00B06EC7" w:rsidRPr="00306207">
        <w:t>t</w:t>
      </w:r>
      <w:r w:rsidR="00A456C5" w:rsidRPr="00306207">
        <w:t>hree</w:t>
      </w:r>
      <w:r w:rsidR="005C6A03" w:rsidRPr="00306207">
        <w:t xml:space="preserve">: </w:t>
      </w:r>
      <w:r w:rsidR="00237C7B" w:rsidRPr="00306207">
        <w:t>Plan for change</w:t>
      </w:r>
      <w:bookmarkEnd w:id="57"/>
      <w:r w:rsidR="00237C7B" w:rsidRPr="00306207">
        <w:t xml:space="preserve"> </w:t>
      </w:r>
    </w:p>
    <w:p w14:paraId="04D29205" w14:textId="77777777" w:rsidR="00CA0B17" w:rsidRPr="00306207" w:rsidRDefault="00CA0B17" w:rsidP="00726804">
      <w:pPr>
        <w:pStyle w:val="Heading2"/>
      </w:pPr>
      <w:bookmarkStart w:id="58" w:name="_Toc13224801"/>
      <w:r w:rsidRPr="00306207">
        <w:t>Vision/Aim</w:t>
      </w:r>
      <w:bookmarkEnd w:id="58"/>
    </w:p>
    <w:p w14:paraId="039FB9C1" w14:textId="77777777" w:rsidR="000558D0" w:rsidRPr="000558D0" w:rsidRDefault="000558D0" w:rsidP="000558D0">
      <w:pPr>
        <w:pStyle w:val="Pa11"/>
        <w:spacing w:after="160"/>
        <w:rPr>
          <w:rFonts w:asciiTheme="minorHAnsi" w:hAnsiTheme="minorHAnsi" w:cs="HelveticaNeue LT 45 Light"/>
          <w:color w:val="000000"/>
          <w:sz w:val="22"/>
          <w:szCs w:val="22"/>
        </w:rPr>
      </w:pPr>
      <w:r w:rsidRPr="000558D0">
        <w:rPr>
          <w:rFonts w:asciiTheme="minorHAnsi" w:hAnsiTheme="minorHAnsi" w:cs="HelveticaNeue LT 45 Light"/>
          <w:color w:val="000000"/>
          <w:sz w:val="22"/>
          <w:szCs w:val="22"/>
        </w:rPr>
        <w:t xml:space="preserve">At the core of the Strategy is a vision of a tertiary education system that supports equal opportunity and access for students from RRR areas – in line with their metropolitan counterparts. This vision needs to allow for the fact that students will make different choices based on their different aspirations, which will be influenced by where they want to live and the employment opportunities in different areas. In practice, this may mean a different mix in the types of tertiary education students undertake across locations. Nevertheless, policy settings should be aimed at ensuring that in making these choices – for example, whether to stay in their community or relocate – RRR students and their families are not deterred by additional challenges they may face. </w:t>
      </w:r>
    </w:p>
    <w:p w14:paraId="21A5C395" w14:textId="77777777" w:rsidR="000558D0" w:rsidRPr="000558D0" w:rsidRDefault="000558D0" w:rsidP="000558D0">
      <w:pPr>
        <w:pStyle w:val="Pa11"/>
        <w:spacing w:after="160"/>
        <w:rPr>
          <w:rFonts w:asciiTheme="minorHAnsi" w:hAnsiTheme="minorHAnsi" w:cs="HelveticaNeue LT 45 Light"/>
          <w:color w:val="000000"/>
          <w:sz w:val="22"/>
          <w:szCs w:val="22"/>
        </w:rPr>
      </w:pPr>
      <w:r w:rsidRPr="000558D0">
        <w:rPr>
          <w:rFonts w:asciiTheme="minorHAnsi" w:hAnsiTheme="minorHAnsi" w:cs="HelveticaNeue LT 45 Light"/>
          <w:color w:val="000000"/>
          <w:sz w:val="22"/>
          <w:szCs w:val="22"/>
        </w:rPr>
        <w:t xml:space="preserve">As discussed earlier in Part one (Imperative for change), addressing inequities in education will produce significant benefits to individuals, communities and also the nation as a whole. The vision is not about providing RRR students with additional entitlements, but rather addressing an inequity so that they also have the opportunity to participate in education and contribute to national prosperity. In line with this vision, the following overarching aim is proposed: </w:t>
      </w:r>
    </w:p>
    <w:p w14:paraId="1B41C852" w14:textId="6F4CFF61" w:rsidR="000558D0" w:rsidRPr="000558D0" w:rsidRDefault="000558D0" w:rsidP="000558D0">
      <w:pPr>
        <w:pStyle w:val="BasicParagraph"/>
        <w:suppressAutoHyphens/>
        <w:spacing w:after="120"/>
        <w:ind w:left="720"/>
        <w:rPr>
          <w:rStyle w:val="Emphasis"/>
        </w:rPr>
      </w:pPr>
      <w:r w:rsidRPr="000558D0">
        <w:rPr>
          <w:rStyle w:val="Emphasis"/>
        </w:rPr>
        <w:t>Support equal opportunity: Improve tertiary education access, participation and attainment to address current inequalities for people from regional, rural and remote communities; to support students and their aspirations and enhance their communities.</w:t>
      </w:r>
    </w:p>
    <w:p w14:paraId="6C085C7C" w14:textId="16E521B7" w:rsidR="00CA0B17" w:rsidRPr="00306207" w:rsidRDefault="00CA0B17" w:rsidP="00726804">
      <w:pPr>
        <w:pStyle w:val="Heading2"/>
      </w:pPr>
      <w:bookmarkStart w:id="59" w:name="_Toc13224802"/>
      <w:r w:rsidRPr="00306207">
        <w:t>Objectives</w:t>
      </w:r>
      <w:r w:rsidR="00547E1C" w:rsidRPr="00306207">
        <w:t xml:space="preserve">, </w:t>
      </w:r>
      <w:r w:rsidRPr="00306207">
        <w:t xml:space="preserve">targets </w:t>
      </w:r>
      <w:r w:rsidR="00547E1C" w:rsidRPr="00306207">
        <w:t>and timing</w:t>
      </w:r>
      <w:bookmarkEnd w:id="59"/>
      <w:r w:rsidRPr="00306207">
        <w:t xml:space="preserve"> </w:t>
      </w:r>
    </w:p>
    <w:p w14:paraId="6D4A429A" w14:textId="77777777" w:rsidR="000558D0" w:rsidRPr="000558D0" w:rsidRDefault="000558D0" w:rsidP="000558D0">
      <w:pPr>
        <w:autoSpaceDE w:val="0"/>
        <w:autoSpaceDN w:val="0"/>
        <w:adjustRightInd w:val="0"/>
        <w:spacing w:after="80" w:line="211" w:lineRule="atLeast"/>
        <w:rPr>
          <w:rFonts w:cs="HelveticaNeue LT 45 Light"/>
          <w:color w:val="000000"/>
        </w:rPr>
      </w:pPr>
      <w:r w:rsidRPr="000558D0">
        <w:rPr>
          <w:rFonts w:cs="HelveticaNeue LT 45 Light"/>
          <w:color w:val="000000"/>
        </w:rPr>
        <w:t xml:space="preserve">This Strategy sets out the following as key objectives: </w:t>
      </w:r>
    </w:p>
    <w:p w14:paraId="54EA10FE" w14:textId="77777777" w:rsidR="000558D0" w:rsidRPr="000558D0" w:rsidRDefault="000558D0" w:rsidP="00041655">
      <w:pPr>
        <w:numPr>
          <w:ilvl w:val="0"/>
          <w:numId w:val="16"/>
        </w:numPr>
        <w:autoSpaceDE w:val="0"/>
        <w:autoSpaceDN w:val="0"/>
        <w:adjustRightInd w:val="0"/>
        <w:spacing w:after="47" w:line="240" w:lineRule="auto"/>
        <w:rPr>
          <w:rFonts w:cs="HelveticaNeue LT 45 Light"/>
          <w:color w:val="000000"/>
        </w:rPr>
      </w:pPr>
      <w:r w:rsidRPr="000558D0">
        <w:rPr>
          <w:rFonts w:cs="HelveticaNeue LT 45 Light"/>
          <w:color w:val="000000"/>
        </w:rPr>
        <w:t xml:space="preserve">increase the number of tertiary education options available for RRR Australians </w:t>
      </w:r>
    </w:p>
    <w:p w14:paraId="329AD4A3" w14:textId="77777777" w:rsidR="000558D0" w:rsidRPr="000558D0" w:rsidRDefault="000558D0" w:rsidP="00041655">
      <w:pPr>
        <w:numPr>
          <w:ilvl w:val="0"/>
          <w:numId w:val="16"/>
        </w:numPr>
        <w:autoSpaceDE w:val="0"/>
        <w:autoSpaceDN w:val="0"/>
        <w:adjustRightInd w:val="0"/>
        <w:spacing w:after="47" w:line="240" w:lineRule="auto"/>
        <w:rPr>
          <w:rFonts w:cs="HelveticaNeue LT 45 Light"/>
          <w:color w:val="000000"/>
        </w:rPr>
      </w:pPr>
      <w:r w:rsidRPr="000558D0">
        <w:rPr>
          <w:rFonts w:cs="HelveticaNeue LT 45 Light"/>
          <w:color w:val="000000"/>
        </w:rPr>
        <w:t xml:space="preserve">improve the support available to all prospective and current RRR students </w:t>
      </w:r>
    </w:p>
    <w:p w14:paraId="78DC4E6C" w14:textId="77777777" w:rsidR="000558D0" w:rsidRPr="000558D0" w:rsidRDefault="000558D0" w:rsidP="00041655">
      <w:pPr>
        <w:numPr>
          <w:ilvl w:val="0"/>
          <w:numId w:val="16"/>
        </w:numPr>
        <w:autoSpaceDE w:val="0"/>
        <w:autoSpaceDN w:val="0"/>
        <w:adjustRightInd w:val="0"/>
        <w:spacing w:after="47" w:line="240" w:lineRule="auto"/>
        <w:rPr>
          <w:rFonts w:cs="HelveticaNeue LT 45 Light"/>
          <w:color w:val="000000"/>
        </w:rPr>
      </w:pPr>
      <w:r w:rsidRPr="000558D0">
        <w:rPr>
          <w:rFonts w:cs="HelveticaNeue LT 45 Light"/>
          <w:color w:val="000000"/>
        </w:rPr>
        <w:t xml:space="preserve">prepare RRR school students for success and raise educational aspirations </w:t>
      </w:r>
    </w:p>
    <w:p w14:paraId="36B983F0" w14:textId="77777777" w:rsidR="000558D0" w:rsidRPr="000558D0" w:rsidRDefault="000558D0" w:rsidP="00041655">
      <w:pPr>
        <w:numPr>
          <w:ilvl w:val="0"/>
          <w:numId w:val="16"/>
        </w:numPr>
        <w:autoSpaceDE w:val="0"/>
        <w:autoSpaceDN w:val="0"/>
        <w:adjustRightInd w:val="0"/>
        <w:spacing w:after="47" w:line="240" w:lineRule="auto"/>
        <w:rPr>
          <w:rFonts w:cs="HelveticaNeue LT 45 Light"/>
          <w:color w:val="000000"/>
        </w:rPr>
      </w:pPr>
      <w:r w:rsidRPr="000558D0">
        <w:rPr>
          <w:rFonts w:cs="HelveticaNeue LT 45 Light"/>
          <w:color w:val="000000"/>
        </w:rPr>
        <w:t xml:space="preserve">improve the support for RRR students from equity groups, and </w:t>
      </w:r>
    </w:p>
    <w:p w14:paraId="06076E06" w14:textId="77777777" w:rsidR="000558D0" w:rsidRPr="000558D0" w:rsidRDefault="000558D0" w:rsidP="00041655">
      <w:pPr>
        <w:numPr>
          <w:ilvl w:val="0"/>
          <w:numId w:val="16"/>
        </w:numPr>
        <w:autoSpaceDE w:val="0"/>
        <w:autoSpaceDN w:val="0"/>
        <w:adjustRightInd w:val="0"/>
        <w:spacing w:after="0" w:line="240" w:lineRule="auto"/>
        <w:rPr>
          <w:rFonts w:cs="HelveticaNeue LT 45 Light"/>
          <w:color w:val="000000"/>
        </w:rPr>
      </w:pPr>
      <w:r w:rsidRPr="000558D0">
        <w:rPr>
          <w:rFonts w:cs="HelveticaNeue LT 45 Light"/>
          <w:color w:val="000000"/>
        </w:rPr>
        <w:t xml:space="preserve">improve educational opportunities in RRR areas to support regional development. </w:t>
      </w:r>
    </w:p>
    <w:p w14:paraId="66149BDE" w14:textId="77777777" w:rsidR="000558D0" w:rsidRPr="000558D0" w:rsidRDefault="000558D0" w:rsidP="000558D0">
      <w:pPr>
        <w:autoSpaceDE w:val="0"/>
        <w:autoSpaceDN w:val="0"/>
        <w:adjustRightInd w:val="0"/>
        <w:spacing w:after="0" w:line="240" w:lineRule="auto"/>
        <w:rPr>
          <w:rFonts w:cs="HelveticaNeue LT 45 Light"/>
          <w:color w:val="000000"/>
        </w:rPr>
      </w:pPr>
    </w:p>
    <w:p w14:paraId="2C2F98D5" w14:textId="77777777" w:rsidR="000558D0" w:rsidRPr="000558D0" w:rsidRDefault="000558D0" w:rsidP="000558D0">
      <w:pPr>
        <w:autoSpaceDE w:val="0"/>
        <w:autoSpaceDN w:val="0"/>
        <w:adjustRightInd w:val="0"/>
        <w:spacing w:line="211" w:lineRule="atLeast"/>
        <w:rPr>
          <w:rFonts w:cs="HelveticaNeue LT 45 Light"/>
          <w:color w:val="000000"/>
        </w:rPr>
      </w:pPr>
      <w:r w:rsidRPr="000558D0">
        <w:rPr>
          <w:rFonts w:cs="HelveticaNeue LT 45 Light"/>
          <w:color w:val="000000"/>
        </w:rPr>
        <w:t xml:space="preserve">An initial ten year timeframe for the Strategy is proposed, from 2020 to 2030. By ten years, significant progress should be achieved in building greater aspiration for current cohorts of school students and working age people in RRR areas. Growth should also be evident in access to higher education and VET, translating to increased numbers of students completing their courses and achieving employment in their chosen fields. </w:t>
      </w:r>
    </w:p>
    <w:p w14:paraId="3679C82B" w14:textId="77777777" w:rsidR="000558D0" w:rsidRPr="000558D0" w:rsidRDefault="000558D0" w:rsidP="000558D0">
      <w:pPr>
        <w:autoSpaceDE w:val="0"/>
        <w:autoSpaceDN w:val="0"/>
        <w:adjustRightInd w:val="0"/>
        <w:spacing w:line="211" w:lineRule="atLeast"/>
        <w:rPr>
          <w:rFonts w:cs="HelveticaNeue LT 45 Light"/>
          <w:color w:val="000000"/>
        </w:rPr>
      </w:pPr>
      <w:r w:rsidRPr="000558D0">
        <w:rPr>
          <w:rFonts w:cs="HelveticaNeue LT 45 Light"/>
          <w:color w:val="000000"/>
        </w:rPr>
        <w:t xml:space="preserve">In order to measure success in achieving the vision and overarching objectives of this Strategy, three main targets are proposed. These targets are focused on reducing the disparity between RRR and metropolitan students in relation to attainment and participation in higher-level tertiary education: </w:t>
      </w:r>
    </w:p>
    <w:p w14:paraId="37E73429" w14:textId="2163DC10" w:rsidR="000558D0" w:rsidRDefault="000558D0" w:rsidP="00041655">
      <w:pPr>
        <w:pStyle w:val="ListParagraph"/>
        <w:numPr>
          <w:ilvl w:val="0"/>
          <w:numId w:val="16"/>
        </w:numPr>
        <w:spacing w:line="252" w:lineRule="auto"/>
        <w:ind w:left="360"/>
      </w:pPr>
      <w:r>
        <w:t>By 2030, halve the disparity between metropolitan and each regional and remote location category for Certificate IV and above attainment rates for 25-34 year olds.</w:t>
      </w:r>
    </w:p>
    <w:p w14:paraId="5576AD41" w14:textId="21610F75" w:rsidR="000558D0" w:rsidRDefault="000558D0" w:rsidP="00041655">
      <w:pPr>
        <w:pStyle w:val="ListParagraph"/>
        <w:numPr>
          <w:ilvl w:val="0"/>
          <w:numId w:val="17"/>
        </w:numPr>
        <w:spacing w:line="252" w:lineRule="auto"/>
        <w:ind w:left="360"/>
      </w:pPr>
      <w:r>
        <w:t>By 2030, halve the disparity between metropolitan and each regional and remote location category for attainment rates of higher education for 25-34 year olds.</w:t>
      </w:r>
    </w:p>
    <w:p w14:paraId="1CE0C95A" w14:textId="1B1F7ABA" w:rsidR="00EC4F47" w:rsidRPr="000558D0" w:rsidRDefault="000558D0" w:rsidP="00041655">
      <w:pPr>
        <w:pStyle w:val="ListParagraph"/>
        <w:numPr>
          <w:ilvl w:val="0"/>
          <w:numId w:val="17"/>
        </w:numPr>
        <w:spacing w:line="252" w:lineRule="auto"/>
        <w:ind w:left="360"/>
      </w:pPr>
      <w:r>
        <w:t>By 2030, halve the disparity between metropolitan and each regional and remote location category in the rate of participation for Certificate IV and above by working age Australians (15-64 years).</w:t>
      </w:r>
    </w:p>
    <w:p w14:paraId="337A25C6" w14:textId="31755659" w:rsidR="00237C7B" w:rsidRPr="00306207" w:rsidRDefault="00CA0B17" w:rsidP="00D53B13">
      <w:pPr>
        <w:pStyle w:val="ListParagraph"/>
        <w:ind w:left="0"/>
        <w:rPr>
          <w:rFonts w:eastAsia="Times New Roman"/>
        </w:rPr>
      </w:pPr>
      <w:r w:rsidRPr="00306207">
        <w:lastRenderedPageBreak/>
        <w:t xml:space="preserve">A more detailed discussion about </w:t>
      </w:r>
      <w:r w:rsidR="00B43BBB" w:rsidRPr="00306207">
        <w:t xml:space="preserve">these </w:t>
      </w:r>
      <w:r w:rsidRPr="00306207">
        <w:t xml:space="preserve">targets </w:t>
      </w:r>
      <w:r w:rsidR="00B43BBB" w:rsidRPr="00306207">
        <w:t>and a range of other information</w:t>
      </w:r>
      <w:r w:rsidR="00CD5B5F" w:rsidRPr="00306207">
        <w:t>/metrics</w:t>
      </w:r>
      <w:r w:rsidR="00B43BBB" w:rsidRPr="00306207">
        <w:t xml:space="preserve"> </w:t>
      </w:r>
      <w:r w:rsidR="00CD5B5F" w:rsidRPr="00306207">
        <w:t xml:space="preserve">that are </w:t>
      </w:r>
      <w:r w:rsidR="00B43BBB" w:rsidRPr="00306207">
        <w:t xml:space="preserve">proposed for monitoring </w:t>
      </w:r>
      <w:r w:rsidRPr="00306207">
        <w:t>can be found in</w:t>
      </w:r>
      <w:r w:rsidR="007A401F" w:rsidRPr="00306207">
        <w:t xml:space="preserve"> Part four</w:t>
      </w:r>
      <w:r w:rsidR="00285BA5" w:rsidRPr="00306207">
        <w:t xml:space="preserve"> of the report, focused on implementation</w:t>
      </w:r>
      <w:r w:rsidRPr="00306207">
        <w:t>.</w:t>
      </w:r>
    </w:p>
    <w:p w14:paraId="7007FBF0" w14:textId="77777777" w:rsidR="00237C7B" w:rsidRPr="00306207" w:rsidRDefault="00237C7B" w:rsidP="00726804">
      <w:pPr>
        <w:pStyle w:val="Heading2"/>
      </w:pPr>
      <w:bookmarkStart w:id="60" w:name="_Toc13224803"/>
      <w:r w:rsidRPr="00306207">
        <w:t>Priority areas for reform</w:t>
      </w:r>
      <w:bookmarkEnd w:id="60"/>
      <w:r w:rsidRPr="00306207">
        <w:t xml:space="preserve">  </w:t>
      </w:r>
    </w:p>
    <w:p w14:paraId="5472CE1C" w14:textId="77777777" w:rsidR="000558D0" w:rsidRPr="000558D0" w:rsidRDefault="000558D0" w:rsidP="000558D0">
      <w:r w:rsidRPr="000558D0">
        <w:t xml:space="preserve">Six areas have been identified as priorities for reform based on the issues and findings in Part two of the Strategy. Recommendations and proposed actions relating to each area are outlined below. In addition, there is a recommendation and actions related to the implementation of the Strategy, which incorporates and reflects the Advisory Group’s view on the value and potential role of an RRR Education Commissioner. </w:t>
      </w:r>
    </w:p>
    <w:p w14:paraId="3BBBC0A4" w14:textId="5359FCAF" w:rsidR="000558D0" w:rsidRPr="000558D0" w:rsidRDefault="000558D0" w:rsidP="000558D0">
      <w:r w:rsidRPr="000558D0">
        <w:t>The recommendations and actions outline the steps the Advisory Group believes need to be taken to achieve the vision, objectives and targets associated with the Strategy. Together, they will bring about improvements in tertiary education participation and outcomes for RRR Australians.</w:t>
      </w:r>
    </w:p>
    <w:p w14:paraId="7D590C50" w14:textId="303DE64D" w:rsidR="00237C7B" w:rsidRPr="00306207" w:rsidRDefault="00237C7B" w:rsidP="00726804">
      <w:pPr>
        <w:pStyle w:val="Heading3"/>
      </w:pPr>
      <w:r w:rsidRPr="00306207">
        <w:t xml:space="preserve">Access to study options </w:t>
      </w:r>
    </w:p>
    <w:p w14:paraId="32E5C687" w14:textId="77777777" w:rsidR="00FA38D7" w:rsidRPr="00FA38D7" w:rsidRDefault="00FA38D7" w:rsidP="00FA38D7">
      <w:r w:rsidRPr="00FA38D7">
        <w:t xml:space="preserve">A central component of the Strategy is a recommendation and suite of actions to improve access to a range of tertiary education study options in RRR communities across Australia. </w:t>
      </w:r>
    </w:p>
    <w:p w14:paraId="33FE0941" w14:textId="77777777" w:rsidR="00FA38D7" w:rsidRPr="00FA38D7" w:rsidRDefault="00FA38D7" w:rsidP="00FA38D7">
      <w:r w:rsidRPr="00FA38D7">
        <w:t xml:space="preserve">In order to increase university participation rates, some lifting of the current caps on funding for university places is necessary. The preferred approach would be to introduce demand-driven funding for all bachelor-level places at regional universities and campuses. This change would improve access and contribute to regional development. </w:t>
      </w:r>
    </w:p>
    <w:p w14:paraId="33B5BEC8" w14:textId="272C2CCB" w:rsidR="00FA38D7" w:rsidRPr="00FA38D7" w:rsidRDefault="00FA38D7" w:rsidP="00FA38D7">
      <w:r w:rsidRPr="00FA38D7">
        <w:t>In recommending uncapping funding for places in regional and remote areas, the Advisory Group is cognisant that this may lead to higher rates of attrition through increased participation of students requiring additional assistance who otherwise would not have commenced further study. This issue was raised by the Productivity Commission in their recent report on the demand-driven system.</w:t>
      </w:r>
      <w:r>
        <w:rPr>
          <w:rStyle w:val="FootnoteReference"/>
        </w:rPr>
        <w:footnoteReference w:id="96"/>
      </w:r>
      <w:r w:rsidRPr="00FA38D7">
        <w:t xml:space="preserve"> </w:t>
      </w:r>
    </w:p>
    <w:p w14:paraId="35AE751E" w14:textId="05177CA9" w:rsidR="00FA38D7" w:rsidRDefault="00FA38D7" w:rsidP="00FA38D7">
      <w:r w:rsidRPr="00FA38D7">
        <w:t>The Advisory Group strongly believes that potential growth in attrition resulting from improved access for RRR students should not in itself be interpreted as a negative outcome, nor should tertiary providers be penalised in any performance metric for enrolling such students. Providers may be reluctant to enrol RRR students if they are of the view that it could damage their funding or reputation, thus placing further barriers to participation of RRR students. Research shows that even those who commence and drop out are better off in terms of financial and health outcomes, than those who never undertake higher education.</w:t>
      </w:r>
      <w:r>
        <w:rPr>
          <w:rStyle w:val="FootnoteReference"/>
        </w:rPr>
        <w:footnoteReference w:id="97"/>
      </w:r>
      <w:r w:rsidRPr="00FA38D7">
        <w:t xml:space="preserve"> The Advisory Group believes that actions in the Strategy to improve RRR student support and “on-boarding” will help prevent any associated growth in attrition. </w:t>
      </w:r>
    </w:p>
    <w:p w14:paraId="782FB541" w14:textId="43E115CB" w:rsidR="00FA38D7" w:rsidRPr="00FA38D7" w:rsidRDefault="00FA38D7" w:rsidP="00FA38D7">
      <w:r w:rsidRPr="00FA38D7">
        <w:t xml:space="preserve">To complement action to increase the supply of university places at the Commonwealth level, the Advisory Group considers that state and territory governments, for their part, should fund additional VET places in RRR areas, particularly for employment-related training, for both new and existing employees. This would help meet the needs of rural industries. Given the recent decline in training places relative to population in these areas, as highlighted in </w:t>
      </w:r>
      <w:r w:rsidR="00D85656" w:rsidRPr="00D85656">
        <w:t>Table 4 (p.21</w:t>
      </w:r>
      <w:r w:rsidRPr="00D85656">
        <w:t>),</w:t>
      </w:r>
      <w:r w:rsidRPr="00FA38D7">
        <w:t xml:space="preserve"> there is a case for introducing demand</w:t>
      </w:r>
      <w:r w:rsidRPr="00FA38D7">
        <w:noBreakHyphen/>
        <w:t xml:space="preserve">driven funding for such training, subject to there being sufficient demand to support economically viable course delivery in specific regions. </w:t>
      </w:r>
    </w:p>
    <w:p w14:paraId="59498136" w14:textId="77777777" w:rsidR="00FA38D7" w:rsidRPr="00FA38D7" w:rsidRDefault="00FA38D7" w:rsidP="00FA38D7">
      <w:r w:rsidRPr="00FA38D7">
        <w:lastRenderedPageBreak/>
        <w:t xml:space="preserve">The Advisory Group also considers that there is a need to provide additional funding for enabling and sub-bachelor courses at regional universities and campuses, which play a particularly important role in providing pathways to further study for RRR students. In addition, the Advisory Group considers participation in Regional Study Hubs should not be constrained by limits on funding for university places. </w:t>
      </w:r>
    </w:p>
    <w:p w14:paraId="73EEE588" w14:textId="77777777" w:rsidR="00FA38D7" w:rsidRPr="00FA38D7" w:rsidRDefault="00FA38D7" w:rsidP="00FA38D7">
      <w:r w:rsidRPr="00FA38D7">
        <w:t xml:space="preserve">There is also potential to explore the development and implementation of new higher education offerings focused more on practical learning and technical and professional skills development. These could bridge the gap between current VET and higher education offerings and provide clearer employment pathways, which is likely to be attractive to RRR students. </w:t>
      </w:r>
    </w:p>
    <w:p w14:paraId="2EE88858" w14:textId="77777777" w:rsidR="00FA38D7" w:rsidRPr="00FA38D7" w:rsidRDefault="00FA38D7" w:rsidP="00FA38D7">
      <w:r w:rsidRPr="00FA38D7">
        <w:t>In RRR areas that are currently under-serviced, Regional Study Hubs have an important role to play. Consultations suggest there is potential to explore a broader range of innovative models, built around community need and using existing infrastructure, such as libraries and other education institutions. Models could include “mini study hubs” in smaller RRR communities or limited-term study hubs, which could operate temporarily to meet pent</w:t>
      </w:r>
      <w:r w:rsidRPr="00FA38D7">
        <w:noBreakHyphen/>
        <w:t xml:space="preserve">up demand. It is recommended that the Government explore such models as part of the further expansion of Hubs. </w:t>
      </w:r>
    </w:p>
    <w:p w14:paraId="29C36E37" w14:textId="77777777" w:rsidR="00FA38D7" w:rsidRPr="00FA38D7" w:rsidRDefault="00FA38D7" w:rsidP="00FA38D7">
      <w:r w:rsidRPr="00FA38D7">
        <w:t xml:space="preserve">In rural and more remote areas, there is a need to further investigate how to provide faster, affordable and more reliable internet access, which is crucial to improving educational opportunities and outcomes for students. Facilitating access is not just about providing broadband access in more locations, but also about supporting students in remote areas to access sites that have the appropriate learning support and infrastructure, including through assistance with transport. </w:t>
      </w:r>
    </w:p>
    <w:p w14:paraId="1CD7AA89" w14:textId="3DECA8D9" w:rsidR="001124A4" w:rsidRPr="00306207" w:rsidRDefault="00FA38D7" w:rsidP="00FA38D7">
      <w:r w:rsidRPr="00FA38D7">
        <w:t>Finally, the strong role that VET plays in meeting the needs of RRR</w:t>
      </w:r>
      <w:r>
        <w:t xml:space="preserve"> students and communities could </w:t>
      </w:r>
      <w:r w:rsidRPr="00FA38D7">
        <w:t xml:space="preserve">be further supported by improving opportunities for articulation between VET and higher education, and through work with states and territories to improve student access to high quality VET programs. </w:t>
      </w:r>
    </w:p>
    <w:tbl>
      <w:tblPr>
        <w:tblStyle w:val="TableGrid"/>
        <w:tblW w:w="0" w:type="auto"/>
        <w:tblBorders>
          <w:top w:val="single" w:sz="12" w:space="0" w:color="F6A060"/>
          <w:left w:val="single" w:sz="12" w:space="0" w:color="F6A060"/>
          <w:bottom w:val="single" w:sz="12" w:space="0" w:color="F6A060"/>
          <w:right w:val="single" w:sz="12" w:space="0" w:color="F6A060"/>
          <w:insideH w:val="single" w:sz="12" w:space="0" w:color="F6A060"/>
          <w:insideV w:val="single" w:sz="12" w:space="0" w:color="F6A060"/>
        </w:tblBorders>
        <w:tblLook w:val="04A0" w:firstRow="1" w:lastRow="0" w:firstColumn="1" w:lastColumn="0" w:noHBand="0" w:noVBand="1"/>
      </w:tblPr>
      <w:tblGrid>
        <w:gridCol w:w="8996"/>
      </w:tblGrid>
      <w:tr w:rsidR="00FA38D7" w14:paraId="24307E14" w14:textId="77777777" w:rsidTr="000A7F88">
        <w:tc>
          <w:tcPr>
            <w:tcW w:w="9016" w:type="dxa"/>
            <w:shd w:val="clear" w:color="auto" w:fill="FDE8D9"/>
          </w:tcPr>
          <w:p w14:paraId="5B91A9D7" w14:textId="02848FE4" w:rsidR="00FA38D7" w:rsidRPr="00FA38D7" w:rsidRDefault="00FA38D7" w:rsidP="00263861">
            <w:pPr>
              <w:pStyle w:val="Heading3"/>
              <w:spacing w:before="0" w:after="240"/>
              <w:outlineLvl w:val="2"/>
              <w:rPr>
                <w:rStyle w:val="Strong"/>
                <w:rFonts w:asciiTheme="minorHAnsi" w:eastAsiaTheme="minorHAnsi" w:hAnsiTheme="minorHAnsi" w:cstheme="minorBidi"/>
                <w:b/>
                <w:bCs w:val="0"/>
                <w:color w:val="3A4952"/>
                <w:sz w:val="28"/>
                <w:szCs w:val="22"/>
              </w:rPr>
            </w:pPr>
            <w:r w:rsidRPr="00FA38D7">
              <w:rPr>
                <w:rStyle w:val="Strong"/>
                <w:b/>
                <w:bCs w:val="0"/>
                <w:color w:val="3A4952"/>
                <w:sz w:val="28"/>
              </w:rPr>
              <w:t xml:space="preserve">Recommendation one: </w:t>
            </w:r>
          </w:p>
          <w:p w14:paraId="62B5FF0C" w14:textId="77777777" w:rsidR="00FA38D7" w:rsidRPr="00FA38D7" w:rsidRDefault="00FA38D7" w:rsidP="00FA38D7">
            <w:r w:rsidRPr="00FA38D7">
              <w:t xml:space="preserve">Improve access to tertiary study options for students in RRR areas by: </w:t>
            </w:r>
          </w:p>
          <w:p w14:paraId="7B06569B" w14:textId="77777777" w:rsidR="00FA38D7" w:rsidRPr="00FA38D7" w:rsidRDefault="00FA38D7" w:rsidP="00041655">
            <w:pPr>
              <w:pStyle w:val="ListParagraph"/>
              <w:numPr>
                <w:ilvl w:val="0"/>
                <w:numId w:val="20"/>
              </w:numPr>
            </w:pPr>
            <w:r w:rsidRPr="00FA38D7">
              <w:t xml:space="preserve">providing demand-driven funding for university places in regional areas </w:t>
            </w:r>
          </w:p>
          <w:p w14:paraId="3D35840D" w14:textId="77777777" w:rsidR="00FA38D7" w:rsidRPr="00FA38D7" w:rsidRDefault="00FA38D7" w:rsidP="00041655">
            <w:pPr>
              <w:pStyle w:val="ListParagraph"/>
              <w:numPr>
                <w:ilvl w:val="0"/>
                <w:numId w:val="20"/>
              </w:numPr>
            </w:pPr>
            <w:r w:rsidRPr="00FA38D7">
              <w:t xml:space="preserve">exploring new higher education offerings focused on professional skills development </w:t>
            </w:r>
          </w:p>
          <w:p w14:paraId="4917B76C" w14:textId="77777777" w:rsidR="00FA38D7" w:rsidRPr="00FA38D7" w:rsidRDefault="00FA38D7" w:rsidP="00041655">
            <w:pPr>
              <w:pStyle w:val="ListParagraph"/>
              <w:numPr>
                <w:ilvl w:val="0"/>
                <w:numId w:val="20"/>
              </w:numPr>
            </w:pPr>
            <w:r w:rsidRPr="00FA38D7">
              <w:t xml:space="preserve">expanding access to Regional Study Hubs </w:t>
            </w:r>
          </w:p>
          <w:p w14:paraId="2DE475C3" w14:textId="77777777" w:rsidR="00FA38D7" w:rsidRPr="00FA38D7" w:rsidRDefault="00FA38D7" w:rsidP="00041655">
            <w:pPr>
              <w:pStyle w:val="ListParagraph"/>
              <w:numPr>
                <w:ilvl w:val="0"/>
                <w:numId w:val="20"/>
              </w:numPr>
            </w:pPr>
            <w:r w:rsidRPr="00FA38D7">
              <w:t xml:space="preserve">addressing problems with student access to affordable, reliable, high speed internet services, and </w:t>
            </w:r>
          </w:p>
          <w:p w14:paraId="30869747" w14:textId="77777777" w:rsidR="00FA38D7" w:rsidRPr="00FA38D7" w:rsidRDefault="00FA38D7" w:rsidP="00041655">
            <w:pPr>
              <w:pStyle w:val="ListParagraph"/>
              <w:numPr>
                <w:ilvl w:val="0"/>
                <w:numId w:val="20"/>
              </w:numPr>
            </w:pPr>
            <w:r w:rsidRPr="00FA38D7">
              <w:t>improving access to high quality VET programs in RRR areas.</w:t>
            </w:r>
          </w:p>
          <w:p w14:paraId="653B04B5" w14:textId="77777777" w:rsidR="00FA38D7" w:rsidRDefault="00FA38D7" w:rsidP="00FA38D7">
            <w:pPr>
              <w:pStyle w:val="Heading3"/>
              <w:outlineLvl w:val="2"/>
              <w:rPr>
                <w:rStyle w:val="Strong"/>
                <w:b/>
                <w:bCs w:val="0"/>
                <w:color w:val="3A4952"/>
                <w:sz w:val="28"/>
              </w:rPr>
            </w:pPr>
          </w:p>
        </w:tc>
      </w:tr>
    </w:tbl>
    <w:p w14:paraId="7391EB98" w14:textId="77777777" w:rsidR="00FA38D7" w:rsidRPr="00FA38D7" w:rsidRDefault="00FA38D7" w:rsidP="00FA38D7"/>
    <w:p w14:paraId="11036416" w14:textId="286BFBA1" w:rsidR="00237C7B" w:rsidRPr="000A7F88" w:rsidRDefault="00237C7B" w:rsidP="000A7F88">
      <w:pPr>
        <w:pStyle w:val="Heading3"/>
        <w:rPr>
          <w:rStyle w:val="Strong"/>
          <w:b/>
          <w:bCs w:val="0"/>
          <w:color w:val="3A4952"/>
          <w:sz w:val="28"/>
        </w:rPr>
      </w:pPr>
      <w:r w:rsidRPr="000A7F88">
        <w:rPr>
          <w:rStyle w:val="Strong"/>
          <w:b/>
          <w:bCs w:val="0"/>
          <w:color w:val="3A4952"/>
          <w:sz w:val="28"/>
        </w:rPr>
        <w:t>Actions</w:t>
      </w:r>
    </w:p>
    <w:p w14:paraId="33E798FD" w14:textId="77777777" w:rsidR="000A7F88" w:rsidRPr="000A7F88" w:rsidRDefault="000A7F88" w:rsidP="00263861">
      <w:pPr>
        <w:pStyle w:val="ListParagraph"/>
        <w:numPr>
          <w:ilvl w:val="0"/>
          <w:numId w:val="45"/>
        </w:numPr>
        <w:autoSpaceDE w:val="0"/>
        <w:autoSpaceDN w:val="0"/>
        <w:adjustRightInd w:val="0"/>
        <w:spacing w:after="47" w:line="240" w:lineRule="auto"/>
        <w:ind w:left="426" w:hanging="349"/>
        <w:rPr>
          <w:rFonts w:cs="HelveticaNeue LT 45 Light"/>
          <w:color w:val="000000"/>
        </w:rPr>
      </w:pPr>
      <w:r w:rsidRPr="000A7F88">
        <w:rPr>
          <w:rFonts w:cs="HelveticaNeue LT 45 Light"/>
          <w:color w:val="000000"/>
        </w:rPr>
        <w:t xml:space="preserve">Provide demand-driven funding for Commonwealth-supported bachelor-level university places, excluding medical, for domestic students studying at regional and remote campuses. To complement this reform, increase funding for enabling and sub-bachelor places at regional campuses, and for places used by students attending Regional Study Hubs. </w:t>
      </w:r>
    </w:p>
    <w:p w14:paraId="56E4E173" w14:textId="77777777" w:rsidR="000A7F88" w:rsidRPr="000A7F88" w:rsidRDefault="000A7F88" w:rsidP="00263861">
      <w:pPr>
        <w:pStyle w:val="ListParagraph"/>
        <w:numPr>
          <w:ilvl w:val="0"/>
          <w:numId w:val="45"/>
        </w:numPr>
        <w:autoSpaceDE w:val="0"/>
        <w:autoSpaceDN w:val="0"/>
        <w:adjustRightInd w:val="0"/>
        <w:spacing w:after="47" w:line="240" w:lineRule="auto"/>
        <w:ind w:left="426" w:hanging="349"/>
        <w:rPr>
          <w:rFonts w:cs="HelveticaNeue LT 45 Light"/>
          <w:color w:val="000000"/>
        </w:rPr>
      </w:pPr>
      <w:r w:rsidRPr="000A7F88">
        <w:rPr>
          <w:rFonts w:cs="HelveticaNeue LT 45 Light"/>
          <w:color w:val="000000"/>
        </w:rPr>
        <w:t xml:space="preserve">Explore with the VET and higher education sector the development of a new type of higher education offering focused more on practical learning and technical and professional skills development. </w:t>
      </w:r>
    </w:p>
    <w:p w14:paraId="25A9D3D1" w14:textId="77777777" w:rsidR="000A7F88" w:rsidRPr="000A7F88" w:rsidRDefault="000A7F88" w:rsidP="00263861">
      <w:pPr>
        <w:pStyle w:val="ListParagraph"/>
        <w:numPr>
          <w:ilvl w:val="0"/>
          <w:numId w:val="45"/>
        </w:numPr>
        <w:autoSpaceDE w:val="0"/>
        <w:autoSpaceDN w:val="0"/>
        <w:adjustRightInd w:val="0"/>
        <w:spacing w:after="47" w:line="240" w:lineRule="auto"/>
        <w:ind w:left="426" w:hanging="349"/>
        <w:rPr>
          <w:rFonts w:cs="HelveticaNeue LT 45 Light"/>
          <w:color w:val="000000"/>
        </w:rPr>
      </w:pPr>
      <w:r w:rsidRPr="000A7F88">
        <w:rPr>
          <w:rFonts w:cs="HelveticaNeue LT 45 Light"/>
          <w:color w:val="000000"/>
        </w:rPr>
        <w:lastRenderedPageBreak/>
        <w:t xml:space="preserve">Expand and enhance the Regional Study Hubs program using a broader range of models tailored to community needs, with sufficient program management and governance support to ensure their success. </w:t>
      </w:r>
    </w:p>
    <w:p w14:paraId="7F2FC6FF" w14:textId="77777777" w:rsidR="000A7F88" w:rsidRPr="000A7F88" w:rsidRDefault="000A7F88" w:rsidP="00263861">
      <w:pPr>
        <w:pStyle w:val="ListParagraph"/>
        <w:numPr>
          <w:ilvl w:val="0"/>
          <w:numId w:val="45"/>
        </w:numPr>
        <w:autoSpaceDE w:val="0"/>
        <w:autoSpaceDN w:val="0"/>
        <w:adjustRightInd w:val="0"/>
        <w:spacing w:after="47" w:line="240" w:lineRule="auto"/>
        <w:ind w:left="426" w:hanging="349"/>
        <w:rPr>
          <w:rFonts w:cs="HelveticaNeue LT 45 Light"/>
          <w:color w:val="000000"/>
        </w:rPr>
      </w:pPr>
      <w:r w:rsidRPr="000A7F88">
        <w:rPr>
          <w:rFonts w:cs="HelveticaNeue LT 45 Light"/>
          <w:color w:val="000000"/>
        </w:rPr>
        <w:t xml:space="preserve">Prioritise and accelerate work to ensure that all students in RRR areas can access internet services to an agreed benchmark standard. This work requires a detailed investigation into the internet speed, capacity and affordability requirements of RRR students and tertiary education providers and how to deliver access to reliable 21st century internet services that will meet these needs. The work would build on the 2018 Regional Telecommunications Review. </w:t>
      </w:r>
    </w:p>
    <w:p w14:paraId="66F22F2D" w14:textId="77777777" w:rsidR="000A7F88" w:rsidRPr="000A7F88" w:rsidRDefault="000A7F88" w:rsidP="00263861">
      <w:pPr>
        <w:pStyle w:val="ListParagraph"/>
        <w:numPr>
          <w:ilvl w:val="0"/>
          <w:numId w:val="45"/>
        </w:numPr>
        <w:autoSpaceDE w:val="0"/>
        <w:autoSpaceDN w:val="0"/>
        <w:adjustRightInd w:val="0"/>
        <w:spacing w:after="47" w:line="240" w:lineRule="auto"/>
        <w:ind w:left="426" w:hanging="349"/>
        <w:rPr>
          <w:rFonts w:cs="HelveticaNeue LT 45 Light"/>
          <w:color w:val="000000"/>
        </w:rPr>
      </w:pPr>
      <w:r w:rsidRPr="000A7F88">
        <w:rPr>
          <w:rFonts w:cs="HelveticaNeue LT 45 Light"/>
          <w:color w:val="000000"/>
        </w:rPr>
        <w:t xml:space="preserve">Implement a more consistent, transparent and transferrable system of recognition of prior learning and credit transfer to support pathways for articulation between providers, informed by the Australian Qualifications Framework (AQF) review. </w:t>
      </w:r>
    </w:p>
    <w:p w14:paraId="5F42A667" w14:textId="77777777" w:rsidR="000A7F88" w:rsidRDefault="000A7F88" w:rsidP="00263861">
      <w:pPr>
        <w:pStyle w:val="ListParagraph"/>
        <w:numPr>
          <w:ilvl w:val="0"/>
          <w:numId w:val="45"/>
        </w:numPr>
        <w:autoSpaceDE w:val="0"/>
        <w:autoSpaceDN w:val="0"/>
        <w:adjustRightInd w:val="0"/>
        <w:spacing w:after="47" w:line="240" w:lineRule="auto"/>
        <w:ind w:left="426" w:hanging="349"/>
        <w:rPr>
          <w:rFonts w:cs="HelveticaNeue LT 45 Light"/>
          <w:color w:val="000000"/>
        </w:rPr>
      </w:pPr>
      <w:r w:rsidRPr="000A7F88">
        <w:rPr>
          <w:rFonts w:cs="HelveticaNeue LT 45 Light"/>
          <w:color w:val="000000"/>
        </w:rPr>
        <w:t xml:space="preserve">Work with state and territory governments to improve student access to high quality VET programs in RRR areas including: </w:t>
      </w:r>
    </w:p>
    <w:p w14:paraId="7408CC01" w14:textId="68B13B94" w:rsidR="000A7F88" w:rsidRPr="000A7F88" w:rsidRDefault="000A7F88" w:rsidP="00263861">
      <w:pPr>
        <w:pStyle w:val="ListParagraph"/>
        <w:numPr>
          <w:ilvl w:val="0"/>
          <w:numId w:val="22"/>
        </w:numPr>
        <w:autoSpaceDE w:val="0"/>
        <w:autoSpaceDN w:val="0"/>
        <w:adjustRightInd w:val="0"/>
        <w:spacing w:after="47" w:line="240" w:lineRule="auto"/>
        <w:ind w:left="851" w:hanging="426"/>
        <w:rPr>
          <w:rFonts w:cs="HelveticaNeue LT 45 Light"/>
          <w:color w:val="000000"/>
        </w:rPr>
      </w:pPr>
      <w:r w:rsidRPr="000A7F88">
        <w:rPr>
          <w:rFonts w:cs="HelveticaNeue LT 45 Light"/>
          <w:color w:val="000000"/>
        </w:rPr>
        <w:t xml:space="preserve">asking jurisdictions to reduce the barriers preventing RTOs from providing publicly subsidised training places in multiple states and territories, to address gaps and improve choice in access for students from RRR areas </w:t>
      </w:r>
    </w:p>
    <w:p w14:paraId="10872978" w14:textId="77777777" w:rsidR="000A7F88" w:rsidRPr="000A7F88" w:rsidRDefault="000A7F88" w:rsidP="00263861">
      <w:pPr>
        <w:pStyle w:val="ListParagraph"/>
        <w:numPr>
          <w:ilvl w:val="0"/>
          <w:numId w:val="22"/>
        </w:numPr>
        <w:autoSpaceDE w:val="0"/>
        <w:autoSpaceDN w:val="0"/>
        <w:adjustRightInd w:val="0"/>
        <w:spacing w:after="47" w:line="240" w:lineRule="auto"/>
        <w:ind w:left="851" w:hanging="426"/>
        <w:rPr>
          <w:rFonts w:cs="HelveticaNeue LT 45 Light"/>
          <w:color w:val="000000"/>
        </w:rPr>
      </w:pPr>
      <w:r w:rsidRPr="000A7F88">
        <w:rPr>
          <w:rFonts w:cs="HelveticaNeue LT 45 Light"/>
          <w:color w:val="000000"/>
        </w:rPr>
        <w:t xml:space="preserve">exploring strategies to better meet the needs of cross-border RRR populations </w:t>
      </w:r>
    </w:p>
    <w:p w14:paraId="2C4E91AC" w14:textId="77777777" w:rsidR="000A7F88" w:rsidRPr="000A7F88" w:rsidRDefault="000A7F88" w:rsidP="00263861">
      <w:pPr>
        <w:pStyle w:val="ListParagraph"/>
        <w:numPr>
          <w:ilvl w:val="0"/>
          <w:numId w:val="22"/>
        </w:numPr>
        <w:autoSpaceDE w:val="0"/>
        <w:autoSpaceDN w:val="0"/>
        <w:adjustRightInd w:val="0"/>
        <w:spacing w:after="47" w:line="240" w:lineRule="auto"/>
        <w:ind w:left="851" w:hanging="426"/>
        <w:rPr>
          <w:rFonts w:cs="HelveticaNeue LT 45 Light"/>
          <w:color w:val="000000"/>
        </w:rPr>
      </w:pPr>
      <w:r w:rsidRPr="000A7F88">
        <w:rPr>
          <w:rFonts w:cs="HelveticaNeue LT 45 Light"/>
          <w:color w:val="000000"/>
        </w:rPr>
        <w:t xml:space="preserve">targeting expansion in access to qualifications highly relevant to the needs of RRR industries, and </w:t>
      </w:r>
    </w:p>
    <w:p w14:paraId="6BCB8816" w14:textId="6CF0C112" w:rsidR="006A61DF" w:rsidRPr="00306207" w:rsidRDefault="000A7F88" w:rsidP="00263861">
      <w:pPr>
        <w:pStyle w:val="ListParagraph"/>
        <w:numPr>
          <w:ilvl w:val="0"/>
          <w:numId w:val="22"/>
        </w:numPr>
        <w:autoSpaceDE w:val="0"/>
        <w:autoSpaceDN w:val="0"/>
        <w:adjustRightInd w:val="0"/>
        <w:spacing w:after="47" w:line="240" w:lineRule="auto"/>
        <w:ind w:left="851" w:hanging="426"/>
        <w:rPr>
          <w:lang w:eastAsia="en-AU"/>
        </w:rPr>
      </w:pPr>
      <w:r w:rsidRPr="000A7F88">
        <w:rPr>
          <w:rFonts w:cs="HelveticaNeue LT 45 Light"/>
          <w:color w:val="000000"/>
        </w:rPr>
        <w:t xml:space="preserve">requesting jurisdictions increase the availability of subsidised places for VET courses in RRR areas where there is demonstrated demand and associated employment outcomes. </w:t>
      </w:r>
    </w:p>
    <w:p w14:paraId="4EE3629F" w14:textId="77777777" w:rsidR="00237C7B" w:rsidRPr="00306207" w:rsidRDefault="00237C7B" w:rsidP="00726804">
      <w:pPr>
        <w:pStyle w:val="Heading3"/>
      </w:pPr>
      <w:r w:rsidRPr="00306207">
        <w:t xml:space="preserve">Financial support </w:t>
      </w:r>
    </w:p>
    <w:p w14:paraId="7576E620" w14:textId="77777777" w:rsidR="000A7F88" w:rsidRPr="000A7F88" w:rsidRDefault="000A7F88" w:rsidP="000A7F88">
      <w:r w:rsidRPr="000A7F88">
        <w:t xml:space="preserve">Improving financial support is critical to increasing access to tertiary education for RRR Australians and supporting their aspiration to undertake study. This is particularly the case for RRR students who need to relocate to undertake post-secondary education. </w:t>
      </w:r>
    </w:p>
    <w:p w14:paraId="6D6759AD" w14:textId="77777777" w:rsidR="000A7F88" w:rsidRPr="000A7F88" w:rsidRDefault="000A7F88" w:rsidP="000A7F88">
      <w:r w:rsidRPr="000A7F88">
        <w:t xml:space="preserve">As well as encouraging greater participation, improved financial support will help increase the numbers of students from RRR areas successfully completing their studies. While there have been some significant improvements to financial support for RRR students over recent years, the costs associated with tertiary study still deter some students from study and create additional pressures for them and their families. This leads to higher rates of RRR students deferring their studies or dropping out in their first year. </w:t>
      </w:r>
    </w:p>
    <w:p w14:paraId="028E793C" w14:textId="30E82C06" w:rsidR="007A401F" w:rsidRPr="00306207" w:rsidRDefault="000A7F88" w:rsidP="000A7F88">
      <w:r w:rsidRPr="000A7F88">
        <w:t xml:space="preserve">Changes to income support arrangements could make a significant difference to encourage more students to successfully undertake higher-level tertiary education after finishing secondary school. Providing this support is not about providing welfare assistance, but </w:t>
      </w:r>
      <w:r w:rsidR="00BB48EB">
        <w:t>rather</w:t>
      </w:r>
      <w:r w:rsidR="00BB48EB" w:rsidRPr="00306207">
        <w:t xml:space="preserve"> </w:t>
      </w:r>
      <w:r w:rsidR="007A401F" w:rsidRPr="00306207">
        <w:t xml:space="preserve">removing a barrier that constrains the aspirations of students and prevents them from having the opportunity to successfully undertake higher-level tertiary education.   </w:t>
      </w:r>
    </w:p>
    <w:p w14:paraId="60D1BB47" w14:textId="77777777" w:rsidR="000A7F88" w:rsidRPr="000A7F88" w:rsidRDefault="000A7F88" w:rsidP="000A7F88">
      <w:r w:rsidRPr="000A7F88">
        <w:t xml:space="preserve">In an ideal world, all RRR students and families would have access to support through Youth Allowance or some other mechanism to meet the additional costs associated with relocation. This would provide greater fairness and equity and ensure students are not deterred from undertaking study by the additional costs they may incur because of where they live. The Advisory Group’s preferred approach, if it were possible, would be to allow all students who relocate from an RRR area to automatically qualify as independent for Youth Allowance purposes. This would incorporate all tertiary qualifications that span at least one year. Students could also be provided with a one-off “relocation allowance” at the beginning of their course. </w:t>
      </w:r>
    </w:p>
    <w:p w14:paraId="690A7E76" w14:textId="77777777" w:rsidR="000A7F88" w:rsidRPr="000A7F88" w:rsidRDefault="000A7F88" w:rsidP="000A7F88">
      <w:r w:rsidRPr="000A7F88">
        <w:t xml:space="preserve">However, this would involve significant costs to the Budget, particularly if based on current regional and remote classifications. It is nevertheless important that the Government consider this type of </w:t>
      </w:r>
      <w:r w:rsidRPr="000A7F88">
        <w:lastRenderedPageBreak/>
        <w:t xml:space="preserve">reform over the longer-term, depending on the progress achieved as a result of the recommendations and actions outlined in the Strategy. Development of an improved geographical classification system for education purposes may provide greater opportunity to more effectively target such initiatives in the future. </w:t>
      </w:r>
    </w:p>
    <w:p w14:paraId="52A275BE" w14:textId="6EB307BF" w:rsidR="000A7F88" w:rsidRPr="000A7F88" w:rsidRDefault="000A7F88" w:rsidP="000A7F88">
      <w:r w:rsidRPr="000A7F88">
        <w:t>In the short-term, there are alternative steps that can be taken towards improving financial support. In particular, there is potential to introduce a new tertiary education access payment for school leavers who relocate for further education from an outer regional or remote area. This would encourage and assist students to access tertiary study immediately following school and may reduce the number of RRR students undertaking gap years, which research indicates contributes to lower RRR participation and attainment.</w:t>
      </w:r>
      <w:r w:rsidR="0034043A">
        <w:rPr>
          <w:rStyle w:val="FootnoteReference"/>
        </w:rPr>
        <w:footnoteReference w:id="98"/>
      </w:r>
      <w:r w:rsidRPr="000A7F88">
        <w:t xml:space="preserve"> </w:t>
      </w:r>
    </w:p>
    <w:p w14:paraId="3D8BE40C" w14:textId="77777777" w:rsidR="000A7F88" w:rsidRPr="000A7F88" w:rsidRDefault="000A7F88" w:rsidP="000A7F88">
      <w:r w:rsidRPr="000A7F88">
        <w:t xml:space="preserve">There is also the option to provide alternate pathways to independent Youth Allowance to support RRR students who initially study externally, including at a Regional Study Hub. These initiatives could be complemented by other changes to income support, including reducing the earnings requirements under the Concessional Workforce test for independent Youth Allowance. </w:t>
      </w:r>
    </w:p>
    <w:p w14:paraId="3AB87B06" w14:textId="74A5174D" w:rsidR="000A7F88" w:rsidRPr="000A7F88" w:rsidRDefault="000A7F88" w:rsidP="000A7F88">
      <w:r w:rsidRPr="000A7F88">
        <w:t>The recent changes to the parental income cut-offs related to this test should also be reviewed– say in 12 months time – to consider whether further increases are required and ensure the changes are having the intended effect. For example, consideration could be given to increasing the parental income limit to the limit use</w:t>
      </w:r>
      <w:r>
        <w:t>d for other payments, such as the C</w:t>
      </w:r>
      <w:r w:rsidRPr="000A7F88">
        <w:t xml:space="preserve">hild Care Subsidy. </w:t>
      </w:r>
    </w:p>
    <w:p w14:paraId="525466C7" w14:textId="77777777" w:rsidR="000A7F88" w:rsidRPr="000A7F88" w:rsidRDefault="000A7F88" w:rsidP="000A7F88">
      <w:r w:rsidRPr="000A7F88">
        <w:t xml:space="preserve">Measures to assist external learners and relocating students with costs associated with travel to education institutions and back to their communities, including to enable them to visit prospective tertiary campuses or undertake entry testing, could support RRR student aspiration and attainment. In addition, funds to support a family member to visit a relocating student in their first year would provide additional support and may help students complete their studies. </w:t>
      </w:r>
    </w:p>
    <w:p w14:paraId="35C1F86C" w14:textId="6A959186" w:rsidR="000A7F88" w:rsidRDefault="000A7F88" w:rsidP="000A7F88">
      <w:r w:rsidRPr="000A7F88">
        <w:t>The Strategy also includes an action to improve and promote online access to financial support information for students, which is consistent and easily digestible, to address the issue of many students not being aware of what support is available or where and how this information can be accessed.</w:t>
      </w:r>
    </w:p>
    <w:tbl>
      <w:tblPr>
        <w:tblStyle w:val="TableGrid"/>
        <w:tblW w:w="0" w:type="auto"/>
        <w:tblLook w:val="04A0" w:firstRow="1" w:lastRow="0" w:firstColumn="1" w:lastColumn="0" w:noHBand="0" w:noVBand="1"/>
      </w:tblPr>
      <w:tblGrid>
        <w:gridCol w:w="8996"/>
      </w:tblGrid>
      <w:tr w:rsidR="000A7F88" w14:paraId="4AEF69F8" w14:textId="77777777" w:rsidTr="0073416E">
        <w:tc>
          <w:tcPr>
            <w:tcW w:w="9016" w:type="dxa"/>
            <w:tcBorders>
              <w:top w:val="single" w:sz="12" w:space="0" w:color="F6A060"/>
              <w:left w:val="single" w:sz="12" w:space="0" w:color="F6A060"/>
              <w:bottom w:val="single" w:sz="12" w:space="0" w:color="F6A060"/>
              <w:right w:val="single" w:sz="12" w:space="0" w:color="F6A060"/>
            </w:tcBorders>
            <w:shd w:val="clear" w:color="auto" w:fill="FDE8D9"/>
          </w:tcPr>
          <w:p w14:paraId="4CD0441E" w14:textId="77777777" w:rsidR="000A7F88" w:rsidRDefault="000A7F88" w:rsidP="000A7F88">
            <w:pPr>
              <w:pStyle w:val="Heading3"/>
              <w:outlineLvl w:val="2"/>
            </w:pPr>
            <w:r>
              <w:t xml:space="preserve">Recommendation two: </w:t>
            </w:r>
          </w:p>
          <w:p w14:paraId="105CD2A9" w14:textId="793EF511" w:rsidR="000A7F88" w:rsidRDefault="000A7F88" w:rsidP="000A7F88">
            <w:pPr>
              <w:spacing w:before="240"/>
            </w:pPr>
            <w:r w:rsidRPr="000A7F88">
              <w:t xml:space="preserve">Improve access to financial support, to support greater fairness and more equal opportunity, by: </w:t>
            </w:r>
          </w:p>
          <w:p w14:paraId="540A67DF" w14:textId="77777777" w:rsidR="000A7F88" w:rsidRPr="000A7F88" w:rsidRDefault="000A7F88" w:rsidP="00041655">
            <w:pPr>
              <w:pStyle w:val="ListParagraph"/>
              <w:numPr>
                <w:ilvl w:val="0"/>
                <w:numId w:val="23"/>
              </w:numPr>
            </w:pPr>
            <w:r w:rsidRPr="000A7F88">
              <w:t xml:space="preserve">introducing a new tertiary education access payment for students who relocate for study from an outer regional or remote area </w:t>
            </w:r>
          </w:p>
          <w:p w14:paraId="2E3FC4FB" w14:textId="77777777" w:rsidR="000A7F88" w:rsidRPr="000A7F88" w:rsidRDefault="000A7F88" w:rsidP="00041655">
            <w:pPr>
              <w:pStyle w:val="ListParagraph"/>
              <w:numPr>
                <w:ilvl w:val="0"/>
                <w:numId w:val="23"/>
              </w:numPr>
            </w:pPr>
            <w:r w:rsidRPr="000A7F88">
              <w:t xml:space="preserve">allowing greater flexibility in pathways to qualify for independent Youth Allowance </w:t>
            </w:r>
          </w:p>
          <w:p w14:paraId="5F74AB65" w14:textId="77777777" w:rsidR="000A7F88" w:rsidRPr="000A7F88" w:rsidRDefault="000A7F88" w:rsidP="00041655">
            <w:pPr>
              <w:pStyle w:val="ListParagraph"/>
              <w:numPr>
                <w:ilvl w:val="0"/>
                <w:numId w:val="23"/>
              </w:numPr>
            </w:pPr>
            <w:r w:rsidRPr="000A7F88">
              <w:t xml:space="preserve">providing greater assistance to students and families to meet costs associated with travel to and from their home communities, and </w:t>
            </w:r>
          </w:p>
          <w:p w14:paraId="19E03635" w14:textId="77777777" w:rsidR="000A7F88" w:rsidRPr="000A7F88" w:rsidRDefault="000A7F88" w:rsidP="00041655">
            <w:pPr>
              <w:pStyle w:val="ListParagraph"/>
              <w:numPr>
                <w:ilvl w:val="0"/>
                <w:numId w:val="23"/>
              </w:numPr>
            </w:pPr>
            <w:r w:rsidRPr="000A7F88">
              <w:t xml:space="preserve">promoting and improving the clarity of online information about available financial support. </w:t>
            </w:r>
          </w:p>
          <w:p w14:paraId="79CD1018" w14:textId="37943C0B" w:rsidR="000A7F88" w:rsidRPr="000A7F88" w:rsidRDefault="000A7F88" w:rsidP="000A7F88"/>
        </w:tc>
      </w:tr>
    </w:tbl>
    <w:p w14:paraId="06FCC136" w14:textId="7264C0D8" w:rsidR="0073416E" w:rsidRDefault="0073416E" w:rsidP="000A7F88"/>
    <w:p w14:paraId="1E472258" w14:textId="77777777" w:rsidR="0073416E" w:rsidRDefault="0073416E">
      <w:r>
        <w:br w:type="page"/>
      </w:r>
    </w:p>
    <w:p w14:paraId="7E6FC996" w14:textId="6B2BC207" w:rsidR="0073416E" w:rsidRPr="0073416E" w:rsidRDefault="00237C7B" w:rsidP="00263861">
      <w:pPr>
        <w:pStyle w:val="Heading3"/>
      </w:pPr>
      <w:r w:rsidRPr="0073416E">
        <w:rPr>
          <w:rStyle w:val="Strong"/>
          <w:b/>
          <w:bCs w:val="0"/>
          <w:color w:val="3A4952"/>
          <w:sz w:val="28"/>
        </w:rPr>
        <w:lastRenderedPageBreak/>
        <w:t>Actions</w:t>
      </w:r>
    </w:p>
    <w:p w14:paraId="21958205" w14:textId="77777777" w:rsidR="0073416E" w:rsidRPr="0073416E" w:rsidRDefault="0073416E" w:rsidP="00263861">
      <w:pPr>
        <w:pStyle w:val="ListParagraph"/>
        <w:numPr>
          <w:ilvl w:val="0"/>
          <w:numId w:val="45"/>
        </w:numPr>
        <w:autoSpaceDE w:val="0"/>
        <w:autoSpaceDN w:val="0"/>
        <w:adjustRightInd w:val="0"/>
        <w:spacing w:after="47" w:line="240" w:lineRule="auto"/>
        <w:ind w:left="426" w:hanging="349"/>
        <w:rPr>
          <w:rFonts w:cs="HelveticaNeue LT 45 Light"/>
          <w:color w:val="000000"/>
        </w:rPr>
      </w:pPr>
      <w:r w:rsidRPr="0073416E">
        <w:rPr>
          <w:rFonts w:cs="HelveticaNeue LT 45 Light"/>
          <w:color w:val="000000"/>
        </w:rPr>
        <w:t xml:space="preserve">Introduce a new tertiary education access payment of $5000 available to all school leavers that relocate from an outer regional or remote location to undertake full-time, higher-level tertiary education. The course would need to be of at least a year duration and provided at an institution at least 90 minutes by public transport from their home. </w:t>
      </w:r>
    </w:p>
    <w:p w14:paraId="7FA9BD79" w14:textId="77777777" w:rsidR="0073416E" w:rsidRPr="0073416E" w:rsidRDefault="0073416E" w:rsidP="00263861">
      <w:pPr>
        <w:pStyle w:val="ListParagraph"/>
        <w:numPr>
          <w:ilvl w:val="0"/>
          <w:numId w:val="45"/>
        </w:numPr>
        <w:autoSpaceDE w:val="0"/>
        <w:autoSpaceDN w:val="0"/>
        <w:adjustRightInd w:val="0"/>
        <w:spacing w:after="47" w:line="240" w:lineRule="auto"/>
        <w:ind w:left="426"/>
        <w:rPr>
          <w:rFonts w:cs="HelveticaNeue LT 45 Light"/>
          <w:color w:val="000000"/>
        </w:rPr>
      </w:pPr>
      <w:r w:rsidRPr="0073416E">
        <w:rPr>
          <w:rFonts w:cs="HelveticaNeue LT 45 Light"/>
          <w:color w:val="000000"/>
        </w:rPr>
        <w:t xml:space="preserve">Allow RRR learners who successfully undertake their first year of tertiary study externally, including at a Regional Study Hub, to access independent Youth Allowance or independent ABSTUDY Allowance if they relocate to continue their study in their second year. The course would need to be of at least a further year duration and provided at an institution at least 90 minutes by public transport from their home. </w:t>
      </w:r>
    </w:p>
    <w:p w14:paraId="2DD6CBFC" w14:textId="77777777" w:rsidR="0073416E" w:rsidRPr="0073416E" w:rsidRDefault="0073416E" w:rsidP="00263861">
      <w:pPr>
        <w:pStyle w:val="ListParagraph"/>
        <w:numPr>
          <w:ilvl w:val="0"/>
          <w:numId w:val="45"/>
        </w:numPr>
        <w:autoSpaceDE w:val="0"/>
        <w:autoSpaceDN w:val="0"/>
        <w:adjustRightInd w:val="0"/>
        <w:spacing w:after="47" w:line="240" w:lineRule="auto"/>
        <w:ind w:left="426"/>
        <w:rPr>
          <w:rFonts w:cs="HelveticaNeue LT 45 Light"/>
          <w:color w:val="000000"/>
        </w:rPr>
      </w:pPr>
      <w:r w:rsidRPr="0073416E">
        <w:rPr>
          <w:rFonts w:cs="HelveticaNeue LT 45 Light"/>
          <w:color w:val="000000"/>
        </w:rPr>
        <w:t xml:space="preserve">Reduce the earnings requirements under the Concessional Workforce test for independent Youth Allowance and review the recent changes to the parental means test cut-offs, to address any problems with uptake. </w:t>
      </w:r>
    </w:p>
    <w:p w14:paraId="245C544C" w14:textId="77777777" w:rsidR="0073416E" w:rsidRPr="0073416E" w:rsidRDefault="0073416E" w:rsidP="00263861">
      <w:pPr>
        <w:pStyle w:val="ListParagraph"/>
        <w:numPr>
          <w:ilvl w:val="0"/>
          <w:numId w:val="45"/>
        </w:numPr>
        <w:autoSpaceDE w:val="0"/>
        <w:autoSpaceDN w:val="0"/>
        <w:adjustRightInd w:val="0"/>
        <w:spacing w:after="47" w:line="240" w:lineRule="auto"/>
        <w:ind w:left="426"/>
        <w:rPr>
          <w:rFonts w:cs="HelveticaNeue LT 45 Light"/>
          <w:color w:val="000000"/>
        </w:rPr>
      </w:pPr>
      <w:r w:rsidRPr="0073416E">
        <w:rPr>
          <w:rFonts w:cs="HelveticaNeue LT 45 Light"/>
          <w:color w:val="000000"/>
        </w:rPr>
        <w:t xml:space="preserve">Improve support for RRR students who study externally, either at home or at a Regional Study Hub, by providing them with Away from Base assistance when they are required to travel to complete a part of their course. </w:t>
      </w:r>
    </w:p>
    <w:p w14:paraId="051AA19C" w14:textId="77777777" w:rsidR="0073416E" w:rsidRPr="0073416E" w:rsidRDefault="0073416E" w:rsidP="00263861">
      <w:pPr>
        <w:pStyle w:val="ListParagraph"/>
        <w:numPr>
          <w:ilvl w:val="0"/>
          <w:numId w:val="45"/>
        </w:numPr>
        <w:autoSpaceDE w:val="0"/>
        <w:autoSpaceDN w:val="0"/>
        <w:adjustRightInd w:val="0"/>
        <w:spacing w:after="47" w:line="240" w:lineRule="auto"/>
        <w:ind w:left="426"/>
        <w:rPr>
          <w:rFonts w:cs="HelveticaNeue LT 45 Light"/>
          <w:color w:val="000000"/>
        </w:rPr>
      </w:pPr>
      <w:r w:rsidRPr="0073416E">
        <w:rPr>
          <w:rFonts w:cs="HelveticaNeue LT 45 Light"/>
          <w:color w:val="000000"/>
        </w:rPr>
        <w:t xml:space="preserve">Expand Fares Allowance to enable Year 12 students to visit prospective tertiary campuses, enable relocated students to return home during their mid-year break and their families to visit them during their first year of study. </w:t>
      </w:r>
    </w:p>
    <w:p w14:paraId="69B68169" w14:textId="09CE7A50" w:rsidR="0073416E" w:rsidRDefault="0073416E" w:rsidP="00263861">
      <w:pPr>
        <w:pStyle w:val="ListParagraph"/>
        <w:numPr>
          <w:ilvl w:val="0"/>
          <w:numId w:val="45"/>
        </w:numPr>
        <w:autoSpaceDE w:val="0"/>
        <w:autoSpaceDN w:val="0"/>
        <w:adjustRightInd w:val="0"/>
        <w:spacing w:after="47" w:line="240" w:lineRule="auto"/>
        <w:ind w:left="426"/>
        <w:rPr>
          <w:rFonts w:cs="HelveticaNeue LT 45 Light"/>
          <w:color w:val="000000"/>
        </w:rPr>
      </w:pPr>
      <w:r w:rsidRPr="0073416E">
        <w:rPr>
          <w:rFonts w:cs="HelveticaNeue LT 45 Light"/>
          <w:color w:val="000000"/>
        </w:rPr>
        <w:t xml:space="preserve">Improve and promote online access to financial support information to provide students and families with clearer information on the support available for tertiary studies, by improving existing websites or creating a new portal that consolidates existing information. </w:t>
      </w:r>
    </w:p>
    <w:p w14:paraId="5136F9B2" w14:textId="77777777" w:rsidR="0073416E" w:rsidRPr="0073416E" w:rsidRDefault="0073416E" w:rsidP="0073416E">
      <w:pPr>
        <w:pStyle w:val="ListParagraph"/>
        <w:autoSpaceDE w:val="0"/>
        <w:autoSpaceDN w:val="0"/>
        <w:adjustRightInd w:val="0"/>
        <w:spacing w:after="47" w:line="240" w:lineRule="auto"/>
        <w:ind w:left="426"/>
        <w:rPr>
          <w:rFonts w:cs="HelveticaNeue LT 45 Light"/>
          <w:color w:val="000000"/>
        </w:rPr>
      </w:pPr>
    </w:p>
    <w:p w14:paraId="78C0267B" w14:textId="77777777" w:rsidR="00237C7B" w:rsidRPr="00306207" w:rsidRDefault="00237C7B" w:rsidP="0073416E">
      <w:pPr>
        <w:pStyle w:val="Heading3"/>
      </w:pPr>
      <w:r w:rsidRPr="00306207">
        <w:t xml:space="preserve">Other student support </w:t>
      </w:r>
    </w:p>
    <w:p w14:paraId="42F7C90D" w14:textId="77777777" w:rsidR="0073416E" w:rsidRDefault="0073416E" w:rsidP="00E649EB">
      <w:pPr>
        <w:rPr>
          <w:rFonts w:ascii="Calibri" w:eastAsia="Calibri" w:hAnsi="Calibri"/>
        </w:rPr>
      </w:pPr>
      <w:r w:rsidRPr="0073416E">
        <w:rPr>
          <w:rFonts w:ascii="Calibri" w:eastAsia="Calibri" w:hAnsi="Calibri"/>
        </w:rPr>
        <w:t xml:space="preserve">When RRR students do manage to go onto tertiary education, many struggle to stay in their course and successfully complete their studies. As a result, another important priority area for action is to expand on the range of successful support programs run by higher education and VET institutions, including through identifying and sharing best practice. Sharing best practice will help ensure there is a holistic range of support services available for students to help with “on-boarding” when they commence their study and throughout their course. </w:t>
      </w:r>
    </w:p>
    <w:p w14:paraId="4373B365" w14:textId="77777777" w:rsidR="0073416E" w:rsidRPr="0073416E" w:rsidRDefault="0073416E" w:rsidP="0073416E">
      <w:pPr>
        <w:rPr>
          <w:rFonts w:ascii="Calibri" w:eastAsia="Calibri" w:hAnsi="Calibri"/>
        </w:rPr>
      </w:pPr>
      <w:r w:rsidRPr="0073416E">
        <w:rPr>
          <w:rFonts w:ascii="Calibri" w:eastAsia="Calibri" w:hAnsi="Calibri"/>
        </w:rPr>
        <w:t xml:space="preserve">As well as financial difficulties and challenges associated with finding accommodation when students need to relocate, many students cite health and wellbeing as a reason they leave university before completion. Supporting RRR students’ health and wellbeing through improved and more targeted student support should lead to increased attainment. </w:t>
      </w:r>
    </w:p>
    <w:p w14:paraId="48B6045B" w14:textId="77777777" w:rsidR="0073416E" w:rsidRPr="0073416E" w:rsidRDefault="0073416E" w:rsidP="0073416E">
      <w:pPr>
        <w:rPr>
          <w:rFonts w:ascii="Calibri" w:eastAsia="Calibri" w:hAnsi="Calibri"/>
        </w:rPr>
      </w:pPr>
      <w:r w:rsidRPr="0073416E">
        <w:rPr>
          <w:rFonts w:ascii="Calibri" w:eastAsia="Calibri" w:hAnsi="Calibri"/>
        </w:rPr>
        <w:t xml:space="preserve">It is also proposed that providers be required to undertake transparent reporting, and to facilitate public access to this information, to enable students to see the support services available and make an informed decision on the institution that would suit them best. </w:t>
      </w:r>
    </w:p>
    <w:p w14:paraId="10B2F169" w14:textId="037E6380" w:rsidR="0073416E" w:rsidRDefault="0073416E" w:rsidP="0073416E">
      <w:pPr>
        <w:rPr>
          <w:rFonts w:ascii="Calibri" w:eastAsia="Calibri" w:hAnsi="Calibri"/>
        </w:rPr>
      </w:pPr>
      <w:r w:rsidRPr="0073416E">
        <w:rPr>
          <w:rFonts w:ascii="Calibri" w:eastAsia="Calibri" w:hAnsi="Calibri"/>
        </w:rPr>
        <w:t>Finally, there is potential to improve transport options for students by asking states and territories to allow students to access local school bus services, to enable them to travel to their education provider more easily and increase their chances of completing their qualification.</w:t>
      </w:r>
    </w:p>
    <w:tbl>
      <w:tblPr>
        <w:tblStyle w:val="TableGrid"/>
        <w:tblW w:w="0" w:type="auto"/>
        <w:tblLook w:val="04A0" w:firstRow="1" w:lastRow="0" w:firstColumn="1" w:lastColumn="0" w:noHBand="0" w:noVBand="1"/>
      </w:tblPr>
      <w:tblGrid>
        <w:gridCol w:w="8996"/>
      </w:tblGrid>
      <w:tr w:rsidR="0073416E" w14:paraId="62978943" w14:textId="77777777" w:rsidTr="0073416E">
        <w:tc>
          <w:tcPr>
            <w:tcW w:w="9016" w:type="dxa"/>
            <w:tcBorders>
              <w:top w:val="single" w:sz="12" w:space="0" w:color="F6A060"/>
              <w:left w:val="single" w:sz="12" w:space="0" w:color="F6A060"/>
              <w:bottom w:val="single" w:sz="12" w:space="0" w:color="F6A060"/>
              <w:right w:val="single" w:sz="12" w:space="0" w:color="F6A060"/>
            </w:tcBorders>
            <w:shd w:val="clear" w:color="auto" w:fill="FDE8D9"/>
          </w:tcPr>
          <w:p w14:paraId="26789FA7" w14:textId="06D45217" w:rsidR="0073416E" w:rsidRDefault="0073416E" w:rsidP="0073416E">
            <w:pPr>
              <w:pStyle w:val="Heading3"/>
              <w:outlineLvl w:val="2"/>
              <w:rPr>
                <w:rFonts w:eastAsia="Calibri"/>
              </w:rPr>
            </w:pPr>
            <w:r>
              <w:rPr>
                <w:rFonts w:eastAsia="Calibri"/>
              </w:rPr>
              <w:lastRenderedPageBreak/>
              <w:t xml:space="preserve">Recommendation three: </w:t>
            </w:r>
          </w:p>
          <w:p w14:paraId="30FB3A14" w14:textId="77777777" w:rsidR="0073416E" w:rsidRPr="0073416E" w:rsidRDefault="0073416E" w:rsidP="0073416E"/>
          <w:p w14:paraId="30EFDF58" w14:textId="77777777" w:rsidR="0073416E" w:rsidRPr="0073416E" w:rsidRDefault="0073416E" w:rsidP="0073416E">
            <w:r w:rsidRPr="0073416E">
              <w:t xml:space="preserve">Improve the quality and range of student support services for RRR students to address the challenges of transition and higher rates of attrition by: </w:t>
            </w:r>
          </w:p>
          <w:p w14:paraId="7D57F0C8" w14:textId="77777777" w:rsidR="0073416E" w:rsidRPr="0073416E" w:rsidRDefault="0073416E" w:rsidP="00041655">
            <w:pPr>
              <w:pStyle w:val="ListParagraph"/>
              <w:numPr>
                <w:ilvl w:val="0"/>
                <w:numId w:val="23"/>
              </w:numPr>
            </w:pPr>
            <w:r w:rsidRPr="0073416E">
              <w:t xml:space="preserve">identifying and disseminating information on best practice student support services </w:t>
            </w:r>
          </w:p>
          <w:p w14:paraId="31BD233D" w14:textId="77777777" w:rsidR="0073416E" w:rsidRPr="0073416E" w:rsidRDefault="0073416E" w:rsidP="00041655">
            <w:pPr>
              <w:pStyle w:val="ListParagraph"/>
              <w:numPr>
                <w:ilvl w:val="0"/>
                <w:numId w:val="23"/>
              </w:numPr>
            </w:pPr>
            <w:r w:rsidRPr="0073416E">
              <w:t xml:space="preserve">introducing new requirements for providers to publish transparent information on available service offerings, and </w:t>
            </w:r>
          </w:p>
          <w:p w14:paraId="30485953" w14:textId="1BA63462" w:rsidR="0073416E" w:rsidRPr="0073416E" w:rsidRDefault="0073416E" w:rsidP="00041655">
            <w:pPr>
              <w:pStyle w:val="ListParagraph"/>
              <w:numPr>
                <w:ilvl w:val="0"/>
                <w:numId w:val="23"/>
              </w:numPr>
              <w:spacing w:after="160"/>
            </w:pPr>
            <w:r w:rsidRPr="0073416E">
              <w:t xml:space="preserve">working with state and territory governments to improve transport options for students. </w:t>
            </w:r>
          </w:p>
        </w:tc>
      </w:tr>
    </w:tbl>
    <w:p w14:paraId="6939406E" w14:textId="77777777" w:rsidR="0073416E" w:rsidRDefault="0073416E" w:rsidP="00D53B13">
      <w:pPr>
        <w:pStyle w:val="Heading4"/>
        <w:rPr>
          <w:rStyle w:val="Strong"/>
        </w:rPr>
      </w:pPr>
    </w:p>
    <w:p w14:paraId="01DC422B" w14:textId="08BF755E" w:rsidR="0073416E" w:rsidRPr="00263861" w:rsidRDefault="00237C7B" w:rsidP="00263861">
      <w:pPr>
        <w:pStyle w:val="Heading3"/>
      </w:pPr>
      <w:r w:rsidRPr="0073416E">
        <w:rPr>
          <w:rStyle w:val="Strong"/>
          <w:b/>
          <w:bCs w:val="0"/>
          <w:color w:val="3A4952"/>
          <w:sz w:val="28"/>
        </w:rPr>
        <w:t>Actions</w:t>
      </w:r>
    </w:p>
    <w:p w14:paraId="2E35D1B5" w14:textId="77777777" w:rsidR="0073416E" w:rsidRPr="0073416E" w:rsidRDefault="0073416E" w:rsidP="00263861">
      <w:pPr>
        <w:numPr>
          <w:ilvl w:val="0"/>
          <w:numId w:val="45"/>
        </w:numPr>
        <w:autoSpaceDE w:val="0"/>
        <w:autoSpaceDN w:val="0"/>
        <w:adjustRightInd w:val="0"/>
        <w:spacing w:after="47" w:line="240" w:lineRule="auto"/>
        <w:ind w:left="426"/>
        <w:rPr>
          <w:rFonts w:ascii="HelveticaNeue LT 45 Light" w:hAnsi="HelveticaNeue LT 45 Light" w:cs="HelveticaNeue LT 45 Light"/>
          <w:color w:val="000000"/>
          <w:sz w:val="21"/>
          <w:szCs w:val="21"/>
        </w:rPr>
      </w:pPr>
      <w:r w:rsidRPr="0073416E">
        <w:rPr>
          <w:rFonts w:cs="HelveticaNeue LT 45 Light"/>
          <w:color w:val="000000"/>
        </w:rPr>
        <w:t>Identify and disseminate information on a core suite of best practice interventions and offerings universities should provide to RRR students, including the following services:</w:t>
      </w:r>
    </w:p>
    <w:p w14:paraId="79E3211E" w14:textId="34063D23" w:rsidR="0073416E" w:rsidRPr="0073416E" w:rsidRDefault="0073416E" w:rsidP="00041655">
      <w:pPr>
        <w:pStyle w:val="ListParagraph"/>
        <w:numPr>
          <w:ilvl w:val="0"/>
          <w:numId w:val="22"/>
        </w:numPr>
        <w:autoSpaceDE w:val="0"/>
        <w:autoSpaceDN w:val="0"/>
        <w:adjustRightInd w:val="0"/>
        <w:spacing w:after="47" w:line="240" w:lineRule="auto"/>
        <w:rPr>
          <w:rFonts w:cs="HelveticaNeue LT 45 Light"/>
          <w:color w:val="000000"/>
        </w:rPr>
      </w:pPr>
      <w:r w:rsidRPr="0073416E">
        <w:rPr>
          <w:rFonts w:cs="HelveticaNeue LT 45 Light"/>
          <w:color w:val="000000"/>
        </w:rPr>
        <w:t xml:space="preserve">pastoral care </w:t>
      </w:r>
    </w:p>
    <w:p w14:paraId="197A7044" w14:textId="77777777" w:rsidR="0073416E" w:rsidRPr="0073416E" w:rsidRDefault="0073416E" w:rsidP="00041655">
      <w:pPr>
        <w:pStyle w:val="ListParagraph"/>
        <w:numPr>
          <w:ilvl w:val="0"/>
          <w:numId w:val="22"/>
        </w:numPr>
        <w:autoSpaceDE w:val="0"/>
        <w:autoSpaceDN w:val="0"/>
        <w:adjustRightInd w:val="0"/>
        <w:spacing w:after="47" w:line="240" w:lineRule="auto"/>
        <w:rPr>
          <w:rFonts w:cs="HelveticaNeue LT 45 Light"/>
          <w:color w:val="000000"/>
        </w:rPr>
      </w:pPr>
      <w:r w:rsidRPr="0073416E">
        <w:rPr>
          <w:rFonts w:cs="HelveticaNeue LT 45 Light"/>
          <w:color w:val="000000"/>
        </w:rPr>
        <w:t xml:space="preserve">specific RRR student orientation </w:t>
      </w:r>
    </w:p>
    <w:p w14:paraId="0931AE8F" w14:textId="77777777" w:rsidR="0073416E" w:rsidRPr="0073416E" w:rsidRDefault="0073416E" w:rsidP="00041655">
      <w:pPr>
        <w:pStyle w:val="ListParagraph"/>
        <w:numPr>
          <w:ilvl w:val="0"/>
          <w:numId w:val="22"/>
        </w:numPr>
        <w:autoSpaceDE w:val="0"/>
        <w:autoSpaceDN w:val="0"/>
        <w:adjustRightInd w:val="0"/>
        <w:spacing w:after="47" w:line="240" w:lineRule="auto"/>
        <w:rPr>
          <w:rFonts w:cs="HelveticaNeue LT 45 Light"/>
          <w:color w:val="000000"/>
        </w:rPr>
      </w:pPr>
      <w:r w:rsidRPr="0073416E">
        <w:rPr>
          <w:rFonts w:cs="HelveticaNeue LT 45 Light"/>
          <w:color w:val="000000"/>
        </w:rPr>
        <w:t xml:space="preserve">mentoring/buddy programs </w:t>
      </w:r>
    </w:p>
    <w:p w14:paraId="52024CDC" w14:textId="77777777" w:rsidR="0073416E" w:rsidRPr="0073416E" w:rsidRDefault="0073416E" w:rsidP="00041655">
      <w:pPr>
        <w:pStyle w:val="ListParagraph"/>
        <w:numPr>
          <w:ilvl w:val="0"/>
          <w:numId w:val="22"/>
        </w:numPr>
        <w:autoSpaceDE w:val="0"/>
        <w:autoSpaceDN w:val="0"/>
        <w:adjustRightInd w:val="0"/>
        <w:spacing w:after="47" w:line="240" w:lineRule="auto"/>
        <w:rPr>
          <w:rFonts w:cs="HelveticaNeue LT 45 Light"/>
          <w:color w:val="000000"/>
        </w:rPr>
      </w:pPr>
      <w:r w:rsidRPr="0073416E">
        <w:rPr>
          <w:rFonts w:cs="HelveticaNeue LT 45 Light"/>
          <w:color w:val="000000"/>
        </w:rPr>
        <w:t xml:space="preserve">priority accommodation for RRR students </w:t>
      </w:r>
    </w:p>
    <w:p w14:paraId="3D4B7481" w14:textId="77777777" w:rsidR="0073416E" w:rsidRPr="0073416E" w:rsidRDefault="0073416E" w:rsidP="00041655">
      <w:pPr>
        <w:pStyle w:val="ListParagraph"/>
        <w:numPr>
          <w:ilvl w:val="0"/>
          <w:numId w:val="22"/>
        </w:numPr>
        <w:autoSpaceDE w:val="0"/>
        <w:autoSpaceDN w:val="0"/>
        <w:adjustRightInd w:val="0"/>
        <w:spacing w:after="47" w:line="240" w:lineRule="auto"/>
        <w:rPr>
          <w:rFonts w:cs="HelveticaNeue LT 45 Light"/>
          <w:color w:val="000000"/>
        </w:rPr>
      </w:pPr>
      <w:r w:rsidRPr="0073416E">
        <w:rPr>
          <w:rFonts w:cs="HelveticaNeue LT 45 Light"/>
          <w:color w:val="000000"/>
        </w:rPr>
        <w:t xml:space="preserve">academic support, including academic concierge </w:t>
      </w:r>
    </w:p>
    <w:p w14:paraId="12C157E0" w14:textId="77777777" w:rsidR="0073416E" w:rsidRPr="0073416E" w:rsidRDefault="0073416E" w:rsidP="00041655">
      <w:pPr>
        <w:pStyle w:val="ListParagraph"/>
        <w:numPr>
          <w:ilvl w:val="0"/>
          <w:numId w:val="22"/>
        </w:numPr>
        <w:autoSpaceDE w:val="0"/>
        <w:autoSpaceDN w:val="0"/>
        <w:adjustRightInd w:val="0"/>
        <w:spacing w:after="47" w:line="240" w:lineRule="auto"/>
        <w:rPr>
          <w:rFonts w:cs="HelveticaNeue LT 45 Light"/>
          <w:color w:val="000000"/>
        </w:rPr>
      </w:pPr>
      <w:r w:rsidRPr="0073416E">
        <w:rPr>
          <w:rFonts w:cs="HelveticaNeue LT 45 Light"/>
          <w:color w:val="000000"/>
        </w:rPr>
        <w:t xml:space="preserve">regular contact with all RRR students via email, phone and SMS, especially those identified as at risk of dropping out </w:t>
      </w:r>
    </w:p>
    <w:p w14:paraId="1E54EC24" w14:textId="77777777" w:rsidR="0073416E" w:rsidRPr="0073416E" w:rsidRDefault="0073416E" w:rsidP="00041655">
      <w:pPr>
        <w:pStyle w:val="ListParagraph"/>
        <w:numPr>
          <w:ilvl w:val="0"/>
          <w:numId w:val="22"/>
        </w:numPr>
        <w:autoSpaceDE w:val="0"/>
        <w:autoSpaceDN w:val="0"/>
        <w:adjustRightInd w:val="0"/>
        <w:spacing w:after="47" w:line="240" w:lineRule="auto"/>
        <w:rPr>
          <w:rFonts w:cs="HelveticaNeue LT 45 Light"/>
          <w:color w:val="000000"/>
        </w:rPr>
      </w:pPr>
      <w:r w:rsidRPr="0073416E">
        <w:rPr>
          <w:rFonts w:cs="HelveticaNeue LT 45 Light"/>
          <w:color w:val="000000"/>
        </w:rPr>
        <w:t xml:space="preserve">childcare support </w:t>
      </w:r>
    </w:p>
    <w:p w14:paraId="3AF3EAA9" w14:textId="77777777" w:rsidR="0073416E" w:rsidRPr="0073416E" w:rsidRDefault="0073416E" w:rsidP="00041655">
      <w:pPr>
        <w:pStyle w:val="ListParagraph"/>
        <w:numPr>
          <w:ilvl w:val="0"/>
          <w:numId w:val="22"/>
        </w:numPr>
        <w:autoSpaceDE w:val="0"/>
        <w:autoSpaceDN w:val="0"/>
        <w:adjustRightInd w:val="0"/>
        <w:spacing w:after="47" w:line="240" w:lineRule="auto"/>
        <w:rPr>
          <w:rFonts w:cs="HelveticaNeue LT 45 Light"/>
          <w:color w:val="000000"/>
        </w:rPr>
      </w:pPr>
      <w:r w:rsidRPr="0073416E">
        <w:rPr>
          <w:rFonts w:cs="HelveticaNeue LT 45 Light"/>
          <w:color w:val="000000"/>
        </w:rPr>
        <w:t xml:space="preserve">employment assistance, and </w:t>
      </w:r>
    </w:p>
    <w:p w14:paraId="12494C1D" w14:textId="6E644513" w:rsidR="0073416E" w:rsidRPr="00BC02B9" w:rsidRDefault="0073416E" w:rsidP="00263861">
      <w:pPr>
        <w:pStyle w:val="ListParagraph"/>
        <w:numPr>
          <w:ilvl w:val="0"/>
          <w:numId w:val="22"/>
        </w:numPr>
        <w:autoSpaceDE w:val="0"/>
        <w:autoSpaceDN w:val="0"/>
        <w:adjustRightInd w:val="0"/>
        <w:spacing w:after="47" w:line="240" w:lineRule="auto"/>
        <w:rPr>
          <w:rFonts w:ascii="HelveticaNeue LT 45 Light" w:hAnsi="HelveticaNeue LT 45 Light" w:cs="HelveticaNeue LT 45 Light"/>
          <w:color w:val="000000"/>
          <w:sz w:val="21"/>
          <w:szCs w:val="21"/>
        </w:rPr>
      </w:pPr>
      <w:r w:rsidRPr="0073416E">
        <w:rPr>
          <w:rFonts w:cs="HelveticaNeue LT 45 Light"/>
          <w:color w:val="000000"/>
        </w:rPr>
        <w:t xml:space="preserve">cultural safety. </w:t>
      </w:r>
    </w:p>
    <w:p w14:paraId="20F9BE31" w14:textId="77777777" w:rsidR="0073416E" w:rsidRPr="0073416E" w:rsidRDefault="0073416E" w:rsidP="00263861">
      <w:pPr>
        <w:numPr>
          <w:ilvl w:val="0"/>
          <w:numId w:val="45"/>
        </w:numPr>
        <w:autoSpaceDE w:val="0"/>
        <w:autoSpaceDN w:val="0"/>
        <w:adjustRightInd w:val="0"/>
        <w:spacing w:after="47" w:line="240" w:lineRule="auto"/>
        <w:ind w:left="426"/>
        <w:rPr>
          <w:rFonts w:cs="HelveticaNeue LT 45 Light"/>
          <w:color w:val="000000"/>
        </w:rPr>
      </w:pPr>
      <w:r w:rsidRPr="0073416E">
        <w:rPr>
          <w:rFonts w:cs="HelveticaNeue LT 45 Light"/>
          <w:color w:val="000000"/>
        </w:rPr>
        <w:t xml:space="preserve">Require transparent reporting by institutions, to enable students to see the support services a particular tertiary institution has available. </w:t>
      </w:r>
    </w:p>
    <w:p w14:paraId="685D10D9" w14:textId="1D2865BD" w:rsidR="0073416E" w:rsidRPr="0073416E" w:rsidRDefault="0073416E" w:rsidP="00263861">
      <w:pPr>
        <w:numPr>
          <w:ilvl w:val="0"/>
          <w:numId w:val="45"/>
        </w:numPr>
        <w:autoSpaceDE w:val="0"/>
        <w:autoSpaceDN w:val="0"/>
        <w:adjustRightInd w:val="0"/>
        <w:spacing w:after="47" w:line="240" w:lineRule="auto"/>
        <w:ind w:left="426"/>
        <w:rPr>
          <w:rFonts w:cs="HelveticaNeue LT 45 Light"/>
          <w:color w:val="000000"/>
        </w:rPr>
      </w:pPr>
      <w:r w:rsidRPr="0073416E">
        <w:rPr>
          <w:rFonts w:cs="HelveticaNeue LT 45 Light"/>
          <w:color w:val="000000"/>
        </w:rPr>
        <w:t>Encourage providers to provide comprehensive information to RRR students on adulthood basics, including budgeting advice, legal and tenancy agreements, time management and health care, including by leveraging existing online platforms aimed at prospective and current tertiary students.</w:t>
      </w:r>
    </w:p>
    <w:p w14:paraId="555C4FB7" w14:textId="68BEEDBD" w:rsidR="0073416E" w:rsidRDefault="0073416E" w:rsidP="00263861">
      <w:pPr>
        <w:numPr>
          <w:ilvl w:val="0"/>
          <w:numId w:val="45"/>
        </w:numPr>
        <w:autoSpaceDE w:val="0"/>
        <w:autoSpaceDN w:val="0"/>
        <w:adjustRightInd w:val="0"/>
        <w:spacing w:after="47" w:line="240" w:lineRule="auto"/>
        <w:ind w:left="426"/>
        <w:rPr>
          <w:rFonts w:cs="HelveticaNeue LT 45 Light"/>
          <w:color w:val="000000"/>
        </w:rPr>
      </w:pPr>
      <w:r w:rsidRPr="0073416E">
        <w:rPr>
          <w:rFonts w:cs="HelveticaNeue LT 45 Light"/>
          <w:color w:val="000000"/>
        </w:rPr>
        <w:t xml:space="preserve">Improve transport options for RRR students by requesting state and territory governments to allow RRR students travelling to local VET programs, universities and Study Hubs to access school bus services. </w:t>
      </w:r>
    </w:p>
    <w:p w14:paraId="7FB369FC" w14:textId="77777777" w:rsidR="0073416E" w:rsidRPr="0073416E" w:rsidRDefault="0073416E" w:rsidP="0073416E">
      <w:pPr>
        <w:autoSpaceDE w:val="0"/>
        <w:autoSpaceDN w:val="0"/>
        <w:adjustRightInd w:val="0"/>
        <w:spacing w:after="47" w:line="240" w:lineRule="auto"/>
        <w:ind w:left="426"/>
        <w:rPr>
          <w:rFonts w:cs="HelveticaNeue LT 45 Light"/>
          <w:color w:val="000000"/>
        </w:rPr>
      </w:pPr>
    </w:p>
    <w:p w14:paraId="4767D680" w14:textId="77777777" w:rsidR="006A61DF" w:rsidRPr="00306207" w:rsidRDefault="006A61DF" w:rsidP="00726804">
      <w:pPr>
        <w:pStyle w:val="Heading3"/>
      </w:pPr>
      <w:r w:rsidRPr="00306207">
        <w:t>Aspiration and preparing for success</w:t>
      </w:r>
    </w:p>
    <w:p w14:paraId="0F28E321" w14:textId="77777777" w:rsidR="00263747" w:rsidRPr="00263747" w:rsidRDefault="00263747" w:rsidP="00263747">
      <w:r w:rsidRPr="00263747">
        <w:t xml:space="preserve">The Strategy also recommends ongoing collaborative work by Commonwealth, state, and territory governments to enhance the role and positive impact of early childhood education, schools and career advice on tertiary education participation and attainment. </w:t>
      </w:r>
    </w:p>
    <w:p w14:paraId="05F4A5BC" w14:textId="77777777" w:rsidR="00263747" w:rsidRDefault="00263747" w:rsidP="00263747">
      <w:r w:rsidRPr="00263747">
        <w:t xml:space="preserve">Improving career advice is a critical element. Career advice is often cited as a major factor in RRR students’ decisions about their future education, training and job prospects; however, many RRR schools have no dedicated career advisor. Career advice needs to be independent, consistent and available to all individuals in RRR communities, whether they are in school, just finishing or looking for a change of career later in life. </w:t>
      </w:r>
    </w:p>
    <w:p w14:paraId="62353B23" w14:textId="77777777" w:rsidR="00263747" w:rsidRPr="00263747" w:rsidRDefault="00263747" w:rsidP="00263747">
      <w:r w:rsidRPr="00263747">
        <w:t xml:space="preserve">Implementing a regionally-based career advice model would help to improve the relevance and availability of advice on education and career options for students of all ages, including people seeking to change careers or upskill and those looking to retrain after being made redundant due to changes in the local employment market. </w:t>
      </w:r>
    </w:p>
    <w:p w14:paraId="2F2A8C80" w14:textId="77777777" w:rsidR="00263747" w:rsidRPr="00263747" w:rsidRDefault="00263747" w:rsidP="00263747">
      <w:r w:rsidRPr="00263747">
        <w:lastRenderedPageBreak/>
        <w:t xml:space="preserve">Providing more relevant and better targeted online career resources for those in more remote locations is also critical to ensuring valuable information to assist education and career decisions is available to everyone, no matter where they live. </w:t>
      </w:r>
    </w:p>
    <w:p w14:paraId="0E5CDBBA" w14:textId="77777777" w:rsidR="00263747" w:rsidRPr="00263747" w:rsidRDefault="00263747" w:rsidP="00263747">
      <w:r w:rsidRPr="00263747">
        <w:t xml:space="preserve">Action is also proposed to establish aspiration-raising initiatives targeted at students and families, such as ambassador and alumni programs. These initiatives will support RRR students to believe they are capable of achieving a tertiary education, which is particularly important as RRR students often have less exposure to the various pathways and potential outcomes of tertiary study. </w:t>
      </w:r>
    </w:p>
    <w:p w14:paraId="1B661E27" w14:textId="77777777" w:rsidR="00263747" w:rsidRPr="00263747" w:rsidRDefault="00263747" w:rsidP="00263747">
      <w:r w:rsidRPr="00263747">
        <w:t xml:space="preserve">Joint work by the Commonwealth and states and territories to improve access to high quality VET programs in RRR schools is required. Delivery of these programs is often inconsistent in RRR areas, which can influence the impact for individual students and the overall effectiveness of the initiative in engaging and providing pathways for RRR students. A first step in this area would be to map current programs and funding arrangements to identify and share best practice. </w:t>
      </w:r>
    </w:p>
    <w:p w14:paraId="77BE2869" w14:textId="14500CE7" w:rsidR="00263747" w:rsidRDefault="00263747" w:rsidP="00263747">
      <w:r w:rsidRPr="00263747">
        <w:t>Finally, building on the work of the Gonski and Halsey reviews, the Strategy recommends further work to strengthen schools, including examining how to engage and retain students until Year 12, ensuring the relevance of the curriculum and support materials for RRR settings and improving the supply and support of teachers and principals in RRR areas. This includes improving professional development for RRR teachers and principals, increasing opportunities for professional experience in RRR schools and providing additional incentives for teachers to train and work in RRR areas, which may include provision of accommodation or accelerated promotion. In addition, streamlining teacher registration between jurisdictions would improve mobility of teachers wanting to take up opportunities in RRR settings.</w:t>
      </w:r>
    </w:p>
    <w:tbl>
      <w:tblPr>
        <w:tblStyle w:val="TableGrid"/>
        <w:tblW w:w="0" w:type="auto"/>
        <w:tblLook w:val="04A0" w:firstRow="1" w:lastRow="0" w:firstColumn="1" w:lastColumn="0" w:noHBand="0" w:noVBand="1"/>
      </w:tblPr>
      <w:tblGrid>
        <w:gridCol w:w="8996"/>
      </w:tblGrid>
      <w:tr w:rsidR="00263747" w14:paraId="629807EB" w14:textId="77777777" w:rsidTr="00263747">
        <w:tc>
          <w:tcPr>
            <w:tcW w:w="9016" w:type="dxa"/>
            <w:tcBorders>
              <w:top w:val="single" w:sz="12" w:space="0" w:color="F6A060"/>
              <w:left w:val="single" w:sz="12" w:space="0" w:color="F6A060"/>
              <w:bottom w:val="single" w:sz="12" w:space="0" w:color="F6A060"/>
              <w:right w:val="single" w:sz="12" w:space="0" w:color="F6A060"/>
            </w:tcBorders>
            <w:shd w:val="clear" w:color="auto" w:fill="FDE8D9"/>
          </w:tcPr>
          <w:p w14:paraId="74F5076A" w14:textId="77777777" w:rsidR="00263747" w:rsidRDefault="00263747" w:rsidP="00263747">
            <w:pPr>
              <w:pStyle w:val="Heading3"/>
              <w:outlineLvl w:val="2"/>
              <w:rPr>
                <w:rFonts w:eastAsia="Times New Roman"/>
                <w:lang w:eastAsia="en-AU"/>
              </w:rPr>
            </w:pPr>
            <w:r>
              <w:rPr>
                <w:rFonts w:eastAsia="Times New Roman"/>
                <w:lang w:eastAsia="en-AU"/>
              </w:rPr>
              <w:t xml:space="preserve">Recommendation four: </w:t>
            </w:r>
          </w:p>
          <w:p w14:paraId="1A9611BB" w14:textId="77777777" w:rsidR="00263747" w:rsidRPr="00263747" w:rsidRDefault="00263747" w:rsidP="00263747">
            <w:pPr>
              <w:rPr>
                <w:lang w:eastAsia="en-AU"/>
              </w:rPr>
            </w:pPr>
          </w:p>
          <w:p w14:paraId="121BAF62" w14:textId="1817ADA4" w:rsidR="00263747" w:rsidRPr="00263747" w:rsidRDefault="00263747" w:rsidP="00263747">
            <w:pPr>
              <w:rPr>
                <w:lang w:eastAsia="en-AU"/>
              </w:rPr>
            </w:pPr>
            <w:r w:rsidRPr="00263747">
              <w:rPr>
                <w:lang w:eastAsia="en-AU"/>
              </w:rPr>
              <w:t xml:space="preserve">Build aspiration, improve career advice and strengthen RRR schools to better prepare RRR students for success, by: </w:t>
            </w:r>
          </w:p>
          <w:p w14:paraId="60C35907" w14:textId="77777777" w:rsidR="00263747" w:rsidRPr="00263747" w:rsidRDefault="00263747" w:rsidP="00041655">
            <w:pPr>
              <w:pStyle w:val="ListParagraph"/>
              <w:numPr>
                <w:ilvl w:val="0"/>
                <w:numId w:val="23"/>
              </w:numPr>
            </w:pPr>
            <w:r w:rsidRPr="00263747">
              <w:t xml:space="preserve">implementing a regionally-based model for independent, professional career advice </w:t>
            </w:r>
          </w:p>
          <w:p w14:paraId="413B3EE7" w14:textId="77777777" w:rsidR="00263747" w:rsidRPr="00263747" w:rsidRDefault="00263747" w:rsidP="00041655">
            <w:pPr>
              <w:pStyle w:val="ListParagraph"/>
              <w:numPr>
                <w:ilvl w:val="0"/>
                <w:numId w:val="23"/>
              </w:numPr>
            </w:pPr>
            <w:r w:rsidRPr="00263747">
              <w:t xml:space="preserve">improving online career related information and advice </w:t>
            </w:r>
          </w:p>
          <w:p w14:paraId="18E90A33" w14:textId="77777777" w:rsidR="00263747" w:rsidRPr="00263747" w:rsidRDefault="00263747" w:rsidP="00041655">
            <w:pPr>
              <w:pStyle w:val="ListParagraph"/>
              <w:numPr>
                <w:ilvl w:val="0"/>
                <w:numId w:val="23"/>
              </w:numPr>
            </w:pPr>
            <w:r w:rsidRPr="00263747">
              <w:t xml:space="preserve">establishing aspiration-raising initiatives covering both VET and higher education </w:t>
            </w:r>
          </w:p>
          <w:p w14:paraId="3F38F7AE" w14:textId="77777777" w:rsidR="00263747" w:rsidRPr="00263747" w:rsidRDefault="00263747" w:rsidP="00041655">
            <w:pPr>
              <w:pStyle w:val="ListParagraph"/>
              <w:numPr>
                <w:ilvl w:val="0"/>
                <w:numId w:val="23"/>
              </w:numPr>
            </w:pPr>
            <w:r w:rsidRPr="00263747">
              <w:t xml:space="preserve">expanding access to high quality VET programs in RRR schools </w:t>
            </w:r>
          </w:p>
          <w:p w14:paraId="0782AE0C" w14:textId="77777777" w:rsidR="00263747" w:rsidRPr="00263747" w:rsidRDefault="00263747" w:rsidP="00041655">
            <w:pPr>
              <w:pStyle w:val="ListParagraph"/>
              <w:numPr>
                <w:ilvl w:val="0"/>
                <w:numId w:val="23"/>
              </w:numPr>
            </w:pPr>
            <w:r w:rsidRPr="00263747">
              <w:t xml:space="preserve">undertaking further work to improve RRR schools and Year 12 completion rates, and </w:t>
            </w:r>
          </w:p>
          <w:p w14:paraId="3B5BC20D" w14:textId="77777777" w:rsidR="00263747" w:rsidRPr="00263747" w:rsidRDefault="00263747" w:rsidP="00041655">
            <w:pPr>
              <w:pStyle w:val="ListParagraph"/>
              <w:numPr>
                <w:ilvl w:val="0"/>
                <w:numId w:val="23"/>
              </w:numPr>
            </w:pPr>
            <w:r w:rsidRPr="00263747">
              <w:t xml:space="preserve">improving support available to teachers, principals and school leaders. </w:t>
            </w:r>
          </w:p>
          <w:p w14:paraId="1B8BF08D" w14:textId="501C9E62" w:rsidR="00263747" w:rsidRPr="00263747" w:rsidRDefault="00263747" w:rsidP="00263747">
            <w:pPr>
              <w:rPr>
                <w:lang w:eastAsia="en-AU"/>
              </w:rPr>
            </w:pPr>
          </w:p>
        </w:tc>
      </w:tr>
    </w:tbl>
    <w:p w14:paraId="6FA602A1" w14:textId="77777777" w:rsidR="00263747" w:rsidRDefault="00263747" w:rsidP="00263747">
      <w:pPr>
        <w:pStyle w:val="Heading3"/>
        <w:rPr>
          <w:rStyle w:val="Strong"/>
          <w:b/>
          <w:bCs w:val="0"/>
          <w:color w:val="3A4952"/>
          <w:sz w:val="28"/>
        </w:rPr>
      </w:pPr>
    </w:p>
    <w:p w14:paraId="68DA9325" w14:textId="17BAD02F" w:rsidR="00263747" w:rsidRPr="00263747" w:rsidRDefault="006A61DF" w:rsidP="00263861">
      <w:pPr>
        <w:pStyle w:val="Heading3"/>
      </w:pPr>
      <w:r w:rsidRPr="00263747">
        <w:rPr>
          <w:rStyle w:val="Strong"/>
          <w:b/>
          <w:bCs w:val="0"/>
          <w:color w:val="3A4952"/>
          <w:sz w:val="28"/>
        </w:rPr>
        <w:t>Actions</w:t>
      </w:r>
    </w:p>
    <w:p w14:paraId="244BD0A1" w14:textId="77777777" w:rsidR="00263747" w:rsidRPr="00263747" w:rsidRDefault="00263747" w:rsidP="00263861">
      <w:pPr>
        <w:numPr>
          <w:ilvl w:val="0"/>
          <w:numId w:val="45"/>
        </w:numPr>
        <w:autoSpaceDE w:val="0"/>
        <w:autoSpaceDN w:val="0"/>
        <w:adjustRightInd w:val="0"/>
        <w:spacing w:after="47" w:line="240" w:lineRule="auto"/>
        <w:ind w:left="426"/>
        <w:rPr>
          <w:rFonts w:cs="HelveticaNeue LT 45 Light"/>
          <w:color w:val="000000"/>
        </w:rPr>
      </w:pPr>
      <w:r w:rsidRPr="00263747">
        <w:rPr>
          <w:rFonts w:cs="HelveticaNeue LT 45 Light"/>
          <w:color w:val="000000"/>
        </w:rPr>
        <w:t xml:space="preserve">Implement a regionally-based model for independent career advice in RRR locations, to be developed in collaboration between the Commonwealth and states and territories. This should be delivered by professional career advisors with strong links to schools, tertiary education providers, industry, families and local communities and provide RRR students with information on all pathways and available support so they can make informed choices about the study options best suited to them. </w:t>
      </w:r>
    </w:p>
    <w:p w14:paraId="0B8F7055" w14:textId="77777777" w:rsidR="00263747" w:rsidRPr="00263747" w:rsidRDefault="00263747" w:rsidP="00263861">
      <w:pPr>
        <w:numPr>
          <w:ilvl w:val="0"/>
          <w:numId w:val="45"/>
        </w:numPr>
        <w:autoSpaceDE w:val="0"/>
        <w:autoSpaceDN w:val="0"/>
        <w:adjustRightInd w:val="0"/>
        <w:spacing w:after="47" w:line="240" w:lineRule="auto"/>
        <w:ind w:left="426"/>
        <w:rPr>
          <w:rFonts w:cs="HelveticaNeue LT 45 Light"/>
          <w:color w:val="000000"/>
        </w:rPr>
      </w:pPr>
      <w:r w:rsidRPr="00263747">
        <w:rPr>
          <w:rFonts w:cs="HelveticaNeue LT 45 Light"/>
          <w:color w:val="000000"/>
        </w:rPr>
        <w:t xml:space="preserve">Improve and promote online portals for providing career information and advice. This includes innovative models for providing virtual work experience, particularly for those in remote areas where access to face-to-face career advice and workplace learning is more difficult. This action should be complemented by research to understand how RRR students access career advice and information to ensure online resources meet their needs. </w:t>
      </w:r>
    </w:p>
    <w:p w14:paraId="18D51711" w14:textId="77777777" w:rsidR="00263747" w:rsidRPr="00263747" w:rsidRDefault="00263747" w:rsidP="00263861">
      <w:pPr>
        <w:numPr>
          <w:ilvl w:val="0"/>
          <w:numId w:val="45"/>
        </w:numPr>
        <w:autoSpaceDE w:val="0"/>
        <w:autoSpaceDN w:val="0"/>
        <w:adjustRightInd w:val="0"/>
        <w:spacing w:after="47" w:line="240" w:lineRule="auto"/>
        <w:ind w:left="426"/>
        <w:rPr>
          <w:rFonts w:cs="HelveticaNeue LT 45 Light"/>
          <w:color w:val="000000"/>
        </w:rPr>
      </w:pPr>
      <w:r w:rsidRPr="00263747">
        <w:rPr>
          <w:rFonts w:cs="HelveticaNeue LT 45 Light"/>
          <w:color w:val="000000"/>
        </w:rPr>
        <w:lastRenderedPageBreak/>
        <w:t xml:space="preserve">Establish aspiration-raising initiatives targeted at students and families such as an RRR ambassador program covering both VET and higher education and other initiatives to build local RRR alumni networks. This may be similar to, or build on, the Australian VET Alumni program, which incorporates the Australian Apprenticeships Ambassadors program. </w:t>
      </w:r>
    </w:p>
    <w:p w14:paraId="41E2A4C4" w14:textId="77777777" w:rsidR="00263747" w:rsidRPr="00263747" w:rsidRDefault="00263747" w:rsidP="00263861">
      <w:pPr>
        <w:numPr>
          <w:ilvl w:val="0"/>
          <w:numId w:val="45"/>
        </w:numPr>
        <w:autoSpaceDE w:val="0"/>
        <w:autoSpaceDN w:val="0"/>
        <w:adjustRightInd w:val="0"/>
        <w:spacing w:after="47" w:line="240" w:lineRule="auto"/>
        <w:ind w:left="426"/>
        <w:rPr>
          <w:rFonts w:cs="HelveticaNeue LT 45 Light"/>
          <w:color w:val="000000"/>
        </w:rPr>
      </w:pPr>
      <w:r w:rsidRPr="00263747">
        <w:rPr>
          <w:rFonts w:cs="HelveticaNeue LT 45 Light"/>
          <w:color w:val="000000"/>
        </w:rPr>
        <w:t xml:space="preserve">Improve access to high quality VET programs in RRR schools, including mapping current programs and funding arrangements to identify and share good practice. This work would be progressed collaboratively by the Commonwealth and states and territories. It should give strong preference for models of delivery of VET courses by RTOs and school community partnerships that have been effective in improving local employment outcomes. </w:t>
      </w:r>
    </w:p>
    <w:p w14:paraId="2ED7D8E2" w14:textId="77777777" w:rsidR="00263747" w:rsidRPr="00263747" w:rsidRDefault="00263747" w:rsidP="00263861">
      <w:pPr>
        <w:numPr>
          <w:ilvl w:val="0"/>
          <w:numId w:val="45"/>
        </w:numPr>
        <w:autoSpaceDE w:val="0"/>
        <w:autoSpaceDN w:val="0"/>
        <w:adjustRightInd w:val="0"/>
        <w:spacing w:after="47" w:line="240" w:lineRule="auto"/>
        <w:ind w:left="426"/>
        <w:rPr>
          <w:rFonts w:cs="HelveticaNeue LT 45 Light"/>
          <w:color w:val="000000"/>
        </w:rPr>
      </w:pPr>
      <w:r w:rsidRPr="00263747">
        <w:rPr>
          <w:rFonts w:cs="HelveticaNeue LT 45 Light"/>
          <w:color w:val="000000"/>
        </w:rPr>
        <w:t xml:space="preserve">Examine best practice in RRR schools to engage and retain students until Year 12. </w:t>
      </w:r>
    </w:p>
    <w:p w14:paraId="7AF841E6" w14:textId="77777777" w:rsidR="00263747" w:rsidRPr="00263747" w:rsidRDefault="00263747" w:rsidP="00263861">
      <w:pPr>
        <w:numPr>
          <w:ilvl w:val="0"/>
          <w:numId w:val="45"/>
        </w:numPr>
        <w:autoSpaceDE w:val="0"/>
        <w:autoSpaceDN w:val="0"/>
        <w:adjustRightInd w:val="0"/>
        <w:spacing w:after="47" w:line="240" w:lineRule="auto"/>
        <w:ind w:left="426"/>
        <w:rPr>
          <w:rFonts w:cs="HelveticaNeue LT 45 Light"/>
          <w:color w:val="000000"/>
        </w:rPr>
      </w:pPr>
      <w:r w:rsidRPr="00263747">
        <w:rPr>
          <w:rFonts w:cs="HelveticaNeue LT 45 Light"/>
          <w:color w:val="000000"/>
        </w:rPr>
        <w:t xml:space="preserve">Building on the Halsey Review, undertake further collaborative work with jurisdictions to improve teacher support and supply in RRR areas, through: </w:t>
      </w:r>
    </w:p>
    <w:p w14:paraId="29A81C3C" w14:textId="7B18A17D" w:rsidR="00263747" w:rsidRPr="00263747" w:rsidRDefault="00263747" w:rsidP="00041655">
      <w:pPr>
        <w:pStyle w:val="ListParagraph"/>
        <w:numPr>
          <w:ilvl w:val="0"/>
          <w:numId w:val="22"/>
        </w:numPr>
        <w:autoSpaceDE w:val="0"/>
        <w:autoSpaceDN w:val="0"/>
        <w:adjustRightInd w:val="0"/>
        <w:spacing w:after="47" w:line="240" w:lineRule="auto"/>
        <w:rPr>
          <w:rFonts w:cs="HelveticaNeue LT 45 Light"/>
          <w:color w:val="000000"/>
        </w:rPr>
      </w:pPr>
      <w:r w:rsidRPr="00263747">
        <w:rPr>
          <w:rFonts w:cs="HelveticaNeue LT 45 Light"/>
          <w:color w:val="000000"/>
        </w:rPr>
        <w:t xml:space="preserve">supporting a focus on RRR education as part of the ongoing implementation of national reforms to initial teacher education </w:t>
      </w:r>
    </w:p>
    <w:p w14:paraId="3150043D" w14:textId="77777777" w:rsidR="00263747" w:rsidRPr="00263747" w:rsidRDefault="00263747" w:rsidP="00041655">
      <w:pPr>
        <w:pStyle w:val="ListParagraph"/>
        <w:numPr>
          <w:ilvl w:val="0"/>
          <w:numId w:val="22"/>
        </w:numPr>
        <w:autoSpaceDE w:val="0"/>
        <w:autoSpaceDN w:val="0"/>
        <w:adjustRightInd w:val="0"/>
        <w:spacing w:after="47" w:line="240" w:lineRule="auto"/>
        <w:rPr>
          <w:rFonts w:cs="HelveticaNeue LT 45 Light"/>
          <w:color w:val="000000"/>
        </w:rPr>
      </w:pPr>
      <w:r w:rsidRPr="00263747">
        <w:rPr>
          <w:rFonts w:cs="HelveticaNeue LT 45 Light"/>
          <w:color w:val="000000"/>
        </w:rPr>
        <w:t>improving opportunities for high quality professional experience for initial teacher education students</w:t>
      </w:r>
    </w:p>
    <w:p w14:paraId="4BDE7174" w14:textId="77777777" w:rsidR="00263747" w:rsidRPr="00263747" w:rsidRDefault="00263747" w:rsidP="00041655">
      <w:pPr>
        <w:pStyle w:val="ListParagraph"/>
        <w:numPr>
          <w:ilvl w:val="0"/>
          <w:numId w:val="22"/>
        </w:numPr>
        <w:autoSpaceDE w:val="0"/>
        <w:autoSpaceDN w:val="0"/>
        <w:adjustRightInd w:val="0"/>
        <w:spacing w:after="47" w:line="240" w:lineRule="auto"/>
        <w:rPr>
          <w:rFonts w:cs="HelveticaNeue LT 45 Light"/>
          <w:color w:val="000000"/>
        </w:rPr>
      </w:pPr>
      <w:r w:rsidRPr="00263747">
        <w:rPr>
          <w:rFonts w:cs="HelveticaNeue LT 45 Light"/>
          <w:color w:val="000000"/>
        </w:rPr>
        <w:t xml:space="preserve">providing additional incentives to train in RRR areas </w:t>
      </w:r>
    </w:p>
    <w:p w14:paraId="2FB352B9" w14:textId="77777777" w:rsidR="00263747" w:rsidRPr="00263747" w:rsidRDefault="00263747" w:rsidP="00041655">
      <w:pPr>
        <w:pStyle w:val="ListParagraph"/>
        <w:numPr>
          <w:ilvl w:val="0"/>
          <w:numId w:val="22"/>
        </w:numPr>
        <w:autoSpaceDE w:val="0"/>
        <w:autoSpaceDN w:val="0"/>
        <w:adjustRightInd w:val="0"/>
        <w:spacing w:after="47" w:line="240" w:lineRule="auto"/>
        <w:rPr>
          <w:rFonts w:cs="HelveticaNeue LT 45 Light"/>
          <w:color w:val="000000"/>
        </w:rPr>
      </w:pPr>
      <w:r w:rsidRPr="00263747">
        <w:rPr>
          <w:rFonts w:cs="HelveticaNeue LT 45 Light"/>
          <w:color w:val="000000"/>
        </w:rPr>
        <w:t xml:space="preserve">flexibility for experienced teachers to move between jurisdictions, and </w:t>
      </w:r>
    </w:p>
    <w:p w14:paraId="0080EEBD" w14:textId="74D14C4D" w:rsidR="00263747" w:rsidRPr="00BC02B9" w:rsidRDefault="00263747" w:rsidP="00263861">
      <w:pPr>
        <w:pStyle w:val="ListParagraph"/>
        <w:numPr>
          <w:ilvl w:val="0"/>
          <w:numId w:val="22"/>
        </w:numPr>
        <w:autoSpaceDE w:val="0"/>
        <w:autoSpaceDN w:val="0"/>
        <w:adjustRightInd w:val="0"/>
        <w:spacing w:after="47" w:line="240" w:lineRule="auto"/>
        <w:rPr>
          <w:rFonts w:ascii="HelveticaNeue LT 45 Light" w:hAnsi="HelveticaNeue LT 45 Light" w:cs="HelveticaNeue LT 45 Light"/>
          <w:color w:val="000000"/>
          <w:sz w:val="21"/>
          <w:szCs w:val="21"/>
        </w:rPr>
      </w:pPr>
      <w:r w:rsidRPr="00263747">
        <w:rPr>
          <w:rFonts w:cs="HelveticaNeue LT 45 Light"/>
          <w:color w:val="000000"/>
        </w:rPr>
        <w:t xml:space="preserve">consideration of RRR content in the Australian curriculum. </w:t>
      </w:r>
    </w:p>
    <w:p w14:paraId="6D537ADC" w14:textId="45D00269" w:rsidR="00263747" w:rsidRDefault="00263747" w:rsidP="00263861">
      <w:pPr>
        <w:numPr>
          <w:ilvl w:val="0"/>
          <w:numId w:val="45"/>
        </w:numPr>
        <w:autoSpaceDE w:val="0"/>
        <w:autoSpaceDN w:val="0"/>
        <w:adjustRightInd w:val="0"/>
        <w:spacing w:after="47" w:line="240" w:lineRule="auto"/>
        <w:ind w:left="426"/>
        <w:rPr>
          <w:rFonts w:cs="HelveticaNeue LT 45 Light"/>
          <w:color w:val="000000"/>
        </w:rPr>
      </w:pPr>
      <w:r w:rsidRPr="00263747">
        <w:rPr>
          <w:rFonts w:cs="HelveticaNeue LT 45 Light"/>
          <w:color w:val="000000"/>
        </w:rPr>
        <w:t xml:space="preserve">Improve training, professional development, mentoring and other support for principals and school leaders in RRR areas, to ensure they are well prepared before and during their appointment and tenure. </w:t>
      </w:r>
    </w:p>
    <w:p w14:paraId="57F95B12" w14:textId="77777777" w:rsidR="00263747" w:rsidRPr="00263747" w:rsidRDefault="00263747" w:rsidP="00263747">
      <w:pPr>
        <w:autoSpaceDE w:val="0"/>
        <w:autoSpaceDN w:val="0"/>
        <w:adjustRightInd w:val="0"/>
        <w:spacing w:after="47" w:line="240" w:lineRule="auto"/>
        <w:ind w:left="426"/>
        <w:rPr>
          <w:rFonts w:cs="HelveticaNeue LT 45 Light"/>
          <w:color w:val="000000"/>
        </w:rPr>
      </w:pPr>
    </w:p>
    <w:p w14:paraId="000783A1" w14:textId="669E7598" w:rsidR="00237C7B" w:rsidRPr="00306207" w:rsidRDefault="00237C7B" w:rsidP="00726804">
      <w:pPr>
        <w:pStyle w:val="Heading3"/>
      </w:pPr>
      <w:r w:rsidRPr="00306207">
        <w:t xml:space="preserve">Equity groups </w:t>
      </w:r>
    </w:p>
    <w:p w14:paraId="6DFA41C6" w14:textId="77777777" w:rsidR="00263747" w:rsidRPr="00263747" w:rsidRDefault="00263747" w:rsidP="00263747">
      <w:pPr>
        <w:pStyle w:val="Pa11"/>
        <w:spacing w:after="160"/>
        <w:rPr>
          <w:rFonts w:asciiTheme="minorHAnsi" w:hAnsiTheme="minorHAnsi" w:cs="HelveticaNeue LT 45 Light"/>
          <w:color w:val="000000"/>
          <w:sz w:val="22"/>
          <w:szCs w:val="22"/>
        </w:rPr>
      </w:pPr>
      <w:r w:rsidRPr="00263747">
        <w:rPr>
          <w:rFonts w:asciiTheme="minorHAnsi" w:hAnsiTheme="minorHAnsi" w:cs="HelveticaNeue LT 45 Light"/>
          <w:color w:val="000000"/>
          <w:sz w:val="22"/>
          <w:szCs w:val="22"/>
        </w:rPr>
        <w:t xml:space="preserve">A number of actions are proposed to address the additional challenges faced by specific equity groups, including Indigenous Australians, low SES students, students with disability and those from remote and very remote locations. </w:t>
      </w:r>
    </w:p>
    <w:p w14:paraId="34BA2EC2" w14:textId="77777777" w:rsidR="00263747" w:rsidRPr="00263747" w:rsidRDefault="00263747" w:rsidP="00263747">
      <w:pPr>
        <w:pStyle w:val="Pa11"/>
        <w:spacing w:after="160"/>
        <w:rPr>
          <w:rFonts w:asciiTheme="minorHAnsi" w:hAnsiTheme="minorHAnsi" w:cs="HelveticaNeue LT 45 Light"/>
          <w:color w:val="000000"/>
          <w:sz w:val="22"/>
          <w:szCs w:val="22"/>
        </w:rPr>
      </w:pPr>
      <w:r w:rsidRPr="00263747">
        <w:rPr>
          <w:rFonts w:asciiTheme="minorHAnsi" w:hAnsiTheme="minorHAnsi" w:cs="HelveticaNeue LT 45 Light"/>
          <w:color w:val="000000"/>
          <w:sz w:val="22"/>
          <w:szCs w:val="22"/>
        </w:rPr>
        <w:t xml:space="preserve">An important area for reform is the HEPP program, which could be improved by closer targeting of funding to longer-term, cost effective, evidence-based programs for RRR students. It is recommended that dedicated funding be quarantined for this purpose and targeted to activities, such as outreach programs, which build aspiration in low SES students and RRR students across the full income spectrum. A small amount of funding would also be set aside to pilot innovative approaches. </w:t>
      </w:r>
    </w:p>
    <w:p w14:paraId="65A09C9E" w14:textId="77777777" w:rsidR="00263747" w:rsidRPr="00263747" w:rsidRDefault="00263747" w:rsidP="00263747">
      <w:pPr>
        <w:pStyle w:val="Pa11"/>
        <w:spacing w:after="160"/>
        <w:rPr>
          <w:rFonts w:asciiTheme="minorHAnsi" w:hAnsiTheme="minorHAnsi" w:cs="HelveticaNeue LT 45 Light"/>
          <w:color w:val="000000"/>
          <w:sz w:val="22"/>
          <w:szCs w:val="22"/>
        </w:rPr>
      </w:pPr>
      <w:r w:rsidRPr="00263747">
        <w:rPr>
          <w:rFonts w:asciiTheme="minorHAnsi" w:hAnsiTheme="minorHAnsi" w:cs="HelveticaNeue LT 45 Light"/>
          <w:color w:val="000000"/>
          <w:sz w:val="22"/>
          <w:szCs w:val="22"/>
        </w:rPr>
        <w:t xml:space="preserve">The issues associated with tertiary education participation by Indigenous Australians are complex and extend beyond the education portfolio. Nevertheless, a limited number of modest and practical measures have been identified. It is apparent that significant work is needed to find ways of improving outcomes for Aboriginal and Torres Strait Islander peoples and the Advisory Group strongly supports Indigenous education as an ongoing policy focus. </w:t>
      </w:r>
    </w:p>
    <w:p w14:paraId="7DE258A7" w14:textId="3591AE58" w:rsidR="00263747" w:rsidRPr="00263747" w:rsidRDefault="00263747" w:rsidP="00263747">
      <w:pPr>
        <w:rPr>
          <w:rFonts w:cs="HelveticaNeue LT 45 Light"/>
          <w:color w:val="000000"/>
        </w:rPr>
      </w:pPr>
      <w:r w:rsidRPr="00263747">
        <w:rPr>
          <w:rFonts w:cs="HelveticaNeue LT 45 Light"/>
          <w:color w:val="000000"/>
        </w:rPr>
        <w:t>Given the significant disparity in outcomes for RRR Indigenous students, particularly in more remote areas, improving Indigenous outcomes should be a high priority for any new HEPPP initiatives. More generally, institutions should be encouraged to do more to provide flexible delivery models and support on Country education provision, improve outreach services, mentoring and support to</w:t>
      </w:r>
      <w:r w:rsidRPr="00263747">
        <w:rPr>
          <w:rFonts w:cs="HelveticaNeue LT 45 Light"/>
          <w:color w:val="000000"/>
          <w:sz w:val="21"/>
          <w:szCs w:val="21"/>
        </w:rPr>
        <w:t xml:space="preserve"> </w:t>
      </w:r>
      <w:r w:rsidRPr="00263747">
        <w:rPr>
          <w:rFonts w:cs="HelveticaNeue LT 45 Light"/>
          <w:color w:val="000000"/>
        </w:rPr>
        <w:t xml:space="preserve">distance students, and provide tailored academic support for Indigenous students in their later years of study. Providing uncapped funding for Commonwealth-funded university places for Indigenous students from RRR areas would also further encourage Indigenous enrolments. </w:t>
      </w:r>
    </w:p>
    <w:p w14:paraId="508ADCD7" w14:textId="4962A5C4" w:rsidR="00263747" w:rsidRDefault="00263747" w:rsidP="00263747">
      <w:pPr>
        <w:rPr>
          <w:rFonts w:cs="HelveticaNeue LT 45 Light"/>
          <w:color w:val="000000"/>
        </w:rPr>
      </w:pPr>
      <w:r w:rsidRPr="00263747">
        <w:rPr>
          <w:rFonts w:cs="HelveticaNeue LT 45 Light"/>
          <w:color w:val="000000"/>
        </w:rPr>
        <w:t xml:space="preserve">In general, tailored support for RRR students with disability, and other equity groups, should be designed into wider initiatives at the outset. Tertiary providers should also be encouraged to </w:t>
      </w:r>
      <w:r w:rsidRPr="00263747">
        <w:rPr>
          <w:rFonts w:cs="HelveticaNeue LT 45 Light"/>
          <w:color w:val="000000"/>
        </w:rPr>
        <w:lastRenderedPageBreak/>
        <w:t>implement programs that allow students to take a break from their studies for hardship or cultural reasons, thus improving overall retention.</w:t>
      </w:r>
    </w:p>
    <w:tbl>
      <w:tblPr>
        <w:tblStyle w:val="TableGrid"/>
        <w:tblW w:w="0" w:type="auto"/>
        <w:tblBorders>
          <w:top w:val="single" w:sz="12" w:space="0" w:color="F6A060"/>
          <w:left w:val="single" w:sz="12" w:space="0" w:color="F6A060"/>
          <w:bottom w:val="single" w:sz="12" w:space="0" w:color="F6A060"/>
          <w:right w:val="single" w:sz="12" w:space="0" w:color="F6A060"/>
          <w:insideH w:val="single" w:sz="12" w:space="0" w:color="F6A060"/>
          <w:insideV w:val="single" w:sz="12" w:space="0" w:color="F6A060"/>
        </w:tblBorders>
        <w:shd w:val="clear" w:color="auto" w:fill="FDE8D9"/>
        <w:tblLook w:val="04A0" w:firstRow="1" w:lastRow="0" w:firstColumn="1" w:lastColumn="0" w:noHBand="0" w:noVBand="1"/>
      </w:tblPr>
      <w:tblGrid>
        <w:gridCol w:w="8996"/>
      </w:tblGrid>
      <w:tr w:rsidR="00ED7418" w14:paraId="05A9AC23" w14:textId="77777777" w:rsidTr="00ED7418">
        <w:tc>
          <w:tcPr>
            <w:tcW w:w="9016" w:type="dxa"/>
            <w:shd w:val="clear" w:color="auto" w:fill="FDE8D9"/>
          </w:tcPr>
          <w:p w14:paraId="46FFCD89" w14:textId="77777777" w:rsidR="00ED7418" w:rsidRDefault="00ED7418" w:rsidP="00ED7418">
            <w:pPr>
              <w:pStyle w:val="Heading3"/>
              <w:shd w:val="clear" w:color="auto" w:fill="FDE8D9"/>
              <w:outlineLvl w:val="2"/>
            </w:pPr>
            <w:r>
              <w:t xml:space="preserve">Recommendation five: </w:t>
            </w:r>
          </w:p>
          <w:p w14:paraId="79948E03" w14:textId="77777777" w:rsidR="00ED7418" w:rsidRPr="00ED7418" w:rsidRDefault="00ED7418" w:rsidP="00ED7418">
            <w:pPr>
              <w:shd w:val="clear" w:color="auto" w:fill="FDE8D9"/>
            </w:pPr>
          </w:p>
          <w:p w14:paraId="5318FE34" w14:textId="77777777" w:rsidR="00ED7418" w:rsidRPr="00ED7418" w:rsidRDefault="00ED7418" w:rsidP="00ED7418">
            <w:pPr>
              <w:shd w:val="clear" w:color="auto" w:fill="FDE8D9"/>
            </w:pPr>
            <w:r w:rsidRPr="00ED7418">
              <w:t xml:space="preserve">Improve participation and outcomes for RRR students from equity groups including low SES students, Indigenous students, students with disability and remote students by: </w:t>
            </w:r>
          </w:p>
          <w:p w14:paraId="00DCE723" w14:textId="77777777" w:rsidR="00ED7418" w:rsidRPr="00ED7418" w:rsidRDefault="00ED7418" w:rsidP="00041655">
            <w:pPr>
              <w:pStyle w:val="ListParagraph"/>
              <w:numPr>
                <w:ilvl w:val="0"/>
                <w:numId w:val="23"/>
              </w:numPr>
              <w:shd w:val="clear" w:color="auto" w:fill="FDE8D9"/>
            </w:pPr>
            <w:r w:rsidRPr="00ED7418">
              <w:t xml:space="preserve">modifying the HEPPP to better target funding to cost effective RRR programs </w:t>
            </w:r>
          </w:p>
          <w:p w14:paraId="359BDFD0" w14:textId="77777777" w:rsidR="00ED7418" w:rsidRPr="00ED7418" w:rsidRDefault="00ED7418" w:rsidP="00041655">
            <w:pPr>
              <w:pStyle w:val="ListParagraph"/>
              <w:numPr>
                <w:ilvl w:val="0"/>
                <w:numId w:val="23"/>
              </w:numPr>
              <w:shd w:val="clear" w:color="auto" w:fill="FDE8D9"/>
            </w:pPr>
            <w:r w:rsidRPr="00ED7418">
              <w:t xml:space="preserve">providing demand-driven funding for RRR Indigenous university students, and </w:t>
            </w:r>
          </w:p>
          <w:p w14:paraId="37E60DF3" w14:textId="77777777" w:rsidR="00ED7418" w:rsidRPr="00ED7418" w:rsidRDefault="00ED7418" w:rsidP="00041655">
            <w:pPr>
              <w:pStyle w:val="ListParagraph"/>
              <w:numPr>
                <w:ilvl w:val="0"/>
                <w:numId w:val="23"/>
              </w:numPr>
              <w:shd w:val="clear" w:color="auto" w:fill="FDE8D9"/>
            </w:pPr>
            <w:r w:rsidRPr="00ED7418">
              <w:t xml:space="preserve">establishing tailored initiatives for equity groups and those experiencing hardship. </w:t>
            </w:r>
          </w:p>
          <w:p w14:paraId="0CD294F8" w14:textId="13C6A6F5" w:rsidR="00ED7418" w:rsidRPr="00ED7418" w:rsidRDefault="00ED7418" w:rsidP="00ED7418"/>
        </w:tc>
      </w:tr>
    </w:tbl>
    <w:p w14:paraId="1C4A2EAB" w14:textId="77777777" w:rsidR="00ED7418" w:rsidRDefault="00ED7418" w:rsidP="00ED7418">
      <w:pPr>
        <w:pStyle w:val="Heading3"/>
        <w:rPr>
          <w:rStyle w:val="Strong"/>
          <w:b/>
          <w:bCs w:val="0"/>
          <w:color w:val="3A4952"/>
          <w:sz w:val="28"/>
        </w:rPr>
      </w:pPr>
    </w:p>
    <w:p w14:paraId="5F708402" w14:textId="1C690CC7" w:rsidR="00ED7418" w:rsidRPr="00263861" w:rsidRDefault="00237C7B" w:rsidP="00263861">
      <w:pPr>
        <w:pStyle w:val="Heading3"/>
      </w:pPr>
      <w:r w:rsidRPr="00ED7418">
        <w:rPr>
          <w:rStyle w:val="Strong"/>
          <w:b/>
          <w:bCs w:val="0"/>
          <w:color w:val="3A4952"/>
          <w:sz w:val="28"/>
        </w:rPr>
        <w:t>Actions</w:t>
      </w:r>
    </w:p>
    <w:p w14:paraId="6BDAC45C" w14:textId="77777777" w:rsidR="00ED7418" w:rsidRDefault="00ED7418" w:rsidP="00263861">
      <w:pPr>
        <w:numPr>
          <w:ilvl w:val="0"/>
          <w:numId w:val="45"/>
        </w:numPr>
        <w:autoSpaceDE w:val="0"/>
        <w:autoSpaceDN w:val="0"/>
        <w:adjustRightInd w:val="0"/>
        <w:spacing w:after="47" w:line="240" w:lineRule="auto"/>
        <w:ind w:left="426"/>
        <w:rPr>
          <w:rFonts w:cs="HelveticaNeue LT 45 Light"/>
          <w:color w:val="000000"/>
        </w:rPr>
      </w:pPr>
      <w:r w:rsidRPr="00ED7418">
        <w:rPr>
          <w:rFonts w:cs="HelveticaNeue LT 45 Light"/>
          <w:color w:val="000000"/>
        </w:rPr>
        <w:t xml:space="preserve">Modify the HEPPP to improve its effectiveness in supporting improved outcomes for RRR students: </w:t>
      </w:r>
    </w:p>
    <w:p w14:paraId="7A853670" w14:textId="1143A9EE" w:rsidR="00ED7418" w:rsidRPr="00ED7418" w:rsidRDefault="00ED7418" w:rsidP="00041655">
      <w:pPr>
        <w:pStyle w:val="ListParagraph"/>
        <w:numPr>
          <w:ilvl w:val="0"/>
          <w:numId w:val="22"/>
        </w:numPr>
        <w:autoSpaceDE w:val="0"/>
        <w:autoSpaceDN w:val="0"/>
        <w:adjustRightInd w:val="0"/>
        <w:spacing w:after="47" w:line="240" w:lineRule="auto"/>
        <w:rPr>
          <w:rFonts w:cs="HelveticaNeue LT 45 Light"/>
          <w:color w:val="000000"/>
        </w:rPr>
      </w:pPr>
      <w:r w:rsidRPr="00ED7418">
        <w:rPr>
          <w:rFonts w:cs="HelveticaNeue LT 45 Light"/>
          <w:color w:val="000000"/>
        </w:rPr>
        <w:t xml:space="preserve">Allocate a dedicated component of HEPPP funding to provide longer-term support for cost effective, evidence-based programs for RRR students including programs delivered through regionally-based, collaborative, multi-university and cross-sectoral partnerships. </w:t>
      </w:r>
    </w:p>
    <w:p w14:paraId="63864E3D" w14:textId="77777777" w:rsidR="00ED7418" w:rsidRPr="00ED7418" w:rsidRDefault="00ED7418" w:rsidP="00041655">
      <w:pPr>
        <w:pStyle w:val="ListParagraph"/>
        <w:numPr>
          <w:ilvl w:val="0"/>
          <w:numId w:val="22"/>
        </w:numPr>
        <w:autoSpaceDE w:val="0"/>
        <w:autoSpaceDN w:val="0"/>
        <w:adjustRightInd w:val="0"/>
        <w:spacing w:after="47" w:line="240" w:lineRule="auto"/>
        <w:rPr>
          <w:rFonts w:cs="HelveticaNeue LT 45 Light"/>
          <w:color w:val="000000"/>
        </w:rPr>
      </w:pPr>
      <w:r w:rsidRPr="00ED7418">
        <w:rPr>
          <w:rFonts w:cs="HelveticaNeue LT 45 Light"/>
          <w:color w:val="000000"/>
        </w:rPr>
        <w:t xml:space="preserve">Allocate a smaller component of funding to pilot new and innovative approaches for RRR students. </w:t>
      </w:r>
    </w:p>
    <w:p w14:paraId="33F5539B" w14:textId="051BE9DD" w:rsidR="00ED7418" w:rsidRPr="00D23878" w:rsidRDefault="00ED7418" w:rsidP="00D23878">
      <w:pPr>
        <w:pStyle w:val="ListParagraph"/>
        <w:numPr>
          <w:ilvl w:val="0"/>
          <w:numId w:val="22"/>
        </w:numPr>
        <w:autoSpaceDE w:val="0"/>
        <w:autoSpaceDN w:val="0"/>
        <w:adjustRightInd w:val="0"/>
        <w:spacing w:after="47" w:line="240" w:lineRule="auto"/>
        <w:rPr>
          <w:rFonts w:ascii="HelveticaNeue LT 45 Light" w:hAnsi="HelveticaNeue LT 45 Light"/>
          <w:color w:val="000000"/>
          <w:sz w:val="21"/>
        </w:rPr>
      </w:pPr>
      <w:r w:rsidRPr="00ED7418">
        <w:rPr>
          <w:rFonts w:cs="HelveticaNeue LT 45 Light"/>
          <w:color w:val="000000"/>
        </w:rPr>
        <w:t xml:space="preserve">Additional funding could be provided to support these changes. </w:t>
      </w:r>
    </w:p>
    <w:p w14:paraId="65951F1F" w14:textId="77777777" w:rsidR="00ED7418" w:rsidRPr="00ED7418" w:rsidRDefault="00ED7418" w:rsidP="00263861">
      <w:pPr>
        <w:numPr>
          <w:ilvl w:val="0"/>
          <w:numId w:val="45"/>
        </w:numPr>
        <w:autoSpaceDE w:val="0"/>
        <w:autoSpaceDN w:val="0"/>
        <w:adjustRightInd w:val="0"/>
        <w:spacing w:after="47" w:line="240" w:lineRule="auto"/>
        <w:ind w:left="426"/>
        <w:rPr>
          <w:rFonts w:cs="HelveticaNeue LT 45 Light"/>
          <w:color w:val="000000"/>
        </w:rPr>
      </w:pPr>
      <w:r w:rsidRPr="00ED7418">
        <w:rPr>
          <w:rFonts w:cs="HelveticaNeue LT 45 Light"/>
          <w:color w:val="000000"/>
        </w:rPr>
        <w:t xml:space="preserve">Uncap funding for Commonwealth-supported places for Indigenous students from RRR areas. </w:t>
      </w:r>
    </w:p>
    <w:p w14:paraId="24D7E2D9" w14:textId="77777777" w:rsidR="00ED7418" w:rsidRPr="00ED7418" w:rsidRDefault="00ED7418" w:rsidP="00263861">
      <w:pPr>
        <w:numPr>
          <w:ilvl w:val="0"/>
          <w:numId w:val="45"/>
        </w:numPr>
        <w:autoSpaceDE w:val="0"/>
        <w:autoSpaceDN w:val="0"/>
        <w:adjustRightInd w:val="0"/>
        <w:spacing w:after="47" w:line="240" w:lineRule="auto"/>
        <w:ind w:left="426"/>
        <w:rPr>
          <w:rFonts w:cs="HelveticaNeue LT 45 Light"/>
          <w:color w:val="000000"/>
        </w:rPr>
      </w:pPr>
      <w:r w:rsidRPr="00ED7418">
        <w:rPr>
          <w:rFonts w:cs="HelveticaNeue LT 45 Light"/>
          <w:color w:val="000000"/>
        </w:rPr>
        <w:t xml:space="preserve">Improve outcomes for Indigenous students from RRR areas through supporting flexible delivery models (on Country delivery) incorporating co-design and co-implementation, outreach services, mentoring and also providing support to distance students and tailored academic support for students in their later years of study. </w:t>
      </w:r>
    </w:p>
    <w:p w14:paraId="0926589B" w14:textId="77777777" w:rsidR="00ED7418" w:rsidRPr="00ED7418" w:rsidRDefault="00ED7418" w:rsidP="00263861">
      <w:pPr>
        <w:numPr>
          <w:ilvl w:val="0"/>
          <w:numId w:val="45"/>
        </w:numPr>
        <w:autoSpaceDE w:val="0"/>
        <w:autoSpaceDN w:val="0"/>
        <w:adjustRightInd w:val="0"/>
        <w:spacing w:after="47" w:line="240" w:lineRule="auto"/>
        <w:ind w:left="426"/>
        <w:rPr>
          <w:rFonts w:cs="HelveticaNeue LT 45 Light"/>
          <w:color w:val="000000"/>
        </w:rPr>
      </w:pPr>
      <w:r w:rsidRPr="00ED7418">
        <w:rPr>
          <w:rFonts w:cs="HelveticaNeue LT 45 Light"/>
          <w:color w:val="000000"/>
        </w:rPr>
        <w:t xml:space="preserve">Encourage tertiary providers to implement programs to support improved retention of students facing hardship due to drought and other climatic events, or needing to participate in Indigenous cultural practices and protocols by allowing them to take a break from their studies, similar to support available for elite athletes and defence reservists. </w:t>
      </w:r>
    </w:p>
    <w:p w14:paraId="1F21E783" w14:textId="1670AF05" w:rsidR="00ED7418" w:rsidRDefault="00ED7418" w:rsidP="00263861">
      <w:pPr>
        <w:numPr>
          <w:ilvl w:val="0"/>
          <w:numId w:val="45"/>
        </w:numPr>
        <w:autoSpaceDE w:val="0"/>
        <w:autoSpaceDN w:val="0"/>
        <w:adjustRightInd w:val="0"/>
        <w:spacing w:after="47" w:line="240" w:lineRule="auto"/>
        <w:ind w:left="426"/>
        <w:rPr>
          <w:rFonts w:cs="HelveticaNeue LT 45 Light"/>
          <w:color w:val="000000"/>
        </w:rPr>
      </w:pPr>
      <w:r w:rsidRPr="00ED7418">
        <w:rPr>
          <w:rFonts w:cs="HelveticaNeue LT 45 Light"/>
          <w:color w:val="000000"/>
        </w:rPr>
        <w:t xml:space="preserve">Ensure the specific support needs of equity groups, such as students with disability, are taken into account as part of any wider initiatives to improve the quality, availability and range of support provided by tertiary institutions. </w:t>
      </w:r>
    </w:p>
    <w:p w14:paraId="7BF6FF65" w14:textId="77777777" w:rsidR="00ED7418" w:rsidRPr="00ED7418" w:rsidRDefault="00ED7418" w:rsidP="00ED7418">
      <w:pPr>
        <w:autoSpaceDE w:val="0"/>
        <w:autoSpaceDN w:val="0"/>
        <w:adjustRightInd w:val="0"/>
        <w:spacing w:after="47" w:line="240" w:lineRule="auto"/>
        <w:ind w:left="426"/>
        <w:rPr>
          <w:rFonts w:cs="HelveticaNeue LT 45 Light"/>
          <w:color w:val="000000"/>
        </w:rPr>
      </w:pPr>
    </w:p>
    <w:p w14:paraId="080B8C95" w14:textId="77777777" w:rsidR="00237C7B" w:rsidRPr="00306207" w:rsidRDefault="00237C7B" w:rsidP="00726804">
      <w:pPr>
        <w:pStyle w:val="Heading3"/>
      </w:pPr>
      <w:r w:rsidRPr="00306207">
        <w:t xml:space="preserve">Regional development </w:t>
      </w:r>
    </w:p>
    <w:p w14:paraId="0FAAB294" w14:textId="77777777" w:rsidR="00ED7418" w:rsidRPr="00ED7418" w:rsidRDefault="00ED7418" w:rsidP="00ED7418">
      <w:r w:rsidRPr="00ED7418">
        <w:t xml:space="preserve">The success of Australia is dependent on its regions. Boosting the contribution made by RRR Australia will build the nation, increase productivity, and promote decentralisation. Strengthening the role of education providers in the regions is a critical part of this process. </w:t>
      </w:r>
    </w:p>
    <w:p w14:paraId="741B3113" w14:textId="2291A3D2" w:rsidR="00237C7B" w:rsidRPr="00306207" w:rsidRDefault="00ED7418" w:rsidP="00ED7418">
      <w:r w:rsidRPr="00ED7418">
        <w:t xml:space="preserve">The full range of actions canvassed in this chapter will contribute to this objective, including changes to increase the number of Commonwealth supported student places in regional universities. </w:t>
      </w:r>
      <w:r w:rsidR="00237C7B" w:rsidRPr="00306207">
        <w:t xml:space="preserve">These actions will not only stimulate economic and cultural growth but also increase educational access more broadly.  </w:t>
      </w:r>
    </w:p>
    <w:p w14:paraId="67211736" w14:textId="77777777" w:rsidR="00ED7418" w:rsidRPr="00ED7418" w:rsidRDefault="00ED7418" w:rsidP="00ED7418">
      <w:r w:rsidRPr="00ED7418">
        <w:t xml:space="preserve">Further actions are also proposed to enhance capacity in RRR tertiary education institutions, including through the establishment of a grants program aimed at enhancing research capacity and research partnerships, and dedicated work to explore opportunities to establish research infrastructure in RRR areas. </w:t>
      </w:r>
    </w:p>
    <w:p w14:paraId="7B845E53" w14:textId="77777777" w:rsidR="00ED7418" w:rsidRPr="00ED7418" w:rsidRDefault="00ED7418" w:rsidP="00ED7418">
      <w:r w:rsidRPr="00ED7418">
        <w:lastRenderedPageBreak/>
        <w:t xml:space="preserve">International education also enriches RRR communities, through both the goods and services purchased by international students and the engagement opportunities they bring. As a result, supporting ongoing work to attract international students to RRR areas will contribute to regional growth and prosperity. </w:t>
      </w:r>
    </w:p>
    <w:p w14:paraId="1C0E1B2D" w14:textId="305374BA" w:rsidR="008E55AF" w:rsidRDefault="00ED7418" w:rsidP="00ED7418">
      <w:r w:rsidRPr="00ED7418">
        <w:t>Finally, work integrated learning (WIL) can play an important role in enhancing the skills and employability of students, as well as attract and retain students in RRR areas. Establishing a program to support VET and higher education students in both RRR and metropolitan areas to undertake WIL placements in RRR areas will enhance pathways for students, while strengthening RR</w:t>
      </w:r>
      <w:r>
        <w:t>R communities more generally.</w:t>
      </w:r>
    </w:p>
    <w:tbl>
      <w:tblPr>
        <w:tblStyle w:val="TableGrid"/>
        <w:tblW w:w="0" w:type="auto"/>
        <w:tblLook w:val="04A0" w:firstRow="1" w:lastRow="0" w:firstColumn="1" w:lastColumn="0" w:noHBand="0" w:noVBand="1"/>
      </w:tblPr>
      <w:tblGrid>
        <w:gridCol w:w="8996"/>
      </w:tblGrid>
      <w:tr w:rsidR="00ED7418" w14:paraId="3AE82AE6" w14:textId="77777777" w:rsidTr="00ED7418">
        <w:tc>
          <w:tcPr>
            <w:tcW w:w="9016" w:type="dxa"/>
            <w:tcBorders>
              <w:top w:val="single" w:sz="12" w:space="0" w:color="F6A060"/>
              <w:left w:val="single" w:sz="12" w:space="0" w:color="F6A060"/>
              <w:bottom w:val="single" w:sz="12" w:space="0" w:color="F6A060"/>
              <w:right w:val="single" w:sz="12" w:space="0" w:color="F6A060"/>
            </w:tcBorders>
            <w:shd w:val="clear" w:color="auto" w:fill="FDE8D9"/>
          </w:tcPr>
          <w:p w14:paraId="4AB4E4C7" w14:textId="77777777" w:rsidR="00ED7418" w:rsidRDefault="00ED7418" w:rsidP="00ED7418">
            <w:pPr>
              <w:pStyle w:val="Heading3"/>
              <w:outlineLvl w:val="2"/>
              <w:rPr>
                <w:rFonts w:eastAsia="Times New Roman"/>
                <w:lang w:eastAsia="en-AU"/>
              </w:rPr>
            </w:pPr>
            <w:r>
              <w:rPr>
                <w:rFonts w:eastAsia="Times New Roman"/>
                <w:lang w:eastAsia="en-AU"/>
              </w:rPr>
              <w:t xml:space="preserve">Recommendation six: </w:t>
            </w:r>
          </w:p>
          <w:p w14:paraId="7BAC2C12" w14:textId="77777777" w:rsidR="00ED7418" w:rsidRPr="00ED7418" w:rsidRDefault="00ED7418" w:rsidP="00ED7418">
            <w:pPr>
              <w:rPr>
                <w:lang w:eastAsia="en-AU"/>
              </w:rPr>
            </w:pPr>
          </w:p>
          <w:p w14:paraId="1723B543" w14:textId="77777777" w:rsidR="00ED7418" w:rsidRPr="00ED7418" w:rsidRDefault="00ED7418" w:rsidP="00ED7418">
            <w:pPr>
              <w:rPr>
                <w:lang w:eastAsia="en-AU"/>
              </w:rPr>
            </w:pPr>
            <w:r w:rsidRPr="00ED7418">
              <w:rPr>
                <w:lang w:eastAsia="en-AU"/>
              </w:rPr>
              <w:t xml:space="preserve">Strengthen the role of tertiary education providers in regional development and grow Australia’s regions by: </w:t>
            </w:r>
          </w:p>
          <w:p w14:paraId="4FED9598" w14:textId="77777777" w:rsidR="00ED7418" w:rsidRPr="00ED7418" w:rsidRDefault="00ED7418" w:rsidP="00041655">
            <w:pPr>
              <w:pStyle w:val="ListParagraph"/>
              <w:numPr>
                <w:ilvl w:val="0"/>
                <w:numId w:val="23"/>
              </w:numPr>
            </w:pPr>
            <w:r w:rsidRPr="00ED7418">
              <w:t xml:space="preserve">increasing the research capacity of regional universities including identifying opportunities to establish research infrastructure </w:t>
            </w:r>
          </w:p>
          <w:p w14:paraId="6890C248" w14:textId="77777777" w:rsidR="00ED7418" w:rsidRPr="00ED7418" w:rsidRDefault="00ED7418" w:rsidP="00041655">
            <w:pPr>
              <w:pStyle w:val="ListParagraph"/>
              <w:numPr>
                <w:ilvl w:val="0"/>
                <w:numId w:val="23"/>
              </w:numPr>
            </w:pPr>
            <w:r w:rsidRPr="00ED7418">
              <w:t xml:space="preserve">continuing to explore strategies to attract domestic and international students, and </w:t>
            </w:r>
          </w:p>
          <w:p w14:paraId="147A2ABC" w14:textId="1B52D680" w:rsidR="00ED7418" w:rsidRPr="00ED7418" w:rsidRDefault="00ED7418" w:rsidP="00041655">
            <w:pPr>
              <w:pStyle w:val="ListParagraph"/>
              <w:numPr>
                <w:ilvl w:val="0"/>
                <w:numId w:val="23"/>
              </w:numPr>
            </w:pPr>
            <w:r w:rsidRPr="00ED7418">
              <w:t xml:space="preserve">increasing opportunities to undertake </w:t>
            </w:r>
            <w:r>
              <w:t>work integrated learning</w:t>
            </w:r>
            <w:r w:rsidRPr="00ED7418">
              <w:t xml:space="preserve"> in RRR areas. </w:t>
            </w:r>
          </w:p>
          <w:p w14:paraId="67E79912" w14:textId="53F720DF" w:rsidR="00ED7418" w:rsidRPr="00ED7418" w:rsidRDefault="00ED7418" w:rsidP="00ED7418">
            <w:pPr>
              <w:rPr>
                <w:lang w:eastAsia="en-AU"/>
              </w:rPr>
            </w:pPr>
          </w:p>
        </w:tc>
      </w:tr>
    </w:tbl>
    <w:p w14:paraId="71A8A613" w14:textId="77777777" w:rsidR="00ED7418" w:rsidRDefault="00ED7418" w:rsidP="00D53B13">
      <w:pPr>
        <w:pStyle w:val="Heading4"/>
        <w:rPr>
          <w:rStyle w:val="Strong"/>
        </w:rPr>
      </w:pPr>
    </w:p>
    <w:p w14:paraId="52DC42D5" w14:textId="2DBE1E99" w:rsidR="00237C7B" w:rsidRPr="00ED7418" w:rsidRDefault="00237C7B" w:rsidP="00ED7418">
      <w:pPr>
        <w:pStyle w:val="Heading3"/>
        <w:rPr>
          <w:rStyle w:val="Strong"/>
          <w:b/>
          <w:bCs w:val="0"/>
          <w:color w:val="3A4952"/>
          <w:sz w:val="28"/>
        </w:rPr>
      </w:pPr>
      <w:r w:rsidRPr="00ED7418">
        <w:rPr>
          <w:rStyle w:val="Strong"/>
          <w:b/>
          <w:bCs w:val="0"/>
          <w:color w:val="3A4952"/>
          <w:sz w:val="28"/>
        </w:rPr>
        <w:t>Actions</w:t>
      </w:r>
    </w:p>
    <w:p w14:paraId="7A1F99B0" w14:textId="77777777" w:rsidR="00ED7418" w:rsidRPr="00ED7418" w:rsidRDefault="00ED7418" w:rsidP="00263861">
      <w:pPr>
        <w:numPr>
          <w:ilvl w:val="0"/>
          <w:numId w:val="45"/>
        </w:numPr>
        <w:autoSpaceDE w:val="0"/>
        <w:autoSpaceDN w:val="0"/>
        <w:adjustRightInd w:val="0"/>
        <w:spacing w:after="47" w:line="240" w:lineRule="auto"/>
        <w:ind w:left="426"/>
        <w:rPr>
          <w:rFonts w:cs="HelveticaNeue LT 45 Light"/>
          <w:color w:val="000000"/>
        </w:rPr>
      </w:pPr>
      <w:r w:rsidRPr="00ED7418">
        <w:rPr>
          <w:rFonts w:cs="HelveticaNeue LT 45 Light"/>
          <w:color w:val="000000"/>
        </w:rPr>
        <w:t>Further enhance regional research capacity by supporting regional university providers to improve their research capacity by:</w:t>
      </w:r>
    </w:p>
    <w:p w14:paraId="619D2197" w14:textId="1AE78646" w:rsidR="00ED7418" w:rsidRPr="00ED7418" w:rsidRDefault="00ED7418" w:rsidP="00041655">
      <w:pPr>
        <w:pStyle w:val="ListParagraph"/>
        <w:numPr>
          <w:ilvl w:val="0"/>
          <w:numId w:val="22"/>
        </w:numPr>
        <w:autoSpaceDE w:val="0"/>
        <w:autoSpaceDN w:val="0"/>
        <w:adjustRightInd w:val="0"/>
        <w:spacing w:after="47" w:line="240" w:lineRule="auto"/>
        <w:rPr>
          <w:rFonts w:cs="HelveticaNeue LT 45 Light"/>
          <w:color w:val="000000"/>
        </w:rPr>
      </w:pPr>
      <w:r w:rsidRPr="00ED7418">
        <w:rPr>
          <w:rFonts w:cs="HelveticaNeue LT 45 Light"/>
          <w:color w:val="000000"/>
        </w:rPr>
        <w:t xml:space="preserve">implementing a new grants program to enhance research capacity in regional universities, including partnering with metropolitan universities, engagement with local employers and industries, and exploring opportunities to increase their role in providing national research infrastructure, and </w:t>
      </w:r>
    </w:p>
    <w:p w14:paraId="641E840E" w14:textId="77777777" w:rsidR="00ED7418" w:rsidRPr="00ED7418" w:rsidRDefault="00ED7418" w:rsidP="00041655">
      <w:pPr>
        <w:pStyle w:val="ListParagraph"/>
        <w:numPr>
          <w:ilvl w:val="0"/>
          <w:numId w:val="22"/>
        </w:numPr>
        <w:autoSpaceDE w:val="0"/>
        <w:autoSpaceDN w:val="0"/>
        <w:adjustRightInd w:val="0"/>
        <w:spacing w:after="47" w:line="240" w:lineRule="auto"/>
        <w:rPr>
          <w:rFonts w:cs="HelveticaNeue LT 45 Light"/>
          <w:color w:val="000000"/>
        </w:rPr>
      </w:pPr>
      <w:r w:rsidRPr="00ED7418">
        <w:rPr>
          <w:rFonts w:cs="HelveticaNeue LT 45 Light"/>
          <w:color w:val="000000"/>
        </w:rPr>
        <w:t xml:space="preserve">identifying opportunities to establish national research infrastructure in RRR areas, including undertaking a comprehensive scoping study to underpin future national research infrastructure investments. </w:t>
      </w:r>
    </w:p>
    <w:p w14:paraId="4B4F3197" w14:textId="77777777" w:rsidR="00ED7418" w:rsidRPr="00ED7418" w:rsidRDefault="00ED7418" w:rsidP="00263861">
      <w:pPr>
        <w:numPr>
          <w:ilvl w:val="0"/>
          <w:numId w:val="45"/>
        </w:numPr>
        <w:autoSpaceDE w:val="0"/>
        <w:autoSpaceDN w:val="0"/>
        <w:adjustRightInd w:val="0"/>
        <w:spacing w:after="47" w:line="240" w:lineRule="auto"/>
        <w:ind w:left="426"/>
        <w:rPr>
          <w:rFonts w:cs="HelveticaNeue LT 45 Light"/>
          <w:color w:val="000000"/>
        </w:rPr>
      </w:pPr>
      <w:r w:rsidRPr="00ED7418">
        <w:rPr>
          <w:rFonts w:cs="HelveticaNeue LT 45 Light"/>
          <w:color w:val="000000"/>
        </w:rPr>
        <w:t xml:space="preserve">Continue to explore strategies to attract domestic and international students to RRR areas, building on recent initiatives. </w:t>
      </w:r>
    </w:p>
    <w:p w14:paraId="382E5389" w14:textId="38CB3F31" w:rsidR="00ED7418" w:rsidRDefault="00ED7418" w:rsidP="00263861">
      <w:pPr>
        <w:numPr>
          <w:ilvl w:val="0"/>
          <w:numId w:val="45"/>
        </w:numPr>
        <w:autoSpaceDE w:val="0"/>
        <w:autoSpaceDN w:val="0"/>
        <w:adjustRightInd w:val="0"/>
        <w:spacing w:after="47" w:line="240" w:lineRule="auto"/>
        <w:ind w:left="426"/>
        <w:rPr>
          <w:rFonts w:cs="HelveticaNeue LT 45 Light"/>
          <w:color w:val="000000"/>
        </w:rPr>
      </w:pPr>
      <w:r w:rsidRPr="00ED7418">
        <w:rPr>
          <w:rFonts w:cs="HelveticaNeue LT 45 Light"/>
          <w:color w:val="000000"/>
        </w:rPr>
        <w:t xml:space="preserve">Establish a program to support VET and university students in both RRR and metropolitan areas to undertake WIL placements in RRR areas, including internships, mentorships, practicums, research, teaching and tutoring placements. </w:t>
      </w:r>
    </w:p>
    <w:p w14:paraId="6844189C" w14:textId="77777777" w:rsidR="00ED7418" w:rsidRDefault="00ED7418">
      <w:pPr>
        <w:rPr>
          <w:rFonts w:cs="HelveticaNeue LT 45 Light"/>
          <w:color w:val="000000"/>
        </w:rPr>
      </w:pPr>
      <w:r>
        <w:rPr>
          <w:rFonts w:cs="HelveticaNeue LT 45 Light"/>
          <w:color w:val="000000"/>
        </w:rPr>
        <w:br w:type="page"/>
      </w:r>
    </w:p>
    <w:p w14:paraId="575A285C" w14:textId="77777777" w:rsidR="00ED7418" w:rsidRPr="00ED7418" w:rsidRDefault="00ED7418" w:rsidP="00ED7418">
      <w:pPr>
        <w:autoSpaceDE w:val="0"/>
        <w:autoSpaceDN w:val="0"/>
        <w:adjustRightInd w:val="0"/>
        <w:spacing w:after="47" w:line="240" w:lineRule="auto"/>
        <w:ind w:left="426"/>
        <w:rPr>
          <w:rFonts w:cs="HelveticaNeue LT 45 Light"/>
          <w:color w:val="000000"/>
        </w:rPr>
      </w:pPr>
    </w:p>
    <w:p w14:paraId="5D548ACB" w14:textId="7D5DD016" w:rsidR="00786665" w:rsidRPr="00306207" w:rsidRDefault="00786665" w:rsidP="00726804">
      <w:pPr>
        <w:pStyle w:val="Heading3"/>
      </w:pPr>
      <w:r w:rsidRPr="00306207">
        <w:t xml:space="preserve">Implementation </w:t>
      </w:r>
    </w:p>
    <w:p w14:paraId="635D0944" w14:textId="77777777" w:rsidR="00ED7418" w:rsidRPr="00ED7418" w:rsidRDefault="00ED7418" w:rsidP="00ED7418">
      <w:pPr>
        <w:rPr>
          <w:rFonts w:cs="Calibri"/>
        </w:rPr>
      </w:pPr>
      <w:r w:rsidRPr="00ED7418">
        <w:rPr>
          <w:rFonts w:cs="Calibri"/>
        </w:rPr>
        <w:t xml:space="preserve">Implementation arrangements are discussed further in Part four of the report. To ensure the Strategy and its actions are effectively implemented, robust and cohesive governance, stakeholder engagement, evaluation and monitoring arrangements are necessary. These arrangements must capture the diverse needs of RRR Australia, and the different challenges faced by rural and remote communities, compared to regional communities. </w:t>
      </w:r>
    </w:p>
    <w:p w14:paraId="0339687F" w14:textId="77777777" w:rsidR="00ED7418" w:rsidRPr="00ED7418" w:rsidRDefault="00ED7418" w:rsidP="00ED7418">
      <w:pPr>
        <w:rPr>
          <w:rFonts w:cs="Calibri"/>
        </w:rPr>
      </w:pPr>
      <w:r w:rsidRPr="00ED7418">
        <w:rPr>
          <w:rFonts w:cs="Calibri"/>
        </w:rPr>
        <w:t xml:space="preserve">As part of the Terms of Reference, the Advisory Group explored the value of establishing an RRR Education Commissioner. While stakeholders expressed a variety of views, the balance of opinion was clearly in support of establishing the role. The Advisory Group believes a Commissioner would be useful in coordinating effort, overseeing implementation and providing a national focus for RRR education, training and research. </w:t>
      </w:r>
    </w:p>
    <w:p w14:paraId="6B4A71A3" w14:textId="7D9C1665" w:rsidR="008E55AF" w:rsidRDefault="00ED7418" w:rsidP="00ED7418">
      <w:pPr>
        <w:rPr>
          <w:rFonts w:cs="Calibri"/>
        </w:rPr>
      </w:pPr>
      <w:r w:rsidRPr="00ED7418">
        <w:rPr>
          <w:rFonts w:cs="Calibri"/>
        </w:rPr>
        <w:t xml:space="preserve">Another critical area for action is the geographical classification of areas to support the monitoring of the Strategy and better targeting for future initiatives. The Advisory Group found that the current system used by the ABS does not take into account a number of issues related to tertiary education access, including proximity to education and training providers. As such, a new geographical classification system is necessary to both monitor access to tertiary education for RRR communities and inform the targeting of support. </w:t>
      </w:r>
    </w:p>
    <w:tbl>
      <w:tblPr>
        <w:tblStyle w:val="TableGrid"/>
        <w:tblW w:w="0" w:type="auto"/>
        <w:tblLook w:val="04A0" w:firstRow="1" w:lastRow="0" w:firstColumn="1" w:lastColumn="0" w:noHBand="0" w:noVBand="1"/>
      </w:tblPr>
      <w:tblGrid>
        <w:gridCol w:w="8996"/>
      </w:tblGrid>
      <w:tr w:rsidR="00ED7418" w14:paraId="4164FD07" w14:textId="77777777" w:rsidTr="000259E0">
        <w:tc>
          <w:tcPr>
            <w:tcW w:w="9016" w:type="dxa"/>
            <w:tcBorders>
              <w:top w:val="single" w:sz="12" w:space="0" w:color="F6A060"/>
              <w:left w:val="single" w:sz="12" w:space="0" w:color="F6A060"/>
              <w:bottom w:val="single" w:sz="12" w:space="0" w:color="F6A060"/>
              <w:right w:val="single" w:sz="12" w:space="0" w:color="F6A060"/>
            </w:tcBorders>
            <w:shd w:val="clear" w:color="auto" w:fill="FDE8D9"/>
          </w:tcPr>
          <w:p w14:paraId="27BB2CF5" w14:textId="77777777" w:rsidR="00ED7418" w:rsidRDefault="00ED7418" w:rsidP="00ED7418">
            <w:pPr>
              <w:pStyle w:val="Heading3"/>
              <w:outlineLvl w:val="2"/>
            </w:pPr>
            <w:r>
              <w:t>Recommendation seven</w:t>
            </w:r>
          </w:p>
          <w:p w14:paraId="08009F98" w14:textId="77777777" w:rsidR="000259E0" w:rsidRPr="000259E0" w:rsidRDefault="000259E0" w:rsidP="000259E0"/>
          <w:p w14:paraId="1AF74770" w14:textId="77777777" w:rsidR="000259E0" w:rsidRPr="000259E0" w:rsidRDefault="000259E0" w:rsidP="000259E0">
            <w:r w:rsidRPr="000259E0">
              <w:t xml:space="preserve">Establish mechanisms to coordinate the implementation effort and support monitoring of the Strategy by: </w:t>
            </w:r>
          </w:p>
          <w:p w14:paraId="1B7C5687" w14:textId="77777777" w:rsidR="000259E0" w:rsidRPr="000259E0" w:rsidRDefault="000259E0" w:rsidP="00041655">
            <w:pPr>
              <w:pStyle w:val="ListParagraph"/>
              <w:numPr>
                <w:ilvl w:val="0"/>
                <w:numId w:val="23"/>
              </w:numPr>
            </w:pPr>
            <w:r w:rsidRPr="000259E0">
              <w:t xml:space="preserve">establishing a Regional, Rural and Remote Education Commissioner, with a broad remit in relation to RRR education matters, and </w:t>
            </w:r>
          </w:p>
          <w:p w14:paraId="0C102D6C" w14:textId="77777777" w:rsidR="000259E0" w:rsidRPr="000259E0" w:rsidRDefault="000259E0" w:rsidP="00041655">
            <w:pPr>
              <w:pStyle w:val="ListParagraph"/>
              <w:numPr>
                <w:ilvl w:val="0"/>
                <w:numId w:val="23"/>
              </w:numPr>
            </w:pPr>
            <w:r w:rsidRPr="000259E0">
              <w:t xml:space="preserve">developing an improved geographical classification tool for tertiary education purposes. </w:t>
            </w:r>
          </w:p>
          <w:p w14:paraId="0A8592FF" w14:textId="194FDC17" w:rsidR="00ED7418" w:rsidRPr="00ED7418" w:rsidRDefault="00ED7418" w:rsidP="00ED7418"/>
        </w:tc>
      </w:tr>
    </w:tbl>
    <w:p w14:paraId="68140DB6" w14:textId="26DFC652" w:rsidR="00ED7418" w:rsidRDefault="00ED7418" w:rsidP="00ED7418">
      <w:pPr>
        <w:rPr>
          <w:rFonts w:cs="Calibri"/>
        </w:rPr>
      </w:pPr>
    </w:p>
    <w:p w14:paraId="28717FB1" w14:textId="7D46911B" w:rsidR="00B82A1B" w:rsidRPr="000259E0" w:rsidRDefault="00B82A1B" w:rsidP="000259E0">
      <w:pPr>
        <w:pStyle w:val="Heading3"/>
      </w:pPr>
      <w:r w:rsidRPr="000259E0">
        <w:rPr>
          <w:rStyle w:val="Strong"/>
          <w:b/>
          <w:bCs w:val="0"/>
          <w:color w:val="3A4952"/>
          <w:sz w:val="28"/>
        </w:rPr>
        <w:t>Actions</w:t>
      </w:r>
    </w:p>
    <w:p w14:paraId="005FF93F" w14:textId="77777777" w:rsidR="000259E0" w:rsidRPr="000259E0" w:rsidRDefault="000259E0" w:rsidP="00263861">
      <w:pPr>
        <w:numPr>
          <w:ilvl w:val="0"/>
          <w:numId w:val="45"/>
        </w:numPr>
        <w:autoSpaceDE w:val="0"/>
        <w:autoSpaceDN w:val="0"/>
        <w:adjustRightInd w:val="0"/>
        <w:spacing w:after="47" w:line="240" w:lineRule="auto"/>
        <w:ind w:left="426"/>
        <w:rPr>
          <w:rFonts w:cs="HelveticaNeue LT 45 Light"/>
          <w:color w:val="000000"/>
        </w:rPr>
      </w:pPr>
      <w:r w:rsidRPr="000259E0">
        <w:rPr>
          <w:rFonts w:cs="HelveticaNeue LT 45 Light"/>
          <w:color w:val="000000"/>
        </w:rPr>
        <w:t xml:space="preserve">Establish a Commissioner for Regional, Rural and Remote Education to provide advice on a broad range of education issues and oversee the implementation of the Strategy, working with a wide range of relevant stakeholders and providing a national focus for RRR education, training and research. </w:t>
      </w:r>
    </w:p>
    <w:p w14:paraId="7CE98B7F" w14:textId="77777777" w:rsidR="000259E0" w:rsidRPr="000259E0" w:rsidRDefault="000259E0" w:rsidP="00263861">
      <w:pPr>
        <w:numPr>
          <w:ilvl w:val="0"/>
          <w:numId w:val="45"/>
        </w:numPr>
        <w:autoSpaceDE w:val="0"/>
        <w:autoSpaceDN w:val="0"/>
        <w:adjustRightInd w:val="0"/>
        <w:spacing w:after="47" w:line="240" w:lineRule="auto"/>
        <w:ind w:left="426"/>
        <w:rPr>
          <w:rFonts w:cs="HelveticaNeue LT 45 Light"/>
          <w:color w:val="000000"/>
        </w:rPr>
      </w:pPr>
      <w:r w:rsidRPr="000259E0">
        <w:rPr>
          <w:rFonts w:cs="HelveticaNeue LT 45 Light"/>
          <w:color w:val="000000"/>
        </w:rPr>
        <w:t>The Australian Government Department of Education work with the ABS to develop a geographical classification system that measures rurality and remoteness at a finer level for education and training purposes.</w:t>
      </w:r>
    </w:p>
    <w:p w14:paraId="7CB75C10" w14:textId="0652226F" w:rsidR="00E001B5" w:rsidRPr="00306207" w:rsidRDefault="00E001B5">
      <w:pPr>
        <w:rPr>
          <w:rFonts w:ascii="Calibri" w:eastAsia="Times New Roman" w:hAnsi="Calibri" w:cs="Times New Roman"/>
          <w:lang w:eastAsia="en-AU"/>
        </w:rPr>
      </w:pPr>
      <w:r w:rsidRPr="00306207">
        <w:rPr>
          <w:rFonts w:ascii="Calibri" w:eastAsia="Times New Roman" w:hAnsi="Calibri" w:cs="Times New Roman"/>
          <w:lang w:eastAsia="en-AU"/>
        </w:rPr>
        <w:br w:type="page"/>
      </w:r>
    </w:p>
    <w:p w14:paraId="2F7F5A9D" w14:textId="567D6219" w:rsidR="00555B39" w:rsidRPr="00306207" w:rsidRDefault="00B06EC7" w:rsidP="00A368CF">
      <w:pPr>
        <w:pStyle w:val="Heading1"/>
      </w:pPr>
      <w:bookmarkStart w:id="61" w:name="_Toc13224804"/>
      <w:r w:rsidRPr="00306207">
        <w:lastRenderedPageBreak/>
        <w:t xml:space="preserve">Part </w:t>
      </w:r>
      <w:r w:rsidR="00A456C5" w:rsidRPr="00306207">
        <w:t>four</w:t>
      </w:r>
      <w:r w:rsidR="005C6A03" w:rsidRPr="00306207">
        <w:t xml:space="preserve">: </w:t>
      </w:r>
      <w:r w:rsidR="00555B39" w:rsidRPr="00306207">
        <w:t>Implementing the Strategy</w:t>
      </w:r>
      <w:bookmarkEnd w:id="61"/>
    </w:p>
    <w:p w14:paraId="7CD5AE6A" w14:textId="77777777" w:rsidR="00953124" w:rsidRPr="00953124" w:rsidRDefault="00953124" w:rsidP="00953124">
      <w:r w:rsidRPr="00953124">
        <w:t xml:space="preserve">The Plan for change in the section above outlines recommendations and actions the Australian Government could take to address the vast disparity in tertiary education outcomes in RRR areas, compared to metropolitan areas. </w:t>
      </w:r>
    </w:p>
    <w:p w14:paraId="4A9CCCA8" w14:textId="77777777" w:rsidR="00953124" w:rsidRDefault="00953124" w:rsidP="00953124">
      <w:r w:rsidRPr="00953124">
        <w:t>Recommendation seven focuses on the implementation of the Strategy. Its actions are aimed at supporting coordination of effort and providing a national focus for RRR education by introducing two new national mechanisms: (1) a Commissioner for RRR education; and (2) a new geographical classification system for education and training purposes. These two actions, as well as a wider discussion about stakeholder engagement, monitoring and evaluation related to the Strategy, are covered below.</w:t>
      </w:r>
    </w:p>
    <w:p w14:paraId="24B31051" w14:textId="54152798" w:rsidR="00555B39" w:rsidRPr="00306207" w:rsidRDefault="00953124" w:rsidP="00953124">
      <w:pPr>
        <w:pStyle w:val="Heading2"/>
      </w:pPr>
      <w:r>
        <w:rPr>
          <w:rFonts w:cs="HelveticaNeue LT 45 Light"/>
          <w:color w:val="000000"/>
          <w:sz w:val="21"/>
          <w:szCs w:val="21"/>
        </w:rPr>
        <w:t xml:space="preserve"> </w:t>
      </w:r>
      <w:bookmarkStart w:id="62" w:name="_Toc13224805"/>
      <w:r w:rsidR="00FF0447" w:rsidRPr="00306207">
        <w:t xml:space="preserve">RRR </w:t>
      </w:r>
      <w:r w:rsidR="00E84ACC" w:rsidRPr="00306207">
        <w:t>Education Commissioner</w:t>
      </w:r>
      <w:bookmarkEnd w:id="62"/>
      <w:r w:rsidR="00555B39" w:rsidRPr="00306207">
        <w:t xml:space="preserve"> </w:t>
      </w:r>
    </w:p>
    <w:p w14:paraId="682E0771" w14:textId="77777777" w:rsidR="00953124" w:rsidRPr="00953124" w:rsidRDefault="00953124" w:rsidP="00953124">
      <w:r w:rsidRPr="00953124">
        <w:t xml:space="preserve">Effective implementation of the Strategy will require partnerships and efforts across governments, local communities, education providers and employers. In particular, strong community leadership will prove vital to the ongoing success of policy actions and programs. The Halsey Review highlighted the need for a “joined up effort” to achieve a sustained, national RRR education focus and suggested a dedicated Commissioner could drive, monitor and report on outcomes and progress. Having considered this proposal further and taking into account the full range of views expressed through the consultation and submission process, the Advisory Group recommends the establishment of a Commissioner for RRR Education. </w:t>
      </w:r>
    </w:p>
    <w:p w14:paraId="48E05A8F" w14:textId="77777777" w:rsidR="00953124" w:rsidRPr="00953124" w:rsidRDefault="00953124" w:rsidP="00953124">
      <w:r w:rsidRPr="00953124">
        <w:t xml:space="preserve">It is proposed that the Commissioner would work with RRR communities, education providers, employers and across all levels of government to improve tertiary education access, participation and outcomes. The Commissioner would champion, coordinate effort and oversee the implementation and monitoring of the Strategy. The Commissioner would provide a national focus for RRR education, training and research and act at the forefront of government decision-making. </w:t>
      </w:r>
    </w:p>
    <w:p w14:paraId="7A4B2EA8" w14:textId="77777777" w:rsidR="00953124" w:rsidRPr="00953124" w:rsidRDefault="00953124" w:rsidP="00953124">
      <w:r w:rsidRPr="00953124">
        <w:t xml:space="preserve">As well as overseeing the implementation of the Strategy, the Commissioner could have a broader remit in advising the Australian Government, through the Education Minister, on a range of education matters, spanning early childhood, schools and tertiary education. </w:t>
      </w:r>
    </w:p>
    <w:p w14:paraId="290984B6" w14:textId="5C1059A0" w:rsidR="00555B39" w:rsidRPr="00953124" w:rsidRDefault="00555B39" w:rsidP="00263861">
      <w:pPr>
        <w:spacing w:after="0"/>
      </w:pPr>
      <w:r w:rsidRPr="00953124">
        <w:t xml:space="preserve">The Commissioner </w:t>
      </w:r>
      <w:r w:rsidR="00400ECD" w:rsidRPr="00953124">
        <w:t>would:</w:t>
      </w:r>
      <w:r w:rsidRPr="00953124">
        <w:t xml:space="preserve"> </w:t>
      </w:r>
    </w:p>
    <w:p w14:paraId="1E613D42" w14:textId="77777777" w:rsidR="00953124" w:rsidRPr="00953124" w:rsidRDefault="00953124" w:rsidP="00041655">
      <w:pPr>
        <w:pStyle w:val="ListParagraph"/>
        <w:numPr>
          <w:ilvl w:val="0"/>
          <w:numId w:val="23"/>
        </w:numPr>
        <w:spacing w:after="0" w:line="240" w:lineRule="auto"/>
      </w:pPr>
      <w:r w:rsidRPr="00953124">
        <w:t xml:space="preserve">report annually on progress with implementing the Strategy and tertiary education participation and outcomes in RRR areas </w:t>
      </w:r>
    </w:p>
    <w:p w14:paraId="1377E23F" w14:textId="77777777" w:rsidR="00953124" w:rsidRPr="00953124" w:rsidRDefault="00953124" w:rsidP="00041655">
      <w:pPr>
        <w:pStyle w:val="ListParagraph"/>
        <w:numPr>
          <w:ilvl w:val="0"/>
          <w:numId w:val="23"/>
        </w:numPr>
        <w:spacing w:after="0" w:line="240" w:lineRule="auto"/>
      </w:pPr>
      <w:r w:rsidRPr="00953124">
        <w:t xml:space="preserve">provide advice on a broad range of RRR education policy issues, including barriers to access and participation in education and training </w:t>
      </w:r>
    </w:p>
    <w:p w14:paraId="792F597C" w14:textId="77777777" w:rsidR="00953124" w:rsidRPr="00953124" w:rsidRDefault="00953124" w:rsidP="00041655">
      <w:pPr>
        <w:pStyle w:val="ListParagraph"/>
        <w:numPr>
          <w:ilvl w:val="0"/>
          <w:numId w:val="23"/>
        </w:numPr>
        <w:spacing w:after="0" w:line="240" w:lineRule="auto"/>
      </w:pPr>
      <w:r w:rsidRPr="00953124">
        <w:t xml:space="preserve">be a champion for RRR education, keeping the issues at the forefront for government and the public and articulating their relevance to broader policy agendas </w:t>
      </w:r>
    </w:p>
    <w:p w14:paraId="2888D8A5" w14:textId="77777777" w:rsidR="00953124" w:rsidRPr="00953124" w:rsidRDefault="00953124" w:rsidP="00041655">
      <w:pPr>
        <w:pStyle w:val="ListParagraph"/>
        <w:numPr>
          <w:ilvl w:val="0"/>
          <w:numId w:val="23"/>
        </w:numPr>
        <w:spacing w:after="0" w:line="240" w:lineRule="auto"/>
      </w:pPr>
      <w:r w:rsidRPr="00953124">
        <w:t xml:space="preserve">work closely and engage strategically with peak RRR parent, student and community bodies and all tertiary education providers </w:t>
      </w:r>
    </w:p>
    <w:p w14:paraId="083A3724" w14:textId="355683A8" w:rsidR="00953124" w:rsidRPr="00953124" w:rsidRDefault="00953124" w:rsidP="00041655">
      <w:pPr>
        <w:pStyle w:val="ListParagraph"/>
        <w:numPr>
          <w:ilvl w:val="0"/>
          <w:numId w:val="23"/>
        </w:numPr>
        <w:spacing w:after="0" w:line="240" w:lineRule="auto"/>
      </w:pPr>
      <w:r w:rsidRPr="00953124">
        <w:t xml:space="preserve">bring together education-related efforts across all levels of government, key stakeholders and communities </w:t>
      </w:r>
    </w:p>
    <w:p w14:paraId="3C622071" w14:textId="77777777" w:rsidR="00953124" w:rsidRPr="00953124" w:rsidRDefault="00953124" w:rsidP="00041655">
      <w:pPr>
        <w:pStyle w:val="ListParagraph"/>
        <w:numPr>
          <w:ilvl w:val="0"/>
          <w:numId w:val="23"/>
        </w:numPr>
        <w:spacing w:after="0" w:line="240" w:lineRule="auto"/>
      </w:pPr>
      <w:r w:rsidRPr="00953124">
        <w:t xml:space="preserve">work with Commonwealth and state and territory governments to grow opportunities for VET in RRR areas </w:t>
      </w:r>
    </w:p>
    <w:p w14:paraId="1B836A04" w14:textId="77777777" w:rsidR="00953124" w:rsidRPr="00953124" w:rsidRDefault="00953124" w:rsidP="00041655">
      <w:pPr>
        <w:pStyle w:val="ListParagraph"/>
        <w:numPr>
          <w:ilvl w:val="0"/>
          <w:numId w:val="23"/>
        </w:numPr>
        <w:spacing w:after="0" w:line="240" w:lineRule="auto"/>
      </w:pPr>
      <w:r w:rsidRPr="00953124">
        <w:t xml:space="preserve">support information sharing between initiatives, including advocacy and sharing of emerging issues and best practice and developing community-led approaches </w:t>
      </w:r>
    </w:p>
    <w:p w14:paraId="1B86E290" w14:textId="77777777" w:rsidR="00953124" w:rsidRPr="00953124" w:rsidRDefault="00953124" w:rsidP="00041655">
      <w:pPr>
        <w:pStyle w:val="ListParagraph"/>
        <w:numPr>
          <w:ilvl w:val="0"/>
          <w:numId w:val="23"/>
        </w:numPr>
        <w:spacing w:after="0" w:line="240" w:lineRule="auto"/>
      </w:pPr>
      <w:r w:rsidRPr="00953124">
        <w:t xml:space="preserve">provide advice on regional development issues by working with stakeholders to build partnerships and enhance the contribution of tertiary education to regional development </w:t>
      </w:r>
    </w:p>
    <w:p w14:paraId="20AE7040" w14:textId="77777777" w:rsidR="00953124" w:rsidRPr="00953124" w:rsidRDefault="00953124" w:rsidP="00041655">
      <w:pPr>
        <w:pStyle w:val="ListParagraph"/>
        <w:numPr>
          <w:ilvl w:val="0"/>
          <w:numId w:val="23"/>
        </w:numPr>
        <w:spacing w:after="0" w:line="240" w:lineRule="auto"/>
      </w:pPr>
      <w:r w:rsidRPr="00953124">
        <w:lastRenderedPageBreak/>
        <w:t xml:space="preserve">advocate RRR investment and philanthropy as a means of developing national social cohesion, economic development and nation building </w:t>
      </w:r>
    </w:p>
    <w:p w14:paraId="5F151B18" w14:textId="77777777" w:rsidR="00953124" w:rsidRPr="00953124" w:rsidRDefault="00953124" w:rsidP="00041655">
      <w:pPr>
        <w:pStyle w:val="ListParagraph"/>
        <w:numPr>
          <w:ilvl w:val="0"/>
          <w:numId w:val="23"/>
        </w:numPr>
        <w:spacing w:after="0" w:line="240" w:lineRule="auto"/>
      </w:pPr>
      <w:r w:rsidRPr="00953124">
        <w:t xml:space="preserve">facilitate information exchange and liaison between Regional Study Hubs; assist in the start-up phase of new Hubs and, as required, facilitate effective cooperation between Regional Study Hubs and their education partners, and </w:t>
      </w:r>
    </w:p>
    <w:p w14:paraId="47BD4B60" w14:textId="77777777" w:rsidR="00953124" w:rsidRPr="00953124" w:rsidRDefault="00953124" w:rsidP="00041655">
      <w:pPr>
        <w:pStyle w:val="ListParagraph"/>
        <w:numPr>
          <w:ilvl w:val="0"/>
          <w:numId w:val="23"/>
        </w:numPr>
        <w:spacing w:after="0" w:line="240" w:lineRule="auto"/>
      </w:pPr>
      <w:r w:rsidRPr="00953124">
        <w:t>monitor the development of research infrastructure in RRR Australia and at regionally</w:t>
      </w:r>
      <w:r w:rsidRPr="00953124">
        <w:noBreakHyphen/>
        <w:t xml:space="preserve">based universities. </w:t>
      </w:r>
    </w:p>
    <w:p w14:paraId="5C79BBD5" w14:textId="77777777" w:rsidR="00953124" w:rsidRDefault="00953124" w:rsidP="00041655">
      <w:pPr>
        <w:numPr>
          <w:ilvl w:val="0"/>
          <w:numId w:val="27"/>
        </w:numPr>
        <w:autoSpaceDE w:val="0"/>
        <w:autoSpaceDN w:val="0"/>
        <w:adjustRightInd w:val="0"/>
        <w:spacing w:after="0" w:line="240" w:lineRule="auto"/>
        <w:ind w:left="680" w:hanging="284"/>
        <w:rPr>
          <w:rFonts w:ascii="HelveticaNeue LT 45 Light" w:hAnsi="HelveticaNeue LT 45 Light" w:cs="HelveticaNeue LT 45 Light"/>
          <w:color w:val="000000"/>
          <w:sz w:val="21"/>
          <w:szCs w:val="21"/>
        </w:rPr>
      </w:pPr>
    </w:p>
    <w:p w14:paraId="635604EC" w14:textId="77777777" w:rsidR="00953124" w:rsidRDefault="00953124" w:rsidP="00953124">
      <w:r>
        <w:t xml:space="preserve">The Commissioner would report to the Australian Government Education Minister. A five year term of appointment is suggested. Consideration could then be given to extending this timeframe, subject to the level of ongoing implementation activity, oversight required and the effectiveness of the role. Capacity should be established within the DoE to support the functions and directions of the Commissioner. </w:t>
      </w:r>
    </w:p>
    <w:p w14:paraId="0CF6E0DE" w14:textId="2B96CAD7" w:rsidR="00555B39" w:rsidRPr="00306207" w:rsidRDefault="00C62128" w:rsidP="00726804">
      <w:pPr>
        <w:pStyle w:val="Heading2"/>
      </w:pPr>
      <w:bookmarkStart w:id="63" w:name="_Toc13224806"/>
      <w:r w:rsidRPr="00306207">
        <w:t>Stakeholder engagement</w:t>
      </w:r>
      <w:r w:rsidR="00E42639" w:rsidRPr="00306207">
        <w:t xml:space="preserve"> and partnerships</w:t>
      </w:r>
      <w:bookmarkEnd w:id="63"/>
    </w:p>
    <w:p w14:paraId="790BCF42" w14:textId="77777777" w:rsidR="00953124" w:rsidRPr="00953124" w:rsidRDefault="00953124" w:rsidP="00953124">
      <w:r w:rsidRPr="00953124">
        <w:t xml:space="preserve">Effective implementation of the Strategy will require partnerships and efforts across governments, local communities, education providers and employers. </w:t>
      </w:r>
    </w:p>
    <w:p w14:paraId="551B226B" w14:textId="77777777" w:rsidR="00953124" w:rsidRPr="00953124" w:rsidRDefault="00953124" w:rsidP="00041655">
      <w:pPr>
        <w:pStyle w:val="ListParagraph"/>
        <w:numPr>
          <w:ilvl w:val="0"/>
          <w:numId w:val="23"/>
        </w:numPr>
        <w:spacing w:line="240" w:lineRule="auto"/>
      </w:pPr>
      <w:r w:rsidRPr="00953124">
        <w:rPr>
          <w:b/>
        </w:rPr>
        <w:t>The Commonwealth as well as all state and territory governments</w:t>
      </w:r>
      <w:r w:rsidRPr="00953124">
        <w:t xml:space="preserve"> have an interest in increasing the tertiary attainment of people in RRR areas and, as such, have a shared responsibility to act in support of these communities. This responsibility includes policy development and implementation, as well as monitoring outcomes and periodic evaluation. </w:t>
      </w:r>
    </w:p>
    <w:p w14:paraId="0D043E10" w14:textId="77777777" w:rsidR="00953124" w:rsidRPr="00953124" w:rsidRDefault="00953124" w:rsidP="00041655">
      <w:pPr>
        <w:pStyle w:val="ListParagraph"/>
        <w:numPr>
          <w:ilvl w:val="0"/>
          <w:numId w:val="23"/>
        </w:numPr>
        <w:spacing w:after="0" w:line="240" w:lineRule="auto"/>
      </w:pPr>
      <w:r w:rsidRPr="00953124">
        <w:rPr>
          <w:b/>
        </w:rPr>
        <w:t>Local communities</w:t>
      </w:r>
      <w:r w:rsidRPr="00953124">
        <w:t xml:space="preserve"> are the driving force of action in RRR areas and therefore play a key role in providing advice and leadership to government, as well as facilitating information sharing among community members. Community leadership ensures policy action and programs meet the specific needs of the individual communities they are trying to serve. </w:t>
      </w:r>
    </w:p>
    <w:p w14:paraId="76CDA175" w14:textId="77777777" w:rsidR="00953124" w:rsidRPr="00953124" w:rsidRDefault="00953124" w:rsidP="00041655">
      <w:pPr>
        <w:pStyle w:val="ListParagraph"/>
        <w:numPr>
          <w:ilvl w:val="0"/>
          <w:numId w:val="23"/>
        </w:numPr>
        <w:spacing w:after="0" w:line="240" w:lineRule="auto"/>
      </w:pPr>
      <w:r w:rsidRPr="00953124">
        <w:rPr>
          <w:b/>
        </w:rPr>
        <w:t>Universities, VET providers, schools and other education providers</w:t>
      </w:r>
      <w:r w:rsidRPr="00953124">
        <w:t xml:space="preserve"> also have an interest and responsibility to current and prospective students to assist them to reach their potential and contribute to the nation. Providers must work with governments, communities and employers to implement policy actions effectively and deliver strong education outcomes. </w:t>
      </w:r>
    </w:p>
    <w:p w14:paraId="49B807CE" w14:textId="77777777" w:rsidR="00953124" w:rsidRPr="00953124" w:rsidRDefault="00953124" w:rsidP="00041655">
      <w:pPr>
        <w:pStyle w:val="ListParagraph"/>
        <w:numPr>
          <w:ilvl w:val="0"/>
          <w:numId w:val="23"/>
        </w:numPr>
        <w:spacing w:after="0" w:line="240" w:lineRule="auto"/>
      </w:pPr>
      <w:r w:rsidRPr="00953124">
        <w:t xml:space="preserve">Finally, </w:t>
      </w:r>
      <w:r w:rsidRPr="00953124">
        <w:rPr>
          <w:b/>
        </w:rPr>
        <w:t>industry and other employers</w:t>
      </w:r>
      <w:r w:rsidRPr="00953124">
        <w:t xml:space="preserve"> have a key role to play in engaging with local communities and students to help build aspiration, providing career advice and offering practical training opportunities and employment pathways. </w:t>
      </w:r>
    </w:p>
    <w:p w14:paraId="34103EE1" w14:textId="77777777" w:rsidR="00953124" w:rsidRPr="00953124" w:rsidRDefault="00953124" w:rsidP="00953124">
      <w:pPr>
        <w:autoSpaceDE w:val="0"/>
        <w:autoSpaceDN w:val="0"/>
        <w:adjustRightInd w:val="0"/>
        <w:spacing w:after="0" w:line="240" w:lineRule="auto"/>
        <w:rPr>
          <w:rFonts w:ascii="HelveticaNeue LT 45 Light" w:hAnsi="HelveticaNeue LT 45 Light" w:cs="HelveticaNeue LT 45 Light"/>
          <w:color w:val="000000"/>
          <w:sz w:val="21"/>
          <w:szCs w:val="21"/>
        </w:rPr>
      </w:pPr>
    </w:p>
    <w:p w14:paraId="0CDAFB8C" w14:textId="77777777" w:rsidR="00953124" w:rsidRDefault="00953124" w:rsidP="00953124">
      <w:pPr>
        <w:rPr>
          <w:rFonts w:ascii="HelveticaNeue LT 45 Light" w:hAnsi="HelveticaNeue LT 45 Light" w:cs="HelveticaNeue LT 45 Light"/>
          <w:color w:val="000000"/>
          <w:sz w:val="21"/>
          <w:szCs w:val="21"/>
        </w:rPr>
      </w:pPr>
      <w:r w:rsidRPr="00953124">
        <w:t>While there is an expectation that the Australian Government will provide national leadership, consultations with stakeholders have highlighted the need for a whole of government approach, with shared responsibility for implementation across multiple levels, sectors and jurisdictions. There will be a range of parties responsible for implementing different policies and actions to contribute towards meeting the targets identified in the Strategy. These will include the Australian Government as well as state and territory governments, education institutions, local governments and community organisations</w:t>
      </w:r>
      <w:r w:rsidRPr="00953124">
        <w:rPr>
          <w:rFonts w:ascii="HelveticaNeue LT 45 Light" w:hAnsi="HelveticaNeue LT 45 Light" w:cs="HelveticaNeue LT 45 Light"/>
          <w:color w:val="000000"/>
          <w:sz w:val="21"/>
          <w:szCs w:val="21"/>
        </w:rPr>
        <w:t xml:space="preserve">. </w:t>
      </w:r>
    </w:p>
    <w:p w14:paraId="4635764D" w14:textId="5C4064D9" w:rsidR="00AC6390" w:rsidRPr="00306207" w:rsidRDefault="00953124">
      <w:pPr>
        <w:rPr>
          <w:rFonts w:asciiTheme="majorHAnsi" w:eastAsia="Calibri" w:hAnsiTheme="majorHAnsi" w:cstheme="majorBidi"/>
          <w:color w:val="2B363D" w:themeColor="accent1" w:themeShade="BF"/>
        </w:rPr>
      </w:pPr>
      <w:r w:rsidRPr="00953124">
        <w:rPr>
          <w:rFonts w:cs="Calibri"/>
        </w:rPr>
        <w:t>The Commissioner for RRR Education would play an important coordination role in bringing these stakeholders together and encouraging accountability for actions. This activity could include regular and ongoing consultations with key stakeholder groups and promoting linkages between these groups. The Commissioner could also collate the views and experience from higher education and VET providers on enrolments and retention of RRR students and disseminate relevant information on best practice.</w:t>
      </w:r>
      <w:r w:rsidR="00AC6390" w:rsidRPr="00306207">
        <w:rPr>
          <w:rFonts w:eastAsia="Calibri"/>
        </w:rPr>
        <w:br w:type="page"/>
      </w:r>
    </w:p>
    <w:p w14:paraId="19783F84" w14:textId="0C4D8B00" w:rsidR="002D71C5" w:rsidRPr="00306207" w:rsidRDefault="002D71C5" w:rsidP="00726804">
      <w:pPr>
        <w:pStyle w:val="Heading2"/>
      </w:pPr>
      <w:bookmarkStart w:id="64" w:name="_Toc13224807"/>
      <w:r w:rsidRPr="00306207">
        <w:lastRenderedPageBreak/>
        <w:t>Reporting, monitoring and evaluation</w:t>
      </w:r>
      <w:bookmarkEnd w:id="64"/>
    </w:p>
    <w:p w14:paraId="7BEE1507" w14:textId="36B1B94B" w:rsidR="00953124" w:rsidRPr="00953124" w:rsidRDefault="00953124" w:rsidP="00953124">
      <w:pPr>
        <w:spacing w:line="240" w:lineRule="auto"/>
        <w:rPr>
          <w:rFonts w:cs="Calibri"/>
        </w:rPr>
      </w:pPr>
      <w:r w:rsidRPr="00953124">
        <w:rPr>
          <w:rFonts w:cs="Calibri"/>
        </w:rPr>
        <w:t>The Commissioner could take primary responsibility for coordinating the implementation and monitoring of the Strategy. The Commissioner could also be responsible for reporting to the Australian Government Education Minister and, where appropriate, other jurisdictions, on progress against targets and other metrics. The Commissioner would liaise with relevant parties to collate information and ensure all parties are included in discussions on progress and potential changes to recommendations. As a long-term and bipartisan appointment, the Commissioner could play a critical role in consistent and accurate reporting on the Strategy, independent of any changing governments.</w:t>
      </w:r>
    </w:p>
    <w:p w14:paraId="04D401A2" w14:textId="205680EA" w:rsidR="00813506" w:rsidRPr="00306207" w:rsidRDefault="00813506" w:rsidP="00726804">
      <w:pPr>
        <w:pStyle w:val="Heading3"/>
      </w:pPr>
      <w:r w:rsidRPr="00306207">
        <w:t xml:space="preserve">Targets </w:t>
      </w:r>
    </w:p>
    <w:p w14:paraId="7ACBECB2" w14:textId="77777777" w:rsidR="00953124" w:rsidRDefault="00953124" w:rsidP="00953124">
      <w:pPr>
        <w:pStyle w:val="ListParagraph"/>
        <w:spacing w:line="252" w:lineRule="auto"/>
        <w:ind w:left="0"/>
        <w:contextualSpacing w:val="0"/>
      </w:pPr>
      <w:r w:rsidRPr="00953124">
        <w:t xml:space="preserve">While there is no simple overarching measure of equity in opportunity and access, attainment and participation rates provide a useful indicator of changes in education outcomes for communities and students over time. Higher-level tertiary education is where the disparity exists between RRR areas and metropolitan areas. This disparity progressively worsens with remoteness. Regional and remote areas have high rates of Certificate I, II and III attainment, relative to metropolitan areas, but this begins to flatten at the Certificate IV level and falls significantly for diploma and above qualifications: </w:t>
      </w:r>
    </w:p>
    <w:p w14:paraId="0BC756A7" w14:textId="77777777" w:rsidR="00953124" w:rsidRPr="00953124" w:rsidRDefault="00953124" w:rsidP="00041655">
      <w:pPr>
        <w:pStyle w:val="ListParagraph"/>
        <w:numPr>
          <w:ilvl w:val="0"/>
          <w:numId w:val="23"/>
        </w:numPr>
        <w:spacing w:line="240" w:lineRule="auto"/>
      </w:pPr>
      <w:r w:rsidRPr="00953124">
        <w:t xml:space="preserve">In 2016, 12.2 per cent of persons aged 25-34 in metropolitan areas had Certificate III as their highest qualification, compared with 22.8 per cent in inner regional areas, 22.1 per cent in outer regional areas and 18.6 per cent in remote areas. </w:t>
      </w:r>
    </w:p>
    <w:p w14:paraId="79540B06" w14:textId="77777777" w:rsidR="00953124" w:rsidRPr="00953124" w:rsidRDefault="00953124" w:rsidP="00041655">
      <w:pPr>
        <w:pStyle w:val="ListParagraph"/>
        <w:numPr>
          <w:ilvl w:val="0"/>
          <w:numId w:val="23"/>
        </w:numPr>
        <w:spacing w:line="240" w:lineRule="auto"/>
      </w:pPr>
      <w:r w:rsidRPr="00953124">
        <w:t xml:space="preserve">For Certificate IV, the rate was 3.8 per cent in metropolitan areas, compared to 5.4 per cent in inner regional areas, 4.6 per cent in outer regional areas and 3.6 per cent in remote areas. </w:t>
      </w:r>
    </w:p>
    <w:p w14:paraId="2837D486" w14:textId="77777777" w:rsidR="00953124" w:rsidRPr="00953124" w:rsidRDefault="00953124" w:rsidP="00041655">
      <w:pPr>
        <w:pStyle w:val="ListParagraph"/>
        <w:numPr>
          <w:ilvl w:val="0"/>
          <w:numId w:val="23"/>
        </w:numPr>
        <w:spacing w:line="240" w:lineRule="auto"/>
      </w:pPr>
      <w:r w:rsidRPr="00953124">
        <w:t xml:space="preserve">For diploma and advanced diploma, the rate was 10.3 per cent in metropolitan areas, compared to 8.5 per cent in inner regional areas, 7.5 per cent in outer regional areas and 6.1 per cent in remote areas. </w:t>
      </w:r>
    </w:p>
    <w:p w14:paraId="00E0EF87" w14:textId="294B182E" w:rsidR="00953124" w:rsidRDefault="00953124" w:rsidP="00041655">
      <w:pPr>
        <w:pStyle w:val="ListParagraph"/>
        <w:numPr>
          <w:ilvl w:val="0"/>
          <w:numId w:val="23"/>
        </w:numPr>
        <w:spacing w:line="240" w:lineRule="auto"/>
      </w:pPr>
      <w:r w:rsidRPr="00953124">
        <w:t xml:space="preserve">For bachelor degrees, the rate was 28.0 per cent in metropolitan areas, compared to 15.9 per cent in inner regional areas, 15.1 per cent in outer regional areas and 12.9 per cent in remote areas. </w:t>
      </w:r>
    </w:p>
    <w:p w14:paraId="40EB61FB" w14:textId="77777777" w:rsidR="00275E90" w:rsidRPr="00953124" w:rsidRDefault="00275E90" w:rsidP="00D23878">
      <w:pPr>
        <w:pStyle w:val="ListParagraph"/>
        <w:spacing w:line="240" w:lineRule="auto"/>
        <w:ind w:left="360"/>
      </w:pPr>
    </w:p>
    <w:p w14:paraId="75EFD246" w14:textId="77777777" w:rsidR="00953124" w:rsidRPr="00953124" w:rsidRDefault="00953124" w:rsidP="00953124">
      <w:pPr>
        <w:pStyle w:val="ListParagraph"/>
        <w:spacing w:line="252" w:lineRule="auto"/>
        <w:ind w:left="0"/>
        <w:contextualSpacing w:val="0"/>
      </w:pPr>
      <w:r w:rsidRPr="00953124">
        <w:t xml:space="preserve">Analysis of historical census data since 2006 shows that the disparity in higher-level tertiary attainment rates has been persisting over time. As discussed in Part one of the report, while there has been a general increase in attainment rates across all areas including RRR areas, the gap has slightly widened due to attainment in metropolitan areas increasing at a higher rate. </w:t>
      </w:r>
    </w:p>
    <w:p w14:paraId="3540EAAF" w14:textId="6F21F8A6" w:rsidR="00813506" w:rsidRPr="00306207" w:rsidRDefault="0034043A" w:rsidP="0034043A">
      <w:pPr>
        <w:pStyle w:val="ListParagraph"/>
        <w:spacing w:line="252" w:lineRule="auto"/>
        <w:ind w:left="0"/>
        <w:contextualSpacing w:val="0"/>
      </w:pPr>
      <w:r w:rsidRPr="0034043A">
        <w:t>While attainment rates provide a useful measure of educational outcomes for people living in different regions, reducing the gap in educational attainment will take a number of years as current students move through the education pipeline. Attainment rates are also clouded by movement of graduates in and out of regional and remote areas and therefore do not provide a timely and accurate measure of outcomes for school leavers and current cohorts of tertiary students. As a result, it will be important to also measure participation rates – that is, the proportion of the population undertaking tertiary education. Participation rates also provide for more frequent monitoring of outcomes than the five yearly census data and can thus provide an early indicator of improved access.</w:t>
      </w:r>
    </w:p>
    <w:p w14:paraId="7B191DEA" w14:textId="4D877BAB" w:rsidR="0034043A" w:rsidRDefault="0034043A" w:rsidP="0034043A">
      <w:pPr>
        <w:spacing w:after="0" w:line="252" w:lineRule="auto"/>
      </w:pPr>
      <w:r w:rsidRPr="0034043A">
        <w:t xml:space="preserve">Over the longer-term, government policy should be aimed at achieving broad parity in higher-level tertiary attainment and participation rates across different locations, acknowledging that the mix is likely to continue to vary from area to area in line with labour market needs. Over the proposed </w:t>
      </w:r>
      <w:r w:rsidRPr="0034043A">
        <w:lastRenderedPageBreak/>
        <w:t>ten</w:t>
      </w:r>
      <w:r>
        <w:t> </w:t>
      </w:r>
      <w:r w:rsidRPr="0034043A">
        <w:t>year horizon for the Strategy, a reasonable objective would be to halve the current disparity in attainment and participation, as reflected in the following proposed targets.</w:t>
      </w:r>
      <w:r>
        <w:rPr>
          <w:rStyle w:val="FootnoteReference"/>
        </w:rPr>
        <w:footnoteReference w:id="99"/>
      </w:r>
      <w:r w:rsidRPr="0034043A">
        <w:t xml:space="preserve"> </w:t>
      </w:r>
    </w:p>
    <w:p w14:paraId="61A03CD0" w14:textId="77777777" w:rsidR="0034043A" w:rsidRDefault="0034043A" w:rsidP="0034043A">
      <w:pPr>
        <w:spacing w:after="0" w:line="252" w:lineRule="auto"/>
      </w:pPr>
    </w:p>
    <w:p w14:paraId="187B4DF1" w14:textId="324EC9A7" w:rsidR="00813506" w:rsidRPr="00306207" w:rsidRDefault="00813506" w:rsidP="004720D0">
      <w:pPr>
        <w:spacing w:after="0" w:line="252" w:lineRule="auto"/>
        <w:ind w:left="426"/>
      </w:pPr>
      <w:r w:rsidRPr="00306207">
        <w:rPr>
          <w:b/>
          <w:bCs/>
        </w:rPr>
        <w:t xml:space="preserve">Target </w:t>
      </w:r>
      <w:r w:rsidR="00F72663">
        <w:rPr>
          <w:b/>
          <w:bCs/>
        </w:rPr>
        <w:t>o</w:t>
      </w:r>
      <w:r w:rsidRPr="00306207">
        <w:rPr>
          <w:b/>
          <w:bCs/>
        </w:rPr>
        <w:t>ne</w:t>
      </w:r>
      <w:r w:rsidRPr="00306207">
        <w:t xml:space="preserve">: </w:t>
      </w:r>
      <w:r w:rsidR="00F135EF" w:rsidRPr="00F135EF">
        <w:t>By 2030, halve the disparity between metropolitan and each regional and remote location category for Certificate IV and above attainment rates for 25-34 year olds.</w:t>
      </w:r>
    </w:p>
    <w:tbl>
      <w:tblPr>
        <w:tblStyle w:val="GridTable4-Accent1"/>
        <w:tblW w:w="8079" w:type="dxa"/>
        <w:tblInd w:w="421" w:type="dxa"/>
        <w:tblLook w:val="04A0" w:firstRow="1" w:lastRow="0" w:firstColumn="1" w:lastColumn="0" w:noHBand="0" w:noVBand="1"/>
      </w:tblPr>
      <w:tblGrid>
        <w:gridCol w:w="1559"/>
        <w:gridCol w:w="2410"/>
        <w:gridCol w:w="2268"/>
        <w:gridCol w:w="1842"/>
      </w:tblGrid>
      <w:tr w:rsidR="00D23878" w:rsidRPr="00306207" w14:paraId="4919E2AF" w14:textId="77777777" w:rsidTr="00925E78">
        <w:trPr>
          <w:cnfStyle w:val="100000000000" w:firstRow="1" w:lastRow="0" w:firstColumn="0" w:lastColumn="0" w:oddVBand="0" w:evenVBand="0" w:oddHBand="0" w:evenHBand="0" w:firstRowFirstColumn="0" w:firstRowLastColumn="0" w:lastRowFirstColumn="0" w:lastRowLastColumn="0"/>
          <w:trHeight w:val="421"/>
          <w:tblHead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vAlign w:val="center"/>
          </w:tcPr>
          <w:p w14:paraId="4D69C8FA" w14:textId="46EB88B4" w:rsidR="00813506" w:rsidRPr="00306207" w:rsidRDefault="00BB48EB" w:rsidP="00925E78">
            <w:pPr>
              <w:jc w:val="center"/>
              <w:rPr>
                <w:b w:val="0"/>
                <w:bCs w:val="0"/>
              </w:rPr>
            </w:pPr>
            <w:r>
              <w:rPr>
                <w:b w:val="0"/>
                <w:bCs w:val="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E500206" w14:textId="3F16EDBE" w:rsidR="00813506" w:rsidRPr="00263861" w:rsidRDefault="00813506" w:rsidP="00925E78">
            <w:pPr>
              <w:jc w:val="center"/>
              <w:cnfStyle w:val="100000000000" w:firstRow="1" w:lastRow="0" w:firstColumn="0" w:lastColumn="0" w:oddVBand="0" w:evenVBand="0" w:oddHBand="0" w:evenHBand="0" w:firstRowFirstColumn="0" w:firstRowLastColumn="0" w:lastRowFirstColumn="0" w:lastRowLastColumn="0"/>
              <w:rPr>
                <w:b w:val="0"/>
              </w:rPr>
            </w:pPr>
            <w:r w:rsidRPr="00D16513">
              <w:t>Baseline (2016) rate</w:t>
            </w:r>
          </w:p>
          <w:p w14:paraId="0E6A8CE7" w14:textId="77777777" w:rsidR="00813506" w:rsidRPr="00263861" w:rsidRDefault="00813506" w:rsidP="00925E78">
            <w:pPr>
              <w:jc w:val="center"/>
              <w:cnfStyle w:val="100000000000" w:firstRow="1" w:lastRow="0" w:firstColumn="0" w:lastColumn="0" w:oddVBand="0" w:evenVBand="0" w:oddHBand="0" w:evenHBand="0" w:firstRowFirstColumn="0" w:firstRowLastColumn="0" w:lastRowFirstColumn="0" w:lastRowLastColumn="0"/>
              <w:rPr>
                <w:b w:val="0"/>
              </w:rPr>
            </w:pPr>
            <w:r w:rsidRPr="00D16513">
              <w:t>(Metropolitan = 53.8%)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AC42FA" w14:textId="6DAB6258" w:rsidR="00813506" w:rsidRPr="00263861" w:rsidRDefault="00813506" w:rsidP="00925E78">
            <w:pPr>
              <w:jc w:val="center"/>
              <w:cnfStyle w:val="100000000000" w:firstRow="1" w:lastRow="0" w:firstColumn="0" w:lastColumn="0" w:oddVBand="0" w:evenVBand="0" w:oddHBand="0" w:evenHBand="0" w:firstRowFirstColumn="0" w:firstRowLastColumn="0" w:lastRowFirstColumn="0" w:lastRowLastColumn="0"/>
              <w:rPr>
                <w:b w:val="0"/>
              </w:rPr>
            </w:pPr>
            <w:r w:rsidRPr="00D16513">
              <w:t>Current differential in percentage points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392281D" w14:textId="77777777" w:rsidR="00813506" w:rsidRPr="00263861" w:rsidRDefault="00813506" w:rsidP="00925E78">
            <w:pPr>
              <w:jc w:val="center"/>
              <w:cnfStyle w:val="100000000000" w:firstRow="1" w:lastRow="0" w:firstColumn="0" w:lastColumn="0" w:oddVBand="0" w:evenVBand="0" w:oddHBand="0" w:evenHBand="0" w:firstRowFirstColumn="0" w:firstRowLastColumn="0" w:lastRowFirstColumn="0" w:lastRowLastColumn="0"/>
              <w:rPr>
                <w:b w:val="0"/>
              </w:rPr>
            </w:pPr>
            <w:r w:rsidRPr="00D16513">
              <w:t>Target differential by 2030</w:t>
            </w:r>
          </w:p>
        </w:tc>
      </w:tr>
      <w:tr w:rsidR="00D23878" w:rsidRPr="00306207" w14:paraId="2B8D3F21" w14:textId="77777777" w:rsidTr="00925E78">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tcBorders>
            <w:hideMark/>
          </w:tcPr>
          <w:p w14:paraId="011A410C" w14:textId="77777777" w:rsidR="00813506" w:rsidRPr="00263861" w:rsidRDefault="00813506" w:rsidP="009E5BF7">
            <w:pPr>
              <w:rPr>
                <w:b w:val="0"/>
              </w:rPr>
            </w:pPr>
            <w:r w:rsidRPr="00D16513">
              <w:t>Inner regional</w:t>
            </w:r>
          </w:p>
        </w:tc>
        <w:tc>
          <w:tcPr>
            <w:tcW w:w="2410" w:type="dxa"/>
            <w:tcBorders>
              <w:top w:val="single" w:sz="4" w:space="0" w:color="auto"/>
            </w:tcBorders>
            <w:vAlign w:val="center"/>
            <w:hideMark/>
          </w:tcPr>
          <w:p w14:paraId="673E2B4B"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pPr>
            <w:r w:rsidRPr="00306207">
              <w:t>34.4</w:t>
            </w:r>
          </w:p>
        </w:tc>
        <w:tc>
          <w:tcPr>
            <w:tcW w:w="2268" w:type="dxa"/>
            <w:tcBorders>
              <w:top w:val="single" w:sz="4" w:space="0" w:color="auto"/>
            </w:tcBorders>
            <w:vAlign w:val="center"/>
            <w:hideMark/>
          </w:tcPr>
          <w:p w14:paraId="570FD674"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pPr>
            <w:r w:rsidRPr="00306207">
              <w:t>19.4</w:t>
            </w:r>
          </w:p>
        </w:tc>
        <w:tc>
          <w:tcPr>
            <w:tcW w:w="1842" w:type="dxa"/>
            <w:tcBorders>
              <w:top w:val="single" w:sz="4" w:space="0" w:color="auto"/>
            </w:tcBorders>
            <w:vAlign w:val="center"/>
            <w:hideMark/>
          </w:tcPr>
          <w:p w14:paraId="15A30F43"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rPr>
                <w:b/>
                <w:bCs/>
              </w:rPr>
            </w:pPr>
            <w:r w:rsidRPr="00306207">
              <w:rPr>
                <w:b/>
                <w:bCs/>
              </w:rPr>
              <w:t>9.7</w:t>
            </w:r>
          </w:p>
        </w:tc>
      </w:tr>
      <w:tr w:rsidR="00D23878" w:rsidRPr="00306207" w14:paraId="22458DC6" w14:textId="77777777" w:rsidTr="00925E78">
        <w:trPr>
          <w:trHeight w:val="227"/>
        </w:trPr>
        <w:tc>
          <w:tcPr>
            <w:cnfStyle w:val="001000000000" w:firstRow="0" w:lastRow="0" w:firstColumn="1" w:lastColumn="0" w:oddVBand="0" w:evenVBand="0" w:oddHBand="0" w:evenHBand="0" w:firstRowFirstColumn="0" w:firstRowLastColumn="0" w:lastRowFirstColumn="0" w:lastRowLastColumn="0"/>
            <w:tcW w:w="1559" w:type="dxa"/>
            <w:hideMark/>
          </w:tcPr>
          <w:p w14:paraId="64BB9AE5" w14:textId="77777777" w:rsidR="00813506" w:rsidRPr="00263861" w:rsidRDefault="00813506" w:rsidP="009E5BF7">
            <w:pPr>
              <w:rPr>
                <w:b w:val="0"/>
              </w:rPr>
            </w:pPr>
            <w:r w:rsidRPr="00D16513">
              <w:t>Outer regional</w:t>
            </w:r>
          </w:p>
        </w:tc>
        <w:tc>
          <w:tcPr>
            <w:tcW w:w="2410" w:type="dxa"/>
            <w:vAlign w:val="center"/>
            <w:hideMark/>
          </w:tcPr>
          <w:p w14:paraId="0C322F17" w14:textId="77777777" w:rsidR="00813506" w:rsidRPr="00306207" w:rsidRDefault="00813506" w:rsidP="00263861">
            <w:pPr>
              <w:jc w:val="center"/>
              <w:cnfStyle w:val="000000000000" w:firstRow="0" w:lastRow="0" w:firstColumn="0" w:lastColumn="0" w:oddVBand="0" w:evenVBand="0" w:oddHBand="0" w:evenHBand="0" w:firstRowFirstColumn="0" w:firstRowLastColumn="0" w:lastRowFirstColumn="0" w:lastRowLastColumn="0"/>
            </w:pPr>
            <w:r w:rsidRPr="00306207">
              <w:t>31.0</w:t>
            </w:r>
          </w:p>
        </w:tc>
        <w:tc>
          <w:tcPr>
            <w:tcW w:w="2268" w:type="dxa"/>
            <w:vAlign w:val="center"/>
            <w:hideMark/>
          </w:tcPr>
          <w:p w14:paraId="7C454E68" w14:textId="77777777" w:rsidR="00813506" w:rsidRPr="00306207" w:rsidRDefault="00813506" w:rsidP="00263861">
            <w:pPr>
              <w:jc w:val="center"/>
              <w:cnfStyle w:val="000000000000" w:firstRow="0" w:lastRow="0" w:firstColumn="0" w:lastColumn="0" w:oddVBand="0" w:evenVBand="0" w:oddHBand="0" w:evenHBand="0" w:firstRowFirstColumn="0" w:firstRowLastColumn="0" w:lastRowFirstColumn="0" w:lastRowLastColumn="0"/>
            </w:pPr>
            <w:r w:rsidRPr="00306207">
              <w:t>22.8</w:t>
            </w:r>
          </w:p>
        </w:tc>
        <w:tc>
          <w:tcPr>
            <w:tcW w:w="1842" w:type="dxa"/>
            <w:vAlign w:val="center"/>
            <w:hideMark/>
          </w:tcPr>
          <w:p w14:paraId="09DDEFCF" w14:textId="77777777" w:rsidR="00813506" w:rsidRPr="00306207" w:rsidRDefault="00813506" w:rsidP="00263861">
            <w:pPr>
              <w:jc w:val="center"/>
              <w:cnfStyle w:val="000000000000" w:firstRow="0" w:lastRow="0" w:firstColumn="0" w:lastColumn="0" w:oddVBand="0" w:evenVBand="0" w:oddHBand="0" w:evenHBand="0" w:firstRowFirstColumn="0" w:firstRowLastColumn="0" w:lastRowFirstColumn="0" w:lastRowLastColumn="0"/>
              <w:rPr>
                <w:b/>
                <w:bCs/>
              </w:rPr>
            </w:pPr>
            <w:r w:rsidRPr="00306207">
              <w:rPr>
                <w:b/>
                <w:bCs/>
              </w:rPr>
              <w:t>11.4</w:t>
            </w:r>
          </w:p>
        </w:tc>
      </w:tr>
      <w:tr w:rsidR="00D23878" w:rsidRPr="00306207" w14:paraId="7216A19E" w14:textId="77777777" w:rsidTr="00925E78">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559" w:type="dxa"/>
            <w:hideMark/>
          </w:tcPr>
          <w:p w14:paraId="615CB9E6" w14:textId="77777777" w:rsidR="00813506" w:rsidRPr="00263861" w:rsidRDefault="00813506" w:rsidP="009E5BF7">
            <w:pPr>
              <w:rPr>
                <w:b w:val="0"/>
              </w:rPr>
            </w:pPr>
            <w:r w:rsidRPr="00D16513">
              <w:t>Remote</w:t>
            </w:r>
          </w:p>
        </w:tc>
        <w:tc>
          <w:tcPr>
            <w:tcW w:w="2410" w:type="dxa"/>
            <w:vAlign w:val="center"/>
            <w:hideMark/>
          </w:tcPr>
          <w:p w14:paraId="3D5485A5"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pPr>
            <w:r w:rsidRPr="00306207">
              <w:t>26.0</w:t>
            </w:r>
          </w:p>
        </w:tc>
        <w:tc>
          <w:tcPr>
            <w:tcW w:w="2268" w:type="dxa"/>
            <w:vAlign w:val="center"/>
            <w:hideMark/>
          </w:tcPr>
          <w:p w14:paraId="6E97E3A7"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pPr>
            <w:r w:rsidRPr="00306207">
              <w:t>27.6</w:t>
            </w:r>
          </w:p>
        </w:tc>
        <w:tc>
          <w:tcPr>
            <w:tcW w:w="1842" w:type="dxa"/>
            <w:vAlign w:val="center"/>
            <w:hideMark/>
          </w:tcPr>
          <w:p w14:paraId="54058044"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rPr>
                <w:b/>
                <w:bCs/>
              </w:rPr>
            </w:pPr>
            <w:r w:rsidRPr="00306207">
              <w:rPr>
                <w:b/>
                <w:bCs/>
              </w:rPr>
              <w:t>13.8</w:t>
            </w:r>
          </w:p>
        </w:tc>
      </w:tr>
    </w:tbl>
    <w:p w14:paraId="69432055" w14:textId="77777777" w:rsidR="00813506" w:rsidRPr="00306207" w:rsidRDefault="00813506" w:rsidP="009E5BF7">
      <w:pPr>
        <w:spacing w:after="0" w:line="252" w:lineRule="auto"/>
        <w:ind w:left="360"/>
        <w:contextualSpacing/>
        <w:rPr>
          <w:rFonts w:ascii="Calibri" w:hAnsi="Calibri" w:cs="Calibri"/>
          <w:b/>
          <w:bCs/>
        </w:rPr>
      </w:pPr>
    </w:p>
    <w:p w14:paraId="23E3C1DD" w14:textId="587A400B" w:rsidR="00161F6C" w:rsidRDefault="00813506" w:rsidP="009E5BF7">
      <w:pPr>
        <w:spacing w:after="0" w:line="252" w:lineRule="auto"/>
        <w:ind w:left="360"/>
        <w:contextualSpacing/>
      </w:pPr>
      <w:r w:rsidRPr="00306207">
        <w:rPr>
          <w:b/>
          <w:bCs/>
        </w:rPr>
        <w:t xml:space="preserve">Target </w:t>
      </w:r>
      <w:r w:rsidR="00F72663">
        <w:rPr>
          <w:b/>
          <w:bCs/>
        </w:rPr>
        <w:t>t</w:t>
      </w:r>
      <w:r w:rsidRPr="00306207">
        <w:rPr>
          <w:b/>
          <w:bCs/>
        </w:rPr>
        <w:t>wo:</w:t>
      </w:r>
      <w:r w:rsidRPr="00D53B13">
        <w:t xml:space="preserve"> </w:t>
      </w:r>
      <w:r w:rsidR="00F135EF" w:rsidRPr="00F135EF">
        <w:t>By 2030, halve the disparity between metropolitan and each regional and remote location category for attainment rates of higher education for 25-34 year olds.</w:t>
      </w:r>
    </w:p>
    <w:tbl>
      <w:tblPr>
        <w:tblStyle w:val="GridTable4-Accent1"/>
        <w:tblW w:w="8079" w:type="dxa"/>
        <w:tblInd w:w="421" w:type="dxa"/>
        <w:tblLook w:val="04A0" w:firstRow="1" w:lastRow="0" w:firstColumn="1" w:lastColumn="0" w:noHBand="0" w:noVBand="1"/>
      </w:tblPr>
      <w:tblGrid>
        <w:gridCol w:w="1559"/>
        <w:gridCol w:w="2467"/>
        <w:gridCol w:w="2211"/>
        <w:gridCol w:w="1842"/>
      </w:tblGrid>
      <w:tr w:rsidR="00D23878" w:rsidRPr="00306207" w14:paraId="785E27E1" w14:textId="77777777" w:rsidTr="00E01880">
        <w:trPr>
          <w:cnfStyle w:val="100000000000" w:firstRow="1" w:lastRow="0" w:firstColumn="0" w:lastColumn="0" w:oddVBand="0" w:evenVBand="0" w:oddHBand="0" w:evenHBand="0" w:firstRowFirstColumn="0" w:firstRowLastColumn="0" w:lastRowFirstColumn="0" w:lastRowLastColumn="0"/>
          <w:trHeight w:val="452"/>
          <w:tblHead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vAlign w:val="center"/>
          </w:tcPr>
          <w:p w14:paraId="5941C682" w14:textId="3FB036E0" w:rsidR="00813506" w:rsidRPr="00306207" w:rsidRDefault="00BB48EB" w:rsidP="00E01880">
            <w:pPr>
              <w:jc w:val="center"/>
              <w:rPr>
                <w:b w:val="0"/>
                <w:bCs w:val="0"/>
              </w:rPr>
            </w:pPr>
            <w:r>
              <w:rPr>
                <w:b w:val="0"/>
                <w:bCs w:val="0"/>
              </w:rPr>
              <w:t>%</w:t>
            </w:r>
          </w:p>
        </w:tc>
        <w:tc>
          <w:tcPr>
            <w:tcW w:w="2467" w:type="dxa"/>
            <w:tcBorders>
              <w:top w:val="single" w:sz="4" w:space="0" w:color="auto"/>
              <w:left w:val="single" w:sz="4" w:space="0" w:color="auto"/>
              <w:bottom w:val="single" w:sz="4" w:space="0" w:color="auto"/>
              <w:right w:val="single" w:sz="4" w:space="0" w:color="auto"/>
            </w:tcBorders>
            <w:vAlign w:val="center"/>
            <w:hideMark/>
          </w:tcPr>
          <w:p w14:paraId="4B69489C" w14:textId="62E8BF61" w:rsidR="00813506" w:rsidRPr="00263861" w:rsidRDefault="00813506" w:rsidP="00925E78">
            <w:pPr>
              <w:jc w:val="center"/>
              <w:cnfStyle w:val="100000000000" w:firstRow="1" w:lastRow="0" w:firstColumn="0" w:lastColumn="0" w:oddVBand="0" w:evenVBand="0" w:oddHBand="0" w:evenHBand="0" w:firstRowFirstColumn="0" w:firstRowLastColumn="0" w:lastRowFirstColumn="0" w:lastRowLastColumn="0"/>
              <w:rPr>
                <w:b w:val="0"/>
              </w:rPr>
            </w:pPr>
            <w:r w:rsidRPr="00D16513">
              <w:t>Baseline (2016) rate</w:t>
            </w:r>
          </w:p>
          <w:p w14:paraId="21136B48" w14:textId="77777777" w:rsidR="00813506" w:rsidRPr="00263861" w:rsidRDefault="00813506" w:rsidP="00925E78">
            <w:pPr>
              <w:jc w:val="center"/>
              <w:cnfStyle w:val="100000000000" w:firstRow="1" w:lastRow="0" w:firstColumn="0" w:lastColumn="0" w:oddVBand="0" w:evenVBand="0" w:oddHBand="0" w:evenHBand="0" w:firstRowFirstColumn="0" w:firstRowLastColumn="0" w:lastRowFirstColumn="0" w:lastRowLastColumn="0"/>
              <w:rPr>
                <w:b w:val="0"/>
              </w:rPr>
            </w:pPr>
            <w:r w:rsidRPr="00D16513">
              <w:t>(Metropolitan = 39.7%)</w:t>
            </w:r>
          </w:p>
        </w:tc>
        <w:tc>
          <w:tcPr>
            <w:tcW w:w="2211" w:type="dxa"/>
            <w:tcBorders>
              <w:top w:val="single" w:sz="4" w:space="0" w:color="auto"/>
              <w:left w:val="single" w:sz="4" w:space="0" w:color="auto"/>
              <w:bottom w:val="single" w:sz="4" w:space="0" w:color="auto"/>
              <w:right w:val="single" w:sz="4" w:space="0" w:color="auto"/>
            </w:tcBorders>
            <w:vAlign w:val="center"/>
            <w:hideMark/>
          </w:tcPr>
          <w:p w14:paraId="01075E22" w14:textId="1602DE5B" w:rsidR="00813506" w:rsidRPr="00263861" w:rsidRDefault="00813506" w:rsidP="00925E78">
            <w:pPr>
              <w:jc w:val="center"/>
              <w:cnfStyle w:val="100000000000" w:firstRow="1" w:lastRow="0" w:firstColumn="0" w:lastColumn="0" w:oddVBand="0" w:evenVBand="0" w:oddHBand="0" w:evenHBand="0" w:firstRowFirstColumn="0" w:firstRowLastColumn="0" w:lastRowFirstColumn="0" w:lastRowLastColumn="0"/>
              <w:rPr>
                <w:b w:val="0"/>
              </w:rPr>
            </w:pPr>
            <w:r w:rsidRPr="00D16513">
              <w:t>Current differential in percentage points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2B301F1" w14:textId="77777777" w:rsidR="00813506" w:rsidRPr="00263861" w:rsidRDefault="00813506" w:rsidP="00925E78">
            <w:pPr>
              <w:jc w:val="center"/>
              <w:cnfStyle w:val="100000000000" w:firstRow="1" w:lastRow="0" w:firstColumn="0" w:lastColumn="0" w:oddVBand="0" w:evenVBand="0" w:oddHBand="0" w:evenHBand="0" w:firstRowFirstColumn="0" w:firstRowLastColumn="0" w:lastRowFirstColumn="0" w:lastRowLastColumn="0"/>
              <w:rPr>
                <w:b w:val="0"/>
              </w:rPr>
            </w:pPr>
            <w:r w:rsidRPr="00D16513">
              <w:t>Target differential by 2030</w:t>
            </w:r>
          </w:p>
        </w:tc>
      </w:tr>
      <w:tr w:rsidR="00D23878" w:rsidRPr="00306207" w14:paraId="10719267" w14:textId="77777777" w:rsidTr="00925E78">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tcBorders>
            <w:hideMark/>
          </w:tcPr>
          <w:p w14:paraId="4F2CEA52" w14:textId="77777777" w:rsidR="00813506" w:rsidRPr="00263861" w:rsidRDefault="00813506" w:rsidP="009E5BF7">
            <w:pPr>
              <w:rPr>
                <w:b w:val="0"/>
              </w:rPr>
            </w:pPr>
            <w:r w:rsidRPr="00D16513">
              <w:t>Inner regional</w:t>
            </w:r>
          </w:p>
        </w:tc>
        <w:tc>
          <w:tcPr>
            <w:tcW w:w="2467" w:type="dxa"/>
            <w:tcBorders>
              <w:top w:val="single" w:sz="4" w:space="0" w:color="auto"/>
            </w:tcBorders>
            <w:vAlign w:val="center"/>
            <w:hideMark/>
          </w:tcPr>
          <w:p w14:paraId="09262C86"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pPr>
            <w:r w:rsidRPr="00306207">
              <w:t>20.5</w:t>
            </w:r>
          </w:p>
        </w:tc>
        <w:tc>
          <w:tcPr>
            <w:tcW w:w="2211" w:type="dxa"/>
            <w:tcBorders>
              <w:top w:val="single" w:sz="4" w:space="0" w:color="auto"/>
            </w:tcBorders>
            <w:vAlign w:val="center"/>
            <w:hideMark/>
          </w:tcPr>
          <w:p w14:paraId="1886D744"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pPr>
            <w:r w:rsidRPr="00306207">
              <w:t>19.2</w:t>
            </w:r>
          </w:p>
        </w:tc>
        <w:tc>
          <w:tcPr>
            <w:tcW w:w="1842" w:type="dxa"/>
            <w:tcBorders>
              <w:top w:val="single" w:sz="4" w:space="0" w:color="auto"/>
            </w:tcBorders>
            <w:vAlign w:val="center"/>
            <w:hideMark/>
          </w:tcPr>
          <w:p w14:paraId="07FD033B"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rPr>
                <w:b/>
                <w:bCs/>
              </w:rPr>
            </w:pPr>
            <w:r w:rsidRPr="00306207">
              <w:rPr>
                <w:b/>
                <w:bCs/>
              </w:rPr>
              <w:t>9.6</w:t>
            </w:r>
          </w:p>
        </w:tc>
      </w:tr>
      <w:tr w:rsidR="00D23878" w:rsidRPr="00306207" w14:paraId="10B0AFDD" w14:textId="77777777" w:rsidTr="00925E78">
        <w:trPr>
          <w:trHeight w:val="207"/>
        </w:trPr>
        <w:tc>
          <w:tcPr>
            <w:cnfStyle w:val="001000000000" w:firstRow="0" w:lastRow="0" w:firstColumn="1" w:lastColumn="0" w:oddVBand="0" w:evenVBand="0" w:oddHBand="0" w:evenHBand="0" w:firstRowFirstColumn="0" w:firstRowLastColumn="0" w:lastRowFirstColumn="0" w:lastRowLastColumn="0"/>
            <w:tcW w:w="1559" w:type="dxa"/>
            <w:hideMark/>
          </w:tcPr>
          <w:p w14:paraId="700A3416" w14:textId="77777777" w:rsidR="00813506" w:rsidRPr="00263861" w:rsidRDefault="00813506" w:rsidP="009E5BF7">
            <w:pPr>
              <w:rPr>
                <w:b w:val="0"/>
              </w:rPr>
            </w:pPr>
            <w:r w:rsidRPr="00D16513">
              <w:t>Outer regional</w:t>
            </w:r>
          </w:p>
        </w:tc>
        <w:tc>
          <w:tcPr>
            <w:tcW w:w="2467" w:type="dxa"/>
            <w:vAlign w:val="center"/>
            <w:hideMark/>
          </w:tcPr>
          <w:p w14:paraId="527D1272" w14:textId="77777777" w:rsidR="00813506" w:rsidRPr="00306207" w:rsidRDefault="00813506" w:rsidP="00263861">
            <w:pPr>
              <w:jc w:val="center"/>
              <w:cnfStyle w:val="000000000000" w:firstRow="0" w:lastRow="0" w:firstColumn="0" w:lastColumn="0" w:oddVBand="0" w:evenVBand="0" w:oddHBand="0" w:evenHBand="0" w:firstRowFirstColumn="0" w:firstRowLastColumn="0" w:lastRowFirstColumn="0" w:lastRowLastColumn="0"/>
            </w:pPr>
            <w:r w:rsidRPr="00306207">
              <w:t>18.9</w:t>
            </w:r>
          </w:p>
        </w:tc>
        <w:tc>
          <w:tcPr>
            <w:tcW w:w="2211" w:type="dxa"/>
            <w:vAlign w:val="center"/>
            <w:hideMark/>
          </w:tcPr>
          <w:p w14:paraId="23399355" w14:textId="77777777" w:rsidR="00813506" w:rsidRPr="00306207" w:rsidRDefault="00813506" w:rsidP="00263861">
            <w:pPr>
              <w:jc w:val="center"/>
              <w:cnfStyle w:val="000000000000" w:firstRow="0" w:lastRow="0" w:firstColumn="0" w:lastColumn="0" w:oddVBand="0" w:evenVBand="0" w:oddHBand="0" w:evenHBand="0" w:firstRowFirstColumn="0" w:firstRowLastColumn="0" w:lastRowFirstColumn="0" w:lastRowLastColumn="0"/>
            </w:pPr>
            <w:r w:rsidRPr="00306207">
              <w:t>20.8</w:t>
            </w:r>
          </w:p>
        </w:tc>
        <w:tc>
          <w:tcPr>
            <w:tcW w:w="1842" w:type="dxa"/>
            <w:vAlign w:val="center"/>
            <w:hideMark/>
          </w:tcPr>
          <w:p w14:paraId="72D5D747" w14:textId="77777777" w:rsidR="00813506" w:rsidRPr="00306207" w:rsidRDefault="00813506" w:rsidP="00263861">
            <w:pPr>
              <w:jc w:val="center"/>
              <w:cnfStyle w:val="000000000000" w:firstRow="0" w:lastRow="0" w:firstColumn="0" w:lastColumn="0" w:oddVBand="0" w:evenVBand="0" w:oddHBand="0" w:evenHBand="0" w:firstRowFirstColumn="0" w:firstRowLastColumn="0" w:lastRowFirstColumn="0" w:lastRowLastColumn="0"/>
              <w:rPr>
                <w:b/>
                <w:bCs/>
              </w:rPr>
            </w:pPr>
            <w:r w:rsidRPr="00306207">
              <w:rPr>
                <w:b/>
                <w:bCs/>
              </w:rPr>
              <w:t>10.4</w:t>
            </w:r>
          </w:p>
        </w:tc>
      </w:tr>
      <w:tr w:rsidR="00D23878" w:rsidRPr="00306207" w14:paraId="13821780" w14:textId="77777777" w:rsidTr="00925E78">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559" w:type="dxa"/>
            <w:hideMark/>
          </w:tcPr>
          <w:p w14:paraId="65576881" w14:textId="77777777" w:rsidR="00813506" w:rsidRPr="00263861" w:rsidRDefault="00813506" w:rsidP="009E5BF7">
            <w:pPr>
              <w:rPr>
                <w:b w:val="0"/>
              </w:rPr>
            </w:pPr>
            <w:r w:rsidRPr="00D16513">
              <w:t>Remote</w:t>
            </w:r>
          </w:p>
        </w:tc>
        <w:tc>
          <w:tcPr>
            <w:tcW w:w="2467" w:type="dxa"/>
            <w:vAlign w:val="center"/>
            <w:hideMark/>
          </w:tcPr>
          <w:p w14:paraId="6551180B"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pPr>
            <w:r w:rsidRPr="00306207">
              <w:t>16.3</w:t>
            </w:r>
          </w:p>
        </w:tc>
        <w:tc>
          <w:tcPr>
            <w:tcW w:w="2211" w:type="dxa"/>
            <w:vAlign w:val="center"/>
            <w:hideMark/>
          </w:tcPr>
          <w:p w14:paraId="73144F82"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pPr>
            <w:r w:rsidRPr="00306207">
              <w:t>23.4</w:t>
            </w:r>
          </w:p>
        </w:tc>
        <w:tc>
          <w:tcPr>
            <w:tcW w:w="1842" w:type="dxa"/>
            <w:vAlign w:val="center"/>
            <w:hideMark/>
          </w:tcPr>
          <w:p w14:paraId="6D3B358B" w14:textId="77777777" w:rsidR="00813506" w:rsidRPr="00306207" w:rsidRDefault="00813506" w:rsidP="00263861">
            <w:pPr>
              <w:jc w:val="center"/>
              <w:cnfStyle w:val="000000100000" w:firstRow="0" w:lastRow="0" w:firstColumn="0" w:lastColumn="0" w:oddVBand="0" w:evenVBand="0" w:oddHBand="1" w:evenHBand="0" w:firstRowFirstColumn="0" w:firstRowLastColumn="0" w:lastRowFirstColumn="0" w:lastRowLastColumn="0"/>
              <w:rPr>
                <w:b/>
                <w:bCs/>
              </w:rPr>
            </w:pPr>
            <w:r w:rsidRPr="00306207">
              <w:rPr>
                <w:b/>
                <w:bCs/>
              </w:rPr>
              <w:t>11.7</w:t>
            </w:r>
          </w:p>
        </w:tc>
      </w:tr>
    </w:tbl>
    <w:p w14:paraId="00CC42AD" w14:textId="77777777" w:rsidR="00813506" w:rsidRPr="00306207" w:rsidRDefault="00813506" w:rsidP="009E5BF7">
      <w:pPr>
        <w:spacing w:after="0" w:line="252" w:lineRule="auto"/>
        <w:rPr>
          <w:rFonts w:ascii="Calibri" w:hAnsi="Calibri" w:cs="Calibri"/>
          <w:b/>
          <w:bCs/>
        </w:rPr>
      </w:pPr>
    </w:p>
    <w:p w14:paraId="37268AAA" w14:textId="19FAFFE8" w:rsidR="00813506" w:rsidRPr="00306207" w:rsidRDefault="00813506" w:rsidP="009E5BF7">
      <w:pPr>
        <w:spacing w:after="0" w:line="252" w:lineRule="auto"/>
        <w:ind w:left="360"/>
        <w:contextualSpacing/>
      </w:pPr>
      <w:r w:rsidRPr="00306207">
        <w:rPr>
          <w:b/>
          <w:bCs/>
        </w:rPr>
        <w:t xml:space="preserve">Target </w:t>
      </w:r>
      <w:r w:rsidR="00F72663">
        <w:rPr>
          <w:b/>
          <w:bCs/>
        </w:rPr>
        <w:t>t</w:t>
      </w:r>
      <w:r w:rsidRPr="00306207">
        <w:rPr>
          <w:b/>
          <w:bCs/>
        </w:rPr>
        <w:t>hree</w:t>
      </w:r>
      <w:r w:rsidRPr="00306207">
        <w:t xml:space="preserve">: </w:t>
      </w:r>
      <w:r w:rsidR="00F135EF" w:rsidRPr="00F135EF">
        <w:t>By 2030, halve the disparity between metropolitan and each regional and remote location category in the rate of participation for Cert</w:t>
      </w:r>
      <w:r w:rsidR="004720D0">
        <w:t>ificate</w:t>
      </w:r>
      <w:r w:rsidR="00F135EF" w:rsidRPr="00F135EF">
        <w:t xml:space="preserve"> IV and above by working age Australians (15</w:t>
      </w:r>
      <w:r w:rsidR="001907DA">
        <w:t>-</w:t>
      </w:r>
      <w:r w:rsidR="00F135EF" w:rsidRPr="00F135EF">
        <w:t>64</w:t>
      </w:r>
      <w:r w:rsidR="001907DA">
        <w:t xml:space="preserve"> years</w:t>
      </w:r>
      <w:r w:rsidR="00F135EF" w:rsidRPr="00F135EF">
        <w:t>).</w:t>
      </w:r>
    </w:p>
    <w:tbl>
      <w:tblPr>
        <w:tblStyle w:val="GridTable4-Accent1"/>
        <w:tblW w:w="8079" w:type="dxa"/>
        <w:tblInd w:w="421" w:type="dxa"/>
        <w:tblLook w:val="04A0" w:firstRow="1" w:lastRow="0" w:firstColumn="1" w:lastColumn="0" w:noHBand="0" w:noVBand="1"/>
      </w:tblPr>
      <w:tblGrid>
        <w:gridCol w:w="1559"/>
        <w:gridCol w:w="2407"/>
        <w:gridCol w:w="2258"/>
        <w:gridCol w:w="1855"/>
      </w:tblGrid>
      <w:tr w:rsidR="00D23878" w:rsidRPr="00306207" w14:paraId="374D4166" w14:textId="77777777" w:rsidTr="00E01880">
        <w:trPr>
          <w:cnfStyle w:val="100000000000" w:firstRow="1" w:lastRow="0" w:firstColumn="0" w:lastColumn="0" w:oddVBand="0" w:evenVBand="0" w:oddHBand="0" w:evenHBand="0" w:firstRowFirstColumn="0" w:firstRowLastColumn="0" w:lastRowFirstColumn="0" w:lastRowLastColumn="0"/>
          <w:trHeight w:val="489"/>
          <w:tblHead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vAlign w:val="center"/>
          </w:tcPr>
          <w:p w14:paraId="5CA26EDA" w14:textId="6D4B433D" w:rsidR="00813506" w:rsidRPr="00306207" w:rsidRDefault="00BB48EB" w:rsidP="00E01880">
            <w:pPr>
              <w:jc w:val="center"/>
              <w:rPr>
                <w:b w:val="0"/>
                <w:bCs w:val="0"/>
              </w:rPr>
            </w:pPr>
            <w:r>
              <w:rPr>
                <w:b w:val="0"/>
                <w:bCs w:val="0"/>
              </w:rPr>
              <w:t>%</w:t>
            </w:r>
          </w:p>
        </w:tc>
        <w:tc>
          <w:tcPr>
            <w:tcW w:w="2407" w:type="dxa"/>
            <w:tcBorders>
              <w:top w:val="single" w:sz="4" w:space="0" w:color="auto"/>
              <w:left w:val="single" w:sz="4" w:space="0" w:color="auto"/>
              <w:bottom w:val="single" w:sz="4" w:space="0" w:color="auto"/>
              <w:right w:val="single" w:sz="4" w:space="0" w:color="auto"/>
            </w:tcBorders>
            <w:vAlign w:val="center"/>
            <w:hideMark/>
          </w:tcPr>
          <w:p w14:paraId="5E83975B" w14:textId="0719150A" w:rsidR="00813506" w:rsidRPr="00263861" w:rsidRDefault="00813506" w:rsidP="00E01880">
            <w:pPr>
              <w:jc w:val="center"/>
              <w:cnfStyle w:val="100000000000" w:firstRow="1" w:lastRow="0" w:firstColumn="0" w:lastColumn="0" w:oddVBand="0" w:evenVBand="0" w:oddHBand="0" w:evenHBand="0" w:firstRowFirstColumn="0" w:firstRowLastColumn="0" w:lastRowFirstColumn="0" w:lastRowLastColumn="0"/>
              <w:rPr>
                <w:b w:val="0"/>
              </w:rPr>
            </w:pPr>
            <w:r w:rsidRPr="00D16513">
              <w:t>Baseline (2016) rate</w:t>
            </w:r>
          </w:p>
          <w:p w14:paraId="7952690E" w14:textId="3E83AC98" w:rsidR="00813506" w:rsidRPr="00263861" w:rsidRDefault="004125D8" w:rsidP="00E01880">
            <w:pPr>
              <w:jc w:val="center"/>
              <w:cnfStyle w:val="100000000000" w:firstRow="1" w:lastRow="0" w:firstColumn="0" w:lastColumn="0" w:oddVBand="0" w:evenVBand="0" w:oddHBand="0" w:evenHBand="0" w:firstRowFirstColumn="0" w:firstRowLastColumn="0" w:lastRowFirstColumn="0" w:lastRowLastColumn="0"/>
              <w:rPr>
                <w:b w:val="0"/>
              </w:rPr>
            </w:pPr>
            <w:r>
              <w:t>(Metropolitan = 13.1</w:t>
            </w:r>
            <w:r w:rsidR="00813506" w:rsidRPr="00D16513">
              <w:t>%)</w:t>
            </w:r>
          </w:p>
        </w:tc>
        <w:tc>
          <w:tcPr>
            <w:tcW w:w="2258" w:type="dxa"/>
            <w:tcBorders>
              <w:top w:val="single" w:sz="4" w:space="0" w:color="auto"/>
              <w:left w:val="single" w:sz="4" w:space="0" w:color="auto"/>
              <w:bottom w:val="single" w:sz="4" w:space="0" w:color="auto"/>
              <w:right w:val="single" w:sz="4" w:space="0" w:color="auto"/>
            </w:tcBorders>
            <w:vAlign w:val="center"/>
            <w:hideMark/>
          </w:tcPr>
          <w:p w14:paraId="6995269C" w14:textId="6848DB26" w:rsidR="00813506" w:rsidRPr="00263861" w:rsidRDefault="00813506" w:rsidP="00E01880">
            <w:pPr>
              <w:jc w:val="center"/>
              <w:cnfStyle w:val="100000000000" w:firstRow="1" w:lastRow="0" w:firstColumn="0" w:lastColumn="0" w:oddVBand="0" w:evenVBand="0" w:oddHBand="0" w:evenHBand="0" w:firstRowFirstColumn="0" w:firstRowLastColumn="0" w:lastRowFirstColumn="0" w:lastRowLastColumn="0"/>
              <w:rPr>
                <w:b w:val="0"/>
              </w:rPr>
            </w:pPr>
            <w:r w:rsidRPr="00D16513">
              <w:t>Current differential in percentage points</w:t>
            </w:r>
          </w:p>
        </w:tc>
        <w:tc>
          <w:tcPr>
            <w:tcW w:w="1855" w:type="dxa"/>
            <w:tcBorders>
              <w:top w:val="single" w:sz="4" w:space="0" w:color="auto"/>
              <w:left w:val="single" w:sz="4" w:space="0" w:color="auto"/>
              <w:bottom w:val="single" w:sz="4" w:space="0" w:color="auto"/>
              <w:right w:val="single" w:sz="4" w:space="0" w:color="auto"/>
            </w:tcBorders>
            <w:vAlign w:val="center"/>
            <w:hideMark/>
          </w:tcPr>
          <w:p w14:paraId="19F71780" w14:textId="77777777" w:rsidR="00813506" w:rsidRPr="00263861" w:rsidRDefault="00813506" w:rsidP="00E01880">
            <w:pPr>
              <w:jc w:val="center"/>
              <w:cnfStyle w:val="100000000000" w:firstRow="1" w:lastRow="0" w:firstColumn="0" w:lastColumn="0" w:oddVBand="0" w:evenVBand="0" w:oddHBand="0" w:evenHBand="0" w:firstRowFirstColumn="0" w:firstRowLastColumn="0" w:lastRowFirstColumn="0" w:lastRowLastColumn="0"/>
              <w:rPr>
                <w:b w:val="0"/>
              </w:rPr>
            </w:pPr>
            <w:r w:rsidRPr="00D16513">
              <w:t>Target differential by 2030</w:t>
            </w:r>
          </w:p>
        </w:tc>
      </w:tr>
      <w:tr w:rsidR="00D23878" w:rsidRPr="00306207" w14:paraId="64226C14" w14:textId="77777777" w:rsidTr="00E01880">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auto"/>
            </w:tcBorders>
            <w:hideMark/>
          </w:tcPr>
          <w:p w14:paraId="29D2ACDD" w14:textId="77777777" w:rsidR="00813506" w:rsidRPr="00263861" w:rsidRDefault="00813506" w:rsidP="009E5BF7">
            <w:pPr>
              <w:rPr>
                <w:b w:val="0"/>
              </w:rPr>
            </w:pPr>
            <w:r w:rsidRPr="00D16513">
              <w:t>Inner regional</w:t>
            </w:r>
          </w:p>
        </w:tc>
        <w:tc>
          <w:tcPr>
            <w:tcW w:w="2407" w:type="dxa"/>
            <w:tcBorders>
              <w:top w:val="single" w:sz="4" w:space="0" w:color="auto"/>
            </w:tcBorders>
            <w:vAlign w:val="center"/>
            <w:hideMark/>
          </w:tcPr>
          <w:p w14:paraId="123E66B7" w14:textId="2AECB024" w:rsidR="00813506" w:rsidRPr="00306207" w:rsidRDefault="004720D0" w:rsidP="00263861">
            <w:pPr>
              <w:jc w:val="center"/>
              <w:cnfStyle w:val="000000100000" w:firstRow="0" w:lastRow="0" w:firstColumn="0" w:lastColumn="0" w:oddVBand="0" w:evenVBand="0" w:oddHBand="1" w:evenHBand="0" w:firstRowFirstColumn="0" w:firstRowLastColumn="0" w:lastRowFirstColumn="0" w:lastRowLastColumn="0"/>
            </w:pPr>
            <w:r>
              <w:t>12.7</w:t>
            </w:r>
          </w:p>
        </w:tc>
        <w:tc>
          <w:tcPr>
            <w:tcW w:w="2258" w:type="dxa"/>
            <w:tcBorders>
              <w:top w:val="single" w:sz="4" w:space="0" w:color="auto"/>
            </w:tcBorders>
            <w:vAlign w:val="center"/>
            <w:hideMark/>
          </w:tcPr>
          <w:p w14:paraId="7EF73871" w14:textId="2BAC2DB7" w:rsidR="00813506" w:rsidRPr="00306207" w:rsidRDefault="004720D0" w:rsidP="00263861">
            <w:pPr>
              <w:jc w:val="center"/>
              <w:cnfStyle w:val="000000100000" w:firstRow="0" w:lastRow="0" w:firstColumn="0" w:lastColumn="0" w:oddVBand="0" w:evenVBand="0" w:oddHBand="1" w:evenHBand="0" w:firstRowFirstColumn="0" w:firstRowLastColumn="0" w:lastRowFirstColumn="0" w:lastRowLastColumn="0"/>
            </w:pPr>
            <w:r>
              <w:t>0.4</w:t>
            </w:r>
          </w:p>
        </w:tc>
        <w:tc>
          <w:tcPr>
            <w:tcW w:w="1855" w:type="dxa"/>
            <w:tcBorders>
              <w:top w:val="single" w:sz="4" w:space="0" w:color="auto"/>
            </w:tcBorders>
            <w:vAlign w:val="center"/>
            <w:hideMark/>
          </w:tcPr>
          <w:p w14:paraId="6D3D4F91" w14:textId="316CC610" w:rsidR="00813506" w:rsidRPr="00306207" w:rsidRDefault="004720D0" w:rsidP="00263861">
            <w:pPr>
              <w:jc w:val="center"/>
              <w:cnfStyle w:val="000000100000" w:firstRow="0" w:lastRow="0" w:firstColumn="0" w:lastColumn="0" w:oddVBand="0" w:evenVBand="0" w:oddHBand="1" w:evenHBand="0" w:firstRowFirstColumn="0" w:firstRowLastColumn="0" w:lastRowFirstColumn="0" w:lastRowLastColumn="0"/>
              <w:rPr>
                <w:b/>
                <w:bCs/>
              </w:rPr>
            </w:pPr>
            <w:r>
              <w:rPr>
                <w:b/>
                <w:bCs/>
              </w:rPr>
              <w:t>0.2</w:t>
            </w:r>
          </w:p>
        </w:tc>
      </w:tr>
      <w:tr w:rsidR="00813506" w:rsidRPr="00306207" w14:paraId="66E57BEB" w14:textId="77777777" w:rsidTr="00263861">
        <w:trPr>
          <w:trHeight w:val="223"/>
        </w:trPr>
        <w:tc>
          <w:tcPr>
            <w:cnfStyle w:val="001000000000" w:firstRow="0" w:lastRow="0" w:firstColumn="1" w:lastColumn="0" w:oddVBand="0" w:evenVBand="0" w:oddHBand="0" w:evenHBand="0" w:firstRowFirstColumn="0" w:firstRowLastColumn="0" w:lastRowFirstColumn="0" w:lastRowLastColumn="0"/>
            <w:tcW w:w="1559" w:type="dxa"/>
            <w:hideMark/>
          </w:tcPr>
          <w:p w14:paraId="17992597" w14:textId="77777777" w:rsidR="00813506" w:rsidRPr="00263861" w:rsidRDefault="00813506" w:rsidP="009E5BF7">
            <w:pPr>
              <w:rPr>
                <w:b w:val="0"/>
              </w:rPr>
            </w:pPr>
            <w:r w:rsidRPr="00D16513">
              <w:t>Outer regional</w:t>
            </w:r>
          </w:p>
        </w:tc>
        <w:tc>
          <w:tcPr>
            <w:tcW w:w="2407" w:type="dxa"/>
            <w:vAlign w:val="center"/>
            <w:hideMark/>
          </w:tcPr>
          <w:p w14:paraId="6943E207" w14:textId="6B8B67C0" w:rsidR="00813506" w:rsidRPr="00306207" w:rsidRDefault="004720D0" w:rsidP="00263861">
            <w:pPr>
              <w:jc w:val="center"/>
              <w:cnfStyle w:val="000000000000" w:firstRow="0" w:lastRow="0" w:firstColumn="0" w:lastColumn="0" w:oddVBand="0" w:evenVBand="0" w:oddHBand="0" w:evenHBand="0" w:firstRowFirstColumn="0" w:firstRowLastColumn="0" w:lastRowFirstColumn="0" w:lastRowLastColumn="0"/>
            </w:pPr>
            <w:r>
              <w:t>11.3</w:t>
            </w:r>
          </w:p>
        </w:tc>
        <w:tc>
          <w:tcPr>
            <w:tcW w:w="2258" w:type="dxa"/>
            <w:vAlign w:val="center"/>
            <w:hideMark/>
          </w:tcPr>
          <w:p w14:paraId="6C430E04" w14:textId="6860BD9F" w:rsidR="00813506" w:rsidRPr="00306207" w:rsidRDefault="004720D0" w:rsidP="00263861">
            <w:pPr>
              <w:jc w:val="center"/>
              <w:cnfStyle w:val="000000000000" w:firstRow="0" w:lastRow="0" w:firstColumn="0" w:lastColumn="0" w:oddVBand="0" w:evenVBand="0" w:oddHBand="0" w:evenHBand="0" w:firstRowFirstColumn="0" w:firstRowLastColumn="0" w:lastRowFirstColumn="0" w:lastRowLastColumn="0"/>
            </w:pPr>
            <w:r>
              <w:t>1.8</w:t>
            </w:r>
          </w:p>
        </w:tc>
        <w:tc>
          <w:tcPr>
            <w:tcW w:w="1855" w:type="dxa"/>
            <w:vAlign w:val="center"/>
            <w:hideMark/>
          </w:tcPr>
          <w:p w14:paraId="637DA9BC" w14:textId="3F9630E5" w:rsidR="00813506" w:rsidRPr="00306207" w:rsidRDefault="004720D0" w:rsidP="00263861">
            <w:pPr>
              <w:jc w:val="center"/>
              <w:cnfStyle w:val="000000000000" w:firstRow="0" w:lastRow="0" w:firstColumn="0" w:lastColumn="0" w:oddVBand="0" w:evenVBand="0" w:oddHBand="0" w:evenHBand="0" w:firstRowFirstColumn="0" w:firstRowLastColumn="0" w:lastRowFirstColumn="0" w:lastRowLastColumn="0"/>
              <w:rPr>
                <w:b/>
                <w:bCs/>
              </w:rPr>
            </w:pPr>
            <w:r>
              <w:rPr>
                <w:b/>
                <w:bCs/>
              </w:rPr>
              <w:t>0.9</w:t>
            </w:r>
          </w:p>
        </w:tc>
      </w:tr>
      <w:tr w:rsidR="00D23878" w:rsidRPr="00306207" w14:paraId="28B26374" w14:textId="77777777" w:rsidTr="00E01880">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559" w:type="dxa"/>
            <w:hideMark/>
          </w:tcPr>
          <w:p w14:paraId="0CCFD26C" w14:textId="77777777" w:rsidR="00813506" w:rsidRPr="00263861" w:rsidRDefault="00813506" w:rsidP="009E5BF7">
            <w:pPr>
              <w:rPr>
                <w:b w:val="0"/>
              </w:rPr>
            </w:pPr>
            <w:r w:rsidRPr="00D16513">
              <w:t>Remote</w:t>
            </w:r>
          </w:p>
        </w:tc>
        <w:tc>
          <w:tcPr>
            <w:tcW w:w="2407" w:type="dxa"/>
            <w:vAlign w:val="center"/>
            <w:hideMark/>
          </w:tcPr>
          <w:p w14:paraId="1BC829DE" w14:textId="04A4D8AD" w:rsidR="00813506" w:rsidRPr="00306207" w:rsidRDefault="004720D0" w:rsidP="00263861">
            <w:pPr>
              <w:jc w:val="center"/>
              <w:cnfStyle w:val="000000100000" w:firstRow="0" w:lastRow="0" w:firstColumn="0" w:lastColumn="0" w:oddVBand="0" w:evenVBand="0" w:oddHBand="1" w:evenHBand="0" w:firstRowFirstColumn="0" w:firstRowLastColumn="0" w:lastRowFirstColumn="0" w:lastRowLastColumn="0"/>
            </w:pPr>
            <w:r>
              <w:t>9.4</w:t>
            </w:r>
          </w:p>
        </w:tc>
        <w:tc>
          <w:tcPr>
            <w:tcW w:w="2258" w:type="dxa"/>
            <w:vAlign w:val="center"/>
            <w:hideMark/>
          </w:tcPr>
          <w:p w14:paraId="68FAD8B4" w14:textId="0F7E63EA" w:rsidR="00813506" w:rsidRPr="00306207" w:rsidRDefault="004720D0" w:rsidP="00263861">
            <w:pPr>
              <w:jc w:val="center"/>
              <w:cnfStyle w:val="000000100000" w:firstRow="0" w:lastRow="0" w:firstColumn="0" w:lastColumn="0" w:oddVBand="0" w:evenVBand="0" w:oddHBand="1" w:evenHBand="0" w:firstRowFirstColumn="0" w:firstRowLastColumn="0" w:lastRowFirstColumn="0" w:lastRowLastColumn="0"/>
            </w:pPr>
            <w:r>
              <w:t>3.7</w:t>
            </w:r>
          </w:p>
        </w:tc>
        <w:tc>
          <w:tcPr>
            <w:tcW w:w="1855" w:type="dxa"/>
            <w:vAlign w:val="center"/>
            <w:hideMark/>
          </w:tcPr>
          <w:p w14:paraId="7A584DED" w14:textId="1391988C" w:rsidR="00813506" w:rsidRPr="00306207" w:rsidRDefault="004720D0" w:rsidP="00263861">
            <w:pPr>
              <w:jc w:val="center"/>
              <w:cnfStyle w:val="000000100000" w:firstRow="0" w:lastRow="0" w:firstColumn="0" w:lastColumn="0" w:oddVBand="0" w:evenVBand="0" w:oddHBand="1" w:evenHBand="0" w:firstRowFirstColumn="0" w:firstRowLastColumn="0" w:lastRowFirstColumn="0" w:lastRowLastColumn="0"/>
              <w:rPr>
                <w:b/>
                <w:bCs/>
              </w:rPr>
            </w:pPr>
            <w:r>
              <w:rPr>
                <w:b/>
                <w:bCs/>
              </w:rPr>
              <w:t>1.9</w:t>
            </w:r>
          </w:p>
        </w:tc>
      </w:tr>
    </w:tbl>
    <w:p w14:paraId="531174BF" w14:textId="77777777" w:rsidR="004720D0" w:rsidRDefault="004720D0" w:rsidP="004720D0">
      <w:pPr>
        <w:spacing w:before="240"/>
      </w:pPr>
      <w:r w:rsidRPr="004720D0">
        <w:t xml:space="preserve">Certificate IV qualifications are included in Targets one and three in recognition of the important role they play in preparing individuals for more specialised roles and in providing a pathway for further learning, particularly for individuals with a Certificate III. Certificate IVs currently account for only a very small proportion of VET delivery. Further improvement in access to these qualifications would therefore complement the already high level of Certificate III provision in RRR areas. </w:t>
      </w:r>
    </w:p>
    <w:p w14:paraId="172BFB34" w14:textId="6D02AA38" w:rsidR="004720D0" w:rsidRPr="004720D0" w:rsidRDefault="004720D0" w:rsidP="004720D0">
      <w:pPr>
        <w:spacing w:before="240"/>
      </w:pPr>
      <w:r w:rsidRPr="004720D0">
        <w:t>Certificate III qualifications have not been included as a focus for the targets on the basis that access to these qualifications is already relatively high in RRR areas. Nevertheless, it is recognised that Certificate III qualifications play a vital role in the VET sector and labour market. They are particularly important in RRR areas due to local employment options and industries and the Advisory Group believes it is vital that the current high rates of Certificate III participation and attainment are</w:t>
      </w:r>
      <w:r>
        <w:t xml:space="preserve"> </w:t>
      </w:r>
      <w:r w:rsidRPr="004720D0">
        <w:t>maintained. As part of implementing the Strategy, it will be important to monitor the participation and attainment rates of other levels of qualification and, in particular, Certificate III.</w:t>
      </w:r>
    </w:p>
    <w:p w14:paraId="402CCF2E" w14:textId="77777777" w:rsidR="00813506" w:rsidRPr="00306207" w:rsidRDefault="00813506" w:rsidP="00726804">
      <w:pPr>
        <w:pStyle w:val="Heading3"/>
      </w:pPr>
      <w:r w:rsidRPr="00306207">
        <w:lastRenderedPageBreak/>
        <w:t>Data sources and limitations</w:t>
      </w:r>
    </w:p>
    <w:p w14:paraId="04F49AEF" w14:textId="77777777" w:rsidR="004720D0" w:rsidRPr="004720D0" w:rsidRDefault="004720D0" w:rsidP="004720D0">
      <w:r w:rsidRPr="004720D0">
        <w:t xml:space="preserve">It is proposed to use the ABS Census of Population and Housing to underpin the metrics used for monitoring changes in attainment rates. While this data is only updated every five years, alternative sources of similar data, such as the annual ABS Survey of Education and Work (SEW), involve much smaller samples and are not considered reliable for monitoring changes in attainment levels for remote and very remote areas. </w:t>
      </w:r>
    </w:p>
    <w:p w14:paraId="36E87EEB" w14:textId="77777777" w:rsidR="004720D0" w:rsidRPr="004720D0" w:rsidRDefault="004720D0" w:rsidP="004720D0">
      <w:r w:rsidRPr="004720D0">
        <w:t xml:space="preserve">The 2016 Census data would provide the baseline information for the attainment rates initially, with the potential to review this information on release of the 2021 Census. An interim review of progress against these targets could be undertaken on release of the 2026 Census data, and a final assessment of progress undertaken on release of the 2031 Census, in mid-2032. </w:t>
      </w:r>
    </w:p>
    <w:p w14:paraId="1059CAC6" w14:textId="77777777" w:rsidR="004720D0" w:rsidRPr="004720D0" w:rsidRDefault="004720D0" w:rsidP="004720D0">
      <w:r w:rsidRPr="004720D0">
        <w:t xml:space="preserve">There are significant gaps in current available data. In particular, the paucity of data to monitor the movement of high school leavers into different levels of tertiary education is a major shortcoming. The introduction of the Unique Student Identifier (USI) from 2020 may open additional data opportunities in the future, but is not likely to yield any meaningful information until at least mid-2020. </w:t>
      </w:r>
    </w:p>
    <w:p w14:paraId="5FC4D9C1" w14:textId="77777777" w:rsidR="004720D0" w:rsidRPr="004720D0" w:rsidRDefault="004720D0" w:rsidP="004720D0">
      <w:r w:rsidRPr="004720D0">
        <w:t>To this end, it is proposed interim solutions be explored to track student activities post</w:t>
      </w:r>
      <w:r w:rsidRPr="004720D0">
        <w:noBreakHyphen/>
        <w:t xml:space="preserve">high school, including using analysis of higher education data on students whose basis for admission is secondary school. The Longitudinal Surveys of Australian Youth (LSAY) data may also be useful for this purpose, as it includes data on the proportion of school leavers going on to different types of tertiary education. However, this data is only available for a small sample of students, which can impact statistical accuracy for smaller cohorts, such as students in outer regional and remote areas. </w:t>
      </w:r>
    </w:p>
    <w:p w14:paraId="5C49AB9E" w14:textId="1DE2BA6D" w:rsidR="004720D0" w:rsidRPr="004720D0" w:rsidRDefault="004720D0" w:rsidP="004720D0">
      <w:r w:rsidRPr="004720D0">
        <w:t>Other additional data sources could be explored, drawing on additional analysis of existing data, or through establishing new datasets or collections. For example, states and territories have access to additional data on schools, VET and economic activity in regions, which could be collated and analysed to provide additional baseline data.</w:t>
      </w:r>
    </w:p>
    <w:p w14:paraId="50AA2C55" w14:textId="676F5990" w:rsidR="0030303F" w:rsidRPr="00306207" w:rsidRDefault="00813506" w:rsidP="00726804">
      <w:pPr>
        <w:pStyle w:val="Heading3"/>
        <w:rPr>
          <w:rFonts w:eastAsia="Times New Roman"/>
        </w:rPr>
      </w:pPr>
      <w:r w:rsidRPr="00306207">
        <w:rPr>
          <w:rFonts w:eastAsia="Times New Roman"/>
        </w:rPr>
        <w:t>Other</w:t>
      </w:r>
      <w:r w:rsidR="0030303F" w:rsidRPr="00306207">
        <w:rPr>
          <w:rFonts w:eastAsia="Times New Roman"/>
        </w:rPr>
        <w:t xml:space="preserve"> metrics and indicators</w:t>
      </w:r>
    </w:p>
    <w:p w14:paraId="356B3EEB" w14:textId="77777777" w:rsidR="004720D0" w:rsidRDefault="004720D0" w:rsidP="004720D0">
      <w:pPr>
        <w:pStyle w:val="ListParagraph"/>
        <w:spacing w:line="256" w:lineRule="auto"/>
        <w:ind w:left="0"/>
        <w:rPr>
          <w:rFonts w:cs="HelveticaNeue LT 45 Light"/>
          <w:color w:val="000000"/>
          <w:sz w:val="21"/>
          <w:szCs w:val="21"/>
        </w:rPr>
      </w:pPr>
      <w:r w:rsidRPr="004720D0">
        <w:t>In addition, it is proposed that a range of measures and indicators be monitored for different locations and population sub-groupings (including equity groups), using a range of data sources such as:</w:t>
      </w:r>
      <w:r>
        <w:rPr>
          <w:rFonts w:cs="HelveticaNeue LT 45 Light"/>
          <w:color w:val="000000"/>
          <w:sz w:val="21"/>
          <w:szCs w:val="21"/>
        </w:rPr>
        <w:t xml:space="preserve"> </w:t>
      </w:r>
    </w:p>
    <w:p w14:paraId="0A12E291" w14:textId="1D1478CE" w:rsidR="0030303F" w:rsidRPr="004720D0" w:rsidRDefault="0030303F" w:rsidP="00041655">
      <w:pPr>
        <w:pStyle w:val="ListParagraph"/>
        <w:numPr>
          <w:ilvl w:val="0"/>
          <w:numId w:val="23"/>
        </w:numPr>
        <w:spacing w:line="240" w:lineRule="auto"/>
      </w:pPr>
      <w:r w:rsidRPr="004720D0">
        <w:t>Attainment and participation through the Survey of Education and Work (SEW)</w:t>
      </w:r>
    </w:p>
    <w:p w14:paraId="118A7A4B" w14:textId="0C7ECD42" w:rsidR="0030303F" w:rsidRPr="004720D0" w:rsidRDefault="0030303F" w:rsidP="00041655">
      <w:pPr>
        <w:pStyle w:val="ListParagraph"/>
        <w:numPr>
          <w:ilvl w:val="0"/>
          <w:numId w:val="23"/>
        </w:numPr>
        <w:spacing w:line="240" w:lineRule="auto"/>
      </w:pPr>
      <w:r w:rsidRPr="004720D0">
        <w:t xml:space="preserve">Attainment and participation rates for all AQF levels, from Certificate </w:t>
      </w:r>
      <w:r w:rsidR="00936E7B" w:rsidRPr="004720D0">
        <w:t>I</w:t>
      </w:r>
      <w:r w:rsidRPr="004720D0">
        <w:t xml:space="preserve"> to postgraduate </w:t>
      </w:r>
    </w:p>
    <w:p w14:paraId="088249C5" w14:textId="2BBF0E29" w:rsidR="0030303F" w:rsidRPr="004720D0" w:rsidRDefault="0030303F" w:rsidP="00041655">
      <w:pPr>
        <w:pStyle w:val="ListParagraph"/>
        <w:numPr>
          <w:ilvl w:val="0"/>
          <w:numId w:val="23"/>
        </w:numPr>
        <w:spacing w:line="240" w:lineRule="auto"/>
      </w:pPr>
      <w:r w:rsidRPr="004720D0">
        <w:t>Proportion of s</w:t>
      </w:r>
      <w:r w:rsidR="000A0540" w:rsidRPr="004720D0">
        <w:t>chool</w:t>
      </w:r>
      <w:r w:rsidR="00354646" w:rsidRPr="004720D0">
        <w:t xml:space="preserve"> </w:t>
      </w:r>
      <w:r w:rsidR="000A0540" w:rsidRPr="004720D0">
        <w:t>leavers commencing higher-</w:t>
      </w:r>
      <w:r w:rsidRPr="004720D0">
        <w:t xml:space="preserve">level VET or </w:t>
      </w:r>
      <w:r w:rsidR="00354646" w:rsidRPr="004720D0">
        <w:t>higher education</w:t>
      </w:r>
      <w:r w:rsidRPr="004720D0">
        <w:t xml:space="preserve"> by age 19</w:t>
      </w:r>
    </w:p>
    <w:p w14:paraId="0954B8BA" w14:textId="77777777" w:rsidR="0030303F" w:rsidRPr="004720D0" w:rsidRDefault="0030303F" w:rsidP="00041655">
      <w:pPr>
        <w:pStyle w:val="ListParagraph"/>
        <w:numPr>
          <w:ilvl w:val="0"/>
          <w:numId w:val="23"/>
        </w:numPr>
        <w:spacing w:line="240" w:lineRule="auto"/>
      </w:pPr>
      <w:r w:rsidRPr="004720D0">
        <w:t xml:space="preserve">Attrition rates for higher education and completion rates for VET </w:t>
      </w:r>
    </w:p>
    <w:p w14:paraId="123F66DA" w14:textId="377473DE" w:rsidR="0030303F" w:rsidRPr="004720D0" w:rsidRDefault="0030303F" w:rsidP="00041655">
      <w:pPr>
        <w:pStyle w:val="ListParagraph"/>
        <w:numPr>
          <w:ilvl w:val="0"/>
          <w:numId w:val="23"/>
        </w:numPr>
        <w:spacing w:line="240" w:lineRule="auto"/>
      </w:pPr>
      <w:r w:rsidRPr="004720D0">
        <w:t>Graduate outcomes</w:t>
      </w:r>
      <w:r w:rsidR="00354646" w:rsidRPr="004720D0">
        <w:t>,</w:t>
      </w:r>
      <w:r w:rsidRPr="004720D0">
        <w:t xml:space="preserve"> including employment, earnings and satisfaction</w:t>
      </w:r>
    </w:p>
    <w:p w14:paraId="25598447" w14:textId="0C018806" w:rsidR="0030303F" w:rsidRPr="004720D0" w:rsidRDefault="0030303F" w:rsidP="00041655">
      <w:pPr>
        <w:pStyle w:val="ListParagraph"/>
        <w:numPr>
          <w:ilvl w:val="0"/>
          <w:numId w:val="23"/>
        </w:numPr>
        <w:spacing w:line="240" w:lineRule="auto"/>
      </w:pPr>
      <w:r w:rsidRPr="004720D0">
        <w:t xml:space="preserve">Other relevant Quality Indicators for Learning and Teaching </w:t>
      </w:r>
      <w:r w:rsidR="00A80AD7" w:rsidRPr="004720D0">
        <w:t xml:space="preserve">(QILT) </w:t>
      </w:r>
      <w:r w:rsidRPr="004720D0">
        <w:t xml:space="preserve">data including student satisfaction </w:t>
      </w:r>
    </w:p>
    <w:p w14:paraId="76344B6A" w14:textId="77777777" w:rsidR="0030303F" w:rsidRPr="004720D0" w:rsidRDefault="0030303F" w:rsidP="00041655">
      <w:pPr>
        <w:pStyle w:val="ListParagraph"/>
        <w:numPr>
          <w:ilvl w:val="0"/>
          <w:numId w:val="23"/>
        </w:numPr>
        <w:spacing w:line="240" w:lineRule="auto"/>
      </w:pPr>
      <w:r w:rsidRPr="004720D0">
        <w:t xml:space="preserve">Trends in university offers and acceptance </w:t>
      </w:r>
    </w:p>
    <w:p w14:paraId="4F3E277B" w14:textId="5B8F04D9" w:rsidR="0030303F" w:rsidRPr="004720D0" w:rsidRDefault="0030303F" w:rsidP="00041655">
      <w:pPr>
        <w:pStyle w:val="ListParagraph"/>
        <w:numPr>
          <w:ilvl w:val="0"/>
          <w:numId w:val="23"/>
        </w:numPr>
        <w:spacing w:line="240" w:lineRule="auto"/>
      </w:pPr>
      <w:r w:rsidRPr="004720D0">
        <w:t xml:space="preserve">Trends in post-school intentions and actions, from </w:t>
      </w:r>
      <w:r w:rsidR="00354646" w:rsidRPr="004720D0">
        <w:t>LSAY data</w:t>
      </w:r>
    </w:p>
    <w:p w14:paraId="1E7D6AD5" w14:textId="43FBC1DB" w:rsidR="0030303F" w:rsidRPr="004720D0" w:rsidRDefault="0030303F" w:rsidP="00041655">
      <w:pPr>
        <w:pStyle w:val="ListParagraph"/>
        <w:numPr>
          <w:ilvl w:val="0"/>
          <w:numId w:val="23"/>
        </w:numPr>
        <w:spacing w:line="240" w:lineRule="auto"/>
      </w:pPr>
      <w:r w:rsidRPr="004720D0">
        <w:t xml:space="preserve">Australian early development census and NAPLAN </w:t>
      </w:r>
      <w:r w:rsidR="00CA7321" w:rsidRPr="004720D0">
        <w:t>results</w:t>
      </w:r>
      <w:r w:rsidRPr="004720D0">
        <w:t>, and</w:t>
      </w:r>
    </w:p>
    <w:p w14:paraId="05CBDFD6" w14:textId="4E0C3BB0" w:rsidR="00A14B93" w:rsidRDefault="0030303F" w:rsidP="002D549B">
      <w:pPr>
        <w:pStyle w:val="ListParagraph"/>
        <w:numPr>
          <w:ilvl w:val="0"/>
          <w:numId w:val="23"/>
        </w:numPr>
        <w:spacing w:after="0"/>
      </w:pPr>
      <w:r w:rsidRPr="004720D0">
        <w:t>Numbers of international students in regional Australia.</w:t>
      </w:r>
    </w:p>
    <w:p w14:paraId="62DC7F23" w14:textId="465AA495" w:rsidR="004720D0" w:rsidRDefault="004720D0" w:rsidP="002D549B">
      <w:pPr>
        <w:spacing w:after="0"/>
      </w:pPr>
    </w:p>
    <w:p w14:paraId="1E8B51E1" w14:textId="0D2A8CA6" w:rsidR="004720D0" w:rsidRDefault="004720D0" w:rsidP="004720D0">
      <w:pPr>
        <w:pStyle w:val="ListParagraph"/>
        <w:spacing w:line="256" w:lineRule="auto"/>
        <w:ind w:left="0"/>
      </w:pPr>
      <w:r w:rsidRPr="004720D0">
        <w:t xml:space="preserve">In order to track progress using the targets and other statistics of interest, a database could be established that contains key trend data. This database could be used to produce a “dashboard” or “scorecard” reporting tool, including easily understood infographics to show trends over the life of </w:t>
      </w:r>
      <w:r w:rsidRPr="004720D0">
        <w:lastRenderedPageBreak/>
        <w:t xml:space="preserve">the Strategy, which could form part of the annual reporting undertaken by the RRR Education Commissioner. </w:t>
      </w:r>
    </w:p>
    <w:p w14:paraId="34626D3C" w14:textId="77777777" w:rsidR="004720D0" w:rsidRPr="004720D0" w:rsidRDefault="004720D0" w:rsidP="004720D0">
      <w:pPr>
        <w:pStyle w:val="ListParagraph"/>
        <w:spacing w:line="256" w:lineRule="auto"/>
        <w:ind w:left="0"/>
      </w:pPr>
    </w:p>
    <w:p w14:paraId="3ADD635F" w14:textId="77777777" w:rsidR="004720D0" w:rsidRPr="004720D0" w:rsidRDefault="004720D0" w:rsidP="004720D0">
      <w:pPr>
        <w:pStyle w:val="ListParagraph"/>
        <w:spacing w:line="256" w:lineRule="auto"/>
        <w:ind w:left="0"/>
      </w:pPr>
      <w:r w:rsidRPr="004720D0">
        <w:t xml:space="preserve">In addition to the ongoing evaluation activities described above, a detailed evaluation of the success of the Strategy could be undertaken on release of data from the 2031 Census. This evaluation could examine issues of policy design, value for money, administrative processes and impacts on the target group, including: </w:t>
      </w:r>
    </w:p>
    <w:p w14:paraId="5A3A136B" w14:textId="77777777" w:rsidR="004720D0" w:rsidRPr="004720D0" w:rsidRDefault="004720D0" w:rsidP="00041655">
      <w:pPr>
        <w:pStyle w:val="ListParagraph"/>
        <w:numPr>
          <w:ilvl w:val="0"/>
          <w:numId w:val="23"/>
        </w:numPr>
        <w:spacing w:line="240" w:lineRule="auto"/>
      </w:pPr>
      <w:r w:rsidRPr="004720D0">
        <w:t xml:space="preserve">summary of progress against the three specific targets </w:t>
      </w:r>
    </w:p>
    <w:p w14:paraId="0107DCE5" w14:textId="77777777" w:rsidR="004720D0" w:rsidRPr="004720D0" w:rsidRDefault="004720D0" w:rsidP="00041655">
      <w:pPr>
        <w:pStyle w:val="ListParagraph"/>
        <w:numPr>
          <w:ilvl w:val="0"/>
          <w:numId w:val="23"/>
        </w:numPr>
        <w:spacing w:line="240" w:lineRule="auto"/>
      </w:pPr>
      <w:r w:rsidRPr="004720D0">
        <w:t xml:space="preserve">changes in other educational attainment and participation rates such as Year 12 and Certificate I, II and III qualifications </w:t>
      </w:r>
    </w:p>
    <w:p w14:paraId="25B1FBAF" w14:textId="77777777" w:rsidR="004720D0" w:rsidRPr="004720D0" w:rsidRDefault="004720D0" w:rsidP="00041655">
      <w:pPr>
        <w:pStyle w:val="ListParagraph"/>
        <w:numPr>
          <w:ilvl w:val="0"/>
          <w:numId w:val="23"/>
        </w:numPr>
        <w:spacing w:line="240" w:lineRule="auto"/>
      </w:pPr>
      <w:r w:rsidRPr="004720D0">
        <w:t xml:space="preserve">tertiary course completion rates of RRR students compared to metropolitan students, and </w:t>
      </w:r>
    </w:p>
    <w:p w14:paraId="38112EC9" w14:textId="43A2AFF8" w:rsidR="004720D0" w:rsidRPr="004720D0" w:rsidRDefault="004720D0" w:rsidP="00041655">
      <w:pPr>
        <w:pStyle w:val="ListParagraph"/>
        <w:numPr>
          <w:ilvl w:val="0"/>
          <w:numId w:val="23"/>
        </w:numPr>
        <w:spacing w:line="240" w:lineRule="auto"/>
      </w:pPr>
      <w:r w:rsidRPr="004720D0">
        <w:t xml:space="preserve">the role of education in regional economies. </w:t>
      </w:r>
    </w:p>
    <w:p w14:paraId="5345A757" w14:textId="77777777" w:rsidR="004720D0" w:rsidRPr="004720D0" w:rsidRDefault="004720D0" w:rsidP="00041655">
      <w:pPr>
        <w:numPr>
          <w:ilvl w:val="0"/>
          <w:numId w:val="28"/>
        </w:numPr>
        <w:autoSpaceDE w:val="0"/>
        <w:autoSpaceDN w:val="0"/>
        <w:adjustRightInd w:val="0"/>
        <w:spacing w:after="0" w:line="240" w:lineRule="auto"/>
        <w:rPr>
          <w:rFonts w:ascii="HelveticaNeue LT 45 Light" w:hAnsi="HelveticaNeue LT 45 Light" w:cs="HelveticaNeue LT 45 Light"/>
          <w:color w:val="000000"/>
          <w:sz w:val="21"/>
          <w:szCs w:val="21"/>
        </w:rPr>
      </w:pPr>
    </w:p>
    <w:p w14:paraId="2D049B88" w14:textId="3F3535BE" w:rsidR="00555B39" w:rsidRPr="00306207" w:rsidRDefault="009123C8" w:rsidP="00726804">
      <w:pPr>
        <w:pStyle w:val="Heading3"/>
        <w:rPr>
          <w:rFonts w:eastAsia="Times New Roman"/>
        </w:rPr>
      </w:pPr>
      <w:r w:rsidRPr="00306207">
        <w:rPr>
          <w:rFonts w:eastAsia="Times New Roman"/>
        </w:rPr>
        <w:t xml:space="preserve">Further development of geographical </w:t>
      </w:r>
      <w:r w:rsidR="00E9494C" w:rsidRPr="00306207">
        <w:rPr>
          <w:rFonts w:eastAsia="Times New Roman"/>
        </w:rPr>
        <w:t>classification</w:t>
      </w:r>
      <w:r w:rsidRPr="00306207">
        <w:rPr>
          <w:rFonts w:eastAsia="Times New Roman"/>
        </w:rPr>
        <w:t xml:space="preserve"> systems</w:t>
      </w:r>
    </w:p>
    <w:p w14:paraId="63CD03CF" w14:textId="261EDA06" w:rsidR="004720D0" w:rsidRDefault="004720D0" w:rsidP="00AE4055">
      <w:pPr>
        <w:pStyle w:val="ListParagraph"/>
        <w:spacing w:line="256" w:lineRule="auto"/>
        <w:ind w:left="0"/>
      </w:pPr>
      <w:r w:rsidRPr="00AE4055">
        <w:t>To support the monitoring of the Strategy, further work is needed to improve the capacity to classify locations based on relative access to education services and tertiary education needs. As touched upon earlier, the current geographical classification system used by the ABS is not designed specifically for use in relation to education and, as a result, there are shortcomings that make it insufficient for the purpose of targeting effort to under</w:t>
      </w:r>
      <w:r w:rsidRPr="00AE4055">
        <w:noBreakHyphen/>
        <w:t xml:space="preserve">serviced regions and monitoring the Strategy. For example, there are outer regional areas where students face similar isolation and poor access to services (including poor internet access) as students in remote areas. In particular, consultations have identified three major shortcomings when it comes to using this framework for education purposes: </w:t>
      </w:r>
    </w:p>
    <w:p w14:paraId="4B17FCC8" w14:textId="77777777" w:rsidR="004720D0" w:rsidRPr="004720D0" w:rsidRDefault="004720D0" w:rsidP="00041655">
      <w:pPr>
        <w:pStyle w:val="ListParagraph"/>
        <w:numPr>
          <w:ilvl w:val="0"/>
          <w:numId w:val="23"/>
        </w:numPr>
        <w:spacing w:line="240" w:lineRule="auto"/>
      </w:pPr>
      <w:r w:rsidRPr="004720D0">
        <w:t xml:space="preserve">First, it does not sufficiently take into account a number of issues particularly important for access to education, such as proximity to education and training providers and time to get to services by public transport. There are several factors that could assist in underpinning a more accurate index of relative access to tertiary education. </w:t>
      </w:r>
    </w:p>
    <w:p w14:paraId="724963AA" w14:textId="77777777" w:rsidR="004720D0" w:rsidRPr="004720D0" w:rsidRDefault="004720D0" w:rsidP="00041655">
      <w:pPr>
        <w:pStyle w:val="ListParagraph"/>
        <w:numPr>
          <w:ilvl w:val="0"/>
          <w:numId w:val="23"/>
        </w:numPr>
        <w:spacing w:line="240" w:lineRule="auto"/>
      </w:pPr>
      <w:r w:rsidRPr="004720D0">
        <w:t xml:space="preserve">Second, the current five-point category structure (major cities, inner regional, outer regional, remote and very remote) does not sufficiently capture the variation in circumstances and needs of different areas within the broader remoteness categories. </w:t>
      </w:r>
    </w:p>
    <w:p w14:paraId="048156E4" w14:textId="77777777" w:rsidR="004720D0" w:rsidRPr="004720D0" w:rsidRDefault="004720D0" w:rsidP="00041655">
      <w:pPr>
        <w:pStyle w:val="ListParagraph"/>
        <w:numPr>
          <w:ilvl w:val="0"/>
          <w:numId w:val="23"/>
        </w:numPr>
        <w:spacing w:line="240" w:lineRule="auto"/>
      </w:pPr>
      <w:r w:rsidRPr="004720D0">
        <w:t xml:space="preserve">Third, it does not take into account economic differences that can influence both demand and access to tertiary education. Many communities identify themselves as “rural”, sometimes in association with particular industries such as agriculture and mining. However, the term “rural” does not correspond to any specific location category within this framework. These “rural” locations are often classified as regional despite lower levels of access to services. </w:t>
      </w:r>
    </w:p>
    <w:p w14:paraId="51BCF2A1" w14:textId="717230ED" w:rsidR="006339D1" w:rsidRDefault="005578FA" w:rsidP="005E5168">
      <w:r w:rsidRPr="00306207">
        <w:t>A</w:t>
      </w:r>
      <w:r w:rsidR="00B371E4" w:rsidRPr="00306207">
        <w:t xml:space="preserve"> geographical classification system that measures rurality and remoteness at a finer level for tertiary education purposes</w:t>
      </w:r>
      <w:r w:rsidRPr="00306207">
        <w:t xml:space="preserve"> may be useful to </w:t>
      </w:r>
      <w:r w:rsidR="00B371E4" w:rsidRPr="00306207">
        <w:t xml:space="preserve">support </w:t>
      </w:r>
      <w:r w:rsidR="0065108C" w:rsidRPr="00306207">
        <w:t xml:space="preserve">the </w:t>
      </w:r>
      <w:r w:rsidR="00B371E4" w:rsidRPr="00306207">
        <w:t xml:space="preserve">monitoring and evaluation of the Strategy. </w:t>
      </w:r>
    </w:p>
    <w:tbl>
      <w:tblPr>
        <w:tblStyle w:val="TableGrid"/>
        <w:tblW w:w="0" w:type="auto"/>
        <w:tblBorders>
          <w:top w:val="single" w:sz="12" w:space="0" w:color="F6A060"/>
          <w:left w:val="single" w:sz="12" w:space="0" w:color="F6A060"/>
          <w:bottom w:val="single" w:sz="12" w:space="0" w:color="F6A060"/>
          <w:right w:val="single" w:sz="12" w:space="0" w:color="F6A060"/>
          <w:insideH w:val="single" w:sz="12" w:space="0" w:color="F6A060"/>
          <w:insideV w:val="single" w:sz="12" w:space="0" w:color="F6A060"/>
        </w:tblBorders>
        <w:tblLook w:val="04A0" w:firstRow="1" w:lastRow="0" w:firstColumn="1" w:lastColumn="0" w:noHBand="0" w:noVBand="1"/>
      </w:tblPr>
      <w:tblGrid>
        <w:gridCol w:w="8996"/>
      </w:tblGrid>
      <w:tr w:rsidR="009C4A58" w14:paraId="4BD8DFEB" w14:textId="77777777" w:rsidTr="00263861">
        <w:trPr>
          <w:trHeight w:val="2226"/>
        </w:trPr>
        <w:tc>
          <w:tcPr>
            <w:tcW w:w="9016" w:type="dxa"/>
          </w:tcPr>
          <w:p w14:paraId="51F476B6" w14:textId="77777777" w:rsidR="009C4A58" w:rsidRPr="009C4A58" w:rsidRDefault="009C4A58" w:rsidP="009C4A58">
            <w:pPr>
              <w:spacing w:before="240" w:line="276" w:lineRule="auto"/>
              <w:rPr>
                <w:rStyle w:val="Strong"/>
              </w:rPr>
            </w:pPr>
            <w:r w:rsidRPr="009C4A58">
              <w:rPr>
                <w:rStyle w:val="Strong"/>
              </w:rPr>
              <w:t>KEY FINDING 24:</w:t>
            </w:r>
            <w:r w:rsidRPr="009C4A58">
              <w:t xml:space="preserve"> Establishment of an RRR Education Commissioner would assist in bringing together effort to implement the Strategy and achieve a sustained, national RRR education focus. </w:t>
            </w:r>
          </w:p>
          <w:p w14:paraId="304E6DD9" w14:textId="2A7B0F1E" w:rsidR="009C4A58" w:rsidRDefault="009C4A58" w:rsidP="009C4A58">
            <w:pPr>
              <w:spacing w:before="240" w:line="276" w:lineRule="auto"/>
            </w:pPr>
            <w:r w:rsidRPr="009C4A58">
              <w:rPr>
                <w:rStyle w:val="Strong"/>
              </w:rPr>
              <w:t xml:space="preserve">KEY FINDING 25: </w:t>
            </w:r>
            <w:r w:rsidRPr="009C4A58">
              <w:t>The current geographical classification system used by the ABS has a number of limitations which make it difficult to use for monitoring tertiary education outcomes and targeting support to communities most in need.</w:t>
            </w:r>
          </w:p>
        </w:tc>
      </w:tr>
    </w:tbl>
    <w:p w14:paraId="496EBDF2" w14:textId="77777777" w:rsidR="00A14B93" w:rsidRDefault="00A14B93" w:rsidP="00726804">
      <w:pPr>
        <w:pStyle w:val="Heading2"/>
      </w:pPr>
      <w:bookmarkStart w:id="65" w:name="_Toc13224808"/>
    </w:p>
    <w:p w14:paraId="701ECBA0" w14:textId="77777777" w:rsidR="00A14B93" w:rsidRDefault="00A14B93" w:rsidP="00726804">
      <w:pPr>
        <w:pStyle w:val="Heading2"/>
      </w:pPr>
    </w:p>
    <w:p w14:paraId="00DA5E51" w14:textId="711FE846" w:rsidR="00555B39" w:rsidRPr="00306207" w:rsidRDefault="00555B39" w:rsidP="00726804">
      <w:pPr>
        <w:pStyle w:val="Heading2"/>
      </w:pPr>
      <w:r w:rsidRPr="00306207">
        <w:t>Conclusion</w:t>
      </w:r>
      <w:bookmarkEnd w:id="65"/>
      <w:r w:rsidRPr="00306207">
        <w:t xml:space="preserve"> </w:t>
      </w:r>
    </w:p>
    <w:bookmarkEnd w:id="51"/>
    <w:p w14:paraId="556B5A99" w14:textId="77777777" w:rsidR="009C4A58" w:rsidRPr="009C4A58" w:rsidRDefault="009C4A58" w:rsidP="009C4A58">
      <w:r w:rsidRPr="009C4A58">
        <w:t xml:space="preserve">This report provides a strategic direction and plan to address the disparity in tertiary education outcomes that currently exists between individuals from RRR areas and those in metropolitan areas. </w:t>
      </w:r>
    </w:p>
    <w:p w14:paraId="127F8723" w14:textId="77777777" w:rsidR="009C4A58" w:rsidRPr="009C4A58" w:rsidRDefault="009C4A58" w:rsidP="009C4A58">
      <w:r w:rsidRPr="009C4A58">
        <w:t xml:space="preserve">In making seven recommendations and the proposed associated actions, the Strategy aims to address the systemic issues that are preventing RRR individuals from having fair and equal access to Australia’s high quality tertiary education system. These issues primarily exist in the areas of access to study options, financial support, student support (including tailored support for students from equity groups), career advice and aspiration, schooling and regional development. </w:t>
      </w:r>
    </w:p>
    <w:p w14:paraId="416FFE3D" w14:textId="77777777" w:rsidR="009C4A58" w:rsidRPr="009C4A58" w:rsidRDefault="009C4A58" w:rsidP="009C4A58">
      <w:r w:rsidRPr="009C4A58">
        <w:t xml:space="preserve">While the Strategy has the potential to make a significant difference to the lives of prospective RRR students and their families, as well as increase the prosperity of the nation as a whole, it is vital to acknowledge the following: </w:t>
      </w:r>
    </w:p>
    <w:p w14:paraId="007950AB" w14:textId="77777777" w:rsidR="009C4A58" w:rsidRPr="009C4A58" w:rsidRDefault="009C4A58" w:rsidP="00041655">
      <w:pPr>
        <w:pStyle w:val="ListParagraph"/>
        <w:numPr>
          <w:ilvl w:val="0"/>
          <w:numId w:val="23"/>
        </w:numPr>
        <w:spacing w:line="240" w:lineRule="auto"/>
      </w:pPr>
      <w:r w:rsidRPr="009C4A58">
        <w:t xml:space="preserve">Individuals are diverse, and so are their aspirations. Consequently, decisions around tertiary education will be varied across locations – influenced by where someone may want to live or employment opportunities in different areas. What is important is not that everyone goes to university, but that policy settings ensure people in RRR communities have the same opportunities for tertiary education as those who live anywhere else in Australia. </w:t>
      </w:r>
    </w:p>
    <w:p w14:paraId="49184FD1" w14:textId="77777777" w:rsidR="009C4A58" w:rsidRPr="009C4A58" w:rsidRDefault="009C4A58" w:rsidP="00041655">
      <w:pPr>
        <w:pStyle w:val="ListParagraph"/>
        <w:numPr>
          <w:ilvl w:val="0"/>
          <w:numId w:val="23"/>
        </w:numPr>
        <w:spacing w:line="240" w:lineRule="auto"/>
      </w:pPr>
      <w:r w:rsidRPr="009C4A58">
        <w:t xml:space="preserve">Joined-up Commonwealth, state/territory and local commitment and action are essential to drive and sustain change. In particular, strong community leadership will prove vital to the ongoing success of policy actions and programs at a local level. </w:t>
      </w:r>
    </w:p>
    <w:p w14:paraId="44BAD866" w14:textId="77777777" w:rsidR="009C4A58" w:rsidRPr="009C4A58" w:rsidRDefault="009C4A58" w:rsidP="00041655">
      <w:pPr>
        <w:pStyle w:val="ListParagraph"/>
        <w:numPr>
          <w:ilvl w:val="0"/>
          <w:numId w:val="23"/>
        </w:numPr>
        <w:spacing w:line="240" w:lineRule="auto"/>
      </w:pPr>
      <w:r w:rsidRPr="009C4A58">
        <w:t xml:space="preserve">Significant work has already been undertaken to provide RRR students with greater choice and access in education, most recently in response to the Halsey Review and through the Australian Government Regional Education package announced in November 2018. New initiatives need to consider and build on this progress to ensure action taken results in effective outcomes for RRR Australia. </w:t>
      </w:r>
    </w:p>
    <w:p w14:paraId="2F96CC46" w14:textId="77777777" w:rsidR="009C4A58" w:rsidRPr="009C4A58" w:rsidRDefault="009C4A58" w:rsidP="009C4A58">
      <w:r w:rsidRPr="009C4A58">
        <w:t xml:space="preserve">This Strategy provides a blueprint for greater equality and fairness in Australia’s education landscape. The findings, recommendations and actions of this report (see summary below) point to a range of challenges and opportunities and provide a plan for achieving the stated vision and objectives. </w:t>
      </w:r>
    </w:p>
    <w:p w14:paraId="47275D77" w14:textId="77777777" w:rsidR="009C4A58" w:rsidRPr="009C4A58" w:rsidRDefault="009C4A58" w:rsidP="009C4A58">
      <w:r w:rsidRPr="009C4A58">
        <w:t xml:space="preserve">Over the ten years from 2020 to 2030, working towards achieving the Strategy’s targets, together with the support of an RRR Education Commissioner to bring initiatives and groups together and monitor progress, will drive what the Advisory Group believes is needed to bring about change. This change will create equal opportunity and improve RRR student participation and outcomes in tertiary education, improving the future prosperity of RRR Australia and our nation. </w:t>
      </w:r>
    </w:p>
    <w:p w14:paraId="4025BB0E" w14:textId="4C39755F" w:rsidR="006E3EFC" w:rsidRPr="009C4A58" w:rsidRDefault="009C4A58" w:rsidP="009C4A58">
      <w:pPr>
        <w:sectPr w:rsidR="006E3EFC" w:rsidRPr="009C4A58" w:rsidSect="0051019D">
          <w:type w:val="continuous"/>
          <w:pgSz w:w="11906" w:h="16838"/>
          <w:pgMar w:top="1440" w:right="1440" w:bottom="1440" w:left="1440" w:header="708" w:footer="708" w:gutter="0"/>
          <w:cols w:space="708"/>
          <w:docGrid w:linePitch="360"/>
        </w:sectPr>
      </w:pPr>
      <w:r w:rsidRPr="009C4A58">
        <w:t>It is now up to relevant parties to put this plan into action.</w:t>
      </w:r>
    </w:p>
    <w:p w14:paraId="480F5F53" w14:textId="6152A325" w:rsidR="001A5186" w:rsidRPr="00306207" w:rsidRDefault="001A5186" w:rsidP="00A368CF">
      <w:pPr>
        <w:pStyle w:val="Heading1"/>
      </w:pPr>
      <w:bookmarkStart w:id="66" w:name="_Toc13224809"/>
      <w:r w:rsidRPr="00306207">
        <w:lastRenderedPageBreak/>
        <w:t xml:space="preserve">Summary of </w:t>
      </w:r>
      <w:r w:rsidR="00FD7AE4">
        <w:t>findings</w:t>
      </w:r>
      <w:r w:rsidRPr="00306207">
        <w:t>,</w:t>
      </w:r>
      <w:r w:rsidR="00FD7AE4">
        <w:t xml:space="preserve"> recommendations and actions</w:t>
      </w:r>
      <w:bookmarkEnd w:id="66"/>
      <w:r w:rsidRPr="00306207">
        <w:t xml:space="preserve"> </w:t>
      </w:r>
    </w:p>
    <w:tbl>
      <w:tblPr>
        <w:tblW w:w="0" w:type="auto"/>
        <w:tblInd w:w="1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Description w:val="This table summarises the 25 key findings, seven recommendations and 33 actions which are outlined in the report.   "/>
      </w:tblPr>
      <w:tblGrid>
        <w:gridCol w:w="4100"/>
        <w:gridCol w:w="2702"/>
        <w:gridCol w:w="7520"/>
      </w:tblGrid>
      <w:tr w:rsidR="00041655" w:rsidRPr="00191478" w14:paraId="35B9C75C" w14:textId="77777777" w:rsidTr="00F33AA3">
        <w:trPr>
          <w:trHeight w:val="301"/>
          <w:tblHeader/>
        </w:trPr>
        <w:tc>
          <w:tcPr>
            <w:tcW w:w="4100" w:type="dxa"/>
            <w:tcBorders>
              <w:top w:val="nil"/>
              <w:left w:val="nil"/>
            </w:tcBorders>
            <w:shd w:val="clear" w:color="auto" w:fill="314652"/>
          </w:tcPr>
          <w:p w14:paraId="0D16E2C3" w14:textId="77777777" w:rsidR="00041655" w:rsidRPr="00191478" w:rsidRDefault="00041655" w:rsidP="00F33AA3">
            <w:pPr>
              <w:pStyle w:val="TableParagraph"/>
              <w:spacing w:before="45"/>
              <w:ind w:left="80"/>
              <w:rPr>
                <w:rFonts w:asciiTheme="minorHAnsi" w:hAnsiTheme="minorHAnsi"/>
                <w:sz w:val="19"/>
              </w:rPr>
            </w:pPr>
            <w:r w:rsidRPr="00191478">
              <w:rPr>
                <w:rFonts w:asciiTheme="minorHAnsi" w:hAnsiTheme="minorHAnsi"/>
                <w:color w:val="FFFFFF"/>
                <w:sz w:val="19"/>
              </w:rPr>
              <w:t>Findings</w:t>
            </w:r>
          </w:p>
        </w:tc>
        <w:tc>
          <w:tcPr>
            <w:tcW w:w="2702" w:type="dxa"/>
            <w:tcBorders>
              <w:top w:val="nil"/>
            </w:tcBorders>
            <w:shd w:val="clear" w:color="auto" w:fill="314652"/>
          </w:tcPr>
          <w:p w14:paraId="4205FCCD"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Recommendations</w:t>
            </w:r>
          </w:p>
        </w:tc>
        <w:tc>
          <w:tcPr>
            <w:tcW w:w="7520" w:type="dxa"/>
            <w:tcBorders>
              <w:top w:val="nil"/>
              <w:right w:val="nil"/>
            </w:tcBorders>
            <w:shd w:val="clear" w:color="auto" w:fill="314652"/>
          </w:tcPr>
          <w:p w14:paraId="7AC01385"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Actions</w:t>
            </w:r>
          </w:p>
        </w:tc>
      </w:tr>
      <w:tr w:rsidR="00041655" w:rsidRPr="00191478" w14:paraId="34A4F5B5" w14:textId="77777777" w:rsidTr="00F33AA3">
        <w:trPr>
          <w:trHeight w:val="290"/>
        </w:trPr>
        <w:tc>
          <w:tcPr>
            <w:tcW w:w="14322" w:type="dxa"/>
            <w:gridSpan w:val="3"/>
            <w:tcBorders>
              <w:top w:val="single" w:sz="6" w:space="0" w:color="FFFFFF"/>
              <w:left w:val="nil"/>
              <w:right w:val="nil"/>
            </w:tcBorders>
            <w:shd w:val="clear" w:color="auto" w:fill="F89B64"/>
          </w:tcPr>
          <w:p w14:paraId="3321D995" w14:textId="77777777" w:rsidR="00041655" w:rsidRPr="00191478" w:rsidRDefault="00041655" w:rsidP="00F33AA3">
            <w:pPr>
              <w:pStyle w:val="TableParagraph"/>
              <w:spacing w:before="34"/>
              <w:ind w:left="5522" w:right="5521"/>
              <w:jc w:val="center"/>
              <w:rPr>
                <w:rFonts w:asciiTheme="minorHAnsi" w:hAnsiTheme="minorHAnsi"/>
                <w:sz w:val="19"/>
              </w:rPr>
            </w:pPr>
            <w:r w:rsidRPr="00191478">
              <w:rPr>
                <w:rFonts w:asciiTheme="minorHAnsi" w:hAnsiTheme="minorHAnsi"/>
                <w:sz w:val="19"/>
              </w:rPr>
              <w:t>Access to study options</w:t>
            </w:r>
          </w:p>
        </w:tc>
      </w:tr>
      <w:tr w:rsidR="00041655" w:rsidRPr="00191478" w14:paraId="7F75C3F8" w14:textId="77777777" w:rsidTr="00F33AA3">
        <w:trPr>
          <w:trHeight w:val="7561"/>
        </w:trPr>
        <w:tc>
          <w:tcPr>
            <w:tcW w:w="4100" w:type="dxa"/>
            <w:tcBorders>
              <w:left w:val="nil"/>
              <w:bottom w:val="nil"/>
            </w:tcBorders>
            <w:shd w:val="clear" w:color="auto" w:fill="ECEFF1"/>
          </w:tcPr>
          <w:p w14:paraId="3772ECA8" w14:textId="77777777" w:rsidR="00041655" w:rsidRPr="00191478" w:rsidRDefault="00041655" w:rsidP="00F33AA3">
            <w:pPr>
              <w:pStyle w:val="TableParagraph"/>
              <w:spacing w:before="44" w:line="235" w:lineRule="auto"/>
              <w:ind w:left="80" w:right="682"/>
              <w:rPr>
                <w:rFonts w:asciiTheme="minorHAnsi" w:hAnsiTheme="minorHAnsi"/>
                <w:sz w:val="19"/>
              </w:rPr>
            </w:pPr>
            <w:r w:rsidRPr="00191478">
              <w:rPr>
                <w:rStyle w:val="Strong"/>
                <w:rFonts w:asciiTheme="minorHAnsi" w:hAnsiTheme="minorHAnsi"/>
                <w:color w:val="auto"/>
                <w:sz w:val="22"/>
              </w:rPr>
              <w:t>KEY FINDING 1</w:t>
            </w:r>
            <w:r w:rsidRPr="00191478">
              <w:rPr>
                <w:rFonts w:asciiTheme="minorHAnsi" w:hAnsiTheme="minorHAnsi"/>
                <w:sz w:val="19"/>
              </w:rPr>
              <w:t>: There is limited scope to raise participation and attainment rates within the current capped system for allocation of Commonwealth funded university places.</w:t>
            </w:r>
          </w:p>
          <w:p w14:paraId="4EEDC2F2" w14:textId="77777777" w:rsidR="00041655" w:rsidRPr="00191478" w:rsidRDefault="00041655" w:rsidP="00F33AA3">
            <w:pPr>
              <w:pStyle w:val="TableParagraph"/>
              <w:spacing w:before="169" w:line="235" w:lineRule="auto"/>
              <w:ind w:left="80" w:right="196"/>
              <w:rPr>
                <w:rFonts w:asciiTheme="minorHAnsi" w:hAnsiTheme="minorHAnsi"/>
                <w:sz w:val="19"/>
              </w:rPr>
            </w:pPr>
            <w:r w:rsidRPr="00191478">
              <w:rPr>
                <w:rStyle w:val="Strong"/>
                <w:rFonts w:asciiTheme="minorHAnsi" w:hAnsiTheme="minorHAnsi"/>
                <w:color w:val="auto"/>
                <w:sz w:val="22"/>
              </w:rPr>
              <w:t>KEY FINDING 2:</w:t>
            </w:r>
            <w:r w:rsidRPr="00191478">
              <w:rPr>
                <w:rFonts w:asciiTheme="minorHAnsi" w:hAnsiTheme="minorHAnsi"/>
                <w:sz w:val="19"/>
              </w:rPr>
              <w:t xml:space="preserve"> </w:t>
            </w:r>
            <w:r w:rsidRPr="00191478">
              <w:rPr>
                <w:rFonts w:asciiTheme="minorHAnsi" w:hAnsiTheme="minorHAnsi"/>
                <w:spacing w:val="3"/>
                <w:sz w:val="19"/>
              </w:rPr>
              <w:t xml:space="preserve">There </w:t>
            </w:r>
            <w:r w:rsidRPr="00191478">
              <w:rPr>
                <w:rFonts w:asciiTheme="minorHAnsi" w:hAnsiTheme="minorHAnsi"/>
                <w:sz w:val="19"/>
              </w:rPr>
              <w:t xml:space="preserve">is </w:t>
            </w:r>
            <w:r w:rsidRPr="00191478">
              <w:rPr>
                <w:rFonts w:asciiTheme="minorHAnsi" w:hAnsiTheme="minorHAnsi"/>
                <w:spacing w:val="2"/>
                <w:sz w:val="19"/>
              </w:rPr>
              <w:t xml:space="preserve">potential </w:t>
            </w:r>
            <w:r w:rsidRPr="00191478">
              <w:rPr>
                <w:rFonts w:asciiTheme="minorHAnsi" w:hAnsiTheme="minorHAnsi"/>
                <w:sz w:val="19"/>
              </w:rPr>
              <w:t xml:space="preserve">to </w:t>
            </w:r>
            <w:r w:rsidRPr="00191478">
              <w:rPr>
                <w:rFonts w:asciiTheme="minorHAnsi" w:hAnsiTheme="minorHAnsi"/>
                <w:spacing w:val="2"/>
                <w:sz w:val="19"/>
              </w:rPr>
              <w:t xml:space="preserve">improve the </w:t>
            </w:r>
            <w:r w:rsidRPr="00191478">
              <w:rPr>
                <w:rFonts w:asciiTheme="minorHAnsi" w:hAnsiTheme="minorHAnsi"/>
                <w:spacing w:val="3"/>
                <w:sz w:val="19"/>
              </w:rPr>
              <w:t xml:space="preserve">range </w:t>
            </w:r>
            <w:r w:rsidRPr="00191478">
              <w:rPr>
                <w:rFonts w:asciiTheme="minorHAnsi" w:hAnsiTheme="minorHAnsi"/>
                <w:sz w:val="19"/>
              </w:rPr>
              <w:t xml:space="preserve">of </w:t>
            </w:r>
            <w:r w:rsidRPr="00191478">
              <w:rPr>
                <w:rFonts w:asciiTheme="minorHAnsi" w:hAnsiTheme="minorHAnsi"/>
                <w:spacing w:val="2"/>
                <w:sz w:val="19"/>
              </w:rPr>
              <w:t xml:space="preserve">study options </w:t>
            </w:r>
            <w:r w:rsidRPr="00191478">
              <w:rPr>
                <w:rFonts w:asciiTheme="minorHAnsi" w:hAnsiTheme="minorHAnsi"/>
                <w:spacing w:val="3"/>
                <w:sz w:val="19"/>
              </w:rPr>
              <w:t xml:space="preserve">available </w:t>
            </w:r>
            <w:r w:rsidRPr="00191478">
              <w:rPr>
                <w:rFonts w:asciiTheme="minorHAnsi" w:hAnsiTheme="minorHAnsi"/>
                <w:sz w:val="19"/>
              </w:rPr>
              <w:t xml:space="preserve">to </w:t>
            </w:r>
            <w:r w:rsidRPr="00191478">
              <w:rPr>
                <w:rFonts w:asciiTheme="minorHAnsi" w:hAnsiTheme="minorHAnsi"/>
                <w:spacing w:val="2"/>
                <w:sz w:val="19"/>
              </w:rPr>
              <w:t xml:space="preserve">students </w:t>
            </w:r>
            <w:r w:rsidRPr="00191478">
              <w:rPr>
                <w:rFonts w:asciiTheme="minorHAnsi" w:hAnsiTheme="minorHAnsi"/>
                <w:sz w:val="19"/>
              </w:rPr>
              <w:t xml:space="preserve">by </w:t>
            </w:r>
            <w:r w:rsidRPr="00191478">
              <w:rPr>
                <w:rFonts w:asciiTheme="minorHAnsi" w:hAnsiTheme="minorHAnsi"/>
                <w:spacing w:val="3"/>
                <w:sz w:val="19"/>
              </w:rPr>
              <w:t xml:space="preserve">expanding access </w:t>
            </w:r>
            <w:r w:rsidRPr="00191478">
              <w:rPr>
                <w:rFonts w:asciiTheme="minorHAnsi" w:hAnsiTheme="minorHAnsi"/>
                <w:sz w:val="19"/>
              </w:rPr>
              <w:t xml:space="preserve">to </w:t>
            </w:r>
            <w:r w:rsidRPr="00191478">
              <w:rPr>
                <w:rFonts w:asciiTheme="minorHAnsi" w:hAnsiTheme="minorHAnsi"/>
                <w:spacing w:val="3"/>
                <w:sz w:val="19"/>
              </w:rPr>
              <w:t xml:space="preserve">Regional Study </w:t>
            </w:r>
            <w:r w:rsidRPr="00191478">
              <w:rPr>
                <w:rFonts w:asciiTheme="minorHAnsi" w:hAnsiTheme="minorHAnsi"/>
                <w:spacing w:val="2"/>
                <w:sz w:val="19"/>
              </w:rPr>
              <w:t xml:space="preserve">Hubs </w:t>
            </w:r>
            <w:r w:rsidRPr="00191478">
              <w:rPr>
                <w:rFonts w:asciiTheme="minorHAnsi" w:hAnsiTheme="minorHAnsi"/>
                <w:spacing w:val="3"/>
                <w:sz w:val="19"/>
              </w:rPr>
              <w:t xml:space="preserve">and developing </w:t>
            </w:r>
            <w:r w:rsidRPr="00191478">
              <w:rPr>
                <w:rFonts w:asciiTheme="minorHAnsi" w:hAnsiTheme="minorHAnsi"/>
                <w:spacing w:val="2"/>
                <w:sz w:val="19"/>
              </w:rPr>
              <w:t xml:space="preserve">new </w:t>
            </w:r>
            <w:r w:rsidRPr="00191478">
              <w:rPr>
                <w:rFonts w:asciiTheme="minorHAnsi" w:hAnsiTheme="minorHAnsi"/>
                <w:spacing w:val="3"/>
                <w:sz w:val="19"/>
              </w:rPr>
              <w:t xml:space="preserve">higher education offerings </w:t>
            </w:r>
            <w:r w:rsidRPr="00191478">
              <w:rPr>
                <w:rFonts w:asciiTheme="minorHAnsi" w:hAnsiTheme="minorHAnsi"/>
                <w:sz w:val="19"/>
              </w:rPr>
              <w:t xml:space="preserve">that </w:t>
            </w:r>
            <w:r w:rsidRPr="00191478">
              <w:rPr>
                <w:rFonts w:asciiTheme="minorHAnsi" w:hAnsiTheme="minorHAnsi"/>
                <w:spacing w:val="3"/>
                <w:sz w:val="19"/>
              </w:rPr>
              <w:t xml:space="preserve">bridge </w:t>
            </w:r>
            <w:r w:rsidRPr="00191478">
              <w:rPr>
                <w:rFonts w:asciiTheme="minorHAnsi" w:hAnsiTheme="minorHAnsi"/>
                <w:spacing w:val="2"/>
                <w:sz w:val="19"/>
              </w:rPr>
              <w:t xml:space="preserve">the </w:t>
            </w:r>
            <w:r w:rsidRPr="00191478">
              <w:rPr>
                <w:rFonts w:asciiTheme="minorHAnsi" w:hAnsiTheme="minorHAnsi"/>
                <w:spacing w:val="3"/>
                <w:sz w:val="19"/>
              </w:rPr>
              <w:t xml:space="preserve">gap between </w:t>
            </w:r>
            <w:r w:rsidRPr="00191478">
              <w:rPr>
                <w:rFonts w:asciiTheme="minorHAnsi" w:hAnsiTheme="minorHAnsi"/>
                <w:spacing w:val="4"/>
                <w:sz w:val="19"/>
              </w:rPr>
              <w:t xml:space="preserve">VET </w:t>
            </w:r>
            <w:r w:rsidRPr="00191478">
              <w:rPr>
                <w:rFonts w:asciiTheme="minorHAnsi" w:hAnsiTheme="minorHAnsi"/>
                <w:spacing w:val="3"/>
                <w:sz w:val="19"/>
              </w:rPr>
              <w:t>and</w:t>
            </w:r>
            <w:r w:rsidRPr="00191478">
              <w:rPr>
                <w:rFonts w:asciiTheme="minorHAnsi" w:hAnsiTheme="minorHAnsi"/>
                <w:spacing w:val="9"/>
                <w:sz w:val="19"/>
              </w:rPr>
              <w:t xml:space="preserve"> </w:t>
            </w:r>
            <w:r w:rsidRPr="00191478">
              <w:rPr>
                <w:rFonts w:asciiTheme="minorHAnsi" w:hAnsiTheme="minorHAnsi"/>
                <w:spacing w:val="2"/>
                <w:sz w:val="19"/>
              </w:rPr>
              <w:t>university.</w:t>
            </w:r>
          </w:p>
          <w:p w14:paraId="125C968F" w14:textId="77777777" w:rsidR="00041655" w:rsidRPr="00191478" w:rsidRDefault="00041655" w:rsidP="00F33AA3">
            <w:pPr>
              <w:pStyle w:val="TableParagraph"/>
              <w:spacing w:before="170" w:line="235" w:lineRule="auto"/>
              <w:ind w:left="80" w:right="464"/>
              <w:rPr>
                <w:rFonts w:asciiTheme="minorHAnsi" w:hAnsiTheme="minorHAnsi"/>
                <w:sz w:val="19"/>
              </w:rPr>
            </w:pPr>
            <w:r w:rsidRPr="00191478">
              <w:rPr>
                <w:rStyle w:val="Strong"/>
                <w:rFonts w:asciiTheme="minorHAnsi" w:hAnsiTheme="minorHAnsi"/>
                <w:color w:val="auto"/>
                <w:sz w:val="22"/>
              </w:rPr>
              <w:t>KEY FINDING 3:</w:t>
            </w:r>
            <w:r w:rsidRPr="00191478">
              <w:rPr>
                <w:rFonts w:asciiTheme="minorHAnsi" w:hAnsiTheme="minorHAnsi"/>
                <w:sz w:val="19"/>
              </w:rPr>
              <w:t xml:space="preserve"> Access to 21</w:t>
            </w:r>
            <w:r w:rsidRPr="00191478">
              <w:rPr>
                <w:rFonts w:asciiTheme="minorHAnsi" w:hAnsiTheme="minorHAnsi"/>
                <w:position w:val="6"/>
                <w:sz w:val="11"/>
              </w:rPr>
              <w:t xml:space="preserve">st </w:t>
            </w:r>
            <w:r w:rsidRPr="00191478">
              <w:rPr>
                <w:rFonts w:asciiTheme="minorHAnsi" w:hAnsiTheme="minorHAnsi"/>
                <w:sz w:val="19"/>
              </w:rPr>
              <w:t>century internet is crucial to improving educational opportunities and outcomes for students, particularly in rural and remote locations where issues with affordable access and reliability are frequently experienced.</w:t>
            </w:r>
          </w:p>
          <w:p w14:paraId="05089ADC" w14:textId="77777777" w:rsidR="00041655" w:rsidRPr="00191478" w:rsidRDefault="00041655" w:rsidP="00F33AA3">
            <w:pPr>
              <w:pStyle w:val="TableParagraph"/>
              <w:spacing w:before="169" w:line="235" w:lineRule="auto"/>
              <w:ind w:left="80"/>
              <w:rPr>
                <w:rFonts w:asciiTheme="minorHAnsi" w:hAnsiTheme="minorHAnsi"/>
                <w:sz w:val="19"/>
              </w:rPr>
            </w:pPr>
            <w:r w:rsidRPr="00191478">
              <w:rPr>
                <w:rStyle w:val="Strong"/>
                <w:rFonts w:asciiTheme="minorHAnsi" w:hAnsiTheme="minorHAnsi"/>
                <w:color w:val="auto"/>
                <w:sz w:val="22"/>
              </w:rPr>
              <w:t>KEY FINDING 4:</w:t>
            </w:r>
            <w:r w:rsidRPr="00191478">
              <w:rPr>
                <w:rFonts w:asciiTheme="minorHAnsi" w:hAnsiTheme="minorHAnsi"/>
                <w:sz w:val="19"/>
              </w:rPr>
              <w:t xml:space="preserve"> There are issues with articulation and recognition of prior learning between VET and higher education, which disproportionately affect RRR students.</w:t>
            </w:r>
          </w:p>
          <w:p w14:paraId="36299229" w14:textId="77777777" w:rsidR="00041655" w:rsidRPr="00191478" w:rsidRDefault="00041655" w:rsidP="00F33AA3">
            <w:pPr>
              <w:pStyle w:val="TableParagraph"/>
              <w:spacing w:before="169" w:line="235" w:lineRule="auto"/>
              <w:ind w:left="80" w:right="196"/>
              <w:rPr>
                <w:rFonts w:asciiTheme="minorHAnsi" w:hAnsiTheme="minorHAnsi"/>
                <w:sz w:val="19"/>
              </w:rPr>
            </w:pPr>
            <w:r w:rsidRPr="00191478">
              <w:rPr>
                <w:rStyle w:val="Strong"/>
                <w:rFonts w:asciiTheme="minorHAnsi" w:hAnsiTheme="minorHAnsi"/>
                <w:color w:val="auto"/>
                <w:sz w:val="22"/>
              </w:rPr>
              <w:t>KEY FINDING 5:</w:t>
            </w:r>
            <w:r w:rsidRPr="00191478">
              <w:rPr>
                <w:rFonts w:asciiTheme="minorHAnsi" w:hAnsiTheme="minorHAnsi"/>
                <w:sz w:val="19"/>
              </w:rPr>
              <w:t xml:space="preserve"> VET plays an important role in meeting the needs of RRR areas, but there are issues with declining levels of service provision in some areas and inconsistent regulations between jurisdictions that need to be addressed.</w:t>
            </w:r>
          </w:p>
        </w:tc>
        <w:tc>
          <w:tcPr>
            <w:tcW w:w="2702" w:type="dxa"/>
            <w:tcBorders>
              <w:bottom w:val="nil"/>
            </w:tcBorders>
            <w:shd w:val="clear" w:color="auto" w:fill="ECEFF1"/>
          </w:tcPr>
          <w:p w14:paraId="73D8F71F" w14:textId="77777777" w:rsidR="00041655" w:rsidRPr="00191478" w:rsidRDefault="00041655" w:rsidP="00F33AA3">
            <w:pPr>
              <w:pStyle w:val="TableParagraph"/>
              <w:spacing w:before="43"/>
              <w:ind w:left="75"/>
              <w:rPr>
                <w:rStyle w:val="Strong"/>
                <w:rFonts w:asciiTheme="minorHAnsi" w:hAnsiTheme="minorHAnsi"/>
                <w:color w:val="auto"/>
                <w:sz w:val="22"/>
              </w:rPr>
            </w:pPr>
            <w:r w:rsidRPr="00191478">
              <w:rPr>
                <w:rStyle w:val="Strong"/>
                <w:rFonts w:asciiTheme="minorHAnsi" w:hAnsiTheme="minorHAnsi"/>
                <w:color w:val="auto"/>
                <w:sz w:val="22"/>
              </w:rPr>
              <w:t>Recommendation one</w:t>
            </w:r>
          </w:p>
          <w:p w14:paraId="658D645C" w14:textId="77777777" w:rsidR="00041655" w:rsidRPr="00191478" w:rsidRDefault="00041655" w:rsidP="00F33AA3">
            <w:pPr>
              <w:pStyle w:val="TableParagraph"/>
              <w:spacing w:before="55" w:line="235" w:lineRule="auto"/>
              <w:ind w:left="75" w:right="101"/>
              <w:rPr>
                <w:rFonts w:asciiTheme="minorHAnsi" w:hAnsiTheme="minorHAnsi"/>
                <w:sz w:val="19"/>
              </w:rPr>
            </w:pPr>
            <w:r w:rsidRPr="00191478">
              <w:rPr>
                <w:rFonts w:asciiTheme="minorHAnsi" w:hAnsiTheme="minorHAnsi"/>
                <w:sz w:val="19"/>
              </w:rPr>
              <w:t>Improve access to tertiary study options for students in RRR areas by:</w:t>
            </w:r>
          </w:p>
          <w:p w14:paraId="7C500040" w14:textId="77777777" w:rsidR="00041655" w:rsidRPr="00191478" w:rsidRDefault="00041655" w:rsidP="00041655">
            <w:pPr>
              <w:pStyle w:val="TableParagraph"/>
              <w:numPr>
                <w:ilvl w:val="0"/>
                <w:numId w:val="43"/>
              </w:numPr>
              <w:tabs>
                <w:tab w:val="left" w:pos="359"/>
              </w:tabs>
              <w:spacing w:before="57" w:line="235" w:lineRule="auto"/>
              <w:ind w:right="200" w:hanging="283"/>
              <w:rPr>
                <w:rFonts w:asciiTheme="minorHAnsi" w:hAnsiTheme="minorHAnsi"/>
                <w:sz w:val="19"/>
              </w:rPr>
            </w:pPr>
            <w:r w:rsidRPr="00191478">
              <w:rPr>
                <w:rFonts w:asciiTheme="minorHAnsi" w:hAnsiTheme="minorHAnsi"/>
                <w:spacing w:val="3"/>
                <w:sz w:val="19"/>
              </w:rPr>
              <w:t xml:space="preserve">providing demand-driven funding </w:t>
            </w:r>
            <w:r w:rsidRPr="00191478">
              <w:rPr>
                <w:rFonts w:asciiTheme="minorHAnsi" w:hAnsiTheme="minorHAnsi"/>
                <w:spacing w:val="2"/>
                <w:sz w:val="19"/>
              </w:rPr>
              <w:t xml:space="preserve">for </w:t>
            </w:r>
            <w:r w:rsidRPr="00191478">
              <w:rPr>
                <w:rFonts w:asciiTheme="minorHAnsi" w:hAnsiTheme="minorHAnsi"/>
                <w:spacing w:val="3"/>
                <w:sz w:val="19"/>
              </w:rPr>
              <w:t xml:space="preserve">university places </w:t>
            </w:r>
            <w:r w:rsidRPr="00191478">
              <w:rPr>
                <w:rFonts w:asciiTheme="minorHAnsi" w:hAnsiTheme="minorHAnsi"/>
                <w:sz w:val="19"/>
              </w:rPr>
              <w:t xml:space="preserve">in </w:t>
            </w:r>
            <w:r w:rsidRPr="00191478">
              <w:rPr>
                <w:rFonts w:asciiTheme="minorHAnsi" w:hAnsiTheme="minorHAnsi"/>
                <w:spacing w:val="3"/>
                <w:sz w:val="19"/>
              </w:rPr>
              <w:t>regional</w:t>
            </w:r>
            <w:r w:rsidRPr="00191478">
              <w:rPr>
                <w:rFonts w:asciiTheme="minorHAnsi" w:hAnsiTheme="minorHAnsi"/>
                <w:spacing w:val="17"/>
                <w:sz w:val="19"/>
              </w:rPr>
              <w:t xml:space="preserve"> </w:t>
            </w:r>
            <w:r w:rsidRPr="00191478">
              <w:rPr>
                <w:rFonts w:asciiTheme="minorHAnsi" w:hAnsiTheme="minorHAnsi"/>
                <w:spacing w:val="3"/>
                <w:sz w:val="19"/>
              </w:rPr>
              <w:t>areas</w:t>
            </w:r>
          </w:p>
          <w:p w14:paraId="2426877F" w14:textId="77777777" w:rsidR="00041655" w:rsidRPr="00191478" w:rsidRDefault="00041655" w:rsidP="00041655">
            <w:pPr>
              <w:pStyle w:val="TableParagraph"/>
              <w:numPr>
                <w:ilvl w:val="0"/>
                <w:numId w:val="43"/>
              </w:numPr>
              <w:tabs>
                <w:tab w:val="left" w:pos="359"/>
              </w:tabs>
              <w:spacing w:before="57" w:line="235" w:lineRule="auto"/>
              <w:ind w:right="295" w:hanging="283"/>
              <w:rPr>
                <w:rFonts w:asciiTheme="minorHAnsi" w:hAnsiTheme="minorHAnsi"/>
                <w:sz w:val="19"/>
              </w:rPr>
            </w:pPr>
            <w:r w:rsidRPr="00191478">
              <w:rPr>
                <w:rFonts w:asciiTheme="minorHAnsi" w:hAnsiTheme="minorHAnsi"/>
                <w:spacing w:val="3"/>
                <w:sz w:val="19"/>
              </w:rPr>
              <w:t xml:space="preserve">exploring </w:t>
            </w:r>
            <w:r w:rsidRPr="00191478">
              <w:rPr>
                <w:rFonts w:asciiTheme="minorHAnsi" w:hAnsiTheme="minorHAnsi"/>
                <w:spacing w:val="2"/>
                <w:sz w:val="19"/>
              </w:rPr>
              <w:t xml:space="preserve">new </w:t>
            </w:r>
            <w:r w:rsidRPr="00191478">
              <w:rPr>
                <w:rFonts w:asciiTheme="minorHAnsi" w:hAnsiTheme="minorHAnsi"/>
                <w:spacing w:val="3"/>
                <w:sz w:val="19"/>
              </w:rPr>
              <w:t xml:space="preserve">higher education </w:t>
            </w:r>
            <w:r w:rsidRPr="00191478">
              <w:rPr>
                <w:rFonts w:asciiTheme="minorHAnsi" w:hAnsiTheme="minorHAnsi"/>
                <w:spacing w:val="4"/>
                <w:sz w:val="19"/>
              </w:rPr>
              <w:t xml:space="preserve">offerings </w:t>
            </w:r>
            <w:r w:rsidRPr="00191478">
              <w:rPr>
                <w:rFonts w:asciiTheme="minorHAnsi" w:hAnsiTheme="minorHAnsi"/>
                <w:spacing w:val="3"/>
                <w:sz w:val="19"/>
              </w:rPr>
              <w:t xml:space="preserve">focused </w:t>
            </w:r>
            <w:r w:rsidRPr="00191478">
              <w:rPr>
                <w:rFonts w:asciiTheme="minorHAnsi" w:hAnsiTheme="minorHAnsi"/>
                <w:sz w:val="19"/>
              </w:rPr>
              <w:t xml:space="preserve">on </w:t>
            </w:r>
            <w:r w:rsidRPr="00191478">
              <w:rPr>
                <w:rFonts w:asciiTheme="minorHAnsi" w:hAnsiTheme="minorHAnsi"/>
                <w:spacing w:val="3"/>
                <w:sz w:val="19"/>
              </w:rPr>
              <w:t>professional skills</w:t>
            </w:r>
            <w:r w:rsidRPr="00191478">
              <w:rPr>
                <w:rFonts w:asciiTheme="minorHAnsi" w:hAnsiTheme="minorHAnsi"/>
                <w:spacing w:val="5"/>
                <w:sz w:val="19"/>
              </w:rPr>
              <w:t xml:space="preserve"> </w:t>
            </w:r>
            <w:r w:rsidRPr="00191478">
              <w:rPr>
                <w:rFonts w:asciiTheme="minorHAnsi" w:hAnsiTheme="minorHAnsi"/>
                <w:spacing w:val="3"/>
                <w:sz w:val="19"/>
              </w:rPr>
              <w:t>development</w:t>
            </w:r>
          </w:p>
          <w:p w14:paraId="7528CA81" w14:textId="77777777" w:rsidR="00041655" w:rsidRPr="00191478" w:rsidRDefault="00041655" w:rsidP="00041655">
            <w:pPr>
              <w:pStyle w:val="TableParagraph"/>
              <w:numPr>
                <w:ilvl w:val="0"/>
                <w:numId w:val="43"/>
              </w:numPr>
              <w:tabs>
                <w:tab w:val="left" w:pos="359"/>
              </w:tabs>
              <w:spacing w:before="57" w:line="235" w:lineRule="auto"/>
              <w:ind w:right="533" w:hanging="283"/>
              <w:rPr>
                <w:rFonts w:asciiTheme="minorHAnsi" w:hAnsiTheme="minorHAnsi"/>
                <w:sz w:val="19"/>
              </w:rPr>
            </w:pPr>
            <w:r w:rsidRPr="00191478">
              <w:rPr>
                <w:rFonts w:asciiTheme="minorHAnsi" w:hAnsiTheme="minorHAnsi"/>
                <w:spacing w:val="3"/>
                <w:sz w:val="19"/>
              </w:rPr>
              <w:t xml:space="preserve">expanding access </w:t>
            </w:r>
            <w:r w:rsidRPr="00191478">
              <w:rPr>
                <w:rFonts w:asciiTheme="minorHAnsi" w:hAnsiTheme="minorHAnsi"/>
                <w:sz w:val="19"/>
              </w:rPr>
              <w:t xml:space="preserve">to </w:t>
            </w:r>
            <w:r w:rsidRPr="00191478">
              <w:rPr>
                <w:rFonts w:asciiTheme="minorHAnsi" w:hAnsiTheme="minorHAnsi"/>
                <w:spacing w:val="3"/>
                <w:sz w:val="19"/>
              </w:rPr>
              <w:t>Regional Study</w:t>
            </w:r>
            <w:r w:rsidRPr="00191478">
              <w:rPr>
                <w:rFonts w:asciiTheme="minorHAnsi" w:hAnsiTheme="minorHAnsi"/>
                <w:spacing w:val="14"/>
                <w:sz w:val="19"/>
              </w:rPr>
              <w:t xml:space="preserve"> </w:t>
            </w:r>
            <w:r w:rsidRPr="00191478">
              <w:rPr>
                <w:rFonts w:asciiTheme="minorHAnsi" w:hAnsiTheme="minorHAnsi"/>
                <w:spacing w:val="2"/>
                <w:sz w:val="19"/>
              </w:rPr>
              <w:t>Hubs</w:t>
            </w:r>
          </w:p>
          <w:p w14:paraId="38EDBFFC" w14:textId="77777777" w:rsidR="00041655" w:rsidRPr="00191478" w:rsidRDefault="00041655" w:rsidP="00041655">
            <w:pPr>
              <w:pStyle w:val="TableParagraph"/>
              <w:numPr>
                <w:ilvl w:val="0"/>
                <w:numId w:val="43"/>
              </w:numPr>
              <w:tabs>
                <w:tab w:val="left" w:pos="359"/>
              </w:tabs>
              <w:spacing w:before="57" w:line="235" w:lineRule="auto"/>
              <w:ind w:right="291" w:hanging="283"/>
              <w:rPr>
                <w:rFonts w:asciiTheme="minorHAnsi" w:hAnsiTheme="minorHAnsi"/>
                <w:sz w:val="19"/>
              </w:rPr>
            </w:pPr>
            <w:r w:rsidRPr="00191478">
              <w:rPr>
                <w:rFonts w:asciiTheme="minorHAnsi" w:hAnsiTheme="minorHAnsi"/>
                <w:spacing w:val="3"/>
                <w:sz w:val="19"/>
              </w:rPr>
              <w:t xml:space="preserve">addressing problems </w:t>
            </w:r>
            <w:r w:rsidRPr="00191478">
              <w:rPr>
                <w:rFonts w:asciiTheme="minorHAnsi" w:hAnsiTheme="minorHAnsi"/>
                <w:spacing w:val="2"/>
                <w:sz w:val="19"/>
              </w:rPr>
              <w:t xml:space="preserve">with </w:t>
            </w:r>
            <w:r w:rsidRPr="00191478">
              <w:rPr>
                <w:rFonts w:asciiTheme="minorHAnsi" w:hAnsiTheme="minorHAnsi"/>
                <w:spacing w:val="3"/>
                <w:sz w:val="19"/>
              </w:rPr>
              <w:t xml:space="preserve">student access </w:t>
            </w:r>
            <w:r w:rsidRPr="00191478">
              <w:rPr>
                <w:rFonts w:asciiTheme="minorHAnsi" w:hAnsiTheme="minorHAnsi"/>
                <w:sz w:val="19"/>
              </w:rPr>
              <w:t xml:space="preserve">to </w:t>
            </w:r>
            <w:r w:rsidRPr="00191478">
              <w:rPr>
                <w:rFonts w:asciiTheme="minorHAnsi" w:hAnsiTheme="minorHAnsi"/>
                <w:spacing w:val="3"/>
                <w:sz w:val="19"/>
              </w:rPr>
              <w:t xml:space="preserve">affordable, reliable, </w:t>
            </w:r>
            <w:r w:rsidRPr="00191478">
              <w:rPr>
                <w:rFonts w:asciiTheme="minorHAnsi" w:hAnsiTheme="minorHAnsi"/>
                <w:spacing w:val="4"/>
                <w:sz w:val="19"/>
              </w:rPr>
              <w:t xml:space="preserve">high </w:t>
            </w:r>
            <w:r w:rsidRPr="00191478">
              <w:rPr>
                <w:rFonts w:asciiTheme="minorHAnsi" w:hAnsiTheme="minorHAnsi"/>
                <w:spacing w:val="3"/>
                <w:sz w:val="19"/>
              </w:rPr>
              <w:t xml:space="preserve">speed internet </w:t>
            </w:r>
            <w:r w:rsidRPr="00191478">
              <w:rPr>
                <w:rFonts w:asciiTheme="minorHAnsi" w:hAnsiTheme="minorHAnsi"/>
                <w:spacing w:val="4"/>
                <w:sz w:val="19"/>
              </w:rPr>
              <w:t>services, and</w:t>
            </w:r>
          </w:p>
          <w:p w14:paraId="13EAE99C" w14:textId="77777777" w:rsidR="00041655" w:rsidRPr="00191478" w:rsidRDefault="00041655" w:rsidP="00041655">
            <w:pPr>
              <w:pStyle w:val="TableParagraph"/>
              <w:numPr>
                <w:ilvl w:val="0"/>
                <w:numId w:val="43"/>
              </w:numPr>
              <w:tabs>
                <w:tab w:val="left" w:pos="359"/>
              </w:tabs>
              <w:spacing w:before="57" w:line="235" w:lineRule="auto"/>
              <w:ind w:right="205" w:hanging="283"/>
              <w:rPr>
                <w:rFonts w:asciiTheme="minorHAnsi" w:hAnsiTheme="minorHAnsi"/>
                <w:sz w:val="19"/>
              </w:rPr>
            </w:pPr>
            <w:r w:rsidRPr="00191478">
              <w:rPr>
                <w:rFonts w:asciiTheme="minorHAnsi" w:hAnsiTheme="minorHAnsi"/>
                <w:spacing w:val="3"/>
                <w:sz w:val="19"/>
              </w:rPr>
              <w:t xml:space="preserve">improving access </w:t>
            </w:r>
            <w:r w:rsidRPr="00191478">
              <w:rPr>
                <w:rFonts w:asciiTheme="minorHAnsi" w:hAnsiTheme="minorHAnsi"/>
                <w:sz w:val="19"/>
              </w:rPr>
              <w:t xml:space="preserve">to </w:t>
            </w:r>
            <w:r w:rsidRPr="00191478">
              <w:rPr>
                <w:rFonts w:asciiTheme="minorHAnsi" w:hAnsiTheme="minorHAnsi"/>
                <w:spacing w:val="3"/>
                <w:sz w:val="19"/>
              </w:rPr>
              <w:t xml:space="preserve">high quality </w:t>
            </w:r>
            <w:r w:rsidRPr="00191478">
              <w:rPr>
                <w:rFonts w:asciiTheme="minorHAnsi" w:hAnsiTheme="minorHAnsi"/>
                <w:spacing w:val="4"/>
                <w:sz w:val="19"/>
              </w:rPr>
              <w:t xml:space="preserve">VET </w:t>
            </w:r>
            <w:r w:rsidRPr="00191478">
              <w:rPr>
                <w:rFonts w:asciiTheme="minorHAnsi" w:hAnsiTheme="minorHAnsi"/>
                <w:spacing w:val="3"/>
                <w:sz w:val="19"/>
              </w:rPr>
              <w:t xml:space="preserve">programs </w:t>
            </w:r>
            <w:r w:rsidRPr="00191478">
              <w:rPr>
                <w:rFonts w:asciiTheme="minorHAnsi" w:hAnsiTheme="minorHAnsi"/>
                <w:sz w:val="19"/>
              </w:rPr>
              <w:t xml:space="preserve">in </w:t>
            </w:r>
            <w:r w:rsidRPr="00191478">
              <w:rPr>
                <w:rFonts w:asciiTheme="minorHAnsi" w:hAnsiTheme="minorHAnsi"/>
                <w:spacing w:val="2"/>
                <w:sz w:val="19"/>
              </w:rPr>
              <w:t>RRR</w:t>
            </w:r>
            <w:r w:rsidRPr="00191478">
              <w:rPr>
                <w:rFonts w:asciiTheme="minorHAnsi" w:hAnsiTheme="minorHAnsi"/>
                <w:spacing w:val="5"/>
                <w:sz w:val="19"/>
              </w:rPr>
              <w:t xml:space="preserve"> </w:t>
            </w:r>
            <w:r w:rsidRPr="00191478">
              <w:rPr>
                <w:rFonts w:asciiTheme="minorHAnsi" w:hAnsiTheme="minorHAnsi"/>
                <w:spacing w:val="2"/>
                <w:sz w:val="19"/>
              </w:rPr>
              <w:t>areas.</w:t>
            </w:r>
          </w:p>
        </w:tc>
        <w:tc>
          <w:tcPr>
            <w:tcW w:w="7520" w:type="dxa"/>
            <w:tcBorders>
              <w:bottom w:val="nil"/>
              <w:right w:val="nil"/>
            </w:tcBorders>
            <w:shd w:val="clear" w:color="auto" w:fill="ECEFF1"/>
          </w:tcPr>
          <w:p w14:paraId="3610CEF4" w14:textId="77777777" w:rsidR="00041655" w:rsidRPr="00191478" w:rsidRDefault="00041655" w:rsidP="00041655">
            <w:pPr>
              <w:pStyle w:val="TableParagraph"/>
              <w:numPr>
                <w:ilvl w:val="0"/>
                <w:numId w:val="42"/>
              </w:numPr>
              <w:tabs>
                <w:tab w:val="left" w:pos="416"/>
              </w:tabs>
              <w:spacing w:before="44" w:line="235" w:lineRule="auto"/>
              <w:ind w:right="119" w:hanging="340"/>
              <w:rPr>
                <w:rFonts w:asciiTheme="minorHAnsi" w:hAnsiTheme="minorHAnsi"/>
                <w:sz w:val="19"/>
              </w:rPr>
            </w:pPr>
            <w:r w:rsidRPr="00191478">
              <w:rPr>
                <w:rFonts w:asciiTheme="minorHAnsi" w:hAnsiTheme="minorHAnsi"/>
                <w:spacing w:val="2"/>
                <w:sz w:val="19"/>
              </w:rPr>
              <w:t xml:space="preserve">Provide </w:t>
            </w:r>
            <w:r w:rsidRPr="00191478">
              <w:rPr>
                <w:rFonts w:asciiTheme="minorHAnsi" w:hAnsiTheme="minorHAnsi"/>
                <w:spacing w:val="3"/>
                <w:sz w:val="19"/>
              </w:rPr>
              <w:t xml:space="preserve">demand-driven funding </w:t>
            </w:r>
            <w:r w:rsidRPr="00191478">
              <w:rPr>
                <w:rFonts w:asciiTheme="minorHAnsi" w:hAnsiTheme="minorHAnsi"/>
                <w:spacing w:val="2"/>
                <w:sz w:val="19"/>
              </w:rPr>
              <w:t xml:space="preserve">for </w:t>
            </w:r>
            <w:r w:rsidRPr="00191478">
              <w:rPr>
                <w:rFonts w:asciiTheme="minorHAnsi" w:hAnsiTheme="minorHAnsi"/>
                <w:spacing w:val="3"/>
                <w:sz w:val="19"/>
              </w:rPr>
              <w:t xml:space="preserve">Commonwealth supported </w:t>
            </w:r>
            <w:r w:rsidRPr="00191478">
              <w:rPr>
                <w:rFonts w:asciiTheme="minorHAnsi" w:hAnsiTheme="minorHAnsi"/>
                <w:spacing w:val="2"/>
                <w:sz w:val="19"/>
              </w:rPr>
              <w:t xml:space="preserve">bachelor-level </w:t>
            </w:r>
            <w:r w:rsidRPr="00191478">
              <w:rPr>
                <w:rFonts w:asciiTheme="minorHAnsi" w:hAnsiTheme="minorHAnsi"/>
                <w:spacing w:val="3"/>
                <w:sz w:val="19"/>
              </w:rPr>
              <w:t>university</w:t>
            </w:r>
            <w:r w:rsidRPr="00191478">
              <w:rPr>
                <w:rFonts w:asciiTheme="minorHAnsi" w:hAnsiTheme="minorHAnsi"/>
                <w:spacing w:val="-5"/>
                <w:sz w:val="19"/>
              </w:rPr>
              <w:t xml:space="preserve"> </w:t>
            </w:r>
            <w:r w:rsidRPr="00191478">
              <w:rPr>
                <w:rFonts w:asciiTheme="minorHAnsi" w:hAnsiTheme="minorHAnsi"/>
                <w:spacing w:val="3"/>
                <w:sz w:val="19"/>
              </w:rPr>
              <w:t>places,</w:t>
            </w:r>
            <w:r w:rsidRPr="00191478">
              <w:rPr>
                <w:rFonts w:asciiTheme="minorHAnsi" w:hAnsiTheme="minorHAnsi"/>
                <w:spacing w:val="-5"/>
                <w:sz w:val="19"/>
              </w:rPr>
              <w:t xml:space="preserve"> </w:t>
            </w:r>
            <w:r w:rsidRPr="00191478">
              <w:rPr>
                <w:rFonts w:asciiTheme="minorHAnsi" w:hAnsiTheme="minorHAnsi"/>
                <w:spacing w:val="2"/>
                <w:sz w:val="19"/>
              </w:rPr>
              <w:t>excluding</w:t>
            </w:r>
            <w:r w:rsidRPr="00191478">
              <w:rPr>
                <w:rFonts w:asciiTheme="minorHAnsi" w:hAnsiTheme="minorHAnsi"/>
                <w:spacing w:val="-5"/>
                <w:sz w:val="19"/>
              </w:rPr>
              <w:t xml:space="preserve"> </w:t>
            </w:r>
            <w:r w:rsidRPr="00191478">
              <w:rPr>
                <w:rFonts w:asciiTheme="minorHAnsi" w:hAnsiTheme="minorHAnsi"/>
                <w:spacing w:val="3"/>
                <w:sz w:val="19"/>
              </w:rPr>
              <w:t>medical,</w:t>
            </w:r>
            <w:r w:rsidRPr="00191478">
              <w:rPr>
                <w:rFonts w:asciiTheme="minorHAnsi" w:hAnsiTheme="minorHAnsi"/>
                <w:spacing w:val="-5"/>
                <w:sz w:val="19"/>
              </w:rPr>
              <w:t xml:space="preserve"> </w:t>
            </w:r>
            <w:r w:rsidRPr="00191478">
              <w:rPr>
                <w:rFonts w:asciiTheme="minorHAnsi" w:hAnsiTheme="minorHAnsi"/>
                <w:spacing w:val="2"/>
                <w:sz w:val="19"/>
              </w:rPr>
              <w:t>for</w:t>
            </w:r>
            <w:r w:rsidRPr="00191478">
              <w:rPr>
                <w:rFonts w:asciiTheme="minorHAnsi" w:hAnsiTheme="minorHAnsi"/>
                <w:spacing w:val="-4"/>
                <w:sz w:val="19"/>
              </w:rPr>
              <w:t xml:space="preserve"> </w:t>
            </w:r>
            <w:r w:rsidRPr="00191478">
              <w:rPr>
                <w:rFonts w:asciiTheme="minorHAnsi" w:hAnsiTheme="minorHAnsi"/>
                <w:spacing w:val="3"/>
                <w:sz w:val="19"/>
              </w:rPr>
              <w:t>domestic</w:t>
            </w:r>
            <w:r w:rsidRPr="00191478">
              <w:rPr>
                <w:rFonts w:asciiTheme="minorHAnsi" w:hAnsiTheme="minorHAnsi"/>
                <w:spacing w:val="-5"/>
                <w:sz w:val="19"/>
              </w:rPr>
              <w:t xml:space="preserve"> </w:t>
            </w:r>
            <w:r w:rsidRPr="00191478">
              <w:rPr>
                <w:rFonts w:asciiTheme="minorHAnsi" w:hAnsiTheme="minorHAnsi"/>
                <w:spacing w:val="2"/>
                <w:sz w:val="19"/>
              </w:rPr>
              <w:t>students</w:t>
            </w:r>
            <w:r w:rsidRPr="00191478">
              <w:rPr>
                <w:rFonts w:asciiTheme="minorHAnsi" w:hAnsiTheme="minorHAnsi"/>
                <w:spacing w:val="-5"/>
                <w:sz w:val="19"/>
              </w:rPr>
              <w:t xml:space="preserve"> </w:t>
            </w:r>
            <w:r w:rsidRPr="00191478">
              <w:rPr>
                <w:rFonts w:asciiTheme="minorHAnsi" w:hAnsiTheme="minorHAnsi"/>
                <w:spacing w:val="3"/>
                <w:sz w:val="19"/>
              </w:rPr>
              <w:t>studying</w:t>
            </w:r>
            <w:r w:rsidRPr="00191478">
              <w:rPr>
                <w:rFonts w:asciiTheme="minorHAnsi" w:hAnsiTheme="minorHAnsi"/>
                <w:spacing w:val="-5"/>
                <w:sz w:val="19"/>
              </w:rPr>
              <w:t xml:space="preserve"> </w:t>
            </w:r>
            <w:r w:rsidRPr="00191478">
              <w:rPr>
                <w:rFonts w:asciiTheme="minorHAnsi" w:hAnsiTheme="minorHAnsi"/>
                <w:sz w:val="19"/>
              </w:rPr>
              <w:t>at</w:t>
            </w:r>
            <w:r w:rsidRPr="00191478">
              <w:rPr>
                <w:rFonts w:asciiTheme="minorHAnsi" w:hAnsiTheme="minorHAnsi"/>
                <w:spacing w:val="-5"/>
                <w:sz w:val="19"/>
              </w:rPr>
              <w:t xml:space="preserve"> </w:t>
            </w:r>
            <w:r w:rsidRPr="00191478">
              <w:rPr>
                <w:rFonts w:asciiTheme="minorHAnsi" w:hAnsiTheme="minorHAnsi"/>
                <w:spacing w:val="3"/>
                <w:sz w:val="19"/>
              </w:rPr>
              <w:t>regional</w:t>
            </w:r>
            <w:r w:rsidRPr="00191478">
              <w:rPr>
                <w:rFonts w:asciiTheme="minorHAnsi" w:hAnsiTheme="minorHAnsi"/>
                <w:spacing w:val="-4"/>
                <w:sz w:val="19"/>
              </w:rPr>
              <w:t xml:space="preserve"> </w:t>
            </w:r>
            <w:r w:rsidRPr="00191478">
              <w:rPr>
                <w:rFonts w:asciiTheme="minorHAnsi" w:hAnsiTheme="minorHAnsi"/>
                <w:spacing w:val="3"/>
                <w:sz w:val="19"/>
              </w:rPr>
              <w:t xml:space="preserve">and </w:t>
            </w:r>
            <w:r w:rsidRPr="00191478">
              <w:rPr>
                <w:rFonts w:asciiTheme="minorHAnsi" w:hAnsiTheme="minorHAnsi"/>
                <w:spacing w:val="2"/>
                <w:sz w:val="19"/>
              </w:rPr>
              <w:t xml:space="preserve">remote </w:t>
            </w:r>
            <w:r w:rsidRPr="00191478">
              <w:rPr>
                <w:rFonts w:asciiTheme="minorHAnsi" w:hAnsiTheme="minorHAnsi"/>
                <w:spacing w:val="3"/>
                <w:sz w:val="19"/>
              </w:rPr>
              <w:t xml:space="preserve">campuses. </w:t>
            </w:r>
            <w:r w:rsidRPr="00191478">
              <w:rPr>
                <w:rFonts w:asciiTheme="minorHAnsi" w:hAnsiTheme="minorHAnsi"/>
                <w:spacing w:val="-6"/>
                <w:sz w:val="19"/>
              </w:rPr>
              <w:t xml:space="preserve">To </w:t>
            </w:r>
            <w:r w:rsidRPr="00191478">
              <w:rPr>
                <w:rFonts w:asciiTheme="minorHAnsi" w:hAnsiTheme="minorHAnsi"/>
                <w:spacing w:val="3"/>
                <w:sz w:val="19"/>
              </w:rPr>
              <w:t xml:space="preserve">complement </w:t>
            </w:r>
            <w:r w:rsidRPr="00191478">
              <w:rPr>
                <w:rFonts w:asciiTheme="minorHAnsi" w:hAnsiTheme="minorHAnsi"/>
                <w:spacing w:val="2"/>
                <w:sz w:val="19"/>
              </w:rPr>
              <w:t xml:space="preserve">this reform, </w:t>
            </w:r>
            <w:r w:rsidRPr="00191478">
              <w:rPr>
                <w:rFonts w:asciiTheme="minorHAnsi" w:hAnsiTheme="minorHAnsi"/>
                <w:spacing w:val="3"/>
                <w:sz w:val="19"/>
              </w:rPr>
              <w:t xml:space="preserve">increase funding </w:t>
            </w:r>
            <w:r w:rsidRPr="00191478">
              <w:rPr>
                <w:rFonts w:asciiTheme="minorHAnsi" w:hAnsiTheme="minorHAnsi"/>
                <w:spacing w:val="2"/>
                <w:sz w:val="19"/>
              </w:rPr>
              <w:t xml:space="preserve">for </w:t>
            </w:r>
            <w:r w:rsidRPr="00191478">
              <w:rPr>
                <w:rFonts w:asciiTheme="minorHAnsi" w:hAnsiTheme="minorHAnsi"/>
                <w:spacing w:val="3"/>
                <w:sz w:val="19"/>
              </w:rPr>
              <w:t xml:space="preserve">enabling and sub-bachelor places </w:t>
            </w:r>
            <w:r w:rsidRPr="00191478">
              <w:rPr>
                <w:rFonts w:asciiTheme="minorHAnsi" w:hAnsiTheme="minorHAnsi"/>
                <w:sz w:val="19"/>
              </w:rPr>
              <w:t xml:space="preserve">at </w:t>
            </w:r>
            <w:r w:rsidRPr="00191478">
              <w:rPr>
                <w:rFonts w:asciiTheme="minorHAnsi" w:hAnsiTheme="minorHAnsi"/>
                <w:spacing w:val="3"/>
                <w:sz w:val="19"/>
              </w:rPr>
              <w:t xml:space="preserve">regional campuses, and </w:t>
            </w:r>
            <w:r w:rsidRPr="00191478">
              <w:rPr>
                <w:rFonts w:asciiTheme="minorHAnsi" w:hAnsiTheme="minorHAnsi"/>
                <w:spacing w:val="2"/>
                <w:sz w:val="19"/>
              </w:rPr>
              <w:t xml:space="preserve">for </w:t>
            </w:r>
            <w:r w:rsidRPr="00191478">
              <w:rPr>
                <w:rFonts w:asciiTheme="minorHAnsi" w:hAnsiTheme="minorHAnsi"/>
                <w:spacing w:val="3"/>
                <w:sz w:val="19"/>
              </w:rPr>
              <w:t xml:space="preserve">places used </w:t>
            </w:r>
            <w:r w:rsidRPr="00191478">
              <w:rPr>
                <w:rFonts w:asciiTheme="minorHAnsi" w:hAnsiTheme="minorHAnsi"/>
                <w:sz w:val="19"/>
              </w:rPr>
              <w:t xml:space="preserve">by </w:t>
            </w:r>
            <w:r w:rsidRPr="00191478">
              <w:rPr>
                <w:rFonts w:asciiTheme="minorHAnsi" w:hAnsiTheme="minorHAnsi"/>
                <w:spacing w:val="2"/>
                <w:sz w:val="19"/>
              </w:rPr>
              <w:t xml:space="preserve">students </w:t>
            </w:r>
            <w:r w:rsidRPr="00191478">
              <w:rPr>
                <w:rFonts w:asciiTheme="minorHAnsi" w:hAnsiTheme="minorHAnsi"/>
                <w:spacing w:val="3"/>
                <w:sz w:val="19"/>
              </w:rPr>
              <w:t>attending Regional Study</w:t>
            </w:r>
            <w:r w:rsidRPr="00191478">
              <w:rPr>
                <w:rFonts w:asciiTheme="minorHAnsi" w:hAnsiTheme="minorHAnsi"/>
                <w:spacing w:val="4"/>
                <w:sz w:val="19"/>
              </w:rPr>
              <w:t xml:space="preserve"> </w:t>
            </w:r>
            <w:r w:rsidRPr="00191478">
              <w:rPr>
                <w:rFonts w:asciiTheme="minorHAnsi" w:hAnsiTheme="minorHAnsi"/>
                <w:spacing w:val="2"/>
                <w:sz w:val="19"/>
              </w:rPr>
              <w:t>Hubs.</w:t>
            </w:r>
          </w:p>
          <w:p w14:paraId="3DE032D8" w14:textId="77777777" w:rsidR="00041655" w:rsidRPr="00191478" w:rsidRDefault="00041655" w:rsidP="00041655">
            <w:pPr>
              <w:pStyle w:val="TableParagraph"/>
              <w:numPr>
                <w:ilvl w:val="0"/>
                <w:numId w:val="42"/>
              </w:numPr>
              <w:tabs>
                <w:tab w:val="left" w:pos="416"/>
              </w:tabs>
              <w:spacing w:before="57" w:line="235" w:lineRule="auto"/>
              <w:ind w:right="175" w:hanging="340"/>
              <w:jc w:val="both"/>
              <w:rPr>
                <w:rFonts w:asciiTheme="minorHAnsi" w:hAnsiTheme="minorHAnsi"/>
                <w:sz w:val="19"/>
              </w:rPr>
            </w:pPr>
            <w:r w:rsidRPr="00191478">
              <w:rPr>
                <w:rFonts w:asciiTheme="minorHAnsi" w:hAnsiTheme="minorHAnsi"/>
                <w:spacing w:val="3"/>
                <w:sz w:val="19"/>
              </w:rPr>
              <w:t xml:space="preserve">Explore </w:t>
            </w:r>
            <w:r w:rsidRPr="00191478">
              <w:rPr>
                <w:rFonts w:asciiTheme="minorHAnsi" w:hAnsiTheme="minorHAnsi"/>
                <w:spacing w:val="2"/>
                <w:sz w:val="19"/>
              </w:rPr>
              <w:t xml:space="preserve">with the </w:t>
            </w:r>
            <w:r w:rsidRPr="00191478">
              <w:rPr>
                <w:rFonts w:asciiTheme="minorHAnsi" w:hAnsiTheme="minorHAnsi"/>
                <w:spacing w:val="4"/>
                <w:sz w:val="19"/>
              </w:rPr>
              <w:t xml:space="preserve">VET </w:t>
            </w:r>
            <w:r w:rsidRPr="00191478">
              <w:rPr>
                <w:rFonts w:asciiTheme="minorHAnsi" w:hAnsiTheme="minorHAnsi"/>
                <w:spacing w:val="3"/>
                <w:sz w:val="19"/>
              </w:rPr>
              <w:t xml:space="preserve">and higher education </w:t>
            </w:r>
            <w:r w:rsidRPr="00191478">
              <w:rPr>
                <w:rFonts w:asciiTheme="minorHAnsi" w:hAnsiTheme="minorHAnsi"/>
                <w:spacing w:val="2"/>
                <w:sz w:val="19"/>
              </w:rPr>
              <w:t xml:space="preserve">sector the </w:t>
            </w:r>
            <w:r w:rsidRPr="00191478">
              <w:rPr>
                <w:rFonts w:asciiTheme="minorHAnsi" w:hAnsiTheme="minorHAnsi"/>
                <w:spacing w:val="3"/>
                <w:sz w:val="19"/>
              </w:rPr>
              <w:t xml:space="preserve">development </w:t>
            </w:r>
            <w:r w:rsidRPr="00191478">
              <w:rPr>
                <w:rFonts w:asciiTheme="minorHAnsi" w:hAnsiTheme="minorHAnsi"/>
                <w:sz w:val="19"/>
              </w:rPr>
              <w:t xml:space="preserve">of a </w:t>
            </w:r>
            <w:r w:rsidRPr="00191478">
              <w:rPr>
                <w:rFonts w:asciiTheme="minorHAnsi" w:hAnsiTheme="minorHAnsi"/>
                <w:spacing w:val="2"/>
                <w:sz w:val="19"/>
              </w:rPr>
              <w:t xml:space="preserve">new </w:t>
            </w:r>
            <w:r w:rsidRPr="00191478">
              <w:rPr>
                <w:rFonts w:asciiTheme="minorHAnsi" w:hAnsiTheme="minorHAnsi"/>
                <w:spacing w:val="4"/>
                <w:sz w:val="19"/>
              </w:rPr>
              <w:t xml:space="preserve">type </w:t>
            </w:r>
            <w:r w:rsidRPr="00191478">
              <w:rPr>
                <w:rFonts w:asciiTheme="minorHAnsi" w:hAnsiTheme="minorHAnsi"/>
                <w:sz w:val="19"/>
              </w:rPr>
              <w:t xml:space="preserve">of </w:t>
            </w:r>
            <w:r w:rsidRPr="00191478">
              <w:rPr>
                <w:rFonts w:asciiTheme="minorHAnsi" w:hAnsiTheme="minorHAnsi"/>
                <w:spacing w:val="3"/>
                <w:sz w:val="19"/>
              </w:rPr>
              <w:t xml:space="preserve">higher education offering focused </w:t>
            </w:r>
            <w:r w:rsidRPr="00191478">
              <w:rPr>
                <w:rFonts w:asciiTheme="minorHAnsi" w:hAnsiTheme="minorHAnsi"/>
                <w:spacing w:val="2"/>
                <w:sz w:val="19"/>
              </w:rPr>
              <w:t xml:space="preserve">more </w:t>
            </w:r>
            <w:r w:rsidRPr="00191478">
              <w:rPr>
                <w:rFonts w:asciiTheme="minorHAnsi" w:hAnsiTheme="minorHAnsi"/>
                <w:sz w:val="19"/>
              </w:rPr>
              <w:t xml:space="preserve">on </w:t>
            </w:r>
            <w:r w:rsidRPr="00191478">
              <w:rPr>
                <w:rFonts w:asciiTheme="minorHAnsi" w:hAnsiTheme="minorHAnsi"/>
                <w:spacing w:val="3"/>
                <w:sz w:val="19"/>
              </w:rPr>
              <w:t>practical learning and technical and professional skills</w:t>
            </w:r>
            <w:r w:rsidRPr="00191478">
              <w:rPr>
                <w:rFonts w:asciiTheme="minorHAnsi" w:hAnsiTheme="minorHAnsi"/>
                <w:spacing w:val="7"/>
                <w:sz w:val="19"/>
              </w:rPr>
              <w:t xml:space="preserve"> </w:t>
            </w:r>
            <w:r w:rsidRPr="00191478">
              <w:rPr>
                <w:rFonts w:asciiTheme="minorHAnsi" w:hAnsiTheme="minorHAnsi"/>
                <w:spacing w:val="2"/>
                <w:sz w:val="19"/>
              </w:rPr>
              <w:t>development.</w:t>
            </w:r>
          </w:p>
          <w:p w14:paraId="5D0B57E4" w14:textId="77777777" w:rsidR="00041655" w:rsidRPr="00191478" w:rsidRDefault="00041655" w:rsidP="00041655">
            <w:pPr>
              <w:pStyle w:val="TableParagraph"/>
              <w:numPr>
                <w:ilvl w:val="0"/>
                <w:numId w:val="42"/>
              </w:numPr>
              <w:tabs>
                <w:tab w:val="left" w:pos="416"/>
              </w:tabs>
              <w:spacing w:before="57" w:line="235" w:lineRule="auto"/>
              <w:ind w:right="173" w:hanging="340"/>
              <w:rPr>
                <w:rFonts w:asciiTheme="minorHAnsi" w:hAnsiTheme="minorHAnsi"/>
                <w:sz w:val="19"/>
              </w:rPr>
            </w:pPr>
            <w:r w:rsidRPr="00191478">
              <w:rPr>
                <w:rFonts w:asciiTheme="minorHAnsi" w:hAnsiTheme="minorHAnsi"/>
                <w:spacing w:val="4"/>
                <w:sz w:val="19"/>
              </w:rPr>
              <w:t xml:space="preserve">Expand </w:t>
            </w:r>
            <w:r w:rsidRPr="00191478">
              <w:rPr>
                <w:rFonts w:asciiTheme="minorHAnsi" w:hAnsiTheme="minorHAnsi"/>
                <w:spacing w:val="3"/>
                <w:sz w:val="19"/>
              </w:rPr>
              <w:t xml:space="preserve">and enhance </w:t>
            </w:r>
            <w:r w:rsidRPr="00191478">
              <w:rPr>
                <w:rFonts w:asciiTheme="minorHAnsi" w:hAnsiTheme="minorHAnsi"/>
                <w:spacing w:val="2"/>
                <w:sz w:val="19"/>
              </w:rPr>
              <w:t xml:space="preserve">the </w:t>
            </w:r>
            <w:r w:rsidRPr="00191478">
              <w:rPr>
                <w:rFonts w:asciiTheme="minorHAnsi" w:hAnsiTheme="minorHAnsi"/>
                <w:spacing w:val="3"/>
                <w:sz w:val="19"/>
              </w:rPr>
              <w:t xml:space="preserve">Regional Study </w:t>
            </w:r>
            <w:r w:rsidRPr="00191478">
              <w:rPr>
                <w:rFonts w:asciiTheme="minorHAnsi" w:hAnsiTheme="minorHAnsi"/>
                <w:spacing w:val="2"/>
                <w:sz w:val="19"/>
              </w:rPr>
              <w:t xml:space="preserve">Hubs </w:t>
            </w:r>
            <w:r w:rsidRPr="00191478">
              <w:rPr>
                <w:rFonts w:asciiTheme="minorHAnsi" w:hAnsiTheme="minorHAnsi"/>
                <w:spacing w:val="3"/>
                <w:sz w:val="19"/>
              </w:rPr>
              <w:t xml:space="preserve">program using </w:t>
            </w:r>
            <w:r w:rsidRPr="00191478">
              <w:rPr>
                <w:rFonts w:asciiTheme="minorHAnsi" w:hAnsiTheme="minorHAnsi"/>
                <w:sz w:val="19"/>
              </w:rPr>
              <w:t xml:space="preserve">a </w:t>
            </w:r>
            <w:r w:rsidRPr="00191478">
              <w:rPr>
                <w:rFonts w:asciiTheme="minorHAnsi" w:hAnsiTheme="minorHAnsi"/>
                <w:spacing w:val="3"/>
                <w:sz w:val="19"/>
              </w:rPr>
              <w:t xml:space="preserve">broader range </w:t>
            </w:r>
            <w:r w:rsidRPr="00191478">
              <w:rPr>
                <w:rFonts w:asciiTheme="minorHAnsi" w:hAnsiTheme="minorHAnsi"/>
                <w:sz w:val="19"/>
              </w:rPr>
              <w:t xml:space="preserve">of </w:t>
            </w:r>
            <w:r w:rsidRPr="00191478">
              <w:rPr>
                <w:rFonts w:asciiTheme="minorHAnsi" w:hAnsiTheme="minorHAnsi"/>
                <w:spacing w:val="3"/>
                <w:sz w:val="19"/>
              </w:rPr>
              <w:t xml:space="preserve">models tailored </w:t>
            </w:r>
            <w:r w:rsidRPr="00191478">
              <w:rPr>
                <w:rFonts w:asciiTheme="minorHAnsi" w:hAnsiTheme="minorHAnsi"/>
                <w:sz w:val="19"/>
              </w:rPr>
              <w:t xml:space="preserve">to </w:t>
            </w:r>
            <w:r w:rsidRPr="00191478">
              <w:rPr>
                <w:rFonts w:asciiTheme="minorHAnsi" w:hAnsiTheme="minorHAnsi"/>
                <w:spacing w:val="3"/>
                <w:sz w:val="19"/>
              </w:rPr>
              <w:t xml:space="preserve">community needs, </w:t>
            </w:r>
            <w:r w:rsidRPr="00191478">
              <w:rPr>
                <w:rFonts w:asciiTheme="minorHAnsi" w:hAnsiTheme="minorHAnsi"/>
                <w:spacing w:val="2"/>
                <w:sz w:val="19"/>
              </w:rPr>
              <w:t xml:space="preserve">with </w:t>
            </w:r>
            <w:r w:rsidRPr="00191478">
              <w:rPr>
                <w:rFonts w:asciiTheme="minorHAnsi" w:hAnsiTheme="minorHAnsi"/>
                <w:spacing w:val="3"/>
                <w:sz w:val="19"/>
              </w:rPr>
              <w:t xml:space="preserve">sufficient program management and governance </w:t>
            </w:r>
            <w:r w:rsidRPr="00191478">
              <w:rPr>
                <w:rFonts w:asciiTheme="minorHAnsi" w:hAnsiTheme="minorHAnsi"/>
                <w:spacing w:val="4"/>
                <w:sz w:val="19"/>
              </w:rPr>
              <w:t xml:space="preserve">support </w:t>
            </w:r>
            <w:r w:rsidRPr="00191478">
              <w:rPr>
                <w:rFonts w:asciiTheme="minorHAnsi" w:hAnsiTheme="minorHAnsi"/>
                <w:sz w:val="19"/>
              </w:rPr>
              <w:t xml:space="preserve">to </w:t>
            </w:r>
            <w:r w:rsidRPr="00191478">
              <w:rPr>
                <w:rFonts w:asciiTheme="minorHAnsi" w:hAnsiTheme="minorHAnsi"/>
                <w:spacing w:val="3"/>
                <w:sz w:val="19"/>
              </w:rPr>
              <w:t>ensure their</w:t>
            </w:r>
            <w:r w:rsidRPr="00191478">
              <w:rPr>
                <w:rFonts w:asciiTheme="minorHAnsi" w:hAnsiTheme="minorHAnsi"/>
                <w:spacing w:val="15"/>
                <w:sz w:val="19"/>
              </w:rPr>
              <w:t xml:space="preserve"> </w:t>
            </w:r>
            <w:r w:rsidRPr="00191478">
              <w:rPr>
                <w:rFonts w:asciiTheme="minorHAnsi" w:hAnsiTheme="minorHAnsi"/>
                <w:spacing w:val="3"/>
                <w:sz w:val="19"/>
              </w:rPr>
              <w:t>success.</w:t>
            </w:r>
          </w:p>
          <w:p w14:paraId="1737B45A" w14:textId="77777777" w:rsidR="00041655" w:rsidRPr="00191478" w:rsidRDefault="00041655" w:rsidP="00041655">
            <w:pPr>
              <w:pStyle w:val="TableParagraph"/>
              <w:numPr>
                <w:ilvl w:val="0"/>
                <w:numId w:val="42"/>
              </w:numPr>
              <w:tabs>
                <w:tab w:val="left" w:pos="416"/>
              </w:tabs>
              <w:spacing w:before="57" w:line="235" w:lineRule="auto"/>
              <w:ind w:right="116" w:hanging="340"/>
              <w:rPr>
                <w:rFonts w:asciiTheme="minorHAnsi" w:hAnsiTheme="minorHAnsi"/>
                <w:sz w:val="19"/>
              </w:rPr>
            </w:pPr>
            <w:r w:rsidRPr="00191478">
              <w:rPr>
                <w:rFonts w:asciiTheme="minorHAnsi" w:hAnsiTheme="minorHAnsi"/>
                <w:spacing w:val="3"/>
                <w:sz w:val="19"/>
              </w:rPr>
              <w:t xml:space="preserve">Prioritise and accelerate </w:t>
            </w:r>
            <w:r w:rsidRPr="00191478">
              <w:rPr>
                <w:rFonts w:asciiTheme="minorHAnsi" w:hAnsiTheme="minorHAnsi"/>
                <w:spacing w:val="2"/>
                <w:sz w:val="19"/>
              </w:rPr>
              <w:t xml:space="preserve">work </w:t>
            </w:r>
            <w:r w:rsidRPr="00191478">
              <w:rPr>
                <w:rFonts w:asciiTheme="minorHAnsi" w:hAnsiTheme="minorHAnsi"/>
                <w:sz w:val="19"/>
              </w:rPr>
              <w:t xml:space="preserve">to </w:t>
            </w:r>
            <w:r w:rsidRPr="00191478">
              <w:rPr>
                <w:rFonts w:asciiTheme="minorHAnsi" w:hAnsiTheme="minorHAnsi"/>
                <w:spacing w:val="3"/>
                <w:sz w:val="19"/>
              </w:rPr>
              <w:t xml:space="preserve">ensure </w:t>
            </w:r>
            <w:r w:rsidRPr="00191478">
              <w:rPr>
                <w:rFonts w:asciiTheme="minorHAnsi" w:hAnsiTheme="minorHAnsi"/>
                <w:sz w:val="19"/>
              </w:rPr>
              <w:t xml:space="preserve">that </w:t>
            </w:r>
            <w:r w:rsidRPr="00191478">
              <w:rPr>
                <w:rFonts w:asciiTheme="minorHAnsi" w:hAnsiTheme="minorHAnsi"/>
                <w:spacing w:val="2"/>
                <w:sz w:val="19"/>
              </w:rPr>
              <w:t xml:space="preserve">all students </w:t>
            </w:r>
            <w:r w:rsidRPr="00191478">
              <w:rPr>
                <w:rFonts w:asciiTheme="minorHAnsi" w:hAnsiTheme="minorHAnsi"/>
                <w:sz w:val="19"/>
              </w:rPr>
              <w:t xml:space="preserve">in </w:t>
            </w:r>
            <w:r w:rsidRPr="00191478">
              <w:rPr>
                <w:rFonts w:asciiTheme="minorHAnsi" w:hAnsiTheme="minorHAnsi"/>
                <w:spacing w:val="2"/>
                <w:sz w:val="19"/>
              </w:rPr>
              <w:t xml:space="preserve">RRR </w:t>
            </w:r>
            <w:r w:rsidRPr="00191478">
              <w:rPr>
                <w:rFonts w:asciiTheme="minorHAnsi" w:hAnsiTheme="minorHAnsi"/>
                <w:spacing w:val="3"/>
                <w:sz w:val="19"/>
              </w:rPr>
              <w:t xml:space="preserve">areas can access internet </w:t>
            </w:r>
            <w:r w:rsidRPr="00191478">
              <w:rPr>
                <w:rFonts w:asciiTheme="minorHAnsi" w:hAnsiTheme="minorHAnsi"/>
                <w:spacing w:val="4"/>
                <w:sz w:val="19"/>
              </w:rPr>
              <w:t xml:space="preserve">services </w:t>
            </w:r>
            <w:r w:rsidRPr="00191478">
              <w:rPr>
                <w:rFonts w:asciiTheme="minorHAnsi" w:hAnsiTheme="minorHAnsi"/>
                <w:sz w:val="19"/>
              </w:rPr>
              <w:t xml:space="preserve">to </w:t>
            </w:r>
            <w:r w:rsidRPr="00191478">
              <w:rPr>
                <w:rFonts w:asciiTheme="minorHAnsi" w:hAnsiTheme="minorHAnsi"/>
                <w:spacing w:val="2"/>
                <w:sz w:val="19"/>
              </w:rPr>
              <w:t xml:space="preserve">an </w:t>
            </w:r>
            <w:r w:rsidRPr="00191478">
              <w:rPr>
                <w:rFonts w:asciiTheme="minorHAnsi" w:hAnsiTheme="minorHAnsi"/>
                <w:spacing w:val="3"/>
                <w:sz w:val="19"/>
              </w:rPr>
              <w:t xml:space="preserve">agreed benchmark </w:t>
            </w:r>
            <w:r w:rsidRPr="00191478">
              <w:rPr>
                <w:rFonts w:asciiTheme="minorHAnsi" w:hAnsiTheme="minorHAnsi"/>
                <w:spacing w:val="2"/>
                <w:sz w:val="19"/>
              </w:rPr>
              <w:t xml:space="preserve">standard. </w:t>
            </w:r>
            <w:r w:rsidRPr="00191478">
              <w:rPr>
                <w:rFonts w:asciiTheme="minorHAnsi" w:hAnsiTheme="minorHAnsi"/>
                <w:spacing w:val="3"/>
                <w:sz w:val="19"/>
              </w:rPr>
              <w:t xml:space="preserve">This </w:t>
            </w:r>
            <w:r w:rsidRPr="00191478">
              <w:rPr>
                <w:rFonts w:asciiTheme="minorHAnsi" w:hAnsiTheme="minorHAnsi"/>
                <w:spacing w:val="2"/>
                <w:sz w:val="19"/>
              </w:rPr>
              <w:t xml:space="preserve">work </w:t>
            </w:r>
            <w:r w:rsidRPr="00191478">
              <w:rPr>
                <w:rFonts w:asciiTheme="minorHAnsi" w:hAnsiTheme="minorHAnsi"/>
                <w:spacing w:val="3"/>
                <w:sz w:val="19"/>
              </w:rPr>
              <w:t xml:space="preserve">requires </w:t>
            </w:r>
            <w:r w:rsidRPr="00191478">
              <w:rPr>
                <w:rFonts w:asciiTheme="minorHAnsi" w:hAnsiTheme="minorHAnsi"/>
                <w:sz w:val="19"/>
              </w:rPr>
              <w:t xml:space="preserve">a </w:t>
            </w:r>
            <w:r w:rsidRPr="00191478">
              <w:rPr>
                <w:rFonts w:asciiTheme="minorHAnsi" w:hAnsiTheme="minorHAnsi"/>
                <w:spacing w:val="3"/>
                <w:sz w:val="19"/>
              </w:rPr>
              <w:t xml:space="preserve">detailed </w:t>
            </w:r>
            <w:r w:rsidRPr="00191478">
              <w:rPr>
                <w:rFonts w:asciiTheme="minorHAnsi" w:hAnsiTheme="minorHAnsi"/>
                <w:spacing w:val="2"/>
                <w:sz w:val="19"/>
              </w:rPr>
              <w:t xml:space="preserve">investigation </w:t>
            </w:r>
            <w:r w:rsidRPr="00191478">
              <w:rPr>
                <w:rFonts w:asciiTheme="minorHAnsi" w:hAnsiTheme="minorHAnsi"/>
                <w:sz w:val="19"/>
              </w:rPr>
              <w:t xml:space="preserve">into </w:t>
            </w:r>
            <w:r w:rsidRPr="00191478">
              <w:rPr>
                <w:rFonts w:asciiTheme="minorHAnsi" w:hAnsiTheme="minorHAnsi"/>
                <w:spacing w:val="2"/>
                <w:sz w:val="19"/>
              </w:rPr>
              <w:t xml:space="preserve">the </w:t>
            </w:r>
            <w:r w:rsidRPr="00191478">
              <w:rPr>
                <w:rFonts w:asciiTheme="minorHAnsi" w:hAnsiTheme="minorHAnsi"/>
                <w:spacing w:val="3"/>
                <w:sz w:val="19"/>
              </w:rPr>
              <w:t xml:space="preserve">internet speed, capacity and affordability requirements </w:t>
            </w:r>
            <w:r w:rsidRPr="00191478">
              <w:rPr>
                <w:rFonts w:asciiTheme="minorHAnsi" w:hAnsiTheme="minorHAnsi"/>
                <w:sz w:val="19"/>
              </w:rPr>
              <w:t xml:space="preserve">of </w:t>
            </w:r>
            <w:r w:rsidRPr="00191478">
              <w:rPr>
                <w:rFonts w:asciiTheme="minorHAnsi" w:hAnsiTheme="minorHAnsi"/>
                <w:spacing w:val="2"/>
                <w:sz w:val="19"/>
              </w:rPr>
              <w:t xml:space="preserve">RRR students </w:t>
            </w:r>
            <w:r w:rsidRPr="00191478">
              <w:rPr>
                <w:rFonts w:asciiTheme="minorHAnsi" w:hAnsiTheme="minorHAnsi"/>
                <w:spacing w:val="3"/>
                <w:sz w:val="19"/>
              </w:rPr>
              <w:t xml:space="preserve">and </w:t>
            </w:r>
            <w:r w:rsidRPr="00191478">
              <w:rPr>
                <w:rFonts w:asciiTheme="minorHAnsi" w:hAnsiTheme="minorHAnsi"/>
                <w:spacing w:val="4"/>
                <w:sz w:val="19"/>
              </w:rPr>
              <w:t xml:space="preserve">tertiary </w:t>
            </w:r>
            <w:r w:rsidRPr="00191478">
              <w:rPr>
                <w:rFonts w:asciiTheme="minorHAnsi" w:hAnsiTheme="minorHAnsi"/>
                <w:spacing w:val="3"/>
                <w:sz w:val="19"/>
              </w:rPr>
              <w:t xml:space="preserve">education providers and </w:t>
            </w:r>
            <w:r w:rsidRPr="00191478">
              <w:rPr>
                <w:rFonts w:asciiTheme="minorHAnsi" w:hAnsiTheme="minorHAnsi"/>
                <w:sz w:val="19"/>
              </w:rPr>
              <w:t xml:space="preserve">how to </w:t>
            </w:r>
            <w:r w:rsidRPr="00191478">
              <w:rPr>
                <w:rFonts w:asciiTheme="minorHAnsi" w:hAnsiTheme="minorHAnsi"/>
                <w:spacing w:val="3"/>
                <w:sz w:val="19"/>
              </w:rPr>
              <w:t xml:space="preserve">deliver access </w:t>
            </w:r>
            <w:r w:rsidRPr="00191478">
              <w:rPr>
                <w:rFonts w:asciiTheme="minorHAnsi" w:hAnsiTheme="minorHAnsi"/>
                <w:sz w:val="19"/>
              </w:rPr>
              <w:t xml:space="preserve">to </w:t>
            </w:r>
            <w:r w:rsidRPr="00191478">
              <w:rPr>
                <w:rFonts w:asciiTheme="minorHAnsi" w:hAnsiTheme="minorHAnsi"/>
                <w:spacing w:val="3"/>
                <w:sz w:val="19"/>
              </w:rPr>
              <w:t xml:space="preserve">reliable </w:t>
            </w:r>
            <w:r w:rsidRPr="00191478">
              <w:rPr>
                <w:rFonts w:asciiTheme="minorHAnsi" w:hAnsiTheme="minorHAnsi"/>
                <w:spacing w:val="-3"/>
                <w:sz w:val="19"/>
              </w:rPr>
              <w:t xml:space="preserve">21st </w:t>
            </w:r>
            <w:r w:rsidRPr="00191478">
              <w:rPr>
                <w:rFonts w:asciiTheme="minorHAnsi" w:hAnsiTheme="minorHAnsi"/>
                <w:spacing w:val="4"/>
                <w:sz w:val="19"/>
              </w:rPr>
              <w:t xml:space="preserve">century </w:t>
            </w:r>
            <w:r w:rsidRPr="00191478">
              <w:rPr>
                <w:rFonts w:asciiTheme="minorHAnsi" w:hAnsiTheme="minorHAnsi"/>
                <w:spacing w:val="3"/>
                <w:sz w:val="19"/>
              </w:rPr>
              <w:t xml:space="preserve">internet </w:t>
            </w:r>
            <w:r w:rsidRPr="00191478">
              <w:rPr>
                <w:rFonts w:asciiTheme="minorHAnsi" w:hAnsiTheme="minorHAnsi"/>
                <w:spacing w:val="4"/>
                <w:sz w:val="19"/>
              </w:rPr>
              <w:t xml:space="preserve">services </w:t>
            </w:r>
            <w:r w:rsidRPr="00191478">
              <w:rPr>
                <w:rFonts w:asciiTheme="minorHAnsi" w:hAnsiTheme="minorHAnsi"/>
                <w:sz w:val="19"/>
              </w:rPr>
              <w:t xml:space="preserve">that </w:t>
            </w:r>
            <w:r w:rsidRPr="00191478">
              <w:rPr>
                <w:rFonts w:asciiTheme="minorHAnsi" w:hAnsiTheme="minorHAnsi"/>
                <w:spacing w:val="2"/>
                <w:sz w:val="19"/>
              </w:rPr>
              <w:t xml:space="preserve">will </w:t>
            </w:r>
            <w:r w:rsidRPr="00191478">
              <w:rPr>
                <w:rFonts w:asciiTheme="minorHAnsi" w:hAnsiTheme="minorHAnsi"/>
                <w:spacing w:val="3"/>
                <w:sz w:val="19"/>
              </w:rPr>
              <w:t xml:space="preserve">meet these needs. The </w:t>
            </w:r>
            <w:r w:rsidRPr="00191478">
              <w:rPr>
                <w:rFonts w:asciiTheme="minorHAnsi" w:hAnsiTheme="minorHAnsi"/>
                <w:spacing w:val="2"/>
                <w:sz w:val="19"/>
              </w:rPr>
              <w:t xml:space="preserve">work would </w:t>
            </w:r>
            <w:r w:rsidRPr="00191478">
              <w:rPr>
                <w:rFonts w:asciiTheme="minorHAnsi" w:hAnsiTheme="minorHAnsi"/>
                <w:spacing w:val="3"/>
                <w:sz w:val="19"/>
              </w:rPr>
              <w:t xml:space="preserve">build </w:t>
            </w:r>
            <w:r w:rsidRPr="00191478">
              <w:rPr>
                <w:rFonts w:asciiTheme="minorHAnsi" w:hAnsiTheme="minorHAnsi"/>
                <w:sz w:val="19"/>
              </w:rPr>
              <w:t xml:space="preserve">on </w:t>
            </w:r>
            <w:r w:rsidRPr="00191478">
              <w:rPr>
                <w:rFonts w:asciiTheme="minorHAnsi" w:hAnsiTheme="minorHAnsi"/>
                <w:spacing w:val="2"/>
                <w:sz w:val="19"/>
              </w:rPr>
              <w:t xml:space="preserve">the </w:t>
            </w:r>
            <w:r w:rsidRPr="00191478">
              <w:rPr>
                <w:rFonts w:asciiTheme="minorHAnsi" w:hAnsiTheme="minorHAnsi"/>
                <w:spacing w:val="-3"/>
                <w:sz w:val="19"/>
              </w:rPr>
              <w:t xml:space="preserve">2018 </w:t>
            </w:r>
            <w:r w:rsidRPr="00191478">
              <w:rPr>
                <w:rFonts w:asciiTheme="minorHAnsi" w:hAnsiTheme="minorHAnsi"/>
                <w:spacing w:val="3"/>
                <w:sz w:val="19"/>
              </w:rPr>
              <w:t xml:space="preserve">Regional </w:t>
            </w:r>
            <w:r w:rsidRPr="00191478">
              <w:rPr>
                <w:rFonts w:asciiTheme="minorHAnsi" w:hAnsiTheme="minorHAnsi"/>
                <w:spacing w:val="2"/>
                <w:sz w:val="19"/>
              </w:rPr>
              <w:t>Telecommunications</w:t>
            </w:r>
            <w:r w:rsidRPr="00191478">
              <w:rPr>
                <w:rFonts w:asciiTheme="minorHAnsi" w:hAnsiTheme="minorHAnsi"/>
                <w:spacing w:val="29"/>
                <w:sz w:val="19"/>
              </w:rPr>
              <w:t xml:space="preserve"> </w:t>
            </w:r>
            <w:r w:rsidRPr="00191478">
              <w:rPr>
                <w:rFonts w:asciiTheme="minorHAnsi" w:hAnsiTheme="minorHAnsi"/>
                <w:sz w:val="19"/>
              </w:rPr>
              <w:t>Review.</w:t>
            </w:r>
          </w:p>
          <w:p w14:paraId="4F0E9119" w14:textId="77777777" w:rsidR="00041655" w:rsidRPr="00191478" w:rsidRDefault="00041655" w:rsidP="00041655">
            <w:pPr>
              <w:pStyle w:val="TableParagraph"/>
              <w:numPr>
                <w:ilvl w:val="0"/>
                <w:numId w:val="42"/>
              </w:numPr>
              <w:tabs>
                <w:tab w:val="left" w:pos="416"/>
              </w:tabs>
              <w:spacing w:before="57" w:line="235" w:lineRule="auto"/>
              <w:ind w:right="153" w:hanging="340"/>
              <w:rPr>
                <w:rFonts w:asciiTheme="minorHAnsi" w:hAnsiTheme="minorHAnsi"/>
                <w:sz w:val="19"/>
              </w:rPr>
            </w:pPr>
            <w:r w:rsidRPr="00191478">
              <w:rPr>
                <w:rFonts w:asciiTheme="minorHAnsi" w:hAnsiTheme="minorHAnsi"/>
                <w:spacing w:val="3"/>
                <w:sz w:val="19"/>
              </w:rPr>
              <w:t xml:space="preserve">Implement </w:t>
            </w:r>
            <w:r w:rsidRPr="00191478">
              <w:rPr>
                <w:rFonts w:asciiTheme="minorHAnsi" w:hAnsiTheme="minorHAnsi"/>
                <w:sz w:val="19"/>
              </w:rPr>
              <w:t xml:space="preserve">a </w:t>
            </w:r>
            <w:r w:rsidRPr="00191478">
              <w:rPr>
                <w:rFonts w:asciiTheme="minorHAnsi" w:hAnsiTheme="minorHAnsi"/>
                <w:spacing w:val="2"/>
                <w:sz w:val="19"/>
              </w:rPr>
              <w:t xml:space="preserve">more consistent, </w:t>
            </w:r>
            <w:r w:rsidRPr="00191478">
              <w:rPr>
                <w:rFonts w:asciiTheme="minorHAnsi" w:hAnsiTheme="minorHAnsi"/>
                <w:spacing w:val="3"/>
                <w:sz w:val="19"/>
              </w:rPr>
              <w:t xml:space="preserve">transparent and transferrable </w:t>
            </w:r>
            <w:r w:rsidRPr="00191478">
              <w:rPr>
                <w:rFonts w:asciiTheme="minorHAnsi" w:hAnsiTheme="minorHAnsi"/>
                <w:spacing w:val="2"/>
                <w:sz w:val="19"/>
              </w:rPr>
              <w:t xml:space="preserve">system </w:t>
            </w:r>
            <w:r w:rsidRPr="00191478">
              <w:rPr>
                <w:rFonts w:asciiTheme="minorHAnsi" w:hAnsiTheme="minorHAnsi"/>
                <w:sz w:val="19"/>
              </w:rPr>
              <w:t xml:space="preserve">of </w:t>
            </w:r>
            <w:r w:rsidRPr="00191478">
              <w:rPr>
                <w:rFonts w:asciiTheme="minorHAnsi" w:hAnsiTheme="minorHAnsi"/>
                <w:spacing w:val="3"/>
                <w:sz w:val="19"/>
              </w:rPr>
              <w:t xml:space="preserve">recognition </w:t>
            </w:r>
            <w:r w:rsidRPr="00191478">
              <w:rPr>
                <w:rFonts w:asciiTheme="minorHAnsi" w:hAnsiTheme="minorHAnsi"/>
                <w:sz w:val="19"/>
              </w:rPr>
              <w:t xml:space="preserve">of </w:t>
            </w:r>
            <w:r w:rsidRPr="00191478">
              <w:rPr>
                <w:rFonts w:asciiTheme="minorHAnsi" w:hAnsiTheme="minorHAnsi"/>
                <w:spacing w:val="3"/>
                <w:sz w:val="19"/>
              </w:rPr>
              <w:t xml:space="preserve">prior learning and credit </w:t>
            </w:r>
            <w:r w:rsidRPr="00191478">
              <w:rPr>
                <w:rFonts w:asciiTheme="minorHAnsi" w:hAnsiTheme="minorHAnsi"/>
                <w:spacing w:val="2"/>
                <w:sz w:val="19"/>
              </w:rPr>
              <w:t xml:space="preserve">transfer </w:t>
            </w:r>
            <w:r w:rsidRPr="00191478">
              <w:rPr>
                <w:rFonts w:asciiTheme="minorHAnsi" w:hAnsiTheme="minorHAnsi"/>
                <w:sz w:val="19"/>
              </w:rPr>
              <w:t xml:space="preserve">to </w:t>
            </w:r>
            <w:r w:rsidRPr="00191478">
              <w:rPr>
                <w:rFonts w:asciiTheme="minorHAnsi" w:hAnsiTheme="minorHAnsi"/>
                <w:spacing w:val="4"/>
                <w:sz w:val="19"/>
              </w:rPr>
              <w:t xml:space="preserve">support </w:t>
            </w:r>
            <w:r w:rsidRPr="00191478">
              <w:rPr>
                <w:rFonts w:asciiTheme="minorHAnsi" w:hAnsiTheme="minorHAnsi"/>
                <w:sz w:val="19"/>
              </w:rPr>
              <w:t xml:space="preserve">pathways </w:t>
            </w:r>
            <w:r w:rsidRPr="00191478">
              <w:rPr>
                <w:rFonts w:asciiTheme="minorHAnsi" w:hAnsiTheme="minorHAnsi"/>
                <w:spacing w:val="2"/>
                <w:sz w:val="19"/>
              </w:rPr>
              <w:t xml:space="preserve">for </w:t>
            </w:r>
            <w:r w:rsidRPr="00191478">
              <w:rPr>
                <w:rFonts w:asciiTheme="minorHAnsi" w:hAnsiTheme="minorHAnsi"/>
                <w:spacing w:val="3"/>
                <w:sz w:val="19"/>
              </w:rPr>
              <w:t xml:space="preserve">articulation between providers, informed </w:t>
            </w:r>
            <w:r w:rsidRPr="00191478">
              <w:rPr>
                <w:rFonts w:asciiTheme="minorHAnsi" w:hAnsiTheme="minorHAnsi"/>
                <w:sz w:val="19"/>
              </w:rPr>
              <w:t xml:space="preserve">by </w:t>
            </w:r>
            <w:r w:rsidRPr="00191478">
              <w:rPr>
                <w:rFonts w:asciiTheme="minorHAnsi" w:hAnsiTheme="minorHAnsi"/>
                <w:spacing w:val="2"/>
                <w:sz w:val="19"/>
              </w:rPr>
              <w:t xml:space="preserve">the </w:t>
            </w:r>
            <w:r w:rsidRPr="00191478">
              <w:rPr>
                <w:rFonts w:asciiTheme="minorHAnsi" w:hAnsiTheme="minorHAnsi"/>
                <w:spacing w:val="3"/>
                <w:sz w:val="19"/>
              </w:rPr>
              <w:t xml:space="preserve">Australian Qualifications </w:t>
            </w:r>
            <w:r w:rsidRPr="00191478">
              <w:rPr>
                <w:rFonts w:asciiTheme="minorHAnsi" w:hAnsiTheme="minorHAnsi"/>
                <w:spacing w:val="2"/>
                <w:sz w:val="19"/>
              </w:rPr>
              <w:t xml:space="preserve">Framework </w:t>
            </w:r>
            <w:r w:rsidRPr="00191478">
              <w:rPr>
                <w:rFonts w:asciiTheme="minorHAnsi" w:hAnsiTheme="minorHAnsi"/>
                <w:spacing w:val="3"/>
                <w:sz w:val="19"/>
              </w:rPr>
              <w:t>(AQF)</w:t>
            </w:r>
            <w:r w:rsidRPr="00191478">
              <w:rPr>
                <w:rFonts w:asciiTheme="minorHAnsi" w:hAnsiTheme="minorHAnsi"/>
                <w:spacing w:val="35"/>
                <w:sz w:val="19"/>
              </w:rPr>
              <w:t xml:space="preserve"> </w:t>
            </w:r>
            <w:r w:rsidRPr="00191478">
              <w:rPr>
                <w:rFonts w:asciiTheme="minorHAnsi" w:hAnsiTheme="minorHAnsi"/>
                <w:sz w:val="19"/>
              </w:rPr>
              <w:t>review.</w:t>
            </w:r>
          </w:p>
          <w:p w14:paraId="7CE152F5" w14:textId="77777777" w:rsidR="00041655" w:rsidRPr="00191478" w:rsidRDefault="00041655" w:rsidP="00041655">
            <w:pPr>
              <w:pStyle w:val="TableParagraph"/>
              <w:numPr>
                <w:ilvl w:val="0"/>
                <w:numId w:val="42"/>
              </w:numPr>
              <w:tabs>
                <w:tab w:val="left" w:pos="416"/>
              </w:tabs>
              <w:spacing w:before="57" w:line="235" w:lineRule="auto"/>
              <w:ind w:right="579" w:hanging="340"/>
              <w:rPr>
                <w:rFonts w:asciiTheme="minorHAnsi" w:hAnsiTheme="minorHAnsi"/>
                <w:sz w:val="19"/>
              </w:rPr>
            </w:pPr>
            <w:r w:rsidRPr="00191478">
              <w:rPr>
                <w:rFonts w:asciiTheme="minorHAnsi" w:hAnsiTheme="minorHAnsi"/>
                <w:sz w:val="19"/>
              </w:rPr>
              <w:t xml:space="preserve">Work </w:t>
            </w:r>
            <w:r w:rsidRPr="00191478">
              <w:rPr>
                <w:rFonts w:asciiTheme="minorHAnsi" w:hAnsiTheme="minorHAnsi"/>
                <w:spacing w:val="2"/>
                <w:sz w:val="19"/>
              </w:rPr>
              <w:t xml:space="preserve">with </w:t>
            </w:r>
            <w:r w:rsidRPr="00191478">
              <w:rPr>
                <w:rFonts w:asciiTheme="minorHAnsi" w:hAnsiTheme="minorHAnsi"/>
                <w:sz w:val="19"/>
              </w:rPr>
              <w:t xml:space="preserve">state </w:t>
            </w:r>
            <w:r w:rsidRPr="00191478">
              <w:rPr>
                <w:rFonts w:asciiTheme="minorHAnsi" w:hAnsiTheme="minorHAnsi"/>
                <w:spacing w:val="3"/>
                <w:sz w:val="19"/>
              </w:rPr>
              <w:t xml:space="preserve">and territory governments </w:t>
            </w:r>
            <w:r w:rsidRPr="00191478">
              <w:rPr>
                <w:rFonts w:asciiTheme="minorHAnsi" w:hAnsiTheme="minorHAnsi"/>
                <w:sz w:val="19"/>
              </w:rPr>
              <w:t xml:space="preserve">to </w:t>
            </w:r>
            <w:r w:rsidRPr="00191478">
              <w:rPr>
                <w:rFonts w:asciiTheme="minorHAnsi" w:hAnsiTheme="minorHAnsi"/>
                <w:spacing w:val="2"/>
                <w:sz w:val="19"/>
              </w:rPr>
              <w:t xml:space="preserve">improve </w:t>
            </w:r>
            <w:r w:rsidRPr="00191478">
              <w:rPr>
                <w:rFonts w:asciiTheme="minorHAnsi" w:hAnsiTheme="minorHAnsi"/>
                <w:spacing w:val="3"/>
                <w:sz w:val="19"/>
              </w:rPr>
              <w:t xml:space="preserve">student access </w:t>
            </w:r>
            <w:r w:rsidRPr="00191478">
              <w:rPr>
                <w:rFonts w:asciiTheme="minorHAnsi" w:hAnsiTheme="minorHAnsi"/>
                <w:sz w:val="19"/>
              </w:rPr>
              <w:t xml:space="preserve">to </w:t>
            </w:r>
            <w:r w:rsidRPr="00191478">
              <w:rPr>
                <w:rFonts w:asciiTheme="minorHAnsi" w:hAnsiTheme="minorHAnsi"/>
                <w:spacing w:val="3"/>
                <w:sz w:val="19"/>
              </w:rPr>
              <w:t xml:space="preserve">high quality </w:t>
            </w:r>
            <w:r w:rsidRPr="00191478">
              <w:rPr>
                <w:rFonts w:asciiTheme="minorHAnsi" w:hAnsiTheme="minorHAnsi"/>
                <w:spacing w:val="4"/>
                <w:sz w:val="19"/>
              </w:rPr>
              <w:t xml:space="preserve">VET </w:t>
            </w:r>
            <w:r w:rsidRPr="00191478">
              <w:rPr>
                <w:rFonts w:asciiTheme="minorHAnsi" w:hAnsiTheme="minorHAnsi"/>
                <w:spacing w:val="3"/>
                <w:sz w:val="19"/>
              </w:rPr>
              <w:t xml:space="preserve">programs </w:t>
            </w:r>
            <w:r w:rsidRPr="00191478">
              <w:rPr>
                <w:rFonts w:asciiTheme="minorHAnsi" w:hAnsiTheme="minorHAnsi"/>
                <w:sz w:val="19"/>
              </w:rPr>
              <w:t xml:space="preserve">in </w:t>
            </w:r>
            <w:r w:rsidRPr="00191478">
              <w:rPr>
                <w:rFonts w:asciiTheme="minorHAnsi" w:hAnsiTheme="minorHAnsi"/>
                <w:spacing w:val="2"/>
                <w:sz w:val="19"/>
              </w:rPr>
              <w:t xml:space="preserve">RRR </w:t>
            </w:r>
            <w:r w:rsidRPr="00191478">
              <w:rPr>
                <w:rFonts w:asciiTheme="minorHAnsi" w:hAnsiTheme="minorHAnsi"/>
                <w:spacing w:val="3"/>
                <w:sz w:val="19"/>
              </w:rPr>
              <w:t>areas</w:t>
            </w:r>
            <w:r w:rsidRPr="00191478">
              <w:rPr>
                <w:rFonts w:asciiTheme="minorHAnsi" w:hAnsiTheme="minorHAnsi"/>
                <w:spacing w:val="19"/>
                <w:sz w:val="19"/>
              </w:rPr>
              <w:t xml:space="preserve"> </w:t>
            </w:r>
            <w:r w:rsidRPr="00191478">
              <w:rPr>
                <w:rFonts w:asciiTheme="minorHAnsi" w:hAnsiTheme="minorHAnsi"/>
                <w:spacing w:val="3"/>
                <w:sz w:val="19"/>
              </w:rPr>
              <w:t>including:</w:t>
            </w:r>
          </w:p>
          <w:p w14:paraId="6B3869E7" w14:textId="77777777" w:rsidR="00041655" w:rsidRPr="00191478" w:rsidRDefault="00041655" w:rsidP="00041655">
            <w:pPr>
              <w:pStyle w:val="TableParagraph"/>
              <w:numPr>
                <w:ilvl w:val="1"/>
                <w:numId w:val="42"/>
              </w:numPr>
              <w:tabs>
                <w:tab w:val="left" w:pos="700"/>
              </w:tabs>
              <w:spacing w:before="57" w:line="235" w:lineRule="auto"/>
              <w:ind w:right="173"/>
              <w:rPr>
                <w:rFonts w:asciiTheme="minorHAnsi" w:hAnsiTheme="minorHAnsi"/>
                <w:sz w:val="19"/>
              </w:rPr>
            </w:pPr>
            <w:r w:rsidRPr="00191478">
              <w:rPr>
                <w:rFonts w:asciiTheme="minorHAnsi" w:hAnsiTheme="minorHAnsi"/>
                <w:spacing w:val="3"/>
                <w:sz w:val="19"/>
              </w:rPr>
              <w:t xml:space="preserve">asking jurisdictions </w:t>
            </w:r>
            <w:r w:rsidRPr="00191478">
              <w:rPr>
                <w:rFonts w:asciiTheme="minorHAnsi" w:hAnsiTheme="minorHAnsi"/>
                <w:sz w:val="19"/>
              </w:rPr>
              <w:t xml:space="preserve">to </w:t>
            </w:r>
            <w:r w:rsidRPr="00191478">
              <w:rPr>
                <w:rFonts w:asciiTheme="minorHAnsi" w:hAnsiTheme="minorHAnsi"/>
                <w:spacing w:val="3"/>
                <w:sz w:val="19"/>
              </w:rPr>
              <w:t xml:space="preserve">reduce </w:t>
            </w:r>
            <w:r w:rsidRPr="00191478">
              <w:rPr>
                <w:rFonts w:asciiTheme="minorHAnsi" w:hAnsiTheme="minorHAnsi"/>
                <w:spacing w:val="2"/>
                <w:sz w:val="19"/>
              </w:rPr>
              <w:t xml:space="preserve">the </w:t>
            </w:r>
            <w:r w:rsidRPr="00191478">
              <w:rPr>
                <w:rFonts w:asciiTheme="minorHAnsi" w:hAnsiTheme="minorHAnsi"/>
                <w:spacing w:val="4"/>
                <w:sz w:val="19"/>
              </w:rPr>
              <w:t xml:space="preserve">barriers </w:t>
            </w:r>
            <w:r w:rsidRPr="00191478">
              <w:rPr>
                <w:rFonts w:asciiTheme="minorHAnsi" w:hAnsiTheme="minorHAnsi"/>
                <w:spacing w:val="2"/>
                <w:sz w:val="19"/>
              </w:rPr>
              <w:t xml:space="preserve">preventing </w:t>
            </w:r>
            <w:r w:rsidRPr="00191478">
              <w:rPr>
                <w:rFonts w:asciiTheme="minorHAnsi" w:hAnsiTheme="minorHAnsi"/>
                <w:sz w:val="19"/>
              </w:rPr>
              <w:t xml:space="preserve">RTOs </w:t>
            </w:r>
            <w:r w:rsidRPr="00191478">
              <w:rPr>
                <w:rFonts w:asciiTheme="minorHAnsi" w:hAnsiTheme="minorHAnsi"/>
                <w:spacing w:val="2"/>
                <w:sz w:val="19"/>
              </w:rPr>
              <w:t xml:space="preserve">from </w:t>
            </w:r>
            <w:r w:rsidRPr="00191478">
              <w:rPr>
                <w:rFonts w:asciiTheme="minorHAnsi" w:hAnsiTheme="minorHAnsi"/>
                <w:spacing w:val="3"/>
                <w:sz w:val="19"/>
              </w:rPr>
              <w:t xml:space="preserve">providing publicly subsidised training places </w:t>
            </w:r>
            <w:r w:rsidRPr="00191478">
              <w:rPr>
                <w:rFonts w:asciiTheme="minorHAnsi" w:hAnsiTheme="minorHAnsi"/>
                <w:sz w:val="19"/>
              </w:rPr>
              <w:t xml:space="preserve">in </w:t>
            </w:r>
            <w:r w:rsidRPr="00191478">
              <w:rPr>
                <w:rFonts w:asciiTheme="minorHAnsi" w:hAnsiTheme="minorHAnsi"/>
                <w:spacing w:val="3"/>
                <w:sz w:val="19"/>
              </w:rPr>
              <w:t xml:space="preserve">multiple </w:t>
            </w:r>
            <w:r w:rsidRPr="00191478">
              <w:rPr>
                <w:rFonts w:asciiTheme="minorHAnsi" w:hAnsiTheme="minorHAnsi"/>
                <w:spacing w:val="2"/>
                <w:sz w:val="19"/>
              </w:rPr>
              <w:t xml:space="preserve">states </w:t>
            </w:r>
            <w:r w:rsidRPr="00191478">
              <w:rPr>
                <w:rFonts w:asciiTheme="minorHAnsi" w:hAnsiTheme="minorHAnsi"/>
                <w:spacing w:val="3"/>
                <w:sz w:val="19"/>
              </w:rPr>
              <w:t xml:space="preserve">and territories, </w:t>
            </w:r>
            <w:r w:rsidRPr="00191478">
              <w:rPr>
                <w:rFonts w:asciiTheme="minorHAnsi" w:hAnsiTheme="minorHAnsi"/>
                <w:sz w:val="19"/>
              </w:rPr>
              <w:t xml:space="preserve">to </w:t>
            </w:r>
            <w:r w:rsidRPr="00191478">
              <w:rPr>
                <w:rFonts w:asciiTheme="minorHAnsi" w:hAnsiTheme="minorHAnsi"/>
                <w:spacing w:val="3"/>
                <w:sz w:val="19"/>
              </w:rPr>
              <w:t xml:space="preserve">address gaps and </w:t>
            </w:r>
            <w:r w:rsidRPr="00191478">
              <w:rPr>
                <w:rFonts w:asciiTheme="minorHAnsi" w:hAnsiTheme="minorHAnsi"/>
                <w:spacing w:val="2"/>
                <w:sz w:val="19"/>
              </w:rPr>
              <w:t xml:space="preserve">improve </w:t>
            </w:r>
            <w:r w:rsidRPr="00191478">
              <w:rPr>
                <w:rFonts w:asciiTheme="minorHAnsi" w:hAnsiTheme="minorHAnsi"/>
                <w:spacing w:val="3"/>
                <w:sz w:val="19"/>
              </w:rPr>
              <w:t xml:space="preserve">choice </w:t>
            </w:r>
            <w:r w:rsidRPr="00191478">
              <w:rPr>
                <w:rFonts w:asciiTheme="minorHAnsi" w:hAnsiTheme="minorHAnsi"/>
                <w:sz w:val="19"/>
              </w:rPr>
              <w:t xml:space="preserve">in </w:t>
            </w:r>
            <w:r w:rsidRPr="00191478">
              <w:rPr>
                <w:rFonts w:asciiTheme="minorHAnsi" w:hAnsiTheme="minorHAnsi"/>
                <w:spacing w:val="3"/>
                <w:sz w:val="19"/>
              </w:rPr>
              <w:t xml:space="preserve">access </w:t>
            </w:r>
            <w:r w:rsidRPr="00191478">
              <w:rPr>
                <w:rFonts w:asciiTheme="minorHAnsi" w:hAnsiTheme="minorHAnsi"/>
                <w:spacing w:val="2"/>
                <w:sz w:val="19"/>
              </w:rPr>
              <w:t>for students from RRR</w:t>
            </w:r>
            <w:r w:rsidRPr="00191478">
              <w:rPr>
                <w:rFonts w:asciiTheme="minorHAnsi" w:hAnsiTheme="minorHAnsi"/>
                <w:spacing w:val="37"/>
                <w:sz w:val="19"/>
              </w:rPr>
              <w:t xml:space="preserve"> </w:t>
            </w:r>
            <w:r w:rsidRPr="00191478">
              <w:rPr>
                <w:rFonts w:asciiTheme="minorHAnsi" w:hAnsiTheme="minorHAnsi"/>
                <w:spacing w:val="3"/>
                <w:sz w:val="19"/>
              </w:rPr>
              <w:t>areas</w:t>
            </w:r>
          </w:p>
          <w:p w14:paraId="6E43A825" w14:textId="77777777" w:rsidR="00041655" w:rsidRPr="00191478" w:rsidRDefault="00041655" w:rsidP="00041655">
            <w:pPr>
              <w:pStyle w:val="TableParagraph"/>
              <w:numPr>
                <w:ilvl w:val="1"/>
                <w:numId w:val="42"/>
              </w:numPr>
              <w:tabs>
                <w:tab w:val="left" w:pos="700"/>
              </w:tabs>
              <w:spacing w:before="54"/>
              <w:rPr>
                <w:rFonts w:asciiTheme="minorHAnsi" w:hAnsiTheme="minorHAnsi"/>
                <w:sz w:val="19"/>
              </w:rPr>
            </w:pPr>
            <w:r w:rsidRPr="00191478">
              <w:rPr>
                <w:rFonts w:asciiTheme="minorHAnsi" w:hAnsiTheme="minorHAnsi"/>
                <w:spacing w:val="3"/>
                <w:sz w:val="19"/>
              </w:rPr>
              <w:t xml:space="preserve">exploring </w:t>
            </w:r>
            <w:r w:rsidRPr="00191478">
              <w:rPr>
                <w:rFonts w:asciiTheme="minorHAnsi" w:hAnsiTheme="minorHAnsi"/>
                <w:spacing w:val="2"/>
                <w:sz w:val="19"/>
              </w:rPr>
              <w:t xml:space="preserve">strategies </w:t>
            </w:r>
            <w:r w:rsidRPr="00191478">
              <w:rPr>
                <w:rFonts w:asciiTheme="minorHAnsi" w:hAnsiTheme="minorHAnsi"/>
                <w:sz w:val="19"/>
              </w:rPr>
              <w:t xml:space="preserve">to </w:t>
            </w:r>
            <w:r w:rsidRPr="00191478">
              <w:rPr>
                <w:rFonts w:asciiTheme="minorHAnsi" w:hAnsiTheme="minorHAnsi"/>
                <w:spacing w:val="3"/>
                <w:sz w:val="19"/>
              </w:rPr>
              <w:t xml:space="preserve">better meet </w:t>
            </w:r>
            <w:r w:rsidRPr="00191478">
              <w:rPr>
                <w:rFonts w:asciiTheme="minorHAnsi" w:hAnsiTheme="minorHAnsi"/>
                <w:spacing w:val="2"/>
                <w:sz w:val="19"/>
              </w:rPr>
              <w:t xml:space="preserve">the </w:t>
            </w:r>
            <w:r w:rsidRPr="00191478">
              <w:rPr>
                <w:rFonts w:asciiTheme="minorHAnsi" w:hAnsiTheme="minorHAnsi"/>
                <w:spacing w:val="3"/>
                <w:sz w:val="19"/>
              </w:rPr>
              <w:t xml:space="preserve">needs </w:t>
            </w:r>
            <w:r w:rsidRPr="00191478">
              <w:rPr>
                <w:rFonts w:asciiTheme="minorHAnsi" w:hAnsiTheme="minorHAnsi"/>
                <w:sz w:val="19"/>
              </w:rPr>
              <w:t xml:space="preserve">of </w:t>
            </w:r>
            <w:r w:rsidRPr="00191478">
              <w:rPr>
                <w:rFonts w:asciiTheme="minorHAnsi" w:hAnsiTheme="minorHAnsi"/>
                <w:spacing w:val="3"/>
                <w:sz w:val="19"/>
              </w:rPr>
              <w:t xml:space="preserve">cross border </w:t>
            </w:r>
            <w:r w:rsidRPr="00191478">
              <w:rPr>
                <w:rFonts w:asciiTheme="minorHAnsi" w:hAnsiTheme="minorHAnsi"/>
                <w:spacing w:val="2"/>
                <w:sz w:val="19"/>
              </w:rPr>
              <w:t>RRR</w:t>
            </w:r>
            <w:r w:rsidRPr="00191478">
              <w:rPr>
                <w:rFonts w:asciiTheme="minorHAnsi" w:hAnsiTheme="minorHAnsi"/>
                <w:spacing w:val="49"/>
                <w:sz w:val="19"/>
              </w:rPr>
              <w:t xml:space="preserve"> </w:t>
            </w:r>
            <w:r w:rsidRPr="00191478">
              <w:rPr>
                <w:rFonts w:asciiTheme="minorHAnsi" w:hAnsiTheme="minorHAnsi"/>
                <w:spacing w:val="3"/>
                <w:sz w:val="19"/>
              </w:rPr>
              <w:t>populations</w:t>
            </w:r>
          </w:p>
          <w:p w14:paraId="34967C91" w14:textId="77777777" w:rsidR="00041655" w:rsidRPr="00191478" w:rsidRDefault="00041655" w:rsidP="00041655">
            <w:pPr>
              <w:pStyle w:val="TableParagraph"/>
              <w:numPr>
                <w:ilvl w:val="1"/>
                <w:numId w:val="42"/>
              </w:numPr>
              <w:tabs>
                <w:tab w:val="left" w:pos="700"/>
              </w:tabs>
              <w:spacing w:before="56" w:line="235" w:lineRule="auto"/>
              <w:ind w:right="293"/>
              <w:rPr>
                <w:rFonts w:asciiTheme="minorHAnsi" w:hAnsiTheme="minorHAnsi"/>
                <w:sz w:val="19"/>
              </w:rPr>
            </w:pPr>
            <w:r w:rsidRPr="00191478">
              <w:rPr>
                <w:rFonts w:asciiTheme="minorHAnsi" w:hAnsiTheme="minorHAnsi"/>
                <w:spacing w:val="3"/>
                <w:sz w:val="19"/>
              </w:rPr>
              <w:t xml:space="preserve">targeting expansion </w:t>
            </w:r>
            <w:r w:rsidRPr="00191478">
              <w:rPr>
                <w:rFonts w:asciiTheme="minorHAnsi" w:hAnsiTheme="minorHAnsi"/>
                <w:sz w:val="19"/>
              </w:rPr>
              <w:t xml:space="preserve">in </w:t>
            </w:r>
            <w:r w:rsidRPr="00191478">
              <w:rPr>
                <w:rFonts w:asciiTheme="minorHAnsi" w:hAnsiTheme="minorHAnsi"/>
                <w:spacing w:val="3"/>
                <w:sz w:val="19"/>
              </w:rPr>
              <w:t xml:space="preserve">access </w:t>
            </w:r>
            <w:r w:rsidRPr="00191478">
              <w:rPr>
                <w:rFonts w:asciiTheme="minorHAnsi" w:hAnsiTheme="minorHAnsi"/>
                <w:sz w:val="19"/>
              </w:rPr>
              <w:t xml:space="preserve">to </w:t>
            </w:r>
            <w:r w:rsidRPr="00191478">
              <w:rPr>
                <w:rFonts w:asciiTheme="minorHAnsi" w:hAnsiTheme="minorHAnsi"/>
                <w:spacing w:val="3"/>
                <w:sz w:val="19"/>
              </w:rPr>
              <w:t xml:space="preserve">qualifications highly </w:t>
            </w:r>
            <w:r w:rsidRPr="00191478">
              <w:rPr>
                <w:rFonts w:asciiTheme="minorHAnsi" w:hAnsiTheme="minorHAnsi"/>
                <w:spacing w:val="2"/>
                <w:sz w:val="19"/>
              </w:rPr>
              <w:t xml:space="preserve">relevant </w:t>
            </w:r>
            <w:r w:rsidRPr="00191478">
              <w:rPr>
                <w:rFonts w:asciiTheme="minorHAnsi" w:hAnsiTheme="minorHAnsi"/>
                <w:sz w:val="19"/>
              </w:rPr>
              <w:t xml:space="preserve">to </w:t>
            </w:r>
            <w:r w:rsidRPr="00191478">
              <w:rPr>
                <w:rFonts w:asciiTheme="minorHAnsi" w:hAnsiTheme="minorHAnsi"/>
                <w:spacing w:val="2"/>
                <w:sz w:val="19"/>
              </w:rPr>
              <w:t xml:space="preserve">the </w:t>
            </w:r>
            <w:r w:rsidRPr="00191478">
              <w:rPr>
                <w:rFonts w:asciiTheme="minorHAnsi" w:hAnsiTheme="minorHAnsi"/>
                <w:spacing w:val="3"/>
                <w:sz w:val="19"/>
              </w:rPr>
              <w:t xml:space="preserve">needs </w:t>
            </w:r>
            <w:r w:rsidRPr="00191478">
              <w:rPr>
                <w:rFonts w:asciiTheme="minorHAnsi" w:hAnsiTheme="minorHAnsi"/>
                <w:sz w:val="19"/>
              </w:rPr>
              <w:t xml:space="preserve">of </w:t>
            </w:r>
            <w:r w:rsidRPr="00191478">
              <w:rPr>
                <w:rFonts w:asciiTheme="minorHAnsi" w:hAnsiTheme="minorHAnsi"/>
                <w:spacing w:val="2"/>
                <w:sz w:val="19"/>
              </w:rPr>
              <w:t xml:space="preserve">RRR </w:t>
            </w:r>
            <w:r w:rsidRPr="00191478">
              <w:rPr>
                <w:rFonts w:asciiTheme="minorHAnsi" w:hAnsiTheme="minorHAnsi"/>
                <w:spacing w:val="3"/>
                <w:sz w:val="19"/>
              </w:rPr>
              <w:t>industries,</w:t>
            </w:r>
            <w:r w:rsidRPr="00191478">
              <w:rPr>
                <w:rFonts w:asciiTheme="minorHAnsi" w:hAnsiTheme="minorHAnsi"/>
                <w:spacing w:val="8"/>
                <w:sz w:val="19"/>
              </w:rPr>
              <w:t xml:space="preserve"> </w:t>
            </w:r>
            <w:r w:rsidRPr="00191478">
              <w:rPr>
                <w:rFonts w:asciiTheme="minorHAnsi" w:hAnsiTheme="minorHAnsi"/>
                <w:spacing w:val="4"/>
                <w:sz w:val="19"/>
              </w:rPr>
              <w:t>and</w:t>
            </w:r>
          </w:p>
          <w:p w14:paraId="0C359A86" w14:textId="77777777" w:rsidR="00041655" w:rsidRPr="00191478" w:rsidRDefault="00041655" w:rsidP="00041655">
            <w:pPr>
              <w:pStyle w:val="TableParagraph"/>
              <w:numPr>
                <w:ilvl w:val="1"/>
                <w:numId w:val="42"/>
              </w:numPr>
              <w:tabs>
                <w:tab w:val="left" w:pos="700"/>
              </w:tabs>
              <w:spacing w:before="56" w:line="235" w:lineRule="auto"/>
              <w:ind w:right="354"/>
              <w:jc w:val="both"/>
              <w:rPr>
                <w:rFonts w:asciiTheme="minorHAnsi" w:hAnsiTheme="minorHAnsi"/>
                <w:sz w:val="19"/>
              </w:rPr>
            </w:pPr>
            <w:r w:rsidRPr="00191478">
              <w:rPr>
                <w:rFonts w:asciiTheme="minorHAnsi" w:hAnsiTheme="minorHAnsi"/>
                <w:spacing w:val="3"/>
                <w:sz w:val="19"/>
              </w:rPr>
              <w:t xml:space="preserve">requesting jurisdictions increase </w:t>
            </w:r>
            <w:r w:rsidRPr="00191478">
              <w:rPr>
                <w:rFonts w:asciiTheme="minorHAnsi" w:hAnsiTheme="minorHAnsi"/>
                <w:spacing w:val="2"/>
                <w:sz w:val="19"/>
              </w:rPr>
              <w:t xml:space="preserve">the </w:t>
            </w:r>
            <w:r w:rsidRPr="00191478">
              <w:rPr>
                <w:rFonts w:asciiTheme="minorHAnsi" w:hAnsiTheme="minorHAnsi"/>
                <w:spacing w:val="3"/>
                <w:sz w:val="19"/>
              </w:rPr>
              <w:t xml:space="preserve">availability </w:t>
            </w:r>
            <w:r w:rsidRPr="00191478">
              <w:rPr>
                <w:rFonts w:asciiTheme="minorHAnsi" w:hAnsiTheme="minorHAnsi"/>
                <w:sz w:val="19"/>
              </w:rPr>
              <w:t xml:space="preserve">of </w:t>
            </w:r>
            <w:r w:rsidRPr="00191478">
              <w:rPr>
                <w:rFonts w:asciiTheme="minorHAnsi" w:hAnsiTheme="minorHAnsi"/>
                <w:spacing w:val="3"/>
                <w:sz w:val="19"/>
              </w:rPr>
              <w:t xml:space="preserve">subsidised places </w:t>
            </w:r>
            <w:r w:rsidRPr="00191478">
              <w:rPr>
                <w:rFonts w:asciiTheme="minorHAnsi" w:hAnsiTheme="minorHAnsi"/>
                <w:spacing w:val="2"/>
                <w:sz w:val="19"/>
              </w:rPr>
              <w:t xml:space="preserve">for </w:t>
            </w:r>
            <w:r w:rsidRPr="00191478">
              <w:rPr>
                <w:rFonts w:asciiTheme="minorHAnsi" w:hAnsiTheme="minorHAnsi"/>
                <w:spacing w:val="4"/>
                <w:sz w:val="19"/>
              </w:rPr>
              <w:t xml:space="preserve">VET </w:t>
            </w:r>
            <w:r w:rsidRPr="00191478">
              <w:rPr>
                <w:rFonts w:asciiTheme="minorHAnsi" w:hAnsiTheme="minorHAnsi"/>
                <w:spacing w:val="3"/>
                <w:sz w:val="19"/>
              </w:rPr>
              <w:t xml:space="preserve">courses </w:t>
            </w:r>
            <w:r w:rsidRPr="00191478">
              <w:rPr>
                <w:rFonts w:asciiTheme="minorHAnsi" w:hAnsiTheme="minorHAnsi"/>
                <w:sz w:val="19"/>
              </w:rPr>
              <w:t xml:space="preserve">in </w:t>
            </w:r>
            <w:r w:rsidRPr="00191478">
              <w:rPr>
                <w:rFonts w:asciiTheme="minorHAnsi" w:hAnsiTheme="minorHAnsi"/>
                <w:spacing w:val="2"/>
                <w:sz w:val="19"/>
              </w:rPr>
              <w:t xml:space="preserve">RRR </w:t>
            </w:r>
            <w:r w:rsidRPr="00191478">
              <w:rPr>
                <w:rFonts w:asciiTheme="minorHAnsi" w:hAnsiTheme="minorHAnsi"/>
                <w:spacing w:val="3"/>
                <w:sz w:val="19"/>
              </w:rPr>
              <w:t xml:space="preserve">areas where </w:t>
            </w:r>
            <w:r w:rsidRPr="00191478">
              <w:rPr>
                <w:rFonts w:asciiTheme="minorHAnsi" w:hAnsiTheme="minorHAnsi"/>
                <w:spacing w:val="2"/>
                <w:sz w:val="19"/>
              </w:rPr>
              <w:t xml:space="preserve">there </w:t>
            </w:r>
            <w:r w:rsidRPr="00191478">
              <w:rPr>
                <w:rFonts w:asciiTheme="minorHAnsi" w:hAnsiTheme="minorHAnsi"/>
                <w:sz w:val="19"/>
              </w:rPr>
              <w:t xml:space="preserve">is </w:t>
            </w:r>
            <w:r w:rsidRPr="00191478">
              <w:rPr>
                <w:rFonts w:asciiTheme="minorHAnsi" w:hAnsiTheme="minorHAnsi"/>
                <w:spacing w:val="2"/>
                <w:sz w:val="19"/>
              </w:rPr>
              <w:t xml:space="preserve">demonstrated </w:t>
            </w:r>
            <w:r w:rsidRPr="00191478">
              <w:rPr>
                <w:rFonts w:asciiTheme="minorHAnsi" w:hAnsiTheme="minorHAnsi"/>
                <w:spacing w:val="3"/>
                <w:sz w:val="19"/>
              </w:rPr>
              <w:t>demand and associated employment</w:t>
            </w:r>
            <w:r w:rsidRPr="00191478">
              <w:rPr>
                <w:rFonts w:asciiTheme="minorHAnsi" w:hAnsiTheme="minorHAnsi"/>
                <w:spacing w:val="5"/>
                <w:sz w:val="19"/>
              </w:rPr>
              <w:t xml:space="preserve"> </w:t>
            </w:r>
            <w:r w:rsidRPr="00191478">
              <w:rPr>
                <w:rFonts w:asciiTheme="minorHAnsi" w:hAnsiTheme="minorHAnsi"/>
                <w:spacing w:val="2"/>
                <w:sz w:val="19"/>
              </w:rPr>
              <w:t>outcomes.</w:t>
            </w:r>
          </w:p>
        </w:tc>
      </w:tr>
    </w:tbl>
    <w:p w14:paraId="63EBF142" w14:textId="77777777" w:rsidR="00041655" w:rsidRPr="00191478" w:rsidRDefault="00041655" w:rsidP="00041655">
      <w:pPr>
        <w:spacing w:line="235" w:lineRule="auto"/>
        <w:jc w:val="both"/>
        <w:rPr>
          <w:sz w:val="19"/>
        </w:rPr>
        <w:sectPr w:rsidR="00041655" w:rsidRPr="00191478">
          <w:headerReference w:type="default" r:id="rId29"/>
          <w:pgSz w:w="16840" w:h="11910" w:orient="landscape"/>
          <w:pgMar w:top="1100" w:right="1140" w:bottom="800" w:left="1140" w:header="0" w:footer="609" w:gutter="0"/>
          <w:cols w:space="720"/>
        </w:sectPr>
      </w:pPr>
    </w:p>
    <w:p w14:paraId="6D936E08" w14:textId="77777777" w:rsidR="00041655" w:rsidRPr="00191478" w:rsidRDefault="00041655" w:rsidP="00041655">
      <w:pPr>
        <w:pStyle w:val="BodyText"/>
        <w:spacing w:before="6"/>
        <w:rPr>
          <w:sz w:val="27"/>
        </w:rPr>
      </w:pPr>
    </w:p>
    <w:tbl>
      <w:tblPr>
        <w:tblW w:w="0" w:type="auto"/>
        <w:tblInd w:w="1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100"/>
        <w:gridCol w:w="2702"/>
        <w:gridCol w:w="7520"/>
      </w:tblGrid>
      <w:tr w:rsidR="00041655" w:rsidRPr="00191478" w14:paraId="5E99E1E7" w14:textId="77777777" w:rsidTr="00F33AA3">
        <w:trPr>
          <w:trHeight w:val="301"/>
        </w:trPr>
        <w:tc>
          <w:tcPr>
            <w:tcW w:w="4100" w:type="dxa"/>
            <w:tcBorders>
              <w:top w:val="nil"/>
              <w:left w:val="nil"/>
            </w:tcBorders>
            <w:shd w:val="clear" w:color="auto" w:fill="314652"/>
          </w:tcPr>
          <w:p w14:paraId="4BF108D0" w14:textId="77777777" w:rsidR="00041655" w:rsidRPr="00191478" w:rsidRDefault="00041655" w:rsidP="00F33AA3">
            <w:pPr>
              <w:pStyle w:val="TableParagraph"/>
              <w:spacing w:before="45"/>
              <w:ind w:left="80"/>
              <w:rPr>
                <w:rFonts w:asciiTheme="minorHAnsi" w:hAnsiTheme="minorHAnsi"/>
                <w:sz w:val="19"/>
              </w:rPr>
            </w:pPr>
            <w:r w:rsidRPr="00191478">
              <w:rPr>
                <w:rFonts w:asciiTheme="minorHAnsi" w:hAnsiTheme="minorHAnsi"/>
                <w:color w:val="FFFFFF"/>
                <w:sz w:val="19"/>
              </w:rPr>
              <w:t>Findings</w:t>
            </w:r>
          </w:p>
        </w:tc>
        <w:tc>
          <w:tcPr>
            <w:tcW w:w="2702" w:type="dxa"/>
            <w:tcBorders>
              <w:top w:val="nil"/>
            </w:tcBorders>
            <w:shd w:val="clear" w:color="auto" w:fill="314652"/>
          </w:tcPr>
          <w:p w14:paraId="78EC0094"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Recommendations</w:t>
            </w:r>
          </w:p>
        </w:tc>
        <w:tc>
          <w:tcPr>
            <w:tcW w:w="7520" w:type="dxa"/>
            <w:tcBorders>
              <w:top w:val="nil"/>
              <w:right w:val="nil"/>
            </w:tcBorders>
            <w:shd w:val="clear" w:color="auto" w:fill="314652"/>
          </w:tcPr>
          <w:p w14:paraId="10DF38FC"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Actions</w:t>
            </w:r>
          </w:p>
        </w:tc>
      </w:tr>
      <w:tr w:rsidR="00041655" w:rsidRPr="00191478" w14:paraId="4B39C308" w14:textId="77777777" w:rsidTr="00F33AA3">
        <w:trPr>
          <w:trHeight w:val="305"/>
        </w:trPr>
        <w:tc>
          <w:tcPr>
            <w:tcW w:w="14322" w:type="dxa"/>
            <w:gridSpan w:val="3"/>
            <w:tcBorders>
              <w:top w:val="single" w:sz="6" w:space="0" w:color="FFFFFF"/>
              <w:left w:val="nil"/>
              <w:bottom w:val="nil"/>
              <w:right w:val="nil"/>
            </w:tcBorders>
            <w:shd w:val="clear" w:color="auto" w:fill="F89B64"/>
          </w:tcPr>
          <w:p w14:paraId="507C4A43" w14:textId="77777777" w:rsidR="00041655" w:rsidRPr="00191478" w:rsidRDefault="00041655" w:rsidP="00F33AA3">
            <w:pPr>
              <w:pStyle w:val="TableParagraph"/>
              <w:spacing w:before="44"/>
              <w:ind w:left="5522" w:right="5521"/>
              <w:jc w:val="center"/>
              <w:rPr>
                <w:rFonts w:asciiTheme="minorHAnsi" w:hAnsiTheme="minorHAnsi"/>
                <w:sz w:val="19"/>
              </w:rPr>
            </w:pPr>
            <w:r w:rsidRPr="00191478">
              <w:rPr>
                <w:rFonts w:asciiTheme="minorHAnsi" w:hAnsiTheme="minorHAnsi"/>
                <w:sz w:val="19"/>
              </w:rPr>
              <w:t>Financial support</w:t>
            </w:r>
          </w:p>
        </w:tc>
      </w:tr>
      <w:tr w:rsidR="00041655" w:rsidRPr="00191478" w14:paraId="06FA2512" w14:textId="77777777" w:rsidTr="00F33AA3">
        <w:trPr>
          <w:trHeight w:val="6012"/>
        </w:trPr>
        <w:tc>
          <w:tcPr>
            <w:tcW w:w="4100" w:type="dxa"/>
            <w:tcBorders>
              <w:top w:val="nil"/>
              <w:left w:val="nil"/>
            </w:tcBorders>
            <w:shd w:val="clear" w:color="auto" w:fill="ECEFF1"/>
          </w:tcPr>
          <w:p w14:paraId="01FBE9D2" w14:textId="77777777" w:rsidR="00041655" w:rsidRPr="00191478" w:rsidRDefault="00041655" w:rsidP="00F33AA3">
            <w:pPr>
              <w:pStyle w:val="TableParagraph"/>
              <w:spacing w:before="49" w:line="235" w:lineRule="auto"/>
              <w:ind w:left="80" w:right="196"/>
              <w:rPr>
                <w:rFonts w:asciiTheme="minorHAnsi" w:hAnsiTheme="minorHAnsi"/>
                <w:sz w:val="19"/>
              </w:rPr>
            </w:pPr>
            <w:r w:rsidRPr="00191478">
              <w:rPr>
                <w:rStyle w:val="Strong"/>
                <w:rFonts w:asciiTheme="minorHAnsi" w:hAnsiTheme="minorHAnsi"/>
                <w:color w:val="auto"/>
                <w:sz w:val="22"/>
              </w:rPr>
              <w:t>KEY FINDING 6:</w:t>
            </w:r>
            <w:r w:rsidRPr="00191478">
              <w:rPr>
                <w:rFonts w:asciiTheme="minorHAnsi" w:hAnsiTheme="minorHAnsi"/>
                <w:sz w:val="19"/>
              </w:rPr>
              <w:t xml:space="preserve"> The costs associated with relocating for tertiary study can deter RRR students and create additional pressures for RRR students and their families, leading to higher rates of RRR students who defer their studies or drop out in their first year.</w:t>
            </w:r>
          </w:p>
          <w:p w14:paraId="3845BD95" w14:textId="77777777" w:rsidR="00041655" w:rsidRPr="00191478" w:rsidRDefault="00041655" w:rsidP="00F33AA3">
            <w:pPr>
              <w:pStyle w:val="TableParagraph"/>
              <w:spacing w:before="169" w:line="235" w:lineRule="auto"/>
              <w:ind w:left="80" w:right="183"/>
              <w:rPr>
                <w:rFonts w:asciiTheme="minorHAnsi" w:hAnsiTheme="minorHAnsi"/>
                <w:sz w:val="19"/>
              </w:rPr>
            </w:pPr>
            <w:r w:rsidRPr="00191478">
              <w:rPr>
                <w:rStyle w:val="Strong"/>
                <w:rFonts w:asciiTheme="minorHAnsi" w:hAnsiTheme="minorHAnsi"/>
                <w:color w:val="auto"/>
                <w:sz w:val="22"/>
              </w:rPr>
              <w:t>KEY FINDING 7:</w:t>
            </w:r>
            <w:r w:rsidRPr="00191478">
              <w:rPr>
                <w:rFonts w:asciiTheme="minorHAnsi" w:hAnsiTheme="minorHAnsi"/>
                <w:sz w:val="19"/>
              </w:rPr>
              <w:t xml:space="preserve"> Transport costs associated with tertiary education can be a major issue for students who relocate to study and for those who live in RRR areas.</w:t>
            </w:r>
          </w:p>
          <w:p w14:paraId="6686E1FC" w14:textId="77777777" w:rsidR="00041655" w:rsidRPr="00191478" w:rsidRDefault="00041655" w:rsidP="00F33AA3">
            <w:pPr>
              <w:pStyle w:val="TableParagraph"/>
              <w:spacing w:before="169" w:line="235" w:lineRule="auto"/>
              <w:ind w:left="80" w:right="196"/>
              <w:rPr>
                <w:rFonts w:asciiTheme="minorHAnsi" w:hAnsiTheme="minorHAnsi"/>
                <w:sz w:val="19"/>
              </w:rPr>
            </w:pPr>
            <w:r w:rsidRPr="00191478">
              <w:rPr>
                <w:rStyle w:val="Strong"/>
                <w:rFonts w:asciiTheme="minorHAnsi" w:hAnsiTheme="minorHAnsi"/>
                <w:color w:val="auto"/>
                <w:sz w:val="22"/>
              </w:rPr>
              <w:t>KEY FINDING 8:</w:t>
            </w:r>
            <w:r w:rsidRPr="00191478">
              <w:rPr>
                <w:rFonts w:asciiTheme="minorHAnsi" w:hAnsiTheme="minorHAnsi"/>
                <w:sz w:val="19"/>
              </w:rPr>
              <w:t xml:space="preserve"> RRR students often experience difficulty obtaining clear and accessible information about financial support</w:t>
            </w:r>
          </w:p>
        </w:tc>
        <w:tc>
          <w:tcPr>
            <w:tcW w:w="2702" w:type="dxa"/>
            <w:tcBorders>
              <w:top w:val="nil"/>
            </w:tcBorders>
            <w:shd w:val="clear" w:color="auto" w:fill="ECEFF1"/>
          </w:tcPr>
          <w:p w14:paraId="5F985DC2" w14:textId="77777777" w:rsidR="00041655" w:rsidRPr="00191478" w:rsidRDefault="00041655" w:rsidP="00191478">
            <w:pPr>
              <w:pStyle w:val="TableParagraph"/>
              <w:spacing w:before="43"/>
              <w:ind w:left="75"/>
              <w:rPr>
                <w:rStyle w:val="Strong"/>
                <w:rFonts w:asciiTheme="minorHAnsi" w:hAnsiTheme="minorHAnsi"/>
                <w:color w:val="auto"/>
                <w:sz w:val="22"/>
              </w:rPr>
            </w:pPr>
            <w:r w:rsidRPr="00191478">
              <w:rPr>
                <w:rStyle w:val="Strong"/>
                <w:rFonts w:asciiTheme="minorHAnsi" w:hAnsiTheme="minorHAnsi"/>
                <w:color w:val="auto"/>
                <w:sz w:val="22"/>
              </w:rPr>
              <w:t>Recommendation two</w:t>
            </w:r>
          </w:p>
          <w:p w14:paraId="7351B3D0" w14:textId="77777777" w:rsidR="00041655" w:rsidRPr="00191478" w:rsidRDefault="00041655" w:rsidP="00F33AA3">
            <w:pPr>
              <w:pStyle w:val="TableParagraph"/>
              <w:spacing w:before="55" w:line="235" w:lineRule="auto"/>
              <w:ind w:left="75"/>
              <w:rPr>
                <w:rFonts w:asciiTheme="minorHAnsi" w:hAnsiTheme="minorHAnsi"/>
                <w:sz w:val="19"/>
              </w:rPr>
            </w:pPr>
            <w:r w:rsidRPr="00191478">
              <w:rPr>
                <w:rFonts w:asciiTheme="minorHAnsi" w:hAnsiTheme="minorHAnsi"/>
                <w:sz w:val="19"/>
              </w:rPr>
              <w:t>Improve access to financial support, to support greater fairness and more equal opportunity, by:</w:t>
            </w:r>
          </w:p>
          <w:p w14:paraId="206C38B0" w14:textId="77777777" w:rsidR="00041655" w:rsidRPr="00191478" w:rsidRDefault="00041655" w:rsidP="00041655">
            <w:pPr>
              <w:pStyle w:val="TableParagraph"/>
              <w:numPr>
                <w:ilvl w:val="0"/>
                <w:numId w:val="41"/>
              </w:numPr>
              <w:tabs>
                <w:tab w:val="left" w:pos="359"/>
              </w:tabs>
              <w:spacing w:before="57" w:line="235" w:lineRule="auto"/>
              <w:ind w:right="182" w:hanging="283"/>
              <w:rPr>
                <w:rFonts w:asciiTheme="minorHAnsi" w:hAnsiTheme="minorHAnsi"/>
                <w:sz w:val="19"/>
              </w:rPr>
            </w:pPr>
            <w:r w:rsidRPr="00191478">
              <w:rPr>
                <w:rFonts w:asciiTheme="minorHAnsi" w:hAnsiTheme="minorHAnsi"/>
                <w:spacing w:val="3"/>
                <w:sz w:val="19"/>
              </w:rPr>
              <w:t xml:space="preserve">introducing </w:t>
            </w:r>
            <w:r w:rsidRPr="00191478">
              <w:rPr>
                <w:rFonts w:asciiTheme="minorHAnsi" w:hAnsiTheme="minorHAnsi"/>
                <w:sz w:val="19"/>
              </w:rPr>
              <w:t xml:space="preserve">a  </w:t>
            </w:r>
            <w:r w:rsidRPr="00191478">
              <w:rPr>
                <w:rFonts w:asciiTheme="minorHAnsi" w:hAnsiTheme="minorHAnsi"/>
                <w:spacing w:val="2"/>
                <w:sz w:val="19"/>
              </w:rPr>
              <w:t xml:space="preserve">new </w:t>
            </w:r>
            <w:r w:rsidRPr="00191478">
              <w:rPr>
                <w:rFonts w:asciiTheme="minorHAnsi" w:hAnsiTheme="minorHAnsi"/>
                <w:spacing w:val="4"/>
                <w:sz w:val="19"/>
              </w:rPr>
              <w:t xml:space="preserve">tertiary </w:t>
            </w:r>
            <w:r w:rsidRPr="00191478">
              <w:rPr>
                <w:rFonts w:asciiTheme="minorHAnsi" w:hAnsiTheme="minorHAnsi"/>
                <w:spacing w:val="3"/>
                <w:sz w:val="19"/>
              </w:rPr>
              <w:t xml:space="preserve">education access payment </w:t>
            </w:r>
            <w:r w:rsidRPr="00191478">
              <w:rPr>
                <w:rFonts w:asciiTheme="minorHAnsi" w:hAnsiTheme="minorHAnsi"/>
                <w:spacing w:val="2"/>
                <w:sz w:val="19"/>
              </w:rPr>
              <w:t xml:space="preserve">for students </w:t>
            </w:r>
            <w:r w:rsidRPr="00191478">
              <w:rPr>
                <w:rFonts w:asciiTheme="minorHAnsi" w:hAnsiTheme="minorHAnsi"/>
                <w:spacing w:val="3"/>
                <w:sz w:val="19"/>
              </w:rPr>
              <w:t xml:space="preserve">who </w:t>
            </w:r>
            <w:r w:rsidRPr="00191478">
              <w:rPr>
                <w:rFonts w:asciiTheme="minorHAnsi" w:hAnsiTheme="minorHAnsi"/>
                <w:spacing w:val="2"/>
                <w:sz w:val="19"/>
              </w:rPr>
              <w:t>relocate for study from an outer</w:t>
            </w:r>
            <w:r w:rsidRPr="00191478">
              <w:rPr>
                <w:rFonts w:asciiTheme="minorHAnsi" w:hAnsiTheme="minorHAnsi"/>
                <w:spacing w:val="14"/>
                <w:sz w:val="19"/>
              </w:rPr>
              <w:t xml:space="preserve"> </w:t>
            </w:r>
            <w:r w:rsidRPr="00191478">
              <w:rPr>
                <w:rFonts w:asciiTheme="minorHAnsi" w:hAnsiTheme="minorHAnsi"/>
                <w:spacing w:val="3"/>
                <w:sz w:val="19"/>
              </w:rPr>
              <w:t>regional</w:t>
            </w:r>
          </w:p>
          <w:p w14:paraId="72C770CE" w14:textId="77777777" w:rsidR="00041655" w:rsidRPr="00191478" w:rsidRDefault="00041655" w:rsidP="00F33AA3">
            <w:pPr>
              <w:pStyle w:val="TableParagraph"/>
              <w:spacing w:before="0" w:line="221" w:lineRule="exact"/>
              <w:ind w:left="358"/>
              <w:rPr>
                <w:rFonts w:asciiTheme="minorHAnsi" w:hAnsiTheme="minorHAnsi"/>
                <w:sz w:val="19"/>
              </w:rPr>
            </w:pPr>
            <w:r w:rsidRPr="00191478">
              <w:rPr>
                <w:rFonts w:asciiTheme="minorHAnsi" w:hAnsiTheme="minorHAnsi"/>
                <w:sz w:val="19"/>
              </w:rPr>
              <w:t>or remote area</w:t>
            </w:r>
          </w:p>
          <w:p w14:paraId="683F89DE" w14:textId="77777777" w:rsidR="00041655" w:rsidRPr="00191478" w:rsidRDefault="00041655" w:rsidP="00041655">
            <w:pPr>
              <w:pStyle w:val="TableParagraph"/>
              <w:numPr>
                <w:ilvl w:val="0"/>
                <w:numId w:val="41"/>
              </w:numPr>
              <w:tabs>
                <w:tab w:val="left" w:pos="359"/>
              </w:tabs>
              <w:spacing w:before="56" w:line="235" w:lineRule="auto"/>
              <w:ind w:right="221" w:hanging="283"/>
              <w:rPr>
                <w:rFonts w:asciiTheme="minorHAnsi" w:hAnsiTheme="minorHAnsi"/>
                <w:sz w:val="19"/>
              </w:rPr>
            </w:pPr>
            <w:r w:rsidRPr="00191478">
              <w:rPr>
                <w:rFonts w:asciiTheme="minorHAnsi" w:hAnsiTheme="minorHAnsi"/>
                <w:spacing w:val="3"/>
                <w:sz w:val="19"/>
              </w:rPr>
              <w:t xml:space="preserve">allowing </w:t>
            </w:r>
            <w:r w:rsidRPr="00191478">
              <w:rPr>
                <w:rFonts w:asciiTheme="minorHAnsi" w:hAnsiTheme="minorHAnsi"/>
                <w:spacing w:val="2"/>
                <w:sz w:val="19"/>
              </w:rPr>
              <w:t xml:space="preserve">greater </w:t>
            </w:r>
            <w:r w:rsidRPr="00191478">
              <w:rPr>
                <w:rFonts w:asciiTheme="minorHAnsi" w:hAnsiTheme="minorHAnsi"/>
                <w:spacing w:val="3"/>
                <w:sz w:val="19"/>
              </w:rPr>
              <w:t xml:space="preserve">flexibility </w:t>
            </w:r>
            <w:r w:rsidRPr="00191478">
              <w:rPr>
                <w:rFonts w:asciiTheme="minorHAnsi" w:hAnsiTheme="minorHAnsi"/>
                <w:sz w:val="19"/>
              </w:rPr>
              <w:t>in pathways to</w:t>
            </w:r>
            <w:r w:rsidRPr="00191478">
              <w:rPr>
                <w:rFonts w:asciiTheme="minorHAnsi" w:hAnsiTheme="minorHAnsi"/>
                <w:spacing w:val="21"/>
                <w:sz w:val="19"/>
              </w:rPr>
              <w:t xml:space="preserve"> </w:t>
            </w:r>
            <w:r w:rsidRPr="00191478">
              <w:rPr>
                <w:rFonts w:asciiTheme="minorHAnsi" w:hAnsiTheme="minorHAnsi"/>
                <w:spacing w:val="4"/>
                <w:sz w:val="19"/>
              </w:rPr>
              <w:t>qualify</w:t>
            </w:r>
          </w:p>
          <w:p w14:paraId="6898ED60" w14:textId="77777777" w:rsidR="00041655" w:rsidRPr="00191478" w:rsidRDefault="00041655" w:rsidP="00F33AA3">
            <w:pPr>
              <w:pStyle w:val="TableParagraph"/>
              <w:spacing w:before="0" w:line="235" w:lineRule="auto"/>
              <w:ind w:left="358"/>
              <w:rPr>
                <w:rFonts w:asciiTheme="minorHAnsi" w:hAnsiTheme="minorHAnsi"/>
                <w:sz w:val="19"/>
              </w:rPr>
            </w:pPr>
            <w:r w:rsidRPr="00191478">
              <w:rPr>
                <w:rFonts w:asciiTheme="minorHAnsi" w:hAnsiTheme="minorHAnsi"/>
                <w:sz w:val="19"/>
              </w:rPr>
              <w:t>for independent Youth Allowance</w:t>
            </w:r>
          </w:p>
          <w:p w14:paraId="4DD77303" w14:textId="77777777" w:rsidR="00041655" w:rsidRPr="00191478" w:rsidRDefault="00041655" w:rsidP="00041655">
            <w:pPr>
              <w:pStyle w:val="TableParagraph"/>
              <w:numPr>
                <w:ilvl w:val="0"/>
                <w:numId w:val="41"/>
              </w:numPr>
              <w:tabs>
                <w:tab w:val="left" w:pos="359"/>
              </w:tabs>
              <w:spacing w:before="57" w:line="235" w:lineRule="auto"/>
              <w:ind w:right="100" w:hanging="283"/>
              <w:rPr>
                <w:rFonts w:asciiTheme="minorHAnsi" w:hAnsiTheme="minorHAnsi"/>
                <w:sz w:val="19"/>
              </w:rPr>
            </w:pPr>
            <w:r w:rsidRPr="00191478">
              <w:rPr>
                <w:rFonts w:asciiTheme="minorHAnsi" w:hAnsiTheme="minorHAnsi"/>
                <w:spacing w:val="3"/>
                <w:sz w:val="19"/>
              </w:rPr>
              <w:t xml:space="preserve">providing </w:t>
            </w:r>
            <w:r w:rsidRPr="00191478">
              <w:rPr>
                <w:rFonts w:asciiTheme="minorHAnsi" w:hAnsiTheme="minorHAnsi"/>
                <w:spacing w:val="2"/>
                <w:sz w:val="19"/>
              </w:rPr>
              <w:t xml:space="preserve">greater </w:t>
            </w:r>
            <w:r w:rsidRPr="00191478">
              <w:rPr>
                <w:rFonts w:asciiTheme="minorHAnsi" w:hAnsiTheme="minorHAnsi"/>
                <w:spacing w:val="3"/>
                <w:sz w:val="19"/>
              </w:rPr>
              <w:t xml:space="preserve">assistance </w:t>
            </w:r>
            <w:r w:rsidRPr="00191478">
              <w:rPr>
                <w:rFonts w:asciiTheme="minorHAnsi" w:hAnsiTheme="minorHAnsi"/>
                <w:sz w:val="19"/>
              </w:rPr>
              <w:t xml:space="preserve">to </w:t>
            </w:r>
            <w:r w:rsidRPr="00191478">
              <w:rPr>
                <w:rFonts w:asciiTheme="minorHAnsi" w:hAnsiTheme="minorHAnsi"/>
                <w:spacing w:val="2"/>
                <w:sz w:val="19"/>
              </w:rPr>
              <w:t xml:space="preserve">students </w:t>
            </w:r>
            <w:r w:rsidRPr="00191478">
              <w:rPr>
                <w:rFonts w:asciiTheme="minorHAnsi" w:hAnsiTheme="minorHAnsi"/>
                <w:spacing w:val="3"/>
                <w:sz w:val="19"/>
              </w:rPr>
              <w:t xml:space="preserve">and families </w:t>
            </w:r>
            <w:r w:rsidRPr="00191478">
              <w:rPr>
                <w:rFonts w:asciiTheme="minorHAnsi" w:hAnsiTheme="minorHAnsi"/>
                <w:sz w:val="19"/>
              </w:rPr>
              <w:t xml:space="preserve">to </w:t>
            </w:r>
            <w:r w:rsidRPr="00191478">
              <w:rPr>
                <w:rFonts w:asciiTheme="minorHAnsi" w:hAnsiTheme="minorHAnsi"/>
                <w:spacing w:val="3"/>
                <w:sz w:val="19"/>
              </w:rPr>
              <w:t xml:space="preserve">meet </w:t>
            </w:r>
            <w:r w:rsidRPr="00191478">
              <w:rPr>
                <w:rFonts w:asciiTheme="minorHAnsi" w:hAnsiTheme="minorHAnsi"/>
                <w:spacing w:val="2"/>
                <w:sz w:val="19"/>
              </w:rPr>
              <w:t xml:space="preserve">costs </w:t>
            </w:r>
            <w:r w:rsidRPr="00191478">
              <w:rPr>
                <w:rFonts w:asciiTheme="minorHAnsi" w:hAnsiTheme="minorHAnsi"/>
                <w:spacing w:val="3"/>
                <w:sz w:val="19"/>
              </w:rPr>
              <w:t xml:space="preserve">associated </w:t>
            </w:r>
            <w:r w:rsidRPr="00191478">
              <w:rPr>
                <w:rFonts w:asciiTheme="minorHAnsi" w:hAnsiTheme="minorHAnsi"/>
                <w:spacing w:val="2"/>
                <w:sz w:val="19"/>
              </w:rPr>
              <w:t>with</w:t>
            </w:r>
            <w:r w:rsidRPr="00191478">
              <w:rPr>
                <w:rFonts w:asciiTheme="minorHAnsi" w:hAnsiTheme="minorHAnsi"/>
                <w:spacing w:val="10"/>
                <w:sz w:val="19"/>
              </w:rPr>
              <w:t xml:space="preserve"> </w:t>
            </w:r>
            <w:r w:rsidRPr="00191478">
              <w:rPr>
                <w:rFonts w:asciiTheme="minorHAnsi" w:hAnsiTheme="minorHAnsi"/>
                <w:sz w:val="19"/>
              </w:rPr>
              <w:t>travel</w:t>
            </w:r>
          </w:p>
          <w:p w14:paraId="5D640C96" w14:textId="77777777" w:rsidR="00041655" w:rsidRPr="00191478" w:rsidRDefault="00041655" w:rsidP="00F33AA3">
            <w:pPr>
              <w:pStyle w:val="TableParagraph"/>
              <w:spacing w:before="0" w:line="235" w:lineRule="auto"/>
              <w:ind w:left="358"/>
              <w:rPr>
                <w:rFonts w:asciiTheme="minorHAnsi" w:hAnsiTheme="minorHAnsi"/>
                <w:sz w:val="19"/>
              </w:rPr>
            </w:pPr>
            <w:r w:rsidRPr="00191478">
              <w:rPr>
                <w:rFonts w:asciiTheme="minorHAnsi" w:hAnsiTheme="minorHAnsi"/>
                <w:sz w:val="19"/>
              </w:rPr>
              <w:t>to and from their home communities, and</w:t>
            </w:r>
          </w:p>
          <w:p w14:paraId="6243AFCE" w14:textId="77777777" w:rsidR="00041655" w:rsidRPr="00191478" w:rsidRDefault="00041655" w:rsidP="00041655">
            <w:pPr>
              <w:pStyle w:val="TableParagraph"/>
              <w:numPr>
                <w:ilvl w:val="0"/>
                <w:numId w:val="41"/>
              </w:numPr>
              <w:tabs>
                <w:tab w:val="left" w:pos="359"/>
              </w:tabs>
              <w:spacing w:before="57" w:line="235" w:lineRule="auto"/>
              <w:ind w:right="81" w:hanging="283"/>
              <w:rPr>
                <w:rFonts w:asciiTheme="minorHAnsi" w:hAnsiTheme="minorHAnsi"/>
                <w:sz w:val="19"/>
              </w:rPr>
            </w:pPr>
            <w:r w:rsidRPr="00191478">
              <w:rPr>
                <w:rFonts w:asciiTheme="minorHAnsi" w:hAnsiTheme="minorHAnsi"/>
                <w:spacing w:val="2"/>
                <w:sz w:val="19"/>
              </w:rPr>
              <w:t xml:space="preserve">promoting </w:t>
            </w:r>
            <w:r w:rsidRPr="00191478">
              <w:rPr>
                <w:rFonts w:asciiTheme="minorHAnsi" w:hAnsiTheme="minorHAnsi"/>
                <w:spacing w:val="3"/>
                <w:sz w:val="19"/>
              </w:rPr>
              <w:t xml:space="preserve">and improving </w:t>
            </w:r>
            <w:r w:rsidRPr="00191478">
              <w:rPr>
                <w:rFonts w:asciiTheme="minorHAnsi" w:hAnsiTheme="minorHAnsi"/>
                <w:spacing w:val="2"/>
                <w:sz w:val="19"/>
              </w:rPr>
              <w:t xml:space="preserve">the </w:t>
            </w:r>
            <w:r w:rsidRPr="00191478">
              <w:rPr>
                <w:rFonts w:asciiTheme="minorHAnsi" w:hAnsiTheme="minorHAnsi"/>
                <w:spacing w:val="4"/>
                <w:sz w:val="19"/>
              </w:rPr>
              <w:t xml:space="preserve">clarity </w:t>
            </w:r>
            <w:r w:rsidRPr="00191478">
              <w:rPr>
                <w:rFonts w:asciiTheme="minorHAnsi" w:hAnsiTheme="minorHAnsi"/>
                <w:sz w:val="19"/>
              </w:rPr>
              <w:t xml:space="preserve">of </w:t>
            </w:r>
            <w:r w:rsidRPr="00191478">
              <w:rPr>
                <w:rFonts w:asciiTheme="minorHAnsi" w:hAnsiTheme="minorHAnsi"/>
                <w:spacing w:val="3"/>
                <w:sz w:val="19"/>
              </w:rPr>
              <w:t>online information about available financial</w:t>
            </w:r>
            <w:r w:rsidRPr="00191478">
              <w:rPr>
                <w:rFonts w:asciiTheme="minorHAnsi" w:hAnsiTheme="minorHAnsi"/>
                <w:spacing w:val="13"/>
                <w:sz w:val="19"/>
              </w:rPr>
              <w:t xml:space="preserve"> </w:t>
            </w:r>
            <w:r w:rsidRPr="00191478">
              <w:rPr>
                <w:rFonts w:asciiTheme="minorHAnsi" w:hAnsiTheme="minorHAnsi"/>
                <w:spacing w:val="3"/>
                <w:sz w:val="19"/>
              </w:rPr>
              <w:t>support.</w:t>
            </w:r>
          </w:p>
        </w:tc>
        <w:tc>
          <w:tcPr>
            <w:tcW w:w="7520" w:type="dxa"/>
            <w:tcBorders>
              <w:top w:val="nil"/>
              <w:bottom w:val="single" w:sz="6" w:space="0" w:color="FFFFFF"/>
              <w:right w:val="nil"/>
            </w:tcBorders>
            <w:shd w:val="clear" w:color="auto" w:fill="ECEFF1"/>
          </w:tcPr>
          <w:p w14:paraId="59BC5F74" w14:textId="77777777" w:rsidR="00041655" w:rsidRPr="00191478" w:rsidRDefault="00041655" w:rsidP="00041655">
            <w:pPr>
              <w:pStyle w:val="TableParagraph"/>
              <w:numPr>
                <w:ilvl w:val="0"/>
                <w:numId w:val="40"/>
              </w:numPr>
              <w:tabs>
                <w:tab w:val="left" w:pos="415"/>
                <w:tab w:val="left" w:pos="416"/>
              </w:tabs>
              <w:spacing w:before="49" w:line="235" w:lineRule="auto"/>
              <w:ind w:right="149" w:hanging="340"/>
              <w:rPr>
                <w:rFonts w:asciiTheme="minorHAnsi" w:hAnsiTheme="minorHAnsi"/>
                <w:sz w:val="19"/>
              </w:rPr>
            </w:pPr>
            <w:r w:rsidRPr="00191478">
              <w:rPr>
                <w:rFonts w:asciiTheme="minorHAnsi" w:hAnsiTheme="minorHAnsi"/>
                <w:spacing w:val="2"/>
                <w:sz w:val="19"/>
              </w:rPr>
              <w:t xml:space="preserve">Introduce </w:t>
            </w:r>
            <w:r w:rsidRPr="00191478">
              <w:rPr>
                <w:rFonts w:asciiTheme="minorHAnsi" w:hAnsiTheme="minorHAnsi"/>
                <w:sz w:val="19"/>
              </w:rPr>
              <w:t xml:space="preserve">a </w:t>
            </w:r>
            <w:r w:rsidRPr="00191478">
              <w:rPr>
                <w:rFonts w:asciiTheme="minorHAnsi" w:hAnsiTheme="minorHAnsi"/>
                <w:spacing w:val="2"/>
                <w:sz w:val="19"/>
              </w:rPr>
              <w:t xml:space="preserve">new </w:t>
            </w:r>
            <w:r w:rsidRPr="00191478">
              <w:rPr>
                <w:rFonts w:asciiTheme="minorHAnsi" w:hAnsiTheme="minorHAnsi"/>
                <w:spacing w:val="4"/>
                <w:sz w:val="19"/>
              </w:rPr>
              <w:t xml:space="preserve">tertiary </w:t>
            </w:r>
            <w:r w:rsidRPr="00191478">
              <w:rPr>
                <w:rFonts w:asciiTheme="minorHAnsi" w:hAnsiTheme="minorHAnsi"/>
                <w:spacing w:val="3"/>
                <w:sz w:val="19"/>
              </w:rPr>
              <w:t xml:space="preserve">education access </w:t>
            </w:r>
            <w:r w:rsidRPr="00191478">
              <w:rPr>
                <w:rFonts w:asciiTheme="minorHAnsi" w:hAnsiTheme="minorHAnsi"/>
                <w:spacing w:val="2"/>
                <w:sz w:val="19"/>
              </w:rPr>
              <w:t xml:space="preserve">payment </w:t>
            </w:r>
            <w:r w:rsidRPr="00191478">
              <w:rPr>
                <w:rFonts w:asciiTheme="minorHAnsi" w:hAnsiTheme="minorHAnsi"/>
                <w:sz w:val="19"/>
              </w:rPr>
              <w:t xml:space="preserve">of </w:t>
            </w:r>
            <w:r w:rsidRPr="00191478">
              <w:rPr>
                <w:rFonts w:asciiTheme="minorHAnsi" w:hAnsiTheme="minorHAnsi"/>
                <w:spacing w:val="3"/>
                <w:sz w:val="19"/>
              </w:rPr>
              <w:t xml:space="preserve">$5000 </w:t>
            </w:r>
            <w:r w:rsidRPr="00191478">
              <w:rPr>
                <w:rFonts w:asciiTheme="minorHAnsi" w:hAnsiTheme="minorHAnsi"/>
                <w:spacing w:val="2"/>
                <w:sz w:val="19"/>
              </w:rPr>
              <w:t xml:space="preserve">available </w:t>
            </w:r>
            <w:r w:rsidRPr="00191478">
              <w:rPr>
                <w:rFonts w:asciiTheme="minorHAnsi" w:hAnsiTheme="minorHAnsi"/>
                <w:sz w:val="19"/>
              </w:rPr>
              <w:t xml:space="preserve">to </w:t>
            </w:r>
            <w:r w:rsidRPr="00191478">
              <w:rPr>
                <w:rFonts w:asciiTheme="minorHAnsi" w:hAnsiTheme="minorHAnsi"/>
                <w:spacing w:val="2"/>
                <w:sz w:val="19"/>
              </w:rPr>
              <w:t xml:space="preserve">all </w:t>
            </w:r>
            <w:r w:rsidRPr="00191478">
              <w:rPr>
                <w:rFonts w:asciiTheme="minorHAnsi" w:hAnsiTheme="minorHAnsi"/>
                <w:spacing w:val="3"/>
                <w:sz w:val="19"/>
              </w:rPr>
              <w:t xml:space="preserve">school </w:t>
            </w:r>
            <w:r w:rsidRPr="00191478">
              <w:rPr>
                <w:rFonts w:asciiTheme="minorHAnsi" w:hAnsiTheme="minorHAnsi"/>
                <w:spacing w:val="2"/>
                <w:sz w:val="19"/>
              </w:rPr>
              <w:t>leavers</w:t>
            </w:r>
            <w:r w:rsidRPr="00191478">
              <w:rPr>
                <w:rFonts w:asciiTheme="minorHAnsi" w:hAnsiTheme="minorHAnsi"/>
                <w:spacing w:val="-9"/>
                <w:sz w:val="19"/>
              </w:rPr>
              <w:t xml:space="preserve"> </w:t>
            </w:r>
            <w:r w:rsidRPr="00191478">
              <w:rPr>
                <w:rFonts w:asciiTheme="minorHAnsi" w:hAnsiTheme="minorHAnsi"/>
                <w:sz w:val="19"/>
              </w:rPr>
              <w:t>that</w:t>
            </w:r>
            <w:r w:rsidRPr="00191478">
              <w:rPr>
                <w:rFonts w:asciiTheme="minorHAnsi" w:hAnsiTheme="minorHAnsi"/>
                <w:spacing w:val="-8"/>
                <w:sz w:val="19"/>
              </w:rPr>
              <w:t xml:space="preserve"> </w:t>
            </w:r>
            <w:r w:rsidRPr="00191478">
              <w:rPr>
                <w:rFonts w:asciiTheme="minorHAnsi" w:hAnsiTheme="minorHAnsi"/>
                <w:spacing w:val="2"/>
                <w:sz w:val="19"/>
              </w:rPr>
              <w:t>relocate</w:t>
            </w:r>
            <w:r w:rsidRPr="00191478">
              <w:rPr>
                <w:rFonts w:asciiTheme="minorHAnsi" w:hAnsiTheme="minorHAnsi"/>
                <w:spacing w:val="-9"/>
                <w:sz w:val="19"/>
              </w:rPr>
              <w:t xml:space="preserve"> </w:t>
            </w:r>
            <w:r w:rsidRPr="00191478">
              <w:rPr>
                <w:rFonts w:asciiTheme="minorHAnsi" w:hAnsiTheme="minorHAnsi"/>
                <w:spacing w:val="2"/>
                <w:sz w:val="19"/>
              </w:rPr>
              <w:t>from</w:t>
            </w:r>
            <w:r w:rsidRPr="00191478">
              <w:rPr>
                <w:rFonts w:asciiTheme="minorHAnsi" w:hAnsiTheme="minorHAnsi"/>
                <w:spacing w:val="-8"/>
                <w:sz w:val="19"/>
              </w:rPr>
              <w:t xml:space="preserve"> </w:t>
            </w:r>
            <w:r w:rsidRPr="00191478">
              <w:rPr>
                <w:rFonts w:asciiTheme="minorHAnsi" w:hAnsiTheme="minorHAnsi"/>
                <w:spacing w:val="2"/>
                <w:sz w:val="19"/>
              </w:rPr>
              <w:t>an</w:t>
            </w:r>
            <w:r w:rsidRPr="00191478">
              <w:rPr>
                <w:rFonts w:asciiTheme="minorHAnsi" w:hAnsiTheme="minorHAnsi"/>
                <w:spacing w:val="-8"/>
                <w:sz w:val="19"/>
              </w:rPr>
              <w:t xml:space="preserve"> </w:t>
            </w:r>
            <w:r w:rsidRPr="00191478">
              <w:rPr>
                <w:rFonts w:asciiTheme="minorHAnsi" w:hAnsiTheme="minorHAnsi"/>
                <w:spacing w:val="2"/>
                <w:sz w:val="19"/>
              </w:rPr>
              <w:t>outer</w:t>
            </w:r>
            <w:r w:rsidRPr="00191478">
              <w:rPr>
                <w:rFonts w:asciiTheme="minorHAnsi" w:hAnsiTheme="minorHAnsi"/>
                <w:spacing w:val="-9"/>
                <w:sz w:val="19"/>
              </w:rPr>
              <w:t xml:space="preserve"> </w:t>
            </w:r>
            <w:r w:rsidRPr="00191478">
              <w:rPr>
                <w:rFonts w:asciiTheme="minorHAnsi" w:hAnsiTheme="minorHAnsi"/>
                <w:spacing w:val="3"/>
                <w:sz w:val="19"/>
              </w:rPr>
              <w:t>regional</w:t>
            </w:r>
            <w:r w:rsidRPr="00191478">
              <w:rPr>
                <w:rFonts w:asciiTheme="minorHAnsi" w:hAnsiTheme="minorHAnsi"/>
                <w:spacing w:val="-8"/>
                <w:sz w:val="19"/>
              </w:rPr>
              <w:t xml:space="preserve"> </w:t>
            </w:r>
            <w:r w:rsidRPr="00191478">
              <w:rPr>
                <w:rFonts w:asciiTheme="minorHAnsi" w:hAnsiTheme="minorHAnsi"/>
                <w:sz w:val="19"/>
              </w:rPr>
              <w:t>or</w:t>
            </w:r>
            <w:r w:rsidRPr="00191478">
              <w:rPr>
                <w:rFonts w:asciiTheme="minorHAnsi" w:hAnsiTheme="minorHAnsi"/>
                <w:spacing w:val="-8"/>
                <w:sz w:val="19"/>
              </w:rPr>
              <w:t xml:space="preserve"> </w:t>
            </w:r>
            <w:r w:rsidRPr="00191478">
              <w:rPr>
                <w:rFonts w:asciiTheme="minorHAnsi" w:hAnsiTheme="minorHAnsi"/>
                <w:spacing w:val="2"/>
                <w:sz w:val="19"/>
              </w:rPr>
              <w:t>remote</w:t>
            </w:r>
            <w:r w:rsidRPr="00191478">
              <w:rPr>
                <w:rFonts w:asciiTheme="minorHAnsi" w:hAnsiTheme="minorHAnsi"/>
                <w:spacing w:val="-9"/>
                <w:sz w:val="19"/>
              </w:rPr>
              <w:t xml:space="preserve"> </w:t>
            </w:r>
            <w:r w:rsidRPr="00191478">
              <w:rPr>
                <w:rFonts w:asciiTheme="minorHAnsi" w:hAnsiTheme="minorHAnsi"/>
                <w:spacing w:val="3"/>
                <w:sz w:val="19"/>
              </w:rPr>
              <w:t>location</w:t>
            </w:r>
            <w:r w:rsidRPr="00191478">
              <w:rPr>
                <w:rFonts w:asciiTheme="minorHAnsi" w:hAnsiTheme="minorHAnsi"/>
                <w:spacing w:val="-8"/>
                <w:sz w:val="19"/>
              </w:rPr>
              <w:t xml:space="preserve"> </w:t>
            </w:r>
            <w:r w:rsidRPr="00191478">
              <w:rPr>
                <w:rFonts w:asciiTheme="minorHAnsi" w:hAnsiTheme="minorHAnsi"/>
                <w:sz w:val="19"/>
              </w:rPr>
              <w:t>to</w:t>
            </w:r>
            <w:r w:rsidRPr="00191478">
              <w:rPr>
                <w:rFonts w:asciiTheme="minorHAnsi" w:hAnsiTheme="minorHAnsi"/>
                <w:spacing w:val="-9"/>
                <w:sz w:val="19"/>
              </w:rPr>
              <w:t xml:space="preserve"> </w:t>
            </w:r>
            <w:r w:rsidRPr="00191478">
              <w:rPr>
                <w:rFonts w:asciiTheme="minorHAnsi" w:hAnsiTheme="minorHAnsi"/>
                <w:spacing w:val="3"/>
                <w:sz w:val="19"/>
              </w:rPr>
              <w:t>undertake</w:t>
            </w:r>
            <w:r w:rsidRPr="00191478">
              <w:rPr>
                <w:rFonts w:asciiTheme="minorHAnsi" w:hAnsiTheme="minorHAnsi"/>
                <w:spacing w:val="-8"/>
                <w:sz w:val="19"/>
              </w:rPr>
              <w:t xml:space="preserve"> </w:t>
            </w:r>
            <w:r w:rsidRPr="00191478">
              <w:rPr>
                <w:rFonts w:asciiTheme="minorHAnsi" w:hAnsiTheme="minorHAnsi"/>
                <w:spacing w:val="2"/>
                <w:sz w:val="19"/>
              </w:rPr>
              <w:t xml:space="preserve">full-time, higher-level </w:t>
            </w:r>
            <w:r w:rsidRPr="00191478">
              <w:rPr>
                <w:rFonts w:asciiTheme="minorHAnsi" w:hAnsiTheme="minorHAnsi"/>
                <w:spacing w:val="4"/>
                <w:sz w:val="19"/>
              </w:rPr>
              <w:t xml:space="preserve">tertiary </w:t>
            </w:r>
            <w:r w:rsidRPr="00191478">
              <w:rPr>
                <w:rFonts w:asciiTheme="minorHAnsi" w:hAnsiTheme="minorHAnsi"/>
                <w:spacing w:val="3"/>
                <w:sz w:val="19"/>
              </w:rPr>
              <w:t xml:space="preserve">education. The course </w:t>
            </w:r>
            <w:r w:rsidRPr="00191478">
              <w:rPr>
                <w:rFonts w:asciiTheme="minorHAnsi" w:hAnsiTheme="minorHAnsi"/>
                <w:spacing w:val="2"/>
                <w:sz w:val="19"/>
              </w:rPr>
              <w:t xml:space="preserve">would </w:t>
            </w:r>
            <w:r w:rsidRPr="00191478">
              <w:rPr>
                <w:rFonts w:asciiTheme="minorHAnsi" w:hAnsiTheme="minorHAnsi"/>
                <w:spacing w:val="3"/>
                <w:sz w:val="19"/>
              </w:rPr>
              <w:t xml:space="preserve">need </w:t>
            </w:r>
            <w:r w:rsidRPr="00191478">
              <w:rPr>
                <w:rFonts w:asciiTheme="minorHAnsi" w:hAnsiTheme="minorHAnsi"/>
                <w:sz w:val="19"/>
              </w:rPr>
              <w:t xml:space="preserve">to be of at </w:t>
            </w:r>
            <w:r w:rsidRPr="00191478">
              <w:rPr>
                <w:rFonts w:asciiTheme="minorHAnsi" w:hAnsiTheme="minorHAnsi"/>
                <w:spacing w:val="3"/>
                <w:sz w:val="19"/>
              </w:rPr>
              <w:t xml:space="preserve">least </w:t>
            </w:r>
            <w:r w:rsidRPr="00191478">
              <w:rPr>
                <w:rFonts w:asciiTheme="minorHAnsi" w:hAnsiTheme="minorHAnsi"/>
                <w:sz w:val="19"/>
              </w:rPr>
              <w:t xml:space="preserve">a </w:t>
            </w:r>
            <w:r w:rsidRPr="00191478">
              <w:rPr>
                <w:rFonts w:asciiTheme="minorHAnsi" w:hAnsiTheme="minorHAnsi"/>
                <w:spacing w:val="2"/>
                <w:sz w:val="19"/>
              </w:rPr>
              <w:t xml:space="preserve">year duration </w:t>
            </w:r>
            <w:r w:rsidRPr="00191478">
              <w:rPr>
                <w:rFonts w:asciiTheme="minorHAnsi" w:hAnsiTheme="minorHAnsi"/>
                <w:spacing w:val="3"/>
                <w:sz w:val="19"/>
              </w:rPr>
              <w:t xml:space="preserve">and provided </w:t>
            </w:r>
            <w:r w:rsidRPr="00191478">
              <w:rPr>
                <w:rFonts w:asciiTheme="minorHAnsi" w:hAnsiTheme="minorHAnsi"/>
                <w:sz w:val="19"/>
              </w:rPr>
              <w:t xml:space="preserve">at </w:t>
            </w:r>
            <w:r w:rsidRPr="00191478">
              <w:rPr>
                <w:rFonts w:asciiTheme="minorHAnsi" w:hAnsiTheme="minorHAnsi"/>
                <w:spacing w:val="2"/>
                <w:sz w:val="19"/>
              </w:rPr>
              <w:t xml:space="preserve">an institution </w:t>
            </w:r>
            <w:r w:rsidRPr="00191478">
              <w:rPr>
                <w:rFonts w:asciiTheme="minorHAnsi" w:hAnsiTheme="minorHAnsi"/>
                <w:sz w:val="19"/>
              </w:rPr>
              <w:t xml:space="preserve">at </w:t>
            </w:r>
            <w:r w:rsidRPr="00191478">
              <w:rPr>
                <w:rFonts w:asciiTheme="minorHAnsi" w:hAnsiTheme="minorHAnsi"/>
                <w:spacing w:val="3"/>
                <w:sz w:val="19"/>
              </w:rPr>
              <w:t xml:space="preserve">least 90 </w:t>
            </w:r>
            <w:r w:rsidRPr="00191478">
              <w:rPr>
                <w:rFonts w:asciiTheme="minorHAnsi" w:hAnsiTheme="minorHAnsi"/>
                <w:spacing w:val="2"/>
                <w:sz w:val="19"/>
              </w:rPr>
              <w:t xml:space="preserve">minutes </w:t>
            </w:r>
            <w:r w:rsidRPr="00191478">
              <w:rPr>
                <w:rFonts w:asciiTheme="minorHAnsi" w:hAnsiTheme="minorHAnsi"/>
                <w:sz w:val="19"/>
              </w:rPr>
              <w:t xml:space="preserve">by </w:t>
            </w:r>
            <w:r w:rsidRPr="00191478">
              <w:rPr>
                <w:rFonts w:asciiTheme="minorHAnsi" w:hAnsiTheme="minorHAnsi"/>
                <w:spacing w:val="3"/>
                <w:sz w:val="19"/>
              </w:rPr>
              <w:t xml:space="preserve">public transport </w:t>
            </w:r>
            <w:r w:rsidRPr="00191478">
              <w:rPr>
                <w:rFonts w:asciiTheme="minorHAnsi" w:hAnsiTheme="minorHAnsi"/>
                <w:spacing w:val="2"/>
                <w:sz w:val="19"/>
              </w:rPr>
              <w:t>from their home.</w:t>
            </w:r>
          </w:p>
          <w:p w14:paraId="2AA6DB61" w14:textId="77777777" w:rsidR="00041655" w:rsidRPr="00191478" w:rsidRDefault="00041655" w:rsidP="00041655">
            <w:pPr>
              <w:pStyle w:val="TableParagraph"/>
              <w:numPr>
                <w:ilvl w:val="0"/>
                <w:numId w:val="40"/>
              </w:numPr>
              <w:tabs>
                <w:tab w:val="left" w:pos="416"/>
              </w:tabs>
              <w:spacing w:before="57" w:line="235" w:lineRule="auto"/>
              <w:ind w:right="299" w:hanging="340"/>
              <w:rPr>
                <w:rFonts w:asciiTheme="minorHAnsi" w:hAnsiTheme="minorHAnsi"/>
                <w:sz w:val="19"/>
              </w:rPr>
            </w:pPr>
            <w:r w:rsidRPr="00191478">
              <w:rPr>
                <w:rFonts w:asciiTheme="minorHAnsi" w:hAnsiTheme="minorHAnsi"/>
                <w:spacing w:val="2"/>
                <w:sz w:val="19"/>
              </w:rPr>
              <w:t xml:space="preserve">Allow RRR </w:t>
            </w:r>
            <w:r w:rsidRPr="00191478">
              <w:rPr>
                <w:rFonts w:asciiTheme="minorHAnsi" w:hAnsiTheme="minorHAnsi"/>
                <w:spacing w:val="3"/>
                <w:sz w:val="19"/>
              </w:rPr>
              <w:t xml:space="preserve">learners </w:t>
            </w:r>
            <w:r w:rsidRPr="00191478">
              <w:rPr>
                <w:rFonts w:asciiTheme="minorHAnsi" w:hAnsiTheme="minorHAnsi"/>
                <w:spacing w:val="2"/>
                <w:sz w:val="19"/>
              </w:rPr>
              <w:t xml:space="preserve">who </w:t>
            </w:r>
            <w:r w:rsidRPr="00191478">
              <w:rPr>
                <w:rFonts w:asciiTheme="minorHAnsi" w:hAnsiTheme="minorHAnsi"/>
                <w:spacing w:val="3"/>
                <w:sz w:val="19"/>
              </w:rPr>
              <w:t xml:space="preserve">successfully undertake </w:t>
            </w:r>
            <w:r w:rsidRPr="00191478">
              <w:rPr>
                <w:rFonts w:asciiTheme="minorHAnsi" w:hAnsiTheme="minorHAnsi"/>
                <w:spacing w:val="2"/>
                <w:sz w:val="19"/>
              </w:rPr>
              <w:t xml:space="preserve">their first year </w:t>
            </w:r>
            <w:r w:rsidRPr="00191478">
              <w:rPr>
                <w:rFonts w:asciiTheme="minorHAnsi" w:hAnsiTheme="minorHAnsi"/>
                <w:sz w:val="19"/>
              </w:rPr>
              <w:t xml:space="preserve">of </w:t>
            </w:r>
            <w:r w:rsidRPr="00191478">
              <w:rPr>
                <w:rFonts w:asciiTheme="minorHAnsi" w:hAnsiTheme="minorHAnsi"/>
                <w:spacing w:val="4"/>
                <w:sz w:val="19"/>
              </w:rPr>
              <w:t xml:space="preserve">tertiary </w:t>
            </w:r>
            <w:r w:rsidRPr="00191478">
              <w:rPr>
                <w:rFonts w:asciiTheme="minorHAnsi" w:hAnsiTheme="minorHAnsi"/>
                <w:spacing w:val="2"/>
                <w:sz w:val="19"/>
              </w:rPr>
              <w:t xml:space="preserve">study externally, </w:t>
            </w:r>
            <w:r w:rsidRPr="00191478">
              <w:rPr>
                <w:rFonts w:asciiTheme="minorHAnsi" w:hAnsiTheme="minorHAnsi"/>
                <w:spacing w:val="3"/>
                <w:sz w:val="19"/>
              </w:rPr>
              <w:t xml:space="preserve">including </w:t>
            </w:r>
            <w:r w:rsidRPr="00191478">
              <w:rPr>
                <w:rFonts w:asciiTheme="minorHAnsi" w:hAnsiTheme="minorHAnsi"/>
                <w:sz w:val="19"/>
              </w:rPr>
              <w:t xml:space="preserve">at a </w:t>
            </w:r>
            <w:r w:rsidRPr="00191478">
              <w:rPr>
                <w:rFonts w:asciiTheme="minorHAnsi" w:hAnsiTheme="minorHAnsi"/>
                <w:spacing w:val="3"/>
                <w:sz w:val="19"/>
              </w:rPr>
              <w:t xml:space="preserve">Regional Study </w:t>
            </w:r>
            <w:r w:rsidRPr="00191478">
              <w:rPr>
                <w:rFonts w:asciiTheme="minorHAnsi" w:hAnsiTheme="minorHAnsi"/>
                <w:sz w:val="19"/>
              </w:rPr>
              <w:t xml:space="preserve">Hub, to </w:t>
            </w:r>
            <w:r w:rsidRPr="00191478">
              <w:rPr>
                <w:rFonts w:asciiTheme="minorHAnsi" w:hAnsiTheme="minorHAnsi"/>
                <w:spacing w:val="3"/>
                <w:sz w:val="19"/>
              </w:rPr>
              <w:t xml:space="preserve">access independent </w:t>
            </w:r>
            <w:r w:rsidRPr="00191478">
              <w:rPr>
                <w:rFonts w:asciiTheme="minorHAnsi" w:hAnsiTheme="minorHAnsi"/>
                <w:sz w:val="19"/>
              </w:rPr>
              <w:t xml:space="preserve">Youth </w:t>
            </w:r>
            <w:r w:rsidRPr="00191478">
              <w:rPr>
                <w:rFonts w:asciiTheme="minorHAnsi" w:hAnsiTheme="minorHAnsi"/>
                <w:spacing w:val="3"/>
                <w:sz w:val="19"/>
              </w:rPr>
              <w:t xml:space="preserve">Allowance </w:t>
            </w:r>
            <w:r w:rsidRPr="00191478">
              <w:rPr>
                <w:rFonts w:asciiTheme="minorHAnsi" w:hAnsiTheme="minorHAnsi"/>
                <w:sz w:val="19"/>
              </w:rPr>
              <w:t xml:space="preserve">or </w:t>
            </w:r>
            <w:r w:rsidRPr="00191478">
              <w:rPr>
                <w:rFonts w:asciiTheme="minorHAnsi" w:hAnsiTheme="minorHAnsi"/>
                <w:spacing w:val="3"/>
                <w:sz w:val="19"/>
              </w:rPr>
              <w:t xml:space="preserve">independent </w:t>
            </w:r>
            <w:r w:rsidRPr="00191478">
              <w:rPr>
                <w:rFonts w:asciiTheme="minorHAnsi" w:hAnsiTheme="minorHAnsi"/>
                <w:sz w:val="19"/>
              </w:rPr>
              <w:t xml:space="preserve">ABSTUDY </w:t>
            </w:r>
            <w:r w:rsidRPr="00191478">
              <w:rPr>
                <w:rFonts w:asciiTheme="minorHAnsi" w:hAnsiTheme="minorHAnsi"/>
                <w:spacing w:val="3"/>
                <w:sz w:val="19"/>
              </w:rPr>
              <w:t xml:space="preserve">Allowance </w:t>
            </w:r>
            <w:r w:rsidRPr="00191478">
              <w:rPr>
                <w:rFonts w:asciiTheme="minorHAnsi" w:hAnsiTheme="minorHAnsi"/>
                <w:sz w:val="19"/>
              </w:rPr>
              <w:t xml:space="preserve">if they </w:t>
            </w:r>
            <w:r w:rsidRPr="00191478">
              <w:rPr>
                <w:rFonts w:asciiTheme="minorHAnsi" w:hAnsiTheme="minorHAnsi"/>
                <w:spacing w:val="2"/>
                <w:sz w:val="19"/>
              </w:rPr>
              <w:t xml:space="preserve">relocate </w:t>
            </w:r>
            <w:r w:rsidRPr="00191478">
              <w:rPr>
                <w:rFonts w:asciiTheme="minorHAnsi" w:hAnsiTheme="minorHAnsi"/>
                <w:sz w:val="19"/>
              </w:rPr>
              <w:t xml:space="preserve">to </w:t>
            </w:r>
            <w:r w:rsidRPr="00191478">
              <w:rPr>
                <w:rFonts w:asciiTheme="minorHAnsi" w:hAnsiTheme="minorHAnsi"/>
                <w:spacing w:val="2"/>
                <w:sz w:val="19"/>
              </w:rPr>
              <w:t xml:space="preserve">continue their study </w:t>
            </w:r>
            <w:r w:rsidRPr="00191478">
              <w:rPr>
                <w:rFonts w:asciiTheme="minorHAnsi" w:hAnsiTheme="minorHAnsi"/>
                <w:sz w:val="19"/>
              </w:rPr>
              <w:t xml:space="preserve">in </w:t>
            </w:r>
            <w:r w:rsidRPr="00191478">
              <w:rPr>
                <w:rFonts w:asciiTheme="minorHAnsi" w:hAnsiTheme="minorHAnsi"/>
                <w:spacing w:val="2"/>
                <w:sz w:val="19"/>
              </w:rPr>
              <w:t xml:space="preserve">their </w:t>
            </w:r>
            <w:r w:rsidRPr="00191478">
              <w:rPr>
                <w:rFonts w:asciiTheme="minorHAnsi" w:hAnsiTheme="minorHAnsi"/>
                <w:spacing w:val="3"/>
                <w:sz w:val="19"/>
              </w:rPr>
              <w:t xml:space="preserve">second </w:t>
            </w:r>
            <w:r w:rsidRPr="00191478">
              <w:rPr>
                <w:rFonts w:asciiTheme="minorHAnsi" w:hAnsiTheme="minorHAnsi"/>
                <w:sz w:val="19"/>
              </w:rPr>
              <w:t xml:space="preserve">year. </w:t>
            </w:r>
            <w:r w:rsidRPr="00191478">
              <w:rPr>
                <w:rFonts w:asciiTheme="minorHAnsi" w:hAnsiTheme="minorHAnsi"/>
                <w:spacing w:val="3"/>
                <w:sz w:val="19"/>
              </w:rPr>
              <w:t xml:space="preserve">The course </w:t>
            </w:r>
            <w:r w:rsidRPr="00191478">
              <w:rPr>
                <w:rFonts w:asciiTheme="minorHAnsi" w:hAnsiTheme="minorHAnsi"/>
                <w:spacing w:val="2"/>
                <w:sz w:val="19"/>
              </w:rPr>
              <w:t xml:space="preserve">would </w:t>
            </w:r>
            <w:r w:rsidRPr="00191478">
              <w:rPr>
                <w:rFonts w:asciiTheme="minorHAnsi" w:hAnsiTheme="minorHAnsi"/>
                <w:spacing w:val="3"/>
                <w:sz w:val="19"/>
              </w:rPr>
              <w:t xml:space="preserve">need </w:t>
            </w:r>
            <w:r w:rsidRPr="00191478">
              <w:rPr>
                <w:rFonts w:asciiTheme="minorHAnsi" w:hAnsiTheme="minorHAnsi"/>
                <w:sz w:val="19"/>
              </w:rPr>
              <w:t xml:space="preserve">to be of at </w:t>
            </w:r>
            <w:r w:rsidRPr="00191478">
              <w:rPr>
                <w:rFonts w:asciiTheme="minorHAnsi" w:hAnsiTheme="minorHAnsi"/>
                <w:spacing w:val="3"/>
                <w:sz w:val="19"/>
              </w:rPr>
              <w:t xml:space="preserve">least </w:t>
            </w:r>
            <w:r w:rsidRPr="00191478">
              <w:rPr>
                <w:rFonts w:asciiTheme="minorHAnsi" w:hAnsiTheme="minorHAnsi"/>
                <w:sz w:val="19"/>
              </w:rPr>
              <w:t xml:space="preserve">a </w:t>
            </w:r>
            <w:r w:rsidRPr="00191478">
              <w:rPr>
                <w:rFonts w:asciiTheme="minorHAnsi" w:hAnsiTheme="minorHAnsi"/>
                <w:spacing w:val="4"/>
                <w:sz w:val="19"/>
              </w:rPr>
              <w:t xml:space="preserve">further </w:t>
            </w:r>
            <w:r w:rsidRPr="00191478">
              <w:rPr>
                <w:rFonts w:asciiTheme="minorHAnsi" w:hAnsiTheme="minorHAnsi"/>
                <w:spacing w:val="2"/>
                <w:sz w:val="19"/>
              </w:rPr>
              <w:t>year duration</w:t>
            </w:r>
            <w:r w:rsidRPr="00191478">
              <w:rPr>
                <w:rFonts w:asciiTheme="minorHAnsi" w:hAnsiTheme="minorHAnsi"/>
                <w:spacing w:val="-8"/>
                <w:sz w:val="19"/>
              </w:rPr>
              <w:t xml:space="preserve"> </w:t>
            </w:r>
            <w:r w:rsidRPr="00191478">
              <w:rPr>
                <w:rFonts w:asciiTheme="minorHAnsi" w:hAnsiTheme="minorHAnsi"/>
                <w:spacing w:val="3"/>
                <w:sz w:val="19"/>
              </w:rPr>
              <w:t>and</w:t>
            </w:r>
            <w:r w:rsidRPr="00191478">
              <w:rPr>
                <w:rFonts w:asciiTheme="minorHAnsi" w:hAnsiTheme="minorHAnsi"/>
                <w:spacing w:val="-7"/>
                <w:sz w:val="19"/>
              </w:rPr>
              <w:t xml:space="preserve"> </w:t>
            </w:r>
            <w:r w:rsidRPr="00191478">
              <w:rPr>
                <w:rFonts w:asciiTheme="minorHAnsi" w:hAnsiTheme="minorHAnsi"/>
                <w:spacing w:val="3"/>
                <w:sz w:val="19"/>
              </w:rPr>
              <w:t>provided</w:t>
            </w:r>
            <w:r w:rsidRPr="00191478">
              <w:rPr>
                <w:rFonts w:asciiTheme="minorHAnsi" w:hAnsiTheme="minorHAnsi"/>
                <w:spacing w:val="-7"/>
                <w:sz w:val="19"/>
              </w:rPr>
              <w:t xml:space="preserve"> </w:t>
            </w:r>
            <w:r w:rsidRPr="00191478">
              <w:rPr>
                <w:rFonts w:asciiTheme="minorHAnsi" w:hAnsiTheme="minorHAnsi"/>
                <w:sz w:val="19"/>
              </w:rPr>
              <w:t>at</w:t>
            </w:r>
            <w:r w:rsidRPr="00191478">
              <w:rPr>
                <w:rFonts w:asciiTheme="minorHAnsi" w:hAnsiTheme="minorHAnsi"/>
                <w:spacing w:val="-7"/>
                <w:sz w:val="19"/>
              </w:rPr>
              <w:t xml:space="preserve"> </w:t>
            </w:r>
            <w:r w:rsidRPr="00191478">
              <w:rPr>
                <w:rFonts w:asciiTheme="minorHAnsi" w:hAnsiTheme="minorHAnsi"/>
                <w:spacing w:val="2"/>
                <w:sz w:val="19"/>
              </w:rPr>
              <w:t>an</w:t>
            </w:r>
            <w:r w:rsidRPr="00191478">
              <w:rPr>
                <w:rFonts w:asciiTheme="minorHAnsi" w:hAnsiTheme="minorHAnsi"/>
                <w:spacing w:val="-8"/>
                <w:sz w:val="19"/>
              </w:rPr>
              <w:t xml:space="preserve"> </w:t>
            </w:r>
            <w:r w:rsidRPr="00191478">
              <w:rPr>
                <w:rFonts w:asciiTheme="minorHAnsi" w:hAnsiTheme="minorHAnsi"/>
                <w:spacing w:val="2"/>
                <w:sz w:val="19"/>
              </w:rPr>
              <w:t>institution</w:t>
            </w:r>
            <w:r w:rsidRPr="00191478">
              <w:rPr>
                <w:rFonts w:asciiTheme="minorHAnsi" w:hAnsiTheme="minorHAnsi"/>
                <w:spacing w:val="-7"/>
                <w:sz w:val="19"/>
              </w:rPr>
              <w:t xml:space="preserve"> </w:t>
            </w:r>
            <w:r w:rsidRPr="00191478">
              <w:rPr>
                <w:rFonts w:asciiTheme="minorHAnsi" w:hAnsiTheme="minorHAnsi"/>
                <w:sz w:val="19"/>
              </w:rPr>
              <w:t>at</w:t>
            </w:r>
            <w:r w:rsidRPr="00191478">
              <w:rPr>
                <w:rFonts w:asciiTheme="minorHAnsi" w:hAnsiTheme="minorHAnsi"/>
                <w:spacing w:val="-7"/>
                <w:sz w:val="19"/>
              </w:rPr>
              <w:t xml:space="preserve"> </w:t>
            </w:r>
            <w:r w:rsidRPr="00191478">
              <w:rPr>
                <w:rFonts w:asciiTheme="minorHAnsi" w:hAnsiTheme="minorHAnsi"/>
                <w:spacing w:val="3"/>
                <w:sz w:val="19"/>
              </w:rPr>
              <w:t>least</w:t>
            </w:r>
            <w:r w:rsidRPr="00191478">
              <w:rPr>
                <w:rFonts w:asciiTheme="minorHAnsi" w:hAnsiTheme="minorHAnsi"/>
                <w:spacing w:val="-7"/>
                <w:sz w:val="19"/>
              </w:rPr>
              <w:t xml:space="preserve"> </w:t>
            </w:r>
            <w:r w:rsidRPr="00191478">
              <w:rPr>
                <w:rFonts w:asciiTheme="minorHAnsi" w:hAnsiTheme="minorHAnsi"/>
                <w:spacing w:val="3"/>
                <w:sz w:val="19"/>
              </w:rPr>
              <w:t>90</w:t>
            </w:r>
            <w:r w:rsidRPr="00191478">
              <w:rPr>
                <w:rFonts w:asciiTheme="minorHAnsi" w:hAnsiTheme="minorHAnsi"/>
                <w:spacing w:val="-8"/>
                <w:sz w:val="19"/>
              </w:rPr>
              <w:t xml:space="preserve"> </w:t>
            </w:r>
            <w:r w:rsidRPr="00191478">
              <w:rPr>
                <w:rFonts w:asciiTheme="minorHAnsi" w:hAnsiTheme="minorHAnsi"/>
                <w:spacing w:val="2"/>
                <w:sz w:val="19"/>
              </w:rPr>
              <w:t>minutes</w:t>
            </w:r>
            <w:r w:rsidRPr="00191478">
              <w:rPr>
                <w:rFonts w:asciiTheme="minorHAnsi" w:hAnsiTheme="minorHAnsi"/>
                <w:spacing w:val="-7"/>
                <w:sz w:val="19"/>
              </w:rPr>
              <w:t xml:space="preserve"> </w:t>
            </w:r>
            <w:r w:rsidRPr="00191478">
              <w:rPr>
                <w:rFonts w:asciiTheme="minorHAnsi" w:hAnsiTheme="minorHAnsi"/>
                <w:sz w:val="19"/>
              </w:rPr>
              <w:t>by</w:t>
            </w:r>
            <w:r w:rsidRPr="00191478">
              <w:rPr>
                <w:rFonts w:asciiTheme="minorHAnsi" w:hAnsiTheme="minorHAnsi"/>
                <w:spacing w:val="-7"/>
                <w:sz w:val="19"/>
              </w:rPr>
              <w:t xml:space="preserve"> </w:t>
            </w:r>
            <w:r w:rsidRPr="00191478">
              <w:rPr>
                <w:rFonts w:asciiTheme="minorHAnsi" w:hAnsiTheme="minorHAnsi"/>
                <w:spacing w:val="3"/>
                <w:sz w:val="19"/>
              </w:rPr>
              <w:t>public</w:t>
            </w:r>
            <w:r w:rsidRPr="00191478">
              <w:rPr>
                <w:rFonts w:asciiTheme="minorHAnsi" w:hAnsiTheme="minorHAnsi"/>
                <w:spacing w:val="-7"/>
                <w:sz w:val="19"/>
              </w:rPr>
              <w:t xml:space="preserve"> </w:t>
            </w:r>
            <w:r w:rsidRPr="00191478">
              <w:rPr>
                <w:rFonts w:asciiTheme="minorHAnsi" w:hAnsiTheme="minorHAnsi"/>
                <w:spacing w:val="3"/>
                <w:sz w:val="19"/>
              </w:rPr>
              <w:t>transport</w:t>
            </w:r>
            <w:r w:rsidRPr="00191478">
              <w:rPr>
                <w:rFonts w:asciiTheme="minorHAnsi" w:hAnsiTheme="minorHAnsi"/>
                <w:spacing w:val="-8"/>
                <w:sz w:val="19"/>
              </w:rPr>
              <w:t xml:space="preserve"> </w:t>
            </w:r>
            <w:r w:rsidRPr="00191478">
              <w:rPr>
                <w:rFonts w:asciiTheme="minorHAnsi" w:hAnsiTheme="minorHAnsi"/>
                <w:spacing w:val="2"/>
                <w:sz w:val="19"/>
              </w:rPr>
              <w:t>from their home.</w:t>
            </w:r>
          </w:p>
          <w:p w14:paraId="5E3AE3D7" w14:textId="77777777" w:rsidR="00041655" w:rsidRPr="00191478" w:rsidRDefault="00041655" w:rsidP="00041655">
            <w:pPr>
              <w:pStyle w:val="TableParagraph"/>
              <w:numPr>
                <w:ilvl w:val="0"/>
                <w:numId w:val="40"/>
              </w:numPr>
              <w:tabs>
                <w:tab w:val="left" w:pos="416"/>
              </w:tabs>
              <w:spacing w:before="57" w:line="235" w:lineRule="auto"/>
              <w:ind w:right="492" w:hanging="340"/>
              <w:rPr>
                <w:rFonts w:asciiTheme="minorHAnsi" w:hAnsiTheme="minorHAnsi"/>
                <w:sz w:val="19"/>
              </w:rPr>
            </w:pPr>
            <w:r w:rsidRPr="00191478">
              <w:rPr>
                <w:rFonts w:asciiTheme="minorHAnsi" w:hAnsiTheme="minorHAnsi"/>
                <w:spacing w:val="3"/>
                <w:sz w:val="19"/>
              </w:rPr>
              <w:t xml:space="preserve">Reduce </w:t>
            </w:r>
            <w:r w:rsidRPr="00191478">
              <w:rPr>
                <w:rFonts w:asciiTheme="minorHAnsi" w:hAnsiTheme="minorHAnsi"/>
                <w:spacing w:val="2"/>
                <w:sz w:val="19"/>
              </w:rPr>
              <w:t xml:space="preserve">the </w:t>
            </w:r>
            <w:r w:rsidRPr="00191478">
              <w:rPr>
                <w:rFonts w:asciiTheme="minorHAnsi" w:hAnsiTheme="minorHAnsi"/>
                <w:spacing w:val="3"/>
                <w:sz w:val="19"/>
              </w:rPr>
              <w:t xml:space="preserve">earnings requirements under </w:t>
            </w:r>
            <w:r w:rsidRPr="00191478">
              <w:rPr>
                <w:rFonts w:asciiTheme="minorHAnsi" w:hAnsiTheme="minorHAnsi"/>
                <w:spacing w:val="2"/>
                <w:sz w:val="19"/>
              </w:rPr>
              <w:t xml:space="preserve">the </w:t>
            </w:r>
            <w:r w:rsidRPr="00191478">
              <w:rPr>
                <w:rFonts w:asciiTheme="minorHAnsi" w:hAnsiTheme="minorHAnsi"/>
                <w:spacing w:val="3"/>
                <w:sz w:val="19"/>
              </w:rPr>
              <w:t xml:space="preserve">Concessional Workforce </w:t>
            </w:r>
            <w:r w:rsidRPr="00191478">
              <w:rPr>
                <w:rFonts w:asciiTheme="minorHAnsi" w:hAnsiTheme="minorHAnsi"/>
                <w:sz w:val="19"/>
              </w:rPr>
              <w:t xml:space="preserve">test </w:t>
            </w:r>
            <w:r w:rsidRPr="00191478">
              <w:rPr>
                <w:rFonts w:asciiTheme="minorHAnsi" w:hAnsiTheme="minorHAnsi"/>
                <w:spacing w:val="2"/>
                <w:sz w:val="19"/>
              </w:rPr>
              <w:t xml:space="preserve">for </w:t>
            </w:r>
            <w:r w:rsidRPr="00191478">
              <w:rPr>
                <w:rFonts w:asciiTheme="minorHAnsi" w:hAnsiTheme="minorHAnsi"/>
                <w:spacing w:val="3"/>
                <w:sz w:val="19"/>
              </w:rPr>
              <w:t xml:space="preserve">independent </w:t>
            </w:r>
            <w:r w:rsidRPr="00191478">
              <w:rPr>
                <w:rFonts w:asciiTheme="minorHAnsi" w:hAnsiTheme="minorHAnsi"/>
                <w:sz w:val="19"/>
              </w:rPr>
              <w:t xml:space="preserve">Youth </w:t>
            </w:r>
            <w:r w:rsidRPr="00191478">
              <w:rPr>
                <w:rFonts w:asciiTheme="minorHAnsi" w:hAnsiTheme="minorHAnsi"/>
                <w:spacing w:val="3"/>
                <w:sz w:val="19"/>
              </w:rPr>
              <w:t xml:space="preserve">Allowance and </w:t>
            </w:r>
            <w:r w:rsidRPr="00191478">
              <w:rPr>
                <w:rFonts w:asciiTheme="minorHAnsi" w:hAnsiTheme="minorHAnsi"/>
                <w:spacing w:val="2"/>
                <w:sz w:val="19"/>
              </w:rPr>
              <w:t xml:space="preserve">review the </w:t>
            </w:r>
            <w:r w:rsidRPr="00191478">
              <w:rPr>
                <w:rFonts w:asciiTheme="minorHAnsi" w:hAnsiTheme="minorHAnsi"/>
                <w:spacing w:val="3"/>
                <w:sz w:val="19"/>
              </w:rPr>
              <w:t xml:space="preserve">recent changes </w:t>
            </w:r>
            <w:r w:rsidRPr="00191478">
              <w:rPr>
                <w:rFonts w:asciiTheme="minorHAnsi" w:hAnsiTheme="minorHAnsi"/>
                <w:sz w:val="19"/>
              </w:rPr>
              <w:t xml:space="preserve">to </w:t>
            </w:r>
            <w:r w:rsidRPr="00191478">
              <w:rPr>
                <w:rFonts w:asciiTheme="minorHAnsi" w:hAnsiTheme="minorHAnsi"/>
                <w:spacing w:val="2"/>
                <w:sz w:val="19"/>
              </w:rPr>
              <w:t xml:space="preserve">the </w:t>
            </w:r>
            <w:r w:rsidRPr="00191478">
              <w:rPr>
                <w:rFonts w:asciiTheme="minorHAnsi" w:hAnsiTheme="minorHAnsi"/>
                <w:spacing w:val="3"/>
                <w:sz w:val="19"/>
              </w:rPr>
              <w:t xml:space="preserve">parental means </w:t>
            </w:r>
            <w:r w:rsidRPr="00191478">
              <w:rPr>
                <w:rFonts w:asciiTheme="minorHAnsi" w:hAnsiTheme="minorHAnsi"/>
                <w:sz w:val="19"/>
              </w:rPr>
              <w:t xml:space="preserve">test </w:t>
            </w:r>
            <w:r w:rsidRPr="00191478">
              <w:rPr>
                <w:rFonts w:asciiTheme="minorHAnsi" w:hAnsiTheme="minorHAnsi"/>
                <w:spacing w:val="2"/>
                <w:sz w:val="19"/>
              </w:rPr>
              <w:t xml:space="preserve">cut-offs, </w:t>
            </w:r>
            <w:r w:rsidRPr="00191478">
              <w:rPr>
                <w:rFonts w:asciiTheme="minorHAnsi" w:hAnsiTheme="minorHAnsi"/>
                <w:sz w:val="19"/>
              </w:rPr>
              <w:t xml:space="preserve">to </w:t>
            </w:r>
            <w:r w:rsidRPr="00191478">
              <w:rPr>
                <w:rFonts w:asciiTheme="minorHAnsi" w:hAnsiTheme="minorHAnsi"/>
                <w:spacing w:val="3"/>
                <w:sz w:val="19"/>
              </w:rPr>
              <w:t xml:space="preserve">address </w:t>
            </w:r>
            <w:r w:rsidRPr="00191478">
              <w:rPr>
                <w:rFonts w:asciiTheme="minorHAnsi" w:hAnsiTheme="minorHAnsi"/>
                <w:sz w:val="19"/>
              </w:rPr>
              <w:t xml:space="preserve">any </w:t>
            </w:r>
            <w:r w:rsidRPr="00191478">
              <w:rPr>
                <w:rFonts w:asciiTheme="minorHAnsi" w:hAnsiTheme="minorHAnsi"/>
                <w:spacing w:val="3"/>
                <w:sz w:val="19"/>
              </w:rPr>
              <w:t xml:space="preserve">problems </w:t>
            </w:r>
            <w:r w:rsidRPr="00191478">
              <w:rPr>
                <w:rFonts w:asciiTheme="minorHAnsi" w:hAnsiTheme="minorHAnsi"/>
                <w:spacing w:val="2"/>
                <w:sz w:val="19"/>
              </w:rPr>
              <w:t>with</w:t>
            </w:r>
            <w:r w:rsidRPr="00191478">
              <w:rPr>
                <w:rFonts w:asciiTheme="minorHAnsi" w:hAnsiTheme="minorHAnsi"/>
                <w:spacing w:val="38"/>
                <w:sz w:val="19"/>
              </w:rPr>
              <w:t xml:space="preserve"> </w:t>
            </w:r>
            <w:r w:rsidRPr="00191478">
              <w:rPr>
                <w:rFonts w:asciiTheme="minorHAnsi" w:hAnsiTheme="minorHAnsi"/>
                <w:sz w:val="19"/>
              </w:rPr>
              <w:t>uptake.</w:t>
            </w:r>
          </w:p>
          <w:p w14:paraId="14439383" w14:textId="77777777" w:rsidR="00041655" w:rsidRPr="00191478" w:rsidRDefault="00041655" w:rsidP="00041655">
            <w:pPr>
              <w:pStyle w:val="TableParagraph"/>
              <w:numPr>
                <w:ilvl w:val="0"/>
                <w:numId w:val="40"/>
              </w:numPr>
              <w:tabs>
                <w:tab w:val="left" w:pos="416"/>
              </w:tabs>
              <w:spacing w:before="57" w:line="235" w:lineRule="auto"/>
              <w:ind w:right="505" w:hanging="340"/>
              <w:jc w:val="both"/>
              <w:rPr>
                <w:rFonts w:asciiTheme="minorHAnsi" w:hAnsiTheme="minorHAnsi"/>
                <w:sz w:val="19"/>
              </w:rPr>
            </w:pPr>
            <w:r w:rsidRPr="00191478">
              <w:rPr>
                <w:rFonts w:asciiTheme="minorHAnsi" w:hAnsiTheme="minorHAnsi"/>
                <w:spacing w:val="2"/>
                <w:sz w:val="19"/>
              </w:rPr>
              <w:t xml:space="preserve">Improve </w:t>
            </w:r>
            <w:r w:rsidRPr="00191478">
              <w:rPr>
                <w:rFonts w:asciiTheme="minorHAnsi" w:hAnsiTheme="minorHAnsi"/>
                <w:spacing w:val="4"/>
                <w:sz w:val="19"/>
              </w:rPr>
              <w:t xml:space="preserve">support </w:t>
            </w:r>
            <w:r w:rsidRPr="00191478">
              <w:rPr>
                <w:rFonts w:asciiTheme="minorHAnsi" w:hAnsiTheme="minorHAnsi"/>
                <w:spacing w:val="2"/>
                <w:sz w:val="19"/>
              </w:rPr>
              <w:t xml:space="preserve">for RRR students who study externally, </w:t>
            </w:r>
            <w:r w:rsidRPr="00191478">
              <w:rPr>
                <w:rFonts w:asciiTheme="minorHAnsi" w:hAnsiTheme="minorHAnsi"/>
                <w:spacing w:val="3"/>
                <w:sz w:val="19"/>
              </w:rPr>
              <w:t xml:space="preserve">either </w:t>
            </w:r>
            <w:r w:rsidRPr="00191478">
              <w:rPr>
                <w:rFonts w:asciiTheme="minorHAnsi" w:hAnsiTheme="minorHAnsi"/>
                <w:sz w:val="19"/>
              </w:rPr>
              <w:t xml:space="preserve">at </w:t>
            </w:r>
            <w:r w:rsidRPr="00191478">
              <w:rPr>
                <w:rFonts w:asciiTheme="minorHAnsi" w:hAnsiTheme="minorHAnsi"/>
                <w:spacing w:val="3"/>
                <w:sz w:val="19"/>
              </w:rPr>
              <w:t xml:space="preserve">home </w:t>
            </w:r>
            <w:r w:rsidRPr="00191478">
              <w:rPr>
                <w:rFonts w:asciiTheme="minorHAnsi" w:hAnsiTheme="minorHAnsi"/>
                <w:sz w:val="19"/>
              </w:rPr>
              <w:t xml:space="preserve">or at a </w:t>
            </w:r>
            <w:r w:rsidRPr="00191478">
              <w:rPr>
                <w:rFonts w:asciiTheme="minorHAnsi" w:hAnsiTheme="minorHAnsi"/>
                <w:spacing w:val="3"/>
                <w:sz w:val="19"/>
              </w:rPr>
              <w:t xml:space="preserve">Regional Study </w:t>
            </w:r>
            <w:r w:rsidRPr="00191478">
              <w:rPr>
                <w:rFonts w:asciiTheme="minorHAnsi" w:hAnsiTheme="minorHAnsi"/>
                <w:sz w:val="19"/>
              </w:rPr>
              <w:t xml:space="preserve">Hub, by </w:t>
            </w:r>
            <w:r w:rsidRPr="00191478">
              <w:rPr>
                <w:rFonts w:asciiTheme="minorHAnsi" w:hAnsiTheme="minorHAnsi"/>
                <w:spacing w:val="3"/>
                <w:sz w:val="19"/>
              </w:rPr>
              <w:t xml:space="preserve">providing </w:t>
            </w:r>
            <w:r w:rsidRPr="00191478">
              <w:rPr>
                <w:rFonts w:asciiTheme="minorHAnsi" w:hAnsiTheme="minorHAnsi"/>
                <w:spacing w:val="2"/>
                <w:sz w:val="19"/>
              </w:rPr>
              <w:t xml:space="preserve">them with </w:t>
            </w:r>
            <w:r w:rsidRPr="00191478">
              <w:rPr>
                <w:rFonts w:asciiTheme="minorHAnsi" w:hAnsiTheme="minorHAnsi"/>
                <w:sz w:val="19"/>
              </w:rPr>
              <w:t xml:space="preserve">Away </w:t>
            </w:r>
            <w:r w:rsidRPr="00191478">
              <w:rPr>
                <w:rFonts w:asciiTheme="minorHAnsi" w:hAnsiTheme="minorHAnsi"/>
                <w:spacing w:val="2"/>
                <w:sz w:val="19"/>
              </w:rPr>
              <w:t xml:space="preserve">from </w:t>
            </w:r>
            <w:r w:rsidRPr="00191478">
              <w:rPr>
                <w:rFonts w:asciiTheme="minorHAnsi" w:hAnsiTheme="minorHAnsi"/>
                <w:spacing w:val="3"/>
                <w:sz w:val="19"/>
              </w:rPr>
              <w:t xml:space="preserve">Base assistance when </w:t>
            </w:r>
            <w:r w:rsidRPr="00191478">
              <w:rPr>
                <w:rFonts w:asciiTheme="minorHAnsi" w:hAnsiTheme="minorHAnsi"/>
                <w:sz w:val="19"/>
              </w:rPr>
              <w:t xml:space="preserve">they </w:t>
            </w:r>
            <w:r w:rsidRPr="00191478">
              <w:rPr>
                <w:rFonts w:asciiTheme="minorHAnsi" w:hAnsiTheme="minorHAnsi"/>
                <w:spacing w:val="2"/>
                <w:sz w:val="19"/>
              </w:rPr>
              <w:t xml:space="preserve">are </w:t>
            </w:r>
            <w:r w:rsidRPr="00191478">
              <w:rPr>
                <w:rFonts w:asciiTheme="minorHAnsi" w:hAnsiTheme="minorHAnsi"/>
                <w:spacing w:val="3"/>
                <w:sz w:val="19"/>
              </w:rPr>
              <w:t xml:space="preserve">required </w:t>
            </w:r>
            <w:r w:rsidRPr="00191478">
              <w:rPr>
                <w:rFonts w:asciiTheme="minorHAnsi" w:hAnsiTheme="minorHAnsi"/>
                <w:sz w:val="19"/>
              </w:rPr>
              <w:t xml:space="preserve">to travel to </w:t>
            </w:r>
            <w:r w:rsidRPr="00191478">
              <w:rPr>
                <w:rFonts w:asciiTheme="minorHAnsi" w:hAnsiTheme="minorHAnsi"/>
                <w:spacing w:val="2"/>
                <w:sz w:val="19"/>
              </w:rPr>
              <w:t xml:space="preserve">complete </w:t>
            </w:r>
            <w:r w:rsidRPr="00191478">
              <w:rPr>
                <w:rFonts w:asciiTheme="minorHAnsi" w:hAnsiTheme="minorHAnsi"/>
                <w:sz w:val="19"/>
              </w:rPr>
              <w:t xml:space="preserve">a </w:t>
            </w:r>
            <w:r w:rsidRPr="00191478">
              <w:rPr>
                <w:rFonts w:asciiTheme="minorHAnsi" w:hAnsiTheme="minorHAnsi"/>
                <w:spacing w:val="4"/>
                <w:sz w:val="19"/>
              </w:rPr>
              <w:t xml:space="preserve">part </w:t>
            </w:r>
            <w:r w:rsidRPr="00191478">
              <w:rPr>
                <w:rFonts w:asciiTheme="minorHAnsi" w:hAnsiTheme="minorHAnsi"/>
                <w:sz w:val="19"/>
              </w:rPr>
              <w:t xml:space="preserve">of </w:t>
            </w:r>
            <w:r w:rsidRPr="00191478">
              <w:rPr>
                <w:rFonts w:asciiTheme="minorHAnsi" w:hAnsiTheme="minorHAnsi"/>
                <w:spacing w:val="2"/>
                <w:sz w:val="19"/>
              </w:rPr>
              <w:t>their</w:t>
            </w:r>
            <w:r w:rsidRPr="00191478">
              <w:rPr>
                <w:rFonts w:asciiTheme="minorHAnsi" w:hAnsiTheme="minorHAnsi"/>
                <w:spacing w:val="41"/>
                <w:sz w:val="19"/>
              </w:rPr>
              <w:t xml:space="preserve"> </w:t>
            </w:r>
            <w:r w:rsidRPr="00191478">
              <w:rPr>
                <w:rFonts w:asciiTheme="minorHAnsi" w:hAnsiTheme="minorHAnsi"/>
                <w:spacing w:val="3"/>
                <w:sz w:val="19"/>
              </w:rPr>
              <w:t>course.</w:t>
            </w:r>
          </w:p>
          <w:p w14:paraId="7F7ECB59" w14:textId="77777777" w:rsidR="00041655" w:rsidRPr="00191478" w:rsidRDefault="00041655" w:rsidP="00041655">
            <w:pPr>
              <w:pStyle w:val="TableParagraph"/>
              <w:numPr>
                <w:ilvl w:val="0"/>
                <w:numId w:val="40"/>
              </w:numPr>
              <w:tabs>
                <w:tab w:val="left" w:pos="416"/>
              </w:tabs>
              <w:spacing w:before="57" w:line="235" w:lineRule="auto"/>
              <w:ind w:right="292" w:hanging="340"/>
              <w:rPr>
                <w:rFonts w:asciiTheme="minorHAnsi" w:hAnsiTheme="minorHAnsi"/>
                <w:sz w:val="19"/>
              </w:rPr>
            </w:pPr>
            <w:r w:rsidRPr="00191478">
              <w:rPr>
                <w:rFonts w:asciiTheme="minorHAnsi" w:hAnsiTheme="minorHAnsi"/>
                <w:spacing w:val="4"/>
                <w:sz w:val="19"/>
              </w:rPr>
              <w:t xml:space="preserve">Expand </w:t>
            </w:r>
            <w:r w:rsidRPr="00191478">
              <w:rPr>
                <w:rFonts w:asciiTheme="minorHAnsi" w:hAnsiTheme="minorHAnsi"/>
                <w:spacing w:val="2"/>
                <w:sz w:val="19"/>
              </w:rPr>
              <w:t xml:space="preserve">Fares </w:t>
            </w:r>
            <w:r w:rsidRPr="00191478">
              <w:rPr>
                <w:rFonts w:asciiTheme="minorHAnsi" w:hAnsiTheme="minorHAnsi"/>
                <w:spacing w:val="3"/>
                <w:sz w:val="19"/>
              </w:rPr>
              <w:t xml:space="preserve">Allowance </w:t>
            </w:r>
            <w:r w:rsidRPr="00191478">
              <w:rPr>
                <w:rFonts w:asciiTheme="minorHAnsi" w:hAnsiTheme="minorHAnsi"/>
                <w:sz w:val="19"/>
              </w:rPr>
              <w:t xml:space="preserve">to </w:t>
            </w:r>
            <w:r w:rsidRPr="00191478">
              <w:rPr>
                <w:rFonts w:asciiTheme="minorHAnsi" w:hAnsiTheme="minorHAnsi"/>
                <w:spacing w:val="3"/>
                <w:sz w:val="19"/>
              </w:rPr>
              <w:t xml:space="preserve">enable </w:t>
            </w:r>
            <w:r w:rsidRPr="00191478">
              <w:rPr>
                <w:rFonts w:asciiTheme="minorHAnsi" w:hAnsiTheme="minorHAnsi"/>
                <w:sz w:val="19"/>
              </w:rPr>
              <w:t xml:space="preserve">Year </w:t>
            </w:r>
            <w:r w:rsidRPr="00191478">
              <w:rPr>
                <w:rFonts w:asciiTheme="minorHAnsi" w:hAnsiTheme="minorHAnsi"/>
                <w:spacing w:val="-5"/>
                <w:sz w:val="19"/>
              </w:rPr>
              <w:t xml:space="preserve">12 </w:t>
            </w:r>
            <w:r w:rsidRPr="00191478">
              <w:rPr>
                <w:rFonts w:asciiTheme="minorHAnsi" w:hAnsiTheme="minorHAnsi"/>
                <w:spacing w:val="2"/>
                <w:sz w:val="19"/>
              </w:rPr>
              <w:t xml:space="preserve">students </w:t>
            </w:r>
            <w:r w:rsidRPr="00191478">
              <w:rPr>
                <w:rFonts w:asciiTheme="minorHAnsi" w:hAnsiTheme="minorHAnsi"/>
                <w:sz w:val="19"/>
              </w:rPr>
              <w:t xml:space="preserve">to </w:t>
            </w:r>
            <w:r w:rsidRPr="00191478">
              <w:rPr>
                <w:rFonts w:asciiTheme="minorHAnsi" w:hAnsiTheme="minorHAnsi"/>
                <w:spacing w:val="3"/>
                <w:sz w:val="19"/>
              </w:rPr>
              <w:t xml:space="preserve">visit prospective </w:t>
            </w:r>
            <w:r w:rsidRPr="00191478">
              <w:rPr>
                <w:rFonts w:asciiTheme="minorHAnsi" w:hAnsiTheme="minorHAnsi"/>
                <w:spacing w:val="4"/>
                <w:sz w:val="19"/>
              </w:rPr>
              <w:t xml:space="preserve">tertiary </w:t>
            </w:r>
            <w:r w:rsidRPr="00191478">
              <w:rPr>
                <w:rFonts w:asciiTheme="minorHAnsi" w:hAnsiTheme="minorHAnsi"/>
                <w:spacing w:val="3"/>
                <w:sz w:val="19"/>
              </w:rPr>
              <w:t xml:space="preserve">campuses, enable relocated </w:t>
            </w:r>
            <w:r w:rsidRPr="00191478">
              <w:rPr>
                <w:rFonts w:asciiTheme="minorHAnsi" w:hAnsiTheme="minorHAnsi"/>
                <w:spacing w:val="2"/>
                <w:sz w:val="19"/>
              </w:rPr>
              <w:t xml:space="preserve">students </w:t>
            </w:r>
            <w:r w:rsidRPr="00191478">
              <w:rPr>
                <w:rFonts w:asciiTheme="minorHAnsi" w:hAnsiTheme="minorHAnsi"/>
                <w:sz w:val="19"/>
              </w:rPr>
              <w:t xml:space="preserve">to </w:t>
            </w:r>
            <w:r w:rsidRPr="00191478">
              <w:rPr>
                <w:rFonts w:asciiTheme="minorHAnsi" w:hAnsiTheme="minorHAnsi"/>
                <w:spacing w:val="2"/>
                <w:sz w:val="19"/>
              </w:rPr>
              <w:t xml:space="preserve">return </w:t>
            </w:r>
            <w:r w:rsidRPr="00191478">
              <w:rPr>
                <w:rFonts w:asciiTheme="minorHAnsi" w:hAnsiTheme="minorHAnsi"/>
                <w:spacing w:val="3"/>
                <w:sz w:val="19"/>
              </w:rPr>
              <w:t xml:space="preserve">home during </w:t>
            </w:r>
            <w:r w:rsidRPr="00191478">
              <w:rPr>
                <w:rFonts w:asciiTheme="minorHAnsi" w:hAnsiTheme="minorHAnsi"/>
                <w:spacing w:val="2"/>
                <w:sz w:val="19"/>
              </w:rPr>
              <w:t xml:space="preserve">their mid-year </w:t>
            </w:r>
            <w:r w:rsidRPr="00191478">
              <w:rPr>
                <w:rFonts w:asciiTheme="minorHAnsi" w:hAnsiTheme="minorHAnsi"/>
                <w:spacing w:val="3"/>
                <w:sz w:val="19"/>
              </w:rPr>
              <w:t xml:space="preserve">break and </w:t>
            </w:r>
            <w:r w:rsidRPr="00191478">
              <w:rPr>
                <w:rFonts w:asciiTheme="minorHAnsi" w:hAnsiTheme="minorHAnsi"/>
                <w:spacing w:val="2"/>
                <w:sz w:val="19"/>
              </w:rPr>
              <w:t xml:space="preserve">their </w:t>
            </w:r>
            <w:r w:rsidRPr="00191478">
              <w:rPr>
                <w:rFonts w:asciiTheme="minorHAnsi" w:hAnsiTheme="minorHAnsi"/>
                <w:spacing w:val="3"/>
                <w:sz w:val="19"/>
              </w:rPr>
              <w:t xml:space="preserve">families </w:t>
            </w:r>
            <w:r w:rsidRPr="00191478">
              <w:rPr>
                <w:rFonts w:asciiTheme="minorHAnsi" w:hAnsiTheme="minorHAnsi"/>
                <w:sz w:val="19"/>
              </w:rPr>
              <w:t xml:space="preserve">to </w:t>
            </w:r>
            <w:r w:rsidRPr="00191478">
              <w:rPr>
                <w:rFonts w:asciiTheme="minorHAnsi" w:hAnsiTheme="minorHAnsi"/>
                <w:spacing w:val="3"/>
                <w:sz w:val="19"/>
              </w:rPr>
              <w:t xml:space="preserve">visit </w:t>
            </w:r>
            <w:r w:rsidRPr="00191478">
              <w:rPr>
                <w:rFonts w:asciiTheme="minorHAnsi" w:hAnsiTheme="minorHAnsi"/>
                <w:spacing w:val="2"/>
                <w:sz w:val="19"/>
              </w:rPr>
              <w:t xml:space="preserve">them </w:t>
            </w:r>
            <w:r w:rsidRPr="00191478">
              <w:rPr>
                <w:rFonts w:asciiTheme="minorHAnsi" w:hAnsiTheme="minorHAnsi"/>
                <w:spacing w:val="3"/>
                <w:sz w:val="19"/>
              </w:rPr>
              <w:t xml:space="preserve">during </w:t>
            </w:r>
            <w:r w:rsidRPr="00191478">
              <w:rPr>
                <w:rFonts w:asciiTheme="minorHAnsi" w:hAnsiTheme="minorHAnsi"/>
                <w:spacing w:val="2"/>
                <w:sz w:val="19"/>
              </w:rPr>
              <w:t xml:space="preserve">their first year </w:t>
            </w:r>
            <w:r w:rsidRPr="00191478">
              <w:rPr>
                <w:rFonts w:asciiTheme="minorHAnsi" w:hAnsiTheme="minorHAnsi"/>
                <w:sz w:val="19"/>
              </w:rPr>
              <w:t>of</w:t>
            </w:r>
            <w:r w:rsidRPr="00191478">
              <w:rPr>
                <w:rFonts w:asciiTheme="minorHAnsi" w:hAnsiTheme="minorHAnsi"/>
                <w:spacing w:val="29"/>
                <w:sz w:val="19"/>
              </w:rPr>
              <w:t xml:space="preserve"> </w:t>
            </w:r>
            <w:r w:rsidRPr="00191478">
              <w:rPr>
                <w:rFonts w:asciiTheme="minorHAnsi" w:hAnsiTheme="minorHAnsi"/>
                <w:sz w:val="19"/>
              </w:rPr>
              <w:t>study.</w:t>
            </w:r>
          </w:p>
          <w:p w14:paraId="3E4C0F77" w14:textId="77777777" w:rsidR="00041655" w:rsidRPr="00191478" w:rsidRDefault="00041655" w:rsidP="00041655">
            <w:pPr>
              <w:pStyle w:val="TableParagraph"/>
              <w:numPr>
                <w:ilvl w:val="0"/>
                <w:numId w:val="40"/>
              </w:numPr>
              <w:tabs>
                <w:tab w:val="left" w:pos="416"/>
              </w:tabs>
              <w:spacing w:before="57" w:line="235" w:lineRule="auto"/>
              <w:ind w:right="188" w:hanging="340"/>
              <w:rPr>
                <w:rFonts w:asciiTheme="minorHAnsi" w:hAnsiTheme="minorHAnsi"/>
                <w:sz w:val="19"/>
              </w:rPr>
            </w:pPr>
            <w:r w:rsidRPr="00191478">
              <w:rPr>
                <w:rFonts w:asciiTheme="minorHAnsi" w:hAnsiTheme="minorHAnsi"/>
                <w:spacing w:val="2"/>
                <w:sz w:val="19"/>
              </w:rPr>
              <w:t xml:space="preserve">Improve </w:t>
            </w:r>
            <w:r w:rsidRPr="00191478">
              <w:rPr>
                <w:rFonts w:asciiTheme="minorHAnsi" w:hAnsiTheme="minorHAnsi"/>
                <w:spacing w:val="3"/>
                <w:sz w:val="19"/>
              </w:rPr>
              <w:t xml:space="preserve">and </w:t>
            </w:r>
            <w:r w:rsidRPr="00191478">
              <w:rPr>
                <w:rFonts w:asciiTheme="minorHAnsi" w:hAnsiTheme="minorHAnsi"/>
                <w:spacing w:val="2"/>
                <w:sz w:val="19"/>
              </w:rPr>
              <w:t xml:space="preserve">promote </w:t>
            </w:r>
            <w:r w:rsidRPr="00191478">
              <w:rPr>
                <w:rFonts w:asciiTheme="minorHAnsi" w:hAnsiTheme="minorHAnsi"/>
                <w:spacing w:val="3"/>
                <w:sz w:val="19"/>
              </w:rPr>
              <w:t xml:space="preserve">online access </w:t>
            </w:r>
            <w:r w:rsidRPr="00191478">
              <w:rPr>
                <w:rFonts w:asciiTheme="minorHAnsi" w:hAnsiTheme="minorHAnsi"/>
                <w:sz w:val="19"/>
              </w:rPr>
              <w:t xml:space="preserve">to </w:t>
            </w:r>
            <w:r w:rsidRPr="00191478">
              <w:rPr>
                <w:rFonts w:asciiTheme="minorHAnsi" w:hAnsiTheme="minorHAnsi"/>
                <w:spacing w:val="3"/>
                <w:sz w:val="19"/>
              </w:rPr>
              <w:t xml:space="preserve">financial </w:t>
            </w:r>
            <w:r w:rsidRPr="00191478">
              <w:rPr>
                <w:rFonts w:asciiTheme="minorHAnsi" w:hAnsiTheme="minorHAnsi"/>
                <w:spacing w:val="4"/>
                <w:sz w:val="19"/>
              </w:rPr>
              <w:t xml:space="preserve">support </w:t>
            </w:r>
            <w:r w:rsidRPr="00191478">
              <w:rPr>
                <w:rFonts w:asciiTheme="minorHAnsi" w:hAnsiTheme="minorHAnsi"/>
                <w:spacing w:val="3"/>
                <w:sz w:val="19"/>
              </w:rPr>
              <w:t xml:space="preserve">information </w:t>
            </w:r>
            <w:r w:rsidRPr="00191478">
              <w:rPr>
                <w:rFonts w:asciiTheme="minorHAnsi" w:hAnsiTheme="minorHAnsi"/>
                <w:sz w:val="19"/>
              </w:rPr>
              <w:t xml:space="preserve">to </w:t>
            </w:r>
            <w:r w:rsidRPr="00191478">
              <w:rPr>
                <w:rFonts w:asciiTheme="minorHAnsi" w:hAnsiTheme="minorHAnsi"/>
                <w:spacing w:val="2"/>
                <w:sz w:val="19"/>
              </w:rPr>
              <w:t xml:space="preserve">provide students </w:t>
            </w:r>
            <w:r w:rsidRPr="00191478">
              <w:rPr>
                <w:rFonts w:asciiTheme="minorHAnsi" w:hAnsiTheme="minorHAnsi"/>
                <w:spacing w:val="3"/>
                <w:sz w:val="19"/>
              </w:rPr>
              <w:t xml:space="preserve">and families </w:t>
            </w:r>
            <w:r w:rsidRPr="00191478">
              <w:rPr>
                <w:rFonts w:asciiTheme="minorHAnsi" w:hAnsiTheme="minorHAnsi"/>
                <w:spacing w:val="2"/>
                <w:sz w:val="19"/>
              </w:rPr>
              <w:t xml:space="preserve">with </w:t>
            </w:r>
            <w:r w:rsidRPr="00191478">
              <w:rPr>
                <w:rFonts w:asciiTheme="minorHAnsi" w:hAnsiTheme="minorHAnsi"/>
                <w:spacing w:val="3"/>
                <w:sz w:val="19"/>
              </w:rPr>
              <w:t xml:space="preserve">clearer information </w:t>
            </w:r>
            <w:r w:rsidRPr="00191478">
              <w:rPr>
                <w:rFonts w:asciiTheme="minorHAnsi" w:hAnsiTheme="minorHAnsi"/>
                <w:sz w:val="19"/>
              </w:rPr>
              <w:t xml:space="preserve">on </w:t>
            </w:r>
            <w:r w:rsidRPr="00191478">
              <w:rPr>
                <w:rFonts w:asciiTheme="minorHAnsi" w:hAnsiTheme="minorHAnsi"/>
                <w:spacing w:val="2"/>
                <w:sz w:val="19"/>
              </w:rPr>
              <w:t xml:space="preserve">the </w:t>
            </w:r>
            <w:r w:rsidRPr="00191478">
              <w:rPr>
                <w:rFonts w:asciiTheme="minorHAnsi" w:hAnsiTheme="minorHAnsi"/>
                <w:spacing w:val="4"/>
                <w:sz w:val="19"/>
              </w:rPr>
              <w:t xml:space="preserve">support </w:t>
            </w:r>
            <w:r w:rsidRPr="00191478">
              <w:rPr>
                <w:rFonts w:asciiTheme="minorHAnsi" w:hAnsiTheme="minorHAnsi"/>
                <w:spacing w:val="3"/>
                <w:sz w:val="19"/>
              </w:rPr>
              <w:t xml:space="preserve">available </w:t>
            </w:r>
            <w:r w:rsidRPr="00191478">
              <w:rPr>
                <w:rFonts w:asciiTheme="minorHAnsi" w:hAnsiTheme="minorHAnsi"/>
                <w:spacing w:val="2"/>
                <w:sz w:val="19"/>
              </w:rPr>
              <w:t xml:space="preserve">for </w:t>
            </w:r>
            <w:r w:rsidRPr="00191478">
              <w:rPr>
                <w:rFonts w:asciiTheme="minorHAnsi" w:hAnsiTheme="minorHAnsi"/>
                <w:spacing w:val="4"/>
                <w:sz w:val="19"/>
              </w:rPr>
              <w:t xml:space="preserve">tertiary </w:t>
            </w:r>
            <w:r w:rsidRPr="00191478">
              <w:rPr>
                <w:rFonts w:asciiTheme="minorHAnsi" w:hAnsiTheme="minorHAnsi"/>
                <w:spacing w:val="2"/>
                <w:sz w:val="19"/>
              </w:rPr>
              <w:t xml:space="preserve">studies, </w:t>
            </w:r>
            <w:r w:rsidRPr="00191478">
              <w:rPr>
                <w:rFonts w:asciiTheme="minorHAnsi" w:hAnsiTheme="minorHAnsi"/>
                <w:sz w:val="19"/>
              </w:rPr>
              <w:t xml:space="preserve">by </w:t>
            </w:r>
            <w:r w:rsidRPr="00191478">
              <w:rPr>
                <w:rFonts w:asciiTheme="minorHAnsi" w:hAnsiTheme="minorHAnsi"/>
                <w:spacing w:val="3"/>
                <w:sz w:val="19"/>
              </w:rPr>
              <w:t xml:space="preserve">improving </w:t>
            </w:r>
            <w:r w:rsidRPr="00191478">
              <w:rPr>
                <w:rFonts w:asciiTheme="minorHAnsi" w:hAnsiTheme="minorHAnsi"/>
                <w:spacing w:val="2"/>
                <w:sz w:val="19"/>
              </w:rPr>
              <w:t xml:space="preserve">existing websites </w:t>
            </w:r>
            <w:r w:rsidRPr="00191478">
              <w:rPr>
                <w:rFonts w:asciiTheme="minorHAnsi" w:hAnsiTheme="minorHAnsi"/>
                <w:sz w:val="19"/>
              </w:rPr>
              <w:t xml:space="preserve">or </w:t>
            </w:r>
            <w:r w:rsidRPr="00191478">
              <w:rPr>
                <w:rFonts w:asciiTheme="minorHAnsi" w:hAnsiTheme="minorHAnsi"/>
                <w:spacing w:val="2"/>
                <w:sz w:val="19"/>
              </w:rPr>
              <w:t xml:space="preserve">creating </w:t>
            </w:r>
            <w:r w:rsidRPr="00191478">
              <w:rPr>
                <w:rFonts w:asciiTheme="minorHAnsi" w:hAnsiTheme="minorHAnsi"/>
                <w:sz w:val="19"/>
              </w:rPr>
              <w:t xml:space="preserve">a </w:t>
            </w:r>
            <w:r w:rsidRPr="00191478">
              <w:rPr>
                <w:rFonts w:asciiTheme="minorHAnsi" w:hAnsiTheme="minorHAnsi"/>
                <w:spacing w:val="2"/>
                <w:sz w:val="19"/>
              </w:rPr>
              <w:t xml:space="preserve">new </w:t>
            </w:r>
            <w:r w:rsidRPr="00191478">
              <w:rPr>
                <w:rFonts w:asciiTheme="minorHAnsi" w:hAnsiTheme="minorHAnsi"/>
                <w:spacing w:val="4"/>
                <w:sz w:val="19"/>
              </w:rPr>
              <w:t xml:space="preserve">portal </w:t>
            </w:r>
            <w:r w:rsidRPr="00191478">
              <w:rPr>
                <w:rFonts w:asciiTheme="minorHAnsi" w:hAnsiTheme="minorHAnsi"/>
                <w:sz w:val="19"/>
              </w:rPr>
              <w:t xml:space="preserve">that </w:t>
            </w:r>
            <w:r w:rsidRPr="00191478">
              <w:rPr>
                <w:rFonts w:asciiTheme="minorHAnsi" w:hAnsiTheme="minorHAnsi"/>
                <w:spacing w:val="3"/>
                <w:sz w:val="19"/>
              </w:rPr>
              <w:t xml:space="preserve">consolidates </w:t>
            </w:r>
            <w:r w:rsidRPr="00191478">
              <w:rPr>
                <w:rFonts w:asciiTheme="minorHAnsi" w:hAnsiTheme="minorHAnsi"/>
                <w:spacing w:val="2"/>
                <w:sz w:val="19"/>
              </w:rPr>
              <w:t>existing</w:t>
            </w:r>
            <w:r w:rsidRPr="00191478">
              <w:rPr>
                <w:rFonts w:asciiTheme="minorHAnsi" w:hAnsiTheme="minorHAnsi"/>
                <w:spacing w:val="5"/>
                <w:sz w:val="19"/>
              </w:rPr>
              <w:t xml:space="preserve"> </w:t>
            </w:r>
            <w:r w:rsidRPr="00191478">
              <w:rPr>
                <w:rFonts w:asciiTheme="minorHAnsi" w:hAnsiTheme="minorHAnsi"/>
                <w:spacing w:val="2"/>
                <w:sz w:val="19"/>
              </w:rPr>
              <w:t>information.</w:t>
            </w:r>
          </w:p>
        </w:tc>
      </w:tr>
    </w:tbl>
    <w:p w14:paraId="456CD90A" w14:textId="77777777" w:rsidR="00041655" w:rsidRPr="00191478" w:rsidRDefault="00041655" w:rsidP="00041655">
      <w:pPr>
        <w:spacing w:line="235" w:lineRule="auto"/>
        <w:rPr>
          <w:sz w:val="19"/>
        </w:rPr>
        <w:sectPr w:rsidR="00041655" w:rsidRPr="00191478" w:rsidSect="004B2767">
          <w:headerReference w:type="even" r:id="rId30"/>
          <w:footerReference w:type="even" r:id="rId31"/>
          <w:footerReference w:type="default" r:id="rId32"/>
          <w:pgSz w:w="16840" w:h="11910" w:orient="landscape"/>
          <w:pgMar w:top="1100" w:right="1140" w:bottom="799" w:left="1140" w:header="0" w:footer="607" w:gutter="0"/>
          <w:pgNumType w:start="63"/>
          <w:cols w:space="720"/>
        </w:sectPr>
      </w:pPr>
    </w:p>
    <w:p w14:paraId="7BCF22A1" w14:textId="77777777" w:rsidR="00041655" w:rsidRPr="00191478" w:rsidRDefault="00041655" w:rsidP="00041655">
      <w:pPr>
        <w:pStyle w:val="BodyText"/>
        <w:spacing w:before="6"/>
        <w:rPr>
          <w:sz w:val="27"/>
        </w:rPr>
      </w:pPr>
    </w:p>
    <w:tbl>
      <w:tblPr>
        <w:tblW w:w="0" w:type="auto"/>
        <w:tblInd w:w="1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100"/>
        <w:gridCol w:w="2702"/>
        <w:gridCol w:w="7520"/>
      </w:tblGrid>
      <w:tr w:rsidR="00041655" w:rsidRPr="00191478" w14:paraId="5C870255" w14:textId="77777777" w:rsidTr="00F33AA3">
        <w:trPr>
          <w:trHeight w:val="301"/>
        </w:trPr>
        <w:tc>
          <w:tcPr>
            <w:tcW w:w="4100" w:type="dxa"/>
            <w:tcBorders>
              <w:top w:val="nil"/>
              <w:left w:val="nil"/>
            </w:tcBorders>
            <w:shd w:val="clear" w:color="auto" w:fill="314652"/>
          </w:tcPr>
          <w:p w14:paraId="54707E10" w14:textId="77777777" w:rsidR="00041655" w:rsidRPr="00191478" w:rsidRDefault="00041655" w:rsidP="00F33AA3">
            <w:pPr>
              <w:pStyle w:val="TableParagraph"/>
              <w:spacing w:before="45"/>
              <w:ind w:left="80"/>
              <w:rPr>
                <w:rFonts w:asciiTheme="minorHAnsi" w:hAnsiTheme="minorHAnsi"/>
                <w:sz w:val="19"/>
              </w:rPr>
            </w:pPr>
            <w:r w:rsidRPr="00191478">
              <w:rPr>
                <w:rFonts w:asciiTheme="minorHAnsi" w:hAnsiTheme="minorHAnsi"/>
                <w:color w:val="FFFFFF"/>
                <w:sz w:val="19"/>
              </w:rPr>
              <w:t>Findings</w:t>
            </w:r>
          </w:p>
        </w:tc>
        <w:tc>
          <w:tcPr>
            <w:tcW w:w="2702" w:type="dxa"/>
            <w:tcBorders>
              <w:top w:val="nil"/>
            </w:tcBorders>
            <w:shd w:val="clear" w:color="auto" w:fill="314652"/>
          </w:tcPr>
          <w:p w14:paraId="7AA10426"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Recommendations</w:t>
            </w:r>
          </w:p>
        </w:tc>
        <w:tc>
          <w:tcPr>
            <w:tcW w:w="7520" w:type="dxa"/>
            <w:tcBorders>
              <w:top w:val="nil"/>
              <w:right w:val="nil"/>
            </w:tcBorders>
            <w:shd w:val="clear" w:color="auto" w:fill="314652"/>
          </w:tcPr>
          <w:p w14:paraId="0E292BEE"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Actions</w:t>
            </w:r>
          </w:p>
        </w:tc>
      </w:tr>
      <w:tr w:rsidR="00041655" w:rsidRPr="00191478" w14:paraId="0F6C1D71" w14:textId="77777777" w:rsidTr="00F33AA3">
        <w:trPr>
          <w:trHeight w:val="295"/>
        </w:trPr>
        <w:tc>
          <w:tcPr>
            <w:tcW w:w="14322" w:type="dxa"/>
            <w:gridSpan w:val="3"/>
            <w:tcBorders>
              <w:top w:val="single" w:sz="6" w:space="0" w:color="FFFFFF"/>
              <w:left w:val="nil"/>
              <w:right w:val="nil"/>
            </w:tcBorders>
            <w:shd w:val="clear" w:color="auto" w:fill="F89B64"/>
          </w:tcPr>
          <w:p w14:paraId="42714B8C" w14:textId="77777777" w:rsidR="00041655" w:rsidRPr="00191478" w:rsidRDefault="00041655" w:rsidP="00F33AA3">
            <w:pPr>
              <w:pStyle w:val="TableParagraph"/>
              <w:spacing w:before="39"/>
              <w:ind w:left="5522" w:right="5521"/>
              <w:jc w:val="center"/>
              <w:rPr>
                <w:rFonts w:asciiTheme="minorHAnsi" w:hAnsiTheme="minorHAnsi"/>
                <w:sz w:val="19"/>
              </w:rPr>
            </w:pPr>
            <w:r w:rsidRPr="00191478">
              <w:rPr>
                <w:rFonts w:asciiTheme="minorHAnsi" w:hAnsiTheme="minorHAnsi"/>
                <w:sz w:val="19"/>
              </w:rPr>
              <w:t>Other student support</w:t>
            </w:r>
          </w:p>
        </w:tc>
      </w:tr>
      <w:tr w:rsidR="00041655" w:rsidRPr="00191478" w14:paraId="556EBC4A" w14:textId="77777777" w:rsidTr="00F33AA3">
        <w:trPr>
          <w:trHeight w:val="5857"/>
        </w:trPr>
        <w:tc>
          <w:tcPr>
            <w:tcW w:w="4100" w:type="dxa"/>
            <w:tcBorders>
              <w:left w:val="nil"/>
            </w:tcBorders>
            <w:shd w:val="clear" w:color="auto" w:fill="ECEFF1"/>
          </w:tcPr>
          <w:p w14:paraId="41B23AE3" w14:textId="77777777" w:rsidR="00041655" w:rsidRPr="00191478" w:rsidRDefault="00041655" w:rsidP="00F33AA3">
            <w:pPr>
              <w:pStyle w:val="TableParagraph"/>
              <w:spacing w:before="44" w:line="235" w:lineRule="auto"/>
              <w:ind w:left="80" w:right="196"/>
              <w:rPr>
                <w:rFonts w:asciiTheme="minorHAnsi" w:hAnsiTheme="minorHAnsi"/>
                <w:sz w:val="19"/>
              </w:rPr>
            </w:pPr>
            <w:r w:rsidRPr="00191478">
              <w:rPr>
                <w:rStyle w:val="Strong"/>
                <w:rFonts w:asciiTheme="minorHAnsi" w:hAnsiTheme="minorHAnsi"/>
                <w:color w:val="auto"/>
                <w:sz w:val="22"/>
              </w:rPr>
              <w:t>KEY FINDING 9:</w:t>
            </w:r>
            <w:r w:rsidRPr="00191478">
              <w:rPr>
                <w:rFonts w:asciiTheme="minorHAnsi" w:hAnsiTheme="minorHAnsi"/>
                <w:sz w:val="19"/>
              </w:rPr>
              <w:t xml:space="preserve"> There are a variety of successful support programs that higher education and VET institutions run to assist RRR students throughout their studies; however, offerings are ad hoc and vary considerably between education providers.</w:t>
            </w:r>
          </w:p>
          <w:p w14:paraId="6D89F133" w14:textId="77777777" w:rsidR="00041655" w:rsidRPr="00191478" w:rsidRDefault="00041655" w:rsidP="00F33AA3">
            <w:pPr>
              <w:pStyle w:val="TableParagraph"/>
              <w:spacing w:before="169" w:line="235" w:lineRule="auto"/>
              <w:ind w:left="80" w:right="464"/>
              <w:rPr>
                <w:rFonts w:asciiTheme="minorHAnsi" w:hAnsiTheme="minorHAnsi"/>
                <w:sz w:val="19"/>
              </w:rPr>
            </w:pPr>
            <w:r w:rsidRPr="00191478">
              <w:rPr>
                <w:rStyle w:val="Strong"/>
                <w:rFonts w:asciiTheme="minorHAnsi" w:hAnsiTheme="minorHAnsi"/>
                <w:color w:val="auto"/>
                <w:sz w:val="22"/>
              </w:rPr>
              <w:t>KEY FINDING 10:</w:t>
            </w:r>
            <w:r w:rsidRPr="00191478">
              <w:rPr>
                <w:rFonts w:asciiTheme="minorHAnsi" w:hAnsiTheme="minorHAnsi"/>
                <w:sz w:val="19"/>
              </w:rPr>
              <w:t xml:space="preserve"> RRR school leavers are more likely to relocate for study and live independently, away from their family and other support networks.</w:t>
            </w:r>
          </w:p>
        </w:tc>
        <w:tc>
          <w:tcPr>
            <w:tcW w:w="2702" w:type="dxa"/>
            <w:shd w:val="clear" w:color="auto" w:fill="ECEFF1"/>
          </w:tcPr>
          <w:p w14:paraId="5FF73074" w14:textId="77777777" w:rsidR="00041655" w:rsidRPr="00191478" w:rsidRDefault="00041655" w:rsidP="00F33AA3">
            <w:pPr>
              <w:pStyle w:val="TableParagraph"/>
              <w:spacing w:before="43"/>
              <w:ind w:left="75"/>
              <w:rPr>
                <w:rStyle w:val="Strong"/>
                <w:rFonts w:asciiTheme="minorHAnsi" w:hAnsiTheme="minorHAnsi"/>
                <w:color w:val="auto"/>
                <w:sz w:val="22"/>
              </w:rPr>
            </w:pPr>
            <w:r w:rsidRPr="00191478">
              <w:rPr>
                <w:rStyle w:val="Strong"/>
                <w:rFonts w:asciiTheme="minorHAnsi" w:hAnsiTheme="minorHAnsi"/>
                <w:color w:val="auto"/>
                <w:sz w:val="22"/>
              </w:rPr>
              <w:t>Recommendation three</w:t>
            </w:r>
          </w:p>
          <w:p w14:paraId="290AC6F5" w14:textId="77777777" w:rsidR="00041655" w:rsidRPr="00191478" w:rsidRDefault="00041655" w:rsidP="00F33AA3">
            <w:pPr>
              <w:pStyle w:val="TableParagraph"/>
              <w:spacing w:before="55" w:line="235" w:lineRule="auto"/>
              <w:ind w:left="75" w:right="65"/>
              <w:rPr>
                <w:rFonts w:asciiTheme="minorHAnsi" w:hAnsiTheme="minorHAnsi"/>
                <w:sz w:val="19"/>
              </w:rPr>
            </w:pPr>
            <w:r w:rsidRPr="00191478">
              <w:rPr>
                <w:rFonts w:asciiTheme="minorHAnsi" w:hAnsiTheme="minorHAnsi"/>
                <w:spacing w:val="2"/>
                <w:sz w:val="19"/>
              </w:rPr>
              <w:t xml:space="preserve">Improve the </w:t>
            </w:r>
            <w:r w:rsidRPr="00191478">
              <w:rPr>
                <w:rFonts w:asciiTheme="minorHAnsi" w:hAnsiTheme="minorHAnsi"/>
                <w:spacing w:val="3"/>
                <w:sz w:val="19"/>
              </w:rPr>
              <w:t xml:space="preserve">quality and range </w:t>
            </w:r>
            <w:r w:rsidRPr="00191478">
              <w:rPr>
                <w:rFonts w:asciiTheme="minorHAnsi" w:hAnsiTheme="minorHAnsi"/>
                <w:sz w:val="19"/>
              </w:rPr>
              <w:t>of</w:t>
            </w:r>
            <w:r w:rsidRPr="00191478">
              <w:rPr>
                <w:rFonts w:asciiTheme="minorHAnsi" w:hAnsiTheme="minorHAnsi"/>
                <w:spacing w:val="-10"/>
                <w:sz w:val="19"/>
              </w:rPr>
              <w:t xml:space="preserve"> </w:t>
            </w:r>
            <w:r w:rsidRPr="00191478">
              <w:rPr>
                <w:rFonts w:asciiTheme="minorHAnsi" w:hAnsiTheme="minorHAnsi"/>
                <w:spacing w:val="2"/>
                <w:sz w:val="19"/>
              </w:rPr>
              <w:t>student</w:t>
            </w:r>
            <w:r w:rsidRPr="00191478">
              <w:rPr>
                <w:rFonts w:asciiTheme="minorHAnsi" w:hAnsiTheme="minorHAnsi"/>
                <w:spacing w:val="-10"/>
                <w:sz w:val="19"/>
              </w:rPr>
              <w:t xml:space="preserve"> </w:t>
            </w:r>
            <w:r w:rsidRPr="00191478">
              <w:rPr>
                <w:rFonts w:asciiTheme="minorHAnsi" w:hAnsiTheme="minorHAnsi"/>
                <w:spacing w:val="4"/>
                <w:sz w:val="19"/>
              </w:rPr>
              <w:t>support</w:t>
            </w:r>
            <w:r w:rsidRPr="00191478">
              <w:rPr>
                <w:rFonts w:asciiTheme="minorHAnsi" w:hAnsiTheme="minorHAnsi"/>
                <w:spacing w:val="-10"/>
                <w:sz w:val="19"/>
              </w:rPr>
              <w:t xml:space="preserve"> </w:t>
            </w:r>
            <w:r w:rsidRPr="00191478">
              <w:rPr>
                <w:rFonts w:asciiTheme="minorHAnsi" w:hAnsiTheme="minorHAnsi"/>
                <w:spacing w:val="4"/>
                <w:sz w:val="19"/>
              </w:rPr>
              <w:t>services</w:t>
            </w:r>
            <w:r w:rsidRPr="00191478">
              <w:rPr>
                <w:rFonts w:asciiTheme="minorHAnsi" w:hAnsiTheme="minorHAnsi"/>
                <w:spacing w:val="-10"/>
                <w:sz w:val="19"/>
              </w:rPr>
              <w:t xml:space="preserve"> </w:t>
            </w:r>
            <w:r w:rsidRPr="00191478">
              <w:rPr>
                <w:rFonts w:asciiTheme="minorHAnsi" w:hAnsiTheme="minorHAnsi"/>
                <w:spacing w:val="2"/>
                <w:sz w:val="19"/>
              </w:rPr>
              <w:t xml:space="preserve">for RRR students </w:t>
            </w:r>
            <w:r w:rsidRPr="00191478">
              <w:rPr>
                <w:rFonts w:asciiTheme="minorHAnsi" w:hAnsiTheme="minorHAnsi"/>
                <w:sz w:val="19"/>
              </w:rPr>
              <w:t xml:space="preserve">to </w:t>
            </w:r>
            <w:r w:rsidRPr="00191478">
              <w:rPr>
                <w:rFonts w:asciiTheme="minorHAnsi" w:hAnsiTheme="minorHAnsi"/>
                <w:spacing w:val="3"/>
                <w:sz w:val="19"/>
              </w:rPr>
              <w:t xml:space="preserve">address </w:t>
            </w:r>
            <w:r w:rsidRPr="00191478">
              <w:rPr>
                <w:rFonts w:asciiTheme="minorHAnsi" w:hAnsiTheme="minorHAnsi"/>
                <w:spacing w:val="2"/>
                <w:sz w:val="19"/>
              </w:rPr>
              <w:t xml:space="preserve">the </w:t>
            </w:r>
            <w:r w:rsidRPr="00191478">
              <w:rPr>
                <w:rFonts w:asciiTheme="minorHAnsi" w:hAnsiTheme="minorHAnsi"/>
                <w:spacing w:val="3"/>
                <w:sz w:val="19"/>
              </w:rPr>
              <w:t xml:space="preserve">challenges </w:t>
            </w:r>
            <w:r w:rsidRPr="00191478">
              <w:rPr>
                <w:rFonts w:asciiTheme="minorHAnsi" w:hAnsiTheme="minorHAnsi"/>
                <w:sz w:val="19"/>
              </w:rPr>
              <w:t xml:space="preserve">of </w:t>
            </w:r>
            <w:r w:rsidRPr="00191478">
              <w:rPr>
                <w:rFonts w:asciiTheme="minorHAnsi" w:hAnsiTheme="minorHAnsi"/>
                <w:spacing w:val="3"/>
                <w:sz w:val="19"/>
              </w:rPr>
              <w:t xml:space="preserve">transition and higher </w:t>
            </w:r>
            <w:r w:rsidRPr="00191478">
              <w:rPr>
                <w:rFonts w:asciiTheme="minorHAnsi" w:hAnsiTheme="minorHAnsi"/>
                <w:sz w:val="19"/>
              </w:rPr>
              <w:t xml:space="preserve">rates of </w:t>
            </w:r>
            <w:r w:rsidRPr="00191478">
              <w:rPr>
                <w:rFonts w:asciiTheme="minorHAnsi" w:hAnsiTheme="minorHAnsi"/>
                <w:spacing w:val="3"/>
                <w:sz w:val="19"/>
              </w:rPr>
              <w:t>attrition</w:t>
            </w:r>
            <w:r w:rsidRPr="00191478">
              <w:rPr>
                <w:rFonts w:asciiTheme="minorHAnsi" w:hAnsiTheme="minorHAnsi"/>
                <w:spacing w:val="-5"/>
                <w:sz w:val="19"/>
              </w:rPr>
              <w:t xml:space="preserve"> </w:t>
            </w:r>
            <w:r w:rsidRPr="00191478">
              <w:rPr>
                <w:rFonts w:asciiTheme="minorHAnsi" w:hAnsiTheme="minorHAnsi"/>
                <w:sz w:val="19"/>
              </w:rPr>
              <w:t>by:</w:t>
            </w:r>
          </w:p>
          <w:p w14:paraId="1D7F5F4D" w14:textId="77777777" w:rsidR="00041655" w:rsidRPr="00191478" w:rsidRDefault="00041655" w:rsidP="00041655">
            <w:pPr>
              <w:pStyle w:val="TableParagraph"/>
              <w:numPr>
                <w:ilvl w:val="0"/>
                <w:numId w:val="39"/>
              </w:numPr>
              <w:tabs>
                <w:tab w:val="left" w:pos="359"/>
              </w:tabs>
              <w:spacing w:before="57" w:line="235" w:lineRule="auto"/>
              <w:ind w:right="158" w:hanging="283"/>
              <w:rPr>
                <w:rFonts w:asciiTheme="minorHAnsi" w:hAnsiTheme="minorHAnsi"/>
                <w:sz w:val="19"/>
              </w:rPr>
            </w:pPr>
            <w:r w:rsidRPr="00191478">
              <w:rPr>
                <w:rFonts w:asciiTheme="minorHAnsi" w:hAnsiTheme="minorHAnsi"/>
                <w:spacing w:val="4"/>
                <w:sz w:val="19"/>
              </w:rPr>
              <w:t xml:space="preserve">identifying and </w:t>
            </w:r>
            <w:r w:rsidRPr="00191478">
              <w:rPr>
                <w:rFonts w:asciiTheme="minorHAnsi" w:hAnsiTheme="minorHAnsi"/>
                <w:spacing w:val="3"/>
                <w:sz w:val="19"/>
              </w:rPr>
              <w:t xml:space="preserve">disseminating information </w:t>
            </w:r>
            <w:r w:rsidRPr="00191478">
              <w:rPr>
                <w:rFonts w:asciiTheme="minorHAnsi" w:hAnsiTheme="minorHAnsi"/>
                <w:sz w:val="19"/>
              </w:rPr>
              <w:t xml:space="preserve">on </w:t>
            </w:r>
            <w:r w:rsidRPr="00191478">
              <w:rPr>
                <w:rFonts w:asciiTheme="minorHAnsi" w:hAnsiTheme="minorHAnsi"/>
                <w:spacing w:val="3"/>
                <w:sz w:val="19"/>
              </w:rPr>
              <w:t xml:space="preserve">best practice student </w:t>
            </w:r>
            <w:r w:rsidRPr="00191478">
              <w:rPr>
                <w:rFonts w:asciiTheme="minorHAnsi" w:hAnsiTheme="minorHAnsi"/>
                <w:spacing w:val="4"/>
                <w:sz w:val="19"/>
              </w:rPr>
              <w:t>support</w:t>
            </w:r>
            <w:r w:rsidRPr="00191478">
              <w:rPr>
                <w:rFonts w:asciiTheme="minorHAnsi" w:hAnsiTheme="minorHAnsi"/>
                <w:spacing w:val="5"/>
                <w:sz w:val="19"/>
              </w:rPr>
              <w:t xml:space="preserve"> </w:t>
            </w:r>
            <w:r w:rsidRPr="00191478">
              <w:rPr>
                <w:rFonts w:asciiTheme="minorHAnsi" w:hAnsiTheme="minorHAnsi"/>
                <w:spacing w:val="4"/>
                <w:sz w:val="19"/>
              </w:rPr>
              <w:t>services</w:t>
            </w:r>
          </w:p>
          <w:p w14:paraId="3A77CC96" w14:textId="77777777" w:rsidR="00041655" w:rsidRPr="00191478" w:rsidRDefault="00041655" w:rsidP="00041655">
            <w:pPr>
              <w:pStyle w:val="TableParagraph"/>
              <w:numPr>
                <w:ilvl w:val="0"/>
                <w:numId w:val="39"/>
              </w:numPr>
              <w:tabs>
                <w:tab w:val="left" w:pos="359"/>
              </w:tabs>
              <w:spacing w:before="57" w:line="235" w:lineRule="auto"/>
              <w:ind w:right="89" w:hanging="283"/>
              <w:rPr>
                <w:rFonts w:asciiTheme="minorHAnsi" w:hAnsiTheme="minorHAnsi"/>
                <w:sz w:val="19"/>
              </w:rPr>
            </w:pPr>
            <w:r w:rsidRPr="00191478">
              <w:rPr>
                <w:rFonts w:asciiTheme="minorHAnsi" w:hAnsiTheme="minorHAnsi"/>
                <w:spacing w:val="3"/>
                <w:sz w:val="19"/>
              </w:rPr>
              <w:t xml:space="preserve">introducing </w:t>
            </w:r>
            <w:r w:rsidRPr="00191478">
              <w:rPr>
                <w:rFonts w:asciiTheme="minorHAnsi" w:hAnsiTheme="minorHAnsi"/>
                <w:spacing w:val="2"/>
                <w:sz w:val="19"/>
              </w:rPr>
              <w:t xml:space="preserve">new </w:t>
            </w:r>
            <w:r w:rsidRPr="00191478">
              <w:rPr>
                <w:rFonts w:asciiTheme="minorHAnsi" w:hAnsiTheme="minorHAnsi"/>
                <w:spacing w:val="3"/>
                <w:sz w:val="19"/>
              </w:rPr>
              <w:t xml:space="preserve">requirements </w:t>
            </w:r>
            <w:r w:rsidRPr="00191478">
              <w:rPr>
                <w:rFonts w:asciiTheme="minorHAnsi" w:hAnsiTheme="minorHAnsi"/>
                <w:spacing w:val="2"/>
                <w:sz w:val="19"/>
              </w:rPr>
              <w:t xml:space="preserve">for </w:t>
            </w:r>
            <w:r w:rsidRPr="00191478">
              <w:rPr>
                <w:rFonts w:asciiTheme="minorHAnsi" w:hAnsiTheme="minorHAnsi"/>
                <w:spacing w:val="3"/>
                <w:sz w:val="19"/>
              </w:rPr>
              <w:t xml:space="preserve">providers </w:t>
            </w:r>
            <w:r w:rsidRPr="00191478">
              <w:rPr>
                <w:rFonts w:asciiTheme="minorHAnsi" w:hAnsiTheme="minorHAnsi"/>
                <w:sz w:val="19"/>
              </w:rPr>
              <w:t xml:space="preserve">to </w:t>
            </w:r>
            <w:r w:rsidRPr="00191478">
              <w:rPr>
                <w:rFonts w:asciiTheme="minorHAnsi" w:hAnsiTheme="minorHAnsi"/>
                <w:spacing w:val="3"/>
                <w:sz w:val="19"/>
              </w:rPr>
              <w:t xml:space="preserve">publish transparent information </w:t>
            </w:r>
            <w:r w:rsidRPr="00191478">
              <w:rPr>
                <w:rFonts w:asciiTheme="minorHAnsi" w:hAnsiTheme="minorHAnsi"/>
                <w:sz w:val="19"/>
              </w:rPr>
              <w:t xml:space="preserve">on </w:t>
            </w:r>
            <w:r w:rsidRPr="00191478">
              <w:rPr>
                <w:rFonts w:asciiTheme="minorHAnsi" w:hAnsiTheme="minorHAnsi"/>
                <w:spacing w:val="3"/>
                <w:sz w:val="19"/>
              </w:rPr>
              <w:t xml:space="preserve">available </w:t>
            </w:r>
            <w:r w:rsidRPr="00191478">
              <w:rPr>
                <w:rFonts w:asciiTheme="minorHAnsi" w:hAnsiTheme="minorHAnsi"/>
                <w:spacing w:val="4"/>
                <w:sz w:val="19"/>
              </w:rPr>
              <w:t xml:space="preserve">service </w:t>
            </w:r>
            <w:r w:rsidRPr="00191478">
              <w:rPr>
                <w:rFonts w:asciiTheme="minorHAnsi" w:hAnsiTheme="minorHAnsi"/>
                <w:spacing w:val="3"/>
                <w:sz w:val="19"/>
              </w:rPr>
              <w:t>offerings,</w:t>
            </w:r>
            <w:r w:rsidRPr="00191478">
              <w:rPr>
                <w:rFonts w:asciiTheme="minorHAnsi" w:hAnsiTheme="minorHAnsi"/>
                <w:spacing w:val="8"/>
                <w:sz w:val="19"/>
              </w:rPr>
              <w:t xml:space="preserve"> </w:t>
            </w:r>
            <w:r w:rsidRPr="00191478">
              <w:rPr>
                <w:rFonts w:asciiTheme="minorHAnsi" w:hAnsiTheme="minorHAnsi"/>
                <w:spacing w:val="4"/>
                <w:sz w:val="19"/>
              </w:rPr>
              <w:t>and</w:t>
            </w:r>
          </w:p>
          <w:p w14:paraId="20F07880" w14:textId="77777777" w:rsidR="00041655" w:rsidRPr="00191478" w:rsidRDefault="00041655" w:rsidP="00041655">
            <w:pPr>
              <w:pStyle w:val="TableParagraph"/>
              <w:numPr>
                <w:ilvl w:val="0"/>
                <w:numId w:val="39"/>
              </w:numPr>
              <w:tabs>
                <w:tab w:val="left" w:pos="359"/>
              </w:tabs>
              <w:spacing w:before="57" w:line="235" w:lineRule="auto"/>
              <w:ind w:right="136" w:hanging="283"/>
              <w:rPr>
                <w:rFonts w:asciiTheme="minorHAnsi" w:hAnsiTheme="minorHAnsi"/>
                <w:sz w:val="19"/>
              </w:rPr>
            </w:pPr>
            <w:r w:rsidRPr="00191478">
              <w:rPr>
                <w:rFonts w:asciiTheme="minorHAnsi" w:hAnsiTheme="minorHAnsi"/>
                <w:spacing w:val="3"/>
                <w:sz w:val="19"/>
              </w:rPr>
              <w:t xml:space="preserve">working </w:t>
            </w:r>
            <w:r w:rsidRPr="00191478">
              <w:rPr>
                <w:rFonts w:asciiTheme="minorHAnsi" w:hAnsiTheme="minorHAnsi"/>
                <w:spacing w:val="2"/>
                <w:sz w:val="19"/>
              </w:rPr>
              <w:t xml:space="preserve">with </w:t>
            </w:r>
            <w:r w:rsidRPr="00191478">
              <w:rPr>
                <w:rFonts w:asciiTheme="minorHAnsi" w:hAnsiTheme="minorHAnsi"/>
                <w:sz w:val="19"/>
              </w:rPr>
              <w:t xml:space="preserve">state </w:t>
            </w:r>
            <w:r w:rsidRPr="00191478">
              <w:rPr>
                <w:rFonts w:asciiTheme="minorHAnsi" w:hAnsiTheme="minorHAnsi"/>
                <w:spacing w:val="3"/>
                <w:sz w:val="19"/>
              </w:rPr>
              <w:t xml:space="preserve">and territory governments </w:t>
            </w:r>
            <w:r w:rsidRPr="00191478">
              <w:rPr>
                <w:rFonts w:asciiTheme="minorHAnsi" w:hAnsiTheme="minorHAnsi"/>
                <w:sz w:val="19"/>
              </w:rPr>
              <w:t xml:space="preserve">to </w:t>
            </w:r>
            <w:r w:rsidRPr="00191478">
              <w:rPr>
                <w:rFonts w:asciiTheme="minorHAnsi" w:hAnsiTheme="minorHAnsi"/>
                <w:spacing w:val="2"/>
                <w:sz w:val="19"/>
              </w:rPr>
              <w:t xml:space="preserve">improve </w:t>
            </w:r>
            <w:r w:rsidRPr="00191478">
              <w:rPr>
                <w:rFonts w:asciiTheme="minorHAnsi" w:hAnsiTheme="minorHAnsi"/>
                <w:spacing w:val="3"/>
                <w:sz w:val="19"/>
              </w:rPr>
              <w:t xml:space="preserve">transport </w:t>
            </w:r>
            <w:r w:rsidRPr="00191478">
              <w:rPr>
                <w:rFonts w:asciiTheme="minorHAnsi" w:hAnsiTheme="minorHAnsi"/>
                <w:spacing w:val="2"/>
                <w:sz w:val="19"/>
              </w:rPr>
              <w:t>options for</w:t>
            </w:r>
            <w:r w:rsidRPr="00191478">
              <w:rPr>
                <w:rFonts w:asciiTheme="minorHAnsi" w:hAnsiTheme="minorHAnsi"/>
                <w:spacing w:val="5"/>
                <w:sz w:val="19"/>
              </w:rPr>
              <w:t xml:space="preserve"> </w:t>
            </w:r>
            <w:r w:rsidRPr="00191478">
              <w:rPr>
                <w:rFonts w:asciiTheme="minorHAnsi" w:hAnsiTheme="minorHAnsi"/>
                <w:spacing w:val="2"/>
                <w:sz w:val="19"/>
              </w:rPr>
              <w:t>students.</w:t>
            </w:r>
          </w:p>
        </w:tc>
        <w:tc>
          <w:tcPr>
            <w:tcW w:w="7520" w:type="dxa"/>
            <w:tcBorders>
              <w:bottom w:val="single" w:sz="6" w:space="0" w:color="FFFFFF"/>
              <w:right w:val="nil"/>
            </w:tcBorders>
            <w:shd w:val="clear" w:color="auto" w:fill="ECEFF1"/>
          </w:tcPr>
          <w:p w14:paraId="444B9074" w14:textId="1F13F86E" w:rsidR="00041655" w:rsidRPr="00191478" w:rsidRDefault="00041655" w:rsidP="00041655">
            <w:pPr>
              <w:pStyle w:val="TableParagraph"/>
              <w:numPr>
                <w:ilvl w:val="0"/>
                <w:numId w:val="38"/>
              </w:numPr>
              <w:tabs>
                <w:tab w:val="left" w:pos="416"/>
              </w:tabs>
              <w:spacing w:before="44" w:line="235" w:lineRule="auto"/>
              <w:ind w:right="1073" w:hanging="340"/>
              <w:rPr>
                <w:rFonts w:asciiTheme="minorHAnsi" w:hAnsiTheme="minorHAnsi"/>
                <w:sz w:val="19"/>
              </w:rPr>
            </w:pPr>
            <w:r w:rsidRPr="00191478">
              <w:rPr>
                <w:rFonts w:asciiTheme="minorHAnsi" w:hAnsiTheme="minorHAnsi"/>
                <w:spacing w:val="3"/>
                <w:sz w:val="19"/>
              </w:rPr>
              <w:t xml:space="preserve">Identify and disseminate information </w:t>
            </w:r>
            <w:r w:rsidRPr="00191478">
              <w:rPr>
                <w:rFonts w:asciiTheme="minorHAnsi" w:hAnsiTheme="minorHAnsi"/>
                <w:sz w:val="19"/>
              </w:rPr>
              <w:t xml:space="preserve">on a </w:t>
            </w:r>
            <w:r w:rsidRPr="00191478">
              <w:rPr>
                <w:rFonts w:asciiTheme="minorHAnsi" w:hAnsiTheme="minorHAnsi"/>
                <w:spacing w:val="2"/>
                <w:sz w:val="19"/>
              </w:rPr>
              <w:t xml:space="preserve">core suite </w:t>
            </w:r>
            <w:r w:rsidRPr="00191478">
              <w:rPr>
                <w:rFonts w:asciiTheme="minorHAnsi" w:hAnsiTheme="minorHAnsi"/>
                <w:sz w:val="19"/>
              </w:rPr>
              <w:t xml:space="preserve">of </w:t>
            </w:r>
            <w:r w:rsidRPr="00191478">
              <w:rPr>
                <w:rFonts w:asciiTheme="minorHAnsi" w:hAnsiTheme="minorHAnsi"/>
                <w:spacing w:val="3"/>
                <w:sz w:val="19"/>
              </w:rPr>
              <w:t>best practice interventions</w:t>
            </w:r>
            <w:r w:rsidR="00C120DB">
              <w:rPr>
                <w:rFonts w:asciiTheme="minorHAnsi" w:hAnsiTheme="minorHAnsi"/>
                <w:spacing w:val="3"/>
                <w:sz w:val="19"/>
              </w:rPr>
              <w:t xml:space="preserve"> </w:t>
            </w:r>
            <w:r w:rsidRPr="00191478">
              <w:rPr>
                <w:rFonts w:asciiTheme="minorHAnsi" w:hAnsiTheme="minorHAnsi"/>
                <w:spacing w:val="3"/>
                <w:sz w:val="19"/>
              </w:rPr>
              <w:t xml:space="preserve">and offerings universities should </w:t>
            </w:r>
            <w:r w:rsidRPr="00191478">
              <w:rPr>
                <w:rFonts w:asciiTheme="minorHAnsi" w:hAnsiTheme="minorHAnsi"/>
                <w:spacing w:val="2"/>
                <w:sz w:val="19"/>
              </w:rPr>
              <w:t xml:space="preserve">provide </w:t>
            </w:r>
            <w:r w:rsidRPr="00191478">
              <w:rPr>
                <w:rFonts w:asciiTheme="minorHAnsi" w:hAnsiTheme="minorHAnsi"/>
                <w:sz w:val="19"/>
              </w:rPr>
              <w:t xml:space="preserve">to </w:t>
            </w:r>
            <w:r w:rsidRPr="00191478">
              <w:rPr>
                <w:rFonts w:asciiTheme="minorHAnsi" w:hAnsiTheme="minorHAnsi"/>
                <w:spacing w:val="2"/>
                <w:sz w:val="19"/>
              </w:rPr>
              <w:t xml:space="preserve">RRR students, </w:t>
            </w:r>
            <w:r w:rsidRPr="00191478">
              <w:rPr>
                <w:rFonts w:asciiTheme="minorHAnsi" w:hAnsiTheme="minorHAnsi"/>
                <w:spacing w:val="3"/>
                <w:sz w:val="19"/>
              </w:rPr>
              <w:t xml:space="preserve">including </w:t>
            </w:r>
            <w:r w:rsidRPr="00191478">
              <w:rPr>
                <w:rFonts w:asciiTheme="minorHAnsi" w:hAnsiTheme="minorHAnsi"/>
                <w:spacing w:val="2"/>
                <w:sz w:val="19"/>
              </w:rPr>
              <w:t>the following</w:t>
            </w:r>
            <w:r w:rsidRPr="00191478">
              <w:rPr>
                <w:rFonts w:asciiTheme="minorHAnsi" w:hAnsiTheme="minorHAnsi"/>
                <w:spacing w:val="10"/>
                <w:sz w:val="19"/>
              </w:rPr>
              <w:t xml:space="preserve"> </w:t>
            </w:r>
            <w:r w:rsidRPr="00191478">
              <w:rPr>
                <w:rFonts w:asciiTheme="minorHAnsi" w:hAnsiTheme="minorHAnsi"/>
                <w:spacing w:val="4"/>
                <w:sz w:val="19"/>
              </w:rPr>
              <w:t>services:</w:t>
            </w:r>
          </w:p>
          <w:p w14:paraId="21F196B2" w14:textId="77777777" w:rsidR="00041655" w:rsidRPr="00191478" w:rsidRDefault="00041655" w:rsidP="00041655">
            <w:pPr>
              <w:pStyle w:val="TableParagraph"/>
              <w:numPr>
                <w:ilvl w:val="1"/>
                <w:numId w:val="38"/>
              </w:numPr>
              <w:tabs>
                <w:tab w:val="left" w:pos="700"/>
              </w:tabs>
              <w:spacing w:before="53"/>
              <w:rPr>
                <w:rFonts w:asciiTheme="minorHAnsi" w:hAnsiTheme="minorHAnsi"/>
                <w:sz w:val="19"/>
              </w:rPr>
            </w:pPr>
            <w:r w:rsidRPr="00191478">
              <w:rPr>
                <w:rFonts w:asciiTheme="minorHAnsi" w:hAnsiTheme="minorHAnsi"/>
                <w:spacing w:val="2"/>
                <w:sz w:val="19"/>
              </w:rPr>
              <w:t>pastoral</w:t>
            </w:r>
            <w:r w:rsidRPr="00191478">
              <w:rPr>
                <w:rFonts w:asciiTheme="minorHAnsi" w:hAnsiTheme="minorHAnsi"/>
                <w:spacing w:val="5"/>
                <w:sz w:val="19"/>
              </w:rPr>
              <w:t xml:space="preserve"> </w:t>
            </w:r>
            <w:r w:rsidRPr="00191478">
              <w:rPr>
                <w:rFonts w:asciiTheme="minorHAnsi" w:hAnsiTheme="minorHAnsi"/>
                <w:spacing w:val="3"/>
                <w:sz w:val="19"/>
              </w:rPr>
              <w:t>care</w:t>
            </w:r>
          </w:p>
          <w:p w14:paraId="4C2EFB5D" w14:textId="77777777" w:rsidR="00041655" w:rsidRPr="00191478" w:rsidRDefault="00041655" w:rsidP="00041655">
            <w:pPr>
              <w:pStyle w:val="TableParagraph"/>
              <w:numPr>
                <w:ilvl w:val="1"/>
                <w:numId w:val="38"/>
              </w:numPr>
              <w:tabs>
                <w:tab w:val="left" w:pos="700"/>
              </w:tabs>
              <w:spacing w:before="53"/>
              <w:rPr>
                <w:rFonts w:asciiTheme="minorHAnsi" w:hAnsiTheme="minorHAnsi"/>
                <w:sz w:val="19"/>
              </w:rPr>
            </w:pPr>
            <w:r w:rsidRPr="00191478">
              <w:rPr>
                <w:rFonts w:asciiTheme="minorHAnsi" w:hAnsiTheme="minorHAnsi"/>
                <w:spacing w:val="3"/>
                <w:sz w:val="19"/>
              </w:rPr>
              <w:t xml:space="preserve">specific </w:t>
            </w:r>
            <w:r w:rsidRPr="00191478">
              <w:rPr>
                <w:rFonts w:asciiTheme="minorHAnsi" w:hAnsiTheme="minorHAnsi"/>
                <w:spacing w:val="2"/>
                <w:sz w:val="19"/>
              </w:rPr>
              <w:t xml:space="preserve">RRR </w:t>
            </w:r>
            <w:r w:rsidRPr="00191478">
              <w:rPr>
                <w:rFonts w:asciiTheme="minorHAnsi" w:hAnsiTheme="minorHAnsi"/>
                <w:spacing w:val="3"/>
                <w:sz w:val="19"/>
              </w:rPr>
              <w:t>student</w:t>
            </w:r>
            <w:r w:rsidRPr="00191478">
              <w:rPr>
                <w:rFonts w:asciiTheme="minorHAnsi" w:hAnsiTheme="minorHAnsi"/>
                <w:spacing w:val="10"/>
                <w:sz w:val="19"/>
              </w:rPr>
              <w:t xml:space="preserve"> </w:t>
            </w:r>
            <w:r w:rsidRPr="00191478">
              <w:rPr>
                <w:rFonts w:asciiTheme="minorHAnsi" w:hAnsiTheme="minorHAnsi"/>
                <w:spacing w:val="3"/>
                <w:sz w:val="19"/>
              </w:rPr>
              <w:t>orientation</w:t>
            </w:r>
          </w:p>
          <w:p w14:paraId="416DEA50" w14:textId="77777777" w:rsidR="00041655" w:rsidRPr="00191478" w:rsidRDefault="00041655" w:rsidP="00041655">
            <w:pPr>
              <w:pStyle w:val="TableParagraph"/>
              <w:numPr>
                <w:ilvl w:val="1"/>
                <w:numId w:val="38"/>
              </w:numPr>
              <w:tabs>
                <w:tab w:val="left" w:pos="700"/>
              </w:tabs>
              <w:spacing w:before="52"/>
              <w:rPr>
                <w:rFonts w:asciiTheme="minorHAnsi" w:hAnsiTheme="minorHAnsi"/>
                <w:sz w:val="19"/>
              </w:rPr>
            </w:pPr>
            <w:r w:rsidRPr="00191478">
              <w:rPr>
                <w:rFonts w:asciiTheme="minorHAnsi" w:hAnsiTheme="minorHAnsi"/>
                <w:spacing w:val="3"/>
                <w:sz w:val="19"/>
              </w:rPr>
              <w:t>mentoring/buddy</w:t>
            </w:r>
            <w:r w:rsidRPr="00191478">
              <w:rPr>
                <w:rFonts w:asciiTheme="minorHAnsi" w:hAnsiTheme="minorHAnsi"/>
                <w:spacing w:val="5"/>
                <w:sz w:val="19"/>
              </w:rPr>
              <w:t xml:space="preserve"> </w:t>
            </w:r>
            <w:r w:rsidRPr="00191478">
              <w:rPr>
                <w:rFonts w:asciiTheme="minorHAnsi" w:hAnsiTheme="minorHAnsi"/>
                <w:spacing w:val="3"/>
                <w:sz w:val="19"/>
              </w:rPr>
              <w:t>programs</w:t>
            </w:r>
          </w:p>
          <w:p w14:paraId="30C2DC80" w14:textId="77777777" w:rsidR="00041655" w:rsidRPr="00191478" w:rsidRDefault="00041655" w:rsidP="00041655">
            <w:pPr>
              <w:pStyle w:val="TableParagraph"/>
              <w:numPr>
                <w:ilvl w:val="1"/>
                <w:numId w:val="38"/>
              </w:numPr>
              <w:tabs>
                <w:tab w:val="left" w:pos="700"/>
              </w:tabs>
              <w:spacing w:before="52"/>
              <w:rPr>
                <w:rFonts w:asciiTheme="minorHAnsi" w:hAnsiTheme="minorHAnsi"/>
                <w:sz w:val="19"/>
              </w:rPr>
            </w:pPr>
            <w:r w:rsidRPr="00191478">
              <w:rPr>
                <w:rFonts w:asciiTheme="minorHAnsi" w:hAnsiTheme="minorHAnsi"/>
                <w:spacing w:val="4"/>
                <w:sz w:val="19"/>
              </w:rPr>
              <w:t xml:space="preserve">priority </w:t>
            </w:r>
            <w:r w:rsidRPr="00191478">
              <w:rPr>
                <w:rFonts w:asciiTheme="minorHAnsi" w:hAnsiTheme="minorHAnsi"/>
                <w:spacing w:val="3"/>
                <w:sz w:val="19"/>
              </w:rPr>
              <w:t xml:space="preserve">accommodation </w:t>
            </w:r>
            <w:r w:rsidRPr="00191478">
              <w:rPr>
                <w:rFonts w:asciiTheme="minorHAnsi" w:hAnsiTheme="minorHAnsi"/>
                <w:spacing w:val="2"/>
                <w:sz w:val="19"/>
              </w:rPr>
              <w:t>for RRR</w:t>
            </w:r>
            <w:r w:rsidRPr="00191478">
              <w:rPr>
                <w:rFonts w:asciiTheme="minorHAnsi" w:hAnsiTheme="minorHAnsi"/>
                <w:spacing w:val="11"/>
                <w:sz w:val="19"/>
              </w:rPr>
              <w:t xml:space="preserve"> </w:t>
            </w:r>
            <w:r w:rsidRPr="00191478">
              <w:rPr>
                <w:rFonts w:asciiTheme="minorHAnsi" w:hAnsiTheme="minorHAnsi"/>
                <w:spacing w:val="2"/>
                <w:sz w:val="19"/>
              </w:rPr>
              <w:t>students</w:t>
            </w:r>
          </w:p>
          <w:p w14:paraId="3E91E162" w14:textId="77777777" w:rsidR="00041655" w:rsidRPr="00191478" w:rsidRDefault="00041655" w:rsidP="00041655">
            <w:pPr>
              <w:pStyle w:val="TableParagraph"/>
              <w:numPr>
                <w:ilvl w:val="1"/>
                <w:numId w:val="38"/>
              </w:numPr>
              <w:tabs>
                <w:tab w:val="left" w:pos="700"/>
              </w:tabs>
              <w:spacing w:before="53"/>
              <w:rPr>
                <w:rFonts w:asciiTheme="minorHAnsi" w:hAnsiTheme="minorHAnsi"/>
                <w:sz w:val="19"/>
              </w:rPr>
            </w:pPr>
            <w:r w:rsidRPr="00191478">
              <w:rPr>
                <w:rFonts w:asciiTheme="minorHAnsi" w:hAnsiTheme="minorHAnsi"/>
                <w:spacing w:val="3"/>
                <w:sz w:val="19"/>
              </w:rPr>
              <w:t>academic support, including academic</w:t>
            </w:r>
            <w:r w:rsidRPr="00191478">
              <w:rPr>
                <w:rFonts w:asciiTheme="minorHAnsi" w:hAnsiTheme="minorHAnsi"/>
                <w:spacing w:val="12"/>
                <w:sz w:val="19"/>
              </w:rPr>
              <w:t xml:space="preserve"> </w:t>
            </w:r>
            <w:r w:rsidRPr="00191478">
              <w:rPr>
                <w:rFonts w:asciiTheme="minorHAnsi" w:hAnsiTheme="minorHAnsi"/>
                <w:spacing w:val="3"/>
                <w:sz w:val="19"/>
              </w:rPr>
              <w:t>concierge</w:t>
            </w:r>
          </w:p>
          <w:p w14:paraId="7D803FFE" w14:textId="77777777" w:rsidR="00041655" w:rsidRPr="00191478" w:rsidRDefault="00041655" w:rsidP="00041655">
            <w:pPr>
              <w:pStyle w:val="TableParagraph"/>
              <w:numPr>
                <w:ilvl w:val="1"/>
                <w:numId w:val="38"/>
              </w:numPr>
              <w:tabs>
                <w:tab w:val="left" w:pos="700"/>
              </w:tabs>
              <w:spacing w:before="55" w:line="235" w:lineRule="auto"/>
              <w:ind w:right="419"/>
              <w:rPr>
                <w:rFonts w:asciiTheme="minorHAnsi" w:hAnsiTheme="minorHAnsi"/>
                <w:sz w:val="19"/>
              </w:rPr>
            </w:pPr>
            <w:r w:rsidRPr="00191478">
              <w:rPr>
                <w:rFonts w:asciiTheme="minorHAnsi" w:hAnsiTheme="minorHAnsi"/>
                <w:spacing w:val="3"/>
                <w:sz w:val="19"/>
              </w:rPr>
              <w:t xml:space="preserve">regular contact </w:t>
            </w:r>
            <w:r w:rsidRPr="00191478">
              <w:rPr>
                <w:rFonts w:asciiTheme="minorHAnsi" w:hAnsiTheme="minorHAnsi"/>
                <w:spacing w:val="2"/>
                <w:sz w:val="19"/>
              </w:rPr>
              <w:t xml:space="preserve">with all RRR students </w:t>
            </w:r>
            <w:r w:rsidRPr="00191478">
              <w:rPr>
                <w:rFonts w:asciiTheme="minorHAnsi" w:hAnsiTheme="minorHAnsi"/>
                <w:spacing w:val="3"/>
                <w:sz w:val="19"/>
              </w:rPr>
              <w:t xml:space="preserve">via </w:t>
            </w:r>
            <w:r w:rsidRPr="00191478">
              <w:rPr>
                <w:rFonts w:asciiTheme="minorHAnsi" w:hAnsiTheme="minorHAnsi"/>
                <w:spacing w:val="2"/>
                <w:sz w:val="19"/>
              </w:rPr>
              <w:t xml:space="preserve">email, </w:t>
            </w:r>
            <w:r w:rsidRPr="00191478">
              <w:rPr>
                <w:rFonts w:asciiTheme="minorHAnsi" w:hAnsiTheme="minorHAnsi"/>
                <w:spacing w:val="3"/>
                <w:sz w:val="19"/>
              </w:rPr>
              <w:t xml:space="preserve">phone and </w:t>
            </w:r>
            <w:r w:rsidRPr="00191478">
              <w:rPr>
                <w:rFonts w:asciiTheme="minorHAnsi" w:hAnsiTheme="minorHAnsi"/>
                <w:spacing w:val="2"/>
                <w:sz w:val="19"/>
              </w:rPr>
              <w:t xml:space="preserve">SMS, </w:t>
            </w:r>
            <w:r w:rsidRPr="00191478">
              <w:rPr>
                <w:rFonts w:asciiTheme="minorHAnsi" w:hAnsiTheme="minorHAnsi"/>
                <w:spacing w:val="3"/>
                <w:sz w:val="19"/>
              </w:rPr>
              <w:t xml:space="preserve">especially </w:t>
            </w:r>
            <w:r w:rsidRPr="00191478">
              <w:rPr>
                <w:rFonts w:asciiTheme="minorHAnsi" w:hAnsiTheme="minorHAnsi"/>
                <w:spacing w:val="2"/>
                <w:sz w:val="19"/>
              </w:rPr>
              <w:t xml:space="preserve">those </w:t>
            </w:r>
            <w:r w:rsidRPr="00191478">
              <w:rPr>
                <w:rFonts w:asciiTheme="minorHAnsi" w:hAnsiTheme="minorHAnsi"/>
                <w:spacing w:val="3"/>
                <w:sz w:val="19"/>
              </w:rPr>
              <w:t xml:space="preserve">identified </w:t>
            </w:r>
            <w:r w:rsidRPr="00191478">
              <w:rPr>
                <w:rFonts w:asciiTheme="minorHAnsi" w:hAnsiTheme="minorHAnsi"/>
                <w:sz w:val="19"/>
              </w:rPr>
              <w:t xml:space="preserve">as at </w:t>
            </w:r>
            <w:r w:rsidRPr="00191478">
              <w:rPr>
                <w:rFonts w:asciiTheme="minorHAnsi" w:hAnsiTheme="minorHAnsi"/>
                <w:spacing w:val="3"/>
                <w:sz w:val="19"/>
              </w:rPr>
              <w:t xml:space="preserve">risk </w:t>
            </w:r>
            <w:r w:rsidRPr="00191478">
              <w:rPr>
                <w:rFonts w:asciiTheme="minorHAnsi" w:hAnsiTheme="minorHAnsi"/>
                <w:sz w:val="19"/>
              </w:rPr>
              <w:t xml:space="preserve">of </w:t>
            </w:r>
            <w:r w:rsidRPr="00191478">
              <w:rPr>
                <w:rFonts w:asciiTheme="minorHAnsi" w:hAnsiTheme="minorHAnsi"/>
                <w:spacing w:val="3"/>
                <w:sz w:val="19"/>
              </w:rPr>
              <w:t>dropping</w:t>
            </w:r>
            <w:r w:rsidRPr="00191478">
              <w:rPr>
                <w:rFonts w:asciiTheme="minorHAnsi" w:hAnsiTheme="minorHAnsi"/>
                <w:spacing w:val="28"/>
                <w:sz w:val="19"/>
              </w:rPr>
              <w:t xml:space="preserve"> </w:t>
            </w:r>
            <w:r w:rsidRPr="00191478">
              <w:rPr>
                <w:rFonts w:asciiTheme="minorHAnsi" w:hAnsiTheme="minorHAnsi"/>
                <w:spacing w:val="2"/>
                <w:sz w:val="19"/>
              </w:rPr>
              <w:t>out</w:t>
            </w:r>
          </w:p>
          <w:p w14:paraId="3C23F9D8" w14:textId="77777777" w:rsidR="00041655" w:rsidRPr="00191478" w:rsidRDefault="00041655" w:rsidP="00041655">
            <w:pPr>
              <w:pStyle w:val="TableParagraph"/>
              <w:numPr>
                <w:ilvl w:val="1"/>
                <w:numId w:val="38"/>
              </w:numPr>
              <w:tabs>
                <w:tab w:val="left" w:pos="700"/>
              </w:tabs>
              <w:spacing w:before="54"/>
              <w:rPr>
                <w:rFonts w:asciiTheme="minorHAnsi" w:hAnsiTheme="minorHAnsi"/>
                <w:sz w:val="19"/>
              </w:rPr>
            </w:pPr>
            <w:r w:rsidRPr="00191478">
              <w:rPr>
                <w:rFonts w:asciiTheme="minorHAnsi" w:hAnsiTheme="minorHAnsi"/>
                <w:spacing w:val="3"/>
                <w:sz w:val="19"/>
              </w:rPr>
              <w:t>childcare</w:t>
            </w:r>
            <w:r w:rsidRPr="00191478">
              <w:rPr>
                <w:rFonts w:asciiTheme="minorHAnsi" w:hAnsiTheme="minorHAnsi"/>
                <w:spacing w:val="5"/>
                <w:sz w:val="19"/>
              </w:rPr>
              <w:t xml:space="preserve"> </w:t>
            </w:r>
            <w:r w:rsidRPr="00191478">
              <w:rPr>
                <w:rFonts w:asciiTheme="minorHAnsi" w:hAnsiTheme="minorHAnsi"/>
                <w:spacing w:val="4"/>
                <w:sz w:val="19"/>
              </w:rPr>
              <w:t>support</w:t>
            </w:r>
          </w:p>
          <w:p w14:paraId="4B34B600" w14:textId="77777777" w:rsidR="00041655" w:rsidRPr="00191478" w:rsidRDefault="00041655" w:rsidP="00041655">
            <w:pPr>
              <w:pStyle w:val="TableParagraph"/>
              <w:numPr>
                <w:ilvl w:val="1"/>
                <w:numId w:val="38"/>
              </w:numPr>
              <w:tabs>
                <w:tab w:val="left" w:pos="700"/>
              </w:tabs>
              <w:spacing w:before="52"/>
              <w:rPr>
                <w:rFonts w:asciiTheme="minorHAnsi" w:hAnsiTheme="minorHAnsi"/>
                <w:sz w:val="19"/>
              </w:rPr>
            </w:pPr>
            <w:r w:rsidRPr="00191478">
              <w:rPr>
                <w:rFonts w:asciiTheme="minorHAnsi" w:hAnsiTheme="minorHAnsi"/>
                <w:spacing w:val="3"/>
                <w:sz w:val="19"/>
              </w:rPr>
              <w:t>employment assistance,</w:t>
            </w:r>
            <w:r w:rsidRPr="00191478">
              <w:rPr>
                <w:rFonts w:asciiTheme="minorHAnsi" w:hAnsiTheme="minorHAnsi"/>
                <w:spacing w:val="7"/>
                <w:sz w:val="19"/>
              </w:rPr>
              <w:t xml:space="preserve"> </w:t>
            </w:r>
            <w:r w:rsidRPr="00191478">
              <w:rPr>
                <w:rFonts w:asciiTheme="minorHAnsi" w:hAnsiTheme="minorHAnsi"/>
                <w:spacing w:val="3"/>
                <w:sz w:val="19"/>
              </w:rPr>
              <w:t>and</w:t>
            </w:r>
          </w:p>
          <w:p w14:paraId="4036F25F" w14:textId="77777777" w:rsidR="00041655" w:rsidRPr="00191478" w:rsidRDefault="00041655" w:rsidP="00041655">
            <w:pPr>
              <w:pStyle w:val="TableParagraph"/>
              <w:numPr>
                <w:ilvl w:val="1"/>
                <w:numId w:val="38"/>
              </w:numPr>
              <w:tabs>
                <w:tab w:val="left" w:pos="700"/>
              </w:tabs>
              <w:spacing w:before="52"/>
              <w:rPr>
                <w:rFonts w:asciiTheme="minorHAnsi" w:hAnsiTheme="minorHAnsi"/>
                <w:sz w:val="19"/>
              </w:rPr>
            </w:pPr>
            <w:r w:rsidRPr="00191478">
              <w:rPr>
                <w:rFonts w:asciiTheme="minorHAnsi" w:hAnsiTheme="minorHAnsi"/>
                <w:spacing w:val="3"/>
                <w:sz w:val="19"/>
              </w:rPr>
              <w:t>cultural</w:t>
            </w:r>
            <w:r w:rsidRPr="00191478">
              <w:rPr>
                <w:rFonts w:asciiTheme="minorHAnsi" w:hAnsiTheme="minorHAnsi"/>
                <w:spacing w:val="5"/>
                <w:sz w:val="19"/>
              </w:rPr>
              <w:t xml:space="preserve"> </w:t>
            </w:r>
            <w:r w:rsidRPr="00191478">
              <w:rPr>
                <w:rFonts w:asciiTheme="minorHAnsi" w:hAnsiTheme="minorHAnsi"/>
                <w:sz w:val="19"/>
              </w:rPr>
              <w:t>safety.</w:t>
            </w:r>
          </w:p>
          <w:p w14:paraId="16FCEE39" w14:textId="77777777" w:rsidR="00041655" w:rsidRPr="00191478" w:rsidRDefault="00041655" w:rsidP="00041655">
            <w:pPr>
              <w:pStyle w:val="TableParagraph"/>
              <w:numPr>
                <w:ilvl w:val="0"/>
                <w:numId w:val="38"/>
              </w:numPr>
              <w:tabs>
                <w:tab w:val="left" w:pos="416"/>
              </w:tabs>
              <w:spacing w:before="170" w:line="235" w:lineRule="auto"/>
              <w:ind w:right="766" w:hanging="340"/>
              <w:rPr>
                <w:rFonts w:asciiTheme="minorHAnsi" w:hAnsiTheme="minorHAnsi"/>
                <w:sz w:val="19"/>
              </w:rPr>
            </w:pPr>
            <w:r w:rsidRPr="00191478">
              <w:rPr>
                <w:rFonts w:asciiTheme="minorHAnsi" w:hAnsiTheme="minorHAnsi"/>
                <w:spacing w:val="3"/>
                <w:sz w:val="19"/>
              </w:rPr>
              <w:t xml:space="preserve">Require transparent reporting </w:t>
            </w:r>
            <w:r w:rsidRPr="00191478">
              <w:rPr>
                <w:rFonts w:asciiTheme="minorHAnsi" w:hAnsiTheme="minorHAnsi"/>
                <w:sz w:val="19"/>
              </w:rPr>
              <w:t xml:space="preserve">by </w:t>
            </w:r>
            <w:r w:rsidRPr="00191478">
              <w:rPr>
                <w:rFonts w:asciiTheme="minorHAnsi" w:hAnsiTheme="minorHAnsi"/>
                <w:spacing w:val="2"/>
                <w:sz w:val="19"/>
              </w:rPr>
              <w:t xml:space="preserve">institutions, </w:t>
            </w:r>
            <w:r w:rsidRPr="00191478">
              <w:rPr>
                <w:rFonts w:asciiTheme="minorHAnsi" w:hAnsiTheme="minorHAnsi"/>
                <w:sz w:val="19"/>
              </w:rPr>
              <w:t xml:space="preserve">to </w:t>
            </w:r>
            <w:r w:rsidRPr="00191478">
              <w:rPr>
                <w:rFonts w:asciiTheme="minorHAnsi" w:hAnsiTheme="minorHAnsi"/>
                <w:spacing w:val="3"/>
                <w:sz w:val="19"/>
              </w:rPr>
              <w:t xml:space="preserve">enable </w:t>
            </w:r>
            <w:r w:rsidRPr="00191478">
              <w:rPr>
                <w:rFonts w:asciiTheme="minorHAnsi" w:hAnsiTheme="minorHAnsi"/>
                <w:spacing w:val="2"/>
                <w:sz w:val="19"/>
              </w:rPr>
              <w:t xml:space="preserve">students </w:t>
            </w:r>
            <w:r w:rsidRPr="00191478">
              <w:rPr>
                <w:rFonts w:asciiTheme="minorHAnsi" w:hAnsiTheme="minorHAnsi"/>
                <w:sz w:val="19"/>
              </w:rPr>
              <w:t xml:space="preserve">to </w:t>
            </w:r>
            <w:r w:rsidRPr="00191478">
              <w:rPr>
                <w:rFonts w:asciiTheme="minorHAnsi" w:hAnsiTheme="minorHAnsi"/>
                <w:spacing w:val="3"/>
                <w:sz w:val="19"/>
              </w:rPr>
              <w:t xml:space="preserve">see </w:t>
            </w:r>
            <w:r w:rsidRPr="00191478">
              <w:rPr>
                <w:rFonts w:asciiTheme="minorHAnsi" w:hAnsiTheme="minorHAnsi"/>
                <w:spacing w:val="2"/>
                <w:sz w:val="19"/>
              </w:rPr>
              <w:t xml:space="preserve">the </w:t>
            </w:r>
            <w:r w:rsidRPr="00191478">
              <w:rPr>
                <w:rFonts w:asciiTheme="minorHAnsi" w:hAnsiTheme="minorHAnsi"/>
                <w:spacing w:val="4"/>
                <w:sz w:val="19"/>
              </w:rPr>
              <w:t xml:space="preserve">support services </w:t>
            </w:r>
            <w:r w:rsidRPr="00191478">
              <w:rPr>
                <w:rFonts w:asciiTheme="minorHAnsi" w:hAnsiTheme="minorHAnsi"/>
                <w:sz w:val="19"/>
              </w:rPr>
              <w:t xml:space="preserve">a </w:t>
            </w:r>
            <w:r w:rsidRPr="00191478">
              <w:rPr>
                <w:rFonts w:asciiTheme="minorHAnsi" w:hAnsiTheme="minorHAnsi"/>
                <w:spacing w:val="4"/>
                <w:sz w:val="19"/>
              </w:rPr>
              <w:t xml:space="preserve">particular tertiary </w:t>
            </w:r>
            <w:r w:rsidRPr="00191478">
              <w:rPr>
                <w:rFonts w:asciiTheme="minorHAnsi" w:hAnsiTheme="minorHAnsi"/>
                <w:spacing w:val="2"/>
                <w:sz w:val="19"/>
              </w:rPr>
              <w:t>institution has</w:t>
            </w:r>
            <w:r w:rsidRPr="00191478">
              <w:rPr>
                <w:rFonts w:asciiTheme="minorHAnsi" w:hAnsiTheme="minorHAnsi"/>
                <w:spacing w:val="24"/>
                <w:sz w:val="19"/>
              </w:rPr>
              <w:t xml:space="preserve"> </w:t>
            </w:r>
            <w:r w:rsidRPr="00191478">
              <w:rPr>
                <w:rFonts w:asciiTheme="minorHAnsi" w:hAnsiTheme="minorHAnsi"/>
                <w:spacing w:val="2"/>
                <w:sz w:val="19"/>
              </w:rPr>
              <w:t>available.</w:t>
            </w:r>
          </w:p>
          <w:p w14:paraId="004BADAB" w14:textId="77777777" w:rsidR="00041655" w:rsidRPr="00191478" w:rsidRDefault="00041655" w:rsidP="00041655">
            <w:pPr>
              <w:pStyle w:val="TableParagraph"/>
              <w:numPr>
                <w:ilvl w:val="0"/>
                <w:numId w:val="38"/>
              </w:numPr>
              <w:tabs>
                <w:tab w:val="left" w:pos="416"/>
              </w:tabs>
              <w:spacing w:before="57" w:line="235" w:lineRule="auto"/>
              <w:ind w:right="334" w:hanging="340"/>
              <w:rPr>
                <w:rFonts w:asciiTheme="minorHAnsi" w:hAnsiTheme="minorHAnsi"/>
                <w:sz w:val="19"/>
              </w:rPr>
            </w:pPr>
            <w:r w:rsidRPr="00191478">
              <w:rPr>
                <w:rFonts w:asciiTheme="minorHAnsi" w:hAnsiTheme="minorHAnsi"/>
                <w:spacing w:val="3"/>
                <w:sz w:val="19"/>
              </w:rPr>
              <w:t xml:space="preserve">Encourage providers </w:t>
            </w:r>
            <w:r w:rsidRPr="00191478">
              <w:rPr>
                <w:rFonts w:asciiTheme="minorHAnsi" w:hAnsiTheme="minorHAnsi"/>
                <w:sz w:val="19"/>
              </w:rPr>
              <w:t xml:space="preserve">to </w:t>
            </w:r>
            <w:r w:rsidRPr="00191478">
              <w:rPr>
                <w:rFonts w:asciiTheme="minorHAnsi" w:hAnsiTheme="minorHAnsi"/>
                <w:spacing w:val="2"/>
                <w:sz w:val="19"/>
              </w:rPr>
              <w:t xml:space="preserve">provide </w:t>
            </w:r>
            <w:r w:rsidRPr="00191478">
              <w:rPr>
                <w:rFonts w:asciiTheme="minorHAnsi" w:hAnsiTheme="minorHAnsi"/>
                <w:spacing w:val="3"/>
                <w:sz w:val="19"/>
              </w:rPr>
              <w:t xml:space="preserve">comprehensive information </w:t>
            </w:r>
            <w:r w:rsidRPr="00191478">
              <w:rPr>
                <w:rFonts w:asciiTheme="minorHAnsi" w:hAnsiTheme="minorHAnsi"/>
                <w:sz w:val="19"/>
              </w:rPr>
              <w:t xml:space="preserve">to </w:t>
            </w:r>
            <w:r w:rsidRPr="00191478">
              <w:rPr>
                <w:rFonts w:asciiTheme="minorHAnsi" w:hAnsiTheme="minorHAnsi"/>
                <w:spacing w:val="2"/>
                <w:sz w:val="19"/>
              </w:rPr>
              <w:t xml:space="preserve">RRR students </w:t>
            </w:r>
            <w:r w:rsidRPr="00191478">
              <w:rPr>
                <w:rFonts w:asciiTheme="minorHAnsi" w:hAnsiTheme="minorHAnsi"/>
                <w:sz w:val="19"/>
              </w:rPr>
              <w:t xml:space="preserve">on </w:t>
            </w:r>
            <w:r w:rsidRPr="00191478">
              <w:rPr>
                <w:rFonts w:asciiTheme="minorHAnsi" w:hAnsiTheme="minorHAnsi"/>
                <w:spacing w:val="3"/>
                <w:sz w:val="19"/>
              </w:rPr>
              <w:t xml:space="preserve">adulthood basics, including budgeting advice, legal and tenancy agreements, </w:t>
            </w:r>
            <w:r w:rsidRPr="00191478">
              <w:rPr>
                <w:rFonts w:asciiTheme="minorHAnsi" w:hAnsiTheme="minorHAnsi"/>
                <w:spacing w:val="2"/>
                <w:sz w:val="19"/>
              </w:rPr>
              <w:t xml:space="preserve">time </w:t>
            </w:r>
            <w:r w:rsidRPr="00191478">
              <w:rPr>
                <w:rFonts w:asciiTheme="minorHAnsi" w:hAnsiTheme="minorHAnsi"/>
                <w:spacing w:val="3"/>
                <w:sz w:val="19"/>
              </w:rPr>
              <w:t xml:space="preserve">management and health </w:t>
            </w:r>
            <w:r w:rsidRPr="00191478">
              <w:rPr>
                <w:rFonts w:asciiTheme="minorHAnsi" w:hAnsiTheme="minorHAnsi"/>
                <w:spacing w:val="2"/>
                <w:sz w:val="19"/>
              </w:rPr>
              <w:t xml:space="preserve">care, </w:t>
            </w:r>
            <w:r w:rsidRPr="00191478">
              <w:rPr>
                <w:rFonts w:asciiTheme="minorHAnsi" w:hAnsiTheme="minorHAnsi"/>
                <w:spacing w:val="3"/>
                <w:sz w:val="19"/>
              </w:rPr>
              <w:t xml:space="preserve">including </w:t>
            </w:r>
            <w:r w:rsidRPr="00191478">
              <w:rPr>
                <w:rFonts w:asciiTheme="minorHAnsi" w:hAnsiTheme="minorHAnsi"/>
                <w:sz w:val="19"/>
              </w:rPr>
              <w:t xml:space="preserve">by </w:t>
            </w:r>
            <w:r w:rsidRPr="00191478">
              <w:rPr>
                <w:rFonts w:asciiTheme="minorHAnsi" w:hAnsiTheme="minorHAnsi"/>
                <w:spacing w:val="3"/>
                <w:sz w:val="19"/>
              </w:rPr>
              <w:t xml:space="preserve">leveraging </w:t>
            </w:r>
            <w:r w:rsidRPr="00191478">
              <w:rPr>
                <w:rFonts w:asciiTheme="minorHAnsi" w:hAnsiTheme="minorHAnsi"/>
                <w:spacing w:val="2"/>
                <w:sz w:val="19"/>
              </w:rPr>
              <w:t xml:space="preserve">existing </w:t>
            </w:r>
            <w:r w:rsidRPr="00191478">
              <w:rPr>
                <w:rFonts w:asciiTheme="minorHAnsi" w:hAnsiTheme="minorHAnsi"/>
                <w:spacing w:val="3"/>
                <w:sz w:val="19"/>
              </w:rPr>
              <w:t xml:space="preserve">online platforms aimed </w:t>
            </w:r>
            <w:r w:rsidRPr="00191478">
              <w:rPr>
                <w:rFonts w:asciiTheme="minorHAnsi" w:hAnsiTheme="minorHAnsi"/>
                <w:sz w:val="19"/>
              </w:rPr>
              <w:t xml:space="preserve">at </w:t>
            </w:r>
            <w:r w:rsidRPr="00191478">
              <w:rPr>
                <w:rFonts w:asciiTheme="minorHAnsi" w:hAnsiTheme="minorHAnsi"/>
                <w:spacing w:val="3"/>
                <w:sz w:val="19"/>
              </w:rPr>
              <w:t xml:space="preserve">prospective and current </w:t>
            </w:r>
            <w:r w:rsidRPr="00191478">
              <w:rPr>
                <w:rFonts w:asciiTheme="minorHAnsi" w:hAnsiTheme="minorHAnsi"/>
                <w:spacing w:val="4"/>
                <w:sz w:val="19"/>
              </w:rPr>
              <w:t>tertiary</w:t>
            </w:r>
            <w:r w:rsidRPr="00191478">
              <w:rPr>
                <w:rFonts w:asciiTheme="minorHAnsi" w:hAnsiTheme="minorHAnsi"/>
                <w:spacing w:val="24"/>
                <w:sz w:val="19"/>
              </w:rPr>
              <w:t xml:space="preserve"> </w:t>
            </w:r>
            <w:r w:rsidRPr="00191478">
              <w:rPr>
                <w:rFonts w:asciiTheme="minorHAnsi" w:hAnsiTheme="minorHAnsi"/>
                <w:spacing w:val="2"/>
                <w:sz w:val="19"/>
              </w:rPr>
              <w:t>students.</w:t>
            </w:r>
          </w:p>
          <w:p w14:paraId="72522BFF" w14:textId="77777777" w:rsidR="00041655" w:rsidRPr="00191478" w:rsidRDefault="00041655" w:rsidP="00041655">
            <w:pPr>
              <w:pStyle w:val="TableParagraph"/>
              <w:numPr>
                <w:ilvl w:val="0"/>
                <w:numId w:val="38"/>
              </w:numPr>
              <w:tabs>
                <w:tab w:val="left" w:pos="416"/>
              </w:tabs>
              <w:spacing w:before="57" w:line="235" w:lineRule="auto"/>
              <w:ind w:right="234" w:hanging="340"/>
              <w:rPr>
                <w:rFonts w:asciiTheme="minorHAnsi" w:hAnsiTheme="minorHAnsi"/>
                <w:sz w:val="19"/>
              </w:rPr>
            </w:pPr>
            <w:r w:rsidRPr="00191478">
              <w:rPr>
                <w:rFonts w:asciiTheme="minorHAnsi" w:hAnsiTheme="minorHAnsi"/>
                <w:spacing w:val="2"/>
                <w:sz w:val="19"/>
              </w:rPr>
              <w:t xml:space="preserve">Improve </w:t>
            </w:r>
            <w:r w:rsidRPr="00191478">
              <w:rPr>
                <w:rFonts w:asciiTheme="minorHAnsi" w:hAnsiTheme="minorHAnsi"/>
                <w:spacing w:val="3"/>
                <w:sz w:val="19"/>
              </w:rPr>
              <w:t xml:space="preserve">transport </w:t>
            </w:r>
            <w:r w:rsidRPr="00191478">
              <w:rPr>
                <w:rFonts w:asciiTheme="minorHAnsi" w:hAnsiTheme="minorHAnsi"/>
                <w:spacing w:val="2"/>
                <w:sz w:val="19"/>
              </w:rPr>
              <w:t xml:space="preserve">options for RRR students </w:t>
            </w:r>
            <w:r w:rsidRPr="00191478">
              <w:rPr>
                <w:rFonts w:asciiTheme="minorHAnsi" w:hAnsiTheme="minorHAnsi"/>
                <w:sz w:val="19"/>
              </w:rPr>
              <w:t xml:space="preserve">by </w:t>
            </w:r>
            <w:r w:rsidRPr="00191478">
              <w:rPr>
                <w:rFonts w:asciiTheme="minorHAnsi" w:hAnsiTheme="minorHAnsi"/>
                <w:spacing w:val="3"/>
                <w:sz w:val="19"/>
              </w:rPr>
              <w:t xml:space="preserve">requesting </w:t>
            </w:r>
            <w:r w:rsidRPr="00191478">
              <w:rPr>
                <w:rFonts w:asciiTheme="minorHAnsi" w:hAnsiTheme="minorHAnsi"/>
                <w:sz w:val="19"/>
              </w:rPr>
              <w:t xml:space="preserve">state </w:t>
            </w:r>
            <w:r w:rsidRPr="00191478">
              <w:rPr>
                <w:rFonts w:asciiTheme="minorHAnsi" w:hAnsiTheme="minorHAnsi"/>
                <w:spacing w:val="3"/>
                <w:sz w:val="19"/>
              </w:rPr>
              <w:t xml:space="preserve">and territory governments </w:t>
            </w:r>
            <w:r w:rsidRPr="00191478">
              <w:rPr>
                <w:rFonts w:asciiTheme="minorHAnsi" w:hAnsiTheme="minorHAnsi"/>
                <w:sz w:val="19"/>
              </w:rPr>
              <w:t xml:space="preserve">to </w:t>
            </w:r>
            <w:r w:rsidRPr="00191478">
              <w:rPr>
                <w:rFonts w:asciiTheme="minorHAnsi" w:hAnsiTheme="minorHAnsi"/>
                <w:spacing w:val="2"/>
                <w:sz w:val="19"/>
              </w:rPr>
              <w:t xml:space="preserve">allow RRR students travelling </w:t>
            </w:r>
            <w:r w:rsidRPr="00191478">
              <w:rPr>
                <w:rFonts w:asciiTheme="minorHAnsi" w:hAnsiTheme="minorHAnsi"/>
                <w:sz w:val="19"/>
              </w:rPr>
              <w:t xml:space="preserve">to </w:t>
            </w:r>
            <w:r w:rsidRPr="00191478">
              <w:rPr>
                <w:rFonts w:asciiTheme="minorHAnsi" w:hAnsiTheme="minorHAnsi"/>
                <w:spacing w:val="3"/>
                <w:sz w:val="19"/>
              </w:rPr>
              <w:t xml:space="preserve">local </w:t>
            </w:r>
            <w:r w:rsidRPr="00191478">
              <w:rPr>
                <w:rFonts w:asciiTheme="minorHAnsi" w:hAnsiTheme="minorHAnsi"/>
                <w:spacing w:val="4"/>
                <w:sz w:val="19"/>
              </w:rPr>
              <w:t xml:space="preserve">VET </w:t>
            </w:r>
            <w:r w:rsidRPr="00191478">
              <w:rPr>
                <w:rFonts w:asciiTheme="minorHAnsi" w:hAnsiTheme="minorHAnsi"/>
                <w:spacing w:val="3"/>
                <w:sz w:val="19"/>
              </w:rPr>
              <w:t xml:space="preserve">programs, universities and Study </w:t>
            </w:r>
            <w:r w:rsidRPr="00191478">
              <w:rPr>
                <w:rFonts w:asciiTheme="minorHAnsi" w:hAnsiTheme="minorHAnsi"/>
                <w:spacing w:val="2"/>
                <w:sz w:val="19"/>
              </w:rPr>
              <w:t xml:space="preserve">Hubs </w:t>
            </w:r>
            <w:r w:rsidRPr="00191478">
              <w:rPr>
                <w:rFonts w:asciiTheme="minorHAnsi" w:hAnsiTheme="minorHAnsi"/>
                <w:sz w:val="19"/>
              </w:rPr>
              <w:t xml:space="preserve">to </w:t>
            </w:r>
            <w:r w:rsidRPr="00191478">
              <w:rPr>
                <w:rFonts w:asciiTheme="minorHAnsi" w:hAnsiTheme="minorHAnsi"/>
                <w:spacing w:val="3"/>
                <w:sz w:val="19"/>
              </w:rPr>
              <w:t xml:space="preserve">access school </w:t>
            </w:r>
            <w:r w:rsidRPr="00191478">
              <w:rPr>
                <w:rFonts w:asciiTheme="minorHAnsi" w:hAnsiTheme="minorHAnsi"/>
                <w:spacing w:val="2"/>
                <w:sz w:val="19"/>
              </w:rPr>
              <w:t>bus</w:t>
            </w:r>
            <w:r w:rsidRPr="00191478">
              <w:rPr>
                <w:rFonts w:asciiTheme="minorHAnsi" w:hAnsiTheme="minorHAnsi"/>
                <w:spacing w:val="22"/>
                <w:sz w:val="19"/>
              </w:rPr>
              <w:t xml:space="preserve"> </w:t>
            </w:r>
            <w:r w:rsidRPr="00191478">
              <w:rPr>
                <w:rFonts w:asciiTheme="minorHAnsi" w:hAnsiTheme="minorHAnsi"/>
                <w:spacing w:val="4"/>
                <w:sz w:val="19"/>
              </w:rPr>
              <w:t>services.</w:t>
            </w:r>
          </w:p>
        </w:tc>
      </w:tr>
    </w:tbl>
    <w:p w14:paraId="143A4544" w14:textId="77777777" w:rsidR="00041655" w:rsidRPr="00191478" w:rsidRDefault="00041655" w:rsidP="00041655">
      <w:pPr>
        <w:spacing w:line="235" w:lineRule="auto"/>
        <w:rPr>
          <w:sz w:val="19"/>
        </w:rPr>
        <w:sectPr w:rsidR="00041655" w:rsidRPr="00191478">
          <w:headerReference w:type="default" r:id="rId33"/>
          <w:pgSz w:w="16840" w:h="11910" w:orient="landscape"/>
          <w:pgMar w:top="1100" w:right="1140" w:bottom="800" w:left="1140" w:header="0" w:footer="609" w:gutter="0"/>
          <w:cols w:space="720"/>
        </w:sectPr>
      </w:pPr>
    </w:p>
    <w:p w14:paraId="1A800823" w14:textId="77777777" w:rsidR="00041655" w:rsidRPr="00191478" w:rsidRDefault="00041655" w:rsidP="00041655">
      <w:pPr>
        <w:pStyle w:val="BodyText"/>
        <w:spacing w:before="6"/>
        <w:rPr>
          <w:sz w:val="27"/>
        </w:rPr>
      </w:pPr>
    </w:p>
    <w:tbl>
      <w:tblPr>
        <w:tblW w:w="0" w:type="auto"/>
        <w:tblInd w:w="1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100"/>
        <w:gridCol w:w="2702"/>
        <w:gridCol w:w="7520"/>
      </w:tblGrid>
      <w:tr w:rsidR="00041655" w:rsidRPr="00191478" w14:paraId="5825D3AF" w14:textId="77777777" w:rsidTr="00F33AA3">
        <w:trPr>
          <w:trHeight w:val="301"/>
        </w:trPr>
        <w:tc>
          <w:tcPr>
            <w:tcW w:w="4100" w:type="dxa"/>
            <w:tcBorders>
              <w:top w:val="nil"/>
              <w:left w:val="nil"/>
            </w:tcBorders>
            <w:shd w:val="clear" w:color="auto" w:fill="314652"/>
          </w:tcPr>
          <w:p w14:paraId="3CC4F6AA" w14:textId="77777777" w:rsidR="00041655" w:rsidRPr="00191478" w:rsidRDefault="00041655" w:rsidP="00F33AA3">
            <w:pPr>
              <w:pStyle w:val="TableParagraph"/>
              <w:spacing w:before="45"/>
              <w:ind w:left="80"/>
              <w:rPr>
                <w:rFonts w:asciiTheme="minorHAnsi" w:hAnsiTheme="minorHAnsi"/>
                <w:sz w:val="19"/>
              </w:rPr>
            </w:pPr>
            <w:r w:rsidRPr="00191478">
              <w:rPr>
                <w:rFonts w:asciiTheme="minorHAnsi" w:hAnsiTheme="minorHAnsi"/>
                <w:color w:val="FFFFFF"/>
                <w:sz w:val="19"/>
              </w:rPr>
              <w:t>Findings</w:t>
            </w:r>
          </w:p>
        </w:tc>
        <w:tc>
          <w:tcPr>
            <w:tcW w:w="2702" w:type="dxa"/>
            <w:tcBorders>
              <w:top w:val="nil"/>
            </w:tcBorders>
            <w:shd w:val="clear" w:color="auto" w:fill="314652"/>
          </w:tcPr>
          <w:p w14:paraId="6B37AA54"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Recommendations</w:t>
            </w:r>
          </w:p>
        </w:tc>
        <w:tc>
          <w:tcPr>
            <w:tcW w:w="7520" w:type="dxa"/>
            <w:tcBorders>
              <w:top w:val="nil"/>
              <w:right w:val="nil"/>
            </w:tcBorders>
            <w:shd w:val="clear" w:color="auto" w:fill="314652"/>
          </w:tcPr>
          <w:p w14:paraId="518E38CC"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Actions</w:t>
            </w:r>
          </w:p>
        </w:tc>
      </w:tr>
      <w:tr w:rsidR="00041655" w:rsidRPr="00191478" w14:paraId="5435AAB5" w14:textId="77777777" w:rsidTr="00F33AA3">
        <w:trPr>
          <w:trHeight w:val="293"/>
        </w:trPr>
        <w:tc>
          <w:tcPr>
            <w:tcW w:w="14322" w:type="dxa"/>
            <w:gridSpan w:val="3"/>
            <w:tcBorders>
              <w:top w:val="single" w:sz="6" w:space="0" w:color="FFFFFF"/>
              <w:left w:val="nil"/>
              <w:bottom w:val="single" w:sz="6" w:space="0" w:color="FFFFFF"/>
              <w:right w:val="nil"/>
            </w:tcBorders>
            <w:shd w:val="clear" w:color="auto" w:fill="F89B64"/>
          </w:tcPr>
          <w:p w14:paraId="3E36B7CB" w14:textId="77777777" w:rsidR="00041655" w:rsidRPr="00191478" w:rsidRDefault="00041655" w:rsidP="00F33AA3">
            <w:pPr>
              <w:pStyle w:val="TableParagraph"/>
              <w:spacing w:before="39"/>
              <w:ind w:left="5522" w:right="5521"/>
              <w:jc w:val="center"/>
              <w:rPr>
                <w:rFonts w:asciiTheme="minorHAnsi" w:hAnsiTheme="minorHAnsi"/>
                <w:sz w:val="19"/>
              </w:rPr>
            </w:pPr>
            <w:r w:rsidRPr="00191478">
              <w:rPr>
                <w:rFonts w:asciiTheme="minorHAnsi" w:hAnsiTheme="minorHAnsi"/>
                <w:sz w:val="19"/>
              </w:rPr>
              <w:t>Aspiration and preparing for success</w:t>
            </w:r>
          </w:p>
        </w:tc>
      </w:tr>
      <w:tr w:rsidR="00041655" w:rsidRPr="00191478" w14:paraId="63DA9A78" w14:textId="77777777" w:rsidTr="00F33AA3">
        <w:trPr>
          <w:trHeight w:val="6777"/>
        </w:trPr>
        <w:tc>
          <w:tcPr>
            <w:tcW w:w="4100" w:type="dxa"/>
            <w:tcBorders>
              <w:left w:val="nil"/>
            </w:tcBorders>
            <w:shd w:val="clear" w:color="auto" w:fill="ECEFF1"/>
          </w:tcPr>
          <w:p w14:paraId="29E2B1EE" w14:textId="77777777" w:rsidR="00041655" w:rsidRPr="00191478" w:rsidRDefault="00041655" w:rsidP="00F33AA3">
            <w:pPr>
              <w:pStyle w:val="TableParagraph"/>
              <w:spacing w:before="41" w:line="235" w:lineRule="auto"/>
              <w:ind w:left="80" w:right="464"/>
              <w:rPr>
                <w:rFonts w:asciiTheme="minorHAnsi" w:hAnsiTheme="minorHAnsi"/>
                <w:sz w:val="19"/>
              </w:rPr>
            </w:pPr>
            <w:r w:rsidRPr="00191478">
              <w:rPr>
                <w:rStyle w:val="Strong"/>
                <w:rFonts w:asciiTheme="minorHAnsi" w:hAnsiTheme="minorHAnsi"/>
                <w:color w:val="auto"/>
                <w:sz w:val="22"/>
              </w:rPr>
              <w:t>KEY FINDING 11:</w:t>
            </w:r>
            <w:r w:rsidRPr="00191478">
              <w:rPr>
                <w:rFonts w:asciiTheme="minorHAnsi" w:hAnsiTheme="minorHAnsi"/>
                <w:sz w:val="19"/>
              </w:rPr>
              <w:t xml:space="preserve"> Children in RRR areas are more likely to commence school developmentally vulnerable than those</w:t>
            </w:r>
          </w:p>
          <w:p w14:paraId="78D0B892" w14:textId="77777777" w:rsidR="00041655" w:rsidRPr="00191478" w:rsidRDefault="00041655" w:rsidP="00F33AA3">
            <w:pPr>
              <w:pStyle w:val="TableParagraph"/>
              <w:spacing w:before="0" w:line="235" w:lineRule="auto"/>
              <w:ind w:left="80"/>
              <w:rPr>
                <w:rFonts w:asciiTheme="minorHAnsi" w:hAnsiTheme="minorHAnsi"/>
                <w:sz w:val="19"/>
              </w:rPr>
            </w:pPr>
            <w:r w:rsidRPr="00191478">
              <w:rPr>
                <w:rFonts w:asciiTheme="minorHAnsi" w:hAnsiTheme="minorHAnsi"/>
                <w:sz w:val="19"/>
              </w:rPr>
              <w:t>in metropolitan areas, and this relative disadvantage continues through school, with students less likely to finish Year 12.</w:t>
            </w:r>
          </w:p>
          <w:p w14:paraId="7A45B352" w14:textId="77777777" w:rsidR="00041655" w:rsidRPr="00191478" w:rsidRDefault="00041655" w:rsidP="00F33AA3">
            <w:pPr>
              <w:pStyle w:val="TableParagraph"/>
              <w:spacing w:before="170" w:line="235" w:lineRule="auto"/>
              <w:ind w:left="80" w:right="196"/>
              <w:rPr>
                <w:rFonts w:asciiTheme="minorHAnsi" w:hAnsiTheme="minorHAnsi"/>
                <w:sz w:val="19"/>
              </w:rPr>
            </w:pPr>
            <w:r w:rsidRPr="00191478">
              <w:rPr>
                <w:rStyle w:val="Strong"/>
                <w:rFonts w:asciiTheme="minorHAnsi" w:hAnsiTheme="minorHAnsi"/>
                <w:color w:val="auto"/>
                <w:sz w:val="22"/>
              </w:rPr>
              <w:t>KEY FINDING 12:</w:t>
            </w:r>
            <w:r w:rsidRPr="00191478">
              <w:rPr>
                <w:rFonts w:asciiTheme="minorHAnsi" w:hAnsiTheme="minorHAnsi"/>
                <w:sz w:val="19"/>
              </w:rPr>
              <w:t xml:space="preserve"> There is a strong view among RRR tertiary education providers and communities that current mechanisms for delivering career advice, which are particularly important to build and maintain aspiration in RRR areas, are not working well.</w:t>
            </w:r>
          </w:p>
          <w:p w14:paraId="5EFD3B69" w14:textId="77777777" w:rsidR="00041655" w:rsidRPr="00191478" w:rsidRDefault="00041655" w:rsidP="00F33AA3">
            <w:pPr>
              <w:pStyle w:val="TableParagraph"/>
              <w:spacing w:before="169" w:line="235" w:lineRule="auto"/>
              <w:ind w:left="80" w:right="103"/>
              <w:rPr>
                <w:rFonts w:asciiTheme="minorHAnsi" w:hAnsiTheme="minorHAnsi"/>
                <w:sz w:val="19"/>
              </w:rPr>
            </w:pPr>
            <w:r w:rsidRPr="00191478">
              <w:rPr>
                <w:rStyle w:val="Strong"/>
                <w:rFonts w:asciiTheme="minorHAnsi" w:hAnsiTheme="minorHAnsi"/>
                <w:color w:val="auto"/>
                <w:sz w:val="22"/>
              </w:rPr>
              <w:t>KEY FINDING 13:</w:t>
            </w:r>
            <w:r w:rsidRPr="00191478">
              <w:rPr>
                <w:rFonts w:asciiTheme="minorHAnsi" w:hAnsiTheme="minorHAnsi"/>
                <w:sz w:val="19"/>
              </w:rPr>
              <w:t xml:space="preserve"> High quality VET in Schools programs engage and provide pathways for many RRR students; however, delivery is often inconsistent in RRR areas.</w:t>
            </w:r>
          </w:p>
          <w:p w14:paraId="33DD1744" w14:textId="77777777" w:rsidR="00041655" w:rsidRPr="00191478" w:rsidRDefault="00041655" w:rsidP="00F33AA3">
            <w:pPr>
              <w:pStyle w:val="TableParagraph"/>
              <w:spacing w:before="169" w:line="235" w:lineRule="auto"/>
              <w:ind w:left="80" w:right="210"/>
              <w:rPr>
                <w:rFonts w:asciiTheme="minorHAnsi" w:hAnsiTheme="minorHAnsi"/>
                <w:sz w:val="19"/>
              </w:rPr>
            </w:pPr>
            <w:r w:rsidRPr="00191478">
              <w:rPr>
                <w:rStyle w:val="Strong"/>
                <w:rFonts w:asciiTheme="minorHAnsi" w:hAnsiTheme="minorHAnsi"/>
                <w:color w:val="auto"/>
                <w:sz w:val="22"/>
              </w:rPr>
              <w:t>KEY FINDING 14:</w:t>
            </w:r>
            <w:r w:rsidRPr="00191478">
              <w:rPr>
                <w:rFonts w:asciiTheme="minorHAnsi" w:hAnsiTheme="minorHAnsi"/>
                <w:spacing w:val="-3"/>
                <w:sz w:val="19"/>
              </w:rPr>
              <w:t xml:space="preserve"> </w:t>
            </w:r>
            <w:r w:rsidRPr="00191478">
              <w:rPr>
                <w:rFonts w:asciiTheme="minorHAnsi" w:hAnsiTheme="minorHAnsi"/>
                <w:spacing w:val="3"/>
                <w:sz w:val="19"/>
              </w:rPr>
              <w:t xml:space="preserve">Further </w:t>
            </w:r>
            <w:r w:rsidRPr="00191478">
              <w:rPr>
                <w:rFonts w:asciiTheme="minorHAnsi" w:hAnsiTheme="minorHAnsi"/>
                <w:spacing w:val="4"/>
                <w:sz w:val="19"/>
              </w:rPr>
              <w:t xml:space="preserve">effort </w:t>
            </w:r>
            <w:r w:rsidRPr="00191478">
              <w:rPr>
                <w:rFonts w:asciiTheme="minorHAnsi" w:hAnsiTheme="minorHAnsi"/>
                <w:sz w:val="19"/>
              </w:rPr>
              <w:t xml:space="preserve">is </w:t>
            </w:r>
            <w:r w:rsidRPr="00191478">
              <w:rPr>
                <w:rFonts w:asciiTheme="minorHAnsi" w:hAnsiTheme="minorHAnsi"/>
                <w:spacing w:val="3"/>
                <w:sz w:val="19"/>
              </w:rPr>
              <w:t xml:space="preserve">required </w:t>
            </w:r>
            <w:r w:rsidRPr="00191478">
              <w:rPr>
                <w:rFonts w:asciiTheme="minorHAnsi" w:hAnsiTheme="minorHAnsi"/>
                <w:sz w:val="19"/>
              </w:rPr>
              <w:t xml:space="preserve">to </w:t>
            </w:r>
            <w:r w:rsidRPr="00191478">
              <w:rPr>
                <w:rFonts w:asciiTheme="minorHAnsi" w:hAnsiTheme="minorHAnsi"/>
                <w:spacing w:val="3"/>
                <w:sz w:val="19"/>
              </w:rPr>
              <w:t xml:space="preserve">build </w:t>
            </w:r>
            <w:r w:rsidRPr="00191478">
              <w:rPr>
                <w:rFonts w:asciiTheme="minorHAnsi" w:hAnsiTheme="minorHAnsi"/>
                <w:sz w:val="19"/>
              </w:rPr>
              <w:t xml:space="preserve">on </w:t>
            </w:r>
            <w:r w:rsidRPr="00191478">
              <w:rPr>
                <w:rFonts w:asciiTheme="minorHAnsi" w:hAnsiTheme="minorHAnsi"/>
                <w:spacing w:val="2"/>
                <w:sz w:val="19"/>
              </w:rPr>
              <w:t xml:space="preserve">the work </w:t>
            </w:r>
            <w:r w:rsidRPr="00191478">
              <w:rPr>
                <w:rFonts w:asciiTheme="minorHAnsi" w:hAnsiTheme="minorHAnsi"/>
                <w:sz w:val="19"/>
              </w:rPr>
              <w:t xml:space="preserve">of </w:t>
            </w:r>
            <w:r w:rsidRPr="00191478">
              <w:rPr>
                <w:rFonts w:asciiTheme="minorHAnsi" w:hAnsiTheme="minorHAnsi"/>
                <w:spacing w:val="3"/>
                <w:sz w:val="19"/>
              </w:rPr>
              <w:t xml:space="preserve">Gonski and </w:t>
            </w:r>
            <w:r w:rsidRPr="00191478">
              <w:rPr>
                <w:rFonts w:asciiTheme="minorHAnsi" w:hAnsiTheme="minorHAnsi"/>
                <w:spacing w:val="2"/>
                <w:sz w:val="19"/>
              </w:rPr>
              <w:t xml:space="preserve">Halsey </w:t>
            </w:r>
            <w:r w:rsidRPr="00191478">
              <w:rPr>
                <w:rFonts w:asciiTheme="minorHAnsi" w:hAnsiTheme="minorHAnsi"/>
                <w:sz w:val="19"/>
              </w:rPr>
              <w:t xml:space="preserve">to </w:t>
            </w:r>
            <w:r w:rsidRPr="00191478">
              <w:rPr>
                <w:rFonts w:asciiTheme="minorHAnsi" w:hAnsiTheme="minorHAnsi"/>
                <w:spacing w:val="2"/>
                <w:sz w:val="19"/>
              </w:rPr>
              <w:t xml:space="preserve">improve </w:t>
            </w:r>
            <w:r w:rsidRPr="00191478">
              <w:rPr>
                <w:rFonts w:asciiTheme="minorHAnsi" w:hAnsiTheme="minorHAnsi"/>
                <w:spacing w:val="3"/>
                <w:sz w:val="19"/>
              </w:rPr>
              <w:t xml:space="preserve">teacher preparation and </w:t>
            </w:r>
            <w:r w:rsidRPr="00191478">
              <w:rPr>
                <w:rFonts w:asciiTheme="minorHAnsi" w:hAnsiTheme="minorHAnsi"/>
                <w:sz w:val="19"/>
              </w:rPr>
              <w:t xml:space="preserve">supply, as </w:t>
            </w:r>
            <w:r w:rsidRPr="00191478">
              <w:rPr>
                <w:rFonts w:asciiTheme="minorHAnsi" w:hAnsiTheme="minorHAnsi"/>
                <w:spacing w:val="2"/>
                <w:sz w:val="19"/>
              </w:rPr>
              <w:t xml:space="preserve">well </w:t>
            </w:r>
            <w:r w:rsidRPr="00191478">
              <w:rPr>
                <w:rFonts w:asciiTheme="minorHAnsi" w:hAnsiTheme="minorHAnsi"/>
                <w:sz w:val="19"/>
              </w:rPr>
              <w:t xml:space="preserve">as </w:t>
            </w:r>
            <w:r w:rsidRPr="00191478">
              <w:rPr>
                <w:rFonts w:asciiTheme="minorHAnsi" w:hAnsiTheme="minorHAnsi"/>
                <w:spacing w:val="4"/>
                <w:sz w:val="19"/>
              </w:rPr>
              <w:t xml:space="preserve">support </w:t>
            </w:r>
            <w:r w:rsidRPr="00191478">
              <w:rPr>
                <w:rFonts w:asciiTheme="minorHAnsi" w:hAnsiTheme="minorHAnsi"/>
                <w:spacing w:val="2"/>
                <w:sz w:val="19"/>
              </w:rPr>
              <w:t xml:space="preserve">for </w:t>
            </w:r>
            <w:r w:rsidRPr="00191478">
              <w:rPr>
                <w:rFonts w:asciiTheme="minorHAnsi" w:hAnsiTheme="minorHAnsi"/>
                <w:spacing w:val="3"/>
                <w:sz w:val="19"/>
              </w:rPr>
              <w:t xml:space="preserve">teachers and principals </w:t>
            </w:r>
            <w:r w:rsidRPr="00191478">
              <w:rPr>
                <w:rFonts w:asciiTheme="minorHAnsi" w:hAnsiTheme="minorHAnsi"/>
                <w:sz w:val="19"/>
              </w:rPr>
              <w:t xml:space="preserve">in </w:t>
            </w:r>
            <w:r w:rsidRPr="00191478">
              <w:rPr>
                <w:rFonts w:asciiTheme="minorHAnsi" w:hAnsiTheme="minorHAnsi"/>
                <w:spacing w:val="2"/>
                <w:sz w:val="19"/>
              </w:rPr>
              <w:t>RRR</w:t>
            </w:r>
            <w:r w:rsidRPr="00191478">
              <w:rPr>
                <w:rFonts w:asciiTheme="minorHAnsi" w:hAnsiTheme="minorHAnsi"/>
                <w:spacing w:val="5"/>
                <w:sz w:val="19"/>
              </w:rPr>
              <w:t xml:space="preserve"> </w:t>
            </w:r>
            <w:r w:rsidRPr="00191478">
              <w:rPr>
                <w:rFonts w:asciiTheme="minorHAnsi" w:hAnsiTheme="minorHAnsi"/>
                <w:spacing w:val="2"/>
                <w:sz w:val="19"/>
              </w:rPr>
              <w:t>areas.</w:t>
            </w:r>
          </w:p>
        </w:tc>
        <w:tc>
          <w:tcPr>
            <w:tcW w:w="2702" w:type="dxa"/>
            <w:shd w:val="clear" w:color="auto" w:fill="ECEFF1"/>
          </w:tcPr>
          <w:p w14:paraId="43D269AA" w14:textId="77777777" w:rsidR="00041655" w:rsidRPr="00191478" w:rsidRDefault="00041655" w:rsidP="00191478">
            <w:pPr>
              <w:pStyle w:val="TableParagraph"/>
              <w:spacing w:before="43"/>
              <w:ind w:left="75"/>
              <w:rPr>
                <w:rStyle w:val="Strong"/>
                <w:rFonts w:asciiTheme="minorHAnsi" w:hAnsiTheme="minorHAnsi"/>
                <w:color w:val="auto"/>
                <w:sz w:val="22"/>
              </w:rPr>
            </w:pPr>
            <w:r w:rsidRPr="00191478">
              <w:rPr>
                <w:rStyle w:val="Strong"/>
                <w:rFonts w:asciiTheme="minorHAnsi" w:hAnsiTheme="minorHAnsi"/>
                <w:color w:val="auto"/>
                <w:sz w:val="22"/>
              </w:rPr>
              <w:t>Recommendation four</w:t>
            </w:r>
          </w:p>
          <w:p w14:paraId="7A2C700D" w14:textId="77777777" w:rsidR="00041655" w:rsidRPr="00191478" w:rsidRDefault="00041655" w:rsidP="00F33AA3">
            <w:pPr>
              <w:pStyle w:val="TableParagraph"/>
              <w:spacing w:before="54" w:line="235" w:lineRule="auto"/>
              <w:ind w:left="75" w:right="101"/>
              <w:rPr>
                <w:rFonts w:asciiTheme="minorHAnsi" w:hAnsiTheme="minorHAnsi"/>
                <w:sz w:val="19"/>
              </w:rPr>
            </w:pPr>
            <w:r w:rsidRPr="00191478">
              <w:rPr>
                <w:rFonts w:asciiTheme="minorHAnsi" w:hAnsiTheme="minorHAnsi"/>
                <w:sz w:val="19"/>
              </w:rPr>
              <w:t>Build aspiration, improve career advice and strengthen RRR schools to better prepare RRR students for success, by:</w:t>
            </w:r>
          </w:p>
          <w:p w14:paraId="15D3A600" w14:textId="77777777" w:rsidR="00041655" w:rsidRPr="00191478" w:rsidRDefault="00041655" w:rsidP="00041655">
            <w:pPr>
              <w:pStyle w:val="TableParagraph"/>
              <w:numPr>
                <w:ilvl w:val="0"/>
                <w:numId w:val="37"/>
              </w:numPr>
              <w:tabs>
                <w:tab w:val="left" w:pos="359"/>
              </w:tabs>
              <w:spacing w:before="57" w:line="235" w:lineRule="auto"/>
              <w:ind w:right="100" w:hanging="283"/>
              <w:rPr>
                <w:rFonts w:asciiTheme="minorHAnsi" w:hAnsiTheme="minorHAnsi"/>
                <w:sz w:val="19"/>
              </w:rPr>
            </w:pPr>
            <w:r w:rsidRPr="00191478">
              <w:rPr>
                <w:rFonts w:asciiTheme="minorHAnsi" w:hAnsiTheme="minorHAnsi"/>
                <w:spacing w:val="3"/>
                <w:sz w:val="19"/>
              </w:rPr>
              <w:t xml:space="preserve">implementing </w:t>
            </w:r>
            <w:r w:rsidRPr="00191478">
              <w:rPr>
                <w:rFonts w:asciiTheme="minorHAnsi" w:hAnsiTheme="minorHAnsi"/>
                <w:sz w:val="19"/>
              </w:rPr>
              <w:t xml:space="preserve">a </w:t>
            </w:r>
            <w:r w:rsidRPr="00191478">
              <w:rPr>
                <w:rFonts w:asciiTheme="minorHAnsi" w:hAnsiTheme="minorHAnsi"/>
                <w:spacing w:val="3"/>
                <w:sz w:val="19"/>
              </w:rPr>
              <w:t>regionally- based model for independent, professional career</w:t>
            </w:r>
            <w:r w:rsidRPr="00191478">
              <w:rPr>
                <w:rFonts w:asciiTheme="minorHAnsi" w:hAnsiTheme="minorHAnsi"/>
                <w:spacing w:val="5"/>
                <w:sz w:val="19"/>
              </w:rPr>
              <w:t xml:space="preserve"> </w:t>
            </w:r>
            <w:r w:rsidRPr="00191478">
              <w:rPr>
                <w:rFonts w:asciiTheme="minorHAnsi" w:hAnsiTheme="minorHAnsi"/>
                <w:spacing w:val="3"/>
                <w:sz w:val="19"/>
              </w:rPr>
              <w:t>advice</w:t>
            </w:r>
          </w:p>
          <w:p w14:paraId="73940A77" w14:textId="77777777" w:rsidR="00041655" w:rsidRPr="00191478" w:rsidRDefault="00041655" w:rsidP="00041655">
            <w:pPr>
              <w:pStyle w:val="TableParagraph"/>
              <w:numPr>
                <w:ilvl w:val="0"/>
                <w:numId w:val="37"/>
              </w:numPr>
              <w:tabs>
                <w:tab w:val="left" w:pos="359"/>
              </w:tabs>
              <w:spacing w:before="58" w:line="235" w:lineRule="auto"/>
              <w:ind w:right="346" w:hanging="283"/>
              <w:rPr>
                <w:rFonts w:asciiTheme="minorHAnsi" w:hAnsiTheme="minorHAnsi"/>
                <w:sz w:val="19"/>
              </w:rPr>
            </w:pPr>
            <w:r w:rsidRPr="00191478">
              <w:rPr>
                <w:rFonts w:asciiTheme="minorHAnsi" w:hAnsiTheme="minorHAnsi"/>
                <w:spacing w:val="3"/>
                <w:sz w:val="19"/>
              </w:rPr>
              <w:t xml:space="preserve">improving online career </w:t>
            </w:r>
            <w:r w:rsidRPr="00191478">
              <w:rPr>
                <w:rFonts w:asciiTheme="minorHAnsi" w:hAnsiTheme="minorHAnsi"/>
                <w:spacing w:val="2"/>
                <w:sz w:val="19"/>
              </w:rPr>
              <w:t>related</w:t>
            </w:r>
            <w:r w:rsidRPr="00191478">
              <w:rPr>
                <w:rFonts w:asciiTheme="minorHAnsi" w:hAnsiTheme="minorHAnsi"/>
                <w:spacing w:val="6"/>
                <w:sz w:val="19"/>
              </w:rPr>
              <w:t xml:space="preserve"> </w:t>
            </w:r>
            <w:r w:rsidRPr="00191478">
              <w:rPr>
                <w:rFonts w:asciiTheme="minorHAnsi" w:hAnsiTheme="minorHAnsi"/>
                <w:spacing w:val="3"/>
                <w:sz w:val="19"/>
              </w:rPr>
              <w:t>information</w:t>
            </w:r>
          </w:p>
          <w:p w14:paraId="1162677A" w14:textId="77777777" w:rsidR="00041655" w:rsidRPr="00191478" w:rsidRDefault="00041655" w:rsidP="00F33AA3">
            <w:pPr>
              <w:pStyle w:val="TableParagraph"/>
              <w:spacing w:before="0" w:line="221" w:lineRule="exact"/>
              <w:ind w:left="358"/>
              <w:rPr>
                <w:rFonts w:asciiTheme="minorHAnsi" w:hAnsiTheme="minorHAnsi"/>
                <w:sz w:val="19"/>
              </w:rPr>
            </w:pPr>
            <w:r w:rsidRPr="00191478">
              <w:rPr>
                <w:rFonts w:asciiTheme="minorHAnsi" w:hAnsiTheme="minorHAnsi"/>
                <w:spacing w:val="3"/>
                <w:sz w:val="19"/>
              </w:rPr>
              <w:t>and</w:t>
            </w:r>
            <w:r w:rsidRPr="00191478">
              <w:rPr>
                <w:rFonts w:asciiTheme="minorHAnsi" w:hAnsiTheme="minorHAnsi"/>
                <w:spacing w:val="8"/>
                <w:sz w:val="19"/>
              </w:rPr>
              <w:t xml:space="preserve"> </w:t>
            </w:r>
            <w:r w:rsidRPr="00191478">
              <w:rPr>
                <w:rFonts w:asciiTheme="minorHAnsi" w:hAnsiTheme="minorHAnsi"/>
                <w:spacing w:val="3"/>
                <w:sz w:val="19"/>
              </w:rPr>
              <w:t>advice</w:t>
            </w:r>
          </w:p>
          <w:p w14:paraId="07286AB2" w14:textId="77777777" w:rsidR="00041655" w:rsidRPr="00191478" w:rsidRDefault="00041655" w:rsidP="00041655">
            <w:pPr>
              <w:pStyle w:val="TableParagraph"/>
              <w:numPr>
                <w:ilvl w:val="0"/>
                <w:numId w:val="37"/>
              </w:numPr>
              <w:tabs>
                <w:tab w:val="left" w:pos="359"/>
              </w:tabs>
              <w:spacing w:before="56" w:line="235" w:lineRule="auto"/>
              <w:ind w:right="166" w:hanging="283"/>
              <w:rPr>
                <w:rFonts w:asciiTheme="minorHAnsi" w:hAnsiTheme="minorHAnsi"/>
                <w:sz w:val="19"/>
              </w:rPr>
            </w:pPr>
            <w:r w:rsidRPr="00191478">
              <w:rPr>
                <w:rFonts w:asciiTheme="minorHAnsi" w:hAnsiTheme="minorHAnsi"/>
                <w:spacing w:val="3"/>
                <w:sz w:val="19"/>
              </w:rPr>
              <w:t xml:space="preserve">establishing aspiration- raising </w:t>
            </w:r>
            <w:r w:rsidRPr="00191478">
              <w:rPr>
                <w:rFonts w:asciiTheme="minorHAnsi" w:hAnsiTheme="minorHAnsi"/>
                <w:spacing w:val="2"/>
                <w:sz w:val="19"/>
              </w:rPr>
              <w:t xml:space="preserve">initiatives </w:t>
            </w:r>
            <w:r w:rsidRPr="00191478">
              <w:rPr>
                <w:rFonts w:asciiTheme="minorHAnsi" w:hAnsiTheme="minorHAnsi"/>
                <w:spacing w:val="3"/>
                <w:sz w:val="19"/>
              </w:rPr>
              <w:t xml:space="preserve">covering </w:t>
            </w:r>
            <w:r w:rsidRPr="00191478">
              <w:rPr>
                <w:rFonts w:asciiTheme="minorHAnsi" w:hAnsiTheme="minorHAnsi"/>
                <w:sz w:val="19"/>
              </w:rPr>
              <w:t xml:space="preserve">both </w:t>
            </w:r>
            <w:r w:rsidRPr="00191478">
              <w:rPr>
                <w:rFonts w:asciiTheme="minorHAnsi" w:hAnsiTheme="minorHAnsi"/>
                <w:spacing w:val="4"/>
                <w:sz w:val="19"/>
              </w:rPr>
              <w:t xml:space="preserve">VET </w:t>
            </w:r>
            <w:r w:rsidRPr="00191478">
              <w:rPr>
                <w:rFonts w:asciiTheme="minorHAnsi" w:hAnsiTheme="minorHAnsi"/>
                <w:spacing w:val="3"/>
                <w:sz w:val="19"/>
              </w:rPr>
              <w:t>and higher education</w:t>
            </w:r>
          </w:p>
          <w:p w14:paraId="3491EB0F" w14:textId="77777777" w:rsidR="00041655" w:rsidRPr="00191478" w:rsidRDefault="00041655" w:rsidP="00041655">
            <w:pPr>
              <w:pStyle w:val="TableParagraph"/>
              <w:numPr>
                <w:ilvl w:val="0"/>
                <w:numId w:val="37"/>
              </w:numPr>
              <w:tabs>
                <w:tab w:val="left" w:pos="359"/>
              </w:tabs>
              <w:spacing w:before="57" w:line="235" w:lineRule="auto"/>
              <w:ind w:right="150" w:hanging="283"/>
              <w:rPr>
                <w:rFonts w:asciiTheme="minorHAnsi" w:hAnsiTheme="minorHAnsi"/>
                <w:sz w:val="19"/>
              </w:rPr>
            </w:pPr>
            <w:r w:rsidRPr="00191478">
              <w:rPr>
                <w:rFonts w:asciiTheme="minorHAnsi" w:hAnsiTheme="minorHAnsi"/>
                <w:spacing w:val="3"/>
                <w:sz w:val="19"/>
              </w:rPr>
              <w:t xml:space="preserve">expanding access </w:t>
            </w:r>
            <w:r w:rsidRPr="00191478">
              <w:rPr>
                <w:rFonts w:asciiTheme="minorHAnsi" w:hAnsiTheme="minorHAnsi"/>
                <w:sz w:val="19"/>
              </w:rPr>
              <w:t xml:space="preserve">to </w:t>
            </w:r>
            <w:r w:rsidRPr="00191478">
              <w:rPr>
                <w:rFonts w:asciiTheme="minorHAnsi" w:hAnsiTheme="minorHAnsi"/>
                <w:spacing w:val="3"/>
                <w:sz w:val="19"/>
              </w:rPr>
              <w:t xml:space="preserve">high quality </w:t>
            </w:r>
            <w:r w:rsidRPr="00191478">
              <w:rPr>
                <w:rFonts w:asciiTheme="minorHAnsi" w:hAnsiTheme="minorHAnsi"/>
                <w:spacing w:val="4"/>
                <w:sz w:val="19"/>
              </w:rPr>
              <w:t xml:space="preserve">VET </w:t>
            </w:r>
            <w:r w:rsidRPr="00191478">
              <w:rPr>
                <w:rFonts w:asciiTheme="minorHAnsi" w:hAnsiTheme="minorHAnsi"/>
                <w:spacing w:val="3"/>
                <w:sz w:val="19"/>
              </w:rPr>
              <w:t xml:space="preserve">programs </w:t>
            </w:r>
            <w:r w:rsidRPr="00191478">
              <w:rPr>
                <w:rFonts w:asciiTheme="minorHAnsi" w:hAnsiTheme="minorHAnsi"/>
                <w:sz w:val="19"/>
              </w:rPr>
              <w:t xml:space="preserve">in </w:t>
            </w:r>
            <w:r w:rsidRPr="00191478">
              <w:rPr>
                <w:rFonts w:asciiTheme="minorHAnsi" w:hAnsiTheme="minorHAnsi"/>
                <w:spacing w:val="2"/>
                <w:sz w:val="19"/>
              </w:rPr>
              <w:t>RRR</w:t>
            </w:r>
            <w:r w:rsidRPr="00191478">
              <w:rPr>
                <w:rFonts w:asciiTheme="minorHAnsi" w:hAnsiTheme="minorHAnsi"/>
                <w:spacing w:val="5"/>
                <w:sz w:val="19"/>
              </w:rPr>
              <w:t xml:space="preserve"> </w:t>
            </w:r>
            <w:r w:rsidRPr="00191478">
              <w:rPr>
                <w:rFonts w:asciiTheme="minorHAnsi" w:hAnsiTheme="minorHAnsi"/>
                <w:spacing w:val="3"/>
                <w:sz w:val="19"/>
              </w:rPr>
              <w:t>schools</w:t>
            </w:r>
          </w:p>
          <w:p w14:paraId="5CF3615C" w14:textId="77777777" w:rsidR="00041655" w:rsidRPr="00191478" w:rsidRDefault="00041655" w:rsidP="00041655">
            <w:pPr>
              <w:pStyle w:val="TableParagraph"/>
              <w:numPr>
                <w:ilvl w:val="0"/>
                <w:numId w:val="37"/>
              </w:numPr>
              <w:tabs>
                <w:tab w:val="left" w:pos="359"/>
              </w:tabs>
              <w:spacing w:before="57" w:line="235" w:lineRule="auto"/>
              <w:ind w:right="223" w:hanging="283"/>
              <w:rPr>
                <w:rFonts w:asciiTheme="minorHAnsi" w:hAnsiTheme="minorHAnsi"/>
                <w:sz w:val="19"/>
              </w:rPr>
            </w:pPr>
            <w:r w:rsidRPr="00191478">
              <w:rPr>
                <w:rFonts w:asciiTheme="minorHAnsi" w:hAnsiTheme="minorHAnsi"/>
                <w:spacing w:val="4"/>
                <w:sz w:val="19"/>
              </w:rPr>
              <w:t xml:space="preserve">undertaking further </w:t>
            </w:r>
            <w:r w:rsidRPr="00191478">
              <w:rPr>
                <w:rFonts w:asciiTheme="minorHAnsi" w:hAnsiTheme="minorHAnsi"/>
                <w:spacing w:val="2"/>
                <w:sz w:val="19"/>
              </w:rPr>
              <w:t xml:space="preserve">work </w:t>
            </w:r>
            <w:r w:rsidRPr="00191478">
              <w:rPr>
                <w:rFonts w:asciiTheme="minorHAnsi" w:hAnsiTheme="minorHAnsi"/>
                <w:sz w:val="19"/>
              </w:rPr>
              <w:t xml:space="preserve">to </w:t>
            </w:r>
            <w:r w:rsidRPr="00191478">
              <w:rPr>
                <w:rFonts w:asciiTheme="minorHAnsi" w:hAnsiTheme="minorHAnsi"/>
                <w:spacing w:val="2"/>
                <w:sz w:val="19"/>
              </w:rPr>
              <w:t xml:space="preserve">improve RRR </w:t>
            </w:r>
            <w:r w:rsidRPr="00191478">
              <w:rPr>
                <w:rFonts w:asciiTheme="minorHAnsi" w:hAnsiTheme="minorHAnsi"/>
                <w:spacing w:val="3"/>
                <w:sz w:val="19"/>
              </w:rPr>
              <w:t xml:space="preserve">schools and </w:t>
            </w:r>
            <w:r w:rsidRPr="00191478">
              <w:rPr>
                <w:rFonts w:asciiTheme="minorHAnsi" w:hAnsiTheme="minorHAnsi"/>
                <w:sz w:val="19"/>
              </w:rPr>
              <w:t xml:space="preserve">Year </w:t>
            </w:r>
            <w:r w:rsidRPr="00191478">
              <w:rPr>
                <w:rFonts w:asciiTheme="minorHAnsi" w:hAnsiTheme="minorHAnsi"/>
                <w:spacing w:val="-6"/>
                <w:sz w:val="19"/>
              </w:rPr>
              <w:t xml:space="preserve">12 </w:t>
            </w:r>
            <w:r w:rsidRPr="00191478">
              <w:rPr>
                <w:rFonts w:asciiTheme="minorHAnsi" w:hAnsiTheme="minorHAnsi"/>
                <w:spacing w:val="3"/>
                <w:sz w:val="19"/>
              </w:rPr>
              <w:t xml:space="preserve">completion </w:t>
            </w:r>
            <w:r w:rsidRPr="00191478">
              <w:rPr>
                <w:rFonts w:asciiTheme="minorHAnsi" w:hAnsiTheme="minorHAnsi"/>
                <w:sz w:val="19"/>
              </w:rPr>
              <w:t>rates,</w:t>
            </w:r>
            <w:r w:rsidRPr="00191478">
              <w:rPr>
                <w:rFonts w:asciiTheme="minorHAnsi" w:hAnsiTheme="minorHAnsi"/>
                <w:spacing w:val="5"/>
                <w:sz w:val="19"/>
              </w:rPr>
              <w:t xml:space="preserve"> </w:t>
            </w:r>
            <w:r w:rsidRPr="00191478">
              <w:rPr>
                <w:rFonts w:asciiTheme="minorHAnsi" w:hAnsiTheme="minorHAnsi"/>
                <w:spacing w:val="3"/>
                <w:sz w:val="19"/>
              </w:rPr>
              <w:t>and</w:t>
            </w:r>
          </w:p>
          <w:p w14:paraId="7FEAE820" w14:textId="77777777" w:rsidR="00041655" w:rsidRPr="00191478" w:rsidRDefault="00041655" w:rsidP="00041655">
            <w:pPr>
              <w:pStyle w:val="TableParagraph"/>
              <w:numPr>
                <w:ilvl w:val="0"/>
                <w:numId w:val="37"/>
              </w:numPr>
              <w:tabs>
                <w:tab w:val="left" w:pos="359"/>
              </w:tabs>
              <w:spacing w:before="57" w:line="235" w:lineRule="auto"/>
              <w:ind w:right="520" w:hanging="283"/>
              <w:rPr>
                <w:rFonts w:asciiTheme="minorHAnsi" w:hAnsiTheme="minorHAnsi"/>
                <w:sz w:val="19"/>
              </w:rPr>
            </w:pPr>
            <w:r w:rsidRPr="00191478">
              <w:rPr>
                <w:rFonts w:asciiTheme="minorHAnsi" w:hAnsiTheme="minorHAnsi"/>
                <w:spacing w:val="3"/>
                <w:sz w:val="19"/>
              </w:rPr>
              <w:t xml:space="preserve">improving </w:t>
            </w:r>
            <w:r w:rsidRPr="00191478">
              <w:rPr>
                <w:rFonts w:asciiTheme="minorHAnsi" w:hAnsiTheme="minorHAnsi"/>
                <w:spacing w:val="4"/>
                <w:sz w:val="19"/>
              </w:rPr>
              <w:t xml:space="preserve">support </w:t>
            </w:r>
            <w:r w:rsidRPr="00191478">
              <w:rPr>
                <w:rFonts w:asciiTheme="minorHAnsi" w:hAnsiTheme="minorHAnsi"/>
                <w:spacing w:val="3"/>
                <w:sz w:val="19"/>
              </w:rPr>
              <w:t xml:space="preserve">available </w:t>
            </w:r>
            <w:r w:rsidRPr="00191478">
              <w:rPr>
                <w:rFonts w:asciiTheme="minorHAnsi" w:hAnsiTheme="minorHAnsi"/>
                <w:sz w:val="19"/>
              </w:rPr>
              <w:t xml:space="preserve">to </w:t>
            </w:r>
            <w:r w:rsidRPr="00191478">
              <w:rPr>
                <w:rFonts w:asciiTheme="minorHAnsi" w:hAnsiTheme="minorHAnsi"/>
                <w:spacing w:val="3"/>
                <w:sz w:val="19"/>
              </w:rPr>
              <w:t>teachers, principals and school leaders.</w:t>
            </w:r>
          </w:p>
        </w:tc>
        <w:tc>
          <w:tcPr>
            <w:tcW w:w="7520" w:type="dxa"/>
            <w:tcBorders>
              <w:bottom w:val="single" w:sz="6" w:space="0" w:color="FFFFFF"/>
              <w:right w:val="nil"/>
            </w:tcBorders>
            <w:shd w:val="clear" w:color="auto" w:fill="ECEFF1"/>
          </w:tcPr>
          <w:p w14:paraId="71D80E6E" w14:textId="77777777" w:rsidR="00041655" w:rsidRPr="00191478" w:rsidRDefault="00041655" w:rsidP="00041655">
            <w:pPr>
              <w:pStyle w:val="TableParagraph"/>
              <w:numPr>
                <w:ilvl w:val="0"/>
                <w:numId w:val="36"/>
              </w:numPr>
              <w:tabs>
                <w:tab w:val="left" w:pos="416"/>
              </w:tabs>
              <w:spacing w:before="41" w:line="235" w:lineRule="auto"/>
              <w:ind w:right="434" w:hanging="340"/>
              <w:rPr>
                <w:rFonts w:asciiTheme="minorHAnsi" w:hAnsiTheme="minorHAnsi"/>
                <w:sz w:val="19"/>
              </w:rPr>
            </w:pPr>
            <w:r w:rsidRPr="00191478">
              <w:rPr>
                <w:rFonts w:asciiTheme="minorHAnsi" w:hAnsiTheme="minorHAnsi"/>
                <w:spacing w:val="3"/>
                <w:sz w:val="19"/>
              </w:rPr>
              <w:t xml:space="preserve">Implement </w:t>
            </w:r>
            <w:r w:rsidRPr="00191478">
              <w:rPr>
                <w:rFonts w:asciiTheme="minorHAnsi" w:hAnsiTheme="minorHAnsi"/>
                <w:sz w:val="19"/>
              </w:rPr>
              <w:t xml:space="preserve">a </w:t>
            </w:r>
            <w:r w:rsidRPr="00191478">
              <w:rPr>
                <w:rFonts w:asciiTheme="minorHAnsi" w:hAnsiTheme="minorHAnsi"/>
                <w:spacing w:val="3"/>
                <w:sz w:val="19"/>
              </w:rPr>
              <w:t xml:space="preserve">regionally-based model </w:t>
            </w:r>
            <w:r w:rsidRPr="00191478">
              <w:rPr>
                <w:rFonts w:asciiTheme="minorHAnsi" w:hAnsiTheme="minorHAnsi"/>
                <w:spacing w:val="2"/>
                <w:sz w:val="19"/>
              </w:rPr>
              <w:t xml:space="preserve">for </w:t>
            </w:r>
            <w:r w:rsidRPr="00191478">
              <w:rPr>
                <w:rFonts w:asciiTheme="minorHAnsi" w:hAnsiTheme="minorHAnsi"/>
                <w:spacing w:val="3"/>
                <w:sz w:val="19"/>
              </w:rPr>
              <w:t xml:space="preserve">independent career advice </w:t>
            </w:r>
            <w:r w:rsidRPr="00191478">
              <w:rPr>
                <w:rFonts w:asciiTheme="minorHAnsi" w:hAnsiTheme="minorHAnsi"/>
                <w:sz w:val="19"/>
              </w:rPr>
              <w:t xml:space="preserve">in </w:t>
            </w:r>
            <w:r w:rsidRPr="00191478">
              <w:rPr>
                <w:rFonts w:asciiTheme="minorHAnsi" w:hAnsiTheme="minorHAnsi"/>
                <w:spacing w:val="2"/>
                <w:sz w:val="19"/>
              </w:rPr>
              <w:t xml:space="preserve">RRR locations, </w:t>
            </w:r>
            <w:r w:rsidRPr="00191478">
              <w:rPr>
                <w:rFonts w:asciiTheme="minorHAnsi" w:hAnsiTheme="minorHAnsi"/>
                <w:sz w:val="19"/>
              </w:rPr>
              <w:t xml:space="preserve">to be </w:t>
            </w:r>
            <w:r w:rsidRPr="00191478">
              <w:rPr>
                <w:rFonts w:asciiTheme="minorHAnsi" w:hAnsiTheme="minorHAnsi"/>
                <w:spacing w:val="3"/>
                <w:sz w:val="19"/>
              </w:rPr>
              <w:t xml:space="preserve">developed </w:t>
            </w:r>
            <w:r w:rsidRPr="00191478">
              <w:rPr>
                <w:rFonts w:asciiTheme="minorHAnsi" w:hAnsiTheme="minorHAnsi"/>
                <w:sz w:val="19"/>
              </w:rPr>
              <w:t xml:space="preserve">in </w:t>
            </w:r>
            <w:r w:rsidRPr="00191478">
              <w:rPr>
                <w:rFonts w:asciiTheme="minorHAnsi" w:hAnsiTheme="minorHAnsi"/>
                <w:spacing w:val="3"/>
                <w:sz w:val="19"/>
              </w:rPr>
              <w:t xml:space="preserve">collaboration between </w:t>
            </w:r>
            <w:r w:rsidRPr="00191478">
              <w:rPr>
                <w:rFonts w:asciiTheme="minorHAnsi" w:hAnsiTheme="minorHAnsi"/>
                <w:spacing w:val="2"/>
                <w:sz w:val="19"/>
              </w:rPr>
              <w:t xml:space="preserve">the </w:t>
            </w:r>
            <w:r w:rsidRPr="00191478">
              <w:rPr>
                <w:rFonts w:asciiTheme="minorHAnsi" w:hAnsiTheme="minorHAnsi"/>
                <w:spacing w:val="3"/>
                <w:sz w:val="19"/>
              </w:rPr>
              <w:t xml:space="preserve">Commonwealth and </w:t>
            </w:r>
            <w:r w:rsidRPr="00191478">
              <w:rPr>
                <w:rFonts w:asciiTheme="minorHAnsi" w:hAnsiTheme="minorHAnsi"/>
                <w:spacing w:val="2"/>
                <w:sz w:val="19"/>
              </w:rPr>
              <w:t xml:space="preserve">states </w:t>
            </w:r>
            <w:r w:rsidRPr="00191478">
              <w:rPr>
                <w:rFonts w:asciiTheme="minorHAnsi" w:hAnsiTheme="minorHAnsi"/>
                <w:spacing w:val="3"/>
                <w:sz w:val="19"/>
              </w:rPr>
              <w:t xml:space="preserve">and territories. This should </w:t>
            </w:r>
            <w:r w:rsidRPr="00191478">
              <w:rPr>
                <w:rFonts w:asciiTheme="minorHAnsi" w:hAnsiTheme="minorHAnsi"/>
                <w:sz w:val="19"/>
              </w:rPr>
              <w:t xml:space="preserve">be </w:t>
            </w:r>
            <w:r w:rsidRPr="00191478">
              <w:rPr>
                <w:rFonts w:asciiTheme="minorHAnsi" w:hAnsiTheme="minorHAnsi"/>
                <w:spacing w:val="3"/>
                <w:sz w:val="19"/>
              </w:rPr>
              <w:t xml:space="preserve">delivered </w:t>
            </w:r>
            <w:r w:rsidRPr="00191478">
              <w:rPr>
                <w:rFonts w:asciiTheme="minorHAnsi" w:hAnsiTheme="minorHAnsi"/>
                <w:sz w:val="19"/>
              </w:rPr>
              <w:t xml:space="preserve">by </w:t>
            </w:r>
            <w:r w:rsidRPr="00191478">
              <w:rPr>
                <w:rFonts w:asciiTheme="minorHAnsi" w:hAnsiTheme="minorHAnsi"/>
                <w:spacing w:val="3"/>
                <w:sz w:val="19"/>
              </w:rPr>
              <w:t xml:space="preserve">professional career advisors </w:t>
            </w:r>
            <w:r w:rsidRPr="00191478">
              <w:rPr>
                <w:rFonts w:asciiTheme="minorHAnsi" w:hAnsiTheme="minorHAnsi"/>
                <w:spacing w:val="2"/>
                <w:sz w:val="19"/>
              </w:rPr>
              <w:t xml:space="preserve">with strong links </w:t>
            </w:r>
            <w:r w:rsidRPr="00191478">
              <w:rPr>
                <w:rFonts w:asciiTheme="minorHAnsi" w:hAnsiTheme="minorHAnsi"/>
                <w:sz w:val="19"/>
              </w:rPr>
              <w:t xml:space="preserve">to </w:t>
            </w:r>
            <w:r w:rsidRPr="00191478">
              <w:rPr>
                <w:rFonts w:asciiTheme="minorHAnsi" w:hAnsiTheme="minorHAnsi"/>
                <w:spacing w:val="3"/>
                <w:sz w:val="19"/>
              </w:rPr>
              <w:t xml:space="preserve">schools, </w:t>
            </w:r>
            <w:r w:rsidRPr="00191478">
              <w:rPr>
                <w:rFonts w:asciiTheme="minorHAnsi" w:hAnsiTheme="minorHAnsi"/>
                <w:spacing w:val="4"/>
                <w:sz w:val="19"/>
              </w:rPr>
              <w:t xml:space="preserve">tertiary </w:t>
            </w:r>
            <w:r w:rsidRPr="00191478">
              <w:rPr>
                <w:rFonts w:asciiTheme="minorHAnsi" w:hAnsiTheme="minorHAnsi"/>
                <w:spacing w:val="3"/>
                <w:sz w:val="19"/>
              </w:rPr>
              <w:t xml:space="preserve">education providers, </w:t>
            </w:r>
            <w:r w:rsidRPr="00191478">
              <w:rPr>
                <w:rFonts w:asciiTheme="minorHAnsi" w:hAnsiTheme="minorHAnsi"/>
                <w:spacing w:val="2"/>
                <w:sz w:val="19"/>
              </w:rPr>
              <w:t xml:space="preserve">industry, </w:t>
            </w:r>
            <w:r w:rsidRPr="00191478">
              <w:rPr>
                <w:rFonts w:asciiTheme="minorHAnsi" w:hAnsiTheme="minorHAnsi"/>
                <w:spacing w:val="3"/>
                <w:sz w:val="19"/>
              </w:rPr>
              <w:t xml:space="preserve">families and local communities and </w:t>
            </w:r>
            <w:r w:rsidRPr="00191478">
              <w:rPr>
                <w:rFonts w:asciiTheme="minorHAnsi" w:hAnsiTheme="minorHAnsi"/>
                <w:spacing w:val="2"/>
                <w:sz w:val="19"/>
              </w:rPr>
              <w:t xml:space="preserve">provide RRR students with </w:t>
            </w:r>
            <w:r w:rsidRPr="00191478">
              <w:rPr>
                <w:rFonts w:asciiTheme="minorHAnsi" w:hAnsiTheme="minorHAnsi"/>
                <w:spacing w:val="3"/>
                <w:sz w:val="19"/>
              </w:rPr>
              <w:t xml:space="preserve">information </w:t>
            </w:r>
            <w:r w:rsidRPr="00191478">
              <w:rPr>
                <w:rFonts w:asciiTheme="minorHAnsi" w:hAnsiTheme="minorHAnsi"/>
                <w:sz w:val="19"/>
              </w:rPr>
              <w:t xml:space="preserve">on </w:t>
            </w:r>
            <w:r w:rsidRPr="00191478">
              <w:rPr>
                <w:rFonts w:asciiTheme="minorHAnsi" w:hAnsiTheme="minorHAnsi"/>
                <w:spacing w:val="2"/>
                <w:sz w:val="19"/>
              </w:rPr>
              <w:t>all</w:t>
            </w:r>
            <w:r w:rsidRPr="00191478">
              <w:rPr>
                <w:rFonts w:asciiTheme="minorHAnsi" w:hAnsiTheme="minorHAnsi"/>
                <w:spacing w:val="14"/>
                <w:sz w:val="19"/>
              </w:rPr>
              <w:t xml:space="preserve"> </w:t>
            </w:r>
            <w:r w:rsidRPr="00191478">
              <w:rPr>
                <w:rFonts w:asciiTheme="minorHAnsi" w:hAnsiTheme="minorHAnsi"/>
                <w:sz w:val="19"/>
              </w:rPr>
              <w:t>pathways</w:t>
            </w:r>
          </w:p>
          <w:p w14:paraId="08AE8714" w14:textId="77777777" w:rsidR="00041655" w:rsidRPr="00191478" w:rsidRDefault="00041655" w:rsidP="00F33AA3">
            <w:pPr>
              <w:pStyle w:val="TableParagraph"/>
              <w:spacing w:before="1" w:line="235" w:lineRule="auto"/>
              <w:ind w:left="415" w:right="71"/>
              <w:rPr>
                <w:rFonts w:asciiTheme="minorHAnsi" w:hAnsiTheme="minorHAnsi"/>
                <w:sz w:val="19"/>
              </w:rPr>
            </w:pPr>
            <w:r w:rsidRPr="00191478">
              <w:rPr>
                <w:rFonts w:asciiTheme="minorHAnsi" w:hAnsiTheme="minorHAnsi"/>
                <w:sz w:val="19"/>
              </w:rPr>
              <w:t>and available support so they can make informed choices about the study options best suited to them.</w:t>
            </w:r>
          </w:p>
          <w:p w14:paraId="2A80BA25" w14:textId="77777777" w:rsidR="00041655" w:rsidRPr="00191478" w:rsidRDefault="00041655" w:rsidP="00041655">
            <w:pPr>
              <w:pStyle w:val="TableParagraph"/>
              <w:numPr>
                <w:ilvl w:val="0"/>
                <w:numId w:val="36"/>
              </w:numPr>
              <w:tabs>
                <w:tab w:val="left" w:pos="416"/>
              </w:tabs>
              <w:spacing w:before="57" w:line="235" w:lineRule="auto"/>
              <w:ind w:right="209" w:hanging="340"/>
              <w:rPr>
                <w:rFonts w:asciiTheme="minorHAnsi" w:hAnsiTheme="minorHAnsi"/>
                <w:sz w:val="19"/>
              </w:rPr>
            </w:pPr>
            <w:r w:rsidRPr="00191478">
              <w:rPr>
                <w:rFonts w:asciiTheme="minorHAnsi" w:hAnsiTheme="minorHAnsi"/>
                <w:spacing w:val="2"/>
                <w:sz w:val="19"/>
              </w:rPr>
              <w:t xml:space="preserve">Improve </w:t>
            </w:r>
            <w:r w:rsidRPr="00191478">
              <w:rPr>
                <w:rFonts w:asciiTheme="minorHAnsi" w:hAnsiTheme="minorHAnsi"/>
                <w:spacing w:val="3"/>
                <w:sz w:val="19"/>
              </w:rPr>
              <w:t xml:space="preserve">and </w:t>
            </w:r>
            <w:r w:rsidRPr="00191478">
              <w:rPr>
                <w:rFonts w:asciiTheme="minorHAnsi" w:hAnsiTheme="minorHAnsi"/>
                <w:spacing w:val="2"/>
                <w:sz w:val="19"/>
              </w:rPr>
              <w:t xml:space="preserve">promote </w:t>
            </w:r>
            <w:r w:rsidRPr="00191478">
              <w:rPr>
                <w:rFonts w:asciiTheme="minorHAnsi" w:hAnsiTheme="minorHAnsi"/>
                <w:spacing w:val="3"/>
                <w:sz w:val="19"/>
              </w:rPr>
              <w:t xml:space="preserve">online </w:t>
            </w:r>
            <w:r w:rsidRPr="00191478">
              <w:rPr>
                <w:rFonts w:asciiTheme="minorHAnsi" w:hAnsiTheme="minorHAnsi"/>
                <w:spacing w:val="4"/>
                <w:sz w:val="19"/>
              </w:rPr>
              <w:t xml:space="preserve">portals </w:t>
            </w:r>
            <w:r w:rsidRPr="00191478">
              <w:rPr>
                <w:rFonts w:asciiTheme="minorHAnsi" w:hAnsiTheme="minorHAnsi"/>
                <w:spacing w:val="2"/>
                <w:sz w:val="19"/>
              </w:rPr>
              <w:t xml:space="preserve">for </w:t>
            </w:r>
            <w:r w:rsidRPr="00191478">
              <w:rPr>
                <w:rFonts w:asciiTheme="minorHAnsi" w:hAnsiTheme="minorHAnsi"/>
                <w:spacing w:val="3"/>
                <w:sz w:val="19"/>
              </w:rPr>
              <w:t xml:space="preserve">providing career information and advice. This includes </w:t>
            </w:r>
            <w:r w:rsidRPr="00191478">
              <w:rPr>
                <w:rFonts w:asciiTheme="minorHAnsi" w:hAnsiTheme="minorHAnsi"/>
                <w:spacing w:val="2"/>
                <w:sz w:val="19"/>
              </w:rPr>
              <w:t xml:space="preserve">innovative </w:t>
            </w:r>
            <w:r w:rsidRPr="00191478">
              <w:rPr>
                <w:rFonts w:asciiTheme="minorHAnsi" w:hAnsiTheme="minorHAnsi"/>
                <w:spacing w:val="3"/>
                <w:sz w:val="19"/>
              </w:rPr>
              <w:t xml:space="preserve">models </w:t>
            </w:r>
            <w:r w:rsidRPr="00191478">
              <w:rPr>
                <w:rFonts w:asciiTheme="minorHAnsi" w:hAnsiTheme="minorHAnsi"/>
                <w:spacing w:val="2"/>
                <w:sz w:val="19"/>
              </w:rPr>
              <w:t xml:space="preserve">for </w:t>
            </w:r>
            <w:r w:rsidRPr="00191478">
              <w:rPr>
                <w:rFonts w:asciiTheme="minorHAnsi" w:hAnsiTheme="minorHAnsi"/>
                <w:spacing w:val="3"/>
                <w:sz w:val="19"/>
              </w:rPr>
              <w:t xml:space="preserve">providing </w:t>
            </w:r>
            <w:r w:rsidRPr="00191478">
              <w:rPr>
                <w:rFonts w:asciiTheme="minorHAnsi" w:hAnsiTheme="minorHAnsi"/>
                <w:spacing w:val="4"/>
                <w:sz w:val="19"/>
              </w:rPr>
              <w:t xml:space="preserve">virtual </w:t>
            </w:r>
            <w:r w:rsidRPr="00191478">
              <w:rPr>
                <w:rFonts w:asciiTheme="minorHAnsi" w:hAnsiTheme="minorHAnsi"/>
                <w:spacing w:val="2"/>
                <w:sz w:val="19"/>
              </w:rPr>
              <w:t xml:space="preserve">work </w:t>
            </w:r>
            <w:r w:rsidRPr="00191478">
              <w:rPr>
                <w:rFonts w:asciiTheme="minorHAnsi" w:hAnsiTheme="minorHAnsi"/>
                <w:spacing w:val="3"/>
                <w:sz w:val="19"/>
              </w:rPr>
              <w:t xml:space="preserve">experience, </w:t>
            </w:r>
            <w:r w:rsidRPr="00191478">
              <w:rPr>
                <w:rFonts w:asciiTheme="minorHAnsi" w:hAnsiTheme="minorHAnsi"/>
                <w:spacing w:val="4"/>
                <w:sz w:val="19"/>
              </w:rPr>
              <w:t xml:space="preserve">particularly </w:t>
            </w:r>
            <w:r w:rsidRPr="00191478">
              <w:rPr>
                <w:rFonts w:asciiTheme="minorHAnsi" w:hAnsiTheme="minorHAnsi"/>
                <w:spacing w:val="2"/>
                <w:sz w:val="19"/>
              </w:rPr>
              <w:t xml:space="preserve">for those </w:t>
            </w:r>
            <w:r w:rsidRPr="00191478">
              <w:rPr>
                <w:rFonts w:asciiTheme="minorHAnsi" w:hAnsiTheme="minorHAnsi"/>
                <w:sz w:val="19"/>
              </w:rPr>
              <w:t xml:space="preserve">in </w:t>
            </w:r>
            <w:r w:rsidRPr="00191478">
              <w:rPr>
                <w:rFonts w:asciiTheme="minorHAnsi" w:hAnsiTheme="minorHAnsi"/>
                <w:spacing w:val="2"/>
                <w:sz w:val="19"/>
              </w:rPr>
              <w:t xml:space="preserve">remote </w:t>
            </w:r>
            <w:r w:rsidRPr="00191478">
              <w:rPr>
                <w:rFonts w:asciiTheme="minorHAnsi" w:hAnsiTheme="minorHAnsi"/>
                <w:spacing w:val="3"/>
                <w:sz w:val="19"/>
              </w:rPr>
              <w:t xml:space="preserve">areas where access </w:t>
            </w:r>
            <w:r w:rsidRPr="00191478">
              <w:rPr>
                <w:rFonts w:asciiTheme="minorHAnsi" w:hAnsiTheme="minorHAnsi"/>
                <w:sz w:val="19"/>
              </w:rPr>
              <w:t xml:space="preserve">to </w:t>
            </w:r>
            <w:r w:rsidRPr="00191478">
              <w:rPr>
                <w:rFonts w:asciiTheme="minorHAnsi" w:hAnsiTheme="minorHAnsi"/>
                <w:spacing w:val="2"/>
                <w:sz w:val="19"/>
              </w:rPr>
              <w:t xml:space="preserve">face-to-face </w:t>
            </w:r>
            <w:r w:rsidRPr="00191478">
              <w:rPr>
                <w:rFonts w:asciiTheme="minorHAnsi" w:hAnsiTheme="minorHAnsi"/>
                <w:spacing w:val="3"/>
                <w:sz w:val="19"/>
              </w:rPr>
              <w:t xml:space="preserve">career advice and workplace learning </w:t>
            </w:r>
            <w:r w:rsidRPr="00191478">
              <w:rPr>
                <w:rFonts w:asciiTheme="minorHAnsi" w:hAnsiTheme="minorHAnsi"/>
                <w:sz w:val="19"/>
              </w:rPr>
              <w:t xml:space="preserve">is </w:t>
            </w:r>
            <w:r w:rsidRPr="00191478">
              <w:rPr>
                <w:rFonts w:asciiTheme="minorHAnsi" w:hAnsiTheme="minorHAnsi"/>
                <w:spacing w:val="2"/>
                <w:sz w:val="19"/>
              </w:rPr>
              <w:t xml:space="preserve">more </w:t>
            </w:r>
            <w:r w:rsidRPr="00191478">
              <w:rPr>
                <w:rFonts w:asciiTheme="minorHAnsi" w:hAnsiTheme="minorHAnsi"/>
                <w:spacing w:val="3"/>
                <w:sz w:val="19"/>
              </w:rPr>
              <w:t xml:space="preserve">difficult. This </w:t>
            </w:r>
            <w:r w:rsidRPr="00191478">
              <w:rPr>
                <w:rFonts w:asciiTheme="minorHAnsi" w:hAnsiTheme="minorHAnsi"/>
                <w:spacing w:val="2"/>
                <w:sz w:val="19"/>
              </w:rPr>
              <w:t xml:space="preserve">action </w:t>
            </w:r>
            <w:r w:rsidRPr="00191478">
              <w:rPr>
                <w:rFonts w:asciiTheme="minorHAnsi" w:hAnsiTheme="minorHAnsi"/>
                <w:spacing w:val="3"/>
                <w:sz w:val="19"/>
              </w:rPr>
              <w:t xml:space="preserve">should </w:t>
            </w:r>
            <w:r w:rsidRPr="00191478">
              <w:rPr>
                <w:rFonts w:asciiTheme="minorHAnsi" w:hAnsiTheme="minorHAnsi"/>
                <w:sz w:val="19"/>
              </w:rPr>
              <w:t xml:space="preserve">be </w:t>
            </w:r>
            <w:r w:rsidRPr="00191478">
              <w:rPr>
                <w:rFonts w:asciiTheme="minorHAnsi" w:hAnsiTheme="minorHAnsi"/>
                <w:spacing w:val="3"/>
                <w:sz w:val="19"/>
              </w:rPr>
              <w:t xml:space="preserve">complemented </w:t>
            </w:r>
            <w:r w:rsidRPr="00191478">
              <w:rPr>
                <w:rFonts w:asciiTheme="minorHAnsi" w:hAnsiTheme="minorHAnsi"/>
                <w:sz w:val="19"/>
              </w:rPr>
              <w:t xml:space="preserve">by </w:t>
            </w:r>
            <w:r w:rsidRPr="00191478">
              <w:rPr>
                <w:rFonts w:asciiTheme="minorHAnsi" w:hAnsiTheme="minorHAnsi"/>
                <w:spacing w:val="3"/>
                <w:sz w:val="19"/>
              </w:rPr>
              <w:t xml:space="preserve">research </w:t>
            </w:r>
            <w:r w:rsidRPr="00191478">
              <w:rPr>
                <w:rFonts w:asciiTheme="minorHAnsi" w:hAnsiTheme="minorHAnsi"/>
                <w:sz w:val="19"/>
              </w:rPr>
              <w:t xml:space="preserve">to </w:t>
            </w:r>
            <w:r w:rsidRPr="00191478">
              <w:rPr>
                <w:rFonts w:asciiTheme="minorHAnsi" w:hAnsiTheme="minorHAnsi"/>
                <w:spacing w:val="3"/>
                <w:sz w:val="19"/>
              </w:rPr>
              <w:t xml:space="preserve">understand </w:t>
            </w:r>
            <w:r w:rsidRPr="00191478">
              <w:rPr>
                <w:rFonts w:asciiTheme="minorHAnsi" w:hAnsiTheme="minorHAnsi"/>
                <w:sz w:val="19"/>
              </w:rPr>
              <w:t xml:space="preserve">how </w:t>
            </w:r>
            <w:r w:rsidRPr="00191478">
              <w:rPr>
                <w:rFonts w:asciiTheme="minorHAnsi" w:hAnsiTheme="minorHAnsi"/>
                <w:spacing w:val="2"/>
                <w:sz w:val="19"/>
              </w:rPr>
              <w:t xml:space="preserve">RRR students </w:t>
            </w:r>
            <w:r w:rsidRPr="00191478">
              <w:rPr>
                <w:rFonts w:asciiTheme="minorHAnsi" w:hAnsiTheme="minorHAnsi"/>
                <w:spacing w:val="3"/>
                <w:sz w:val="19"/>
              </w:rPr>
              <w:t xml:space="preserve">access career advice and information </w:t>
            </w:r>
            <w:r w:rsidRPr="00191478">
              <w:rPr>
                <w:rFonts w:asciiTheme="minorHAnsi" w:hAnsiTheme="minorHAnsi"/>
                <w:sz w:val="19"/>
              </w:rPr>
              <w:t xml:space="preserve">to </w:t>
            </w:r>
            <w:r w:rsidRPr="00191478">
              <w:rPr>
                <w:rFonts w:asciiTheme="minorHAnsi" w:hAnsiTheme="minorHAnsi"/>
                <w:spacing w:val="3"/>
                <w:sz w:val="19"/>
              </w:rPr>
              <w:t>ensure online resources meet their</w:t>
            </w:r>
            <w:r w:rsidRPr="00191478">
              <w:rPr>
                <w:rFonts w:asciiTheme="minorHAnsi" w:hAnsiTheme="minorHAnsi"/>
                <w:spacing w:val="18"/>
                <w:sz w:val="19"/>
              </w:rPr>
              <w:t xml:space="preserve"> </w:t>
            </w:r>
            <w:r w:rsidRPr="00191478">
              <w:rPr>
                <w:rFonts w:asciiTheme="minorHAnsi" w:hAnsiTheme="minorHAnsi"/>
                <w:spacing w:val="3"/>
                <w:sz w:val="19"/>
              </w:rPr>
              <w:t>needs.</w:t>
            </w:r>
          </w:p>
          <w:p w14:paraId="2771F9E8" w14:textId="77777777" w:rsidR="00041655" w:rsidRPr="00191478" w:rsidRDefault="00041655" w:rsidP="00041655">
            <w:pPr>
              <w:pStyle w:val="TableParagraph"/>
              <w:numPr>
                <w:ilvl w:val="0"/>
                <w:numId w:val="36"/>
              </w:numPr>
              <w:tabs>
                <w:tab w:val="left" w:pos="416"/>
              </w:tabs>
              <w:spacing w:before="57" w:line="235" w:lineRule="auto"/>
              <w:ind w:right="324" w:hanging="340"/>
              <w:rPr>
                <w:rFonts w:asciiTheme="minorHAnsi" w:hAnsiTheme="minorHAnsi"/>
                <w:sz w:val="19"/>
              </w:rPr>
            </w:pPr>
            <w:r w:rsidRPr="00191478">
              <w:rPr>
                <w:rFonts w:asciiTheme="minorHAnsi" w:hAnsiTheme="minorHAnsi"/>
                <w:spacing w:val="3"/>
                <w:sz w:val="19"/>
              </w:rPr>
              <w:t xml:space="preserve">Establish aspiration-raising </w:t>
            </w:r>
            <w:r w:rsidRPr="00191478">
              <w:rPr>
                <w:rFonts w:asciiTheme="minorHAnsi" w:hAnsiTheme="minorHAnsi"/>
                <w:spacing w:val="2"/>
                <w:sz w:val="19"/>
              </w:rPr>
              <w:t xml:space="preserve">initiatives targeted </w:t>
            </w:r>
            <w:r w:rsidRPr="00191478">
              <w:rPr>
                <w:rFonts w:asciiTheme="minorHAnsi" w:hAnsiTheme="minorHAnsi"/>
                <w:sz w:val="19"/>
              </w:rPr>
              <w:t xml:space="preserve">at </w:t>
            </w:r>
            <w:r w:rsidRPr="00191478">
              <w:rPr>
                <w:rFonts w:asciiTheme="minorHAnsi" w:hAnsiTheme="minorHAnsi"/>
                <w:spacing w:val="2"/>
                <w:sz w:val="19"/>
              </w:rPr>
              <w:t xml:space="preserve">students </w:t>
            </w:r>
            <w:r w:rsidRPr="00191478">
              <w:rPr>
                <w:rFonts w:asciiTheme="minorHAnsi" w:hAnsiTheme="minorHAnsi"/>
                <w:spacing w:val="3"/>
                <w:sz w:val="19"/>
              </w:rPr>
              <w:t xml:space="preserve">and families such </w:t>
            </w:r>
            <w:r w:rsidRPr="00191478">
              <w:rPr>
                <w:rFonts w:asciiTheme="minorHAnsi" w:hAnsiTheme="minorHAnsi"/>
                <w:sz w:val="19"/>
              </w:rPr>
              <w:t xml:space="preserve">as </w:t>
            </w:r>
            <w:r w:rsidRPr="00191478">
              <w:rPr>
                <w:rFonts w:asciiTheme="minorHAnsi" w:hAnsiTheme="minorHAnsi"/>
                <w:spacing w:val="2"/>
                <w:sz w:val="19"/>
              </w:rPr>
              <w:t>an</w:t>
            </w:r>
            <w:r w:rsidRPr="00191478">
              <w:rPr>
                <w:rFonts w:asciiTheme="minorHAnsi" w:hAnsiTheme="minorHAnsi"/>
                <w:spacing w:val="-5"/>
                <w:sz w:val="19"/>
              </w:rPr>
              <w:t xml:space="preserve"> </w:t>
            </w:r>
            <w:r w:rsidRPr="00191478">
              <w:rPr>
                <w:rFonts w:asciiTheme="minorHAnsi" w:hAnsiTheme="minorHAnsi"/>
                <w:spacing w:val="2"/>
                <w:sz w:val="19"/>
              </w:rPr>
              <w:t>RRR</w:t>
            </w:r>
            <w:r w:rsidRPr="00191478">
              <w:rPr>
                <w:rFonts w:asciiTheme="minorHAnsi" w:hAnsiTheme="minorHAnsi"/>
                <w:spacing w:val="-4"/>
                <w:sz w:val="19"/>
              </w:rPr>
              <w:t xml:space="preserve"> </w:t>
            </w:r>
            <w:r w:rsidRPr="00191478">
              <w:rPr>
                <w:rFonts w:asciiTheme="minorHAnsi" w:hAnsiTheme="minorHAnsi"/>
                <w:spacing w:val="3"/>
                <w:sz w:val="19"/>
              </w:rPr>
              <w:t>ambassador</w:t>
            </w:r>
            <w:r w:rsidRPr="00191478">
              <w:rPr>
                <w:rFonts w:asciiTheme="minorHAnsi" w:hAnsiTheme="minorHAnsi"/>
                <w:spacing w:val="-5"/>
                <w:sz w:val="19"/>
              </w:rPr>
              <w:t xml:space="preserve"> </w:t>
            </w:r>
            <w:r w:rsidRPr="00191478">
              <w:rPr>
                <w:rFonts w:asciiTheme="minorHAnsi" w:hAnsiTheme="minorHAnsi"/>
                <w:spacing w:val="3"/>
                <w:sz w:val="19"/>
              </w:rPr>
              <w:t>program</w:t>
            </w:r>
            <w:r w:rsidRPr="00191478">
              <w:rPr>
                <w:rFonts w:asciiTheme="minorHAnsi" w:hAnsiTheme="minorHAnsi"/>
                <w:spacing w:val="-4"/>
                <w:sz w:val="19"/>
              </w:rPr>
              <w:t xml:space="preserve"> </w:t>
            </w:r>
            <w:r w:rsidRPr="00191478">
              <w:rPr>
                <w:rFonts w:asciiTheme="minorHAnsi" w:hAnsiTheme="minorHAnsi"/>
                <w:spacing w:val="3"/>
                <w:sz w:val="19"/>
              </w:rPr>
              <w:t>covering</w:t>
            </w:r>
            <w:r w:rsidRPr="00191478">
              <w:rPr>
                <w:rFonts w:asciiTheme="minorHAnsi" w:hAnsiTheme="minorHAnsi"/>
                <w:spacing w:val="-4"/>
                <w:sz w:val="19"/>
              </w:rPr>
              <w:t xml:space="preserve"> </w:t>
            </w:r>
            <w:r w:rsidRPr="00191478">
              <w:rPr>
                <w:rFonts w:asciiTheme="minorHAnsi" w:hAnsiTheme="minorHAnsi"/>
                <w:sz w:val="19"/>
              </w:rPr>
              <w:t>both</w:t>
            </w:r>
            <w:r w:rsidRPr="00191478">
              <w:rPr>
                <w:rFonts w:asciiTheme="minorHAnsi" w:hAnsiTheme="minorHAnsi"/>
                <w:spacing w:val="-5"/>
                <w:sz w:val="19"/>
              </w:rPr>
              <w:t xml:space="preserve"> </w:t>
            </w:r>
            <w:r w:rsidRPr="00191478">
              <w:rPr>
                <w:rFonts w:asciiTheme="minorHAnsi" w:hAnsiTheme="minorHAnsi"/>
                <w:spacing w:val="4"/>
                <w:sz w:val="19"/>
              </w:rPr>
              <w:t>VET</w:t>
            </w:r>
            <w:r w:rsidRPr="00191478">
              <w:rPr>
                <w:rFonts w:asciiTheme="minorHAnsi" w:hAnsiTheme="minorHAnsi"/>
                <w:spacing w:val="-4"/>
                <w:sz w:val="19"/>
              </w:rPr>
              <w:t xml:space="preserve"> </w:t>
            </w:r>
            <w:r w:rsidRPr="00191478">
              <w:rPr>
                <w:rFonts w:asciiTheme="minorHAnsi" w:hAnsiTheme="minorHAnsi"/>
                <w:spacing w:val="3"/>
                <w:sz w:val="19"/>
              </w:rPr>
              <w:t>and</w:t>
            </w:r>
            <w:r w:rsidRPr="00191478">
              <w:rPr>
                <w:rFonts w:asciiTheme="minorHAnsi" w:hAnsiTheme="minorHAnsi"/>
                <w:spacing w:val="-5"/>
                <w:sz w:val="19"/>
              </w:rPr>
              <w:t xml:space="preserve"> </w:t>
            </w:r>
            <w:r w:rsidRPr="00191478">
              <w:rPr>
                <w:rFonts w:asciiTheme="minorHAnsi" w:hAnsiTheme="minorHAnsi"/>
                <w:spacing w:val="3"/>
                <w:sz w:val="19"/>
              </w:rPr>
              <w:t>higher</w:t>
            </w:r>
            <w:r w:rsidRPr="00191478">
              <w:rPr>
                <w:rFonts w:asciiTheme="minorHAnsi" w:hAnsiTheme="minorHAnsi"/>
                <w:spacing w:val="-4"/>
                <w:sz w:val="19"/>
              </w:rPr>
              <w:t xml:space="preserve"> </w:t>
            </w:r>
            <w:r w:rsidRPr="00191478">
              <w:rPr>
                <w:rFonts w:asciiTheme="minorHAnsi" w:hAnsiTheme="minorHAnsi"/>
                <w:spacing w:val="3"/>
                <w:sz w:val="19"/>
              </w:rPr>
              <w:t>education</w:t>
            </w:r>
            <w:r w:rsidRPr="00191478">
              <w:rPr>
                <w:rFonts w:asciiTheme="minorHAnsi" w:hAnsiTheme="minorHAnsi"/>
                <w:spacing w:val="-4"/>
                <w:sz w:val="19"/>
              </w:rPr>
              <w:t xml:space="preserve"> </w:t>
            </w:r>
            <w:r w:rsidRPr="00191478">
              <w:rPr>
                <w:rFonts w:asciiTheme="minorHAnsi" w:hAnsiTheme="minorHAnsi"/>
                <w:spacing w:val="3"/>
                <w:sz w:val="19"/>
              </w:rPr>
              <w:t>and</w:t>
            </w:r>
            <w:r w:rsidRPr="00191478">
              <w:rPr>
                <w:rFonts w:asciiTheme="minorHAnsi" w:hAnsiTheme="minorHAnsi"/>
                <w:spacing w:val="-5"/>
                <w:sz w:val="19"/>
              </w:rPr>
              <w:t xml:space="preserve"> </w:t>
            </w:r>
            <w:r w:rsidRPr="00191478">
              <w:rPr>
                <w:rFonts w:asciiTheme="minorHAnsi" w:hAnsiTheme="minorHAnsi"/>
                <w:spacing w:val="2"/>
                <w:sz w:val="19"/>
              </w:rPr>
              <w:t>other</w:t>
            </w:r>
          </w:p>
          <w:p w14:paraId="5A8CF24D" w14:textId="77777777" w:rsidR="00041655" w:rsidRPr="00191478" w:rsidRDefault="00041655" w:rsidP="00F33AA3">
            <w:pPr>
              <w:pStyle w:val="TableParagraph"/>
              <w:spacing w:before="0" w:line="235" w:lineRule="auto"/>
              <w:ind w:left="415"/>
              <w:rPr>
                <w:rFonts w:asciiTheme="minorHAnsi" w:hAnsiTheme="minorHAnsi"/>
                <w:sz w:val="19"/>
              </w:rPr>
            </w:pPr>
            <w:r w:rsidRPr="00191478">
              <w:rPr>
                <w:rFonts w:asciiTheme="minorHAnsi" w:hAnsiTheme="minorHAnsi"/>
                <w:sz w:val="19"/>
              </w:rPr>
              <w:t>initiatives to build local RRR alumni networks. This may be similar to, or build on, the Australian VET Alumni program, which incorporates the Australian Apprenticeships Ambassadors program.</w:t>
            </w:r>
          </w:p>
          <w:p w14:paraId="6C385693" w14:textId="77777777" w:rsidR="00041655" w:rsidRPr="00191478" w:rsidRDefault="00041655" w:rsidP="00041655">
            <w:pPr>
              <w:pStyle w:val="TableParagraph"/>
              <w:numPr>
                <w:ilvl w:val="0"/>
                <w:numId w:val="36"/>
              </w:numPr>
              <w:tabs>
                <w:tab w:val="left" w:pos="416"/>
              </w:tabs>
              <w:spacing w:before="57" w:line="235" w:lineRule="auto"/>
              <w:ind w:right="190" w:hanging="340"/>
              <w:rPr>
                <w:rFonts w:asciiTheme="minorHAnsi" w:hAnsiTheme="minorHAnsi"/>
                <w:sz w:val="19"/>
              </w:rPr>
            </w:pPr>
            <w:r w:rsidRPr="00191478">
              <w:rPr>
                <w:rFonts w:asciiTheme="minorHAnsi" w:hAnsiTheme="minorHAnsi"/>
                <w:spacing w:val="2"/>
                <w:sz w:val="19"/>
              </w:rPr>
              <w:t xml:space="preserve">Improve </w:t>
            </w:r>
            <w:r w:rsidRPr="00191478">
              <w:rPr>
                <w:rFonts w:asciiTheme="minorHAnsi" w:hAnsiTheme="minorHAnsi"/>
                <w:spacing w:val="3"/>
                <w:sz w:val="19"/>
              </w:rPr>
              <w:t xml:space="preserve">access </w:t>
            </w:r>
            <w:r w:rsidRPr="00191478">
              <w:rPr>
                <w:rFonts w:asciiTheme="minorHAnsi" w:hAnsiTheme="minorHAnsi"/>
                <w:sz w:val="19"/>
              </w:rPr>
              <w:t xml:space="preserve">to </w:t>
            </w:r>
            <w:r w:rsidRPr="00191478">
              <w:rPr>
                <w:rFonts w:asciiTheme="minorHAnsi" w:hAnsiTheme="minorHAnsi"/>
                <w:spacing w:val="3"/>
                <w:sz w:val="19"/>
              </w:rPr>
              <w:t xml:space="preserve">high quality </w:t>
            </w:r>
            <w:r w:rsidRPr="00191478">
              <w:rPr>
                <w:rFonts w:asciiTheme="minorHAnsi" w:hAnsiTheme="minorHAnsi"/>
                <w:spacing w:val="4"/>
                <w:sz w:val="19"/>
              </w:rPr>
              <w:t xml:space="preserve">VET </w:t>
            </w:r>
            <w:r w:rsidRPr="00191478">
              <w:rPr>
                <w:rFonts w:asciiTheme="minorHAnsi" w:hAnsiTheme="minorHAnsi"/>
                <w:spacing w:val="3"/>
                <w:sz w:val="19"/>
              </w:rPr>
              <w:t xml:space="preserve">programs </w:t>
            </w:r>
            <w:r w:rsidRPr="00191478">
              <w:rPr>
                <w:rFonts w:asciiTheme="minorHAnsi" w:hAnsiTheme="minorHAnsi"/>
                <w:sz w:val="19"/>
              </w:rPr>
              <w:t xml:space="preserve">in </w:t>
            </w:r>
            <w:r w:rsidRPr="00191478">
              <w:rPr>
                <w:rFonts w:asciiTheme="minorHAnsi" w:hAnsiTheme="minorHAnsi"/>
                <w:spacing w:val="2"/>
                <w:sz w:val="19"/>
              </w:rPr>
              <w:t xml:space="preserve">RRR </w:t>
            </w:r>
            <w:r w:rsidRPr="00191478">
              <w:rPr>
                <w:rFonts w:asciiTheme="minorHAnsi" w:hAnsiTheme="minorHAnsi"/>
                <w:spacing w:val="3"/>
                <w:sz w:val="19"/>
              </w:rPr>
              <w:t xml:space="preserve">schools, including mapping current programs and funding arrangements </w:t>
            </w:r>
            <w:r w:rsidRPr="00191478">
              <w:rPr>
                <w:rFonts w:asciiTheme="minorHAnsi" w:hAnsiTheme="minorHAnsi"/>
                <w:sz w:val="19"/>
              </w:rPr>
              <w:t xml:space="preserve">to </w:t>
            </w:r>
            <w:r w:rsidRPr="00191478">
              <w:rPr>
                <w:rFonts w:asciiTheme="minorHAnsi" w:hAnsiTheme="minorHAnsi"/>
                <w:spacing w:val="4"/>
                <w:sz w:val="19"/>
              </w:rPr>
              <w:t xml:space="preserve">identify </w:t>
            </w:r>
            <w:r w:rsidRPr="00191478">
              <w:rPr>
                <w:rFonts w:asciiTheme="minorHAnsi" w:hAnsiTheme="minorHAnsi"/>
                <w:spacing w:val="3"/>
                <w:sz w:val="19"/>
              </w:rPr>
              <w:t xml:space="preserve">and share good </w:t>
            </w:r>
            <w:r w:rsidRPr="00191478">
              <w:rPr>
                <w:rFonts w:asciiTheme="minorHAnsi" w:hAnsiTheme="minorHAnsi"/>
                <w:spacing w:val="2"/>
                <w:sz w:val="19"/>
              </w:rPr>
              <w:t xml:space="preserve">practice. </w:t>
            </w:r>
            <w:r w:rsidRPr="00191478">
              <w:rPr>
                <w:rFonts w:asciiTheme="minorHAnsi" w:hAnsiTheme="minorHAnsi"/>
                <w:spacing w:val="3"/>
                <w:sz w:val="19"/>
              </w:rPr>
              <w:t xml:space="preserve">This </w:t>
            </w:r>
            <w:r w:rsidRPr="00191478">
              <w:rPr>
                <w:rFonts w:asciiTheme="minorHAnsi" w:hAnsiTheme="minorHAnsi"/>
                <w:spacing w:val="2"/>
                <w:sz w:val="19"/>
              </w:rPr>
              <w:t xml:space="preserve">work would </w:t>
            </w:r>
            <w:r w:rsidRPr="00191478">
              <w:rPr>
                <w:rFonts w:asciiTheme="minorHAnsi" w:hAnsiTheme="minorHAnsi"/>
                <w:sz w:val="19"/>
              </w:rPr>
              <w:t xml:space="preserve">be </w:t>
            </w:r>
            <w:r w:rsidRPr="00191478">
              <w:rPr>
                <w:rFonts w:asciiTheme="minorHAnsi" w:hAnsiTheme="minorHAnsi"/>
                <w:spacing w:val="3"/>
                <w:sz w:val="19"/>
              </w:rPr>
              <w:t xml:space="preserve">progressed collaboratively </w:t>
            </w:r>
            <w:r w:rsidRPr="00191478">
              <w:rPr>
                <w:rFonts w:asciiTheme="minorHAnsi" w:hAnsiTheme="minorHAnsi"/>
                <w:sz w:val="19"/>
              </w:rPr>
              <w:t xml:space="preserve">by </w:t>
            </w:r>
            <w:r w:rsidRPr="00191478">
              <w:rPr>
                <w:rFonts w:asciiTheme="minorHAnsi" w:hAnsiTheme="minorHAnsi"/>
                <w:spacing w:val="2"/>
                <w:sz w:val="19"/>
              </w:rPr>
              <w:t xml:space="preserve">the </w:t>
            </w:r>
            <w:r w:rsidRPr="00191478">
              <w:rPr>
                <w:rFonts w:asciiTheme="minorHAnsi" w:hAnsiTheme="minorHAnsi"/>
                <w:spacing w:val="3"/>
                <w:sz w:val="19"/>
              </w:rPr>
              <w:t xml:space="preserve">Commonwealth and </w:t>
            </w:r>
            <w:r w:rsidRPr="00191478">
              <w:rPr>
                <w:rFonts w:asciiTheme="minorHAnsi" w:hAnsiTheme="minorHAnsi"/>
                <w:spacing w:val="2"/>
                <w:sz w:val="19"/>
              </w:rPr>
              <w:t xml:space="preserve">states </w:t>
            </w:r>
            <w:r w:rsidRPr="00191478">
              <w:rPr>
                <w:rFonts w:asciiTheme="minorHAnsi" w:hAnsiTheme="minorHAnsi"/>
                <w:spacing w:val="3"/>
                <w:sz w:val="19"/>
              </w:rPr>
              <w:t xml:space="preserve">and territories. </w:t>
            </w:r>
            <w:r w:rsidRPr="00191478">
              <w:rPr>
                <w:rFonts w:asciiTheme="minorHAnsi" w:hAnsiTheme="minorHAnsi"/>
                <w:sz w:val="19"/>
              </w:rPr>
              <w:t xml:space="preserve">It </w:t>
            </w:r>
            <w:r w:rsidRPr="00191478">
              <w:rPr>
                <w:rFonts w:asciiTheme="minorHAnsi" w:hAnsiTheme="minorHAnsi"/>
                <w:spacing w:val="3"/>
                <w:sz w:val="19"/>
              </w:rPr>
              <w:t xml:space="preserve">should </w:t>
            </w:r>
            <w:r w:rsidRPr="00191478">
              <w:rPr>
                <w:rFonts w:asciiTheme="minorHAnsi" w:hAnsiTheme="minorHAnsi"/>
                <w:spacing w:val="2"/>
                <w:sz w:val="19"/>
              </w:rPr>
              <w:t xml:space="preserve">give strong </w:t>
            </w:r>
            <w:r w:rsidRPr="00191478">
              <w:rPr>
                <w:rFonts w:asciiTheme="minorHAnsi" w:hAnsiTheme="minorHAnsi"/>
                <w:spacing w:val="3"/>
                <w:sz w:val="19"/>
              </w:rPr>
              <w:t xml:space="preserve">preference </w:t>
            </w:r>
            <w:r w:rsidRPr="00191478">
              <w:rPr>
                <w:rFonts w:asciiTheme="minorHAnsi" w:hAnsiTheme="minorHAnsi"/>
                <w:spacing w:val="2"/>
                <w:sz w:val="19"/>
              </w:rPr>
              <w:t xml:space="preserve">for </w:t>
            </w:r>
            <w:r w:rsidRPr="00191478">
              <w:rPr>
                <w:rFonts w:asciiTheme="minorHAnsi" w:hAnsiTheme="minorHAnsi"/>
                <w:spacing w:val="3"/>
                <w:sz w:val="19"/>
              </w:rPr>
              <w:t xml:space="preserve">models </w:t>
            </w:r>
            <w:r w:rsidRPr="00191478">
              <w:rPr>
                <w:rFonts w:asciiTheme="minorHAnsi" w:hAnsiTheme="minorHAnsi"/>
                <w:sz w:val="19"/>
              </w:rPr>
              <w:t xml:space="preserve">of </w:t>
            </w:r>
            <w:r w:rsidRPr="00191478">
              <w:rPr>
                <w:rFonts w:asciiTheme="minorHAnsi" w:hAnsiTheme="minorHAnsi"/>
                <w:spacing w:val="4"/>
                <w:sz w:val="19"/>
              </w:rPr>
              <w:t xml:space="preserve">delivery </w:t>
            </w:r>
            <w:r w:rsidRPr="00191478">
              <w:rPr>
                <w:rFonts w:asciiTheme="minorHAnsi" w:hAnsiTheme="minorHAnsi"/>
                <w:sz w:val="19"/>
              </w:rPr>
              <w:t xml:space="preserve">of </w:t>
            </w:r>
            <w:r w:rsidRPr="00191478">
              <w:rPr>
                <w:rFonts w:asciiTheme="minorHAnsi" w:hAnsiTheme="minorHAnsi"/>
                <w:spacing w:val="4"/>
                <w:sz w:val="19"/>
              </w:rPr>
              <w:t xml:space="preserve">VET </w:t>
            </w:r>
            <w:r w:rsidRPr="00191478">
              <w:rPr>
                <w:rFonts w:asciiTheme="minorHAnsi" w:hAnsiTheme="minorHAnsi"/>
                <w:spacing w:val="3"/>
                <w:sz w:val="19"/>
              </w:rPr>
              <w:t xml:space="preserve">courses </w:t>
            </w:r>
            <w:r w:rsidRPr="00191478">
              <w:rPr>
                <w:rFonts w:asciiTheme="minorHAnsi" w:hAnsiTheme="minorHAnsi"/>
                <w:sz w:val="19"/>
              </w:rPr>
              <w:t xml:space="preserve">by RTOs </w:t>
            </w:r>
            <w:r w:rsidRPr="00191478">
              <w:rPr>
                <w:rFonts w:asciiTheme="minorHAnsi" w:hAnsiTheme="minorHAnsi"/>
                <w:spacing w:val="3"/>
                <w:sz w:val="19"/>
              </w:rPr>
              <w:t xml:space="preserve">and school community </w:t>
            </w:r>
            <w:r w:rsidRPr="00191478">
              <w:rPr>
                <w:rFonts w:asciiTheme="minorHAnsi" w:hAnsiTheme="minorHAnsi"/>
                <w:spacing w:val="4"/>
                <w:sz w:val="19"/>
              </w:rPr>
              <w:t xml:space="preserve">partnerships </w:t>
            </w:r>
            <w:r w:rsidRPr="00191478">
              <w:rPr>
                <w:rFonts w:asciiTheme="minorHAnsi" w:hAnsiTheme="minorHAnsi"/>
                <w:sz w:val="19"/>
              </w:rPr>
              <w:t xml:space="preserve">that have </w:t>
            </w:r>
            <w:r w:rsidRPr="00191478">
              <w:rPr>
                <w:rFonts w:asciiTheme="minorHAnsi" w:hAnsiTheme="minorHAnsi"/>
                <w:spacing w:val="3"/>
                <w:sz w:val="19"/>
              </w:rPr>
              <w:t xml:space="preserve">been effective </w:t>
            </w:r>
            <w:r w:rsidRPr="00191478">
              <w:rPr>
                <w:rFonts w:asciiTheme="minorHAnsi" w:hAnsiTheme="minorHAnsi"/>
                <w:sz w:val="19"/>
              </w:rPr>
              <w:t xml:space="preserve">in </w:t>
            </w:r>
            <w:r w:rsidRPr="00191478">
              <w:rPr>
                <w:rFonts w:asciiTheme="minorHAnsi" w:hAnsiTheme="minorHAnsi"/>
                <w:spacing w:val="3"/>
                <w:sz w:val="19"/>
              </w:rPr>
              <w:t>improving local employment</w:t>
            </w:r>
            <w:r w:rsidRPr="00191478">
              <w:rPr>
                <w:rFonts w:asciiTheme="minorHAnsi" w:hAnsiTheme="minorHAnsi"/>
                <w:spacing w:val="9"/>
                <w:sz w:val="19"/>
              </w:rPr>
              <w:t xml:space="preserve"> </w:t>
            </w:r>
            <w:r w:rsidRPr="00191478">
              <w:rPr>
                <w:rFonts w:asciiTheme="minorHAnsi" w:hAnsiTheme="minorHAnsi"/>
                <w:spacing w:val="2"/>
                <w:sz w:val="19"/>
              </w:rPr>
              <w:t>outcomes.</w:t>
            </w:r>
          </w:p>
          <w:p w14:paraId="485E471A" w14:textId="77777777" w:rsidR="00041655" w:rsidRPr="00191478" w:rsidRDefault="00041655" w:rsidP="00041655">
            <w:pPr>
              <w:pStyle w:val="TableParagraph"/>
              <w:numPr>
                <w:ilvl w:val="0"/>
                <w:numId w:val="36"/>
              </w:numPr>
              <w:tabs>
                <w:tab w:val="left" w:pos="416"/>
              </w:tabs>
              <w:spacing w:before="54"/>
              <w:ind w:hanging="340"/>
              <w:rPr>
                <w:rFonts w:asciiTheme="minorHAnsi" w:hAnsiTheme="minorHAnsi"/>
                <w:sz w:val="19"/>
              </w:rPr>
            </w:pPr>
            <w:r w:rsidRPr="00191478">
              <w:rPr>
                <w:rFonts w:asciiTheme="minorHAnsi" w:hAnsiTheme="minorHAnsi"/>
                <w:spacing w:val="4"/>
                <w:sz w:val="19"/>
              </w:rPr>
              <w:t xml:space="preserve">Examine </w:t>
            </w:r>
            <w:r w:rsidRPr="00191478">
              <w:rPr>
                <w:rFonts w:asciiTheme="minorHAnsi" w:hAnsiTheme="minorHAnsi"/>
                <w:spacing w:val="3"/>
                <w:sz w:val="19"/>
              </w:rPr>
              <w:t xml:space="preserve">best practice </w:t>
            </w:r>
            <w:r w:rsidRPr="00191478">
              <w:rPr>
                <w:rFonts w:asciiTheme="minorHAnsi" w:hAnsiTheme="minorHAnsi"/>
                <w:sz w:val="19"/>
              </w:rPr>
              <w:t xml:space="preserve">in </w:t>
            </w:r>
            <w:r w:rsidRPr="00191478">
              <w:rPr>
                <w:rFonts w:asciiTheme="minorHAnsi" w:hAnsiTheme="minorHAnsi"/>
                <w:spacing w:val="2"/>
                <w:sz w:val="19"/>
              </w:rPr>
              <w:t xml:space="preserve">RRR </w:t>
            </w:r>
            <w:r w:rsidRPr="00191478">
              <w:rPr>
                <w:rFonts w:asciiTheme="minorHAnsi" w:hAnsiTheme="minorHAnsi"/>
                <w:spacing w:val="3"/>
                <w:sz w:val="19"/>
              </w:rPr>
              <w:t xml:space="preserve">schools </w:t>
            </w:r>
            <w:r w:rsidRPr="00191478">
              <w:rPr>
                <w:rFonts w:asciiTheme="minorHAnsi" w:hAnsiTheme="minorHAnsi"/>
                <w:sz w:val="19"/>
              </w:rPr>
              <w:t xml:space="preserve">to </w:t>
            </w:r>
            <w:r w:rsidRPr="00191478">
              <w:rPr>
                <w:rFonts w:asciiTheme="minorHAnsi" w:hAnsiTheme="minorHAnsi"/>
                <w:spacing w:val="3"/>
                <w:sz w:val="19"/>
              </w:rPr>
              <w:t xml:space="preserve">engage and </w:t>
            </w:r>
            <w:r w:rsidRPr="00191478">
              <w:rPr>
                <w:rFonts w:asciiTheme="minorHAnsi" w:hAnsiTheme="minorHAnsi"/>
                <w:spacing w:val="2"/>
                <w:sz w:val="19"/>
              </w:rPr>
              <w:t xml:space="preserve">retain students until </w:t>
            </w:r>
            <w:r w:rsidRPr="00191478">
              <w:rPr>
                <w:rFonts w:asciiTheme="minorHAnsi" w:hAnsiTheme="minorHAnsi"/>
                <w:sz w:val="19"/>
              </w:rPr>
              <w:t>Year</w:t>
            </w:r>
            <w:r w:rsidRPr="00191478">
              <w:rPr>
                <w:rFonts w:asciiTheme="minorHAnsi" w:hAnsiTheme="minorHAnsi"/>
                <w:spacing w:val="2"/>
                <w:sz w:val="19"/>
              </w:rPr>
              <w:t xml:space="preserve"> </w:t>
            </w:r>
            <w:r w:rsidRPr="00191478">
              <w:rPr>
                <w:rFonts w:asciiTheme="minorHAnsi" w:hAnsiTheme="minorHAnsi"/>
                <w:spacing w:val="-5"/>
                <w:sz w:val="19"/>
              </w:rPr>
              <w:t>12.</w:t>
            </w:r>
          </w:p>
        </w:tc>
      </w:tr>
    </w:tbl>
    <w:p w14:paraId="5464C842" w14:textId="77777777" w:rsidR="00041655" w:rsidRPr="00191478" w:rsidRDefault="00041655" w:rsidP="00041655">
      <w:pPr>
        <w:rPr>
          <w:sz w:val="19"/>
        </w:rPr>
        <w:sectPr w:rsidR="00041655" w:rsidRPr="00191478" w:rsidSect="004B2767">
          <w:headerReference w:type="even" r:id="rId34"/>
          <w:footerReference w:type="even" r:id="rId35"/>
          <w:footerReference w:type="default" r:id="rId36"/>
          <w:pgSz w:w="16840" w:h="11910" w:orient="landscape"/>
          <w:pgMar w:top="1100" w:right="1140" w:bottom="800" w:left="1140" w:header="0" w:footer="609" w:gutter="0"/>
          <w:pgNumType w:start="65"/>
          <w:cols w:space="720"/>
        </w:sectPr>
      </w:pPr>
    </w:p>
    <w:p w14:paraId="39635D93" w14:textId="77777777" w:rsidR="00041655" w:rsidRPr="00191478" w:rsidRDefault="00041655" w:rsidP="00041655">
      <w:pPr>
        <w:pStyle w:val="BodyText"/>
        <w:spacing w:before="6"/>
        <w:rPr>
          <w:sz w:val="27"/>
        </w:rPr>
      </w:pPr>
    </w:p>
    <w:tbl>
      <w:tblPr>
        <w:tblW w:w="0" w:type="auto"/>
        <w:tblInd w:w="1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100"/>
        <w:gridCol w:w="2702"/>
        <w:gridCol w:w="7520"/>
      </w:tblGrid>
      <w:tr w:rsidR="00041655" w:rsidRPr="00191478" w14:paraId="59F4FAE3" w14:textId="77777777" w:rsidTr="00F33AA3">
        <w:trPr>
          <w:trHeight w:val="304"/>
        </w:trPr>
        <w:tc>
          <w:tcPr>
            <w:tcW w:w="4100" w:type="dxa"/>
            <w:tcBorders>
              <w:top w:val="nil"/>
              <w:left w:val="nil"/>
            </w:tcBorders>
            <w:shd w:val="clear" w:color="auto" w:fill="314652"/>
          </w:tcPr>
          <w:p w14:paraId="3409A2D3" w14:textId="77777777" w:rsidR="00041655" w:rsidRPr="00191478" w:rsidRDefault="00041655" w:rsidP="00F33AA3">
            <w:pPr>
              <w:pStyle w:val="TableParagraph"/>
              <w:spacing w:before="45"/>
              <w:ind w:left="80"/>
              <w:rPr>
                <w:rFonts w:asciiTheme="minorHAnsi" w:hAnsiTheme="minorHAnsi"/>
                <w:sz w:val="19"/>
              </w:rPr>
            </w:pPr>
            <w:r w:rsidRPr="00191478">
              <w:rPr>
                <w:rFonts w:asciiTheme="minorHAnsi" w:hAnsiTheme="minorHAnsi"/>
                <w:color w:val="FFFFFF"/>
                <w:sz w:val="19"/>
              </w:rPr>
              <w:t>Findings</w:t>
            </w:r>
          </w:p>
        </w:tc>
        <w:tc>
          <w:tcPr>
            <w:tcW w:w="2702" w:type="dxa"/>
            <w:tcBorders>
              <w:top w:val="nil"/>
            </w:tcBorders>
            <w:shd w:val="clear" w:color="auto" w:fill="314652"/>
          </w:tcPr>
          <w:p w14:paraId="70B84AFF"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Recommendations</w:t>
            </w:r>
          </w:p>
        </w:tc>
        <w:tc>
          <w:tcPr>
            <w:tcW w:w="7520" w:type="dxa"/>
            <w:tcBorders>
              <w:top w:val="nil"/>
              <w:right w:val="nil"/>
            </w:tcBorders>
            <w:shd w:val="clear" w:color="auto" w:fill="314652"/>
          </w:tcPr>
          <w:p w14:paraId="69220A60"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Actions</w:t>
            </w:r>
          </w:p>
        </w:tc>
      </w:tr>
      <w:tr w:rsidR="00041655" w:rsidRPr="00191478" w14:paraId="528D135A" w14:textId="77777777" w:rsidTr="00F33AA3">
        <w:trPr>
          <w:trHeight w:val="3319"/>
        </w:trPr>
        <w:tc>
          <w:tcPr>
            <w:tcW w:w="4100" w:type="dxa"/>
            <w:tcBorders>
              <w:left w:val="nil"/>
            </w:tcBorders>
            <w:shd w:val="clear" w:color="auto" w:fill="ECEFF1"/>
          </w:tcPr>
          <w:p w14:paraId="2649B387" w14:textId="77777777" w:rsidR="00041655" w:rsidRPr="00191478" w:rsidRDefault="00041655" w:rsidP="00F33AA3">
            <w:pPr>
              <w:pStyle w:val="TableParagraph"/>
              <w:spacing w:before="0"/>
              <w:rPr>
                <w:rFonts w:asciiTheme="minorHAnsi" w:hAnsiTheme="minorHAnsi"/>
                <w:sz w:val="18"/>
              </w:rPr>
            </w:pPr>
          </w:p>
        </w:tc>
        <w:tc>
          <w:tcPr>
            <w:tcW w:w="2702" w:type="dxa"/>
            <w:shd w:val="clear" w:color="auto" w:fill="ECEFF1"/>
          </w:tcPr>
          <w:p w14:paraId="74790C72" w14:textId="77777777" w:rsidR="00041655" w:rsidRPr="00191478" w:rsidRDefault="00041655" w:rsidP="00F33AA3">
            <w:pPr>
              <w:pStyle w:val="TableParagraph"/>
              <w:spacing w:before="0"/>
              <w:rPr>
                <w:rFonts w:asciiTheme="minorHAnsi" w:hAnsiTheme="minorHAnsi"/>
                <w:sz w:val="18"/>
              </w:rPr>
            </w:pPr>
          </w:p>
        </w:tc>
        <w:tc>
          <w:tcPr>
            <w:tcW w:w="7520" w:type="dxa"/>
            <w:tcBorders>
              <w:right w:val="nil"/>
            </w:tcBorders>
            <w:shd w:val="clear" w:color="auto" w:fill="ECEFF1"/>
          </w:tcPr>
          <w:p w14:paraId="62DF596A" w14:textId="77777777" w:rsidR="00041655" w:rsidRPr="00191478" w:rsidRDefault="00041655" w:rsidP="00041655">
            <w:pPr>
              <w:pStyle w:val="TableParagraph"/>
              <w:numPr>
                <w:ilvl w:val="0"/>
                <w:numId w:val="35"/>
              </w:numPr>
              <w:tabs>
                <w:tab w:val="left" w:pos="416"/>
              </w:tabs>
              <w:spacing w:before="44" w:line="235" w:lineRule="auto"/>
              <w:ind w:right="734" w:hanging="340"/>
              <w:rPr>
                <w:rFonts w:asciiTheme="minorHAnsi" w:hAnsiTheme="minorHAnsi"/>
                <w:sz w:val="19"/>
              </w:rPr>
            </w:pPr>
            <w:r w:rsidRPr="00191478">
              <w:rPr>
                <w:rFonts w:asciiTheme="minorHAnsi" w:hAnsiTheme="minorHAnsi"/>
                <w:spacing w:val="3"/>
                <w:sz w:val="19"/>
              </w:rPr>
              <w:t xml:space="preserve">Building </w:t>
            </w:r>
            <w:r w:rsidRPr="00191478">
              <w:rPr>
                <w:rFonts w:asciiTheme="minorHAnsi" w:hAnsiTheme="minorHAnsi"/>
                <w:sz w:val="19"/>
              </w:rPr>
              <w:t xml:space="preserve">on </w:t>
            </w:r>
            <w:r w:rsidRPr="00191478">
              <w:rPr>
                <w:rFonts w:asciiTheme="minorHAnsi" w:hAnsiTheme="minorHAnsi"/>
                <w:spacing w:val="2"/>
                <w:sz w:val="19"/>
              </w:rPr>
              <w:t xml:space="preserve">the Halsey </w:t>
            </w:r>
            <w:r w:rsidRPr="00191478">
              <w:rPr>
                <w:rFonts w:asciiTheme="minorHAnsi" w:hAnsiTheme="minorHAnsi"/>
                <w:sz w:val="19"/>
              </w:rPr>
              <w:t xml:space="preserve">Review, </w:t>
            </w:r>
            <w:r w:rsidRPr="00191478">
              <w:rPr>
                <w:rFonts w:asciiTheme="minorHAnsi" w:hAnsiTheme="minorHAnsi"/>
                <w:spacing w:val="3"/>
                <w:sz w:val="19"/>
              </w:rPr>
              <w:t xml:space="preserve">undertake </w:t>
            </w:r>
            <w:r w:rsidRPr="00191478">
              <w:rPr>
                <w:rFonts w:asciiTheme="minorHAnsi" w:hAnsiTheme="minorHAnsi"/>
                <w:spacing w:val="4"/>
                <w:sz w:val="19"/>
              </w:rPr>
              <w:t xml:space="preserve">further </w:t>
            </w:r>
            <w:r w:rsidRPr="00191478">
              <w:rPr>
                <w:rFonts w:asciiTheme="minorHAnsi" w:hAnsiTheme="minorHAnsi"/>
                <w:spacing w:val="3"/>
                <w:sz w:val="19"/>
              </w:rPr>
              <w:t xml:space="preserve">collaborative </w:t>
            </w:r>
            <w:r w:rsidRPr="00191478">
              <w:rPr>
                <w:rFonts w:asciiTheme="minorHAnsi" w:hAnsiTheme="minorHAnsi"/>
                <w:spacing w:val="2"/>
                <w:sz w:val="19"/>
              </w:rPr>
              <w:t xml:space="preserve">work with </w:t>
            </w:r>
            <w:r w:rsidRPr="00191478">
              <w:rPr>
                <w:rFonts w:asciiTheme="minorHAnsi" w:hAnsiTheme="minorHAnsi"/>
                <w:spacing w:val="3"/>
                <w:sz w:val="19"/>
              </w:rPr>
              <w:t xml:space="preserve">jurisdictions </w:t>
            </w:r>
            <w:r w:rsidRPr="00191478">
              <w:rPr>
                <w:rFonts w:asciiTheme="minorHAnsi" w:hAnsiTheme="minorHAnsi"/>
                <w:sz w:val="19"/>
              </w:rPr>
              <w:t xml:space="preserve">to </w:t>
            </w:r>
            <w:r w:rsidRPr="00191478">
              <w:rPr>
                <w:rFonts w:asciiTheme="minorHAnsi" w:hAnsiTheme="minorHAnsi"/>
                <w:spacing w:val="2"/>
                <w:sz w:val="19"/>
              </w:rPr>
              <w:t xml:space="preserve">improve </w:t>
            </w:r>
            <w:r w:rsidRPr="00191478">
              <w:rPr>
                <w:rFonts w:asciiTheme="minorHAnsi" w:hAnsiTheme="minorHAnsi"/>
                <w:spacing w:val="3"/>
                <w:sz w:val="19"/>
              </w:rPr>
              <w:t xml:space="preserve">teacher </w:t>
            </w:r>
            <w:r w:rsidRPr="00191478">
              <w:rPr>
                <w:rFonts w:asciiTheme="minorHAnsi" w:hAnsiTheme="minorHAnsi"/>
                <w:spacing w:val="4"/>
                <w:sz w:val="19"/>
              </w:rPr>
              <w:t xml:space="preserve">support </w:t>
            </w:r>
            <w:r w:rsidRPr="00191478">
              <w:rPr>
                <w:rFonts w:asciiTheme="minorHAnsi" w:hAnsiTheme="minorHAnsi"/>
                <w:spacing w:val="3"/>
                <w:sz w:val="19"/>
              </w:rPr>
              <w:t xml:space="preserve">and supply </w:t>
            </w:r>
            <w:r w:rsidRPr="00191478">
              <w:rPr>
                <w:rFonts w:asciiTheme="minorHAnsi" w:hAnsiTheme="minorHAnsi"/>
                <w:sz w:val="19"/>
              </w:rPr>
              <w:t xml:space="preserve">in </w:t>
            </w:r>
            <w:r w:rsidRPr="00191478">
              <w:rPr>
                <w:rFonts w:asciiTheme="minorHAnsi" w:hAnsiTheme="minorHAnsi"/>
                <w:spacing w:val="2"/>
                <w:sz w:val="19"/>
              </w:rPr>
              <w:t>RRR areas,</w:t>
            </w:r>
            <w:r w:rsidRPr="00191478">
              <w:rPr>
                <w:rFonts w:asciiTheme="minorHAnsi" w:hAnsiTheme="minorHAnsi"/>
                <w:spacing w:val="51"/>
                <w:sz w:val="19"/>
              </w:rPr>
              <w:t xml:space="preserve"> </w:t>
            </w:r>
            <w:r w:rsidRPr="00191478">
              <w:rPr>
                <w:rFonts w:asciiTheme="minorHAnsi" w:hAnsiTheme="minorHAnsi"/>
                <w:spacing w:val="2"/>
                <w:sz w:val="19"/>
              </w:rPr>
              <w:t>through:</w:t>
            </w:r>
          </w:p>
          <w:p w14:paraId="2D7615D8" w14:textId="77777777" w:rsidR="00041655" w:rsidRPr="00191478" w:rsidRDefault="00041655" w:rsidP="00041655">
            <w:pPr>
              <w:pStyle w:val="TableParagraph"/>
              <w:numPr>
                <w:ilvl w:val="1"/>
                <w:numId w:val="35"/>
              </w:numPr>
              <w:tabs>
                <w:tab w:val="left" w:pos="700"/>
              </w:tabs>
              <w:spacing w:before="57" w:line="235" w:lineRule="auto"/>
              <w:ind w:right="294"/>
              <w:rPr>
                <w:rFonts w:asciiTheme="minorHAnsi" w:hAnsiTheme="minorHAnsi"/>
                <w:sz w:val="19"/>
              </w:rPr>
            </w:pPr>
            <w:r w:rsidRPr="00191478">
              <w:rPr>
                <w:rFonts w:asciiTheme="minorHAnsi" w:hAnsiTheme="minorHAnsi"/>
                <w:spacing w:val="4"/>
                <w:sz w:val="19"/>
              </w:rPr>
              <w:t xml:space="preserve">supporting </w:t>
            </w:r>
            <w:r w:rsidRPr="00191478">
              <w:rPr>
                <w:rFonts w:asciiTheme="minorHAnsi" w:hAnsiTheme="minorHAnsi"/>
                <w:sz w:val="19"/>
              </w:rPr>
              <w:t xml:space="preserve">a </w:t>
            </w:r>
            <w:r w:rsidRPr="00191478">
              <w:rPr>
                <w:rFonts w:asciiTheme="minorHAnsi" w:hAnsiTheme="minorHAnsi"/>
                <w:spacing w:val="2"/>
                <w:sz w:val="19"/>
              </w:rPr>
              <w:t xml:space="preserve">focus </w:t>
            </w:r>
            <w:r w:rsidRPr="00191478">
              <w:rPr>
                <w:rFonts w:asciiTheme="minorHAnsi" w:hAnsiTheme="minorHAnsi"/>
                <w:sz w:val="19"/>
              </w:rPr>
              <w:t xml:space="preserve">on </w:t>
            </w:r>
            <w:r w:rsidRPr="00191478">
              <w:rPr>
                <w:rFonts w:asciiTheme="minorHAnsi" w:hAnsiTheme="minorHAnsi"/>
                <w:spacing w:val="2"/>
                <w:sz w:val="19"/>
              </w:rPr>
              <w:t xml:space="preserve">RRR </w:t>
            </w:r>
            <w:r w:rsidRPr="00191478">
              <w:rPr>
                <w:rFonts w:asciiTheme="minorHAnsi" w:hAnsiTheme="minorHAnsi"/>
                <w:spacing w:val="3"/>
                <w:sz w:val="19"/>
              </w:rPr>
              <w:t xml:space="preserve">education </w:t>
            </w:r>
            <w:r w:rsidRPr="00191478">
              <w:rPr>
                <w:rFonts w:asciiTheme="minorHAnsi" w:hAnsiTheme="minorHAnsi"/>
                <w:sz w:val="19"/>
              </w:rPr>
              <w:t xml:space="preserve">as </w:t>
            </w:r>
            <w:r w:rsidRPr="00191478">
              <w:rPr>
                <w:rFonts w:asciiTheme="minorHAnsi" w:hAnsiTheme="minorHAnsi"/>
                <w:spacing w:val="4"/>
                <w:sz w:val="19"/>
              </w:rPr>
              <w:t xml:space="preserve">part </w:t>
            </w:r>
            <w:r w:rsidRPr="00191478">
              <w:rPr>
                <w:rFonts w:asciiTheme="minorHAnsi" w:hAnsiTheme="minorHAnsi"/>
                <w:sz w:val="19"/>
              </w:rPr>
              <w:t xml:space="preserve">of </w:t>
            </w:r>
            <w:r w:rsidRPr="00191478">
              <w:rPr>
                <w:rFonts w:asciiTheme="minorHAnsi" w:hAnsiTheme="minorHAnsi"/>
                <w:spacing w:val="2"/>
                <w:sz w:val="19"/>
              </w:rPr>
              <w:t xml:space="preserve">the </w:t>
            </w:r>
            <w:r w:rsidRPr="00191478">
              <w:rPr>
                <w:rFonts w:asciiTheme="minorHAnsi" w:hAnsiTheme="minorHAnsi"/>
                <w:spacing w:val="3"/>
                <w:sz w:val="19"/>
              </w:rPr>
              <w:t xml:space="preserve">ongoing implementation </w:t>
            </w:r>
            <w:r w:rsidRPr="00191478">
              <w:rPr>
                <w:rFonts w:asciiTheme="minorHAnsi" w:hAnsiTheme="minorHAnsi"/>
                <w:sz w:val="19"/>
              </w:rPr>
              <w:t xml:space="preserve">of </w:t>
            </w:r>
            <w:r w:rsidRPr="00191478">
              <w:rPr>
                <w:rFonts w:asciiTheme="minorHAnsi" w:hAnsiTheme="minorHAnsi"/>
                <w:spacing w:val="3"/>
                <w:sz w:val="19"/>
              </w:rPr>
              <w:t xml:space="preserve">national </w:t>
            </w:r>
            <w:r w:rsidRPr="00191478">
              <w:rPr>
                <w:rFonts w:asciiTheme="minorHAnsi" w:hAnsiTheme="minorHAnsi"/>
                <w:spacing w:val="2"/>
                <w:sz w:val="19"/>
              </w:rPr>
              <w:t xml:space="preserve">reforms </w:t>
            </w:r>
            <w:r w:rsidRPr="00191478">
              <w:rPr>
                <w:rFonts w:asciiTheme="minorHAnsi" w:hAnsiTheme="minorHAnsi"/>
                <w:sz w:val="19"/>
              </w:rPr>
              <w:t xml:space="preserve">to </w:t>
            </w:r>
            <w:r w:rsidRPr="00191478">
              <w:rPr>
                <w:rFonts w:asciiTheme="minorHAnsi" w:hAnsiTheme="minorHAnsi"/>
                <w:spacing w:val="3"/>
                <w:sz w:val="19"/>
              </w:rPr>
              <w:t>initial teacher</w:t>
            </w:r>
            <w:r w:rsidRPr="00191478">
              <w:rPr>
                <w:rFonts w:asciiTheme="minorHAnsi" w:hAnsiTheme="minorHAnsi"/>
                <w:spacing w:val="23"/>
                <w:sz w:val="19"/>
              </w:rPr>
              <w:t xml:space="preserve"> </w:t>
            </w:r>
            <w:r w:rsidRPr="00191478">
              <w:rPr>
                <w:rFonts w:asciiTheme="minorHAnsi" w:hAnsiTheme="minorHAnsi"/>
                <w:spacing w:val="3"/>
                <w:sz w:val="19"/>
              </w:rPr>
              <w:t>education</w:t>
            </w:r>
          </w:p>
          <w:p w14:paraId="2630CD3F" w14:textId="77777777" w:rsidR="00041655" w:rsidRPr="00191478" w:rsidRDefault="00041655" w:rsidP="00041655">
            <w:pPr>
              <w:pStyle w:val="TableParagraph"/>
              <w:numPr>
                <w:ilvl w:val="1"/>
                <w:numId w:val="35"/>
              </w:numPr>
              <w:tabs>
                <w:tab w:val="left" w:pos="700"/>
              </w:tabs>
              <w:spacing w:before="57" w:line="235" w:lineRule="auto"/>
              <w:ind w:right="657"/>
              <w:rPr>
                <w:rFonts w:asciiTheme="minorHAnsi" w:hAnsiTheme="minorHAnsi"/>
                <w:sz w:val="19"/>
              </w:rPr>
            </w:pPr>
            <w:r w:rsidRPr="00191478">
              <w:rPr>
                <w:rFonts w:asciiTheme="minorHAnsi" w:hAnsiTheme="minorHAnsi"/>
                <w:spacing w:val="3"/>
                <w:sz w:val="19"/>
              </w:rPr>
              <w:t xml:space="preserve">improving opportunities </w:t>
            </w:r>
            <w:r w:rsidRPr="00191478">
              <w:rPr>
                <w:rFonts w:asciiTheme="minorHAnsi" w:hAnsiTheme="minorHAnsi"/>
                <w:spacing w:val="2"/>
                <w:sz w:val="19"/>
              </w:rPr>
              <w:t xml:space="preserve">for </w:t>
            </w:r>
            <w:r w:rsidRPr="00191478">
              <w:rPr>
                <w:rFonts w:asciiTheme="minorHAnsi" w:hAnsiTheme="minorHAnsi"/>
                <w:spacing w:val="3"/>
                <w:sz w:val="19"/>
              </w:rPr>
              <w:t xml:space="preserve">high quality professional experience </w:t>
            </w:r>
            <w:r w:rsidRPr="00191478">
              <w:rPr>
                <w:rFonts w:asciiTheme="minorHAnsi" w:hAnsiTheme="minorHAnsi"/>
                <w:spacing w:val="2"/>
                <w:sz w:val="19"/>
              </w:rPr>
              <w:t xml:space="preserve">for </w:t>
            </w:r>
            <w:r w:rsidRPr="00191478">
              <w:rPr>
                <w:rFonts w:asciiTheme="minorHAnsi" w:hAnsiTheme="minorHAnsi"/>
                <w:spacing w:val="3"/>
                <w:sz w:val="19"/>
              </w:rPr>
              <w:t>initial teacher education</w:t>
            </w:r>
            <w:r w:rsidRPr="00191478">
              <w:rPr>
                <w:rFonts w:asciiTheme="minorHAnsi" w:hAnsiTheme="minorHAnsi"/>
                <w:spacing w:val="7"/>
                <w:sz w:val="19"/>
              </w:rPr>
              <w:t xml:space="preserve"> </w:t>
            </w:r>
            <w:r w:rsidRPr="00191478">
              <w:rPr>
                <w:rFonts w:asciiTheme="minorHAnsi" w:hAnsiTheme="minorHAnsi"/>
                <w:spacing w:val="2"/>
                <w:sz w:val="19"/>
              </w:rPr>
              <w:t>students</w:t>
            </w:r>
          </w:p>
          <w:p w14:paraId="393EB231" w14:textId="77777777" w:rsidR="00041655" w:rsidRPr="00191478" w:rsidRDefault="00041655" w:rsidP="00041655">
            <w:pPr>
              <w:pStyle w:val="TableParagraph"/>
              <w:numPr>
                <w:ilvl w:val="1"/>
                <w:numId w:val="35"/>
              </w:numPr>
              <w:tabs>
                <w:tab w:val="left" w:pos="700"/>
              </w:tabs>
              <w:spacing w:before="53"/>
              <w:rPr>
                <w:rFonts w:asciiTheme="minorHAnsi" w:hAnsiTheme="minorHAnsi"/>
                <w:sz w:val="19"/>
              </w:rPr>
            </w:pPr>
            <w:r w:rsidRPr="00191478">
              <w:rPr>
                <w:rFonts w:asciiTheme="minorHAnsi" w:hAnsiTheme="minorHAnsi"/>
                <w:spacing w:val="3"/>
                <w:sz w:val="19"/>
              </w:rPr>
              <w:t xml:space="preserve">providing additional incentives </w:t>
            </w:r>
            <w:r w:rsidRPr="00191478">
              <w:rPr>
                <w:rFonts w:asciiTheme="minorHAnsi" w:hAnsiTheme="minorHAnsi"/>
                <w:sz w:val="19"/>
              </w:rPr>
              <w:t xml:space="preserve">to </w:t>
            </w:r>
            <w:r w:rsidRPr="00191478">
              <w:rPr>
                <w:rFonts w:asciiTheme="minorHAnsi" w:hAnsiTheme="minorHAnsi"/>
                <w:spacing w:val="2"/>
                <w:sz w:val="19"/>
              </w:rPr>
              <w:t xml:space="preserve">train </w:t>
            </w:r>
            <w:r w:rsidRPr="00191478">
              <w:rPr>
                <w:rFonts w:asciiTheme="minorHAnsi" w:hAnsiTheme="minorHAnsi"/>
                <w:sz w:val="19"/>
              </w:rPr>
              <w:t xml:space="preserve">in </w:t>
            </w:r>
            <w:r w:rsidRPr="00191478">
              <w:rPr>
                <w:rFonts w:asciiTheme="minorHAnsi" w:hAnsiTheme="minorHAnsi"/>
                <w:spacing w:val="2"/>
                <w:sz w:val="19"/>
              </w:rPr>
              <w:t>RRR</w:t>
            </w:r>
            <w:r w:rsidRPr="00191478">
              <w:rPr>
                <w:rFonts w:asciiTheme="minorHAnsi" w:hAnsiTheme="minorHAnsi"/>
                <w:spacing w:val="26"/>
                <w:sz w:val="19"/>
              </w:rPr>
              <w:t xml:space="preserve"> </w:t>
            </w:r>
            <w:r w:rsidRPr="00191478">
              <w:rPr>
                <w:rFonts w:asciiTheme="minorHAnsi" w:hAnsiTheme="minorHAnsi"/>
                <w:spacing w:val="3"/>
                <w:sz w:val="19"/>
              </w:rPr>
              <w:t>areas</w:t>
            </w:r>
          </w:p>
          <w:p w14:paraId="3546E681" w14:textId="77777777" w:rsidR="00041655" w:rsidRPr="00191478" w:rsidRDefault="00041655" w:rsidP="00041655">
            <w:pPr>
              <w:pStyle w:val="TableParagraph"/>
              <w:numPr>
                <w:ilvl w:val="1"/>
                <w:numId w:val="35"/>
              </w:numPr>
              <w:tabs>
                <w:tab w:val="left" w:pos="700"/>
              </w:tabs>
              <w:spacing w:before="52"/>
              <w:rPr>
                <w:rFonts w:asciiTheme="minorHAnsi" w:hAnsiTheme="minorHAnsi"/>
                <w:sz w:val="19"/>
              </w:rPr>
            </w:pPr>
            <w:r w:rsidRPr="00191478">
              <w:rPr>
                <w:rFonts w:asciiTheme="minorHAnsi" w:hAnsiTheme="minorHAnsi"/>
                <w:spacing w:val="3"/>
                <w:sz w:val="19"/>
              </w:rPr>
              <w:t xml:space="preserve">flexibility </w:t>
            </w:r>
            <w:r w:rsidRPr="00191478">
              <w:rPr>
                <w:rFonts w:asciiTheme="minorHAnsi" w:hAnsiTheme="minorHAnsi"/>
                <w:spacing w:val="2"/>
                <w:sz w:val="19"/>
              </w:rPr>
              <w:t xml:space="preserve">for </w:t>
            </w:r>
            <w:r w:rsidRPr="00191478">
              <w:rPr>
                <w:rFonts w:asciiTheme="minorHAnsi" w:hAnsiTheme="minorHAnsi"/>
                <w:spacing w:val="3"/>
                <w:sz w:val="19"/>
              </w:rPr>
              <w:t xml:space="preserve">experienced teachers </w:t>
            </w:r>
            <w:r w:rsidRPr="00191478">
              <w:rPr>
                <w:rFonts w:asciiTheme="minorHAnsi" w:hAnsiTheme="minorHAnsi"/>
                <w:sz w:val="19"/>
              </w:rPr>
              <w:t xml:space="preserve">to move </w:t>
            </w:r>
            <w:r w:rsidRPr="00191478">
              <w:rPr>
                <w:rFonts w:asciiTheme="minorHAnsi" w:hAnsiTheme="minorHAnsi"/>
                <w:spacing w:val="3"/>
                <w:sz w:val="19"/>
              </w:rPr>
              <w:t>between jurisdictions,</w:t>
            </w:r>
            <w:r w:rsidRPr="00191478">
              <w:rPr>
                <w:rFonts w:asciiTheme="minorHAnsi" w:hAnsiTheme="minorHAnsi"/>
                <w:spacing w:val="34"/>
                <w:sz w:val="19"/>
              </w:rPr>
              <w:t xml:space="preserve"> </w:t>
            </w:r>
            <w:r w:rsidRPr="00191478">
              <w:rPr>
                <w:rFonts w:asciiTheme="minorHAnsi" w:hAnsiTheme="minorHAnsi"/>
                <w:spacing w:val="3"/>
                <w:sz w:val="19"/>
              </w:rPr>
              <w:t>and</w:t>
            </w:r>
          </w:p>
          <w:p w14:paraId="7C05C17F" w14:textId="77777777" w:rsidR="00041655" w:rsidRPr="00191478" w:rsidRDefault="00041655" w:rsidP="00041655">
            <w:pPr>
              <w:pStyle w:val="TableParagraph"/>
              <w:numPr>
                <w:ilvl w:val="1"/>
                <w:numId w:val="35"/>
              </w:numPr>
              <w:tabs>
                <w:tab w:val="left" w:pos="700"/>
              </w:tabs>
              <w:spacing w:before="53"/>
              <w:rPr>
                <w:rFonts w:asciiTheme="minorHAnsi" w:hAnsiTheme="minorHAnsi"/>
                <w:sz w:val="19"/>
              </w:rPr>
            </w:pPr>
            <w:r w:rsidRPr="00191478">
              <w:rPr>
                <w:rFonts w:asciiTheme="minorHAnsi" w:hAnsiTheme="minorHAnsi"/>
                <w:spacing w:val="3"/>
                <w:sz w:val="19"/>
              </w:rPr>
              <w:t xml:space="preserve">consideration </w:t>
            </w:r>
            <w:r w:rsidRPr="00191478">
              <w:rPr>
                <w:rFonts w:asciiTheme="minorHAnsi" w:hAnsiTheme="minorHAnsi"/>
                <w:sz w:val="19"/>
              </w:rPr>
              <w:t xml:space="preserve">of </w:t>
            </w:r>
            <w:r w:rsidRPr="00191478">
              <w:rPr>
                <w:rFonts w:asciiTheme="minorHAnsi" w:hAnsiTheme="minorHAnsi"/>
                <w:spacing w:val="2"/>
                <w:sz w:val="19"/>
              </w:rPr>
              <w:t xml:space="preserve">RRR content </w:t>
            </w:r>
            <w:r w:rsidRPr="00191478">
              <w:rPr>
                <w:rFonts w:asciiTheme="minorHAnsi" w:hAnsiTheme="minorHAnsi"/>
                <w:sz w:val="19"/>
              </w:rPr>
              <w:t xml:space="preserve">in </w:t>
            </w:r>
            <w:r w:rsidRPr="00191478">
              <w:rPr>
                <w:rFonts w:asciiTheme="minorHAnsi" w:hAnsiTheme="minorHAnsi"/>
                <w:spacing w:val="2"/>
                <w:sz w:val="19"/>
              </w:rPr>
              <w:t xml:space="preserve">the </w:t>
            </w:r>
            <w:r w:rsidRPr="00191478">
              <w:rPr>
                <w:rFonts w:asciiTheme="minorHAnsi" w:hAnsiTheme="minorHAnsi"/>
                <w:spacing w:val="3"/>
                <w:sz w:val="19"/>
              </w:rPr>
              <w:t>Australian</w:t>
            </w:r>
            <w:r w:rsidRPr="00191478">
              <w:rPr>
                <w:rFonts w:asciiTheme="minorHAnsi" w:hAnsiTheme="minorHAnsi"/>
                <w:spacing w:val="29"/>
                <w:sz w:val="19"/>
              </w:rPr>
              <w:t xml:space="preserve"> </w:t>
            </w:r>
            <w:r w:rsidRPr="00191478">
              <w:rPr>
                <w:rFonts w:asciiTheme="minorHAnsi" w:hAnsiTheme="minorHAnsi"/>
                <w:spacing w:val="3"/>
                <w:sz w:val="19"/>
              </w:rPr>
              <w:t>curriculum.</w:t>
            </w:r>
          </w:p>
          <w:p w14:paraId="03DD0ECA" w14:textId="77777777" w:rsidR="00041655" w:rsidRPr="00191478" w:rsidRDefault="00041655" w:rsidP="00041655">
            <w:pPr>
              <w:pStyle w:val="TableParagraph"/>
              <w:numPr>
                <w:ilvl w:val="0"/>
                <w:numId w:val="35"/>
              </w:numPr>
              <w:tabs>
                <w:tab w:val="left" w:pos="416"/>
              </w:tabs>
              <w:spacing w:before="169" w:line="235" w:lineRule="auto"/>
              <w:ind w:right="584" w:hanging="340"/>
              <w:jc w:val="both"/>
              <w:rPr>
                <w:rFonts w:asciiTheme="minorHAnsi" w:hAnsiTheme="minorHAnsi"/>
                <w:sz w:val="19"/>
              </w:rPr>
            </w:pPr>
            <w:r w:rsidRPr="00191478">
              <w:rPr>
                <w:rFonts w:asciiTheme="minorHAnsi" w:hAnsiTheme="minorHAnsi"/>
                <w:spacing w:val="2"/>
                <w:sz w:val="19"/>
              </w:rPr>
              <w:t xml:space="preserve">Improve training, </w:t>
            </w:r>
            <w:r w:rsidRPr="00191478">
              <w:rPr>
                <w:rFonts w:asciiTheme="minorHAnsi" w:hAnsiTheme="minorHAnsi"/>
                <w:spacing w:val="3"/>
                <w:sz w:val="19"/>
              </w:rPr>
              <w:t xml:space="preserve">professional </w:t>
            </w:r>
            <w:r w:rsidRPr="00191478">
              <w:rPr>
                <w:rFonts w:asciiTheme="minorHAnsi" w:hAnsiTheme="minorHAnsi"/>
                <w:spacing w:val="2"/>
                <w:sz w:val="19"/>
              </w:rPr>
              <w:t xml:space="preserve">development, </w:t>
            </w:r>
            <w:r w:rsidRPr="00191478">
              <w:rPr>
                <w:rFonts w:asciiTheme="minorHAnsi" w:hAnsiTheme="minorHAnsi"/>
                <w:spacing w:val="3"/>
                <w:sz w:val="19"/>
              </w:rPr>
              <w:t xml:space="preserve">mentoring and </w:t>
            </w:r>
            <w:r w:rsidRPr="00191478">
              <w:rPr>
                <w:rFonts w:asciiTheme="minorHAnsi" w:hAnsiTheme="minorHAnsi"/>
                <w:spacing w:val="2"/>
                <w:sz w:val="19"/>
              </w:rPr>
              <w:t xml:space="preserve">other </w:t>
            </w:r>
            <w:r w:rsidRPr="00191478">
              <w:rPr>
                <w:rFonts w:asciiTheme="minorHAnsi" w:hAnsiTheme="minorHAnsi"/>
                <w:spacing w:val="4"/>
                <w:sz w:val="19"/>
              </w:rPr>
              <w:t xml:space="preserve">support </w:t>
            </w:r>
            <w:r w:rsidRPr="00191478">
              <w:rPr>
                <w:rFonts w:asciiTheme="minorHAnsi" w:hAnsiTheme="minorHAnsi"/>
                <w:spacing w:val="3"/>
                <w:sz w:val="19"/>
              </w:rPr>
              <w:t xml:space="preserve">for principals and school leaders </w:t>
            </w:r>
            <w:r w:rsidRPr="00191478">
              <w:rPr>
                <w:rFonts w:asciiTheme="minorHAnsi" w:hAnsiTheme="minorHAnsi"/>
                <w:sz w:val="19"/>
              </w:rPr>
              <w:t xml:space="preserve">in </w:t>
            </w:r>
            <w:r w:rsidRPr="00191478">
              <w:rPr>
                <w:rFonts w:asciiTheme="minorHAnsi" w:hAnsiTheme="minorHAnsi"/>
                <w:spacing w:val="2"/>
                <w:sz w:val="19"/>
              </w:rPr>
              <w:t xml:space="preserve">RRR areas, </w:t>
            </w:r>
            <w:r w:rsidRPr="00191478">
              <w:rPr>
                <w:rFonts w:asciiTheme="minorHAnsi" w:hAnsiTheme="minorHAnsi"/>
                <w:sz w:val="19"/>
              </w:rPr>
              <w:t xml:space="preserve">to </w:t>
            </w:r>
            <w:r w:rsidRPr="00191478">
              <w:rPr>
                <w:rFonts w:asciiTheme="minorHAnsi" w:hAnsiTheme="minorHAnsi"/>
                <w:spacing w:val="3"/>
                <w:sz w:val="19"/>
              </w:rPr>
              <w:t xml:space="preserve">ensure </w:t>
            </w:r>
            <w:r w:rsidRPr="00191478">
              <w:rPr>
                <w:rFonts w:asciiTheme="minorHAnsi" w:hAnsiTheme="minorHAnsi"/>
                <w:sz w:val="19"/>
              </w:rPr>
              <w:t xml:space="preserve">they </w:t>
            </w:r>
            <w:r w:rsidRPr="00191478">
              <w:rPr>
                <w:rFonts w:asciiTheme="minorHAnsi" w:hAnsiTheme="minorHAnsi"/>
                <w:spacing w:val="2"/>
                <w:sz w:val="19"/>
              </w:rPr>
              <w:t xml:space="preserve">are well </w:t>
            </w:r>
            <w:r w:rsidRPr="00191478">
              <w:rPr>
                <w:rFonts w:asciiTheme="minorHAnsi" w:hAnsiTheme="minorHAnsi"/>
                <w:spacing w:val="3"/>
                <w:sz w:val="19"/>
              </w:rPr>
              <w:t xml:space="preserve">prepared </w:t>
            </w:r>
            <w:r w:rsidRPr="00191478">
              <w:rPr>
                <w:rFonts w:asciiTheme="minorHAnsi" w:hAnsiTheme="minorHAnsi"/>
                <w:spacing w:val="2"/>
                <w:sz w:val="19"/>
              </w:rPr>
              <w:t xml:space="preserve">before </w:t>
            </w:r>
            <w:r w:rsidRPr="00191478">
              <w:rPr>
                <w:rFonts w:asciiTheme="minorHAnsi" w:hAnsiTheme="minorHAnsi"/>
                <w:spacing w:val="3"/>
                <w:sz w:val="19"/>
              </w:rPr>
              <w:t>and during their appointment and</w:t>
            </w:r>
            <w:r w:rsidRPr="00191478">
              <w:rPr>
                <w:rFonts w:asciiTheme="minorHAnsi" w:hAnsiTheme="minorHAnsi"/>
                <w:spacing w:val="17"/>
                <w:sz w:val="19"/>
              </w:rPr>
              <w:t xml:space="preserve"> </w:t>
            </w:r>
            <w:r w:rsidRPr="00191478">
              <w:rPr>
                <w:rFonts w:asciiTheme="minorHAnsi" w:hAnsiTheme="minorHAnsi"/>
                <w:spacing w:val="2"/>
                <w:sz w:val="19"/>
              </w:rPr>
              <w:t>tenure.</w:t>
            </w:r>
          </w:p>
        </w:tc>
      </w:tr>
    </w:tbl>
    <w:p w14:paraId="092C57D6" w14:textId="77777777" w:rsidR="00041655" w:rsidRPr="00191478" w:rsidRDefault="00041655" w:rsidP="00041655">
      <w:pPr>
        <w:spacing w:line="235" w:lineRule="auto"/>
        <w:jc w:val="both"/>
        <w:rPr>
          <w:sz w:val="19"/>
        </w:rPr>
        <w:sectPr w:rsidR="00041655" w:rsidRPr="00191478">
          <w:headerReference w:type="default" r:id="rId37"/>
          <w:pgSz w:w="16840" w:h="11910" w:orient="landscape"/>
          <w:pgMar w:top="1100" w:right="1140" w:bottom="800" w:left="1140" w:header="0" w:footer="609" w:gutter="0"/>
          <w:cols w:space="720"/>
        </w:sectPr>
      </w:pPr>
    </w:p>
    <w:p w14:paraId="0532750D" w14:textId="77777777" w:rsidR="00041655" w:rsidRPr="00191478" w:rsidRDefault="00041655" w:rsidP="00041655">
      <w:pPr>
        <w:pStyle w:val="BodyText"/>
        <w:spacing w:before="6"/>
        <w:rPr>
          <w:sz w:val="27"/>
        </w:rPr>
      </w:pPr>
    </w:p>
    <w:tbl>
      <w:tblPr>
        <w:tblW w:w="0" w:type="auto"/>
        <w:tblInd w:w="1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100"/>
        <w:gridCol w:w="2702"/>
        <w:gridCol w:w="7520"/>
      </w:tblGrid>
      <w:tr w:rsidR="00041655" w:rsidRPr="00191478" w14:paraId="38D824DE" w14:textId="77777777" w:rsidTr="00F33AA3">
        <w:trPr>
          <w:trHeight w:val="301"/>
        </w:trPr>
        <w:tc>
          <w:tcPr>
            <w:tcW w:w="4100" w:type="dxa"/>
            <w:tcBorders>
              <w:top w:val="nil"/>
              <w:left w:val="nil"/>
            </w:tcBorders>
            <w:shd w:val="clear" w:color="auto" w:fill="314652"/>
          </w:tcPr>
          <w:p w14:paraId="7BC1320F" w14:textId="77777777" w:rsidR="00041655" w:rsidRPr="00191478" w:rsidRDefault="00041655" w:rsidP="00F33AA3">
            <w:pPr>
              <w:pStyle w:val="TableParagraph"/>
              <w:spacing w:before="45"/>
              <w:ind w:left="80"/>
              <w:rPr>
                <w:rFonts w:asciiTheme="minorHAnsi" w:hAnsiTheme="minorHAnsi"/>
                <w:sz w:val="19"/>
              </w:rPr>
            </w:pPr>
            <w:r w:rsidRPr="00191478">
              <w:rPr>
                <w:rFonts w:asciiTheme="minorHAnsi" w:hAnsiTheme="minorHAnsi"/>
                <w:color w:val="FFFFFF"/>
                <w:sz w:val="19"/>
              </w:rPr>
              <w:t>Findings</w:t>
            </w:r>
          </w:p>
        </w:tc>
        <w:tc>
          <w:tcPr>
            <w:tcW w:w="2702" w:type="dxa"/>
            <w:tcBorders>
              <w:top w:val="nil"/>
            </w:tcBorders>
            <w:shd w:val="clear" w:color="auto" w:fill="314652"/>
          </w:tcPr>
          <w:p w14:paraId="3DAA6E73"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Recommendations</w:t>
            </w:r>
          </w:p>
        </w:tc>
        <w:tc>
          <w:tcPr>
            <w:tcW w:w="7520" w:type="dxa"/>
            <w:tcBorders>
              <w:top w:val="nil"/>
              <w:right w:val="nil"/>
            </w:tcBorders>
            <w:shd w:val="clear" w:color="auto" w:fill="314652"/>
          </w:tcPr>
          <w:p w14:paraId="4E5BF523"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Actions</w:t>
            </w:r>
          </w:p>
        </w:tc>
      </w:tr>
      <w:tr w:rsidR="00041655" w:rsidRPr="00191478" w14:paraId="64D8E8DB" w14:textId="77777777" w:rsidTr="00F33AA3">
        <w:trPr>
          <w:trHeight w:val="293"/>
        </w:trPr>
        <w:tc>
          <w:tcPr>
            <w:tcW w:w="14322" w:type="dxa"/>
            <w:gridSpan w:val="3"/>
            <w:tcBorders>
              <w:top w:val="single" w:sz="6" w:space="0" w:color="FFFFFF"/>
              <w:left w:val="nil"/>
              <w:bottom w:val="single" w:sz="6" w:space="0" w:color="FFFFFF"/>
              <w:right w:val="nil"/>
            </w:tcBorders>
            <w:shd w:val="clear" w:color="auto" w:fill="F89B64"/>
          </w:tcPr>
          <w:p w14:paraId="570B3ABA" w14:textId="77777777" w:rsidR="00041655" w:rsidRPr="00191478" w:rsidRDefault="00041655" w:rsidP="00F33AA3">
            <w:pPr>
              <w:pStyle w:val="TableParagraph"/>
              <w:spacing w:before="39"/>
              <w:ind w:left="5522" w:right="5517"/>
              <w:jc w:val="center"/>
              <w:rPr>
                <w:rFonts w:asciiTheme="minorHAnsi" w:hAnsiTheme="minorHAnsi"/>
                <w:sz w:val="19"/>
              </w:rPr>
            </w:pPr>
            <w:r w:rsidRPr="00191478">
              <w:rPr>
                <w:rFonts w:asciiTheme="minorHAnsi" w:hAnsiTheme="minorHAnsi"/>
                <w:color w:val="414042"/>
                <w:sz w:val="19"/>
              </w:rPr>
              <w:t>Equity groups</w:t>
            </w:r>
          </w:p>
        </w:tc>
      </w:tr>
      <w:tr w:rsidR="00041655" w:rsidRPr="00191478" w14:paraId="3A6AEDCF" w14:textId="77777777" w:rsidTr="00F33AA3">
        <w:trPr>
          <w:trHeight w:val="6181"/>
        </w:trPr>
        <w:tc>
          <w:tcPr>
            <w:tcW w:w="4100" w:type="dxa"/>
            <w:tcBorders>
              <w:left w:val="nil"/>
            </w:tcBorders>
            <w:shd w:val="clear" w:color="auto" w:fill="ECEFF1"/>
          </w:tcPr>
          <w:p w14:paraId="7069F9FD" w14:textId="77777777" w:rsidR="00041655" w:rsidRPr="00191478" w:rsidRDefault="00041655" w:rsidP="00F33AA3">
            <w:pPr>
              <w:pStyle w:val="TableParagraph"/>
              <w:spacing w:before="41" w:line="235" w:lineRule="auto"/>
              <w:ind w:left="80" w:right="360"/>
              <w:rPr>
                <w:rFonts w:asciiTheme="minorHAnsi" w:hAnsiTheme="minorHAnsi"/>
                <w:sz w:val="19"/>
              </w:rPr>
            </w:pPr>
            <w:r w:rsidRPr="00191478">
              <w:rPr>
                <w:rStyle w:val="Strong"/>
                <w:rFonts w:asciiTheme="minorHAnsi" w:hAnsiTheme="minorHAnsi"/>
                <w:color w:val="auto"/>
                <w:sz w:val="22"/>
              </w:rPr>
              <w:t>KEY FINDING 15:</w:t>
            </w:r>
            <w:r w:rsidRPr="00191478">
              <w:rPr>
                <w:rFonts w:asciiTheme="minorHAnsi" w:hAnsiTheme="minorHAnsi"/>
                <w:sz w:val="19"/>
              </w:rPr>
              <w:t xml:space="preserve"> </w:t>
            </w:r>
            <w:r w:rsidRPr="00191478">
              <w:rPr>
                <w:rFonts w:asciiTheme="minorHAnsi" w:hAnsiTheme="minorHAnsi"/>
                <w:spacing w:val="3"/>
                <w:sz w:val="19"/>
              </w:rPr>
              <w:t xml:space="preserve">While </w:t>
            </w:r>
            <w:r w:rsidRPr="00191478">
              <w:rPr>
                <w:rFonts w:asciiTheme="minorHAnsi" w:hAnsiTheme="minorHAnsi"/>
                <w:sz w:val="19"/>
              </w:rPr>
              <w:t xml:space="preserve">HEPPP </w:t>
            </w:r>
            <w:r w:rsidRPr="00191478">
              <w:rPr>
                <w:rFonts w:asciiTheme="minorHAnsi" w:hAnsiTheme="minorHAnsi"/>
                <w:spacing w:val="2"/>
                <w:sz w:val="19"/>
              </w:rPr>
              <w:t xml:space="preserve">plays an </w:t>
            </w:r>
            <w:r w:rsidRPr="00191478">
              <w:rPr>
                <w:rFonts w:asciiTheme="minorHAnsi" w:hAnsiTheme="minorHAnsi"/>
                <w:spacing w:val="4"/>
                <w:sz w:val="19"/>
              </w:rPr>
              <w:t xml:space="preserve">important </w:t>
            </w:r>
            <w:r w:rsidRPr="00191478">
              <w:rPr>
                <w:rFonts w:asciiTheme="minorHAnsi" w:hAnsiTheme="minorHAnsi"/>
                <w:spacing w:val="2"/>
                <w:sz w:val="19"/>
              </w:rPr>
              <w:t xml:space="preserve">role </w:t>
            </w:r>
            <w:r w:rsidRPr="00191478">
              <w:rPr>
                <w:rFonts w:asciiTheme="minorHAnsi" w:hAnsiTheme="minorHAnsi"/>
                <w:sz w:val="19"/>
              </w:rPr>
              <w:t xml:space="preserve">in </w:t>
            </w:r>
            <w:r w:rsidRPr="00191478">
              <w:rPr>
                <w:rFonts w:asciiTheme="minorHAnsi" w:hAnsiTheme="minorHAnsi"/>
                <w:spacing w:val="3"/>
                <w:sz w:val="19"/>
              </w:rPr>
              <w:t xml:space="preserve">improving outcomes </w:t>
            </w:r>
            <w:r w:rsidRPr="00191478">
              <w:rPr>
                <w:rFonts w:asciiTheme="minorHAnsi" w:hAnsiTheme="minorHAnsi"/>
                <w:spacing w:val="2"/>
                <w:sz w:val="19"/>
              </w:rPr>
              <w:t xml:space="preserve">for </w:t>
            </w:r>
            <w:r w:rsidRPr="00191478">
              <w:rPr>
                <w:rFonts w:asciiTheme="minorHAnsi" w:hAnsiTheme="minorHAnsi"/>
                <w:sz w:val="19"/>
              </w:rPr>
              <w:t xml:space="preserve">low SES </w:t>
            </w:r>
            <w:r w:rsidRPr="00191478">
              <w:rPr>
                <w:rFonts w:asciiTheme="minorHAnsi" w:hAnsiTheme="minorHAnsi"/>
                <w:spacing w:val="2"/>
                <w:sz w:val="19"/>
              </w:rPr>
              <w:t xml:space="preserve">students, </w:t>
            </w:r>
            <w:r w:rsidRPr="00191478">
              <w:rPr>
                <w:rFonts w:asciiTheme="minorHAnsi" w:hAnsiTheme="minorHAnsi"/>
                <w:spacing w:val="3"/>
                <w:sz w:val="19"/>
              </w:rPr>
              <w:t xml:space="preserve">including </w:t>
            </w:r>
            <w:r w:rsidRPr="00191478">
              <w:rPr>
                <w:rFonts w:asciiTheme="minorHAnsi" w:hAnsiTheme="minorHAnsi"/>
                <w:spacing w:val="2"/>
                <w:sz w:val="19"/>
              </w:rPr>
              <w:t xml:space="preserve">RRR students, its role </w:t>
            </w:r>
            <w:r w:rsidRPr="00191478">
              <w:rPr>
                <w:rFonts w:asciiTheme="minorHAnsi" w:hAnsiTheme="minorHAnsi"/>
                <w:sz w:val="19"/>
              </w:rPr>
              <w:t xml:space="preserve">in </w:t>
            </w:r>
            <w:r w:rsidRPr="00191478">
              <w:rPr>
                <w:rFonts w:asciiTheme="minorHAnsi" w:hAnsiTheme="minorHAnsi"/>
                <w:spacing w:val="4"/>
                <w:sz w:val="19"/>
              </w:rPr>
              <w:t xml:space="preserve">supporting </w:t>
            </w:r>
            <w:r w:rsidRPr="00191478">
              <w:rPr>
                <w:rFonts w:asciiTheme="minorHAnsi" w:hAnsiTheme="minorHAnsi"/>
                <w:spacing w:val="2"/>
                <w:sz w:val="19"/>
              </w:rPr>
              <w:t xml:space="preserve">RRR students </w:t>
            </w:r>
            <w:r w:rsidRPr="00191478">
              <w:rPr>
                <w:rFonts w:asciiTheme="minorHAnsi" w:hAnsiTheme="minorHAnsi"/>
                <w:spacing w:val="3"/>
                <w:sz w:val="19"/>
              </w:rPr>
              <w:t xml:space="preserve">could </w:t>
            </w:r>
            <w:r w:rsidRPr="00191478">
              <w:rPr>
                <w:rFonts w:asciiTheme="minorHAnsi" w:hAnsiTheme="minorHAnsi"/>
                <w:sz w:val="19"/>
              </w:rPr>
              <w:t>be</w:t>
            </w:r>
            <w:r w:rsidRPr="00191478">
              <w:rPr>
                <w:rFonts w:asciiTheme="minorHAnsi" w:hAnsiTheme="minorHAnsi"/>
                <w:spacing w:val="5"/>
                <w:sz w:val="19"/>
              </w:rPr>
              <w:t xml:space="preserve"> </w:t>
            </w:r>
            <w:r w:rsidRPr="00191478">
              <w:rPr>
                <w:rFonts w:asciiTheme="minorHAnsi" w:hAnsiTheme="minorHAnsi"/>
                <w:spacing w:val="3"/>
                <w:sz w:val="19"/>
              </w:rPr>
              <w:t>enhanced.</w:t>
            </w:r>
          </w:p>
          <w:p w14:paraId="2CA85659" w14:textId="77777777" w:rsidR="00041655" w:rsidRPr="00191478" w:rsidRDefault="00041655" w:rsidP="00F33AA3">
            <w:pPr>
              <w:pStyle w:val="TableParagraph"/>
              <w:spacing w:before="170" w:line="235" w:lineRule="auto"/>
              <w:ind w:left="80" w:right="360"/>
              <w:rPr>
                <w:rFonts w:asciiTheme="minorHAnsi" w:hAnsiTheme="minorHAnsi"/>
                <w:sz w:val="19"/>
              </w:rPr>
            </w:pPr>
            <w:r w:rsidRPr="00191478">
              <w:rPr>
                <w:rStyle w:val="Strong"/>
                <w:rFonts w:asciiTheme="minorHAnsi" w:hAnsiTheme="minorHAnsi"/>
                <w:color w:val="auto"/>
                <w:sz w:val="22"/>
              </w:rPr>
              <w:t>KEY FINDING 16:</w:t>
            </w:r>
            <w:r w:rsidRPr="00191478">
              <w:rPr>
                <w:rFonts w:asciiTheme="minorHAnsi" w:hAnsiTheme="minorHAnsi"/>
                <w:sz w:val="19"/>
              </w:rPr>
              <w:t xml:space="preserve"> </w:t>
            </w:r>
            <w:r w:rsidRPr="00191478">
              <w:rPr>
                <w:rFonts w:asciiTheme="minorHAnsi" w:hAnsiTheme="minorHAnsi"/>
                <w:spacing w:val="3"/>
                <w:sz w:val="19"/>
              </w:rPr>
              <w:t xml:space="preserve">There </w:t>
            </w:r>
            <w:r w:rsidRPr="00191478">
              <w:rPr>
                <w:rFonts w:asciiTheme="minorHAnsi" w:hAnsiTheme="minorHAnsi"/>
                <w:sz w:val="19"/>
              </w:rPr>
              <w:t xml:space="preserve">is </w:t>
            </w:r>
            <w:r w:rsidRPr="00191478">
              <w:rPr>
                <w:rFonts w:asciiTheme="minorHAnsi" w:hAnsiTheme="minorHAnsi"/>
                <w:spacing w:val="2"/>
                <w:sz w:val="19"/>
              </w:rPr>
              <w:t xml:space="preserve">limited </w:t>
            </w:r>
            <w:r w:rsidRPr="00191478">
              <w:rPr>
                <w:rFonts w:asciiTheme="minorHAnsi" w:hAnsiTheme="minorHAnsi"/>
                <w:spacing w:val="3"/>
                <w:sz w:val="19"/>
              </w:rPr>
              <w:t xml:space="preserve">scope within current university funding </w:t>
            </w:r>
            <w:r w:rsidRPr="00191478">
              <w:rPr>
                <w:rFonts w:asciiTheme="minorHAnsi" w:hAnsiTheme="minorHAnsi"/>
                <w:spacing w:val="2"/>
                <w:sz w:val="19"/>
              </w:rPr>
              <w:t xml:space="preserve">controls </w:t>
            </w:r>
            <w:r w:rsidRPr="00191478">
              <w:rPr>
                <w:rFonts w:asciiTheme="minorHAnsi" w:hAnsiTheme="minorHAnsi"/>
                <w:sz w:val="19"/>
              </w:rPr>
              <w:t xml:space="preserve">to </w:t>
            </w:r>
            <w:r w:rsidRPr="00191478">
              <w:rPr>
                <w:rFonts w:asciiTheme="minorHAnsi" w:hAnsiTheme="minorHAnsi"/>
                <w:spacing w:val="3"/>
                <w:sz w:val="19"/>
              </w:rPr>
              <w:t xml:space="preserve">increase participation </w:t>
            </w:r>
            <w:r w:rsidRPr="00191478">
              <w:rPr>
                <w:rFonts w:asciiTheme="minorHAnsi" w:hAnsiTheme="minorHAnsi"/>
                <w:sz w:val="19"/>
              </w:rPr>
              <w:t xml:space="preserve">in </w:t>
            </w:r>
            <w:r w:rsidRPr="00191478">
              <w:rPr>
                <w:rFonts w:asciiTheme="minorHAnsi" w:hAnsiTheme="minorHAnsi"/>
                <w:spacing w:val="3"/>
                <w:sz w:val="19"/>
              </w:rPr>
              <w:t xml:space="preserve">higher education </w:t>
            </w:r>
            <w:r w:rsidRPr="00191478">
              <w:rPr>
                <w:rFonts w:asciiTheme="minorHAnsi" w:hAnsiTheme="minorHAnsi"/>
                <w:sz w:val="19"/>
              </w:rPr>
              <w:t xml:space="preserve">by </w:t>
            </w:r>
            <w:r w:rsidRPr="00191478">
              <w:rPr>
                <w:rFonts w:asciiTheme="minorHAnsi" w:hAnsiTheme="minorHAnsi"/>
                <w:spacing w:val="2"/>
                <w:sz w:val="19"/>
              </w:rPr>
              <w:t xml:space="preserve">students from </w:t>
            </w:r>
            <w:r w:rsidRPr="00191478">
              <w:rPr>
                <w:rFonts w:asciiTheme="minorHAnsi" w:hAnsiTheme="minorHAnsi"/>
                <w:spacing w:val="4"/>
                <w:sz w:val="19"/>
              </w:rPr>
              <w:t xml:space="preserve">equity </w:t>
            </w:r>
            <w:r w:rsidRPr="00191478">
              <w:rPr>
                <w:rFonts w:asciiTheme="minorHAnsi" w:hAnsiTheme="minorHAnsi"/>
                <w:spacing w:val="2"/>
                <w:sz w:val="19"/>
              </w:rPr>
              <w:t xml:space="preserve">groups, </w:t>
            </w:r>
            <w:r w:rsidRPr="00191478">
              <w:rPr>
                <w:rFonts w:asciiTheme="minorHAnsi" w:hAnsiTheme="minorHAnsi"/>
                <w:spacing w:val="3"/>
                <w:sz w:val="19"/>
              </w:rPr>
              <w:t>including Indigenous</w:t>
            </w:r>
            <w:r w:rsidRPr="00191478">
              <w:rPr>
                <w:rFonts w:asciiTheme="minorHAnsi" w:hAnsiTheme="minorHAnsi"/>
                <w:spacing w:val="5"/>
                <w:sz w:val="19"/>
              </w:rPr>
              <w:t xml:space="preserve"> </w:t>
            </w:r>
            <w:r w:rsidRPr="00191478">
              <w:rPr>
                <w:rFonts w:asciiTheme="minorHAnsi" w:hAnsiTheme="minorHAnsi"/>
                <w:spacing w:val="2"/>
                <w:sz w:val="19"/>
              </w:rPr>
              <w:t>students.</w:t>
            </w:r>
          </w:p>
          <w:p w14:paraId="51055C7D" w14:textId="4809F659" w:rsidR="00041655" w:rsidRPr="00191478" w:rsidRDefault="00041655" w:rsidP="00F33AA3">
            <w:pPr>
              <w:pStyle w:val="TableParagraph"/>
              <w:spacing w:before="169" w:line="235" w:lineRule="auto"/>
              <w:ind w:left="80" w:right="103"/>
              <w:rPr>
                <w:rFonts w:asciiTheme="minorHAnsi" w:hAnsiTheme="minorHAnsi"/>
                <w:sz w:val="19"/>
              </w:rPr>
            </w:pPr>
            <w:r w:rsidRPr="00191478">
              <w:rPr>
                <w:rStyle w:val="Strong"/>
                <w:rFonts w:asciiTheme="minorHAnsi" w:hAnsiTheme="minorHAnsi"/>
                <w:color w:val="auto"/>
                <w:sz w:val="22"/>
              </w:rPr>
              <w:t>KEY FINDING 17:</w:t>
            </w:r>
            <w:r w:rsidRPr="00191478">
              <w:rPr>
                <w:rFonts w:asciiTheme="minorHAnsi" w:hAnsiTheme="minorHAnsi"/>
                <w:spacing w:val="-6"/>
                <w:sz w:val="19"/>
              </w:rPr>
              <w:t xml:space="preserve">  </w:t>
            </w:r>
            <w:r w:rsidRPr="00191478">
              <w:rPr>
                <w:rFonts w:asciiTheme="minorHAnsi" w:hAnsiTheme="minorHAnsi"/>
                <w:spacing w:val="3"/>
                <w:sz w:val="19"/>
              </w:rPr>
              <w:t xml:space="preserve">Flexible </w:t>
            </w:r>
            <w:r w:rsidRPr="00191478">
              <w:rPr>
                <w:rFonts w:asciiTheme="minorHAnsi" w:hAnsiTheme="minorHAnsi"/>
                <w:spacing w:val="4"/>
                <w:sz w:val="19"/>
              </w:rPr>
              <w:t xml:space="preserve">delivery </w:t>
            </w:r>
            <w:r w:rsidRPr="00191478">
              <w:rPr>
                <w:rFonts w:asciiTheme="minorHAnsi" w:hAnsiTheme="minorHAnsi"/>
                <w:spacing w:val="2"/>
                <w:sz w:val="19"/>
              </w:rPr>
              <w:t xml:space="preserve">options are </w:t>
            </w:r>
            <w:r w:rsidRPr="00191478">
              <w:rPr>
                <w:rFonts w:asciiTheme="minorHAnsi" w:hAnsiTheme="minorHAnsi"/>
                <w:spacing w:val="3"/>
                <w:sz w:val="19"/>
              </w:rPr>
              <w:t xml:space="preserve">needed </w:t>
            </w:r>
            <w:r w:rsidRPr="00191478">
              <w:rPr>
                <w:rFonts w:asciiTheme="minorHAnsi" w:hAnsiTheme="minorHAnsi"/>
                <w:sz w:val="19"/>
              </w:rPr>
              <w:t xml:space="preserve">to </w:t>
            </w:r>
            <w:r w:rsidRPr="00191478">
              <w:rPr>
                <w:rFonts w:asciiTheme="minorHAnsi" w:hAnsiTheme="minorHAnsi"/>
                <w:spacing w:val="3"/>
                <w:sz w:val="19"/>
              </w:rPr>
              <w:t xml:space="preserve">appropriately </w:t>
            </w:r>
            <w:r w:rsidRPr="00191478">
              <w:rPr>
                <w:rFonts w:asciiTheme="minorHAnsi" w:hAnsiTheme="minorHAnsi"/>
                <w:spacing w:val="2"/>
                <w:sz w:val="19"/>
              </w:rPr>
              <w:t xml:space="preserve">cater for students from RRR areas, </w:t>
            </w:r>
            <w:r w:rsidRPr="00191478">
              <w:rPr>
                <w:rFonts w:asciiTheme="minorHAnsi" w:hAnsiTheme="minorHAnsi"/>
                <w:spacing w:val="3"/>
                <w:sz w:val="19"/>
              </w:rPr>
              <w:t xml:space="preserve">including co-designed and co-implemented </w:t>
            </w:r>
            <w:r w:rsidRPr="00191478">
              <w:rPr>
                <w:rFonts w:asciiTheme="minorHAnsi" w:hAnsiTheme="minorHAnsi"/>
                <w:sz w:val="19"/>
              </w:rPr>
              <w:t xml:space="preserve">on </w:t>
            </w:r>
            <w:r w:rsidRPr="00191478">
              <w:rPr>
                <w:rFonts w:asciiTheme="minorHAnsi" w:hAnsiTheme="minorHAnsi"/>
                <w:spacing w:val="3"/>
                <w:sz w:val="19"/>
              </w:rPr>
              <w:t xml:space="preserve">Country </w:t>
            </w:r>
            <w:r w:rsidRPr="00191478">
              <w:rPr>
                <w:rFonts w:asciiTheme="minorHAnsi" w:hAnsiTheme="minorHAnsi"/>
                <w:spacing w:val="4"/>
                <w:sz w:val="19"/>
              </w:rPr>
              <w:t xml:space="preserve">delivery </w:t>
            </w:r>
            <w:r w:rsidRPr="00191478">
              <w:rPr>
                <w:rFonts w:asciiTheme="minorHAnsi" w:hAnsiTheme="minorHAnsi"/>
                <w:spacing w:val="2"/>
                <w:sz w:val="19"/>
              </w:rPr>
              <w:t xml:space="preserve">for </w:t>
            </w:r>
            <w:r w:rsidRPr="00191478">
              <w:rPr>
                <w:rFonts w:asciiTheme="minorHAnsi" w:hAnsiTheme="minorHAnsi"/>
                <w:spacing w:val="3"/>
                <w:sz w:val="19"/>
              </w:rPr>
              <w:t xml:space="preserve">Indigenous Australians </w:t>
            </w:r>
            <w:r w:rsidRPr="00191478">
              <w:rPr>
                <w:rFonts w:asciiTheme="minorHAnsi" w:hAnsiTheme="minorHAnsi"/>
                <w:sz w:val="19"/>
              </w:rPr>
              <w:t xml:space="preserve">in </w:t>
            </w:r>
            <w:r w:rsidRPr="00191478">
              <w:rPr>
                <w:rFonts w:asciiTheme="minorHAnsi" w:hAnsiTheme="minorHAnsi"/>
                <w:spacing w:val="2"/>
                <w:sz w:val="19"/>
              </w:rPr>
              <w:t xml:space="preserve">remote </w:t>
            </w:r>
            <w:r w:rsidRPr="00191478">
              <w:rPr>
                <w:rFonts w:asciiTheme="minorHAnsi" w:hAnsiTheme="minorHAnsi"/>
                <w:spacing w:val="3"/>
                <w:sz w:val="19"/>
              </w:rPr>
              <w:t xml:space="preserve">and </w:t>
            </w:r>
            <w:r w:rsidRPr="00191478">
              <w:rPr>
                <w:rFonts w:asciiTheme="minorHAnsi" w:hAnsiTheme="minorHAnsi"/>
                <w:spacing w:val="4"/>
                <w:sz w:val="19"/>
              </w:rPr>
              <w:t xml:space="preserve">very </w:t>
            </w:r>
            <w:r w:rsidRPr="00191478">
              <w:rPr>
                <w:rFonts w:asciiTheme="minorHAnsi" w:hAnsiTheme="minorHAnsi"/>
                <w:spacing w:val="2"/>
                <w:sz w:val="19"/>
              </w:rPr>
              <w:t>remote</w:t>
            </w:r>
            <w:r w:rsidRPr="00191478">
              <w:rPr>
                <w:rFonts w:asciiTheme="minorHAnsi" w:hAnsiTheme="minorHAnsi"/>
                <w:spacing w:val="5"/>
                <w:sz w:val="19"/>
              </w:rPr>
              <w:t xml:space="preserve"> </w:t>
            </w:r>
            <w:r w:rsidRPr="00191478">
              <w:rPr>
                <w:rFonts w:asciiTheme="minorHAnsi" w:hAnsiTheme="minorHAnsi"/>
                <w:spacing w:val="2"/>
                <w:sz w:val="19"/>
              </w:rPr>
              <w:t>areas.</w:t>
            </w:r>
          </w:p>
          <w:p w14:paraId="55B9FE2D" w14:textId="77777777" w:rsidR="00041655" w:rsidRPr="00191478" w:rsidRDefault="00041655" w:rsidP="00F33AA3">
            <w:pPr>
              <w:pStyle w:val="TableParagraph"/>
              <w:spacing w:before="169" w:line="235" w:lineRule="auto"/>
              <w:ind w:left="80" w:right="104"/>
              <w:rPr>
                <w:rFonts w:asciiTheme="minorHAnsi" w:hAnsiTheme="minorHAnsi"/>
                <w:sz w:val="19"/>
              </w:rPr>
            </w:pPr>
            <w:r w:rsidRPr="00191478">
              <w:rPr>
                <w:rStyle w:val="Strong"/>
                <w:rFonts w:asciiTheme="minorHAnsi" w:hAnsiTheme="minorHAnsi"/>
                <w:color w:val="auto"/>
                <w:sz w:val="22"/>
              </w:rPr>
              <w:t>KEY FINDING 18</w:t>
            </w:r>
            <w:r w:rsidRPr="00191478">
              <w:rPr>
                <w:rFonts w:asciiTheme="minorHAnsi" w:hAnsiTheme="minorHAnsi"/>
                <w:sz w:val="19"/>
              </w:rPr>
              <w:t xml:space="preserve">: </w:t>
            </w:r>
            <w:r w:rsidRPr="00191478">
              <w:rPr>
                <w:rFonts w:asciiTheme="minorHAnsi" w:hAnsiTheme="minorHAnsi"/>
                <w:spacing w:val="3"/>
                <w:sz w:val="19"/>
              </w:rPr>
              <w:t xml:space="preserve">Hardships such </w:t>
            </w:r>
            <w:r w:rsidRPr="00191478">
              <w:rPr>
                <w:rFonts w:asciiTheme="minorHAnsi" w:hAnsiTheme="minorHAnsi"/>
                <w:sz w:val="19"/>
              </w:rPr>
              <w:t xml:space="preserve">as </w:t>
            </w:r>
            <w:r w:rsidRPr="00191478">
              <w:rPr>
                <w:rFonts w:asciiTheme="minorHAnsi" w:hAnsiTheme="minorHAnsi"/>
                <w:spacing w:val="3"/>
                <w:sz w:val="19"/>
              </w:rPr>
              <w:t xml:space="preserve">drought and </w:t>
            </w:r>
            <w:r w:rsidRPr="00191478">
              <w:rPr>
                <w:rFonts w:asciiTheme="minorHAnsi" w:hAnsiTheme="minorHAnsi"/>
                <w:spacing w:val="2"/>
                <w:sz w:val="19"/>
              </w:rPr>
              <w:t xml:space="preserve">other climatic events </w:t>
            </w:r>
            <w:r w:rsidRPr="00191478">
              <w:rPr>
                <w:rFonts w:asciiTheme="minorHAnsi" w:hAnsiTheme="minorHAnsi"/>
                <w:spacing w:val="3"/>
                <w:sz w:val="19"/>
              </w:rPr>
              <w:t xml:space="preserve">and Indigenous cultural practices and </w:t>
            </w:r>
            <w:r w:rsidRPr="00191478">
              <w:rPr>
                <w:rFonts w:asciiTheme="minorHAnsi" w:hAnsiTheme="minorHAnsi"/>
                <w:spacing w:val="2"/>
                <w:sz w:val="19"/>
              </w:rPr>
              <w:t xml:space="preserve">protocols </w:t>
            </w:r>
            <w:r w:rsidRPr="00191478">
              <w:rPr>
                <w:rFonts w:asciiTheme="minorHAnsi" w:hAnsiTheme="minorHAnsi"/>
                <w:sz w:val="19"/>
              </w:rPr>
              <w:t xml:space="preserve">may </w:t>
            </w:r>
            <w:r w:rsidRPr="00191478">
              <w:rPr>
                <w:rFonts w:asciiTheme="minorHAnsi" w:hAnsiTheme="minorHAnsi"/>
                <w:spacing w:val="3"/>
                <w:sz w:val="19"/>
              </w:rPr>
              <w:t xml:space="preserve">impact </w:t>
            </w:r>
            <w:r w:rsidRPr="00191478">
              <w:rPr>
                <w:rFonts w:asciiTheme="minorHAnsi" w:hAnsiTheme="minorHAnsi"/>
                <w:sz w:val="19"/>
              </w:rPr>
              <w:t xml:space="preserve">on </w:t>
            </w:r>
            <w:r w:rsidRPr="00191478">
              <w:rPr>
                <w:rFonts w:asciiTheme="minorHAnsi" w:hAnsiTheme="minorHAnsi"/>
                <w:spacing w:val="2"/>
                <w:sz w:val="19"/>
              </w:rPr>
              <w:t xml:space="preserve">an RRR students’ study </w:t>
            </w:r>
            <w:r w:rsidRPr="00191478">
              <w:rPr>
                <w:rFonts w:asciiTheme="minorHAnsi" w:hAnsiTheme="minorHAnsi"/>
                <w:spacing w:val="3"/>
                <w:sz w:val="19"/>
              </w:rPr>
              <w:t>and</w:t>
            </w:r>
            <w:r w:rsidRPr="00191478">
              <w:rPr>
                <w:rFonts w:asciiTheme="minorHAnsi" w:hAnsiTheme="minorHAnsi"/>
                <w:spacing w:val="29"/>
                <w:sz w:val="19"/>
              </w:rPr>
              <w:t xml:space="preserve"> </w:t>
            </w:r>
            <w:r w:rsidRPr="00191478">
              <w:rPr>
                <w:rFonts w:asciiTheme="minorHAnsi" w:hAnsiTheme="minorHAnsi"/>
                <w:spacing w:val="2"/>
                <w:sz w:val="19"/>
              </w:rPr>
              <w:t>retention.</w:t>
            </w:r>
          </w:p>
          <w:p w14:paraId="5B58EB39" w14:textId="77777777" w:rsidR="00041655" w:rsidRPr="00191478" w:rsidRDefault="00041655" w:rsidP="00F33AA3">
            <w:pPr>
              <w:pStyle w:val="TableParagraph"/>
              <w:spacing w:before="169" w:line="235" w:lineRule="auto"/>
              <w:ind w:left="80" w:right="464"/>
              <w:rPr>
                <w:rFonts w:asciiTheme="minorHAnsi" w:hAnsiTheme="minorHAnsi"/>
                <w:sz w:val="19"/>
              </w:rPr>
            </w:pPr>
            <w:r w:rsidRPr="00191478">
              <w:rPr>
                <w:rStyle w:val="Strong"/>
                <w:rFonts w:asciiTheme="minorHAnsi" w:hAnsiTheme="minorHAnsi"/>
                <w:color w:val="auto"/>
                <w:sz w:val="22"/>
              </w:rPr>
              <w:t>KEY FINDING 19:</w:t>
            </w:r>
            <w:r w:rsidRPr="00191478">
              <w:rPr>
                <w:rFonts w:asciiTheme="minorHAnsi" w:hAnsiTheme="minorHAnsi"/>
                <w:sz w:val="19"/>
              </w:rPr>
              <w:t xml:space="preserve"> RRR students from low SES backgrounds, Indigenous students and students with disability face multiple challenges and require tailored support.</w:t>
            </w:r>
          </w:p>
        </w:tc>
        <w:tc>
          <w:tcPr>
            <w:tcW w:w="2702" w:type="dxa"/>
            <w:shd w:val="clear" w:color="auto" w:fill="ECEFF1"/>
          </w:tcPr>
          <w:p w14:paraId="7D44D29A" w14:textId="77777777" w:rsidR="00041655" w:rsidRPr="00191478" w:rsidRDefault="00041655" w:rsidP="00F33AA3">
            <w:pPr>
              <w:pStyle w:val="TableParagraph"/>
              <w:spacing w:before="41"/>
              <w:ind w:left="75"/>
              <w:rPr>
                <w:rStyle w:val="Strong"/>
                <w:rFonts w:asciiTheme="minorHAnsi" w:hAnsiTheme="minorHAnsi"/>
                <w:color w:val="auto"/>
                <w:sz w:val="22"/>
              </w:rPr>
            </w:pPr>
            <w:r w:rsidRPr="00191478">
              <w:rPr>
                <w:rStyle w:val="Strong"/>
                <w:rFonts w:asciiTheme="minorHAnsi" w:hAnsiTheme="minorHAnsi"/>
                <w:color w:val="auto"/>
                <w:sz w:val="22"/>
              </w:rPr>
              <w:t>Recommendation five</w:t>
            </w:r>
          </w:p>
          <w:p w14:paraId="54506989" w14:textId="77777777" w:rsidR="00041655" w:rsidRPr="00191478" w:rsidRDefault="00041655" w:rsidP="00F33AA3">
            <w:pPr>
              <w:pStyle w:val="TableParagraph"/>
              <w:spacing w:before="54" w:line="235" w:lineRule="auto"/>
              <w:ind w:left="75" w:right="81"/>
              <w:rPr>
                <w:rFonts w:asciiTheme="minorHAnsi" w:hAnsiTheme="minorHAnsi"/>
                <w:sz w:val="19"/>
              </w:rPr>
            </w:pPr>
            <w:r w:rsidRPr="00191478">
              <w:rPr>
                <w:rFonts w:asciiTheme="minorHAnsi" w:hAnsiTheme="minorHAnsi"/>
                <w:spacing w:val="2"/>
                <w:sz w:val="19"/>
              </w:rPr>
              <w:t xml:space="preserve">Improve </w:t>
            </w:r>
            <w:r w:rsidRPr="00191478">
              <w:rPr>
                <w:rFonts w:asciiTheme="minorHAnsi" w:hAnsiTheme="minorHAnsi"/>
                <w:spacing w:val="3"/>
                <w:sz w:val="19"/>
              </w:rPr>
              <w:t xml:space="preserve">participation and outcomes </w:t>
            </w:r>
            <w:r w:rsidRPr="00191478">
              <w:rPr>
                <w:rFonts w:asciiTheme="minorHAnsi" w:hAnsiTheme="minorHAnsi"/>
                <w:spacing w:val="2"/>
                <w:sz w:val="19"/>
              </w:rPr>
              <w:t xml:space="preserve">for RRR students from </w:t>
            </w:r>
            <w:r w:rsidRPr="00191478">
              <w:rPr>
                <w:rFonts w:asciiTheme="minorHAnsi" w:hAnsiTheme="minorHAnsi"/>
                <w:spacing w:val="4"/>
                <w:sz w:val="19"/>
              </w:rPr>
              <w:t xml:space="preserve">equity </w:t>
            </w:r>
            <w:r w:rsidRPr="00191478">
              <w:rPr>
                <w:rFonts w:asciiTheme="minorHAnsi" w:hAnsiTheme="minorHAnsi"/>
                <w:spacing w:val="2"/>
                <w:sz w:val="19"/>
              </w:rPr>
              <w:t xml:space="preserve">groups </w:t>
            </w:r>
            <w:r w:rsidRPr="00191478">
              <w:rPr>
                <w:rFonts w:asciiTheme="minorHAnsi" w:hAnsiTheme="minorHAnsi"/>
                <w:spacing w:val="4"/>
                <w:sz w:val="19"/>
              </w:rPr>
              <w:t xml:space="preserve">including </w:t>
            </w:r>
            <w:r w:rsidRPr="00191478">
              <w:rPr>
                <w:rFonts w:asciiTheme="minorHAnsi" w:hAnsiTheme="minorHAnsi"/>
                <w:sz w:val="19"/>
              </w:rPr>
              <w:t xml:space="preserve">low SES </w:t>
            </w:r>
            <w:r w:rsidRPr="00191478">
              <w:rPr>
                <w:rFonts w:asciiTheme="minorHAnsi" w:hAnsiTheme="minorHAnsi"/>
                <w:spacing w:val="2"/>
                <w:sz w:val="19"/>
              </w:rPr>
              <w:t xml:space="preserve">students, </w:t>
            </w:r>
            <w:r w:rsidRPr="00191478">
              <w:rPr>
                <w:rFonts w:asciiTheme="minorHAnsi" w:hAnsiTheme="minorHAnsi"/>
                <w:spacing w:val="3"/>
                <w:sz w:val="19"/>
              </w:rPr>
              <w:t xml:space="preserve">Indigenous </w:t>
            </w:r>
            <w:r w:rsidRPr="00191478">
              <w:rPr>
                <w:rFonts w:asciiTheme="minorHAnsi" w:hAnsiTheme="minorHAnsi"/>
                <w:spacing w:val="2"/>
                <w:sz w:val="19"/>
              </w:rPr>
              <w:t xml:space="preserve">students, students </w:t>
            </w:r>
            <w:r w:rsidRPr="00191478">
              <w:rPr>
                <w:rFonts w:asciiTheme="minorHAnsi" w:hAnsiTheme="minorHAnsi"/>
                <w:spacing w:val="3"/>
                <w:sz w:val="19"/>
              </w:rPr>
              <w:t xml:space="preserve">with </w:t>
            </w:r>
            <w:r w:rsidRPr="00191478">
              <w:rPr>
                <w:rFonts w:asciiTheme="minorHAnsi" w:hAnsiTheme="minorHAnsi"/>
                <w:spacing w:val="4"/>
                <w:sz w:val="19"/>
              </w:rPr>
              <w:t xml:space="preserve">disability </w:t>
            </w:r>
            <w:r w:rsidRPr="00191478">
              <w:rPr>
                <w:rFonts w:asciiTheme="minorHAnsi" w:hAnsiTheme="minorHAnsi"/>
                <w:spacing w:val="3"/>
                <w:sz w:val="19"/>
              </w:rPr>
              <w:t xml:space="preserve">and  </w:t>
            </w:r>
            <w:r w:rsidRPr="00191478">
              <w:rPr>
                <w:rFonts w:asciiTheme="minorHAnsi" w:hAnsiTheme="minorHAnsi"/>
                <w:spacing w:val="2"/>
                <w:sz w:val="19"/>
              </w:rPr>
              <w:t>remote students</w:t>
            </w:r>
            <w:r w:rsidRPr="00191478">
              <w:rPr>
                <w:rFonts w:asciiTheme="minorHAnsi" w:hAnsiTheme="minorHAnsi"/>
                <w:spacing w:val="6"/>
                <w:sz w:val="19"/>
              </w:rPr>
              <w:t xml:space="preserve"> </w:t>
            </w:r>
            <w:r w:rsidRPr="00191478">
              <w:rPr>
                <w:rFonts w:asciiTheme="minorHAnsi" w:hAnsiTheme="minorHAnsi"/>
                <w:sz w:val="19"/>
              </w:rPr>
              <w:t>by:</w:t>
            </w:r>
          </w:p>
          <w:p w14:paraId="2BED95E5" w14:textId="77777777" w:rsidR="00041655" w:rsidRPr="00191478" w:rsidRDefault="00041655" w:rsidP="00041655">
            <w:pPr>
              <w:pStyle w:val="TableParagraph"/>
              <w:numPr>
                <w:ilvl w:val="0"/>
                <w:numId w:val="34"/>
              </w:numPr>
              <w:tabs>
                <w:tab w:val="left" w:pos="359"/>
              </w:tabs>
              <w:spacing w:before="58" w:line="235" w:lineRule="auto"/>
              <w:ind w:right="83" w:hanging="283"/>
              <w:rPr>
                <w:rFonts w:asciiTheme="minorHAnsi" w:hAnsiTheme="minorHAnsi"/>
                <w:sz w:val="19"/>
              </w:rPr>
            </w:pPr>
            <w:r w:rsidRPr="00191478">
              <w:rPr>
                <w:rFonts w:asciiTheme="minorHAnsi" w:hAnsiTheme="minorHAnsi"/>
                <w:spacing w:val="4"/>
                <w:sz w:val="19"/>
              </w:rPr>
              <w:t xml:space="preserve">modifying </w:t>
            </w:r>
            <w:r w:rsidRPr="00191478">
              <w:rPr>
                <w:rFonts w:asciiTheme="minorHAnsi" w:hAnsiTheme="minorHAnsi"/>
                <w:spacing w:val="2"/>
                <w:sz w:val="19"/>
              </w:rPr>
              <w:t xml:space="preserve">the </w:t>
            </w:r>
            <w:r w:rsidRPr="00191478">
              <w:rPr>
                <w:rFonts w:asciiTheme="minorHAnsi" w:hAnsiTheme="minorHAnsi"/>
                <w:spacing w:val="3"/>
                <w:sz w:val="19"/>
              </w:rPr>
              <w:t xml:space="preserve">Higher </w:t>
            </w:r>
            <w:r w:rsidRPr="00191478">
              <w:rPr>
                <w:rFonts w:asciiTheme="minorHAnsi" w:hAnsiTheme="minorHAnsi"/>
                <w:spacing w:val="2"/>
                <w:sz w:val="19"/>
              </w:rPr>
              <w:t xml:space="preserve">Education </w:t>
            </w:r>
            <w:r w:rsidRPr="00191478">
              <w:rPr>
                <w:rFonts w:asciiTheme="minorHAnsi" w:hAnsiTheme="minorHAnsi"/>
                <w:spacing w:val="3"/>
                <w:sz w:val="19"/>
              </w:rPr>
              <w:t xml:space="preserve">Participation and Partnerships Program </w:t>
            </w:r>
            <w:r w:rsidRPr="00191478">
              <w:rPr>
                <w:rFonts w:asciiTheme="minorHAnsi" w:hAnsiTheme="minorHAnsi"/>
                <w:sz w:val="19"/>
              </w:rPr>
              <w:t xml:space="preserve">(HEPPP) to </w:t>
            </w:r>
            <w:r w:rsidRPr="00191478">
              <w:rPr>
                <w:rFonts w:asciiTheme="minorHAnsi" w:hAnsiTheme="minorHAnsi"/>
                <w:spacing w:val="3"/>
                <w:sz w:val="19"/>
              </w:rPr>
              <w:t xml:space="preserve">better </w:t>
            </w:r>
            <w:r w:rsidRPr="00191478">
              <w:rPr>
                <w:rFonts w:asciiTheme="minorHAnsi" w:hAnsiTheme="minorHAnsi"/>
                <w:spacing w:val="2"/>
                <w:sz w:val="19"/>
              </w:rPr>
              <w:t xml:space="preserve">target </w:t>
            </w:r>
            <w:r w:rsidRPr="00191478">
              <w:rPr>
                <w:rFonts w:asciiTheme="minorHAnsi" w:hAnsiTheme="minorHAnsi"/>
                <w:spacing w:val="3"/>
                <w:sz w:val="19"/>
              </w:rPr>
              <w:t xml:space="preserve">funding </w:t>
            </w:r>
            <w:r w:rsidRPr="00191478">
              <w:rPr>
                <w:rFonts w:asciiTheme="minorHAnsi" w:hAnsiTheme="minorHAnsi"/>
                <w:sz w:val="19"/>
              </w:rPr>
              <w:t xml:space="preserve">to </w:t>
            </w:r>
            <w:r w:rsidRPr="00191478">
              <w:rPr>
                <w:rFonts w:asciiTheme="minorHAnsi" w:hAnsiTheme="minorHAnsi"/>
                <w:spacing w:val="2"/>
                <w:sz w:val="19"/>
              </w:rPr>
              <w:t xml:space="preserve">cost </w:t>
            </w:r>
            <w:r w:rsidRPr="00191478">
              <w:rPr>
                <w:rFonts w:asciiTheme="minorHAnsi" w:hAnsiTheme="minorHAnsi"/>
                <w:spacing w:val="3"/>
                <w:sz w:val="19"/>
              </w:rPr>
              <w:t xml:space="preserve">effective </w:t>
            </w:r>
            <w:r w:rsidRPr="00191478">
              <w:rPr>
                <w:rFonts w:asciiTheme="minorHAnsi" w:hAnsiTheme="minorHAnsi"/>
                <w:spacing w:val="2"/>
                <w:sz w:val="19"/>
              </w:rPr>
              <w:t>RRR</w:t>
            </w:r>
            <w:r w:rsidRPr="00191478">
              <w:rPr>
                <w:rFonts w:asciiTheme="minorHAnsi" w:hAnsiTheme="minorHAnsi"/>
                <w:spacing w:val="5"/>
                <w:sz w:val="19"/>
              </w:rPr>
              <w:t xml:space="preserve"> </w:t>
            </w:r>
            <w:r w:rsidRPr="00191478">
              <w:rPr>
                <w:rFonts w:asciiTheme="minorHAnsi" w:hAnsiTheme="minorHAnsi"/>
                <w:spacing w:val="3"/>
                <w:sz w:val="19"/>
              </w:rPr>
              <w:t>programs</w:t>
            </w:r>
          </w:p>
          <w:p w14:paraId="549C45F6" w14:textId="77777777" w:rsidR="00041655" w:rsidRPr="00191478" w:rsidRDefault="00041655" w:rsidP="00041655">
            <w:pPr>
              <w:pStyle w:val="TableParagraph"/>
              <w:numPr>
                <w:ilvl w:val="0"/>
                <w:numId w:val="34"/>
              </w:numPr>
              <w:tabs>
                <w:tab w:val="left" w:pos="359"/>
              </w:tabs>
              <w:spacing w:before="57" w:line="235" w:lineRule="auto"/>
              <w:ind w:right="398" w:hanging="283"/>
              <w:rPr>
                <w:rFonts w:asciiTheme="minorHAnsi" w:hAnsiTheme="minorHAnsi"/>
                <w:sz w:val="19"/>
              </w:rPr>
            </w:pPr>
            <w:r w:rsidRPr="00191478">
              <w:rPr>
                <w:rFonts w:asciiTheme="minorHAnsi" w:hAnsiTheme="minorHAnsi"/>
                <w:spacing w:val="3"/>
                <w:sz w:val="19"/>
              </w:rPr>
              <w:t xml:space="preserve">providing demand- driven funding </w:t>
            </w:r>
            <w:r w:rsidRPr="00191478">
              <w:rPr>
                <w:rFonts w:asciiTheme="minorHAnsi" w:hAnsiTheme="minorHAnsi"/>
                <w:spacing w:val="2"/>
                <w:sz w:val="19"/>
              </w:rPr>
              <w:t xml:space="preserve">for RRR </w:t>
            </w:r>
            <w:r w:rsidRPr="00191478">
              <w:rPr>
                <w:rFonts w:asciiTheme="minorHAnsi" w:hAnsiTheme="minorHAnsi"/>
                <w:spacing w:val="3"/>
                <w:sz w:val="19"/>
              </w:rPr>
              <w:t xml:space="preserve">Indigenous university </w:t>
            </w:r>
            <w:r w:rsidRPr="00191478">
              <w:rPr>
                <w:rFonts w:asciiTheme="minorHAnsi" w:hAnsiTheme="minorHAnsi"/>
                <w:spacing w:val="2"/>
                <w:sz w:val="19"/>
              </w:rPr>
              <w:t>students,</w:t>
            </w:r>
            <w:r w:rsidRPr="00191478">
              <w:rPr>
                <w:rFonts w:asciiTheme="minorHAnsi" w:hAnsiTheme="minorHAnsi"/>
                <w:spacing w:val="5"/>
                <w:sz w:val="19"/>
              </w:rPr>
              <w:t xml:space="preserve"> </w:t>
            </w:r>
            <w:r w:rsidRPr="00191478">
              <w:rPr>
                <w:rFonts w:asciiTheme="minorHAnsi" w:hAnsiTheme="minorHAnsi"/>
                <w:spacing w:val="3"/>
                <w:sz w:val="19"/>
              </w:rPr>
              <w:t>and</w:t>
            </w:r>
          </w:p>
          <w:p w14:paraId="0A34CB0F" w14:textId="77777777" w:rsidR="00041655" w:rsidRPr="00191478" w:rsidRDefault="00041655" w:rsidP="00041655">
            <w:pPr>
              <w:pStyle w:val="TableParagraph"/>
              <w:numPr>
                <w:ilvl w:val="0"/>
                <w:numId w:val="34"/>
              </w:numPr>
              <w:tabs>
                <w:tab w:val="left" w:pos="359"/>
              </w:tabs>
              <w:spacing w:before="57" w:line="235" w:lineRule="auto"/>
              <w:ind w:right="400" w:hanging="283"/>
              <w:rPr>
                <w:rFonts w:asciiTheme="minorHAnsi" w:hAnsiTheme="minorHAnsi"/>
                <w:sz w:val="19"/>
              </w:rPr>
            </w:pPr>
            <w:r w:rsidRPr="00191478">
              <w:rPr>
                <w:rFonts w:asciiTheme="minorHAnsi" w:hAnsiTheme="minorHAnsi"/>
                <w:spacing w:val="3"/>
                <w:sz w:val="19"/>
              </w:rPr>
              <w:t xml:space="preserve">establishing tailored </w:t>
            </w:r>
            <w:r w:rsidRPr="00191478">
              <w:rPr>
                <w:rFonts w:asciiTheme="minorHAnsi" w:hAnsiTheme="minorHAnsi"/>
                <w:spacing w:val="2"/>
                <w:sz w:val="19"/>
              </w:rPr>
              <w:t xml:space="preserve">initiatives for </w:t>
            </w:r>
            <w:r w:rsidRPr="00191478">
              <w:rPr>
                <w:rFonts w:asciiTheme="minorHAnsi" w:hAnsiTheme="minorHAnsi"/>
                <w:spacing w:val="4"/>
                <w:sz w:val="19"/>
              </w:rPr>
              <w:t xml:space="preserve">equity </w:t>
            </w:r>
            <w:r w:rsidRPr="00191478">
              <w:rPr>
                <w:rFonts w:asciiTheme="minorHAnsi" w:hAnsiTheme="minorHAnsi"/>
                <w:spacing w:val="2"/>
                <w:sz w:val="19"/>
              </w:rPr>
              <w:t xml:space="preserve">groups </w:t>
            </w:r>
            <w:r w:rsidRPr="00191478">
              <w:rPr>
                <w:rFonts w:asciiTheme="minorHAnsi" w:hAnsiTheme="minorHAnsi"/>
                <w:spacing w:val="3"/>
                <w:sz w:val="19"/>
              </w:rPr>
              <w:t xml:space="preserve">and </w:t>
            </w:r>
            <w:r w:rsidRPr="00191478">
              <w:rPr>
                <w:rFonts w:asciiTheme="minorHAnsi" w:hAnsiTheme="minorHAnsi"/>
                <w:spacing w:val="2"/>
                <w:sz w:val="19"/>
              </w:rPr>
              <w:t xml:space="preserve">those </w:t>
            </w:r>
            <w:r w:rsidRPr="00191478">
              <w:rPr>
                <w:rFonts w:asciiTheme="minorHAnsi" w:hAnsiTheme="minorHAnsi"/>
                <w:spacing w:val="3"/>
                <w:sz w:val="19"/>
              </w:rPr>
              <w:t>experiencing</w:t>
            </w:r>
            <w:r w:rsidRPr="00191478">
              <w:rPr>
                <w:rFonts w:asciiTheme="minorHAnsi" w:hAnsiTheme="minorHAnsi"/>
                <w:spacing w:val="18"/>
                <w:sz w:val="19"/>
              </w:rPr>
              <w:t xml:space="preserve"> </w:t>
            </w:r>
            <w:r w:rsidRPr="00191478">
              <w:rPr>
                <w:rFonts w:asciiTheme="minorHAnsi" w:hAnsiTheme="minorHAnsi"/>
                <w:spacing w:val="2"/>
                <w:sz w:val="19"/>
              </w:rPr>
              <w:t>hardship.</w:t>
            </w:r>
          </w:p>
        </w:tc>
        <w:tc>
          <w:tcPr>
            <w:tcW w:w="7520" w:type="dxa"/>
            <w:tcBorders>
              <w:bottom w:val="single" w:sz="6" w:space="0" w:color="FFFFFF"/>
              <w:right w:val="nil"/>
            </w:tcBorders>
            <w:shd w:val="clear" w:color="auto" w:fill="ECEFF1"/>
          </w:tcPr>
          <w:p w14:paraId="265EA603" w14:textId="77777777" w:rsidR="00041655" w:rsidRPr="00191478" w:rsidRDefault="00041655" w:rsidP="00041655">
            <w:pPr>
              <w:pStyle w:val="TableParagraph"/>
              <w:numPr>
                <w:ilvl w:val="0"/>
                <w:numId w:val="33"/>
              </w:numPr>
              <w:tabs>
                <w:tab w:val="left" w:pos="416"/>
              </w:tabs>
              <w:spacing w:before="41" w:line="235" w:lineRule="auto"/>
              <w:ind w:right="230" w:hanging="340"/>
              <w:rPr>
                <w:rFonts w:asciiTheme="minorHAnsi" w:hAnsiTheme="minorHAnsi"/>
                <w:sz w:val="19"/>
              </w:rPr>
            </w:pPr>
            <w:r w:rsidRPr="00191478">
              <w:rPr>
                <w:rFonts w:asciiTheme="minorHAnsi" w:hAnsiTheme="minorHAnsi"/>
                <w:spacing w:val="4"/>
                <w:sz w:val="19"/>
              </w:rPr>
              <w:t xml:space="preserve">Modify </w:t>
            </w:r>
            <w:r w:rsidRPr="00191478">
              <w:rPr>
                <w:rFonts w:asciiTheme="minorHAnsi" w:hAnsiTheme="minorHAnsi"/>
                <w:spacing w:val="2"/>
                <w:sz w:val="19"/>
              </w:rPr>
              <w:t xml:space="preserve">the </w:t>
            </w:r>
            <w:r w:rsidRPr="00191478">
              <w:rPr>
                <w:rFonts w:asciiTheme="minorHAnsi" w:hAnsiTheme="minorHAnsi"/>
                <w:sz w:val="19"/>
              </w:rPr>
              <w:t xml:space="preserve">HEPPP to </w:t>
            </w:r>
            <w:r w:rsidRPr="00191478">
              <w:rPr>
                <w:rFonts w:asciiTheme="minorHAnsi" w:hAnsiTheme="minorHAnsi"/>
                <w:spacing w:val="2"/>
                <w:sz w:val="19"/>
              </w:rPr>
              <w:t xml:space="preserve">improve its </w:t>
            </w:r>
            <w:r w:rsidRPr="00191478">
              <w:rPr>
                <w:rFonts w:asciiTheme="minorHAnsi" w:hAnsiTheme="minorHAnsi"/>
                <w:spacing w:val="3"/>
                <w:sz w:val="19"/>
              </w:rPr>
              <w:t xml:space="preserve">effectiveness </w:t>
            </w:r>
            <w:r w:rsidRPr="00191478">
              <w:rPr>
                <w:rFonts w:asciiTheme="minorHAnsi" w:hAnsiTheme="minorHAnsi"/>
                <w:sz w:val="19"/>
              </w:rPr>
              <w:t xml:space="preserve">in </w:t>
            </w:r>
            <w:r w:rsidRPr="00191478">
              <w:rPr>
                <w:rFonts w:asciiTheme="minorHAnsi" w:hAnsiTheme="minorHAnsi"/>
                <w:spacing w:val="4"/>
                <w:sz w:val="19"/>
              </w:rPr>
              <w:t xml:space="preserve">supporting </w:t>
            </w:r>
            <w:r w:rsidRPr="00191478">
              <w:rPr>
                <w:rFonts w:asciiTheme="minorHAnsi" w:hAnsiTheme="minorHAnsi"/>
                <w:spacing w:val="2"/>
                <w:sz w:val="19"/>
              </w:rPr>
              <w:t xml:space="preserve">improved </w:t>
            </w:r>
            <w:r w:rsidRPr="00191478">
              <w:rPr>
                <w:rFonts w:asciiTheme="minorHAnsi" w:hAnsiTheme="minorHAnsi"/>
                <w:spacing w:val="3"/>
                <w:sz w:val="19"/>
              </w:rPr>
              <w:t xml:space="preserve">outcomes </w:t>
            </w:r>
            <w:r w:rsidRPr="00191478">
              <w:rPr>
                <w:rFonts w:asciiTheme="minorHAnsi" w:hAnsiTheme="minorHAnsi"/>
                <w:spacing w:val="2"/>
                <w:sz w:val="19"/>
              </w:rPr>
              <w:t>for RRR</w:t>
            </w:r>
            <w:r w:rsidRPr="00191478">
              <w:rPr>
                <w:rFonts w:asciiTheme="minorHAnsi" w:hAnsiTheme="minorHAnsi"/>
                <w:spacing w:val="8"/>
                <w:sz w:val="19"/>
              </w:rPr>
              <w:t xml:space="preserve"> </w:t>
            </w:r>
            <w:r w:rsidRPr="00191478">
              <w:rPr>
                <w:rFonts w:asciiTheme="minorHAnsi" w:hAnsiTheme="minorHAnsi"/>
                <w:spacing w:val="2"/>
                <w:sz w:val="19"/>
              </w:rPr>
              <w:t>students:</w:t>
            </w:r>
          </w:p>
          <w:p w14:paraId="18139756" w14:textId="77777777" w:rsidR="00041655" w:rsidRPr="00191478" w:rsidRDefault="00041655" w:rsidP="00041655">
            <w:pPr>
              <w:pStyle w:val="TableParagraph"/>
              <w:numPr>
                <w:ilvl w:val="1"/>
                <w:numId w:val="33"/>
              </w:numPr>
              <w:tabs>
                <w:tab w:val="left" w:pos="700"/>
              </w:tabs>
              <w:spacing w:before="57" w:line="235" w:lineRule="auto"/>
              <w:ind w:right="527"/>
              <w:rPr>
                <w:rFonts w:asciiTheme="minorHAnsi" w:hAnsiTheme="minorHAnsi"/>
                <w:sz w:val="19"/>
              </w:rPr>
            </w:pPr>
            <w:r w:rsidRPr="00191478">
              <w:rPr>
                <w:rFonts w:asciiTheme="minorHAnsi" w:hAnsiTheme="minorHAnsi"/>
                <w:spacing w:val="3"/>
                <w:sz w:val="19"/>
              </w:rPr>
              <w:t xml:space="preserve">Allocate </w:t>
            </w:r>
            <w:r w:rsidRPr="00191478">
              <w:rPr>
                <w:rFonts w:asciiTheme="minorHAnsi" w:hAnsiTheme="minorHAnsi"/>
                <w:sz w:val="19"/>
              </w:rPr>
              <w:t xml:space="preserve">a </w:t>
            </w:r>
            <w:r w:rsidRPr="00191478">
              <w:rPr>
                <w:rFonts w:asciiTheme="minorHAnsi" w:hAnsiTheme="minorHAnsi"/>
                <w:spacing w:val="3"/>
                <w:sz w:val="19"/>
              </w:rPr>
              <w:t xml:space="preserve">dedicated component </w:t>
            </w:r>
            <w:r w:rsidRPr="00191478">
              <w:rPr>
                <w:rFonts w:asciiTheme="minorHAnsi" w:hAnsiTheme="minorHAnsi"/>
                <w:sz w:val="19"/>
              </w:rPr>
              <w:t xml:space="preserve">of HEPPP </w:t>
            </w:r>
            <w:r w:rsidRPr="00191478">
              <w:rPr>
                <w:rFonts w:asciiTheme="minorHAnsi" w:hAnsiTheme="minorHAnsi"/>
                <w:spacing w:val="3"/>
                <w:sz w:val="19"/>
              </w:rPr>
              <w:t xml:space="preserve">funding </w:t>
            </w:r>
            <w:r w:rsidRPr="00191478">
              <w:rPr>
                <w:rFonts w:asciiTheme="minorHAnsi" w:hAnsiTheme="minorHAnsi"/>
                <w:sz w:val="19"/>
              </w:rPr>
              <w:t xml:space="preserve">to </w:t>
            </w:r>
            <w:r w:rsidRPr="00191478">
              <w:rPr>
                <w:rFonts w:asciiTheme="minorHAnsi" w:hAnsiTheme="minorHAnsi"/>
                <w:spacing w:val="2"/>
                <w:sz w:val="19"/>
              </w:rPr>
              <w:t xml:space="preserve">provide </w:t>
            </w:r>
            <w:r w:rsidRPr="00191478">
              <w:rPr>
                <w:rFonts w:asciiTheme="minorHAnsi" w:hAnsiTheme="minorHAnsi"/>
                <w:sz w:val="19"/>
              </w:rPr>
              <w:t xml:space="preserve">longer-term </w:t>
            </w:r>
            <w:r w:rsidRPr="00191478">
              <w:rPr>
                <w:rFonts w:asciiTheme="minorHAnsi" w:hAnsiTheme="minorHAnsi"/>
                <w:spacing w:val="4"/>
                <w:sz w:val="19"/>
              </w:rPr>
              <w:t xml:space="preserve">support </w:t>
            </w:r>
            <w:r w:rsidRPr="00191478">
              <w:rPr>
                <w:rFonts w:asciiTheme="minorHAnsi" w:hAnsiTheme="minorHAnsi"/>
                <w:spacing w:val="2"/>
                <w:sz w:val="19"/>
              </w:rPr>
              <w:t xml:space="preserve">for cost </w:t>
            </w:r>
            <w:r w:rsidRPr="00191478">
              <w:rPr>
                <w:rFonts w:asciiTheme="minorHAnsi" w:hAnsiTheme="minorHAnsi"/>
                <w:spacing w:val="3"/>
                <w:sz w:val="19"/>
              </w:rPr>
              <w:t xml:space="preserve">effective, evidence-based programs </w:t>
            </w:r>
            <w:r w:rsidRPr="00191478">
              <w:rPr>
                <w:rFonts w:asciiTheme="minorHAnsi" w:hAnsiTheme="minorHAnsi"/>
                <w:spacing w:val="2"/>
                <w:sz w:val="19"/>
              </w:rPr>
              <w:t xml:space="preserve">for RRR students </w:t>
            </w:r>
            <w:r w:rsidRPr="00191478">
              <w:rPr>
                <w:rFonts w:asciiTheme="minorHAnsi" w:hAnsiTheme="minorHAnsi"/>
                <w:spacing w:val="3"/>
                <w:sz w:val="19"/>
              </w:rPr>
              <w:t xml:space="preserve">including programs delivered </w:t>
            </w:r>
            <w:r w:rsidRPr="00191478">
              <w:rPr>
                <w:rFonts w:asciiTheme="minorHAnsi" w:hAnsiTheme="minorHAnsi"/>
                <w:spacing w:val="2"/>
                <w:sz w:val="19"/>
              </w:rPr>
              <w:t xml:space="preserve">through </w:t>
            </w:r>
            <w:r w:rsidRPr="00191478">
              <w:rPr>
                <w:rFonts w:asciiTheme="minorHAnsi" w:hAnsiTheme="minorHAnsi"/>
                <w:spacing w:val="3"/>
                <w:sz w:val="19"/>
              </w:rPr>
              <w:t xml:space="preserve">regionally-based, </w:t>
            </w:r>
            <w:r w:rsidRPr="00191478">
              <w:rPr>
                <w:rFonts w:asciiTheme="minorHAnsi" w:hAnsiTheme="minorHAnsi"/>
                <w:spacing w:val="2"/>
                <w:sz w:val="19"/>
              </w:rPr>
              <w:t xml:space="preserve">collaborative, </w:t>
            </w:r>
            <w:r w:rsidRPr="00191478">
              <w:rPr>
                <w:rFonts w:asciiTheme="minorHAnsi" w:hAnsiTheme="minorHAnsi"/>
                <w:spacing w:val="3"/>
                <w:sz w:val="19"/>
              </w:rPr>
              <w:t>multi-university and cross-sectoral</w:t>
            </w:r>
            <w:r w:rsidRPr="00191478">
              <w:rPr>
                <w:rFonts w:asciiTheme="minorHAnsi" w:hAnsiTheme="minorHAnsi"/>
                <w:spacing w:val="10"/>
                <w:sz w:val="19"/>
              </w:rPr>
              <w:t xml:space="preserve"> </w:t>
            </w:r>
            <w:r w:rsidRPr="00191478">
              <w:rPr>
                <w:rFonts w:asciiTheme="minorHAnsi" w:hAnsiTheme="minorHAnsi"/>
                <w:spacing w:val="3"/>
                <w:sz w:val="19"/>
              </w:rPr>
              <w:t>partnerships.</w:t>
            </w:r>
          </w:p>
          <w:p w14:paraId="42A17457" w14:textId="77777777" w:rsidR="00041655" w:rsidRPr="00191478" w:rsidRDefault="00041655" w:rsidP="00041655">
            <w:pPr>
              <w:pStyle w:val="TableParagraph"/>
              <w:numPr>
                <w:ilvl w:val="1"/>
                <w:numId w:val="33"/>
              </w:numPr>
              <w:tabs>
                <w:tab w:val="left" w:pos="700"/>
              </w:tabs>
              <w:spacing w:before="57" w:line="235" w:lineRule="auto"/>
              <w:ind w:right="1066"/>
              <w:rPr>
                <w:rFonts w:asciiTheme="minorHAnsi" w:hAnsiTheme="minorHAnsi"/>
                <w:sz w:val="19"/>
              </w:rPr>
            </w:pPr>
            <w:r w:rsidRPr="00191478">
              <w:rPr>
                <w:rFonts w:asciiTheme="minorHAnsi" w:hAnsiTheme="minorHAnsi"/>
                <w:spacing w:val="3"/>
                <w:sz w:val="19"/>
              </w:rPr>
              <w:t xml:space="preserve">Allocate </w:t>
            </w:r>
            <w:r w:rsidRPr="00191478">
              <w:rPr>
                <w:rFonts w:asciiTheme="minorHAnsi" w:hAnsiTheme="minorHAnsi"/>
                <w:sz w:val="19"/>
              </w:rPr>
              <w:t xml:space="preserve">a </w:t>
            </w:r>
            <w:r w:rsidRPr="00191478">
              <w:rPr>
                <w:rFonts w:asciiTheme="minorHAnsi" w:hAnsiTheme="minorHAnsi"/>
                <w:spacing w:val="3"/>
                <w:sz w:val="19"/>
              </w:rPr>
              <w:t xml:space="preserve">smaller component </w:t>
            </w:r>
            <w:r w:rsidRPr="00191478">
              <w:rPr>
                <w:rFonts w:asciiTheme="minorHAnsi" w:hAnsiTheme="minorHAnsi"/>
                <w:sz w:val="19"/>
              </w:rPr>
              <w:t xml:space="preserve">of </w:t>
            </w:r>
            <w:r w:rsidRPr="00191478">
              <w:rPr>
                <w:rFonts w:asciiTheme="minorHAnsi" w:hAnsiTheme="minorHAnsi"/>
                <w:spacing w:val="3"/>
                <w:sz w:val="19"/>
              </w:rPr>
              <w:t xml:space="preserve">funding </w:t>
            </w:r>
            <w:r w:rsidRPr="00191478">
              <w:rPr>
                <w:rFonts w:asciiTheme="minorHAnsi" w:hAnsiTheme="minorHAnsi"/>
                <w:sz w:val="19"/>
              </w:rPr>
              <w:t xml:space="preserve">to </w:t>
            </w:r>
            <w:r w:rsidRPr="00191478">
              <w:rPr>
                <w:rFonts w:asciiTheme="minorHAnsi" w:hAnsiTheme="minorHAnsi"/>
                <w:spacing w:val="2"/>
                <w:sz w:val="19"/>
              </w:rPr>
              <w:t xml:space="preserve">pilot new </w:t>
            </w:r>
            <w:r w:rsidRPr="00191478">
              <w:rPr>
                <w:rFonts w:asciiTheme="minorHAnsi" w:hAnsiTheme="minorHAnsi"/>
                <w:spacing w:val="3"/>
                <w:sz w:val="19"/>
              </w:rPr>
              <w:t xml:space="preserve">and </w:t>
            </w:r>
            <w:r w:rsidRPr="00191478">
              <w:rPr>
                <w:rFonts w:asciiTheme="minorHAnsi" w:hAnsiTheme="minorHAnsi"/>
                <w:spacing w:val="2"/>
                <w:sz w:val="19"/>
              </w:rPr>
              <w:t xml:space="preserve">innovative </w:t>
            </w:r>
            <w:r w:rsidRPr="00191478">
              <w:rPr>
                <w:rFonts w:asciiTheme="minorHAnsi" w:hAnsiTheme="minorHAnsi"/>
                <w:spacing w:val="3"/>
                <w:sz w:val="19"/>
              </w:rPr>
              <w:t xml:space="preserve">approaches </w:t>
            </w:r>
            <w:r w:rsidRPr="00191478">
              <w:rPr>
                <w:rFonts w:asciiTheme="minorHAnsi" w:hAnsiTheme="minorHAnsi"/>
                <w:spacing w:val="2"/>
                <w:sz w:val="19"/>
              </w:rPr>
              <w:t>for RRR</w:t>
            </w:r>
            <w:r w:rsidRPr="00191478">
              <w:rPr>
                <w:rFonts w:asciiTheme="minorHAnsi" w:hAnsiTheme="minorHAnsi"/>
                <w:spacing w:val="10"/>
                <w:sz w:val="19"/>
              </w:rPr>
              <w:t xml:space="preserve"> </w:t>
            </w:r>
            <w:r w:rsidRPr="00191478">
              <w:rPr>
                <w:rFonts w:asciiTheme="minorHAnsi" w:hAnsiTheme="minorHAnsi"/>
                <w:spacing w:val="2"/>
                <w:sz w:val="19"/>
              </w:rPr>
              <w:t>students.</w:t>
            </w:r>
          </w:p>
          <w:p w14:paraId="46F90CFD" w14:textId="77777777" w:rsidR="00041655" w:rsidRPr="00191478" w:rsidRDefault="00041655" w:rsidP="00041655">
            <w:pPr>
              <w:pStyle w:val="TableParagraph"/>
              <w:numPr>
                <w:ilvl w:val="1"/>
                <w:numId w:val="33"/>
              </w:numPr>
              <w:tabs>
                <w:tab w:val="left" w:pos="700"/>
              </w:tabs>
              <w:spacing w:before="54"/>
              <w:rPr>
                <w:rFonts w:asciiTheme="minorHAnsi" w:hAnsiTheme="minorHAnsi"/>
                <w:sz w:val="19"/>
              </w:rPr>
            </w:pPr>
            <w:r w:rsidRPr="00191478">
              <w:rPr>
                <w:rFonts w:asciiTheme="minorHAnsi" w:hAnsiTheme="minorHAnsi"/>
                <w:spacing w:val="3"/>
                <w:sz w:val="19"/>
              </w:rPr>
              <w:t xml:space="preserve">Additional funding could </w:t>
            </w:r>
            <w:r w:rsidRPr="00191478">
              <w:rPr>
                <w:rFonts w:asciiTheme="minorHAnsi" w:hAnsiTheme="minorHAnsi"/>
                <w:sz w:val="19"/>
              </w:rPr>
              <w:t xml:space="preserve">be </w:t>
            </w:r>
            <w:r w:rsidRPr="00191478">
              <w:rPr>
                <w:rFonts w:asciiTheme="minorHAnsi" w:hAnsiTheme="minorHAnsi"/>
                <w:spacing w:val="3"/>
                <w:sz w:val="19"/>
              </w:rPr>
              <w:t xml:space="preserve">provided </w:t>
            </w:r>
            <w:r w:rsidRPr="00191478">
              <w:rPr>
                <w:rFonts w:asciiTheme="minorHAnsi" w:hAnsiTheme="minorHAnsi"/>
                <w:sz w:val="19"/>
              </w:rPr>
              <w:t xml:space="preserve">to </w:t>
            </w:r>
            <w:r w:rsidRPr="00191478">
              <w:rPr>
                <w:rFonts w:asciiTheme="minorHAnsi" w:hAnsiTheme="minorHAnsi"/>
                <w:spacing w:val="4"/>
                <w:sz w:val="19"/>
              </w:rPr>
              <w:t xml:space="preserve">support </w:t>
            </w:r>
            <w:r w:rsidRPr="00191478">
              <w:rPr>
                <w:rFonts w:asciiTheme="minorHAnsi" w:hAnsiTheme="minorHAnsi"/>
                <w:spacing w:val="3"/>
                <w:sz w:val="19"/>
              </w:rPr>
              <w:t>these</w:t>
            </w:r>
            <w:r w:rsidRPr="00191478">
              <w:rPr>
                <w:rFonts w:asciiTheme="minorHAnsi" w:hAnsiTheme="minorHAnsi"/>
                <w:spacing w:val="27"/>
                <w:sz w:val="19"/>
              </w:rPr>
              <w:t xml:space="preserve"> </w:t>
            </w:r>
            <w:r w:rsidRPr="00191478">
              <w:rPr>
                <w:rFonts w:asciiTheme="minorHAnsi" w:hAnsiTheme="minorHAnsi"/>
                <w:spacing w:val="3"/>
                <w:sz w:val="19"/>
              </w:rPr>
              <w:t>changes.</w:t>
            </w:r>
          </w:p>
          <w:p w14:paraId="5B742884" w14:textId="77777777" w:rsidR="00041655" w:rsidRPr="00191478" w:rsidRDefault="00041655" w:rsidP="00041655">
            <w:pPr>
              <w:pStyle w:val="TableParagraph"/>
              <w:numPr>
                <w:ilvl w:val="0"/>
                <w:numId w:val="33"/>
              </w:numPr>
              <w:tabs>
                <w:tab w:val="left" w:pos="416"/>
              </w:tabs>
              <w:spacing w:before="169" w:line="235" w:lineRule="auto"/>
              <w:ind w:right="95" w:hanging="340"/>
              <w:rPr>
                <w:rFonts w:asciiTheme="minorHAnsi" w:hAnsiTheme="minorHAnsi"/>
                <w:sz w:val="19"/>
              </w:rPr>
            </w:pPr>
            <w:r w:rsidRPr="00191478">
              <w:rPr>
                <w:rFonts w:asciiTheme="minorHAnsi" w:hAnsiTheme="minorHAnsi"/>
                <w:spacing w:val="3"/>
                <w:sz w:val="19"/>
              </w:rPr>
              <w:t xml:space="preserve">Uncap funding </w:t>
            </w:r>
            <w:r w:rsidRPr="00191478">
              <w:rPr>
                <w:rFonts w:asciiTheme="minorHAnsi" w:hAnsiTheme="minorHAnsi"/>
                <w:spacing w:val="2"/>
                <w:sz w:val="19"/>
              </w:rPr>
              <w:t xml:space="preserve">for </w:t>
            </w:r>
            <w:r w:rsidRPr="00191478">
              <w:rPr>
                <w:rFonts w:asciiTheme="minorHAnsi" w:hAnsiTheme="minorHAnsi"/>
                <w:spacing w:val="3"/>
                <w:sz w:val="19"/>
              </w:rPr>
              <w:t xml:space="preserve">Commonwealth-supported places </w:t>
            </w:r>
            <w:r w:rsidRPr="00191478">
              <w:rPr>
                <w:rFonts w:asciiTheme="minorHAnsi" w:hAnsiTheme="minorHAnsi"/>
                <w:spacing w:val="2"/>
                <w:sz w:val="19"/>
              </w:rPr>
              <w:t xml:space="preserve">for </w:t>
            </w:r>
            <w:r w:rsidRPr="00191478">
              <w:rPr>
                <w:rFonts w:asciiTheme="minorHAnsi" w:hAnsiTheme="minorHAnsi"/>
                <w:spacing w:val="3"/>
                <w:sz w:val="19"/>
              </w:rPr>
              <w:t xml:space="preserve">Indigenous </w:t>
            </w:r>
            <w:r w:rsidRPr="00191478">
              <w:rPr>
                <w:rFonts w:asciiTheme="minorHAnsi" w:hAnsiTheme="minorHAnsi"/>
                <w:spacing w:val="2"/>
                <w:sz w:val="19"/>
              </w:rPr>
              <w:t>students from RRR</w:t>
            </w:r>
            <w:r w:rsidRPr="00191478">
              <w:rPr>
                <w:rFonts w:asciiTheme="minorHAnsi" w:hAnsiTheme="minorHAnsi"/>
                <w:spacing w:val="5"/>
                <w:sz w:val="19"/>
              </w:rPr>
              <w:t xml:space="preserve"> </w:t>
            </w:r>
            <w:r w:rsidRPr="00191478">
              <w:rPr>
                <w:rFonts w:asciiTheme="minorHAnsi" w:hAnsiTheme="minorHAnsi"/>
                <w:spacing w:val="2"/>
                <w:sz w:val="19"/>
              </w:rPr>
              <w:t>areas.</w:t>
            </w:r>
          </w:p>
          <w:p w14:paraId="12432B4B" w14:textId="77777777" w:rsidR="00041655" w:rsidRPr="00191478" w:rsidRDefault="00041655" w:rsidP="00041655">
            <w:pPr>
              <w:pStyle w:val="TableParagraph"/>
              <w:numPr>
                <w:ilvl w:val="0"/>
                <w:numId w:val="33"/>
              </w:numPr>
              <w:tabs>
                <w:tab w:val="left" w:pos="416"/>
              </w:tabs>
              <w:spacing w:before="57" w:line="235" w:lineRule="auto"/>
              <w:ind w:right="342" w:hanging="340"/>
              <w:rPr>
                <w:rFonts w:asciiTheme="minorHAnsi" w:hAnsiTheme="minorHAnsi"/>
                <w:sz w:val="19"/>
              </w:rPr>
            </w:pPr>
            <w:r w:rsidRPr="00191478">
              <w:rPr>
                <w:rFonts w:asciiTheme="minorHAnsi" w:hAnsiTheme="minorHAnsi"/>
                <w:spacing w:val="2"/>
                <w:sz w:val="19"/>
              </w:rPr>
              <w:t xml:space="preserve">Improve </w:t>
            </w:r>
            <w:r w:rsidRPr="00191478">
              <w:rPr>
                <w:rFonts w:asciiTheme="minorHAnsi" w:hAnsiTheme="minorHAnsi"/>
                <w:spacing w:val="3"/>
                <w:sz w:val="19"/>
              </w:rPr>
              <w:t xml:space="preserve">outcomes </w:t>
            </w:r>
            <w:r w:rsidRPr="00191478">
              <w:rPr>
                <w:rFonts w:asciiTheme="minorHAnsi" w:hAnsiTheme="minorHAnsi"/>
                <w:spacing w:val="2"/>
                <w:sz w:val="19"/>
              </w:rPr>
              <w:t xml:space="preserve">for </w:t>
            </w:r>
            <w:r w:rsidRPr="00191478">
              <w:rPr>
                <w:rFonts w:asciiTheme="minorHAnsi" w:hAnsiTheme="minorHAnsi"/>
                <w:spacing w:val="3"/>
                <w:sz w:val="19"/>
              </w:rPr>
              <w:t xml:space="preserve">Indigenous </w:t>
            </w:r>
            <w:r w:rsidRPr="00191478">
              <w:rPr>
                <w:rFonts w:asciiTheme="minorHAnsi" w:hAnsiTheme="minorHAnsi"/>
                <w:spacing w:val="2"/>
                <w:sz w:val="19"/>
              </w:rPr>
              <w:t xml:space="preserve">students from RRR </w:t>
            </w:r>
            <w:r w:rsidRPr="00191478">
              <w:rPr>
                <w:rFonts w:asciiTheme="minorHAnsi" w:hAnsiTheme="minorHAnsi"/>
                <w:spacing w:val="3"/>
                <w:sz w:val="19"/>
              </w:rPr>
              <w:t xml:space="preserve">areas </w:t>
            </w:r>
            <w:r w:rsidRPr="00191478">
              <w:rPr>
                <w:rFonts w:asciiTheme="minorHAnsi" w:hAnsiTheme="minorHAnsi"/>
                <w:spacing w:val="2"/>
                <w:sz w:val="19"/>
              </w:rPr>
              <w:t xml:space="preserve">through </w:t>
            </w:r>
            <w:r w:rsidRPr="00191478">
              <w:rPr>
                <w:rFonts w:asciiTheme="minorHAnsi" w:hAnsiTheme="minorHAnsi"/>
                <w:spacing w:val="4"/>
                <w:sz w:val="19"/>
              </w:rPr>
              <w:t xml:space="preserve">supporting </w:t>
            </w:r>
            <w:r w:rsidRPr="00191478">
              <w:rPr>
                <w:rFonts w:asciiTheme="minorHAnsi" w:hAnsiTheme="minorHAnsi"/>
                <w:spacing w:val="2"/>
                <w:sz w:val="19"/>
              </w:rPr>
              <w:t xml:space="preserve">flexible </w:t>
            </w:r>
            <w:r w:rsidRPr="00191478">
              <w:rPr>
                <w:rFonts w:asciiTheme="minorHAnsi" w:hAnsiTheme="minorHAnsi"/>
                <w:spacing w:val="4"/>
                <w:sz w:val="19"/>
              </w:rPr>
              <w:t xml:space="preserve">delivery </w:t>
            </w:r>
            <w:r w:rsidRPr="00191478">
              <w:rPr>
                <w:rFonts w:asciiTheme="minorHAnsi" w:hAnsiTheme="minorHAnsi"/>
                <w:spacing w:val="3"/>
                <w:sz w:val="19"/>
              </w:rPr>
              <w:t xml:space="preserve">models </w:t>
            </w:r>
            <w:r w:rsidRPr="00191478">
              <w:rPr>
                <w:rFonts w:asciiTheme="minorHAnsi" w:hAnsiTheme="minorHAnsi"/>
                <w:sz w:val="19"/>
              </w:rPr>
              <w:t xml:space="preserve">(on </w:t>
            </w:r>
            <w:r w:rsidRPr="00191478">
              <w:rPr>
                <w:rFonts w:asciiTheme="minorHAnsi" w:hAnsiTheme="minorHAnsi"/>
                <w:spacing w:val="3"/>
                <w:sz w:val="19"/>
              </w:rPr>
              <w:t>Country delivery) incorporating co-design</w:t>
            </w:r>
            <w:r w:rsidRPr="00191478">
              <w:rPr>
                <w:rFonts w:asciiTheme="minorHAnsi" w:hAnsiTheme="minorHAnsi"/>
                <w:spacing w:val="38"/>
                <w:sz w:val="19"/>
              </w:rPr>
              <w:t xml:space="preserve"> </w:t>
            </w:r>
            <w:r w:rsidRPr="00191478">
              <w:rPr>
                <w:rFonts w:asciiTheme="minorHAnsi" w:hAnsiTheme="minorHAnsi"/>
                <w:spacing w:val="3"/>
                <w:sz w:val="19"/>
              </w:rPr>
              <w:t>and</w:t>
            </w:r>
          </w:p>
          <w:p w14:paraId="35E09FD5" w14:textId="77777777" w:rsidR="00041655" w:rsidRPr="00191478" w:rsidRDefault="00041655" w:rsidP="00F33AA3">
            <w:pPr>
              <w:pStyle w:val="TableParagraph"/>
              <w:spacing w:before="0" w:line="235" w:lineRule="auto"/>
              <w:ind w:left="415"/>
              <w:rPr>
                <w:rFonts w:asciiTheme="minorHAnsi" w:hAnsiTheme="minorHAnsi"/>
                <w:sz w:val="19"/>
              </w:rPr>
            </w:pPr>
            <w:r w:rsidRPr="00191478">
              <w:rPr>
                <w:rFonts w:asciiTheme="minorHAnsi" w:hAnsiTheme="minorHAnsi"/>
                <w:sz w:val="19"/>
              </w:rPr>
              <w:t>co-implementation, outreach services, mentoring and also providing support to distance students and tailored academic support for students in their later years of study.</w:t>
            </w:r>
          </w:p>
          <w:p w14:paraId="05608214" w14:textId="77777777" w:rsidR="00041655" w:rsidRPr="00191478" w:rsidRDefault="00041655" w:rsidP="00041655">
            <w:pPr>
              <w:pStyle w:val="TableParagraph"/>
              <w:numPr>
                <w:ilvl w:val="0"/>
                <w:numId w:val="33"/>
              </w:numPr>
              <w:tabs>
                <w:tab w:val="left" w:pos="416"/>
              </w:tabs>
              <w:spacing w:before="57" w:line="235" w:lineRule="auto"/>
              <w:ind w:right="201" w:hanging="340"/>
              <w:rPr>
                <w:rFonts w:asciiTheme="minorHAnsi" w:hAnsiTheme="minorHAnsi"/>
                <w:sz w:val="19"/>
              </w:rPr>
            </w:pPr>
            <w:r w:rsidRPr="00191478">
              <w:rPr>
                <w:rFonts w:asciiTheme="minorHAnsi" w:hAnsiTheme="minorHAnsi"/>
                <w:spacing w:val="3"/>
                <w:sz w:val="19"/>
              </w:rPr>
              <w:t xml:space="preserve">Encourage </w:t>
            </w:r>
            <w:r w:rsidRPr="00191478">
              <w:rPr>
                <w:rFonts w:asciiTheme="minorHAnsi" w:hAnsiTheme="minorHAnsi"/>
                <w:spacing w:val="4"/>
                <w:sz w:val="19"/>
              </w:rPr>
              <w:t xml:space="preserve">tertiary </w:t>
            </w:r>
            <w:r w:rsidRPr="00191478">
              <w:rPr>
                <w:rFonts w:asciiTheme="minorHAnsi" w:hAnsiTheme="minorHAnsi"/>
                <w:spacing w:val="3"/>
                <w:sz w:val="19"/>
              </w:rPr>
              <w:t xml:space="preserve">providers </w:t>
            </w:r>
            <w:r w:rsidRPr="00191478">
              <w:rPr>
                <w:rFonts w:asciiTheme="minorHAnsi" w:hAnsiTheme="minorHAnsi"/>
                <w:sz w:val="19"/>
              </w:rPr>
              <w:t xml:space="preserve">to </w:t>
            </w:r>
            <w:r w:rsidRPr="00191478">
              <w:rPr>
                <w:rFonts w:asciiTheme="minorHAnsi" w:hAnsiTheme="minorHAnsi"/>
                <w:spacing w:val="3"/>
                <w:sz w:val="19"/>
              </w:rPr>
              <w:t xml:space="preserve">implement programs </w:t>
            </w:r>
            <w:r w:rsidRPr="00191478">
              <w:rPr>
                <w:rFonts w:asciiTheme="minorHAnsi" w:hAnsiTheme="minorHAnsi"/>
                <w:sz w:val="19"/>
              </w:rPr>
              <w:t xml:space="preserve">to </w:t>
            </w:r>
            <w:r w:rsidRPr="00191478">
              <w:rPr>
                <w:rFonts w:asciiTheme="minorHAnsi" w:hAnsiTheme="minorHAnsi"/>
                <w:spacing w:val="4"/>
                <w:sz w:val="19"/>
              </w:rPr>
              <w:t xml:space="preserve">support </w:t>
            </w:r>
            <w:r w:rsidRPr="00191478">
              <w:rPr>
                <w:rFonts w:asciiTheme="minorHAnsi" w:hAnsiTheme="minorHAnsi"/>
                <w:spacing w:val="2"/>
                <w:sz w:val="19"/>
              </w:rPr>
              <w:t xml:space="preserve">improved retention </w:t>
            </w:r>
            <w:r w:rsidRPr="00191478">
              <w:rPr>
                <w:rFonts w:asciiTheme="minorHAnsi" w:hAnsiTheme="minorHAnsi"/>
                <w:sz w:val="19"/>
              </w:rPr>
              <w:t xml:space="preserve">of </w:t>
            </w:r>
            <w:r w:rsidRPr="00191478">
              <w:rPr>
                <w:rFonts w:asciiTheme="minorHAnsi" w:hAnsiTheme="minorHAnsi"/>
                <w:spacing w:val="2"/>
                <w:sz w:val="19"/>
              </w:rPr>
              <w:t xml:space="preserve">students </w:t>
            </w:r>
            <w:r w:rsidRPr="00191478">
              <w:rPr>
                <w:rFonts w:asciiTheme="minorHAnsi" w:hAnsiTheme="minorHAnsi"/>
                <w:spacing w:val="3"/>
                <w:sz w:val="19"/>
              </w:rPr>
              <w:t xml:space="preserve">facing hardship </w:t>
            </w:r>
            <w:r w:rsidRPr="00191478">
              <w:rPr>
                <w:rFonts w:asciiTheme="minorHAnsi" w:hAnsiTheme="minorHAnsi"/>
                <w:spacing w:val="2"/>
                <w:sz w:val="19"/>
              </w:rPr>
              <w:t xml:space="preserve">due </w:t>
            </w:r>
            <w:r w:rsidRPr="00191478">
              <w:rPr>
                <w:rFonts w:asciiTheme="minorHAnsi" w:hAnsiTheme="minorHAnsi"/>
                <w:sz w:val="19"/>
              </w:rPr>
              <w:t xml:space="preserve">to </w:t>
            </w:r>
            <w:r w:rsidRPr="00191478">
              <w:rPr>
                <w:rFonts w:asciiTheme="minorHAnsi" w:hAnsiTheme="minorHAnsi"/>
                <w:spacing w:val="3"/>
                <w:sz w:val="19"/>
              </w:rPr>
              <w:t xml:space="preserve">drought and </w:t>
            </w:r>
            <w:r w:rsidRPr="00191478">
              <w:rPr>
                <w:rFonts w:asciiTheme="minorHAnsi" w:hAnsiTheme="minorHAnsi"/>
                <w:spacing w:val="2"/>
                <w:sz w:val="19"/>
              </w:rPr>
              <w:t xml:space="preserve">other climatic </w:t>
            </w:r>
            <w:r w:rsidRPr="00191478">
              <w:rPr>
                <w:rFonts w:asciiTheme="minorHAnsi" w:hAnsiTheme="minorHAnsi"/>
                <w:sz w:val="19"/>
              </w:rPr>
              <w:t xml:space="preserve">events, or </w:t>
            </w:r>
            <w:r w:rsidRPr="00191478">
              <w:rPr>
                <w:rFonts w:asciiTheme="minorHAnsi" w:hAnsiTheme="minorHAnsi"/>
                <w:spacing w:val="3"/>
                <w:sz w:val="19"/>
              </w:rPr>
              <w:t xml:space="preserve">needing </w:t>
            </w:r>
            <w:r w:rsidRPr="00191478">
              <w:rPr>
                <w:rFonts w:asciiTheme="minorHAnsi" w:hAnsiTheme="minorHAnsi"/>
                <w:sz w:val="19"/>
              </w:rPr>
              <w:t xml:space="preserve">to </w:t>
            </w:r>
            <w:r w:rsidRPr="00191478">
              <w:rPr>
                <w:rFonts w:asciiTheme="minorHAnsi" w:hAnsiTheme="minorHAnsi"/>
                <w:spacing w:val="3"/>
                <w:sz w:val="19"/>
              </w:rPr>
              <w:t xml:space="preserve">participate </w:t>
            </w:r>
            <w:r w:rsidRPr="00191478">
              <w:rPr>
                <w:rFonts w:asciiTheme="minorHAnsi" w:hAnsiTheme="minorHAnsi"/>
                <w:sz w:val="19"/>
              </w:rPr>
              <w:t xml:space="preserve">in </w:t>
            </w:r>
            <w:r w:rsidRPr="00191478">
              <w:rPr>
                <w:rFonts w:asciiTheme="minorHAnsi" w:hAnsiTheme="minorHAnsi"/>
                <w:spacing w:val="3"/>
                <w:sz w:val="19"/>
              </w:rPr>
              <w:t xml:space="preserve">Indigenous cultural practices and </w:t>
            </w:r>
            <w:r w:rsidRPr="00191478">
              <w:rPr>
                <w:rFonts w:asciiTheme="minorHAnsi" w:hAnsiTheme="minorHAnsi"/>
                <w:spacing w:val="2"/>
                <w:sz w:val="19"/>
              </w:rPr>
              <w:t xml:space="preserve">protocols </w:t>
            </w:r>
            <w:r w:rsidRPr="00191478">
              <w:rPr>
                <w:rFonts w:asciiTheme="minorHAnsi" w:hAnsiTheme="minorHAnsi"/>
                <w:sz w:val="19"/>
              </w:rPr>
              <w:t xml:space="preserve">by </w:t>
            </w:r>
            <w:r w:rsidRPr="00191478">
              <w:rPr>
                <w:rFonts w:asciiTheme="minorHAnsi" w:hAnsiTheme="minorHAnsi"/>
                <w:spacing w:val="3"/>
                <w:sz w:val="19"/>
              </w:rPr>
              <w:t xml:space="preserve">allowing </w:t>
            </w:r>
            <w:r w:rsidRPr="00191478">
              <w:rPr>
                <w:rFonts w:asciiTheme="minorHAnsi" w:hAnsiTheme="minorHAnsi"/>
                <w:spacing w:val="2"/>
                <w:sz w:val="19"/>
              </w:rPr>
              <w:t xml:space="preserve">them </w:t>
            </w:r>
            <w:r w:rsidRPr="00191478">
              <w:rPr>
                <w:rFonts w:asciiTheme="minorHAnsi" w:hAnsiTheme="minorHAnsi"/>
                <w:sz w:val="19"/>
              </w:rPr>
              <w:t xml:space="preserve">to take a </w:t>
            </w:r>
            <w:r w:rsidRPr="00191478">
              <w:rPr>
                <w:rFonts w:asciiTheme="minorHAnsi" w:hAnsiTheme="minorHAnsi"/>
                <w:spacing w:val="3"/>
                <w:sz w:val="19"/>
              </w:rPr>
              <w:t xml:space="preserve">break </w:t>
            </w:r>
            <w:r w:rsidRPr="00191478">
              <w:rPr>
                <w:rFonts w:asciiTheme="minorHAnsi" w:hAnsiTheme="minorHAnsi"/>
                <w:spacing w:val="2"/>
                <w:sz w:val="19"/>
              </w:rPr>
              <w:t xml:space="preserve">from </w:t>
            </w:r>
            <w:r w:rsidRPr="00191478">
              <w:rPr>
                <w:rFonts w:asciiTheme="minorHAnsi" w:hAnsiTheme="minorHAnsi"/>
                <w:spacing w:val="3"/>
                <w:sz w:val="19"/>
              </w:rPr>
              <w:t xml:space="preserve">their </w:t>
            </w:r>
            <w:r w:rsidRPr="00191478">
              <w:rPr>
                <w:rFonts w:asciiTheme="minorHAnsi" w:hAnsiTheme="minorHAnsi"/>
                <w:spacing w:val="2"/>
                <w:sz w:val="19"/>
              </w:rPr>
              <w:t xml:space="preserve">studies, </w:t>
            </w:r>
            <w:r w:rsidRPr="00191478">
              <w:rPr>
                <w:rFonts w:asciiTheme="minorHAnsi" w:hAnsiTheme="minorHAnsi"/>
                <w:spacing w:val="3"/>
                <w:sz w:val="19"/>
              </w:rPr>
              <w:t xml:space="preserve">similar </w:t>
            </w:r>
            <w:r w:rsidRPr="00191478">
              <w:rPr>
                <w:rFonts w:asciiTheme="minorHAnsi" w:hAnsiTheme="minorHAnsi"/>
                <w:sz w:val="19"/>
              </w:rPr>
              <w:t xml:space="preserve">to </w:t>
            </w:r>
            <w:r w:rsidRPr="00191478">
              <w:rPr>
                <w:rFonts w:asciiTheme="minorHAnsi" w:hAnsiTheme="minorHAnsi"/>
                <w:spacing w:val="4"/>
                <w:sz w:val="19"/>
              </w:rPr>
              <w:t xml:space="preserve">support </w:t>
            </w:r>
            <w:r w:rsidRPr="00191478">
              <w:rPr>
                <w:rFonts w:asciiTheme="minorHAnsi" w:hAnsiTheme="minorHAnsi"/>
                <w:spacing w:val="3"/>
                <w:sz w:val="19"/>
              </w:rPr>
              <w:t xml:space="preserve">available </w:t>
            </w:r>
            <w:r w:rsidRPr="00191478">
              <w:rPr>
                <w:rFonts w:asciiTheme="minorHAnsi" w:hAnsiTheme="minorHAnsi"/>
                <w:spacing w:val="2"/>
                <w:sz w:val="19"/>
              </w:rPr>
              <w:t xml:space="preserve">for elite athletes </w:t>
            </w:r>
            <w:r w:rsidRPr="00191478">
              <w:rPr>
                <w:rFonts w:asciiTheme="minorHAnsi" w:hAnsiTheme="minorHAnsi"/>
                <w:spacing w:val="3"/>
                <w:sz w:val="19"/>
              </w:rPr>
              <w:t>and defence</w:t>
            </w:r>
            <w:r w:rsidRPr="00191478">
              <w:rPr>
                <w:rFonts w:asciiTheme="minorHAnsi" w:hAnsiTheme="minorHAnsi"/>
                <w:spacing w:val="10"/>
                <w:sz w:val="19"/>
              </w:rPr>
              <w:t xml:space="preserve"> </w:t>
            </w:r>
            <w:r w:rsidRPr="00191478">
              <w:rPr>
                <w:rFonts w:asciiTheme="minorHAnsi" w:hAnsiTheme="minorHAnsi"/>
                <w:spacing w:val="3"/>
                <w:sz w:val="19"/>
              </w:rPr>
              <w:t>reservists.</w:t>
            </w:r>
          </w:p>
          <w:p w14:paraId="626AE89E" w14:textId="5D6EA75A" w:rsidR="00041655" w:rsidRPr="00191478" w:rsidRDefault="00041655" w:rsidP="00041655">
            <w:pPr>
              <w:pStyle w:val="TableParagraph"/>
              <w:numPr>
                <w:ilvl w:val="0"/>
                <w:numId w:val="33"/>
              </w:numPr>
              <w:tabs>
                <w:tab w:val="left" w:pos="416"/>
              </w:tabs>
              <w:spacing w:before="57" w:line="235" w:lineRule="auto"/>
              <w:ind w:right="78" w:hanging="340"/>
              <w:rPr>
                <w:rFonts w:asciiTheme="minorHAnsi" w:hAnsiTheme="minorHAnsi"/>
                <w:sz w:val="19"/>
              </w:rPr>
            </w:pPr>
            <w:r w:rsidRPr="00191478">
              <w:rPr>
                <w:rFonts w:asciiTheme="minorHAnsi" w:hAnsiTheme="minorHAnsi"/>
                <w:spacing w:val="2"/>
                <w:sz w:val="19"/>
              </w:rPr>
              <w:t>Ensure</w:t>
            </w:r>
            <w:r w:rsidRPr="00191478">
              <w:rPr>
                <w:rFonts w:asciiTheme="minorHAnsi" w:hAnsiTheme="minorHAnsi"/>
                <w:spacing w:val="-4"/>
                <w:sz w:val="19"/>
              </w:rPr>
              <w:t xml:space="preserve"> </w:t>
            </w:r>
            <w:r w:rsidRPr="00191478">
              <w:rPr>
                <w:rFonts w:asciiTheme="minorHAnsi" w:hAnsiTheme="minorHAnsi"/>
                <w:spacing w:val="2"/>
                <w:sz w:val="19"/>
              </w:rPr>
              <w:t>the</w:t>
            </w:r>
            <w:r w:rsidRPr="00191478">
              <w:rPr>
                <w:rFonts w:asciiTheme="minorHAnsi" w:hAnsiTheme="minorHAnsi"/>
                <w:spacing w:val="-3"/>
                <w:sz w:val="19"/>
              </w:rPr>
              <w:t xml:space="preserve"> </w:t>
            </w:r>
            <w:r w:rsidRPr="00191478">
              <w:rPr>
                <w:rFonts w:asciiTheme="minorHAnsi" w:hAnsiTheme="minorHAnsi"/>
                <w:spacing w:val="3"/>
                <w:sz w:val="19"/>
              </w:rPr>
              <w:t>specific</w:t>
            </w:r>
            <w:r w:rsidRPr="00191478">
              <w:rPr>
                <w:rFonts w:asciiTheme="minorHAnsi" w:hAnsiTheme="minorHAnsi"/>
                <w:spacing w:val="-3"/>
                <w:sz w:val="19"/>
              </w:rPr>
              <w:t xml:space="preserve"> </w:t>
            </w:r>
            <w:r w:rsidRPr="00191478">
              <w:rPr>
                <w:rFonts w:asciiTheme="minorHAnsi" w:hAnsiTheme="minorHAnsi"/>
                <w:spacing w:val="4"/>
                <w:sz w:val="19"/>
              </w:rPr>
              <w:t>support</w:t>
            </w:r>
            <w:r w:rsidRPr="00191478">
              <w:rPr>
                <w:rFonts w:asciiTheme="minorHAnsi" w:hAnsiTheme="minorHAnsi"/>
                <w:spacing w:val="-4"/>
                <w:sz w:val="19"/>
              </w:rPr>
              <w:t xml:space="preserve"> </w:t>
            </w:r>
            <w:r w:rsidRPr="00191478">
              <w:rPr>
                <w:rFonts w:asciiTheme="minorHAnsi" w:hAnsiTheme="minorHAnsi"/>
                <w:spacing w:val="3"/>
                <w:sz w:val="19"/>
              </w:rPr>
              <w:t>needs</w:t>
            </w:r>
            <w:r w:rsidRPr="00191478">
              <w:rPr>
                <w:rFonts w:asciiTheme="minorHAnsi" w:hAnsiTheme="minorHAnsi"/>
                <w:spacing w:val="-3"/>
                <w:sz w:val="19"/>
              </w:rPr>
              <w:t xml:space="preserve"> </w:t>
            </w:r>
            <w:r w:rsidRPr="00191478">
              <w:rPr>
                <w:rFonts w:asciiTheme="minorHAnsi" w:hAnsiTheme="minorHAnsi"/>
                <w:sz w:val="19"/>
              </w:rPr>
              <w:t>of</w:t>
            </w:r>
            <w:r w:rsidRPr="00191478">
              <w:rPr>
                <w:rFonts w:asciiTheme="minorHAnsi" w:hAnsiTheme="minorHAnsi"/>
                <w:spacing w:val="-3"/>
                <w:sz w:val="19"/>
              </w:rPr>
              <w:t xml:space="preserve"> </w:t>
            </w:r>
            <w:r w:rsidRPr="00191478">
              <w:rPr>
                <w:rFonts w:asciiTheme="minorHAnsi" w:hAnsiTheme="minorHAnsi"/>
                <w:spacing w:val="4"/>
                <w:sz w:val="19"/>
              </w:rPr>
              <w:t>equity</w:t>
            </w:r>
            <w:r w:rsidRPr="00191478">
              <w:rPr>
                <w:rFonts w:asciiTheme="minorHAnsi" w:hAnsiTheme="minorHAnsi"/>
                <w:spacing w:val="-3"/>
                <w:sz w:val="19"/>
              </w:rPr>
              <w:t xml:space="preserve"> </w:t>
            </w:r>
            <w:r w:rsidRPr="00191478">
              <w:rPr>
                <w:rFonts w:asciiTheme="minorHAnsi" w:hAnsiTheme="minorHAnsi"/>
                <w:spacing w:val="2"/>
                <w:sz w:val="19"/>
              </w:rPr>
              <w:t>groups,</w:t>
            </w:r>
            <w:r w:rsidRPr="00191478">
              <w:rPr>
                <w:rFonts w:asciiTheme="minorHAnsi" w:hAnsiTheme="minorHAnsi"/>
                <w:spacing w:val="-4"/>
                <w:sz w:val="19"/>
              </w:rPr>
              <w:t xml:space="preserve"> </w:t>
            </w:r>
            <w:r w:rsidRPr="00191478">
              <w:rPr>
                <w:rFonts w:asciiTheme="minorHAnsi" w:hAnsiTheme="minorHAnsi"/>
                <w:spacing w:val="3"/>
                <w:sz w:val="19"/>
              </w:rPr>
              <w:t>such</w:t>
            </w:r>
            <w:r w:rsidRPr="00191478">
              <w:rPr>
                <w:rFonts w:asciiTheme="minorHAnsi" w:hAnsiTheme="minorHAnsi"/>
                <w:spacing w:val="-3"/>
                <w:sz w:val="19"/>
              </w:rPr>
              <w:t xml:space="preserve"> </w:t>
            </w:r>
            <w:r w:rsidRPr="00191478">
              <w:rPr>
                <w:rFonts w:asciiTheme="minorHAnsi" w:hAnsiTheme="minorHAnsi"/>
                <w:sz w:val="19"/>
              </w:rPr>
              <w:t>as</w:t>
            </w:r>
            <w:r w:rsidRPr="00191478">
              <w:rPr>
                <w:rFonts w:asciiTheme="minorHAnsi" w:hAnsiTheme="minorHAnsi"/>
                <w:spacing w:val="-3"/>
                <w:sz w:val="19"/>
              </w:rPr>
              <w:t xml:space="preserve"> </w:t>
            </w:r>
            <w:r w:rsidRPr="00191478">
              <w:rPr>
                <w:rFonts w:asciiTheme="minorHAnsi" w:hAnsiTheme="minorHAnsi"/>
                <w:spacing w:val="2"/>
                <w:sz w:val="19"/>
              </w:rPr>
              <w:t>students</w:t>
            </w:r>
            <w:r w:rsidRPr="00191478">
              <w:rPr>
                <w:rFonts w:asciiTheme="minorHAnsi" w:hAnsiTheme="minorHAnsi"/>
                <w:spacing w:val="-4"/>
                <w:sz w:val="19"/>
              </w:rPr>
              <w:t xml:space="preserve"> </w:t>
            </w:r>
            <w:r w:rsidRPr="00191478">
              <w:rPr>
                <w:rFonts w:asciiTheme="minorHAnsi" w:hAnsiTheme="minorHAnsi"/>
                <w:spacing w:val="2"/>
                <w:sz w:val="19"/>
              </w:rPr>
              <w:t>with</w:t>
            </w:r>
            <w:r w:rsidRPr="00191478">
              <w:rPr>
                <w:rFonts w:asciiTheme="minorHAnsi" w:hAnsiTheme="minorHAnsi"/>
                <w:spacing w:val="-3"/>
                <w:sz w:val="19"/>
              </w:rPr>
              <w:t xml:space="preserve"> </w:t>
            </w:r>
            <w:r w:rsidRPr="00191478">
              <w:rPr>
                <w:rFonts w:asciiTheme="minorHAnsi" w:hAnsiTheme="minorHAnsi"/>
                <w:spacing w:val="2"/>
                <w:sz w:val="19"/>
              </w:rPr>
              <w:t xml:space="preserve">disability, are taken </w:t>
            </w:r>
            <w:r w:rsidRPr="00191478">
              <w:rPr>
                <w:rFonts w:asciiTheme="minorHAnsi" w:hAnsiTheme="minorHAnsi"/>
                <w:sz w:val="19"/>
              </w:rPr>
              <w:t xml:space="preserve">into </w:t>
            </w:r>
            <w:r w:rsidRPr="00191478">
              <w:rPr>
                <w:rFonts w:asciiTheme="minorHAnsi" w:hAnsiTheme="minorHAnsi"/>
                <w:spacing w:val="3"/>
                <w:sz w:val="19"/>
              </w:rPr>
              <w:t xml:space="preserve">account </w:t>
            </w:r>
            <w:r w:rsidRPr="00191478">
              <w:rPr>
                <w:rFonts w:asciiTheme="minorHAnsi" w:hAnsiTheme="minorHAnsi"/>
                <w:sz w:val="19"/>
              </w:rPr>
              <w:t xml:space="preserve">as </w:t>
            </w:r>
            <w:r w:rsidRPr="00191478">
              <w:rPr>
                <w:rFonts w:asciiTheme="minorHAnsi" w:hAnsiTheme="minorHAnsi"/>
                <w:spacing w:val="4"/>
                <w:sz w:val="19"/>
              </w:rPr>
              <w:t xml:space="preserve">part </w:t>
            </w:r>
            <w:r w:rsidRPr="00191478">
              <w:rPr>
                <w:rFonts w:asciiTheme="minorHAnsi" w:hAnsiTheme="minorHAnsi"/>
                <w:sz w:val="19"/>
              </w:rPr>
              <w:t xml:space="preserve">of any </w:t>
            </w:r>
            <w:r w:rsidRPr="00191478">
              <w:rPr>
                <w:rFonts w:asciiTheme="minorHAnsi" w:hAnsiTheme="minorHAnsi"/>
                <w:spacing w:val="3"/>
                <w:sz w:val="19"/>
              </w:rPr>
              <w:t xml:space="preserve">wider </w:t>
            </w:r>
            <w:r w:rsidRPr="00191478">
              <w:rPr>
                <w:rFonts w:asciiTheme="minorHAnsi" w:hAnsiTheme="minorHAnsi"/>
                <w:spacing w:val="2"/>
                <w:sz w:val="19"/>
              </w:rPr>
              <w:t xml:space="preserve">initiatives </w:t>
            </w:r>
            <w:r w:rsidRPr="00191478">
              <w:rPr>
                <w:rFonts w:asciiTheme="minorHAnsi" w:hAnsiTheme="minorHAnsi"/>
                <w:sz w:val="19"/>
              </w:rPr>
              <w:t xml:space="preserve">to </w:t>
            </w:r>
            <w:r w:rsidRPr="00191478">
              <w:rPr>
                <w:rFonts w:asciiTheme="minorHAnsi" w:hAnsiTheme="minorHAnsi"/>
                <w:spacing w:val="2"/>
                <w:sz w:val="19"/>
              </w:rPr>
              <w:t xml:space="preserve">improve the quality, </w:t>
            </w:r>
            <w:r w:rsidRPr="00191478">
              <w:rPr>
                <w:rFonts w:asciiTheme="minorHAnsi" w:hAnsiTheme="minorHAnsi"/>
                <w:spacing w:val="3"/>
                <w:sz w:val="19"/>
              </w:rPr>
              <w:t xml:space="preserve">availability and range </w:t>
            </w:r>
            <w:r w:rsidRPr="00191478">
              <w:rPr>
                <w:rFonts w:asciiTheme="minorHAnsi" w:hAnsiTheme="minorHAnsi"/>
                <w:sz w:val="19"/>
              </w:rPr>
              <w:t xml:space="preserve">of </w:t>
            </w:r>
            <w:r w:rsidRPr="00191478">
              <w:rPr>
                <w:rFonts w:asciiTheme="minorHAnsi" w:hAnsiTheme="minorHAnsi"/>
                <w:spacing w:val="4"/>
                <w:sz w:val="19"/>
              </w:rPr>
              <w:t xml:space="preserve">support </w:t>
            </w:r>
            <w:r w:rsidRPr="00191478">
              <w:rPr>
                <w:rFonts w:asciiTheme="minorHAnsi" w:hAnsiTheme="minorHAnsi"/>
                <w:spacing w:val="3"/>
                <w:sz w:val="19"/>
              </w:rPr>
              <w:t xml:space="preserve">provided </w:t>
            </w:r>
            <w:r w:rsidRPr="00191478">
              <w:rPr>
                <w:rFonts w:asciiTheme="minorHAnsi" w:hAnsiTheme="minorHAnsi"/>
                <w:sz w:val="19"/>
              </w:rPr>
              <w:t xml:space="preserve">by </w:t>
            </w:r>
            <w:r w:rsidRPr="00191478">
              <w:rPr>
                <w:rFonts w:asciiTheme="minorHAnsi" w:hAnsiTheme="minorHAnsi"/>
                <w:spacing w:val="4"/>
                <w:sz w:val="19"/>
              </w:rPr>
              <w:t>tertiary</w:t>
            </w:r>
            <w:r w:rsidRPr="00191478">
              <w:rPr>
                <w:rFonts w:asciiTheme="minorHAnsi" w:hAnsiTheme="minorHAnsi"/>
                <w:sz w:val="19"/>
              </w:rPr>
              <w:t xml:space="preserve"> </w:t>
            </w:r>
            <w:r w:rsidRPr="00191478">
              <w:rPr>
                <w:rFonts w:asciiTheme="minorHAnsi" w:hAnsiTheme="minorHAnsi"/>
                <w:spacing w:val="2"/>
                <w:sz w:val="19"/>
              </w:rPr>
              <w:t>institutions.</w:t>
            </w:r>
          </w:p>
        </w:tc>
      </w:tr>
    </w:tbl>
    <w:p w14:paraId="3331F411" w14:textId="77DC02A3" w:rsidR="004B2767" w:rsidRDefault="004B2767" w:rsidP="00041655">
      <w:pPr>
        <w:spacing w:line="235" w:lineRule="auto"/>
        <w:rPr>
          <w:sz w:val="19"/>
        </w:rPr>
      </w:pPr>
    </w:p>
    <w:p w14:paraId="267E773A" w14:textId="77777777" w:rsidR="004B2767" w:rsidRPr="004B2767" w:rsidRDefault="004B2767" w:rsidP="004B2767">
      <w:pPr>
        <w:rPr>
          <w:sz w:val="19"/>
        </w:rPr>
      </w:pPr>
    </w:p>
    <w:p w14:paraId="04045490" w14:textId="77777777" w:rsidR="004B2767" w:rsidRPr="004B2767" w:rsidRDefault="004B2767" w:rsidP="004B2767">
      <w:pPr>
        <w:rPr>
          <w:sz w:val="19"/>
        </w:rPr>
      </w:pPr>
    </w:p>
    <w:p w14:paraId="129895CD" w14:textId="77777777" w:rsidR="004B2767" w:rsidRPr="004B2767" w:rsidRDefault="004B2767" w:rsidP="004B2767">
      <w:pPr>
        <w:rPr>
          <w:sz w:val="19"/>
        </w:rPr>
      </w:pPr>
    </w:p>
    <w:p w14:paraId="4E5E17C2" w14:textId="145507A8" w:rsidR="004B2767" w:rsidRDefault="004B2767" w:rsidP="004B2767">
      <w:pPr>
        <w:jc w:val="right"/>
        <w:rPr>
          <w:sz w:val="19"/>
        </w:rPr>
      </w:pPr>
    </w:p>
    <w:p w14:paraId="1D137121" w14:textId="4B4FA62C" w:rsidR="004B2767" w:rsidRDefault="004B2767" w:rsidP="004B2767">
      <w:pPr>
        <w:rPr>
          <w:sz w:val="19"/>
        </w:rPr>
      </w:pPr>
    </w:p>
    <w:p w14:paraId="49A6CDE9" w14:textId="77777777" w:rsidR="00041655" w:rsidRPr="004B2767" w:rsidRDefault="00041655" w:rsidP="004B2767">
      <w:pPr>
        <w:rPr>
          <w:sz w:val="19"/>
        </w:rPr>
        <w:sectPr w:rsidR="00041655" w:rsidRPr="004B2767" w:rsidSect="004B2767">
          <w:headerReference w:type="even" r:id="rId38"/>
          <w:footerReference w:type="even" r:id="rId39"/>
          <w:footerReference w:type="default" r:id="rId40"/>
          <w:pgSz w:w="16840" w:h="11910" w:orient="landscape"/>
          <w:pgMar w:top="1100" w:right="1140" w:bottom="800" w:left="1140" w:header="0" w:footer="609" w:gutter="0"/>
          <w:pgNumType w:start="67"/>
          <w:cols w:space="720"/>
        </w:sectPr>
      </w:pPr>
    </w:p>
    <w:p w14:paraId="1E6D1029" w14:textId="77777777" w:rsidR="00041655" w:rsidRPr="00191478" w:rsidRDefault="00041655" w:rsidP="00041655">
      <w:pPr>
        <w:pStyle w:val="BodyText"/>
        <w:spacing w:before="6"/>
        <w:rPr>
          <w:sz w:val="27"/>
        </w:rPr>
      </w:pPr>
    </w:p>
    <w:tbl>
      <w:tblPr>
        <w:tblW w:w="0" w:type="auto"/>
        <w:tblInd w:w="1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100"/>
        <w:gridCol w:w="2702"/>
        <w:gridCol w:w="7520"/>
      </w:tblGrid>
      <w:tr w:rsidR="00041655" w:rsidRPr="00191478" w14:paraId="18661439" w14:textId="77777777" w:rsidTr="00F33AA3">
        <w:trPr>
          <w:trHeight w:val="301"/>
        </w:trPr>
        <w:tc>
          <w:tcPr>
            <w:tcW w:w="4100" w:type="dxa"/>
            <w:tcBorders>
              <w:top w:val="nil"/>
              <w:left w:val="nil"/>
            </w:tcBorders>
            <w:shd w:val="clear" w:color="auto" w:fill="314652"/>
          </w:tcPr>
          <w:p w14:paraId="5911C285" w14:textId="77777777" w:rsidR="00041655" w:rsidRPr="00191478" w:rsidRDefault="00041655" w:rsidP="00F33AA3">
            <w:pPr>
              <w:pStyle w:val="TableParagraph"/>
              <w:spacing w:before="45"/>
              <w:ind w:left="80"/>
              <w:rPr>
                <w:rFonts w:asciiTheme="minorHAnsi" w:hAnsiTheme="minorHAnsi"/>
                <w:sz w:val="19"/>
              </w:rPr>
            </w:pPr>
            <w:r w:rsidRPr="00191478">
              <w:rPr>
                <w:rFonts w:asciiTheme="minorHAnsi" w:hAnsiTheme="minorHAnsi"/>
                <w:color w:val="FFFFFF"/>
                <w:sz w:val="19"/>
              </w:rPr>
              <w:t>Findings</w:t>
            </w:r>
          </w:p>
        </w:tc>
        <w:tc>
          <w:tcPr>
            <w:tcW w:w="2702" w:type="dxa"/>
            <w:tcBorders>
              <w:top w:val="nil"/>
            </w:tcBorders>
            <w:shd w:val="clear" w:color="auto" w:fill="314652"/>
          </w:tcPr>
          <w:p w14:paraId="1960490D"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Recommendations</w:t>
            </w:r>
          </w:p>
        </w:tc>
        <w:tc>
          <w:tcPr>
            <w:tcW w:w="7520" w:type="dxa"/>
            <w:tcBorders>
              <w:top w:val="nil"/>
              <w:right w:val="nil"/>
            </w:tcBorders>
            <w:shd w:val="clear" w:color="auto" w:fill="314652"/>
          </w:tcPr>
          <w:p w14:paraId="1DDF3E4F"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Actions</w:t>
            </w:r>
          </w:p>
        </w:tc>
      </w:tr>
      <w:tr w:rsidR="00041655" w:rsidRPr="00191478" w14:paraId="0D55CF4E" w14:textId="77777777" w:rsidTr="00F33AA3">
        <w:trPr>
          <w:trHeight w:val="296"/>
        </w:trPr>
        <w:tc>
          <w:tcPr>
            <w:tcW w:w="14322" w:type="dxa"/>
            <w:gridSpan w:val="3"/>
            <w:tcBorders>
              <w:top w:val="single" w:sz="6" w:space="0" w:color="FFFFFF"/>
              <w:left w:val="nil"/>
              <w:right w:val="nil"/>
            </w:tcBorders>
            <w:shd w:val="clear" w:color="auto" w:fill="F89B64"/>
          </w:tcPr>
          <w:p w14:paraId="1F22990A" w14:textId="77777777" w:rsidR="00041655" w:rsidRPr="00191478" w:rsidRDefault="00041655" w:rsidP="00F33AA3">
            <w:pPr>
              <w:pStyle w:val="TableParagraph"/>
              <w:spacing w:before="38"/>
              <w:ind w:left="5522" w:right="5521"/>
              <w:jc w:val="center"/>
              <w:rPr>
                <w:rFonts w:asciiTheme="minorHAnsi" w:hAnsiTheme="minorHAnsi"/>
                <w:sz w:val="19"/>
              </w:rPr>
            </w:pPr>
            <w:r w:rsidRPr="00191478">
              <w:rPr>
                <w:rFonts w:asciiTheme="minorHAnsi" w:hAnsiTheme="minorHAnsi"/>
                <w:sz w:val="19"/>
              </w:rPr>
              <w:t>Regional development</w:t>
            </w:r>
          </w:p>
        </w:tc>
      </w:tr>
      <w:tr w:rsidR="00041655" w:rsidRPr="00191478" w14:paraId="4D471E13" w14:textId="77777777" w:rsidTr="00F33AA3">
        <w:trPr>
          <w:trHeight w:val="4985"/>
        </w:trPr>
        <w:tc>
          <w:tcPr>
            <w:tcW w:w="4100" w:type="dxa"/>
            <w:tcBorders>
              <w:left w:val="nil"/>
            </w:tcBorders>
            <w:shd w:val="clear" w:color="auto" w:fill="ECEFF1"/>
          </w:tcPr>
          <w:p w14:paraId="329B93F1" w14:textId="77777777" w:rsidR="00191478" w:rsidRPr="00191478" w:rsidRDefault="00041655" w:rsidP="00191478">
            <w:pPr>
              <w:pStyle w:val="TableParagraph"/>
              <w:spacing w:before="42" w:line="220" w:lineRule="exact"/>
              <w:ind w:left="80"/>
              <w:rPr>
                <w:rStyle w:val="Strong"/>
                <w:rFonts w:asciiTheme="minorHAnsi" w:hAnsiTheme="minorHAnsi"/>
                <w:color w:val="auto"/>
                <w:sz w:val="22"/>
              </w:rPr>
            </w:pPr>
            <w:r w:rsidRPr="00191478">
              <w:rPr>
                <w:rStyle w:val="Strong"/>
                <w:rFonts w:asciiTheme="minorHAnsi" w:hAnsiTheme="minorHAnsi"/>
                <w:color w:val="auto"/>
                <w:sz w:val="22"/>
              </w:rPr>
              <w:t>KEY FINDING 20:</w:t>
            </w:r>
            <w:r w:rsidR="00191478" w:rsidRPr="00191478">
              <w:rPr>
                <w:rStyle w:val="Strong"/>
                <w:rFonts w:asciiTheme="minorHAnsi" w:hAnsiTheme="minorHAnsi"/>
                <w:color w:val="auto"/>
                <w:sz w:val="22"/>
              </w:rPr>
              <w:t xml:space="preserve"> </w:t>
            </w:r>
          </w:p>
          <w:p w14:paraId="56370C5C" w14:textId="4F34AB47" w:rsidR="00041655" w:rsidRPr="00191478" w:rsidRDefault="00041655" w:rsidP="00191478">
            <w:pPr>
              <w:pStyle w:val="TableParagraph"/>
              <w:spacing w:before="42" w:line="220" w:lineRule="exact"/>
              <w:ind w:left="80"/>
              <w:rPr>
                <w:rFonts w:asciiTheme="minorHAnsi" w:hAnsiTheme="minorHAnsi"/>
                <w:b/>
                <w:bCs/>
              </w:rPr>
            </w:pPr>
            <w:r w:rsidRPr="00191478">
              <w:rPr>
                <w:rFonts w:asciiTheme="minorHAnsi" w:hAnsiTheme="minorHAnsi"/>
                <w:sz w:val="19"/>
              </w:rPr>
              <w:t>Research and development by tertiary providers enhances long-term regional development and local industries.</w:t>
            </w:r>
          </w:p>
          <w:p w14:paraId="18E2179E" w14:textId="77777777" w:rsidR="00041655" w:rsidRPr="00191478" w:rsidRDefault="00041655" w:rsidP="00F33AA3">
            <w:pPr>
              <w:pStyle w:val="TableParagraph"/>
              <w:spacing w:before="170" w:line="235" w:lineRule="auto"/>
              <w:ind w:left="80" w:right="221"/>
              <w:rPr>
                <w:rFonts w:asciiTheme="minorHAnsi" w:hAnsiTheme="minorHAnsi"/>
                <w:sz w:val="19"/>
              </w:rPr>
            </w:pPr>
            <w:r w:rsidRPr="00191478">
              <w:rPr>
                <w:rStyle w:val="Strong"/>
                <w:rFonts w:asciiTheme="minorHAnsi" w:hAnsiTheme="minorHAnsi"/>
                <w:color w:val="auto"/>
                <w:sz w:val="22"/>
              </w:rPr>
              <w:t>KEY FINDING 21:</w:t>
            </w:r>
            <w:r w:rsidRPr="00191478">
              <w:rPr>
                <w:rFonts w:asciiTheme="minorHAnsi" w:hAnsiTheme="minorHAnsi"/>
                <w:sz w:val="19"/>
              </w:rPr>
              <w:t xml:space="preserve"> Increasing student places in RRR communities will increase education access while also growing communities both economically and culturally.</w:t>
            </w:r>
          </w:p>
          <w:p w14:paraId="34B0B4FB" w14:textId="77777777" w:rsidR="00041655" w:rsidRPr="00191478" w:rsidRDefault="00041655" w:rsidP="00F33AA3">
            <w:pPr>
              <w:pStyle w:val="TableParagraph"/>
              <w:spacing w:before="168" w:line="220" w:lineRule="exact"/>
              <w:ind w:left="80"/>
              <w:rPr>
                <w:rStyle w:val="Strong"/>
                <w:rFonts w:asciiTheme="minorHAnsi" w:hAnsiTheme="minorHAnsi"/>
                <w:color w:val="auto"/>
                <w:sz w:val="22"/>
              </w:rPr>
            </w:pPr>
            <w:r w:rsidRPr="00191478">
              <w:rPr>
                <w:rStyle w:val="Strong"/>
                <w:rFonts w:asciiTheme="minorHAnsi" w:hAnsiTheme="minorHAnsi"/>
                <w:color w:val="auto"/>
                <w:sz w:val="22"/>
              </w:rPr>
              <w:t>KEY FINDING 22:</w:t>
            </w:r>
          </w:p>
          <w:p w14:paraId="7A1BDDF1" w14:textId="77777777" w:rsidR="00041655" w:rsidRPr="00191478" w:rsidRDefault="00041655" w:rsidP="00F33AA3">
            <w:pPr>
              <w:pStyle w:val="TableParagraph"/>
              <w:spacing w:before="1" w:line="235" w:lineRule="auto"/>
              <w:ind w:left="80" w:right="682"/>
              <w:rPr>
                <w:rFonts w:asciiTheme="minorHAnsi" w:hAnsiTheme="minorHAnsi"/>
                <w:sz w:val="19"/>
              </w:rPr>
            </w:pPr>
            <w:r w:rsidRPr="00191478">
              <w:rPr>
                <w:rFonts w:asciiTheme="minorHAnsi" w:hAnsiTheme="minorHAnsi"/>
                <w:sz w:val="19"/>
              </w:rPr>
              <w:t>International education enriches RRR communities, including by bringing economic benefits and valuable engagement opportunities.</w:t>
            </w:r>
          </w:p>
          <w:p w14:paraId="1A1E61CF" w14:textId="77777777" w:rsidR="00041655" w:rsidRPr="00191478" w:rsidRDefault="00041655" w:rsidP="00F33AA3">
            <w:pPr>
              <w:pStyle w:val="TableParagraph"/>
              <w:spacing w:before="172" w:line="232" w:lineRule="auto"/>
              <w:ind w:left="80" w:right="682"/>
              <w:rPr>
                <w:rFonts w:asciiTheme="minorHAnsi" w:hAnsiTheme="minorHAnsi"/>
                <w:sz w:val="19"/>
              </w:rPr>
            </w:pPr>
            <w:r w:rsidRPr="00191478">
              <w:rPr>
                <w:rStyle w:val="Strong"/>
                <w:rFonts w:asciiTheme="minorHAnsi" w:hAnsiTheme="minorHAnsi"/>
                <w:color w:val="auto"/>
                <w:sz w:val="22"/>
              </w:rPr>
              <w:t>KEY FINDING 23:</w:t>
            </w:r>
            <w:r w:rsidRPr="00191478">
              <w:rPr>
                <w:rFonts w:asciiTheme="minorHAnsi" w:hAnsiTheme="minorHAnsi"/>
                <w:sz w:val="19"/>
              </w:rPr>
              <w:t xml:space="preserve"> The potential of RRR Australia could be further maximised</w:t>
            </w:r>
          </w:p>
          <w:p w14:paraId="1A9B1466" w14:textId="77777777" w:rsidR="00041655" w:rsidRPr="00191478" w:rsidRDefault="00041655" w:rsidP="00F33AA3">
            <w:pPr>
              <w:pStyle w:val="TableParagraph"/>
              <w:spacing w:before="2" w:line="235" w:lineRule="auto"/>
              <w:ind w:left="80" w:right="464"/>
              <w:rPr>
                <w:rFonts w:asciiTheme="minorHAnsi" w:hAnsiTheme="minorHAnsi"/>
                <w:sz w:val="19"/>
              </w:rPr>
            </w:pPr>
            <w:r w:rsidRPr="00191478">
              <w:rPr>
                <w:rFonts w:asciiTheme="minorHAnsi" w:hAnsiTheme="minorHAnsi"/>
                <w:sz w:val="19"/>
              </w:rPr>
              <w:t>by developing the research capacity of regional universities and supporting other opportunities to attract and retain students in RRR areas, including work integrated learning placements.</w:t>
            </w:r>
          </w:p>
        </w:tc>
        <w:tc>
          <w:tcPr>
            <w:tcW w:w="2702" w:type="dxa"/>
            <w:shd w:val="clear" w:color="auto" w:fill="ECEFF1"/>
          </w:tcPr>
          <w:p w14:paraId="4A6A4A7F" w14:textId="77777777" w:rsidR="00041655" w:rsidRPr="00191478" w:rsidRDefault="00041655" w:rsidP="00F33AA3">
            <w:pPr>
              <w:pStyle w:val="TableParagraph"/>
              <w:spacing w:before="43"/>
              <w:ind w:left="75"/>
              <w:rPr>
                <w:rStyle w:val="Strong"/>
                <w:rFonts w:asciiTheme="minorHAnsi" w:hAnsiTheme="minorHAnsi"/>
                <w:color w:val="auto"/>
                <w:sz w:val="22"/>
              </w:rPr>
            </w:pPr>
            <w:r w:rsidRPr="00191478">
              <w:rPr>
                <w:rStyle w:val="Strong"/>
                <w:rFonts w:asciiTheme="minorHAnsi" w:hAnsiTheme="minorHAnsi"/>
                <w:color w:val="auto"/>
                <w:sz w:val="22"/>
              </w:rPr>
              <w:t>Recommendation six</w:t>
            </w:r>
          </w:p>
          <w:p w14:paraId="6AB8C1E0" w14:textId="77777777" w:rsidR="00041655" w:rsidRPr="00191478" w:rsidRDefault="00041655" w:rsidP="00F33AA3">
            <w:pPr>
              <w:pStyle w:val="TableParagraph"/>
              <w:spacing w:before="55" w:line="235" w:lineRule="auto"/>
              <w:ind w:left="75" w:right="170"/>
              <w:rPr>
                <w:rFonts w:asciiTheme="minorHAnsi" w:hAnsiTheme="minorHAnsi"/>
                <w:sz w:val="19"/>
              </w:rPr>
            </w:pPr>
            <w:r w:rsidRPr="00191478">
              <w:rPr>
                <w:rFonts w:asciiTheme="minorHAnsi" w:hAnsiTheme="minorHAnsi"/>
                <w:sz w:val="19"/>
              </w:rPr>
              <w:t>Strengthen the role of tertiary education providers in regional development and grow Australia’s regions by:</w:t>
            </w:r>
          </w:p>
          <w:p w14:paraId="4CF2A31D" w14:textId="77777777" w:rsidR="00041655" w:rsidRPr="00191478" w:rsidRDefault="00041655" w:rsidP="00041655">
            <w:pPr>
              <w:pStyle w:val="TableParagraph"/>
              <w:numPr>
                <w:ilvl w:val="0"/>
                <w:numId w:val="32"/>
              </w:numPr>
              <w:tabs>
                <w:tab w:val="left" w:pos="359"/>
              </w:tabs>
              <w:spacing w:before="57" w:line="235" w:lineRule="auto"/>
              <w:ind w:right="285" w:hanging="283"/>
              <w:rPr>
                <w:rFonts w:asciiTheme="minorHAnsi" w:hAnsiTheme="minorHAnsi"/>
                <w:sz w:val="19"/>
              </w:rPr>
            </w:pPr>
            <w:r w:rsidRPr="00191478">
              <w:rPr>
                <w:rFonts w:asciiTheme="minorHAnsi" w:hAnsiTheme="minorHAnsi"/>
                <w:spacing w:val="3"/>
                <w:sz w:val="19"/>
              </w:rPr>
              <w:t xml:space="preserve">increasing </w:t>
            </w:r>
            <w:r w:rsidRPr="00191478">
              <w:rPr>
                <w:rFonts w:asciiTheme="minorHAnsi" w:hAnsiTheme="minorHAnsi"/>
                <w:spacing w:val="2"/>
                <w:sz w:val="19"/>
              </w:rPr>
              <w:t xml:space="preserve">the </w:t>
            </w:r>
            <w:r w:rsidRPr="00191478">
              <w:rPr>
                <w:rFonts w:asciiTheme="minorHAnsi" w:hAnsiTheme="minorHAnsi"/>
                <w:spacing w:val="3"/>
                <w:sz w:val="19"/>
              </w:rPr>
              <w:t xml:space="preserve">research capacity </w:t>
            </w:r>
            <w:r w:rsidRPr="00191478">
              <w:rPr>
                <w:rFonts w:asciiTheme="minorHAnsi" w:hAnsiTheme="minorHAnsi"/>
                <w:sz w:val="19"/>
              </w:rPr>
              <w:t xml:space="preserve">of </w:t>
            </w:r>
            <w:r w:rsidRPr="00191478">
              <w:rPr>
                <w:rFonts w:asciiTheme="minorHAnsi" w:hAnsiTheme="minorHAnsi"/>
                <w:spacing w:val="3"/>
                <w:sz w:val="19"/>
              </w:rPr>
              <w:t xml:space="preserve">regional universities including </w:t>
            </w:r>
            <w:r w:rsidRPr="00191478">
              <w:rPr>
                <w:rFonts w:asciiTheme="minorHAnsi" w:hAnsiTheme="minorHAnsi"/>
                <w:spacing w:val="4"/>
                <w:sz w:val="19"/>
              </w:rPr>
              <w:t xml:space="preserve">identifying </w:t>
            </w:r>
            <w:r w:rsidRPr="00191478">
              <w:rPr>
                <w:rFonts w:asciiTheme="minorHAnsi" w:hAnsiTheme="minorHAnsi"/>
                <w:spacing w:val="3"/>
                <w:sz w:val="19"/>
              </w:rPr>
              <w:t xml:space="preserve">opportunities </w:t>
            </w:r>
            <w:r w:rsidRPr="00191478">
              <w:rPr>
                <w:rFonts w:asciiTheme="minorHAnsi" w:hAnsiTheme="minorHAnsi"/>
                <w:sz w:val="19"/>
              </w:rPr>
              <w:t xml:space="preserve">to </w:t>
            </w:r>
            <w:r w:rsidRPr="00191478">
              <w:rPr>
                <w:rFonts w:asciiTheme="minorHAnsi" w:hAnsiTheme="minorHAnsi"/>
                <w:spacing w:val="3"/>
                <w:sz w:val="19"/>
              </w:rPr>
              <w:t>establish research infrastructure</w:t>
            </w:r>
          </w:p>
          <w:p w14:paraId="1368693A" w14:textId="77777777" w:rsidR="00041655" w:rsidRPr="00191478" w:rsidRDefault="00041655" w:rsidP="00041655">
            <w:pPr>
              <w:pStyle w:val="TableParagraph"/>
              <w:numPr>
                <w:ilvl w:val="0"/>
                <w:numId w:val="32"/>
              </w:numPr>
              <w:tabs>
                <w:tab w:val="left" w:pos="359"/>
              </w:tabs>
              <w:spacing w:before="57" w:line="235" w:lineRule="auto"/>
              <w:ind w:right="81" w:hanging="283"/>
              <w:rPr>
                <w:rFonts w:asciiTheme="minorHAnsi" w:hAnsiTheme="minorHAnsi"/>
                <w:sz w:val="19"/>
              </w:rPr>
            </w:pPr>
            <w:r w:rsidRPr="00191478">
              <w:rPr>
                <w:rFonts w:asciiTheme="minorHAnsi" w:hAnsiTheme="minorHAnsi"/>
                <w:spacing w:val="3"/>
                <w:sz w:val="19"/>
              </w:rPr>
              <w:t xml:space="preserve">continuing </w:t>
            </w:r>
            <w:r w:rsidRPr="00191478">
              <w:rPr>
                <w:rFonts w:asciiTheme="minorHAnsi" w:hAnsiTheme="minorHAnsi"/>
                <w:sz w:val="19"/>
              </w:rPr>
              <w:t xml:space="preserve">to </w:t>
            </w:r>
            <w:r w:rsidRPr="00191478">
              <w:rPr>
                <w:rFonts w:asciiTheme="minorHAnsi" w:hAnsiTheme="minorHAnsi"/>
                <w:spacing w:val="2"/>
                <w:sz w:val="19"/>
              </w:rPr>
              <w:t xml:space="preserve">explore strategies </w:t>
            </w:r>
            <w:r w:rsidRPr="00191478">
              <w:rPr>
                <w:rFonts w:asciiTheme="minorHAnsi" w:hAnsiTheme="minorHAnsi"/>
                <w:sz w:val="19"/>
              </w:rPr>
              <w:t xml:space="preserve">to </w:t>
            </w:r>
            <w:r w:rsidRPr="00191478">
              <w:rPr>
                <w:rFonts w:asciiTheme="minorHAnsi" w:hAnsiTheme="minorHAnsi"/>
                <w:spacing w:val="3"/>
                <w:sz w:val="19"/>
              </w:rPr>
              <w:t xml:space="preserve">attract domestic and international </w:t>
            </w:r>
            <w:r w:rsidRPr="00191478">
              <w:rPr>
                <w:rFonts w:asciiTheme="minorHAnsi" w:hAnsiTheme="minorHAnsi"/>
                <w:spacing w:val="2"/>
                <w:sz w:val="19"/>
              </w:rPr>
              <w:t>students,</w:t>
            </w:r>
            <w:r w:rsidRPr="00191478">
              <w:rPr>
                <w:rFonts w:asciiTheme="minorHAnsi" w:hAnsiTheme="minorHAnsi"/>
                <w:spacing w:val="5"/>
                <w:sz w:val="19"/>
              </w:rPr>
              <w:t xml:space="preserve"> </w:t>
            </w:r>
            <w:r w:rsidRPr="00191478">
              <w:rPr>
                <w:rFonts w:asciiTheme="minorHAnsi" w:hAnsiTheme="minorHAnsi"/>
                <w:spacing w:val="3"/>
                <w:sz w:val="19"/>
              </w:rPr>
              <w:t>and</w:t>
            </w:r>
          </w:p>
          <w:p w14:paraId="279999CF" w14:textId="77777777" w:rsidR="00041655" w:rsidRPr="00191478" w:rsidRDefault="00041655" w:rsidP="00041655">
            <w:pPr>
              <w:pStyle w:val="TableParagraph"/>
              <w:numPr>
                <w:ilvl w:val="0"/>
                <w:numId w:val="32"/>
              </w:numPr>
              <w:tabs>
                <w:tab w:val="left" w:pos="359"/>
              </w:tabs>
              <w:spacing w:before="57" w:line="235" w:lineRule="auto"/>
              <w:ind w:right="72" w:hanging="283"/>
              <w:jc w:val="both"/>
              <w:rPr>
                <w:rFonts w:asciiTheme="minorHAnsi" w:hAnsiTheme="minorHAnsi"/>
                <w:sz w:val="19"/>
              </w:rPr>
            </w:pPr>
            <w:r w:rsidRPr="00191478">
              <w:rPr>
                <w:rFonts w:asciiTheme="minorHAnsi" w:hAnsiTheme="minorHAnsi"/>
                <w:spacing w:val="3"/>
                <w:sz w:val="19"/>
              </w:rPr>
              <w:t xml:space="preserve">increasing opportunities </w:t>
            </w:r>
            <w:r w:rsidRPr="00191478">
              <w:rPr>
                <w:rFonts w:asciiTheme="minorHAnsi" w:hAnsiTheme="minorHAnsi"/>
                <w:sz w:val="19"/>
              </w:rPr>
              <w:t xml:space="preserve">to </w:t>
            </w:r>
            <w:r w:rsidRPr="00191478">
              <w:rPr>
                <w:rFonts w:asciiTheme="minorHAnsi" w:hAnsiTheme="minorHAnsi"/>
                <w:spacing w:val="3"/>
                <w:sz w:val="19"/>
              </w:rPr>
              <w:t xml:space="preserve">undertake </w:t>
            </w:r>
            <w:r w:rsidRPr="00191478">
              <w:rPr>
                <w:rFonts w:asciiTheme="minorHAnsi" w:hAnsiTheme="minorHAnsi"/>
                <w:spacing w:val="2"/>
                <w:sz w:val="19"/>
              </w:rPr>
              <w:t xml:space="preserve">work-integrated </w:t>
            </w:r>
            <w:r w:rsidRPr="00191478">
              <w:rPr>
                <w:rFonts w:asciiTheme="minorHAnsi" w:hAnsiTheme="minorHAnsi"/>
                <w:spacing w:val="3"/>
                <w:sz w:val="19"/>
              </w:rPr>
              <w:t>learning (WIL)</w:t>
            </w:r>
            <w:r w:rsidRPr="00191478">
              <w:rPr>
                <w:rFonts w:asciiTheme="minorHAnsi" w:hAnsiTheme="minorHAnsi"/>
                <w:spacing w:val="8"/>
                <w:sz w:val="19"/>
              </w:rPr>
              <w:t xml:space="preserve"> </w:t>
            </w:r>
            <w:r w:rsidRPr="00191478">
              <w:rPr>
                <w:rFonts w:asciiTheme="minorHAnsi" w:hAnsiTheme="minorHAnsi"/>
                <w:spacing w:val="4"/>
                <w:sz w:val="19"/>
              </w:rPr>
              <w:t>in</w:t>
            </w:r>
          </w:p>
          <w:p w14:paraId="4AAE5578" w14:textId="77777777" w:rsidR="00041655" w:rsidRPr="00191478" w:rsidRDefault="00041655" w:rsidP="00F33AA3">
            <w:pPr>
              <w:pStyle w:val="TableParagraph"/>
              <w:spacing w:before="0" w:line="221" w:lineRule="exact"/>
              <w:ind w:left="358"/>
              <w:rPr>
                <w:rFonts w:asciiTheme="minorHAnsi" w:hAnsiTheme="minorHAnsi"/>
                <w:sz w:val="19"/>
              </w:rPr>
            </w:pPr>
            <w:r w:rsidRPr="00191478">
              <w:rPr>
                <w:rFonts w:asciiTheme="minorHAnsi" w:hAnsiTheme="minorHAnsi"/>
                <w:sz w:val="19"/>
              </w:rPr>
              <w:t>RRR areas.</w:t>
            </w:r>
          </w:p>
        </w:tc>
        <w:tc>
          <w:tcPr>
            <w:tcW w:w="7520" w:type="dxa"/>
            <w:tcBorders>
              <w:bottom w:val="single" w:sz="6" w:space="0" w:color="FFFFFF"/>
              <w:right w:val="nil"/>
            </w:tcBorders>
            <w:shd w:val="clear" w:color="auto" w:fill="ECEFF1"/>
          </w:tcPr>
          <w:p w14:paraId="1D11AA12" w14:textId="77777777" w:rsidR="00041655" w:rsidRPr="00191478" w:rsidRDefault="00041655" w:rsidP="00041655">
            <w:pPr>
              <w:pStyle w:val="TableParagraph"/>
              <w:numPr>
                <w:ilvl w:val="0"/>
                <w:numId w:val="31"/>
              </w:numPr>
              <w:tabs>
                <w:tab w:val="left" w:pos="416"/>
              </w:tabs>
              <w:spacing w:before="44" w:line="235" w:lineRule="auto"/>
              <w:ind w:right="575" w:hanging="340"/>
              <w:rPr>
                <w:rFonts w:asciiTheme="minorHAnsi" w:hAnsiTheme="minorHAnsi"/>
                <w:sz w:val="19"/>
              </w:rPr>
            </w:pPr>
            <w:r w:rsidRPr="00191478">
              <w:rPr>
                <w:rFonts w:asciiTheme="minorHAnsi" w:hAnsiTheme="minorHAnsi"/>
                <w:spacing w:val="3"/>
                <w:sz w:val="19"/>
              </w:rPr>
              <w:t xml:space="preserve">Further enhance regional research capacity </w:t>
            </w:r>
            <w:r w:rsidRPr="00191478">
              <w:rPr>
                <w:rFonts w:asciiTheme="minorHAnsi" w:hAnsiTheme="minorHAnsi"/>
                <w:sz w:val="19"/>
              </w:rPr>
              <w:t xml:space="preserve">by </w:t>
            </w:r>
            <w:r w:rsidRPr="00191478">
              <w:rPr>
                <w:rFonts w:asciiTheme="minorHAnsi" w:hAnsiTheme="minorHAnsi"/>
                <w:spacing w:val="4"/>
                <w:sz w:val="19"/>
              </w:rPr>
              <w:t xml:space="preserve">supporting </w:t>
            </w:r>
            <w:r w:rsidRPr="00191478">
              <w:rPr>
                <w:rFonts w:asciiTheme="minorHAnsi" w:hAnsiTheme="minorHAnsi"/>
                <w:spacing w:val="3"/>
                <w:sz w:val="19"/>
              </w:rPr>
              <w:t xml:space="preserve">regional university providers </w:t>
            </w:r>
            <w:r w:rsidRPr="00191478">
              <w:rPr>
                <w:rFonts w:asciiTheme="minorHAnsi" w:hAnsiTheme="minorHAnsi"/>
                <w:sz w:val="19"/>
              </w:rPr>
              <w:t xml:space="preserve">to </w:t>
            </w:r>
            <w:r w:rsidRPr="00191478">
              <w:rPr>
                <w:rFonts w:asciiTheme="minorHAnsi" w:hAnsiTheme="minorHAnsi"/>
                <w:spacing w:val="2"/>
                <w:sz w:val="19"/>
              </w:rPr>
              <w:t xml:space="preserve">improve </w:t>
            </w:r>
            <w:r w:rsidRPr="00191478">
              <w:rPr>
                <w:rFonts w:asciiTheme="minorHAnsi" w:hAnsiTheme="minorHAnsi"/>
                <w:spacing w:val="3"/>
                <w:sz w:val="19"/>
              </w:rPr>
              <w:t>their research capacity</w:t>
            </w:r>
            <w:r w:rsidRPr="00191478">
              <w:rPr>
                <w:rFonts w:asciiTheme="minorHAnsi" w:hAnsiTheme="minorHAnsi"/>
                <w:spacing w:val="20"/>
                <w:sz w:val="19"/>
              </w:rPr>
              <w:t xml:space="preserve"> </w:t>
            </w:r>
            <w:r w:rsidRPr="00191478">
              <w:rPr>
                <w:rFonts w:asciiTheme="minorHAnsi" w:hAnsiTheme="minorHAnsi"/>
                <w:sz w:val="19"/>
              </w:rPr>
              <w:t>by:</w:t>
            </w:r>
          </w:p>
          <w:p w14:paraId="49B64756" w14:textId="77777777" w:rsidR="00041655" w:rsidRPr="00191478" w:rsidRDefault="00041655" w:rsidP="00041655">
            <w:pPr>
              <w:pStyle w:val="TableParagraph"/>
              <w:numPr>
                <w:ilvl w:val="1"/>
                <w:numId w:val="31"/>
              </w:numPr>
              <w:tabs>
                <w:tab w:val="left" w:pos="700"/>
              </w:tabs>
              <w:spacing w:before="57" w:line="235" w:lineRule="auto"/>
              <w:ind w:right="226"/>
              <w:rPr>
                <w:rFonts w:asciiTheme="minorHAnsi" w:hAnsiTheme="minorHAnsi"/>
                <w:sz w:val="19"/>
              </w:rPr>
            </w:pPr>
            <w:r w:rsidRPr="00191478">
              <w:rPr>
                <w:rFonts w:asciiTheme="minorHAnsi" w:hAnsiTheme="minorHAnsi"/>
                <w:spacing w:val="3"/>
                <w:sz w:val="19"/>
              </w:rPr>
              <w:t xml:space="preserve">implementing </w:t>
            </w:r>
            <w:r w:rsidRPr="00191478">
              <w:rPr>
                <w:rFonts w:asciiTheme="minorHAnsi" w:hAnsiTheme="minorHAnsi"/>
                <w:sz w:val="19"/>
              </w:rPr>
              <w:t xml:space="preserve">a </w:t>
            </w:r>
            <w:r w:rsidRPr="00191478">
              <w:rPr>
                <w:rFonts w:asciiTheme="minorHAnsi" w:hAnsiTheme="minorHAnsi"/>
                <w:spacing w:val="2"/>
                <w:sz w:val="19"/>
              </w:rPr>
              <w:t xml:space="preserve">new grants </w:t>
            </w:r>
            <w:r w:rsidRPr="00191478">
              <w:rPr>
                <w:rFonts w:asciiTheme="minorHAnsi" w:hAnsiTheme="minorHAnsi"/>
                <w:spacing w:val="3"/>
                <w:sz w:val="19"/>
              </w:rPr>
              <w:t xml:space="preserve">program </w:t>
            </w:r>
            <w:r w:rsidRPr="00191478">
              <w:rPr>
                <w:rFonts w:asciiTheme="minorHAnsi" w:hAnsiTheme="minorHAnsi"/>
                <w:sz w:val="19"/>
              </w:rPr>
              <w:t xml:space="preserve">to </w:t>
            </w:r>
            <w:r w:rsidRPr="00191478">
              <w:rPr>
                <w:rFonts w:asciiTheme="minorHAnsi" w:hAnsiTheme="minorHAnsi"/>
                <w:spacing w:val="3"/>
                <w:sz w:val="19"/>
              </w:rPr>
              <w:t xml:space="preserve">enhance research capacity </w:t>
            </w:r>
            <w:r w:rsidRPr="00191478">
              <w:rPr>
                <w:rFonts w:asciiTheme="minorHAnsi" w:hAnsiTheme="minorHAnsi"/>
                <w:sz w:val="19"/>
              </w:rPr>
              <w:t xml:space="preserve">in </w:t>
            </w:r>
            <w:r w:rsidRPr="00191478">
              <w:rPr>
                <w:rFonts w:asciiTheme="minorHAnsi" w:hAnsiTheme="minorHAnsi"/>
                <w:spacing w:val="3"/>
                <w:sz w:val="19"/>
              </w:rPr>
              <w:t xml:space="preserve">regional universities, including </w:t>
            </w:r>
            <w:r w:rsidRPr="00191478">
              <w:rPr>
                <w:rFonts w:asciiTheme="minorHAnsi" w:hAnsiTheme="minorHAnsi"/>
                <w:spacing w:val="4"/>
                <w:sz w:val="19"/>
              </w:rPr>
              <w:t xml:space="preserve">partnering </w:t>
            </w:r>
            <w:r w:rsidRPr="00191478">
              <w:rPr>
                <w:rFonts w:asciiTheme="minorHAnsi" w:hAnsiTheme="minorHAnsi"/>
                <w:spacing w:val="2"/>
                <w:sz w:val="19"/>
              </w:rPr>
              <w:t xml:space="preserve">with </w:t>
            </w:r>
            <w:r w:rsidRPr="00191478">
              <w:rPr>
                <w:rFonts w:asciiTheme="minorHAnsi" w:hAnsiTheme="minorHAnsi"/>
                <w:spacing w:val="3"/>
                <w:sz w:val="19"/>
              </w:rPr>
              <w:t xml:space="preserve">metropolitan universities, engagement </w:t>
            </w:r>
            <w:r w:rsidRPr="00191478">
              <w:rPr>
                <w:rFonts w:asciiTheme="minorHAnsi" w:hAnsiTheme="minorHAnsi"/>
                <w:spacing w:val="2"/>
                <w:sz w:val="19"/>
              </w:rPr>
              <w:t xml:space="preserve">with </w:t>
            </w:r>
            <w:r w:rsidRPr="00191478">
              <w:rPr>
                <w:rFonts w:asciiTheme="minorHAnsi" w:hAnsiTheme="minorHAnsi"/>
                <w:spacing w:val="3"/>
                <w:sz w:val="19"/>
              </w:rPr>
              <w:t xml:space="preserve">local employers and industries, and exploring opportunities </w:t>
            </w:r>
            <w:r w:rsidRPr="00191478">
              <w:rPr>
                <w:rFonts w:asciiTheme="minorHAnsi" w:hAnsiTheme="minorHAnsi"/>
                <w:sz w:val="19"/>
              </w:rPr>
              <w:t xml:space="preserve">to </w:t>
            </w:r>
            <w:r w:rsidRPr="00191478">
              <w:rPr>
                <w:rFonts w:asciiTheme="minorHAnsi" w:hAnsiTheme="minorHAnsi"/>
                <w:spacing w:val="3"/>
                <w:sz w:val="19"/>
              </w:rPr>
              <w:t xml:space="preserve">increase their </w:t>
            </w:r>
            <w:r w:rsidRPr="00191478">
              <w:rPr>
                <w:rFonts w:asciiTheme="minorHAnsi" w:hAnsiTheme="minorHAnsi"/>
                <w:spacing w:val="2"/>
                <w:sz w:val="19"/>
              </w:rPr>
              <w:t xml:space="preserve">role </w:t>
            </w:r>
            <w:r w:rsidRPr="00191478">
              <w:rPr>
                <w:rFonts w:asciiTheme="minorHAnsi" w:hAnsiTheme="minorHAnsi"/>
                <w:sz w:val="19"/>
              </w:rPr>
              <w:t xml:space="preserve">in </w:t>
            </w:r>
            <w:r w:rsidRPr="00191478">
              <w:rPr>
                <w:rFonts w:asciiTheme="minorHAnsi" w:hAnsiTheme="minorHAnsi"/>
                <w:spacing w:val="3"/>
                <w:sz w:val="19"/>
              </w:rPr>
              <w:t>providing national research infrastructure,</w:t>
            </w:r>
            <w:r w:rsidRPr="00191478">
              <w:rPr>
                <w:rFonts w:asciiTheme="minorHAnsi" w:hAnsiTheme="minorHAnsi"/>
                <w:spacing w:val="22"/>
                <w:sz w:val="19"/>
              </w:rPr>
              <w:t xml:space="preserve"> </w:t>
            </w:r>
            <w:r w:rsidRPr="00191478">
              <w:rPr>
                <w:rFonts w:asciiTheme="minorHAnsi" w:hAnsiTheme="minorHAnsi"/>
                <w:spacing w:val="3"/>
                <w:sz w:val="19"/>
              </w:rPr>
              <w:t>and</w:t>
            </w:r>
          </w:p>
          <w:p w14:paraId="70DB7D10" w14:textId="77777777" w:rsidR="00041655" w:rsidRPr="00191478" w:rsidRDefault="00041655" w:rsidP="00041655">
            <w:pPr>
              <w:pStyle w:val="TableParagraph"/>
              <w:numPr>
                <w:ilvl w:val="1"/>
                <w:numId w:val="31"/>
              </w:numPr>
              <w:tabs>
                <w:tab w:val="left" w:pos="700"/>
              </w:tabs>
              <w:spacing w:before="57" w:line="235" w:lineRule="auto"/>
              <w:ind w:right="392"/>
              <w:rPr>
                <w:rFonts w:asciiTheme="minorHAnsi" w:hAnsiTheme="minorHAnsi"/>
                <w:sz w:val="19"/>
              </w:rPr>
            </w:pPr>
            <w:r w:rsidRPr="00191478">
              <w:rPr>
                <w:rFonts w:asciiTheme="minorHAnsi" w:hAnsiTheme="minorHAnsi"/>
                <w:spacing w:val="4"/>
                <w:sz w:val="19"/>
              </w:rPr>
              <w:t xml:space="preserve">identifying </w:t>
            </w:r>
            <w:r w:rsidRPr="00191478">
              <w:rPr>
                <w:rFonts w:asciiTheme="minorHAnsi" w:hAnsiTheme="minorHAnsi"/>
                <w:spacing w:val="3"/>
                <w:sz w:val="19"/>
              </w:rPr>
              <w:t xml:space="preserve">opportunities </w:t>
            </w:r>
            <w:r w:rsidRPr="00191478">
              <w:rPr>
                <w:rFonts w:asciiTheme="minorHAnsi" w:hAnsiTheme="minorHAnsi"/>
                <w:sz w:val="19"/>
              </w:rPr>
              <w:t xml:space="preserve">to </w:t>
            </w:r>
            <w:r w:rsidRPr="00191478">
              <w:rPr>
                <w:rFonts w:asciiTheme="minorHAnsi" w:hAnsiTheme="minorHAnsi"/>
                <w:spacing w:val="3"/>
                <w:sz w:val="19"/>
              </w:rPr>
              <w:t xml:space="preserve">establish national research infrastructure </w:t>
            </w:r>
            <w:r w:rsidRPr="00191478">
              <w:rPr>
                <w:rFonts w:asciiTheme="minorHAnsi" w:hAnsiTheme="minorHAnsi"/>
                <w:sz w:val="19"/>
              </w:rPr>
              <w:t xml:space="preserve">in </w:t>
            </w:r>
            <w:r w:rsidRPr="00191478">
              <w:rPr>
                <w:rFonts w:asciiTheme="minorHAnsi" w:hAnsiTheme="minorHAnsi"/>
                <w:spacing w:val="2"/>
                <w:sz w:val="19"/>
              </w:rPr>
              <w:t xml:space="preserve">RRR areas, </w:t>
            </w:r>
            <w:r w:rsidRPr="00191478">
              <w:rPr>
                <w:rFonts w:asciiTheme="minorHAnsi" w:hAnsiTheme="minorHAnsi"/>
                <w:spacing w:val="3"/>
                <w:sz w:val="19"/>
              </w:rPr>
              <w:t xml:space="preserve">including </w:t>
            </w:r>
            <w:r w:rsidRPr="00191478">
              <w:rPr>
                <w:rFonts w:asciiTheme="minorHAnsi" w:hAnsiTheme="minorHAnsi"/>
                <w:spacing w:val="4"/>
                <w:sz w:val="19"/>
              </w:rPr>
              <w:t xml:space="preserve">undertaking </w:t>
            </w:r>
            <w:r w:rsidRPr="00191478">
              <w:rPr>
                <w:rFonts w:asciiTheme="minorHAnsi" w:hAnsiTheme="minorHAnsi"/>
                <w:sz w:val="19"/>
              </w:rPr>
              <w:t xml:space="preserve">a </w:t>
            </w:r>
            <w:r w:rsidRPr="00191478">
              <w:rPr>
                <w:rFonts w:asciiTheme="minorHAnsi" w:hAnsiTheme="minorHAnsi"/>
                <w:spacing w:val="3"/>
                <w:sz w:val="19"/>
              </w:rPr>
              <w:t xml:space="preserve">comprehensive scoping </w:t>
            </w:r>
            <w:r w:rsidRPr="00191478">
              <w:rPr>
                <w:rFonts w:asciiTheme="minorHAnsi" w:hAnsiTheme="minorHAnsi"/>
                <w:spacing w:val="2"/>
                <w:sz w:val="19"/>
              </w:rPr>
              <w:t xml:space="preserve">study </w:t>
            </w:r>
            <w:r w:rsidRPr="00191478">
              <w:rPr>
                <w:rFonts w:asciiTheme="minorHAnsi" w:hAnsiTheme="minorHAnsi"/>
                <w:sz w:val="19"/>
              </w:rPr>
              <w:t xml:space="preserve">to </w:t>
            </w:r>
            <w:r w:rsidRPr="00191478">
              <w:rPr>
                <w:rFonts w:asciiTheme="minorHAnsi" w:hAnsiTheme="minorHAnsi"/>
                <w:spacing w:val="4"/>
                <w:sz w:val="19"/>
              </w:rPr>
              <w:t xml:space="preserve">underpin </w:t>
            </w:r>
            <w:r w:rsidRPr="00191478">
              <w:rPr>
                <w:rFonts w:asciiTheme="minorHAnsi" w:hAnsiTheme="minorHAnsi"/>
                <w:spacing w:val="2"/>
                <w:sz w:val="19"/>
              </w:rPr>
              <w:t xml:space="preserve">future </w:t>
            </w:r>
            <w:r w:rsidRPr="00191478">
              <w:rPr>
                <w:rFonts w:asciiTheme="minorHAnsi" w:hAnsiTheme="minorHAnsi"/>
                <w:spacing w:val="3"/>
                <w:sz w:val="19"/>
              </w:rPr>
              <w:t>national research infrastructure</w:t>
            </w:r>
            <w:r w:rsidRPr="00191478">
              <w:rPr>
                <w:rFonts w:asciiTheme="minorHAnsi" w:hAnsiTheme="minorHAnsi"/>
                <w:spacing w:val="13"/>
                <w:sz w:val="19"/>
              </w:rPr>
              <w:t xml:space="preserve"> </w:t>
            </w:r>
            <w:r w:rsidRPr="00191478">
              <w:rPr>
                <w:rFonts w:asciiTheme="minorHAnsi" w:hAnsiTheme="minorHAnsi"/>
                <w:spacing w:val="2"/>
                <w:sz w:val="19"/>
              </w:rPr>
              <w:t>investments.</w:t>
            </w:r>
          </w:p>
          <w:p w14:paraId="2F59D250" w14:textId="77777777" w:rsidR="00041655" w:rsidRPr="00191478" w:rsidRDefault="00041655" w:rsidP="00041655">
            <w:pPr>
              <w:pStyle w:val="TableParagraph"/>
              <w:numPr>
                <w:ilvl w:val="0"/>
                <w:numId w:val="31"/>
              </w:numPr>
              <w:tabs>
                <w:tab w:val="left" w:pos="416"/>
              </w:tabs>
              <w:spacing w:before="170" w:line="235" w:lineRule="auto"/>
              <w:ind w:right="403" w:hanging="340"/>
              <w:rPr>
                <w:rFonts w:asciiTheme="minorHAnsi" w:hAnsiTheme="minorHAnsi"/>
                <w:sz w:val="19"/>
              </w:rPr>
            </w:pPr>
            <w:r w:rsidRPr="00191478">
              <w:rPr>
                <w:rFonts w:asciiTheme="minorHAnsi" w:hAnsiTheme="minorHAnsi"/>
                <w:spacing w:val="3"/>
                <w:sz w:val="19"/>
              </w:rPr>
              <w:t xml:space="preserve">Continue </w:t>
            </w:r>
            <w:r w:rsidRPr="00191478">
              <w:rPr>
                <w:rFonts w:asciiTheme="minorHAnsi" w:hAnsiTheme="minorHAnsi"/>
                <w:sz w:val="19"/>
              </w:rPr>
              <w:t xml:space="preserve">to </w:t>
            </w:r>
            <w:r w:rsidRPr="00191478">
              <w:rPr>
                <w:rFonts w:asciiTheme="minorHAnsi" w:hAnsiTheme="minorHAnsi"/>
                <w:spacing w:val="2"/>
                <w:sz w:val="19"/>
              </w:rPr>
              <w:t xml:space="preserve">explore strategies </w:t>
            </w:r>
            <w:r w:rsidRPr="00191478">
              <w:rPr>
                <w:rFonts w:asciiTheme="minorHAnsi" w:hAnsiTheme="minorHAnsi"/>
                <w:sz w:val="19"/>
              </w:rPr>
              <w:t xml:space="preserve">to </w:t>
            </w:r>
            <w:r w:rsidRPr="00191478">
              <w:rPr>
                <w:rFonts w:asciiTheme="minorHAnsi" w:hAnsiTheme="minorHAnsi"/>
                <w:spacing w:val="3"/>
                <w:sz w:val="19"/>
              </w:rPr>
              <w:t xml:space="preserve">attract domestic and international </w:t>
            </w:r>
            <w:r w:rsidRPr="00191478">
              <w:rPr>
                <w:rFonts w:asciiTheme="minorHAnsi" w:hAnsiTheme="minorHAnsi"/>
                <w:spacing w:val="2"/>
                <w:sz w:val="19"/>
              </w:rPr>
              <w:t xml:space="preserve">students </w:t>
            </w:r>
            <w:r w:rsidRPr="00191478">
              <w:rPr>
                <w:rFonts w:asciiTheme="minorHAnsi" w:hAnsiTheme="minorHAnsi"/>
                <w:sz w:val="19"/>
              </w:rPr>
              <w:t xml:space="preserve">to </w:t>
            </w:r>
            <w:r w:rsidRPr="00191478">
              <w:rPr>
                <w:rFonts w:asciiTheme="minorHAnsi" w:hAnsiTheme="minorHAnsi"/>
                <w:spacing w:val="2"/>
                <w:sz w:val="19"/>
              </w:rPr>
              <w:t xml:space="preserve">RRR areas, </w:t>
            </w:r>
            <w:r w:rsidRPr="00191478">
              <w:rPr>
                <w:rFonts w:asciiTheme="minorHAnsi" w:hAnsiTheme="minorHAnsi"/>
                <w:spacing w:val="3"/>
                <w:sz w:val="19"/>
              </w:rPr>
              <w:t xml:space="preserve">building </w:t>
            </w:r>
            <w:r w:rsidRPr="00191478">
              <w:rPr>
                <w:rFonts w:asciiTheme="minorHAnsi" w:hAnsiTheme="minorHAnsi"/>
                <w:sz w:val="19"/>
              </w:rPr>
              <w:t xml:space="preserve">on </w:t>
            </w:r>
            <w:r w:rsidRPr="00191478">
              <w:rPr>
                <w:rFonts w:asciiTheme="minorHAnsi" w:hAnsiTheme="minorHAnsi"/>
                <w:spacing w:val="3"/>
                <w:sz w:val="19"/>
              </w:rPr>
              <w:t>recent</w:t>
            </w:r>
            <w:r w:rsidRPr="00191478">
              <w:rPr>
                <w:rFonts w:asciiTheme="minorHAnsi" w:hAnsiTheme="minorHAnsi"/>
                <w:spacing w:val="19"/>
                <w:sz w:val="19"/>
              </w:rPr>
              <w:t xml:space="preserve"> </w:t>
            </w:r>
            <w:r w:rsidRPr="00191478">
              <w:rPr>
                <w:rFonts w:asciiTheme="minorHAnsi" w:hAnsiTheme="minorHAnsi"/>
                <w:spacing w:val="2"/>
                <w:sz w:val="19"/>
              </w:rPr>
              <w:t>initiatives.</w:t>
            </w:r>
          </w:p>
          <w:p w14:paraId="23E61883" w14:textId="77777777" w:rsidR="00041655" w:rsidRPr="00191478" w:rsidRDefault="00041655" w:rsidP="00041655">
            <w:pPr>
              <w:pStyle w:val="TableParagraph"/>
              <w:numPr>
                <w:ilvl w:val="0"/>
                <w:numId w:val="31"/>
              </w:numPr>
              <w:tabs>
                <w:tab w:val="left" w:pos="416"/>
              </w:tabs>
              <w:spacing w:before="57" w:line="235" w:lineRule="auto"/>
              <w:ind w:right="87" w:hanging="340"/>
              <w:rPr>
                <w:rFonts w:asciiTheme="minorHAnsi" w:hAnsiTheme="minorHAnsi"/>
                <w:sz w:val="19"/>
              </w:rPr>
            </w:pPr>
            <w:r w:rsidRPr="00191478">
              <w:rPr>
                <w:rFonts w:asciiTheme="minorHAnsi" w:hAnsiTheme="minorHAnsi"/>
                <w:spacing w:val="3"/>
                <w:sz w:val="19"/>
              </w:rPr>
              <w:t xml:space="preserve">Establish </w:t>
            </w:r>
            <w:r w:rsidRPr="00191478">
              <w:rPr>
                <w:rFonts w:asciiTheme="minorHAnsi" w:hAnsiTheme="minorHAnsi"/>
                <w:sz w:val="19"/>
              </w:rPr>
              <w:t xml:space="preserve">a </w:t>
            </w:r>
            <w:r w:rsidRPr="00191478">
              <w:rPr>
                <w:rFonts w:asciiTheme="minorHAnsi" w:hAnsiTheme="minorHAnsi"/>
                <w:spacing w:val="3"/>
                <w:sz w:val="19"/>
              </w:rPr>
              <w:t xml:space="preserve">program </w:t>
            </w:r>
            <w:r w:rsidRPr="00191478">
              <w:rPr>
                <w:rFonts w:asciiTheme="minorHAnsi" w:hAnsiTheme="minorHAnsi"/>
                <w:sz w:val="19"/>
              </w:rPr>
              <w:t xml:space="preserve">to </w:t>
            </w:r>
            <w:r w:rsidRPr="00191478">
              <w:rPr>
                <w:rFonts w:asciiTheme="minorHAnsi" w:hAnsiTheme="minorHAnsi"/>
                <w:spacing w:val="4"/>
                <w:sz w:val="19"/>
              </w:rPr>
              <w:t xml:space="preserve">support VET </w:t>
            </w:r>
            <w:r w:rsidRPr="00191478">
              <w:rPr>
                <w:rFonts w:asciiTheme="minorHAnsi" w:hAnsiTheme="minorHAnsi"/>
                <w:spacing w:val="3"/>
                <w:sz w:val="19"/>
              </w:rPr>
              <w:t xml:space="preserve">and university </w:t>
            </w:r>
            <w:r w:rsidRPr="00191478">
              <w:rPr>
                <w:rFonts w:asciiTheme="minorHAnsi" w:hAnsiTheme="minorHAnsi"/>
                <w:spacing w:val="2"/>
                <w:sz w:val="19"/>
              </w:rPr>
              <w:t xml:space="preserve">students </w:t>
            </w:r>
            <w:r w:rsidRPr="00191478">
              <w:rPr>
                <w:rFonts w:asciiTheme="minorHAnsi" w:hAnsiTheme="minorHAnsi"/>
                <w:sz w:val="19"/>
              </w:rPr>
              <w:t xml:space="preserve">in both </w:t>
            </w:r>
            <w:r w:rsidRPr="00191478">
              <w:rPr>
                <w:rFonts w:asciiTheme="minorHAnsi" w:hAnsiTheme="minorHAnsi"/>
                <w:spacing w:val="2"/>
                <w:sz w:val="19"/>
              </w:rPr>
              <w:t xml:space="preserve">RRR </w:t>
            </w:r>
            <w:r w:rsidRPr="00191478">
              <w:rPr>
                <w:rFonts w:asciiTheme="minorHAnsi" w:hAnsiTheme="minorHAnsi"/>
                <w:spacing w:val="3"/>
                <w:sz w:val="19"/>
              </w:rPr>
              <w:t xml:space="preserve">and metropolitan areas </w:t>
            </w:r>
            <w:r w:rsidRPr="00191478">
              <w:rPr>
                <w:rFonts w:asciiTheme="minorHAnsi" w:hAnsiTheme="minorHAnsi"/>
                <w:sz w:val="19"/>
              </w:rPr>
              <w:t xml:space="preserve">to </w:t>
            </w:r>
            <w:r w:rsidRPr="00191478">
              <w:rPr>
                <w:rFonts w:asciiTheme="minorHAnsi" w:hAnsiTheme="minorHAnsi"/>
                <w:spacing w:val="3"/>
                <w:sz w:val="19"/>
              </w:rPr>
              <w:t xml:space="preserve">undertake </w:t>
            </w:r>
            <w:r w:rsidRPr="00191478">
              <w:rPr>
                <w:rFonts w:asciiTheme="minorHAnsi" w:hAnsiTheme="minorHAnsi"/>
                <w:sz w:val="19"/>
              </w:rPr>
              <w:t xml:space="preserve">WIL </w:t>
            </w:r>
            <w:r w:rsidRPr="00191478">
              <w:rPr>
                <w:rFonts w:asciiTheme="minorHAnsi" w:hAnsiTheme="minorHAnsi"/>
                <w:spacing w:val="3"/>
                <w:sz w:val="19"/>
              </w:rPr>
              <w:t xml:space="preserve">placements </w:t>
            </w:r>
            <w:r w:rsidRPr="00191478">
              <w:rPr>
                <w:rFonts w:asciiTheme="minorHAnsi" w:hAnsiTheme="minorHAnsi"/>
                <w:sz w:val="19"/>
              </w:rPr>
              <w:t xml:space="preserve">in </w:t>
            </w:r>
            <w:r w:rsidRPr="00191478">
              <w:rPr>
                <w:rFonts w:asciiTheme="minorHAnsi" w:hAnsiTheme="minorHAnsi"/>
                <w:spacing w:val="2"/>
                <w:sz w:val="19"/>
              </w:rPr>
              <w:t xml:space="preserve">RRR areas, </w:t>
            </w:r>
            <w:r w:rsidRPr="00191478">
              <w:rPr>
                <w:rFonts w:asciiTheme="minorHAnsi" w:hAnsiTheme="minorHAnsi"/>
                <w:spacing w:val="3"/>
                <w:sz w:val="19"/>
              </w:rPr>
              <w:t xml:space="preserve">including internships, mentorships, practicums, research, teaching and </w:t>
            </w:r>
            <w:r w:rsidRPr="00191478">
              <w:rPr>
                <w:rFonts w:asciiTheme="minorHAnsi" w:hAnsiTheme="minorHAnsi"/>
                <w:spacing w:val="2"/>
                <w:sz w:val="19"/>
              </w:rPr>
              <w:t>tutoring</w:t>
            </w:r>
            <w:r w:rsidRPr="00191478">
              <w:rPr>
                <w:rFonts w:asciiTheme="minorHAnsi" w:hAnsiTheme="minorHAnsi"/>
                <w:spacing w:val="24"/>
                <w:sz w:val="19"/>
              </w:rPr>
              <w:t xml:space="preserve"> </w:t>
            </w:r>
            <w:r w:rsidRPr="00191478">
              <w:rPr>
                <w:rFonts w:asciiTheme="minorHAnsi" w:hAnsiTheme="minorHAnsi"/>
                <w:spacing w:val="3"/>
                <w:sz w:val="19"/>
              </w:rPr>
              <w:t>placements.</w:t>
            </w:r>
          </w:p>
        </w:tc>
      </w:tr>
    </w:tbl>
    <w:p w14:paraId="3C59997E" w14:textId="77777777" w:rsidR="00041655" w:rsidRPr="00191478" w:rsidRDefault="00041655" w:rsidP="00041655">
      <w:pPr>
        <w:spacing w:line="235" w:lineRule="auto"/>
        <w:rPr>
          <w:sz w:val="19"/>
        </w:rPr>
        <w:sectPr w:rsidR="00041655" w:rsidRPr="00191478">
          <w:headerReference w:type="default" r:id="rId41"/>
          <w:pgSz w:w="16840" w:h="11910" w:orient="landscape"/>
          <w:pgMar w:top="1100" w:right="1140" w:bottom="800" w:left="1140" w:header="0" w:footer="609" w:gutter="0"/>
          <w:cols w:space="720"/>
        </w:sectPr>
      </w:pPr>
    </w:p>
    <w:p w14:paraId="54624167" w14:textId="77777777" w:rsidR="00041655" w:rsidRPr="00191478" w:rsidRDefault="00041655" w:rsidP="00041655">
      <w:pPr>
        <w:pStyle w:val="BodyText"/>
        <w:spacing w:before="6"/>
        <w:rPr>
          <w:sz w:val="27"/>
        </w:rPr>
      </w:pPr>
    </w:p>
    <w:tbl>
      <w:tblPr>
        <w:tblW w:w="0" w:type="auto"/>
        <w:tblInd w:w="1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4100"/>
        <w:gridCol w:w="2702"/>
        <w:gridCol w:w="7520"/>
      </w:tblGrid>
      <w:tr w:rsidR="00041655" w:rsidRPr="00191478" w14:paraId="6B9C820A" w14:textId="77777777" w:rsidTr="00F33AA3">
        <w:trPr>
          <w:trHeight w:val="301"/>
        </w:trPr>
        <w:tc>
          <w:tcPr>
            <w:tcW w:w="4100" w:type="dxa"/>
            <w:tcBorders>
              <w:top w:val="nil"/>
              <w:left w:val="nil"/>
            </w:tcBorders>
            <w:shd w:val="clear" w:color="auto" w:fill="314652"/>
          </w:tcPr>
          <w:p w14:paraId="5873E2F5" w14:textId="77777777" w:rsidR="00041655" w:rsidRPr="00191478" w:rsidRDefault="00041655" w:rsidP="00F33AA3">
            <w:pPr>
              <w:pStyle w:val="TableParagraph"/>
              <w:spacing w:before="45"/>
              <w:ind w:left="80"/>
              <w:rPr>
                <w:rFonts w:asciiTheme="minorHAnsi" w:hAnsiTheme="minorHAnsi"/>
                <w:sz w:val="19"/>
              </w:rPr>
            </w:pPr>
            <w:r w:rsidRPr="00191478">
              <w:rPr>
                <w:rFonts w:asciiTheme="minorHAnsi" w:hAnsiTheme="minorHAnsi"/>
                <w:color w:val="FFFFFF"/>
                <w:sz w:val="19"/>
              </w:rPr>
              <w:t>Findings</w:t>
            </w:r>
          </w:p>
        </w:tc>
        <w:tc>
          <w:tcPr>
            <w:tcW w:w="2702" w:type="dxa"/>
            <w:tcBorders>
              <w:top w:val="nil"/>
            </w:tcBorders>
            <w:shd w:val="clear" w:color="auto" w:fill="314652"/>
          </w:tcPr>
          <w:p w14:paraId="70D6C956"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Recommendations</w:t>
            </w:r>
          </w:p>
        </w:tc>
        <w:tc>
          <w:tcPr>
            <w:tcW w:w="7520" w:type="dxa"/>
            <w:tcBorders>
              <w:top w:val="nil"/>
              <w:right w:val="nil"/>
            </w:tcBorders>
            <w:shd w:val="clear" w:color="auto" w:fill="314652"/>
          </w:tcPr>
          <w:p w14:paraId="7AF6DD80" w14:textId="77777777" w:rsidR="00041655" w:rsidRPr="00191478" w:rsidRDefault="00041655" w:rsidP="00F33AA3">
            <w:pPr>
              <w:pStyle w:val="TableParagraph"/>
              <w:spacing w:before="45"/>
              <w:ind w:left="75"/>
              <w:rPr>
                <w:rFonts w:asciiTheme="minorHAnsi" w:hAnsiTheme="minorHAnsi"/>
                <w:sz w:val="19"/>
              </w:rPr>
            </w:pPr>
            <w:r w:rsidRPr="00191478">
              <w:rPr>
                <w:rFonts w:asciiTheme="minorHAnsi" w:hAnsiTheme="minorHAnsi"/>
                <w:color w:val="FFFFFF"/>
                <w:sz w:val="19"/>
              </w:rPr>
              <w:t>Actions</w:t>
            </w:r>
          </w:p>
        </w:tc>
      </w:tr>
      <w:tr w:rsidR="00041655" w:rsidRPr="00191478" w14:paraId="1D526210" w14:textId="77777777" w:rsidTr="00F33AA3">
        <w:trPr>
          <w:trHeight w:val="293"/>
        </w:trPr>
        <w:tc>
          <w:tcPr>
            <w:tcW w:w="14322" w:type="dxa"/>
            <w:gridSpan w:val="3"/>
            <w:tcBorders>
              <w:top w:val="single" w:sz="6" w:space="0" w:color="FFFFFF"/>
              <w:left w:val="nil"/>
              <w:bottom w:val="single" w:sz="6" w:space="0" w:color="FFFFFF"/>
              <w:right w:val="nil"/>
            </w:tcBorders>
            <w:shd w:val="clear" w:color="auto" w:fill="F89B64"/>
          </w:tcPr>
          <w:p w14:paraId="6E35B44A" w14:textId="77777777" w:rsidR="00041655" w:rsidRPr="00191478" w:rsidRDefault="00041655" w:rsidP="00F33AA3">
            <w:pPr>
              <w:pStyle w:val="TableParagraph"/>
              <w:spacing w:before="39"/>
              <w:ind w:left="5522" w:right="5521"/>
              <w:jc w:val="center"/>
              <w:rPr>
                <w:rFonts w:asciiTheme="minorHAnsi" w:hAnsiTheme="minorHAnsi"/>
                <w:sz w:val="19"/>
              </w:rPr>
            </w:pPr>
            <w:r w:rsidRPr="00191478">
              <w:rPr>
                <w:rFonts w:asciiTheme="minorHAnsi" w:hAnsiTheme="minorHAnsi"/>
                <w:sz w:val="19"/>
              </w:rPr>
              <w:t>Implementation</w:t>
            </w:r>
          </w:p>
        </w:tc>
      </w:tr>
      <w:tr w:rsidR="00041655" w:rsidRPr="00191478" w14:paraId="40D99074" w14:textId="77777777" w:rsidTr="00F33AA3">
        <w:trPr>
          <w:trHeight w:val="3771"/>
        </w:trPr>
        <w:tc>
          <w:tcPr>
            <w:tcW w:w="4100" w:type="dxa"/>
            <w:tcBorders>
              <w:left w:val="nil"/>
              <w:bottom w:val="nil"/>
            </w:tcBorders>
            <w:shd w:val="clear" w:color="auto" w:fill="ECEFF1"/>
          </w:tcPr>
          <w:p w14:paraId="7C88B7EE" w14:textId="77777777" w:rsidR="00041655" w:rsidRPr="00191478" w:rsidRDefault="00041655" w:rsidP="00F33AA3">
            <w:pPr>
              <w:pStyle w:val="TableParagraph"/>
              <w:spacing w:before="41" w:line="235" w:lineRule="auto"/>
              <w:ind w:left="80" w:right="360"/>
              <w:rPr>
                <w:rFonts w:asciiTheme="minorHAnsi" w:hAnsiTheme="minorHAnsi"/>
                <w:sz w:val="19"/>
              </w:rPr>
            </w:pPr>
            <w:r w:rsidRPr="00191478">
              <w:rPr>
                <w:rStyle w:val="Strong"/>
                <w:rFonts w:asciiTheme="minorHAnsi" w:hAnsiTheme="minorHAnsi"/>
                <w:color w:val="auto"/>
                <w:sz w:val="22"/>
              </w:rPr>
              <w:t>KEY FINDING 24</w:t>
            </w:r>
            <w:r w:rsidRPr="00191478">
              <w:rPr>
                <w:rFonts w:asciiTheme="minorHAnsi" w:hAnsiTheme="minorHAnsi"/>
                <w:sz w:val="19"/>
              </w:rPr>
              <w:t>: Establishment of an RRR Education Commissioner would assist in bringing together effort to implement the Strategy and achieve a sustained, national RRR education focus.</w:t>
            </w:r>
          </w:p>
          <w:p w14:paraId="2405278A" w14:textId="77777777" w:rsidR="00041655" w:rsidRPr="00191478" w:rsidRDefault="00041655" w:rsidP="00F33AA3">
            <w:pPr>
              <w:pStyle w:val="TableParagraph"/>
              <w:spacing w:before="169" w:line="220" w:lineRule="exact"/>
              <w:ind w:left="80"/>
              <w:rPr>
                <w:rStyle w:val="Strong"/>
                <w:rFonts w:asciiTheme="minorHAnsi" w:hAnsiTheme="minorHAnsi"/>
                <w:color w:val="auto"/>
                <w:sz w:val="22"/>
              </w:rPr>
            </w:pPr>
            <w:r w:rsidRPr="00191478">
              <w:rPr>
                <w:rStyle w:val="Strong"/>
                <w:rFonts w:asciiTheme="minorHAnsi" w:hAnsiTheme="minorHAnsi"/>
                <w:color w:val="auto"/>
                <w:sz w:val="22"/>
              </w:rPr>
              <w:t>KEY FINDING 25:</w:t>
            </w:r>
          </w:p>
          <w:p w14:paraId="74CA9932" w14:textId="77777777" w:rsidR="00041655" w:rsidRPr="00191478" w:rsidRDefault="00041655" w:rsidP="00F33AA3">
            <w:pPr>
              <w:pStyle w:val="TableParagraph"/>
              <w:spacing w:before="1" w:line="235" w:lineRule="auto"/>
              <w:ind w:left="80" w:right="196"/>
              <w:rPr>
                <w:rFonts w:asciiTheme="minorHAnsi" w:hAnsiTheme="minorHAnsi"/>
                <w:sz w:val="19"/>
              </w:rPr>
            </w:pPr>
            <w:r w:rsidRPr="00191478">
              <w:rPr>
                <w:rFonts w:asciiTheme="minorHAnsi" w:hAnsiTheme="minorHAnsi"/>
                <w:sz w:val="19"/>
              </w:rPr>
              <w:t>The current geographical classification system used by the Australian Bureau of Statistics (ABS) has a number of limitations which</w:t>
            </w:r>
          </w:p>
          <w:p w14:paraId="1B63F89F" w14:textId="77777777" w:rsidR="00041655" w:rsidRPr="00191478" w:rsidRDefault="00041655" w:rsidP="00F33AA3">
            <w:pPr>
              <w:pStyle w:val="TableParagraph"/>
              <w:spacing w:before="0" w:line="235" w:lineRule="auto"/>
              <w:ind w:left="80"/>
              <w:rPr>
                <w:rFonts w:asciiTheme="minorHAnsi" w:hAnsiTheme="minorHAnsi"/>
                <w:sz w:val="19"/>
              </w:rPr>
            </w:pPr>
            <w:r w:rsidRPr="00191478">
              <w:rPr>
                <w:rFonts w:asciiTheme="minorHAnsi" w:hAnsiTheme="minorHAnsi"/>
                <w:sz w:val="19"/>
              </w:rPr>
              <w:t>make it difficult to use for monitoring tertiary education outcomes and targeting support to communities most in need</w:t>
            </w:r>
          </w:p>
        </w:tc>
        <w:tc>
          <w:tcPr>
            <w:tcW w:w="2702" w:type="dxa"/>
            <w:tcBorders>
              <w:bottom w:val="nil"/>
            </w:tcBorders>
            <w:shd w:val="clear" w:color="auto" w:fill="ECEFF1"/>
          </w:tcPr>
          <w:p w14:paraId="65459D23" w14:textId="77777777" w:rsidR="00041655" w:rsidRPr="00191478" w:rsidRDefault="00041655" w:rsidP="00191478">
            <w:pPr>
              <w:pStyle w:val="TableParagraph"/>
              <w:spacing w:before="43"/>
              <w:ind w:left="75"/>
              <w:rPr>
                <w:rStyle w:val="Strong"/>
                <w:rFonts w:asciiTheme="minorHAnsi" w:hAnsiTheme="minorHAnsi"/>
                <w:color w:val="auto"/>
                <w:sz w:val="22"/>
              </w:rPr>
            </w:pPr>
            <w:r w:rsidRPr="00191478">
              <w:rPr>
                <w:rStyle w:val="Strong"/>
                <w:rFonts w:asciiTheme="minorHAnsi" w:hAnsiTheme="minorHAnsi"/>
                <w:color w:val="auto"/>
                <w:sz w:val="22"/>
              </w:rPr>
              <w:t>Recommendation seven</w:t>
            </w:r>
          </w:p>
          <w:p w14:paraId="3AAA3C74" w14:textId="77777777" w:rsidR="00041655" w:rsidRPr="00191478" w:rsidRDefault="00041655" w:rsidP="00F33AA3">
            <w:pPr>
              <w:pStyle w:val="TableParagraph"/>
              <w:spacing w:before="54" w:line="235" w:lineRule="auto"/>
              <w:ind w:left="75" w:right="656"/>
              <w:rPr>
                <w:rFonts w:asciiTheme="minorHAnsi" w:hAnsiTheme="minorHAnsi"/>
                <w:sz w:val="19"/>
              </w:rPr>
            </w:pPr>
            <w:r w:rsidRPr="00191478">
              <w:rPr>
                <w:rFonts w:asciiTheme="minorHAnsi" w:hAnsiTheme="minorHAnsi"/>
                <w:sz w:val="19"/>
              </w:rPr>
              <w:t>Establish mechanisms to coordinate the implementation effort</w:t>
            </w:r>
          </w:p>
          <w:p w14:paraId="2FDE07D5" w14:textId="77777777" w:rsidR="00041655" w:rsidRPr="00191478" w:rsidRDefault="00041655" w:rsidP="00F33AA3">
            <w:pPr>
              <w:pStyle w:val="TableParagraph"/>
              <w:spacing w:before="1" w:line="235" w:lineRule="auto"/>
              <w:ind w:left="75"/>
              <w:rPr>
                <w:rFonts w:asciiTheme="minorHAnsi" w:hAnsiTheme="minorHAnsi"/>
                <w:sz w:val="19"/>
              </w:rPr>
            </w:pPr>
            <w:r w:rsidRPr="00191478">
              <w:rPr>
                <w:rFonts w:asciiTheme="minorHAnsi" w:hAnsiTheme="minorHAnsi"/>
                <w:sz w:val="19"/>
              </w:rPr>
              <w:t>and support monitoring of the Strategy by:</w:t>
            </w:r>
          </w:p>
          <w:p w14:paraId="73DF3A1C" w14:textId="77777777" w:rsidR="00041655" w:rsidRPr="00191478" w:rsidRDefault="00041655" w:rsidP="00041655">
            <w:pPr>
              <w:pStyle w:val="TableParagraph"/>
              <w:numPr>
                <w:ilvl w:val="0"/>
                <w:numId w:val="30"/>
              </w:numPr>
              <w:tabs>
                <w:tab w:val="left" w:pos="359"/>
              </w:tabs>
              <w:spacing w:before="56" w:line="235" w:lineRule="auto"/>
              <w:ind w:right="147" w:hanging="283"/>
              <w:rPr>
                <w:rFonts w:asciiTheme="minorHAnsi" w:hAnsiTheme="minorHAnsi"/>
                <w:sz w:val="19"/>
              </w:rPr>
            </w:pPr>
            <w:r w:rsidRPr="00191478">
              <w:rPr>
                <w:rFonts w:asciiTheme="minorHAnsi" w:hAnsiTheme="minorHAnsi"/>
                <w:spacing w:val="3"/>
                <w:sz w:val="19"/>
              </w:rPr>
              <w:t xml:space="preserve">establishing </w:t>
            </w:r>
            <w:r w:rsidRPr="00191478">
              <w:rPr>
                <w:rFonts w:asciiTheme="minorHAnsi" w:hAnsiTheme="minorHAnsi"/>
                <w:sz w:val="19"/>
              </w:rPr>
              <w:t xml:space="preserve">a </w:t>
            </w:r>
            <w:r w:rsidRPr="00191478">
              <w:rPr>
                <w:rFonts w:asciiTheme="minorHAnsi" w:hAnsiTheme="minorHAnsi"/>
                <w:spacing w:val="3"/>
                <w:sz w:val="19"/>
              </w:rPr>
              <w:t xml:space="preserve">Regional, Rural and </w:t>
            </w:r>
            <w:r w:rsidRPr="00191478">
              <w:rPr>
                <w:rFonts w:asciiTheme="minorHAnsi" w:hAnsiTheme="minorHAnsi"/>
                <w:spacing w:val="2"/>
                <w:sz w:val="19"/>
              </w:rPr>
              <w:t xml:space="preserve">Remote Education Commissioner, with </w:t>
            </w:r>
            <w:r w:rsidRPr="00191478">
              <w:rPr>
                <w:rFonts w:asciiTheme="minorHAnsi" w:hAnsiTheme="minorHAnsi"/>
                <w:sz w:val="19"/>
              </w:rPr>
              <w:t xml:space="preserve">a </w:t>
            </w:r>
            <w:r w:rsidRPr="00191478">
              <w:rPr>
                <w:rFonts w:asciiTheme="minorHAnsi" w:hAnsiTheme="minorHAnsi"/>
                <w:spacing w:val="2"/>
                <w:sz w:val="19"/>
              </w:rPr>
              <w:t xml:space="preserve">broad </w:t>
            </w:r>
            <w:r w:rsidRPr="00191478">
              <w:rPr>
                <w:rFonts w:asciiTheme="minorHAnsi" w:hAnsiTheme="minorHAnsi"/>
                <w:spacing w:val="3"/>
                <w:sz w:val="19"/>
              </w:rPr>
              <w:t xml:space="preserve">remit </w:t>
            </w:r>
            <w:r w:rsidRPr="00191478">
              <w:rPr>
                <w:rFonts w:asciiTheme="minorHAnsi" w:hAnsiTheme="minorHAnsi"/>
                <w:sz w:val="19"/>
              </w:rPr>
              <w:t xml:space="preserve">in </w:t>
            </w:r>
            <w:r w:rsidRPr="00191478">
              <w:rPr>
                <w:rFonts w:asciiTheme="minorHAnsi" w:hAnsiTheme="minorHAnsi"/>
                <w:spacing w:val="2"/>
                <w:sz w:val="19"/>
              </w:rPr>
              <w:t xml:space="preserve">relation </w:t>
            </w:r>
            <w:r w:rsidRPr="00191478">
              <w:rPr>
                <w:rFonts w:asciiTheme="minorHAnsi" w:hAnsiTheme="minorHAnsi"/>
                <w:sz w:val="19"/>
              </w:rPr>
              <w:t xml:space="preserve">to </w:t>
            </w:r>
            <w:r w:rsidRPr="00191478">
              <w:rPr>
                <w:rFonts w:asciiTheme="minorHAnsi" w:hAnsiTheme="minorHAnsi"/>
                <w:spacing w:val="2"/>
                <w:sz w:val="19"/>
              </w:rPr>
              <w:t xml:space="preserve">RRR </w:t>
            </w:r>
            <w:r w:rsidRPr="00191478">
              <w:rPr>
                <w:rFonts w:asciiTheme="minorHAnsi" w:hAnsiTheme="minorHAnsi"/>
                <w:spacing w:val="3"/>
                <w:sz w:val="19"/>
              </w:rPr>
              <w:t>education matters,</w:t>
            </w:r>
            <w:r w:rsidRPr="00191478">
              <w:rPr>
                <w:rFonts w:asciiTheme="minorHAnsi" w:hAnsiTheme="minorHAnsi"/>
                <w:spacing w:val="5"/>
                <w:sz w:val="19"/>
              </w:rPr>
              <w:t xml:space="preserve"> </w:t>
            </w:r>
            <w:r w:rsidRPr="00191478">
              <w:rPr>
                <w:rFonts w:asciiTheme="minorHAnsi" w:hAnsiTheme="minorHAnsi"/>
                <w:spacing w:val="3"/>
                <w:sz w:val="19"/>
              </w:rPr>
              <w:t>and</w:t>
            </w:r>
          </w:p>
          <w:p w14:paraId="55C54C2A" w14:textId="77777777" w:rsidR="00041655" w:rsidRPr="00191478" w:rsidRDefault="00041655" w:rsidP="00041655">
            <w:pPr>
              <w:pStyle w:val="TableParagraph"/>
              <w:numPr>
                <w:ilvl w:val="0"/>
                <w:numId w:val="30"/>
              </w:numPr>
              <w:tabs>
                <w:tab w:val="left" w:pos="359"/>
              </w:tabs>
              <w:spacing w:before="58" w:line="235" w:lineRule="auto"/>
              <w:ind w:right="81" w:hanging="283"/>
              <w:rPr>
                <w:rFonts w:asciiTheme="minorHAnsi" w:hAnsiTheme="minorHAnsi"/>
                <w:sz w:val="19"/>
              </w:rPr>
            </w:pPr>
            <w:r w:rsidRPr="00191478">
              <w:rPr>
                <w:rFonts w:asciiTheme="minorHAnsi" w:hAnsiTheme="minorHAnsi"/>
                <w:spacing w:val="3"/>
                <w:sz w:val="19"/>
              </w:rPr>
              <w:t xml:space="preserve">developing </w:t>
            </w:r>
            <w:r w:rsidRPr="00191478">
              <w:rPr>
                <w:rFonts w:asciiTheme="minorHAnsi" w:hAnsiTheme="minorHAnsi"/>
                <w:spacing w:val="2"/>
                <w:sz w:val="19"/>
              </w:rPr>
              <w:t xml:space="preserve">an improved </w:t>
            </w:r>
            <w:r w:rsidRPr="00191478">
              <w:rPr>
                <w:rFonts w:asciiTheme="minorHAnsi" w:hAnsiTheme="minorHAnsi"/>
                <w:spacing w:val="3"/>
                <w:sz w:val="19"/>
              </w:rPr>
              <w:t xml:space="preserve">geographical classification </w:t>
            </w:r>
            <w:r w:rsidRPr="00191478">
              <w:rPr>
                <w:rFonts w:asciiTheme="minorHAnsi" w:hAnsiTheme="minorHAnsi"/>
                <w:sz w:val="19"/>
              </w:rPr>
              <w:t xml:space="preserve">tool </w:t>
            </w:r>
            <w:r w:rsidRPr="00191478">
              <w:rPr>
                <w:rFonts w:asciiTheme="minorHAnsi" w:hAnsiTheme="minorHAnsi"/>
                <w:spacing w:val="2"/>
                <w:sz w:val="19"/>
              </w:rPr>
              <w:t xml:space="preserve">for </w:t>
            </w:r>
            <w:r w:rsidRPr="00191478">
              <w:rPr>
                <w:rFonts w:asciiTheme="minorHAnsi" w:hAnsiTheme="minorHAnsi"/>
                <w:spacing w:val="4"/>
                <w:sz w:val="19"/>
              </w:rPr>
              <w:t xml:space="preserve">tertiary </w:t>
            </w:r>
            <w:r w:rsidRPr="00191478">
              <w:rPr>
                <w:rFonts w:asciiTheme="minorHAnsi" w:hAnsiTheme="minorHAnsi"/>
                <w:spacing w:val="3"/>
                <w:sz w:val="19"/>
              </w:rPr>
              <w:t>education purposes.</w:t>
            </w:r>
          </w:p>
        </w:tc>
        <w:tc>
          <w:tcPr>
            <w:tcW w:w="7520" w:type="dxa"/>
            <w:tcBorders>
              <w:bottom w:val="nil"/>
              <w:right w:val="nil"/>
            </w:tcBorders>
            <w:shd w:val="clear" w:color="auto" w:fill="ECEFF1"/>
          </w:tcPr>
          <w:p w14:paraId="0D07DB2D" w14:textId="77777777" w:rsidR="00041655" w:rsidRPr="00191478" w:rsidRDefault="00041655" w:rsidP="00041655">
            <w:pPr>
              <w:pStyle w:val="TableParagraph"/>
              <w:numPr>
                <w:ilvl w:val="0"/>
                <w:numId w:val="29"/>
              </w:numPr>
              <w:tabs>
                <w:tab w:val="left" w:pos="416"/>
              </w:tabs>
              <w:spacing w:before="41" w:line="235" w:lineRule="auto"/>
              <w:ind w:right="279" w:hanging="340"/>
              <w:jc w:val="both"/>
              <w:rPr>
                <w:rFonts w:asciiTheme="minorHAnsi" w:hAnsiTheme="minorHAnsi"/>
                <w:sz w:val="19"/>
              </w:rPr>
            </w:pPr>
            <w:r w:rsidRPr="00191478">
              <w:rPr>
                <w:rFonts w:asciiTheme="minorHAnsi" w:hAnsiTheme="minorHAnsi"/>
                <w:spacing w:val="3"/>
                <w:sz w:val="19"/>
              </w:rPr>
              <w:t xml:space="preserve">Establish </w:t>
            </w:r>
            <w:r w:rsidRPr="00191478">
              <w:rPr>
                <w:rFonts w:asciiTheme="minorHAnsi" w:hAnsiTheme="minorHAnsi"/>
                <w:sz w:val="19"/>
              </w:rPr>
              <w:t xml:space="preserve">a </w:t>
            </w:r>
            <w:r w:rsidRPr="00191478">
              <w:rPr>
                <w:rFonts w:asciiTheme="minorHAnsi" w:hAnsiTheme="minorHAnsi"/>
                <w:spacing w:val="3"/>
                <w:sz w:val="19"/>
              </w:rPr>
              <w:t xml:space="preserve">Commissioner </w:t>
            </w:r>
            <w:r w:rsidRPr="00191478">
              <w:rPr>
                <w:rFonts w:asciiTheme="minorHAnsi" w:hAnsiTheme="minorHAnsi"/>
                <w:spacing w:val="2"/>
                <w:sz w:val="19"/>
              </w:rPr>
              <w:t xml:space="preserve">for </w:t>
            </w:r>
            <w:r w:rsidRPr="00191478">
              <w:rPr>
                <w:rFonts w:asciiTheme="minorHAnsi" w:hAnsiTheme="minorHAnsi"/>
                <w:spacing w:val="3"/>
                <w:sz w:val="19"/>
              </w:rPr>
              <w:t xml:space="preserve">Regional, Rural and </w:t>
            </w:r>
            <w:r w:rsidRPr="00191478">
              <w:rPr>
                <w:rFonts w:asciiTheme="minorHAnsi" w:hAnsiTheme="minorHAnsi"/>
                <w:spacing w:val="2"/>
                <w:sz w:val="19"/>
              </w:rPr>
              <w:t xml:space="preserve">Remote Education </w:t>
            </w:r>
            <w:r w:rsidRPr="00191478">
              <w:rPr>
                <w:rFonts w:asciiTheme="minorHAnsi" w:hAnsiTheme="minorHAnsi"/>
                <w:sz w:val="19"/>
              </w:rPr>
              <w:t xml:space="preserve">to </w:t>
            </w:r>
            <w:r w:rsidRPr="00191478">
              <w:rPr>
                <w:rFonts w:asciiTheme="minorHAnsi" w:hAnsiTheme="minorHAnsi"/>
                <w:spacing w:val="2"/>
                <w:sz w:val="19"/>
              </w:rPr>
              <w:t xml:space="preserve">provide </w:t>
            </w:r>
            <w:r w:rsidRPr="00191478">
              <w:rPr>
                <w:rFonts w:asciiTheme="minorHAnsi" w:hAnsiTheme="minorHAnsi"/>
                <w:spacing w:val="3"/>
                <w:sz w:val="19"/>
              </w:rPr>
              <w:t xml:space="preserve">advice </w:t>
            </w:r>
            <w:r w:rsidRPr="00191478">
              <w:rPr>
                <w:rFonts w:asciiTheme="minorHAnsi" w:hAnsiTheme="minorHAnsi"/>
                <w:sz w:val="19"/>
              </w:rPr>
              <w:t xml:space="preserve">on a </w:t>
            </w:r>
            <w:r w:rsidRPr="00191478">
              <w:rPr>
                <w:rFonts w:asciiTheme="minorHAnsi" w:hAnsiTheme="minorHAnsi"/>
                <w:spacing w:val="2"/>
                <w:sz w:val="19"/>
              </w:rPr>
              <w:t xml:space="preserve">broad </w:t>
            </w:r>
            <w:r w:rsidRPr="00191478">
              <w:rPr>
                <w:rFonts w:asciiTheme="minorHAnsi" w:hAnsiTheme="minorHAnsi"/>
                <w:spacing w:val="3"/>
                <w:sz w:val="19"/>
              </w:rPr>
              <w:t xml:space="preserve">range </w:t>
            </w:r>
            <w:r w:rsidRPr="00191478">
              <w:rPr>
                <w:rFonts w:asciiTheme="minorHAnsi" w:hAnsiTheme="minorHAnsi"/>
                <w:sz w:val="19"/>
              </w:rPr>
              <w:t xml:space="preserve">of </w:t>
            </w:r>
            <w:r w:rsidRPr="00191478">
              <w:rPr>
                <w:rFonts w:asciiTheme="minorHAnsi" w:hAnsiTheme="minorHAnsi"/>
                <w:spacing w:val="3"/>
                <w:sz w:val="19"/>
              </w:rPr>
              <w:t xml:space="preserve">education issues and oversee </w:t>
            </w:r>
            <w:r w:rsidRPr="00191478">
              <w:rPr>
                <w:rFonts w:asciiTheme="minorHAnsi" w:hAnsiTheme="minorHAnsi"/>
                <w:spacing w:val="2"/>
                <w:sz w:val="19"/>
              </w:rPr>
              <w:t xml:space="preserve">the </w:t>
            </w:r>
            <w:r w:rsidRPr="00191478">
              <w:rPr>
                <w:rFonts w:asciiTheme="minorHAnsi" w:hAnsiTheme="minorHAnsi"/>
                <w:spacing w:val="3"/>
                <w:sz w:val="19"/>
              </w:rPr>
              <w:t xml:space="preserve">implementation </w:t>
            </w:r>
            <w:r w:rsidRPr="00191478">
              <w:rPr>
                <w:rFonts w:asciiTheme="minorHAnsi" w:hAnsiTheme="minorHAnsi"/>
                <w:sz w:val="19"/>
              </w:rPr>
              <w:t xml:space="preserve">of </w:t>
            </w:r>
            <w:r w:rsidRPr="00191478">
              <w:rPr>
                <w:rFonts w:asciiTheme="minorHAnsi" w:hAnsiTheme="minorHAnsi"/>
                <w:spacing w:val="2"/>
                <w:sz w:val="19"/>
              </w:rPr>
              <w:t xml:space="preserve">the </w:t>
            </w:r>
            <w:r w:rsidRPr="00191478">
              <w:rPr>
                <w:rFonts w:asciiTheme="minorHAnsi" w:hAnsiTheme="minorHAnsi"/>
                <w:sz w:val="19"/>
              </w:rPr>
              <w:t xml:space="preserve">Strategy, </w:t>
            </w:r>
            <w:r w:rsidRPr="00191478">
              <w:rPr>
                <w:rFonts w:asciiTheme="minorHAnsi" w:hAnsiTheme="minorHAnsi"/>
                <w:spacing w:val="3"/>
                <w:sz w:val="19"/>
              </w:rPr>
              <w:t xml:space="preserve">working </w:t>
            </w:r>
            <w:r w:rsidRPr="00191478">
              <w:rPr>
                <w:rFonts w:asciiTheme="minorHAnsi" w:hAnsiTheme="minorHAnsi"/>
                <w:spacing w:val="2"/>
                <w:sz w:val="19"/>
              </w:rPr>
              <w:t xml:space="preserve">with </w:t>
            </w:r>
            <w:r w:rsidRPr="00191478">
              <w:rPr>
                <w:rFonts w:asciiTheme="minorHAnsi" w:hAnsiTheme="minorHAnsi"/>
                <w:sz w:val="19"/>
              </w:rPr>
              <w:t xml:space="preserve">a </w:t>
            </w:r>
            <w:r w:rsidRPr="00191478">
              <w:rPr>
                <w:rFonts w:asciiTheme="minorHAnsi" w:hAnsiTheme="minorHAnsi"/>
                <w:spacing w:val="3"/>
                <w:sz w:val="19"/>
              </w:rPr>
              <w:t xml:space="preserve">wide range </w:t>
            </w:r>
            <w:r w:rsidRPr="00191478">
              <w:rPr>
                <w:rFonts w:asciiTheme="minorHAnsi" w:hAnsiTheme="minorHAnsi"/>
                <w:sz w:val="19"/>
              </w:rPr>
              <w:t xml:space="preserve">of </w:t>
            </w:r>
            <w:r w:rsidRPr="00191478">
              <w:rPr>
                <w:rFonts w:asciiTheme="minorHAnsi" w:hAnsiTheme="minorHAnsi"/>
                <w:spacing w:val="2"/>
                <w:sz w:val="19"/>
              </w:rPr>
              <w:t xml:space="preserve">relevant </w:t>
            </w:r>
            <w:r w:rsidRPr="00191478">
              <w:rPr>
                <w:rFonts w:asciiTheme="minorHAnsi" w:hAnsiTheme="minorHAnsi"/>
                <w:spacing w:val="3"/>
                <w:sz w:val="19"/>
              </w:rPr>
              <w:t xml:space="preserve">stakeholders and providing </w:t>
            </w:r>
            <w:r w:rsidRPr="00191478">
              <w:rPr>
                <w:rFonts w:asciiTheme="minorHAnsi" w:hAnsiTheme="minorHAnsi"/>
                <w:sz w:val="19"/>
              </w:rPr>
              <w:t xml:space="preserve">a </w:t>
            </w:r>
            <w:r w:rsidRPr="00191478">
              <w:rPr>
                <w:rFonts w:asciiTheme="minorHAnsi" w:hAnsiTheme="minorHAnsi"/>
                <w:spacing w:val="3"/>
                <w:sz w:val="19"/>
              </w:rPr>
              <w:t xml:space="preserve">national </w:t>
            </w:r>
            <w:r w:rsidRPr="00191478">
              <w:rPr>
                <w:rFonts w:asciiTheme="minorHAnsi" w:hAnsiTheme="minorHAnsi"/>
                <w:spacing w:val="2"/>
                <w:sz w:val="19"/>
              </w:rPr>
              <w:t xml:space="preserve">focus for RRR </w:t>
            </w:r>
            <w:r w:rsidRPr="00191478">
              <w:rPr>
                <w:rFonts w:asciiTheme="minorHAnsi" w:hAnsiTheme="minorHAnsi"/>
                <w:spacing w:val="3"/>
                <w:sz w:val="19"/>
              </w:rPr>
              <w:t>education, training and</w:t>
            </w:r>
            <w:r w:rsidRPr="00191478">
              <w:rPr>
                <w:rFonts w:asciiTheme="minorHAnsi" w:hAnsiTheme="minorHAnsi"/>
                <w:spacing w:val="21"/>
                <w:sz w:val="19"/>
              </w:rPr>
              <w:t xml:space="preserve"> </w:t>
            </w:r>
            <w:r w:rsidRPr="00191478">
              <w:rPr>
                <w:rFonts w:asciiTheme="minorHAnsi" w:hAnsiTheme="minorHAnsi"/>
                <w:spacing w:val="3"/>
                <w:sz w:val="19"/>
              </w:rPr>
              <w:t>research.</w:t>
            </w:r>
          </w:p>
          <w:p w14:paraId="017000C1" w14:textId="3F9BABF4" w:rsidR="00041655" w:rsidRPr="00191478" w:rsidRDefault="00041655" w:rsidP="00041655">
            <w:pPr>
              <w:pStyle w:val="TableParagraph"/>
              <w:numPr>
                <w:ilvl w:val="0"/>
                <w:numId w:val="29"/>
              </w:numPr>
              <w:tabs>
                <w:tab w:val="left" w:pos="416"/>
              </w:tabs>
              <w:spacing w:before="58" w:line="235" w:lineRule="auto"/>
              <w:ind w:right="814" w:hanging="340"/>
              <w:rPr>
                <w:rFonts w:asciiTheme="minorHAnsi" w:hAnsiTheme="minorHAnsi"/>
                <w:sz w:val="19"/>
              </w:rPr>
            </w:pPr>
            <w:r w:rsidRPr="00191478">
              <w:rPr>
                <w:rFonts w:asciiTheme="minorHAnsi" w:hAnsiTheme="minorHAnsi"/>
                <w:spacing w:val="3"/>
                <w:sz w:val="19"/>
              </w:rPr>
              <w:t xml:space="preserve">The Australian Government </w:t>
            </w:r>
            <w:r w:rsidRPr="00191478">
              <w:rPr>
                <w:rFonts w:asciiTheme="minorHAnsi" w:hAnsiTheme="minorHAnsi"/>
                <w:spacing w:val="4"/>
                <w:sz w:val="19"/>
              </w:rPr>
              <w:t xml:space="preserve">Department </w:t>
            </w:r>
            <w:r w:rsidRPr="00191478">
              <w:rPr>
                <w:rFonts w:asciiTheme="minorHAnsi" w:hAnsiTheme="minorHAnsi"/>
                <w:sz w:val="19"/>
              </w:rPr>
              <w:t xml:space="preserve">of </w:t>
            </w:r>
            <w:r w:rsidRPr="00191478">
              <w:rPr>
                <w:rFonts w:asciiTheme="minorHAnsi" w:hAnsiTheme="minorHAnsi"/>
                <w:spacing w:val="2"/>
                <w:sz w:val="19"/>
              </w:rPr>
              <w:t xml:space="preserve">Education work with the ABS </w:t>
            </w:r>
            <w:r w:rsidRPr="00191478">
              <w:rPr>
                <w:rFonts w:asciiTheme="minorHAnsi" w:hAnsiTheme="minorHAnsi"/>
                <w:sz w:val="19"/>
              </w:rPr>
              <w:t xml:space="preserve">to </w:t>
            </w:r>
            <w:r w:rsidRPr="00191478">
              <w:rPr>
                <w:rFonts w:asciiTheme="minorHAnsi" w:hAnsiTheme="minorHAnsi"/>
                <w:spacing w:val="2"/>
                <w:sz w:val="19"/>
              </w:rPr>
              <w:t xml:space="preserve">develop </w:t>
            </w:r>
            <w:r w:rsidRPr="00191478">
              <w:rPr>
                <w:rFonts w:asciiTheme="minorHAnsi" w:hAnsiTheme="minorHAnsi"/>
                <w:sz w:val="19"/>
              </w:rPr>
              <w:t xml:space="preserve">a </w:t>
            </w:r>
            <w:r w:rsidRPr="00191478">
              <w:rPr>
                <w:rFonts w:asciiTheme="minorHAnsi" w:hAnsiTheme="minorHAnsi"/>
                <w:spacing w:val="3"/>
                <w:sz w:val="19"/>
              </w:rPr>
              <w:t xml:space="preserve">geographical classification </w:t>
            </w:r>
            <w:r w:rsidRPr="00191478">
              <w:rPr>
                <w:rFonts w:asciiTheme="minorHAnsi" w:hAnsiTheme="minorHAnsi"/>
                <w:spacing w:val="2"/>
                <w:sz w:val="19"/>
              </w:rPr>
              <w:t xml:space="preserve">system </w:t>
            </w:r>
            <w:r w:rsidRPr="00191478">
              <w:rPr>
                <w:rFonts w:asciiTheme="minorHAnsi" w:hAnsiTheme="minorHAnsi"/>
                <w:sz w:val="19"/>
              </w:rPr>
              <w:t xml:space="preserve">that </w:t>
            </w:r>
            <w:r w:rsidRPr="00191478">
              <w:rPr>
                <w:rFonts w:asciiTheme="minorHAnsi" w:hAnsiTheme="minorHAnsi"/>
                <w:spacing w:val="3"/>
                <w:sz w:val="19"/>
              </w:rPr>
              <w:t xml:space="preserve">measures rurality and remoteness </w:t>
            </w:r>
            <w:r w:rsidRPr="00191478">
              <w:rPr>
                <w:rFonts w:asciiTheme="minorHAnsi" w:hAnsiTheme="minorHAnsi"/>
                <w:sz w:val="19"/>
              </w:rPr>
              <w:t xml:space="preserve">at a </w:t>
            </w:r>
            <w:r w:rsidRPr="00191478">
              <w:rPr>
                <w:rFonts w:asciiTheme="minorHAnsi" w:hAnsiTheme="minorHAnsi"/>
                <w:spacing w:val="2"/>
                <w:sz w:val="19"/>
              </w:rPr>
              <w:t xml:space="preserve">finer level for </w:t>
            </w:r>
            <w:r w:rsidRPr="00191478">
              <w:rPr>
                <w:rFonts w:asciiTheme="minorHAnsi" w:hAnsiTheme="minorHAnsi"/>
                <w:spacing w:val="3"/>
                <w:sz w:val="19"/>
              </w:rPr>
              <w:t>education and training</w:t>
            </w:r>
            <w:r w:rsidRPr="00191478">
              <w:rPr>
                <w:rFonts w:asciiTheme="minorHAnsi" w:hAnsiTheme="minorHAnsi"/>
                <w:spacing w:val="35"/>
                <w:sz w:val="19"/>
              </w:rPr>
              <w:t xml:space="preserve"> </w:t>
            </w:r>
            <w:r w:rsidRPr="00191478">
              <w:rPr>
                <w:rFonts w:asciiTheme="minorHAnsi" w:hAnsiTheme="minorHAnsi"/>
                <w:spacing w:val="3"/>
                <w:sz w:val="19"/>
              </w:rPr>
              <w:t>purposes.</w:t>
            </w:r>
          </w:p>
        </w:tc>
      </w:tr>
    </w:tbl>
    <w:p w14:paraId="78BF7A32" w14:textId="73369906" w:rsidR="00041655" w:rsidRDefault="00041655" w:rsidP="001A5186">
      <w:pPr>
        <w:rPr>
          <w:color w:val="ACB4C3" w:themeColor="accent2" w:themeShade="BF"/>
        </w:rPr>
      </w:pPr>
    </w:p>
    <w:p w14:paraId="10995EB0" w14:textId="50E44161" w:rsidR="00041655" w:rsidRDefault="00041655" w:rsidP="00041655"/>
    <w:p w14:paraId="5FAD0D90" w14:textId="4F4DAD26" w:rsidR="00041655" w:rsidRDefault="00041655" w:rsidP="00041655"/>
    <w:p w14:paraId="71F86851" w14:textId="77777777" w:rsidR="001A5186" w:rsidRPr="00041655" w:rsidRDefault="001A5186" w:rsidP="00041655">
      <w:pPr>
        <w:sectPr w:rsidR="001A5186" w:rsidRPr="00041655" w:rsidSect="00863F57">
          <w:pgSz w:w="16838" w:h="11906" w:orient="landscape"/>
          <w:pgMar w:top="1304" w:right="1304" w:bottom="1304" w:left="1304" w:header="709" w:footer="709" w:gutter="0"/>
          <w:cols w:space="708"/>
          <w:docGrid w:linePitch="360"/>
        </w:sectPr>
      </w:pPr>
    </w:p>
    <w:p w14:paraId="73CC2965" w14:textId="0B7EB855" w:rsidR="00A00D4F" w:rsidRPr="008D1BAF" w:rsidRDefault="00A00D4F" w:rsidP="008D1BAF">
      <w:pPr>
        <w:pStyle w:val="Heading1"/>
      </w:pPr>
      <w:bookmarkStart w:id="67" w:name="_Toc516120037"/>
      <w:bookmarkStart w:id="68" w:name="_Toc13224810"/>
      <w:bookmarkStart w:id="69" w:name="_Toc488181518"/>
      <w:bookmarkStart w:id="70" w:name="_Toc488181520"/>
      <w:bookmarkStart w:id="71" w:name="_Toc516120039"/>
      <w:r w:rsidRPr="008D1BAF">
        <w:lastRenderedPageBreak/>
        <w:t xml:space="preserve">Appendix A – </w:t>
      </w:r>
      <w:bookmarkEnd w:id="67"/>
      <w:r w:rsidRPr="008D1BAF">
        <w:t>Overview of background literature</w:t>
      </w:r>
      <w:bookmarkEnd w:id="68"/>
    </w:p>
    <w:p w14:paraId="3F317849" w14:textId="64585479" w:rsidR="00566137" w:rsidRPr="00306207" w:rsidRDefault="00566137" w:rsidP="00566137">
      <w:pPr>
        <w:spacing w:after="0"/>
        <w:rPr>
          <w:rFonts w:ascii="Calibri" w:eastAsia="Calibri" w:hAnsi="Calibri" w:cs="Calibri"/>
        </w:rPr>
      </w:pPr>
      <w:r w:rsidRPr="00306207">
        <w:rPr>
          <w:rFonts w:ascii="Calibri" w:eastAsia="Calibri" w:hAnsi="Calibri" w:cs="Calibri"/>
        </w:rPr>
        <w:t xml:space="preserve">The purpose of this literature review is to provide a succinct synthesis of research relevant to this final report and Strategy, to contextualise and inform the recommendations and actions as well as further policy work to improve the participation and outcomes of </w:t>
      </w:r>
      <w:r w:rsidR="001466D1">
        <w:rPr>
          <w:rFonts w:ascii="Calibri" w:eastAsia="Calibri" w:hAnsi="Calibri" w:cs="Calibri"/>
        </w:rPr>
        <w:t>RRR</w:t>
      </w:r>
      <w:r w:rsidRPr="00306207">
        <w:rPr>
          <w:rFonts w:ascii="Calibri" w:eastAsia="Calibri" w:hAnsi="Calibri" w:cs="Calibri"/>
        </w:rPr>
        <w:t xml:space="preserve"> students in tertiary education.</w:t>
      </w:r>
    </w:p>
    <w:p w14:paraId="67E05E16" w14:textId="77777777" w:rsidR="00566137" w:rsidRPr="00306207" w:rsidRDefault="00566137" w:rsidP="00566137">
      <w:pPr>
        <w:spacing w:after="0"/>
        <w:rPr>
          <w:rFonts w:ascii="Calibri" w:eastAsia="Calibri" w:hAnsi="Calibri" w:cs="Calibri"/>
        </w:rPr>
      </w:pPr>
    </w:p>
    <w:p w14:paraId="25865C78" w14:textId="77777777" w:rsidR="00566137" w:rsidRPr="00306207" w:rsidRDefault="00566137" w:rsidP="00D35D22">
      <w:pPr>
        <w:rPr>
          <w:rFonts w:ascii="Calibri" w:eastAsia="Calibri" w:hAnsi="Calibri" w:cs="Calibri"/>
        </w:rPr>
      </w:pPr>
      <w:r w:rsidRPr="00306207">
        <w:rPr>
          <w:rFonts w:ascii="Calibri" w:eastAsia="Calibri" w:hAnsi="Calibri" w:cs="Calibri"/>
        </w:rPr>
        <w:t>This overview of background literature is organised as follows:</w:t>
      </w:r>
    </w:p>
    <w:p w14:paraId="7AA61DE9" w14:textId="77777777" w:rsid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rPr>
          <w:b/>
        </w:rPr>
      </w:pPr>
      <w:r w:rsidRPr="008C56CD">
        <w:rPr>
          <w:b/>
        </w:rPr>
        <w:t>1.0 Background</w:t>
      </w:r>
    </w:p>
    <w:p w14:paraId="51D670C6" w14:textId="77777777" w:rsidR="00D35D22" w:rsidRPr="008C56CD"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pPr>
      <w:r w:rsidRPr="008C56CD">
        <w:t>1.1 The RRR-metropolitan educational divide: An international phenomenon and concern</w:t>
      </w:r>
    </w:p>
    <w:p w14:paraId="2AB142F5" w14:textId="77777777" w:rsidR="00D35D22" w:rsidRPr="008C56CD"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pPr>
      <w:r w:rsidRPr="008C56CD">
        <w:t>1.2 The importance of place</w:t>
      </w:r>
    </w:p>
    <w:p w14:paraId="6D628179" w14:textId="77777777" w:rsid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pPr>
      <w:r w:rsidRPr="008C56CD">
        <w:t>1.3 RRR student diversity</w:t>
      </w:r>
    </w:p>
    <w:p w14:paraId="770E024E" w14:textId="2B598515" w:rsidR="00D35D22" w:rsidRPr="008C56CD"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rPr>
          <w:b/>
        </w:rPr>
      </w:pPr>
      <w:r>
        <w:t>1.4 21</w:t>
      </w:r>
      <w:r w:rsidRPr="008C56CD">
        <w:rPr>
          <w:vertAlign w:val="superscript"/>
        </w:rPr>
        <w:t>st</w:t>
      </w:r>
      <w:r>
        <w:t xml:space="preserve"> century career construction and the increasing importance of career advice</w:t>
      </w:r>
    </w:p>
    <w:p w14:paraId="7EFD9A3F" w14:textId="4978C3FE" w:rsidR="00D35D22" w:rsidRDefault="00D35D22" w:rsidP="00A14B93">
      <w:pPr>
        <w:spacing w:after="0"/>
        <w:ind w:left="142"/>
        <w:rPr>
          <w:rFonts w:ascii="Calibri" w:eastAsia="Calibri" w:hAnsi="Calibri" w:cs="Calibri"/>
          <w:color w:val="FF0000"/>
        </w:rPr>
      </w:pPr>
    </w:p>
    <w:p w14:paraId="59089844" w14:textId="77777777" w:rsid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rPr>
          <w:b/>
        </w:rPr>
      </w:pPr>
      <w:r>
        <w:rPr>
          <w:b/>
        </w:rPr>
        <w:t xml:space="preserve">2.0 Aspirations </w:t>
      </w:r>
    </w:p>
    <w:p w14:paraId="39C64876" w14:textId="77777777" w:rsid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pPr>
      <w:r>
        <w:t>2.1 Aspirations take many forms</w:t>
      </w:r>
    </w:p>
    <w:p w14:paraId="06D6B5F4" w14:textId="77777777" w:rsidR="00D35D22" w:rsidRPr="008C56CD"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rPr>
          <w:b/>
        </w:rPr>
      </w:pPr>
      <w:r>
        <w:t xml:space="preserve">2.2 The interplay between occupational and tertiary education aspirations </w:t>
      </w:r>
    </w:p>
    <w:p w14:paraId="3903B98C" w14:textId="028BF690" w:rsidR="00D35D22" w:rsidRDefault="00D35D22" w:rsidP="00A14B93">
      <w:pPr>
        <w:spacing w:after="0"/>
        <w:ind w:left="142"/>
        <w:rPr>
          <w:rFonts w:ascii="Calibri" w:eastAsia="Calibri" w:hAnsi="Calibri" w:cs="Calibri"/>
          <w:color w:val="FF0000"/>
        </w:rPr>
      </w:pPr>
    </w:p>
    <w:p w14:paraId="7272C5DD" w14:textId="77777777" w:rsid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rPr>
          <w:b/>
        </w:rPr>
      </w:pPr>
      <w:r>
        <w:rPr>
          <w:b/>
        </w:rPr>
        <w:t>3.0 Tertiary education enablers and barriers</w:t>
      </w:r>
    </w:p>
    <w:p w14:paraId="381DA66C" w14:textId="3EAC6DBB" w:rsidR="00D35D22" w:rsidRPr="00FB0926"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pPr>
      <w:r w:rsidRPr="00677E51">
        <w:t>3.1</w:t>
      </w:r>
      <w:r w:rsidRPr="003F6E09">
        <w:t xml:space="preserve"> </w:t>
      </w:r>
      <w:r>
        <w:t>C</w:t>
      </w:r>
      <w:r w:rsidRPr="003F6E09">
        <w:t>hange agent</w:t>
      </w:r>
      <w:r>
        <w:t>s</w:t>
      </w:r>
    </w:p>
    <w:p w14:paraId="4E7E97ED" w14:textId="77777777" w:rsidR="00D35D22" w:rsidRPr="00306207" w:rsidRDefault="00D35D22" w:rsidP="00A14B93">
      <w:pPr>
        <w:spacing w:after="0"/>
        <w:ind w:left="142"/>
        <w:rPr>
          <w:rFonts w:ascii="Calibri" w:eastAsia="Calibri" w:hAnsi="Calibri" w:cs="Calibri"/>
          <w:color w:val="FF0000"/>
        </w:rPr>
      </w:pPr>
    </w:p>
    <w:p w14:paraId="386445D6" w14:textId="77777777" w:rsid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rPr>
          <w:b/>
        </w:rPr>
      </w:pPr>
      <w:r>
        <w:rPr>
          <w:b/>
        </w:rPr>
        <w:t>4.0 Increasing equity groups tertiary education participation and outcomes</w:t>
      </w:r>
    </w:p>
    <w:p w14:paraId="79D7EBF2" w14:textId="77777777" w:rsid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pPr>
      <w:r>
        <w:t>4.1 Benchmarking Australia’s widening participation policies and practices</w:t>
      </w:r>
    </w:p>
    <w:p w14:paraId="503D2BD7" w14:textId="5E90779B" w:rsidR="00566137" w:rsidRP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pPr>
      <w:r>
        <w:t>4.2 The Higher Education Participation and Partnerships Program (HEPPP)</w:t>
      </w:r>
    </w:p>
    <w:p w14:paraId="55C7ABC6" w14:textId="77777777" w:rsidR="00566137" w:rsidRPr="00306207" w:rsidRDefault="00566137" w:rsidP="00A14B93">
      <w:pPr>
        <w:tabs>
          <w:tab w:val="left" w:pos="4678"/>
        </w:tabs>
        <w:spacing w:after="0" w:line="240" w:lineRule="auto"/>
        <w:ind w:left="142"/>
        <w:rPr>
          <w:rFonts w:eastAsia="Calibri" w:cs="Times New Roman"/>
          <w:szCs w:val="24"/>
        </w:rPr>
      </w:pPr>
    </w:p>
    <w:p w14:paraId="36D95781" w14:textId="77777777" w:rsid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rPr>
          <w:b/>
        </w:rPr>
      </w:pPr>
      <w:r>
        <w:rPr>
          <w:b/>
        </w:rPr>
        <w:t xml:space="preserve">5.0 Key considerations </w:t>
      </w:r>
    </w:p>
    <w:p w14:paraId="4AFEBD57" w14:textId="77777777" w:rsid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pPr>
      <w:r>
        <w:t>5.1 The Triple Helix Model: How can university-industry-government relationships address the metropolitan-RRR education divide?</w:t>
      </w:r>
    </w:p>
    <w:p w14:paraId="29B29C68" w14:textId="77777777" w:rsid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pPr>
      <w:r>
        <w:t>5.2 How can the recognition of prior learning (RPL) be optimised to help RRR learners?</w:t>
      </w:r>
    </w:p>
    <w:p w14:paraId="4427078A" w14:textId="77777777" w:rsidR="00D35D22"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pPr>
      <w:r>
        <w:t xml:space="preserve">5.3 Should efforts be targeted or is a RRR whole-of-student-lifecycle approach needed?  </w:t>
      </w:r>
    </w:p>
    <w:p w14:paraId="28591718" w14:textId="77777777" w:rsidR="00D35D22" w:rsidRPr="008C56CD" w:rsidRDefault="00D35D22" w:rsidP="00A14B93">
      <w:pPr>
        <w:pBdr>
          <w:top w:val="single" w:sz="12" w:space="1" w:color="5B796D"/>
          <w:left w:val="single" w:sz="12" w:space="4" w:color="5B796D"/>
          <w:bottom w:val="single" w:sz="12" w:space="1" w:color="5B796D"/>
          <w:right w:val="single" w:sz="12" w:space="4" w:color="5B796D"/>
        </w:pBdr>
        <w:spacing w:after="0" w:line="240" w:lineRule="auto"/>
        <w:ind w:left="142"/>
        <w:rPr>
          <w:b/>
        </w:rPr>
      </w:pPr>
      <w:r>
        <w:t>5.4 Themes from recent Australian research projects</w:t>
      </w:r>
    </w:p>
    <w:p w14:paraId="6815AE82" w14:textId="77777777" w:rsidR="00566137" w:rsidRPr="00306207" w:rsidRDefault="00566137" w:rsidP="00566137">
      <w:pPr>
        <w:spacing w:line="240" w:lineRule="auto"/>
        <w:rPr>
          <w:rFonts w:eastAsia="Calibri" w:cs="Times New Roman"/>
          <w:szCs w:val="24"/>
        </w:rPr>
      </w:pPr>
    </w:p>
    <w:p w14:paraId="22D49A6E" w14:textId="2EE608A2" w:rsidR="00566137" w:rsidRPr="00306207" w:rsidRDefault="00566137" w:rsidP="00566137">
      <w:pPr>
        <w:spacing w:line="240" w:lineRule="auto"/>
        <w:rPr>
          <w:rFonts w:eastAsia="Calibri" w:cs="Times New Roman"/>
          <w:szCs w:val="24"/>
        </w:rPr>
      </w:pPr>
    </w:p>
    <w:p w14:paraId="51352256" w14:textId="05827C70" w:rsidR="00566137" w:rsidRPr="00306207" w:rsidRDefault="00566137" w:rsidP="00566137">
      <w:pPr>
        <w:spacing w:line="240" w:lineRule="auto"/>
        <w:rPr>
          <w:rFonts w:eastAsia="Calibri" w:cs="Times New Roman"/>
          <w:szCs w:val="24"/>
        </w:rPr>
      </w:pPr>
    </w:p>
    <w:p w14:paraId="7E7315CE" w14:textId="77777777" w:rsidR="00566137" w:rsidRPr="00306207" w:rsidRDefault="00566137" w:rsidP="00566137">
      <w:pPr>
        <w:spacing w:line="240" w:lineRule="auto"/>
        <w:rPr>
          <w:rFonts w:eastAsia="Calibri" w:cs="Times New Roman"/>
          <w:szCs w:val="24"/>
        </w:rPr>
      </w:pPr>
    </w:p>
    <w:p w14:paraId="20187480" w14:textId="39962EEF" w:rsidR="00566137" w:rsidRPr="00306207" w:rsidRDefault="00566137" w:rsidP="00566137">
      <w:pPr>
        <w:spacing w:line="240" w:lineRule="auto"/>
        <w:rPr>
          <w:rFonts w:eastAsia="Calibri" w:cs="Times New Roman"/>
          <w:szCs w:val="24"/>
        </w:rPr>
      </w:pPr>
    </w:p>
    <w:p w14:paraId="58069C58" w14:textId="1DA13776" w:rsidR="00566137" w:rsidRPr="00306207" w:rsidRDefault="00566137" w:rsidP="00566137">
      <w:pPr>
        <w:spacing w:line="240" w:lineRule="auto"/>
        <w:rPr>
          <w:rFonts w:eastAsia="Calibri" w:cs="Times New Roman"/>
          <w:szCs w:val="24"/>
        </w:rPr>
      </w:pPr>
    </w:p>
    <w:p w14:paraId="10A8B357" w14:textId="77777777" w:rsidR="00566137" w:rsidRPr="00306207" w:rsidRDefault="00566137" w:rsidP="00566137">
      <w:pPr>
        <w:spacing w:line="240" w:lineRule="auto"/>
        <w:rPr>
          <w:rFonts w:eastAsia="Calibri" w:cs="Times New Roman"/>
          <w:szCs w:val="24"/>
        </w:rPr>
      </w:pPr>
    </w:p>
    <w:p w14:paraId="32F4BC24" w14:textId="77777777" w:rsidR="00566137" w:rsidRPr="00306207" w:rsidRDefault="00566137" w:rsidP="00566137">
      <w:pPr>
        <w:spacing w:line="240" w:lineRule="auto"/>
        <w:rPr>
          <w:rFonts w:eastAsia="Calibri" w:cs="Times New Roman"/>
          <w:szCs w:val="24"/>
        </w:rPr>
      </w:pPr>
    </w:p>
    <w:p w14:paraId="71E27902" w14:textId="77777777" w:rsidR="00566137" w:rsidRPr="00306207" w:rsidRDefault="00566137" w:rsidP="00566137">
      <w:pPr>
        <w:spacing w:line="240" w:lineRule="auto"/>
        <w:rPr>
          <w:rFonts w:eastAsia="Calibri" w:cs="Times New Roman"/>
          <w:szCs w:val="24"/>
        </w:rPr>
      </w:pPr>
    </w:p>
    <w:p w14:paraId="184929F4" w14:textId="77777777" w:rsidR="00566137" w:rsidRPr="00306207" w:rsidRDefault="00566137" w:rsidP="00566137">
      <w:pPr>
        <w:spacing w:after="0"/>
        <w:rPr>
          <w:rFonts w:ascii="Calibri" w:eastAsia="Calibri" w:hAnsi="Calibri" w:cs="Calibri"/>
          <w:color w:val="FF0000"/>
        </w:rPr>
      </w:pPr>
    </w:p>
    <w:p w14:paraId="49DB4297" w14:textId="77777777" w:rsidR="00566137" w:rsidRPr="00306207" w:rsidRDefault="00566137" w:rsidP="00726804">
      <w:pPr>
        <w:pStyle w:val="Heading2"/>
        <w:rPr>
          <w:rFonts w:eastAsia="DengXian Light"/>
        </w:rPr>
      </w:pPr>
      <w:bookmarkStart w:id="72" w:name="_Toc11861004"/>
      <w:bookmarkStart w:id="73" w:name="_Toc13224811"/>
      <w:r w:rsidRPr="00306207">
        <w:rPr>
          <w:rFonts w:eastAsia="DengXian Light"/>
        </w:rPr>
        <w:lastRenderedPageBreak/>
        <w:t>1.0 Background</w:t>
      </w:r>
      <w:bookmarkEnd w:id="72"/>
      <w:bookmarkEnd w:id="73"/>
      <w:r w:rsidRPr="00306207">
        <w:rPr>
          <w:rFonts w:eastAsia="DengXian Light"/>
        </w:rPr>
        <w:t xml:space="preserve"> </w:t>
      </w:r>
    </w:p>
    <w:p w14:paraId="7B968999" w14:textId="77777777" w:rsidR="00566137" w:rsidRPr="00306207" w:rsidRDefault="00566137" w:rsidP="00A14B93">
      <w:pPr>
        <w:pStyle w:val="Heading3"/>
        <w:ind w:left="426" w:hanging="426"/>
        <w:rPr>
          <w:rFonts w:eastAsia="DengXian Light"/>
        </w:rPr>
      </w:pPr>
      <w:r w:rsidRPr="00306207">
        <w:rPr>
          <w:rFonts w:eastAsia="DengXian Light"/>
        </w:rPr>
        <w:t>1.1 The RRR-metropolitan educational divide: An international phenomenon and concern</w:t>
      </w:r>
    </w:p>
    <w:p w14:paraId="59299E41" w14:textId="3D4AD1FD" w:rsidR="00566137" w:rsidRPr="00306207" w:rsidRDefault="00566137" w:rsidP="00566137">
      <w:pPr>
        <w:rPr>
          <w:rFonts w:ascii="Calibri" w:eastAsia="Calibri" w:hAnsi="Calibri" w:cs="Calibri"/>
        </w:rPr>
      </w:pPr>
      <w:r w:rsidRPr="00306207">
        <w:rPr>
          <w:rFonts w:ascii="Calibri" w:eastAsia="Calibri" w:hAnsi="Calibri" w:cs="Calibri"/>
        </w:rPr>
        <w:t>The RRR-metropolitan educational divide is not unique to Australia</w:t>
      </w:r>
      <w:r w:rsidR="007579E0">
        <w:rPr>
          <w:rFonts w:ascii="Calibri" w:eastAsia="Calibri" w:hAnsi="Calibri" w:cs="Calibri"/>
        </w:rPr>
        <w:t xml:space="preserve"> – </w:t>
      </w:r>
      <w:r>
        <w:rPr>
          <w:rFonts w:ascii="Calibri" w:eastAsia="Calibri" w:hAnsi="Calibri" w:cs="Calibri"/>
        </w:rPr>
        <w:t xml:space="preserve"> it </w:t>
      </w:r>
      <w:r w:rsidRPr="00306207">
        <w:rPr>
          <w:rFonts w:ascii="Calibri" w:eastAsia="Calibri" w:hAnsi="Calibri" w:cs="Calibri"/>
        </w:rPr>
        <w:t>is an international phenomenon</w:t>
      </w:r>
      <w:r>
        <w:rPr>
          <w:rFonts w:ascii="Calibri" w:eastAsia="Calibri" w:hAnsi="Calibri" w:cs="Calibri"/>
        </w:rPr>
        <w:t>.</w:t>
      </w:r>
      <w:r w:rsidRPr="00306207">
        <w:rPr>
          <w:rFonts w:ascii="Calibri" w:eastAsia="Calibri" w:hAnsi="Calibri" w:cs="Calibri"/>
          <w:vertAlign w:val="superscript"/>
        </w:rPr>
        <w:footnoteReference w:id="100"/>
      </w:r>
      <w:r w:rsidRPr="00306207">
        <w:rPr>
          <w:rFonts w:ascii="Calibri" w:eastAsia="Calibri" w:hAnsi="Calibri" w:cs="Calibri"/>
        </w:rPr>
        <w:t xml:space="preserve"> Referred to by the OECD as the ‘urban advantage’</w:t>
      </w:r>
      <w:r>
        <w:rPr>
          <w:rFonts w:ascii="Calibri" w:eastAsia="Calibri" w:hAnsi="Calibri" w:cs="Calibri"/>
        </w:rPr>
        <w:t>,</w:t>
      </w:r>
      <w:r w:rsidRPr="00306207">
        <w:rPr>
          <w:rFonts w:ascii="Calibri" w:eastAsia="Calibri" w:hAnsi="Calibri" w:cs="Calibri"/>
          <w:vertAlign w:val="superscript"/>
        </w:rPr>
        <w:footnoteReference w:id="101"/>
      </w:r>
      <w:r w:rsidRPr="00306207">
        <w:rPr>
          <w:rFonts w:ascii="Calibri" w:eastAsia="Calibri" w:hAnsi="Calibri" w:cs="Calibri"/>
        </w:rPr>
        <w:t xml:space="preserve"> the educational outcomes of RRR students at all levels of schooling</w:t>
      </w:r>
      <w:r>
        <w:rPr>
          <w:rFonts w:ascii="Calibri" w:eastAsia="Calibri" w:hAnsi="Calibri" w:cs="Calibri"/>
        </w:rPr>
        <w:t>,</w:t>
      </w:r>
      <w:r w:rsidRPr="00306207">
        <w:rPr>
          <w:rFonts w:ascii="Calibri" w:eastAsia="Calibri" w:hAnsi="Calibri" w:cs="Calibri"/>
        </w:rPr>
        <w:t xml:space="preserve"> including tertiary education</w:t>
      </w:r>
      <w:r>
        <w:rPr>
          <w:rFonts w:ascii="Calibri" w:eastAsia="Calibri" w:hAnsi="Calibri" w:cs="Calibri"/>
        </w:rPr>
        <w:t>,</w:t>
      </w:r>
      <w:r w:rsidRPr="00306207">
        <w:rPr>
          <w:rFonts w:ascii="Calibri" w:eastAsia="Calibri" w:hAnsi="Calibri" w:cs="Calibri"/>
        </w:rPr>
        <w:t xml:space="preserve"> has been a cause of </w:t>
      </w:r>
      <w:r>
        <w:rPr>
          <w:rFonts w:ascii="Calibri" w:eastAsia="Calibri" w:hAnsi="Calibri" w:cs="Calibri"/>
        </w:rPr>
        <w:t xml:space="preserve">Commonwealth </w:t>
      </w:r>
      <w:r w:rsidRPr="00306207">
        <w:rPr>
          <w:rFonts w:ascii="Calibri" w:eastAsia="Calibri" w:hAnsi="Calibri" w:cs="Calibri"/>
        </w:rPr>
        <w:t>concern for some time (e.g. the Bradley Review 2008</w:t>
      </w:r>
      <w:r>
        <w:rPr>
          <w:rFonts w:ascii="Calibri" w:eastAsia="Calibri" w:hAnsi="Calibri" w:cs="Calibri"/>
        </w:rPr>
        <w:t>,</w:t>
      </w:r>
      <w:r w:rsidRPr="00306207">
        <w:rPr>
          <w:rFonts w:ascii="Calibri" w:eastAsia="Calibri" w:hAnsi="Calibri" w:cs="Calibri"/>
          <w:vertAlign w:val="superscript"/>
        </w:rPr>
        <w:footnoteReference w:id="102"/>
      </w:r>
      <w:r w:rsidRPr="00306207">
        <w:rPr>
          <w:rFonts w:ascii="Calibri" w:eastAsia="Calibri" w:hAnsi="Calibri" w:cs="Calibri"/>
        </w:rPr>
        <w:t xml:space="preserve"> the Halsey Review 2018</w:t>
      </w:r>
      <w:r w:rsidRPr="00306207">
        <w:rPr>
          <w:rFonts w:ascii="Calibri" w:eastAsia="Calibri" w:hAnsi="Calibri" w:cs="Calibri"/>
          <w:vertAlign w:val="superscript"/>
        </w:rPr>
        <w:footnoteReference w:id="103"/>
      </w:r>
      <w:r w:rsidR="007579E0">
        <w:rPr>
          <w:rFonts w:ascii="Calibri" w:eastAsia="Calibri" w:hAnsi="Calibri" w:cs="Calibri"/>
        </w:rPr>
        <w:t>)</w:t>
      </w:r>
      <w:r w:rsidRPr="00306207">
        <w:rPr>
          <w:rFonts w:ascii="Calibri" w:eastAsia="Calibri" w:hAnsi="Calibri" w:cs="Calibri"/>
        </w:rPr>
        <w:t xml:space="preserve"> as well as </w:t>
      </w:r>
      <w:r>
        <w:rPr>
          <w:rFonts w:ascii="Calibri" w:eastAsia="Calibri" w:hAnsi="Calibri" w:cs="Calibri"/>
        </w:rPr>
        <w:t xml:space="preserve">for </w:t>
      </w:r>
      <w:r w:rsidRPr="00306207">
        <w:rPr>
          <w:rFonts w:ascii="Calibri" w:eastAsia="Calibri" w:hAnsi="Calibri" w:cs="Calibri"/>
        </w:rPr>
        <w:t>state and territory governments (e.g. Victoria Parliament Rural and Regional Committee 2010</w:t>
      </w:r>
      <w:r>
        <w:rPr>
          <w:rFonts w:ascii="Calibri" w:eastAsia="Calibri" w:hAnsi="Calibri" w:cs="Calibri"/>
        </w:rPr>
        <w:t>;</w:t>
      </w:r>
      <w:r w:rsidRPr="00306207">
        <w:rPr>
          <w:rFonts w:ascii="Calibri" w:eastAsia="Calibri" w:hAnsi="Calibri" w:cs="Calibri"/>
          <w:vertAlign w:val="superscript"/>
        </w:rPr>
        <w:footnoteReference w:id="104"/>
      </w:r>
      <w:r w:rsidRPr="00306207">
        <w:rPr>
          <w:rFonts w:ascii="Calibri" w:eastAsia="Calibri" w:hAnsi="Calibri" w:cs="Calibri"/>
        </w:rPr>
        <w:t xml:space="preserve"> Queensland Department of Education and Training 2017</w:t>
      </w:r>
      <w:r w:rsidRPr="00306207">
        <w:rPr>
          <w:rFonts w:ascii="Calibri" w:eastAsia="Calibri" w:hAnsi="Calibri" w:cs="Calibri"/>
          <w:vertAlign w:val="superscript"/>
        </w:rPr>
        <w:footnoteReference w:id="105"/>
      </w:r>
      <w:r w:rsidR="007579E0">
        <w:rPr>
          <w:rFonts w:ascii="Calibri" w:eastAsia="Calibri" w:hAnsi="Calibri" w:cs="Calibri"/>
        </w:rPr>
        <w:t>).</w:t>
      </w:r>
      <w:r w:rsidRPr="00306207">
        <w:rPr>
          <w:rFonts w:ascii="Calibri" w:eastAsia="Calibri" w:hAnsi="Calibri" w:cs="Calibri"/>
        </w:rPr>
        <w:t xml:space="preserve"> More recently, Australia’s 2018 </w:t>
      </w:r>
      <w:r w:rsidRPr="00D35D22">
        <w:rPr>
          <w:rStyle w:val="Emphasis"/>
        </w:rPr>
        <w:t>National Review on the United Nations (UN) 2030 Agenda for Sustainable Development Goals</w:t>
      </w:r>
      <w:r w:rsidRPr="00306207">
        <w:rPr>
          <w:rFonts w:ascii="Calibri" w:eastAsia="Calibri" w:hAnsi="Calibri" w:cs="Calibri"/>
        </w:rPr>
        <w:t xml:space="preserve"> reports that access to quality education</w:t>
      </w:r>
      <w:r>
        <w:rPr>
          <w:rFonts w:ascii="Calibri" w:eastAsia="Calibri" w:hAnsi="Calibri" w:cs="Calibri"/>
        </w:rPr>
        <w:t>al</w:t>
      </w:r>
      <w:r w:rsidRPr="00306207">
        <w:rPr>
          <w:rFonts w:ascii="Calibri" w:eastAsia="Calibri" w:hAnsi="Calibri" w:cs="Calibri"/>
        </w:rPr>
        <w:t xml:space="preserve"> opportunities is particularly challenging in rural and remote areas and this has disproportionately impacted many Aboriginal and Torres Strait Islander communities</w:t>
      </w:r>
      <w:r>
        <w:rPr>
          <w:rFonts w:ascii="Calibri" w:eastAsia="Calibri" w:hAnsi="Calibri" w:cs="Calibri"/>
        </w:rPr>
        <w:t>.</w:t>
      </w:r>
      <w:r w:rsidRPr="00306207">
        <w:rPr>
          <w:rStyle w:val="FootnoteReference"/>
          <w:rFonts w:ascii="Calibri" w:eastAsia="Calibri" w:hAnsi="Calibri" w:cs="Calibri"/>
        </w:rPr>
        <w:footnoteReference w:id="106"/>
      </w:r>
      <w:r w:rsidRPr="00306207">
        <w:rPr>
          <w:rFonts w:ascii="Calibri" w:eastAsia="Calibri" w:hAnsi="Calibri" w:cs="Calibri"/>
        </w:rPr>
        <w:t xml:space="preserve"> </w:t>
      </w:r>
    </w:p>
    <w:p w14:paraId="2CA8FE34" w14:textId="77777777" w:rsidR="00566137" w:rsidRPr="00306207" w:rsidRDefault="00566137" w:rsidP="00566137">
      <w:pPr>
        <w:rPr>
          <w:rFonts w:ascii="Calibri" w:eastAsia="Calibri" w:hAnsi="Calibri" w:cs="Calibri"/>
        </w:rPr>
      </w:pPr>
      <w:r w:rsidRPr="00306207">
        <w:rPr>
          <w:rFonts w:ascii="Calibri" w:eastAsia="Calibri" w:hAnsi="Calibri" w:cs="Calibri"/>
        </w:rPr>
        <w:t xml:space="preserve">Access to </w:t>
      </w:r>
      <w:r>
        <w:rPr>
          <w:rFonts w:ascii="Calibri" w:eastAsia="Calibri" w:hAnsi="Calibri" w:cs="Calibri"/>
        </w:rPr>
        <w:t>tertiary</w:t>
      </w:r>
      <w:r w:rsidRPr="00306207">
        <w:rPr>
          <w:rFonts w:ascii="Calibri" w:eastAsia="Calibri" w:hAnsi="Calibri" w:cs="Calibri"/>
        </w:rPr>
        <w:t xml:space="preserve"> education is a human right as detailed in the </w:t>
      </w:r>
      <w:r w:rsidRPr="00D35D22">
        <w:rPr>
          <w:rStyle w:val="Emphasis"/>
        </w:rPr>
        <w:t>UN Convention of the Rights of the Child (1989)</w:t>
      </w:r>
      <w:r>
        <w:rPr>
          <w:rFonts w:ascii="Calibri" w:eastAsia="Calibri" w:hAnsi="Calibri" w:cs="Calibri"/>
        </w:rPr>
        <w:t>.</w:t>
      </w:r>
      <w:r w:rsidRPr="00306207">
        <w:rPr>
          <w:rStyle w:val="FootnoteReference"/>
          <w:rFonts w:ascii="Calibri" w:eastAsia="Calibri" w:hAnsi="Calibri" w:cs="Calibri"/>
        </w:rPr>
        <w:footnoteReference w:id="107"/>
      </w:r>
      <w:r w:rsidRPr="00306207">
        <w:rPr>
          <w:rFonts w:ascii="Calibri" w:eastAsia="Calibri" w:hAnsi="Calibri" w:cs="Calibri"/>
        </w:rPr>
        <w:t xml:space="preserve"> Furthermore, among the recommendations made by the Human Rights and Equal Opportunity Commission (2000) National Inquiry into Rural and Remote Education was that in Australia ‘all governments and education providers should adopt the five criteria of availability, accessibility, affordability, acceptability and adaptability’ in ‘funding, provision strategies, and evaluations programs’</w:t>
      </w:r>
      <w:r>
        <w:rPr>
          <w:rFonts w:ascii="Calibri" w:eastAsia="Calibri" w:hAnsi="Calibri" w:cs="Calibri"/>
        </w:rPr>
        <w:t>.</w:t>
      </w:r>
      <w:r w:rsidRPr="00306207">
        <w:rPr>
          <w:rStyle w:val="FootnoteReference"/>
          <w:rFonts w:ascii="Calibri" w:eastAsia="Calibri" w:hAnsi="Calibri" w:cs="Calibri"/>
        </w:rPr>
        <w:footnoteReference w:id="108"/>
      </w:r>
      <w:r w:rsidRPr="00306207">
        <w:rPr>
          <w:rFonts w:ascii="Calibri" w:eastAsia="Calibri" w:hAnsi="Calibri" w:cs="Calibri"/>
        </w:rPr>
        <w:t xml:space="preserve">  </w:t>
      </w:r>
    </w:p>
    <w:p w14:paraId="6A2CDB84" w14:textId="77777777" w:rsidR="00566137" w:rsidRPr="00306207" w:rsidRDefault="00566137" w:rsidP="00566137">
      <w:pPr>
        <w:rPr>
          <w:rFonts w:ascii="Calibri" w:eastAsia="Calibri" w:hAnsi="Calibri" w:cs="Calibri"/>
        </w:rPr>
      </w:pPr>
      <w:r w:rsidRPr="00306207">
        <w:rPr>
          <w:rFonts w:ascii="Calibri" w:eastAsia="Calibri" w:hAnsi="Calibri" w:cs="Calibri"/>
        </w:rPr>
        <w:t>The reasons for the educational divide are numerous, multifaceted, place-dependent and not easily solved. For example, it has been known for some time that early school achievement influences tertiary education aspirations in Australia</w:t>
      </w:r>
      <w:r w:rsidRPr="00306207">
        <w:rPr>
          <w:rStyle w:val="FootnoteReference"/>
          <w:rFonts w:ascii="Calibri" w:eastAsia="Calibri" w:hAnsi="Calibri" w:cs="Calibri"/>
        </w:rPr>
        <w:footnoteReference w:id="109"/>
      </w:r>
      <w:r w:rsidRPr="00306207">
        <w:rPr>
          <w:rFonts w:ascii="Calibri" w:eastAsia="Calibri" w:hAnsi="Calibri" w:cs="Calibri"/>
        </w:rPr>
        <w:t xml:space="preserve"> and more recently that university outreach can encourage </w:t>
      </w:r>
      <w:r>
        <w:rPr>
          <w:rFonts w:ascii="Calibri" w:eastAsia="Calibri" w:hAnsi="Calibri" w:cs="Calibri"/>
        </w:rPr>
        <w:t xml:space="preserve">RRR </w:t>
      </w:r>
      <w:r w:rsidRPr="00306207">
        <w:rPr>
          <w:rFonts w:ascii="Calibri" w:eastAsia="Calibri" w:hAnsi="Calibri" w:cs="Calibri"/>
        </w:rPr>
        <w:t>youth whose future plans do not include tertiary study, to reconsider their aspirations</w:t>
      </w:r>
      <w:r>
        <w:rPr>
          <w:rFonts w:ascii="Calibri" w:eastAsia="Calibri" w:hAnsi="Calibri" w:cs="Calibri"/>
        </w:rPr>
        <w:t>.</w:t>
      </w:r>
      <w:r w:rsidRPr="00306207">
        <w:rPr>
          <w:rStyle w:val="FootnoteReference"/>
          <w:rFonts w:ascii="Calibri" w:eastAsia="Calibri" w:hAnsi="Calibri" w:cs="Calibri"/>
        </w:rPr>
        <w:footnoteReference w:id="110"/>
      </w:r>
      <w:r w:rsidRPr="00306207">
        <w:rPr>
          <w:rFonts w:ascii="Calibri" w:eastAsia="Calibri" w:hAnsi="Calibri" w:cs="Calibri"/>
        </w:rPr>
        <w:t xml:space="preserve"> The implications of the educational divide are </w:t>
      </w:r>
      <w:r w:rsidRPr="00306207">
        <w:rPr>
          <w:rFonts w:ascii="Calibri" w:eastAsia="Calibri" w:hAnsi="Calibri" w:cs="Calibri"/>
          <w:noProof/>
        </w:rPr>
        <w:t>far-reaching</w:t>
      </w:r>
      <w:r w:rsidRPr="00306207">
        <w:rPr>
          <w:rFonts w:ascii="Calibri" w:eastAsia="Calibri" w:hAnsi="Calibri" w:cs="Calibri"/>
        </w:rPr>
        <w:t>. As Andreas Schleicher, OECD Special Advisor on Education Policy highlighted</w:t>
      </w:r>
      <w:r>
        <w:rPr>
          <w:rFonts w:ascii="Calibri" w:eastAsia="Calibri" w:hAnsi="Calibri" w:cs="Calibri"/>
        </w:rPr>
        <w:t>,</w:t>
      </w:r>
      <w:r w:rsidRPr="00306207">
        <w:rPr>
          <w:rFonts w:ascii="Calibri" w:eastAsia="Calibri" w:hAnsi="Calibri" w:cs="Calibri"/>
        </w:rPr>
        <w:t xml:space="preserve"> countries with exemplary education systems make knowledge and skill acquisition ‘everybody’s business, with governments, employers, and individuals all involved’ and that high</w:t>
      </w:r>
      <w:r>
        <w:rPr>
          <w:rFonts w:ascii="Calibri" w:eastAsia="Calibri" w:hAnsi="Calibri" w:cs="Calibri"/>
        </w:rPr>
        <w:t xml:space="preserve"> </w:t>
      </w:r>
      <w:r w:rsidRPr="00306207">
        <w:rPr>
          <w:rFonts w:ascii="Calibri" w:eastAsia="Calibri" w:hAnsi="Calibri" w:cs="Calibri"/>
        </w:rPr>
        <w:t>quality career advice is essential for sound career choices</w:t>
      </w:r>
      <w:r>
        <w:rPr>
          <w:rFonts w:ascii="Calibri" w:eastAsia="Calibri" w:hAnsi="Calibri" w:cs="Calibri"/>
        </w:rPr>
        <w:t>.</w:t>
      </w:r>
      <w:r w:rsidRPr="00306207">
        <w:rPr>
          <w:rFonts w:ascii="Calibri" w:eastAsia="Calibri" w:hAnsi="Calibri" w:cs="Calibri"/>
          <w:vertAlign w:val="superscript"/>
        </w:rPr>
        <w:footnoteReference w:id="111"/>
      </w:r>
      <w:r w:rsidRPr="00306207">
        <w:rPr>
          <w:rFonts w:ascii="Calibri" w:eastAsia="Calibri" w:hAnsi="Calibri" w:cs="Calibri"/>
        </w:rPr>
        <w:t xml:space="preserve"> </w:t>
      </w:r>
    </w:p>
    <w:p w14:paraId="55EE53DC" w14:textId="77777777" w:rsidR="00566137" w:rsidRPr="00306207" w:rsidRDefault="00566137" w:rsidP="00566137">
      <w:pPr>
        <w:rPr>
          <w:rFonts w:ascii="Calibri" w:eastAsia="Calibri" w:hAnsi="Calibri" w:cs="Calibri"/>
        </w:rPr>
      </w:pPr>
      <w:r w:rsidRPr="00306207">
        <w:rPr>
          <w:rFonts w:ascii="Calibri" w:eastAsia="Calibri" w:hAnsi="Calibri" w:cs="Calibri"/>
        </w:rPr>
        <w:lastRenderedPageBreak/>
        <w:t xml:space="preserve">Australian tertiary education has diversified and expanded over the last decade. In addition to the benefits </w:t>
      </w:r>
      <w:r>
        <w:rPr>
          <w:rFonts w:ascii="Calibri" w:eastAsia="Calibri" w:hAnsi="Calibri" w:cs="Calibri"/>
        </w:rPr>
        <w:t xml:space="preserve">for </w:t>
      </w:r>
      <w:r w:rsidRPr="00306207">
        <w:rPr>
          <w:rFonts w:ascii="Calibri" w:eastAsia="Calibri" w:hAnsi="Calibri" w:cs="Calibri"/>
        </w:rPr>
        <w:t xml:space="preserve">individual students, ensuring equal and equitable </w:t>
      </w:r>
      <w:r w:rsidRPr="00306207">
        <w:rPr>
          <w:rFonts w:ascii="Calibri" w:eastAsia="Calibri" w:hAnsi="Calibri" w:cs="Calibri"/>
          <w:noProof/>
        </w:rPr>
        <w:t>educational</w:t>
      </w:r>
      <w:r w:rsidRPr="00306207">
        <w:rPr>
          <w:rFonts w:ascii="Calibri" w:eastAsia="Calibri" w:hAnsi="Calibri" w:cs="Calibri"/>
        </w:rPr>
        <w:t xml:space="preserve"> opportunities and choices for RRR populations is essential for nation building contributing to ‘a fair, democratic, prosperous, and enterprising nation</w:t>
      </w:r>
      <w:r>
        <w:rPr>
          <w:rFonts w:ascii="Calibri" w:eastAsia="Calibri" w:hAnsi="Calibri" w:cs="Calibri"/>
        </w:rPr>
        <w:t>;</w:t>
      </w:r>
      <w:r w:rsidRPr="00306207">
        <w:rPr>
          <w:rFonts w:ascii="Calibri" w:eastAsia="Calibri" w:hAnsi="Calibri" w:cs="Calibri"/>
        </w:rPr>
        <w:t xml:space="preserve"> reconciliation with Indigenous Australia</w:t>
      </w:r>
      <w:r>
        <w:rPr>
          <w:rFonts w:ascii="Calibri" w:eastAsia="Calibri" w:hAnsi="Calibri" w:cs="Calibri"/>
        </w:rPr>
        <w:t>;</w:t>
      </w:r>
      <w:r w:rsidRPr="00306207">
        <w:rPr>
          <w:rFonts w:ascii="Calibri" w:eastAsia="Calibri" w:hAnsi="Calibri" w:cs="Calibri"/>
        </w:rPr>
        <w:t xml:space="preserve"> and cultural, civic and intellectual life’</w:t>
      </w:r>
      <w:r>
        <w:rPr>
          <w:rFonts w:ascii="Calibri" w:eastAsia="Calibri" w:hAnsi="Calibri" w:cs="Calibri"/>
        </w:rPr>
        <w:t>.</w:t>
      </w:r>
      <w:r w:rsidRPr="00306207">
        <w:rPr>
          <w:rFonts w:ascii="Calibri" w:eastAsia="Calibri" w:hAnsi="Calibri" w:cs="Times New Roman"/>
          <w:vertAlign w:val="superscript"/>
        </w:rPr>
        <w:footnoteReference w:id="112"/>
      </w:r>
    </w:p>
    <w:p w14:paraId="3313F0E5" w14:textId="77777777" w:rsidR="00566137" w:rsidRPr="00306207" w:rsidRDefault="00566137" w:rsidP="00726804">
      <w:pPr>
        <w:pStyle w:val="Heading3"/>
        <w:rPr>
          <w:rFonts w:eastAsia="DengXian Light"/>
        </w:rPr>
      </w:pPr>
      <w:r w:rsidRPr="00306207">
        <w:rPr>
          <w:rFonts w:eastAsia="DengXian Light"/>
        </w:rPr>
        <w:t xml:space="preserve">1.2 The importance of place </w:t>
      </w:r>
    </w:p>
    <w:p w14:paraId="1F0D5018" w14:textId="3788BED9" w:rsidR="00566137" w:rsidRPr="00306207" w:rsidRDefault="00566137" w:rsidP="00566137">
      <w:pPr>
        <w:rPr>
          <w:rFonts w:ascii="Calibri" w:eastAsia="Calibri" w:hAnsi="Calibri" w:cs="Calibri"/>
        </w:rPr>
      </w:pPr>
      <w:r w:rsidRPr="00306207">
        <w:rPr>
          <w:rFonts w:ascii="Calibri" w:eastAsia="Calibri" w:hAnsi="Calibri" w:cs="Calibri"/>
        </w:rPr>
        <w:t>Terms like ‘RRR’ and ‘regional Australia’ are used as shorthand for a diverse array of communities shaped by their local employers and industries, population size and characteristics, geography, resources, history and proximity to larger cities</w:t>
      </w:r>
      <w:r>
        <w:rPr>
          <w:rFonts w:ascii="Calibri" w:eastAsia="Calibri" w:hAnsi="Calibri" w:cs="Calibri"/>
        </w:rPr>
        <w:t>.</w:t>
      </w:r>
      <w:r w:rsidRPr="00306207">
        <w:rPr>
          <w:rStyle w:val="FootnoteReference"/>
          <w:rFonts w:ascii="Calibri" w:eastAsia="Calibri" w:hAnsi="Calibri" w:cs="Calibri"/>
        </w:rPr>
        <w:footnoteReference w:id="113"/>
      </w:r>
      <w:r w:rsidRPr="00306207">
        <w:rPr>
          <w:rFonts w:ascii="Calibri" w:eastAsia="Calibri" w:hAnsi="Calibri" w:cs="Calibri"/>
        </w:rPr>
        <w:t xml:space="preserve"> Place plays an important role in people’s lives, not only as the geographical area where they live but also in terms of how they see themselves</w:t>
      </w:r>
      <w:r>
        <w:rPr>
          <w:rFonts w:ascii="Calibri" w:eastAsia="Calibri" w:hAnsi="Calibri" w:cs="Calibri"/>
        </w:rPr>
        <w:t>.</w:t>
      </w:r>
      <w:r w:rsidRPr="00306207">
        <w:rPr>
          <w:rFonts w:ascii="Calibri" w:eastAsia="Calibri" w:hAnsi="Calibri" w:cs="Calibri"/>
          <w:vertAlign w:val="superscript"/>
        </w:rPr>
        <w:footnoteReference w:id="114"/>
      </w:r>
      <w:r w:rsidRPr="00306207">
        <w:rPr>
          <w:rFonts w:ascii="Calibri" w:eastAsia="Calibri" w:hAnsi="Calibri" w:cs="Calibri"/>
        </w:rPr>
        <w:t xml:space="preserve"> People’s identity, sense of belonging and purpose in life is intertwined with the places from which they </w:t>
      </w:r>
      <w:r>
        <w:rPr>
          <w:rFonts w:ascii="Calibri" w:eastAsia="Calibri" w:hAnsi="Calibri" w:cs="Calibri"/>
        </w:rPr>
        <w:t>were born</w:t>
      </w:r>
      <w:r w:rsidRPr="00306207">
        <w:rPr>
          <w:rFonts w:ascii="Calibri" w:eastAsia="Calibri" w:hAnsi="Calibri" w:cs="Calibri"/>
        </w:rPr>
        <w:t xml:space="preserve"> or live</w:t>
      </w:r>
      <w:r>
        <w:rPr>
          <w:rFonts w:ascii="Calibri" w:eastAsia="Calibri" w:hAnsi="Calibri" w:cs="Calibri"/>
        </w:rPr>
        <w:t>.</w:t>
      </w:r>
      <w:r w:rsidRPr="00306207">
        <w:rPr>
          <w:rFonts w:ascii="Calibri" w:eastAsia="Calibri" w:hAnsi="Calibri" w:cs="Calibri"/>
          <w:vertAlign w:val="superscript"/>
        </w:rPr>
        <w:footnoteReference w:id="115"/>
      </w:r>
      <w:r w:rsidRPr="00306207">
        <w:rPr>
          <w:rFonts w:ascii="Calibri" w:eastAsia="Calibri" w:hAnsi="Calibri" w:cs="Calibri"/>
        </w:rPr>
        <w:t xml:space="preserve"> Places shape who people are</w:t>
      </w:r>
      <w:r>
        <w:rPr>
          <w:rFonts w:ascii="Calibri" w:eastAsia="Calibri" w:hAnsi="Calibri" w:cs="Calibri"/>
        </w:rPr>
        <w:t>,</w:t>
      </w:r>
      <w:r w:rsidRPr="00306207">
        <w:rPr>
          <w:rFonts w:ascii="Calibri" w:eastAsia="Calibri" w:hAnsi="Calibri" w:cs="Calibri"/>
        </w:rPr>
        <w:t xml:space="preserve"> how they </w:t>
      </w:r>
      <w:r>
        <w:rPr>
          <w:rFonts w:ascii="Calibri" w:eastAsia="Calibri" w:hAnsi="Calibri" w:cs="Calibri"/>
        </w:rPr>
        <w:t>view</w:t>
      </w:r>
      <w:r w:rsidRPr="00306207">
        <w:rPr>
          <w:rFonts w:ascii="Calibri" w:eastAsia="Calibri" w:hAnsi="Calibri" w:cs="Calibri"/>
        </w:rPr>
        <w:t xml:space="preserve"> the world</w:t>
      </w:r>
      <w:r>
        <w:rPr>
          <w:rFonts w:ascii="Calibri" w:eastAsia="Calibri" w:hAnsi="Calibri" w:cs="Calibri"/>
        </w:rPr>
        <w:t>,</w:t>
      </w:r>
      <w:r w:rsidRPr="00306207">
        <w:rPr>
          <w:rFonts w:ascii="Calibri" w:eastAsia="Calibri" w:hAnsi="Calibri" w:cs="Calibri"/>
        </w:rPr>
        <w:t xml:space="preserve"> </w:t>
      </w:r>
      <w:r>
        <w:rPr>
          <w:rFonts w:ascii="Calibri" w:eastAsia="Calibri" w:hAnsi="Calibri" w:cs="Calibri"/>
        </w:rPr>
        <w:t xml:space="preserve">and </w:t>
      </w:r>
      <w:r w:rsidRPr="00306207">
        <w:rPr>
          <w:rFonts w:ascii="Calibri" w:eastAsia="Calibri" w:hAnsi="Calibri" w:cs="Calibri"/>
        </w:rPr>
        <w:t xml:space="preserve">have a profound influence on </w:t>
      </w:r>
      <w:r w:rsidRPr="00306207">
        <w:rPr>
          <w:rFonts w:ascii="Calibri" w:eastAsia="Calibri" w:hAnsi="Calibri" w:cs="Calibri"/>
          <w:noProof/>
        </w:rPr>
        <w:t>who</w:t>
      </w:r>
      <w:r w:rsidRPr="00306207">
        <w:rPr>
          <w:rFonts w:ascii="Calibri" w:eastAsia="Calibri" w:hAnsi="Calibri" w:cs="Calibri"/>
        </w:rPr>
        <w:t xml:space="preserve"> they want to be, what they want to do</w:t>
      </w:r>
      <w:r w:rsidRPr="00306207">
        <w:rPr>
          <w:rFonts w:ascii="Calibri" w:eastAsia="Calibri" w:hAnsi="Calibri" w:cs="Calibri"/>
          <w:vertAlign w:val="superscript"/>
        </w:rPr>
        <w:footnoteReference w:id="116"/>
      </w:r>
      <w:r w:rsidRPr="00306207">
        <w:rPr>
          <w:rFonts w:ascii="Calibri" w:eastAsia="Calibri" w:hAnsi="Calibri" w:cs="Calibri"/>
        </w:rPr>
        <w:t xml:space="preserve"> and their attitude and aspirations in relation to education and </w:t>
      </w:r>
      <w:r w:rsidR="007579E0">
        <w:rPr>
          <w:rFonts w:ascii="Calibri" w:eastAsia="Calibri" w:hAnsi="Calibri" w:cs="Calibri"/>
        </w:rPr>
        <w:t>careers</w:t>
      </w:r>
      <w:r>
        <w:rPr>
          <w:rFonts w:ascii="Calibri" w:eastAsia="Calibri" w:hAnsi="Calibri" w:cs="Calibri"/>
        </w:rPr>
        <w:t>.</w:t>
      </w:r>
      <w:r w:rsidRPr="00306207">
        <w:rPr>
          <w:rFonts w:ascii="Calibri" w:eastAsia="Calibri" w:hAnsi="Calibri" w:cs="Calibri"/>
          <w:vertAlign w:val="superscript"/>
        </w:rPr>
        <w:footnoteReference w:id="117"/>
      </w:r>
      <w:r w:rsidRPr="00306207">
        <w:rPr>
          <w:rFonts w:ascii="Calibri" w:eastAsia="Calibri" w:hAnsi="Calibri" w:cs="Calibri"/>
        </w:rPr>
        <w:t xml:space="preserve"> Place</w:t>
      </w:r>
      <w:r w:rsidRPr="00000A18">
        <w:rPr>
          <w:rFonts w:ascii="Calibri" w:eastAsia="Calibri" w:hAnsi="Calibri" w:cs="Calibri"/>
        </w:rPr>
        <w:t>-</w:t>
      </w:r>
      <w:r w:rsidRPr="00306207">
        <w:rPr>
          <w:rFonts w:ascii="Calibri" w:eastAsia="Calibri" w:hAnsi="Calibri" w:cs="Calibri"/>
        </w:rPr>
        <w:t>based factors such as labour markets, literacy and numeracy levels</w:t>
      </w:r>
      <w:r>
        <w:rPr>
          <w:rFonts w:ascii="Calibri" w:eastAsia="Calibri" w:hAnsi="Calibri" w:cs="Calibri"/>
        </w:rPr>
        <w:t>,</w:t>
      </w:r>
      <w:r w:rsidRPr="00306207">
        <w:rPr>
          <w:rFonts w:ascii="Calibri" w:eastAsia="Calibri" w:hAnsi="Calibri" w:cs="Calibri"/>
        </w:rPr>
        <w:t xml:space="preserve"> and access to </w:t>
      </w:r>
      <w:r>
        <w:rPr>
          <w:rFonts w:ascii="Calibri" w:eastAsia="Calibri" w:hAnsi="Calibri" w:cs="Calibri"/>
        </w:rPr>
        <w:t xml:space="preserve">quality </w:t>
      </w:r>
      <w:r w:rsidRPr="00306207">
        <w:rPr>
          <w:rFonts w:ascii="Calibri" w:eastAsia="Calibri" w:hAnsi="Calibri" w:cs="Calibri"/>
        </w:rPr>
        <w:t>internet contribute to the education divide between areas requiring a ‘sustained and long</w:t>
      </w:r>
      <w:r w:rsidRPr="001434DF">
        <w:rPr>
          <w:rFonts w:ascii="Calibri" w:eastAsia="Calibri" w:hAnsi="Calibri" w:cs="Calibri"/>
        </w:rPr>
        <w:t>-</w:t>
      </w:r>
      <w:r w:rsidRPr="00306207">
        <w:rPr>
          <w:rFonts w:ascii="Calibri" w:eastAsia="Calibri" w:hAnsi="Calibri" w:cs="Calibri"/>
        </w:rPr>
        <w:t>term commitment to change, development of local solutions that are targeted, tailored and agile</w:t>
      </w:r>
      <w:r>
        <w:rPr>
          <w:rFonts w:ascii="Calibri" w:eastAsia="Calibri" w:hAnsi="Calibri" w:cs="Calibri"/>
        </w:rPr>
        <w:t>,</w:t>
      </w:r>
      <w:r w:rsidRPr="00306207">
        <w:rPr>
          <w:rFonts w:ascii="Calibri" w:eastAsia="Calibri" w:hAnsi="Calibri" w:cs="Calibri"/>
        </w:rPr>
        <w:t xml:space="preserve"> and </w:t>
      </w:r>
      <w:r w:rsidRPr="00306207">
        <w:rPr>
          <w:rFonts w:ascii="Calibri" w:eastAsia="Calibri" w:hAnsi="Calibri" w:cs="Calibri"/>
          <w:noProof/>
        </w:rPr>
        <w:t>integration</w:t>
      </w:r>
      <w:r w:rsidRPr="00306207">
        <w:rPr>
          <w:rFonts w:ascii="Calibri" w:eastAsia="Calibri" w:hAnsi="Calibri" w:cs="Calibri"/>
        </w:rPr>
        <w:t xml:space="preserve"> of government services to support local solutions and effectively drive change’</w:t>
      </w:r>
      <w:r>
        <w:rPr>
          <w:rFonts w:ascii="Calibri" w:eastAsia="Calibri" w:hAnsi="Calibri" w:cs="Calibri"/>
        </w:rPr>
        <w:t>.</w:t>
      </w:r>
      <w:r w:rsidRPr="00306207">
        <w:rPr>
          <w:rFonts w:ascii="Calibri" w:eastAsia="Calibri" w:hAnsi="Calibri" w:cs="Calibri"/>
          <w:vertAlign w:val="superscript"/>
        </w:rPr>
        <w:footnoteReference w:id="118"/>
      </w:r>
      <w:r w:rsidRPr="00306207">
        <w:rPr>
          <w:rFonts w:ascii="Calibri" w:eastAsia="Calibri" w:hAnsi="Calibri" w:cs="Calibri"/>
        </w:rPr>
        <w:t xml:space="preserve">  </w:t>
      </w:r>
    </w:p>
    <w:p w14:paraId="7B45F6F7" w14:textId="77777777" w:rsidR="0061682A" w:rsidRDefault="00566137" w:rsidP="00566137">
      <w:pPr>
        <w:rPr>
          <w:rFonts w:ascii="Calibri" w:eastAsia="Calibri" w:hAnsi="Calibri" w:cs="Calibri"/>
        </w:rPr>
      </w:pPr>
      <w:r w:rsidRPr="00306207">
        <w:rPr>
          <w:rFonts w:ascii="Calibri" w:eastAsia="Calibri" w:hAnsi="Calibri" w:cs="Calibri"/>
        </w:rPr>
        <w:t xml:space="preserve">There has been concern about access to </w:t>
      </w:r>
      <w:r>
        <w:rPr>
          <w:rFonts w:ascii="Calibri" w:eastAsia="Calibri" w:hAnsi="Calibri" w:cs="Calibri"/>
        </w:rPr>
        <w:t xml:space="preserve">tertiary </w:t>
      </w:r>
      <w:r w:rsidRPr="00306207">
        <w:rPr>
          <w:rFonts w:ascii="Calibri" w:eastAsia="Calibri" w:hAnsi="Calibri" w:cs="Calibri"/>
        </w:rPr>
        <w:t xml:space="preserve">education </w:t>
      </w:r>
      <w:r>
        <w:rPr>
          <w:rFonts w:ascii="Calibri" w:eastAsia="Calibri" w:hAnsi="Calibri" w:cs="Calibri"/>
        </w:rPr>
        <w:t>for</w:t>
      </w:r>
      <w:r w:rsidRPr="00306207">
        <w:rPr>
          <w:rFonts w:ascii="Calibri" w:eastAsia="Calibri" w:hAnsi="Calibri" w:cs="Calibri"/>
        </w:rPr>
        <w:t xml:space="preserve"> RRR communities, particularly since the mid-20</w:t>
      </w:r>
      <w:r w:rsidRPr="00306207">
        <w:rPr>
          <w:rFonts w:ascii="Calibri" w:eastAsia="Calibri" w:hAnsi="Calibri" w:cs="Calibri"/>
          <w:vertAlign w:val="superscript"/>
        </w:rPr>
        <w:t>th</w:t>
      </w:r>
      <w:r w:rsidRPr="00306207">
        <w:rPr>
          <w:rFonts w:ascii="Calibri" w:eastAsia="Calibri" w:hAnsi="Calibri" w:cs="Calibri"/>
        </w:rPr>
        <w:t xml:space="preserve"> century. </w:t>
      </w:r>
      <w:r>
        <w:rPr>
          <w:rFonts w:ascii="Calibri" w:eastAsia="Calibri" w:hAnsi="Calibri" w:cs="Calibri"/>
        </w:rPr>
        <w:t>T</w:t>
      </w:r>
      <w:r w:rsidRPr="00306207">
        <w:rPr>
          <w:rFonts w:ascii="Calibri" w:eastAsia="Calibri" w:hAnsi="Calibri" w:cs="Calibri"/>
        </w:rPr>
        <w:t>he Martin Committee (1964)</w:t>
      </w:r>
      <w:r w:rsidRPr="00306207">
        <w:rPr>
          <w:rStyle w:val="FootnoteReference"/>
          <w:rFonts w:ascii="Calibri" w:eastAsia="Calibri" w:hAnsi="Calibri" w:cs="Calibri"/>
        </w:rPr>
        <w:footnoteReference w:id="119"/>
      </w:r>
      <w:r w:rsidRPr="00306207">
        <w:rPr>
          <w:rFonts w:ascii="Calibri" w:eastAsia="Calibri" w:hAnsi="Calibri" w:cs="Calibri"/>
        </w:rPr>
        <w:t xml:space="preserve"> </w:t>
      </w:r>
      <w:r w:rsidRPr="00D35D22">
        <w:rPr>
          <w:rStyle w:val="Emphasis"/>
        </w:rPr>
        <w:t>Report on the Future of Tertiary Education in Australia</w:t>
      </w:r>
      <w:r w:rsidRPr="00306207">
        <w:rPr>
          <w:rFonts w:ascii="Calibri" w:eastAsia="Calibri" w:hAnsi="Calibri" w:cs="Calibri"/>
        </w:rPr>
        <w:t xml:space="preserve"> discussed the growing demand for tertiary institutions in RRR areas. The </w:t>
      </w:r>
      <w:r w:rsidRPr="00D35D22">
        <w:rPr>
          <w:rStyle w:val="Emphasis"/>
        </w:rPr>
        <w:t xml:space="preserve">Commonwealth Schools Commission Report for the Triennium 1976-78 </w:t>
      </w:r>
      <w:r w:rsidRPr="00306207">
        <w:rPr>
          <w:rFonts w:ascii="Calibri" w:eastAsia="Calibri" w:hAnsi="Calibri" w:cs="Calibri"/>
        </w:rPr>
        <w:t>identified ‘country students’ as an educationally disadvantaged group with special needs and funding requirements</w:t>
      </w:r>
      <w:r>
        <w:rPr>
          <w:rFonts w:ascii="Calibri" w:eastAsia="Calibri" w:hAnsi="Calibri" w:cs="Calibri"/>
        </w:rPr>
        <w:t xml:space="preserve">. This </w:t>
      </w:r>
      <w:r w:rsidRPr="00306207">
        <w:rPr>
          <w:rFonts w:ascii="Calibri" w:eastAsia="Calibri" w:hAnsi="Calibri" w:cs="Calibri"/>
        </w:rPr>
        <w:t>evolved into the Disadvantaged Country Areas Program (1977) and later the Country Areas Program (1982)</w:t>
      </w:r>
      <w:r>
        <w:rPr>
          <w:rFonts w:ascii="Calibri" w:eastAsia="Calibri" w:hAnsi="Calibri" w:cs="Calibri"/>
        </w:rPr>
        <w:t>,</w:t>
      </w:r>
      <w:r w:rsidRPr="00306207">
        <w:rPr>
          <w:rFonts w:ascii="Calibri" w:eastAsia="Calibri" w:hAnsi="Calibri" w:cs="Calibri"/>
        </w:rPr>
        <w:t xml:space="preserve"> with assistance programs such as the Isolated Children Scheme (1973) and Loan Video Program (1982) to provide support and subsidies for children in </w:t>
      </w:r>
      <w:r>
        <w:rPr>
          <w:rFonts w:ascii="Calibri" w:eastAsia="Calibri" w:hAnsi="Calibri" w:cs="Calibri"/>
        </w:rPr>
        <w:t xml:space="preserve">RRR </w:t>
      </w:r>
      <w:r w:rsidRPr="00306207">
        <w:rPr>
          <w:rFonts w:ascii="Calibri" w:eastAsia="Calibri" w:hAnsi="Calibri" w:cs="Calibri"/>
        </w:rPr>
        <w:t>Australia</w:t>
      </w:r>
      <w:r>
        <w:rPr>
          <w:rFonts w:ascii="Calibri" w:eastAsia="Calibri" w:hAnsi="Calibri" w:cs="Calibri"/>
        </w:rPr>
        <w:t>.</w:t>
      </w:r>
      <w:r w:rsidRPr="00306207">
        <w:rPr>
          <w:rStyle w:val="FootnoteReference"/>
          <w:rFonts w:ascii="Calibri" w:eastAsia="Calibri" w:hAnsi="Calibri" w:cs="Calibri"/>
        </w:rPr>
        <w:footnoteReference w:id="120"/>
      </w:r>
      <w:r w:rsidRPr="00306207">
        <w:rPr>
          <w:rFonts w:ascii="Calibri" w:eastAsia="Calibri" w:hAnsi="Calibri" w:cs="Calibri"/>
        </w:rPr>
        <w:t xml:space="preserve"> </w:t>
      </w:r>
    </w:p>
    <w:p w14:paraId="5CC66675" w14:textId="28530F1E" w:rsidR="00566137" w:rsidRPr="00306207" w:rsidRDefault="00566137" w:rsidP="00566137">
      <w:pPr>
        <w:rPr>
          <w:rFonts w:ascii="Calibri" w:eastAsia="Calibri" w:hAnsi="Calibri" w:cs="Calibri"/>
        </w:rPr>
      </w:pPr>
      <w:r w:rsidRPr="00306207">
        <w:rPr>
          <w:rFonts w:ascii="Calibri" w:eastAsia="Calibri" w:hAnsi="Calibri" w:cs="Calibri"/>
        </w:rPr>
        <w:t xml:space="preserve">The 1987 </w:t>
      </w:r>
      <w:r w:rsidRPr="00D35D22">
        <w:rPr>
          <w:rStyle w:val="Emphasis"/>
        </w:rPr>
        <w:t>Schooling in Rural Australia Report</w:t>
      </w:r>
      <w:r w:rsidRPr="00306207">
        <w:rPr>
          <w:rStyle w:val="FootnoteReference"/>
          <w:rFonts w:ascii="Calibri" w:eastAsia="Calibri" w:hAnsi="Calibri" w:cs="Calibri"/>
        </w:rPr>
        <w:footnoteReference w:id="121"/>
      </w:r>
      <w:r w:rsidRPr="00306207">
        <w:rPr>
          <w:rFonts w:ascii="Calibri" w:eastAsia="Calibri" w:hAnsi="Calibri" w:cs="Calibri"/>
        </w:rPr>
        <w:t xml:space="preserve"> examined the factors that influence school retention and completion rates of </w:t>
      </w:r>
      <w:r>
        <w:rPr>
          <w:rFonts w:ascii="Calibri" w:eastAsia="Calibri" w:hAnsi="Calibri" w:cs="Calibri"/>
        </w:rPr>
        <w:t xml:space="preserve">RRR </w:t>
      </w:r>
      <w:r w:rsidRPr="00306207">
        <w:rPr>
          <w:rFonts w:ascii="Calibri" w:eastAsia="Calibri" w:hAnsi="Calibri" w:cs="Calibri"/>
        </w:rPr>
        <w:t xml:space="preserve">students. The report also drew attention to the influence of parents and </w:t>
      </w:r>
      <w:r>
        <w:rPr>
          <w:rFonts w:ascii="Calibri" w:eastAsia="Calibri" w:hAnsi="Calibri" w:cs="Calibri"/>
        </w:rPr>
        <w:t xml:space="preserve">that </w:t>
      </w:r>
      <w:r w:rsidRPr="00306207">
        <w:rPr>
          <w:rFonts w:ascii="Calibri" w:eastAsia="Calibri" w:hAnsi="Calibri" w:cs="Calibri"/>
        </w:rPr>
        <w:t xml:space="preserve">local work opportunities </w:t>
      </w:r>
      <w:r>
        <w:rPr>
          <w:rFonts w:ascii="Calibri" w:eastAsia="Calibri" w:hAnsi="Calibri" w:cs="Calibri"/>
        </w:rPr>
        <w:t xml:space="preserve">are not always </w:t>
      </w:r>
      <w:r w:rsidRPr="00306207">
        <w:rPr>
          <w:rFonts w:ascii="Calibri" w:eastAsia="Calibri" w:hAnsi="Calibri" w:cs="Calibri"/>
        </w:rPr>
        <w:t>dependent on tertiary education qualifications</w:t>
      </w:r>
      <w:r>
        <w:rPr>
          <w:rFonts w:ascii="Calibri" w:eastAsia="Calibri" w:hAnsi="Calibri" w:cs="Calibri"/>
        </w:rPr>
        <w:t xml:space="preserve">, as well as the </w:t>
      </w:r>
      <w:r w:rsidRPr="00306207">
        <w:rPr>
          <w:rFonts w:ascii="Calibri" w:eastAsia="Calibri" w:hAnsi="Calibri" w:cs="Calibri"/>
        </w:rPr>
        <w:t>associated challenges of relocation, costs of living away from home and adjustment difficulties</w:t>
      </w:r>
      <w:r>
        <w:rPr>
          <w:rFonts w:ascii="Calibri" w:eastAsia="Calibri" w:hAnsi="Calibri" w:cs="Calibri"/>
        </w:rPr>
        <w:t xml:space="preserve"> for those RRR students who choose tertiary education</w:t>
      </w:r>
      <w:r w:rsidRPr="00306207">
        <w:rPr>
          <w:rFonts w:ascii="Calibri" w:eastAsia="Calibri" w:hAnsi="Calibri" w:cs="Calibri"/>
        </w:rPr>
        <w:t xml:space="preserve">. Much has </w:t>
      </w:r>
      <w:r>
        <w:rPr>
          <w:rFonts w:ascii="Calibri" w:eastAsia="Calibri" w:hAnsi="Calibri" w:cs="Calibri"/>
        </w:rPr>
        <w:t xml:space="preserve">already </w:t>
      </w:r>
      <w:r w:rsidRPr="00306207">
        <w:rPr>
          <w:rFonts w:ascii="Calibri" w:eastAsia="Calibri" w:hAnsi="Calibri" w:cs="Calibri"/>
        </w:rPr>
        <w:t xml:space="preserve">been done to address these inequities </w:t>
      </w:r>
      <w:r>
        <w:rPr>
          <w:rFonts w:ascii="Calibri" w:eastAsia="Calibri" w:hAnsi="Calibri" w:cs="Calibri"/>
        </w:rPr>
        <w:t xml:space="preserve">over the </w:t>
      </w:r>
      <w:r w:rsidRPr="00306207">
        <w:rPr>
          <w:rFonts w:ascii="Calibri" w:eastAsia="Calibri" w:hAnsi="Calibri" w:cs="Calibri"/>
        </w:rPr>
        <w:t xml:space="preserve">years. However, many of the access concerns </w:t>
      </w:r>
      <w:r w:rsidRPr="00306207">
        <w:rPr>
          <w:rFonts w:ascii="Calibri" w:eastAsia="Calibri" w:hAnsi="Calibri" w:cs="Calibri"/>
        </w:rPr>
        <w:lastRenderedPageBreak/>
        <w:t>expressed in earlier times were echoed in the consultations and submissions. Thus, access remains a critical factor in participation in tertiary education by RRR Australians.</w:t>
      </w:r>
    </w:p>
    <w:p w14:paraId="42558A1E" w14:textId="77777777" w:rsidR="00566137" w:rsidRPr="00306207" w:rsidRDefault="00566137" w:rsidP="00726804">
      <w:pPr>
        <w:pStyle w:val="Heading3"/>
        <w:rPr>
          <w:rFonts w:eastAsia="DengXian Light"/>
        </w:rPr>
      </w:pPr>
      <w:r w:rsidRPr="00306207">
        <w:rPr>
          <w:rFonts w:eastAsia="DengXian Light"/>
        </w:rPr>
        <w:t>1.3 RRR student diversity</w:t>
      </w:r>
    </w:p>
    <w:p w14:paraId="212BB518" w14:textId="23C1FE8A" w:rsidR="007579E0" w:rsidRDefault="00566137">
      <w:pPr>
        <w:rPr>
          <w:rFonts w:ascii="Calibri" w:eastAsia="Calibri" w:hAnsi="Calibri" w:cs="Calibri"/>
        </w:rPr>
      </w:pPr>
      <w:r w:rsidRPr="00306207">
        <w:rPr>
          <w:rFonts w:ascii="Calibri" w:eastAsia="Calibri" w:hAnsi="Calibri" w:cs="Calibri"/>
        </w:rPr>
        <w:t xml:space="preserve">While RRR students may share some similar life and education experiences due to </w:t>
      </w:r>
      <w:r w:rsidR="00D35D22">
        <w:rPr>
          <w:rFonts w:ascii="Calibri" w:eastAsia="Calibri" w:hAnsi="Calibri" w:cs="Calibri"/>
        </w:rPr>
        <w:t>geographical factors,</w:t>
      </w:r>
      <w:r w:rsidRPr="00306207">
        <w:rPr>
          <w:rFonts w:ascii="Calibri" w:eastAsia="Calibri" w:hAnsi="Calibri" w:cs="Calibri"/>
        </w:rPr>
        <w:t xml:space="preserve"> they vary </w:t>
      </w:r>
      <w:r w:rsidR="007579E0">
        <w:rPr>
          <w:rFonts w:ascii="Calibri" w:eastAsia="Calibri" w:hAnsi="Calibri" w:cs="Calibri"/>
        </w:rPr>
        <w:t xml:space="preserve">in </w:t>
      </w:r>
      <w:r w:rsidRPr="00306207">
        <w:rPr>
          <w:rFonts w:ascii="Calibri" w:eastAsia="Calibri" w:hAnsi="Calibri" w:cs="Calibri"/>
        </w:rPr>
        <w:t>their attitudes towards tertiary education and the way they approach tertiary education</w:t>
      </w:r>
      <w:r>
        <w:rPr>
          <w:rFonts w:ascii="Calibri" w:eastAsia="Calibri" w:hAnsi="Calibri" w:cs="Calibri"/>
        </w:rPr>
        <w:t>.</w:t>
      </w:r>
      <w:r w:rsidRPr="00306207">
        <w:rPr>
          <w:rFonts w:ascii="Calibri" w:eastAsia="Calibri" w:hAnsi="Calibri" w:cs="Calibri"/>
          <w:vertAlign w:val="superscript"/>
        </w:rPr>
        <w:footnoteReference w:id="122"/>
      </w:r>
      <w:r w:rsidRPr="00306207">
        <w:rPr>
          <w:rFonts w:ascii="Calibri" w:eastAsia="Calibri" w:hAnsi="Calibri" w:cs="Calibri"/>
        </w:rPr>
        <w:t xml:space="preserve"> Recognising different RRR student types is important to developing programs and supports that accommodate their needs. RRR students vary in terms of their views about relocation in order to pursue </w:t>
      </w:r>
      <w:r w:rsidRPr="00306207">
        <w:rPr>
          <w:rFonts w:ascii="Calibri" w:eastAsia="Calibri" w:hAnsi="Calibri" w:cs="Calibri"/>
          <w:noProof/>
        </w:rPr>
        <w:t>tertiary</w:t>
      </w:r>
      <w:r w:rsidRPr="00306207">
        <w:rPr>
          <w:rFonts w:ascii="Calibri" w:eastAsia="Calibri" w:hAnsi="Calibri" w:cs="Calibri"/>
        </w:rPr>
        <w:t xml:space="preserve"> study. Analysis of the literature reveals four scenarios</w:t>
      </w:r>
      <w:r>
        <w:rPr>
          <w:rFonts w:ascii="Calibri" w:eastAsia="Calibri" w:hAnsi="Calibri" w:cs="Calibri"/>
        </w:rPr>
        <w:t>:</w:t>
      </w:r>
      <w:r w:rsidRPr="00306207">
        <w:rPr>
          <w:rFonts w:ascii="Calibri" w:eastAsia="Calibri" w:hAnsi="Calibri" w:cs="Calibri"/>
          <w:vertAlign w:val="superscript"/>
        </w:rPr>
        <w:footnoteReference w:id="123"/>
      </w:r>
      <w:r w:rsidRPr="00306207">
        <w:rPr>
          <w:rFonts w:ascii="Calibri" w:eastAsia="Calibri" w:hAnsi="Calibri" w:cs="Calibri"/>
        </w:rPr>
        <w:t xml:space="preserve"> those that want to stay and can stay in their hometown (‘the stayer’); those that want to leave but have to stay in their home town (‘the reluctant stayer’); others who want to leave and can leave their hometown (‘the leaver’) or want to stay but have to leave their hometown (‘the reluctant leaver’). </w:t>
      </w:r>
    </w:p>
    <w:p w14:paraId="3721045B" w14:textId="77777777" w:rsidR="00566137" w:rsidRPr="00306207" w:rsidRDefault="00566137" w:rsidP="00D35D22">
      <w:pPr>
        <w:shd w:val="clear" w:color="auto" w:fill="E2E6E4"/>
        <w:spacing w:after="0"/>
        <w:jc w:val="both"/>
        <w:rPr>
          <w:rFonts w:ascii="Calibri" w:eastAsia="Calibri" w:hAnsi="Calibri" w:cs="Calibri"/>
          <w:b/>
        </w:rPr>
      </w:pPr>
      <w:r w:rsidRPr="00306207">
        <w:rPr>
          <w:rFonts w:ascii="Calibri" w:eastAsia="Calibri" w:hAnsi="Calibri" w:cs="Calibri"/>
          <w:b/>
        </w:rPr>
        <w:t xml:space="preserve">In </w:t>
      </w:r>
      <w:r w:rsidRPr="00306207">
        <w:rPr>
          <w:rFonts w:ascii="Calibri" w:eastAsia="Calibri" w:hAnsi="Calibri" w:cs="Calibri"/>
          <w:b/>
          <w:noProof/>
        </w:rPr>
        <w:t>summary,</w:t>
      </w:r>
      <w:r w:rsidRPr="00306207">
        <w:rPr>
          <w:rFonts w:ascii="Calibri" w:eastAsia="Calibri" w:hAnsi="Calibri" w:cs="Calibri"/>
          <w:b/>
        </w:rPr>
        <w:t xml:space="preserve"> the literature suggests:</w:t>
      </w:r>
    </w:p>
    <w:p w14:paraId="08B0F313" w14:textId="77777777" w:rsidR="00566137" w:rsidRPr="00306207" w:rsidRDefault="00566137" w:rsidP="00D35D2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rPr>
        <w:t>the RRR-metropolitan education divide is complex and an international phenomenon.</w:t>
      </w:r>
    </w:p>
    <w:p w14:paraId="0769D57B" w14:textId="77777777" w:rsidR="00566137" w:rsidRPr="00306207" w:rsidRDefault="00566137" w:rsidP="00D35D2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noProof/>
        </w:rPr>
        <w:t>place-based</w:t>
      </w:r>
      <w:r w:rsidRPr="00306207">
        <w:rPr>
          <w:rFonts w:ascii="Calibri" w:eastAsia="Calibri" w:hAnsi="Calibri" w:cs="Calibri"/>
        </w:rPr>
        <w:t xml:space="preserve"> factors such as employment opportunities, education levels and access to services such as the </w:t>
      </w:r>
      <w:r w:rsidRPr="00306207">
        <w:rPr>
          <w:rFonts w:ascii="Calibri" w:eastAsia="Calibri" w:hAnsi="Calibri" w:cs="Calibri"/>
          <w:noProof/>
        </w:rPr>
        <w:t>internet</w:t>
      </w:r>
      <w:r w:rsidRPr="00306207">
        <w:rPr>
          <w:rFonts w:ascii="Calibri" w:eastAsia="Calibri" w:hAnsi="Calibri" w:cs="Calibri"/>
        </w:rPr>
        <w:t xml:space="preserve">, are highly influential in people’s lives and tertiary education choices.  </w:t>
      </w:r>
    </w:p>
    <w:p w14:paraId="022F7E4B" w14:textId="77777777" w:rsidR="00566137" w:rsidRPr="00306207" w:rsidRDefault="00566137" w:rsidP="00D35D2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rPr>
        <w:t>access remains a critical factor in participation in tertiary education by RRR Australians.</w:t>
      </w:r>
    </w:p>
    <w:p w14:paraId="730CB5F8" w14:textId="77777777" w:rsidR="00566137" w:rsidRPr="00306207" w:rsidRDefault="00566137" w:rsidP="00D35D22">
      <w:pPr>
        <w:numPr>
          <w:ilvl w:val="0"/>
          <w:numId w:val="10"/>
        </w:numPr>
        <w:shd w:val="clear" w:color="auto" w:fill="E2E6E4"/>
        <w:contextualSpacing/>
        <w:jc w:val="both"/>
        <w:rPr>
          <w:rFonts w:ascii="Calibri" w:eastAsia="Calibri" w:hAnsi="Calibri" w:cs="Calibri"/>
        </w:rPr>
      </w:pPr>
      <w:r w:rsidRPr="00306207">
        <w:rPr>
          <w:rFonts w:ascii="Calibri" w:eastAsia="Calibri" w:hAnsi="Calibri" w:cs="Calibri"/>
        </w:rPr>
        <w:t>policy responses need to be flexible to accommodate RRR student diversity.</w:t>
      </w:r>
    </w:p>
    <w:p w14:paraId="49ADEA2D" w14:textId="77777777" w:rsidR="00566137" w:rsidRPr="00306207" w:rsidRDefault="00566137" w:rsidP="00726804">
      <w:pPr>
        <w:pStyle w:val="Heading3"/>
        <w:rPr>
          <w:rFonts w:eastAsia="DengXian Light"/>
        </w:rPr>
      </w:pPr>
      <w:r w:rsidRPr="00306207">
        <w:rPr>
          <w:rFonts w:eastAsia="DengXian Light"/>
        </w:rPr>
        <w:t>1.4 21</w:t>
      </w:r>
      <w:r w:rsidRPr="00306207">
        <w:rPr>
          <w:rFonts w:eastAsia="DengXian Light"/>
          <w:vertAlign w:val="superscript"/>
        </w:rPr>
        <w:t>st</w:t>
      </w:r>
      <w:r w:rsidRPr="00306207">
        <w:rPr>
          <w:rFonts w:eastAsia="DengXian Light"/>
        </w:rPr>
        <w:t xml:space="preserve"> century career construction and the increasing importance of career advice</w:t>
      </w:r>
    </w:p>
    <w:p w14:paraId="2FFD8D4D" w14:textId="1577C36C" w:rsidR="00566137" w:rsidRPr="00306207" w:rsidRDefault="00566137" w:rsidP="00566137">
      <w:r w:rsidRPr="00306207">
        <w:t>The literature outlines a number of models of how people decide upon and develop their careers and how these models have changed over time in response to labour market influences and technological advances. In the 21</w:t>
      </w:r>
      <w:r w:rsidRPr="00306207">
        <w:rPr>
          <w:vertAlign w:val="superscript"/>
        </w:rPr>
        <w:t>st</w:t>
      </w:r>
      <w:r w:rsidRPr="00306207">
        <w:t xml:space="preserve"> century, the way careers are constructed has changed</w:t>
      </w:r>
      <w:r w:rsidR="00D35D22">
        <w:t>,</w:t>
      </w:r>
      <w:r w:rsidRPr="00306207">
        <w:t xml:space="preserve"> with previously predictable pathways to chosen careers, such as via a university degree or a VET qualifi</w:t>
      </w:r>
      <w:r w:rsidR="007579E0">
        <w:t>cation,</w:t>
      </w:r>
      <w:r>
        <w:t xml:space="preserve"> </w:t>
      </w:r>
      <w:r w:rsidRPr="00306207">
        <w:t>no longer a ‘guarantee’ of employment</w:t>
      </w:r>
      <w:r>
        <w:t>.</w:t>
      </w:r>
      <w:r w:rsidRPr="00306207">
        <w:rPr>
          <w:rStyle w:val="FootnoteReference"/>
        </w:rPr>
        <w:footnoteReference w:id="124"/>
      </w:r>
      <w:r w:rsidRPr="00306207">
        <w:t xml:space="preserve"> New occupations are always emerging for which new knowledge and skill sets are required</w:t>
      </w:r>
      <w:r>
        <w:t>.</w:t>
      </w:r>
      <w:r w:rsidRPr="00306207">
        <w:rPr>
          <w:rStyle w:val="FootnoteReference"/>
        </w:rPr>
        <w:footnoteReference w:id="125"/>
      </w:r>
      <w:r w:rsidRPr="00306207">
        <w:t xml:space="preserve"> </w:t>
      </w:r>
      <w:r>
        <w:t xml:space="preserve">Now career portfolios have replaced single careers and lifelong jobs, </w:t>
      </w:r>
      <w:r w:rsidRPr="00306207">
        <w:t>w</w:t>
      </w:r>
      <w:r>
        <w:t>ith an</w:t>
      </w:r>
      <w:r w:rsidRPr="00306207">
        <w:t xml:space="preserve"> emphasis on acquiring transferable skill sets that are relevant across multiple occupations</w:t>
      </w:r>
      <w:r>
        <w:t>.</w:t>
      </w:r>
      <w:r w:rsidRPr="00306207">
        <w:rPr>
          <w:rStyle w:val="FootnoteReference"/>
        </w:rPr>
        <w:footnoteReference w:id="126"/>
      </w:r>
      <w:r w:rsidRPr="00306207">
        <w:t xml:space="preserve"> The emerging gig economy means that peoples working lives may comprise of more part-time, short-term and self-employment experiences and career mini-cycles</w:t>
      </w:r>
      <w:r>
        <w:t>.</w:t>
      </w:r>
      <w:r w:rsidRPr="00306207">
        <w:rPr>
          <w:rStyle w:val="FootnoteReference"/>
        </w:rPr>
        <w:footnoteReference w:id="127"/>
      </w:r>
      <w:r w:rsidRPr="00306207">
        <w:t xml:space="preserve">  </w:t>
      </w:r>
    </w:p>
    <w:p w14:paraId="2D228B5B" w14:textId="40499E49" w:rsidR="00566137" w:rsidRPr="00306207" w:rsidRDefault="00566137" w:rsidP="00566137">
      <w:r w:rsidRPr="00306207">
        <w:rPr>
          <w:rFonts w:ascii="Calibri" w:eastAsia="Calibri" w:hAnsi="Calibri" w:cs="Calibri"/>
        </w:rPr>
        <w:t>Changing technology will result in broader changes to local RRR economies and work opportunities</w:t>
      </w:r>
      <w:r w:rsidRPr="00306207">
        <w:t>. Haughton’s (2019</w:t>
      </w:r>
      <w:r>
        <w:t>)</w:t>
      </w:r>
      <w:r w:rsidRPr="00306207">
        <w:rPr>
          <w:rStyle w:val="FootnoteReference"/>
        </w:rPr>
        <w:footnoteReference w:id="128"/>
      </w:r>
      <w:r w:rsidRPr="00306207">
        <w:t xml:space="preserve"> report </w:t>
      </w:r>
      <w:r w:rsidRPr="00D35D22">
        <w:rPr>
          <w:rStyle w:val="Emphasis"/>
        </w:rPr>
        <w:t>The Future of Regional Jobs</w:t>
      </w:r>
      <w:r w:rsidRPr="00306207">
        <w:t xml:space="preserve"> suggested </w:t>
      </w:r>
      <w:r>
        <w:t xml:space="preserve">that </w:t>
      </w:r>
      <w:r w:rsidRPr="00306207">
        <w:t xml:space="preserve">the immediate task is to build RRR community awareness of future jobs and </w:t>
      </w:r>
      <w:r>
        <w:t xml:space="preserve">the </w:t>
      </w:r>
      <w:r w:rsidRPr="00306207">
        <w:t xml:space="preserve">skills required. </w:t>
      </w:r>
      <w:r w:rsidRPr="00000A18">
        <w:t xml:space="preserve">The report also notes that </w:t>
      </w:r>
      <w:r w:rsidRPr="00000A18">
        <w:lastRenderedPageBreak/>
        <w:t>with lower internet connectivity and technology readiness in remote areas, this may mean fewer jobs are vulnerable to automation.</w:t>
      </w:r>
      <w:r w:rsidRPr="00306207">
        <w:t xml:space="preserve"> To assist with RRR communities, the Regional Australia Institute’s Regional Job Automation Pack provides resources including a Job Vulnerability Data Tool with insights as to the impact of automation at the Local Government Area level</w:t>
      </w:r>
      <w:r>
        <w:t>.</w:t>
      </w:r>
      <w:r w:rsidRPr="00306207">
        <w:rPr>
          <w:rStyle w:val="FootnoteReference"/>
        </w:rPr>
        <w:footnoteReference w:id="129"/>
      </w:r>
      <w:r w:rsidRPr="00306207">
        <w:t xml:space="preserve"> </w:t>
      </w:r>
      <w:r>
        <w:t>T</w:t>
      </w:r>
      <w:r w:rsidRPr="00306207">
        <w:t xml:space="preserve">here are </w:t>
      </w:r>
      <w:r>
        <w:t xml:space="preserve">also </w:t>
      </w:r>
      <w:r w:rsidRPr="00306207">
        <w:t xml:space="preserve">resources available to assist with understanding current employment trends in RRR Australia. </w:t>
      </w:r>
      <w:r w:rsidR="00D35D22" w:rsidRPr="00D35D22">
        <w:t>The Department of Employment, Skills, Small and Family Business</w:t>
      </w:r>
      <w:r w:rsidR="00D35D22">
        <w:t xml:space="preserve"> </w:t>
      </w:r>
      <w:r w:rsidRPr="00306207">
        <w:t>Labour Market Information Portal provides insights into jobs with the Internet Vacancy Index (IVI)</w:t>
      </w:r>
      <w:r w:rsidRPr="00306207">
        <w:rPr>
          <w:rStyle w:val="FootnoteReference"/>
        </w:rPr>
        <w:footnoteReference w:id="130"/>
      </w:r>
      <w:r w:rsidRPr="00306207">
        <w:t xml:space="preserve"> increasingly used as a barometer of labour market activity. For 37 RRR communities, the IVI is linked to an interactive Regional Jobs Vacancy Map</w:t>
      </w:r>
      <w:r>
        <w:t>.</w:t>
      </w:r>
      <w:r w:rsidRPr="00306207">
        <w:rPr>
          <w:rStyle w:val="FootnoteReference"/>
        </w:rPr>
        <w:footnoteReference w:id="131"/>
      </w:r>
      <w:r w:rsidRPr="00306207">
        <w:t xml:space="preserve">      </w:t>
      </w:r>
    </w:p>
    <w:p w14:paraId="2148E75F" w14:textId="61C3BB19" w:rsidR="00566137" w:rsidRPr="00306207" w:rsidRDefault="00566137" w:rsidP="00566137">
      <w:r w:rsidRPr="00306207">
        <w:t xml:space="preserve">The decision to participate in tertiary study is typically driven in the first instance by the career being pursued, but the benefits of tertiary education extend beyond </w:t>
      </w:r>
      <w:r w:rsidR="00D35D22">
        <w:t>employment</w:t>
      </w:r>
      <w:r w:rsidRPr="00306207">
        <w:t>, to participating in society and contributing to the wider community</w:t>
      </w:r>
      <w:r>
        <w:t>.</w:t>
      </w:r>
      <w:r w:rsidRPr="00306207">
        <w:rPr>
          <w:rStyle w:val="FootnoteReference"/>
        </w:rPr>
        <w:footnoteReference w:id="132"/>
      </w:r>
      <w:r w:rsidRPr="00306207">
        <w:t xml:space="preserve"> This seems to reflect a bigger shift away from human capital towards human capabilities to frame education outcomes</w:t>
      </w:r>
      <w:r>
        <w:t>.</w:t>
      </w:r>
      <w:r w:rsidRPr="00306207">
        <w:rPr>
          <w:rStyle w:val="FootnoteReference"/>
        </w:rPr>
        <w:footnoteReference w:id="133"/>
      </w:r>
      <w:r w:rsidRPr="00306207">
        <w:t xml:space="preserve">  The notion of ‘employability’ is </w:t>
      </w:r>
      <w:r w:rsidR="007579E0">
        <w:t>promoted</w:t>
      </w:r>
      <w:r w:rsidRPr="00306207">
        <w:t xml:space="preserve"> to students and is a process that brings together career d</w:t>
      </w:r>
      <w:r w:rsidR="00264B33">
        <w:t xml:space="preserve">evelopment principles with work </w:t>
      </w:r>
      <w:r w:rsidRPr="00306207">
        <w:t>integrated learning (WIL) principles and practices</w:t>
      </w:r>
      <w:r>
        <w:t>.</w:t>
      </w:r>
      <w:r w:rsidRPr="00306207">
        <w:rPr>
          <w:rStyle w:val="FootnoteReference"/>
        </w:rPr>
        <w:footnoteReference w:id="134"/>
      </w:r>
      <w:r w:rsidRPr="00306207">
        <w:t xml:space="preserve">  WIL provides work-related experiences, and through industry engagement, is an effective way to learn about a profession and to apply learning and skills in a </w:t>
      </w:r>
      <w:r w:rsidR="007579E0" w:rsidRPr="00306207">
        <w:t>real world</w:t>
      </w:r>
      <w:r w:rsidRPr="00306207">
        <w:t>, work context</w:t>
      </w:r>
      <w:r>
        <w:t>.</w:t>
      </w:r>
      <w:r w:rsidRPr="00306207">
        <w:rPr>
          <w:rStyle w:val="FootnoteReference"/>
        </w:rPr>
        <w:footnoteReference w:id="135"/>
      </w:r>
      <w:r w:rsidRPr="00306207">
        <w:t xml:space="preserve"> Australian universities tend to focus on WIL and undergraduate students in particular</w:t>
      </w:r>
      <w:r>
        <w:t>,</w:t>
      </w:r>
      <w:r w:rsidRPr="00306207">
        <w:t xml:space="preserve"> place a high value on WIL</w:t>
      </w:r>
      <w:r>
        <w:t>.</w:t>
      </w:r>
      <w:r w:rsidRPr="00306207">
        <w:rPr>
          <w:rStyle w:val="FootnoteReference"/>
        </w:rPr>
        <w:footnoteReference w:id="136"/>
      </w:r>
      <w:r w:rsidRPr="00306207">
        <w:t xml:space="preserve"> There are barriers that inhibit students partaking in WIL experiences such as financial pressures during</w:t>
      </w:r>
      <w:r w:rsidR="00731032">
        <w:t xml:space="preserve"> the</w:t>
      </w:r>
      <w:r w:rsidRPr="00306207">
        <w:t xml:space="preserve"> WIL experience (e.g. not being able to work) and the availability and location of WIL in more rural areas can also lead to additional issues with accommodation, commuting distance and/or availability of public transport</w:t>
      </w:r>
      <w:r>
        <w:t>.</w:t>
      </w:r>
      <w:r w:rsidRPr="00306207">
        <w:rPr>
          <w:rStyle w:val="FootnoteReference"/>
        </w:rPr>
        <w:footnoteReference w:id="137"/>
      </w:r>
      <w:r w:rsidRPr="00306207">
        <w:t xml:space="preserve"> </w:t>
      </w:r>
    </w:p>
    <w:p w14:paraId="04E0DBAA" w14:textId="77777777" w:rsidR="00566137" w:rsidRPr="00306207" w:rsidRDefault="00566137" w:rsidP="00566137">
      <w:r w:rsidRPr="00306207">
        <w:t>Some RRR students report feeling that they lacked reliable information about careers when at school, were left to their own devices to identify courses and research pathways to those courses and thus they felt vulnerable to making poor decisions about courses and careers</w:t>
      </w:r>
      <w:r>
        <w:t>.</w:t>
      </w:r>
      <w:r w:rsidRPr="00306207">
        <w:rPr>
          <w:rStyle w:val="FootnoteReference"/>
        </w:rPr>
        <w:footnoteReference w:id="138"/>
      </w:r>
      <w:r w:rsidRPr="00306207">
        <w:t xml:space="preserve"> The Career Industry Council of Australia is the national peak body for the career industry, with research showing that whilst parents are the primary influencers of their children’s career planning, the second most important influencers are career practitioners</w:t>
      </w:r>
      <w:r>
        <w:t>.</w:t>
      </w:r>
      <w:r w:rsidRPr="00306207">
        <w:rPr>
          <w:rStyle w:val="FootnoteReference"/>
        </w:rPr>
        <w:footnoteReference w:id="139"/>
      </w:r>
      <w:r w:rsidRPr="00306207">
        <w:t xml:space="preserve"> However, as reported by Pollard (2019, p. 13) many RRR schools ‘do not have dedicated and qualified career advisers or access to resources that support students to make informed decisions regarding their post-secondary education’. Similar findings were reported in Zacharias et al. (2018), who identified the need for career awareness and development activities that </w:t>
      </w:r>
      <w:r>
        <w:t xml:space="preserve">show </w:t>
      </w:r>
      <w:r w:rsidRPr="00306207">
        <w:t xml:space="preserve">school students a wider variety of options. University outreach </w:t>
      </w:r>
      <w:r w:rsidRPr="00306207">
        <w:lastRenderedPageBreak/>
        <w:t xml:space="preserve">plays a critical role in broadening the career horizons for RRR students, with a number of </w:t>
      </w:r>
      <w:r>
        <w:t>widening participation (</w:t>
      </w:r>
      <w:r w:rsidRPr="00306207">
        <w:t>WP</w:t>
      </w:r>
      <w:r>
        <w:t>)</w:t>
      </w:r>
      <w:r w:rsidRPr="00306207">
        <w:t xml:space="preserve"> programs tailored for Indigenous RRR students found to be successful</w:t>
      </w:r>
      <w:r>
        <w:t>.</w:t>
      </w:r>
      <w:r w:rsidRPr="00306207">
        <w:rPr>
          <w:rStyle w:val="FootnoteReference"/>
        </w:rPr>
        <w:footnoteReference w:id="140"/>
      </w:r>
      <w:r w:rsidRPr="00306207">
        <w:t xml:space="preserve">  </w:t>
      </w:r>
    </w:p>
    <w:p w14:paraId="4157CC6B" w14:textId="46B2967D" w:rsidR="00566137" w:rsidRDefault="00566137" w:rsidP="00566137">
      <w:r w:rsidRPr="00306207">
        <w:t xml:space="preserve">Beyond the availability of career advice, inclusivity of the career advice, particularly with regards to Aboriginal and Torres Strait Islander peoples, is an important facet. The </w:t>
      </w:r>
      <w:r w:rsidRPr="00731032">
        <w:rPr>
          <w:rStyle w:val="Emphasis"/>
        </w:rPr>
        <w:t>Behrendt Review of Higher Education Access and Outcomes for Aboriginal and Torres Strait Islander People (2012)</w:t>
      </w:r>
      <w:r w:rsidRPr="00306207">
        <w:t xml:space="preserve"> noted instances where low expectations of academic achievement by career advisors and teachers corroded the confidence of Indigenous students resulting in them believing they were not ‘good enough’ for </w:t>
      </w:r>
      <w:r>
        <w:t>tertiary education</w:t>
      </w:r>
      <w:r w:rsidRPr="00306207">
        <w:t xml:space="preserve">. </w:t>
      </w:r>
      <w:r>
        <w:t>T</w:t>
      </w:r>
      <w:r w:rsidRPr="00306207">
        <w:t xml:space="preserve">he 1985 </w:t>
      </w:r>
      <w:r w:rsidRPr="00731032">
        <w:rPr>
          <w:rStyle w:val="Emphasis"/>
        </w:rPr>
        <w:t>Committee of Review of Aboriginal Employment and Training Programs</w:t>
      </w:r>
      <w:r w:rsidRPr="00306207">
        <w:t xml:space="preserve"> and </w:t>
      </w:r>
      <w:r>
        <w:t xml:space="preserve">the </w:t>
      </w:r>
      <w:r w:rsidRPr="00306207">
        <w:t xml:space="preserve">1987 </w:t>
      </w:r>
      <w:r w:rsidRPr="00731032">
        <w:rPr>
          <w:rStyle w:val="Emphasis"/>
        </w:rPr>
        <w:t>Schooling in Rural Australia Report</w:t>
      </w:r>
      <w:r>
        <w:t xml:space="preserve"> noted the </w:t>
      </w:r>
      <w:r w:rsidRPr="00306207">
        <w:t>importance of the availability</w:t>
      </w:r>
      <w:r>
        <w:t xml:space="preserve"> of positive, strength</w:t>
      </w:r>
      <w:r w:rsidR="007579E0">
        <w:t>s</w:t>
      </w:r>
      <w:r>
        <w:t xml:space="preserve">-focused career advice for </w:t>
      </w:r>
      <w:r w:rsidR="007579E0">
        <w:t>Indigenous</w:t>
      </w:r>
      <w:r>
        <w:t xml:space="preserve"> students. </w:t>
      </w:r>
    </w:p>
    <w:p w14:paraId="0880C012" w14:textId="4A782AF1" w:rsidR="007579E0" w:rsidRDefault="00566137">
      <w:r w:rsidRPr="00E1596D">
        <w:t>On Country delivery of career advice should be accessible</w:t>
      </w:r>
      <w:r w:rsidRPr="002A5DC8">
        <w:t>. T</w:t>
      </w:r>
      <w:r w:rsidRPr="00E1596D">
        <w:t xml:space="preserve">he importance of on Country delivery of education </w:t>
      </w:r>
      <w:r w:rsidR="007579E0">
        <w:t>was</w:t>
      </w:r>
      <w:r w:rsidRPr="002A5DC8">
        <w:t xml:space="preserve"> </w:t>
      </w:r>
      <w:r w:rsidRPr="00E1596D">
        <w:t xml:space="preserve">outlined in 1987 </w:t>
      </w:r>
      <w:r w:rsidRPr="00731032">
        <w:rPr>
          <w:rStyle w:val="Emphasis"/>
        </w:rPr>
        <w:t>Return to Country: The Aboriginal Homelands Movement in Australia Report</w:t>
      </w:r>
      <w:r w:rsidRPr="002A5DC8">
        <w:t>.</w:t>
      </w:r>
      <w:r w:rsidRPr="00E1596D">
        <w:rPr>
          <w:rStyle w:val="FootnoteReference"/>
        </w:rPr>
        <w:footnoteReference w:id="141"/>
      </w:r>
      <w:r w:rsidRPr="00E1596D">
        <w:t xml:space="preserve"> Overall</w:t>
      </w:r>
      <w:r w:rsidRPr="00306207">
        <w:t xml:space="preserve">, the changing nature of career </w:t>
      </w:r>
      <w:r w:rsidRPr="00E1596D">
        <w:t>construction</w:t>
      </w:r>
      <w:r w:rsidRPr="00306207">
        <w:t xml:space="preserve"> and future work not only amplifies the need for effective career advice but this advice </w:t>
      </w:r>
      <w:r>
        <w:t>can ‘</w:t>
      </w:r>
      <w:r w:rsidRPr="00306207">
        <w:t>future proof</w:t>
      </w:r>
      <w:r>
        <w:t>’</w:t>
      </w:r>
      <w:r w:rsidRPr="00306207">
        <w:t xml:space="preserve"> young people, including those from RRR areas and Indigenous Australians. </w:t>
      </w:r>
    </w:p>
    <w:p w14:paraId="11DCFC5F" w14:textId="2D5FCBC6" w:rsidR="00566137" w:rsidRPr="00306207" w:rsidRDefault="00566137" w:rsidP="00731032">
      <w:pPr>
        <w:shd w:val="clear" w:color="auto" w:fill="E2E6E4"/>
        <w:spacing w:after="0"/>
        <w:contextualSpacing/>
        <w:rPr>
          <w:rFonts w:ascii="Calibri" w:eastAsia="Calibri" w:hAnsi="Calibri" w:cs="Times New Roman"/>
          <w:b/>
        </w:rPr>
      </w:pPr>
      <w:r w:rsidRPr="00306207">
        <w:rPr>
          <w:rFonts w:ascii="Calibri" w:eastAsia="Calibri" w:hAnsi="Calibri" w:cs="Calibri"/>
          <w:b/>
        </w:rPr>
        <w:t xml:space="preserve">In </w:t>
      </w:r>
      <w:r w:rsidRPr="00306207">
        <w:rPr>
          <w:rFonts w:ascii="Calibri" w:eastAsia="Calibri" w:hAnsi="Calibri" w:cs="Calibri"/>
          <w:b/>
          <w:noProof/>
        </w:rPr>
        <w:t>summary,</w:t>
      </w:r>
      <w:r w:rsidRPr="00306207">
        <w:rPr>
          <w:rFonts w:ascii="Calibri" w:eastAsia="Calibri" w:hAnsi="Calibri" w:cs="Calibri"/>
          <w:b/>
        </w:rPr>
        <w:t xml:space="preserve"> the literature suggests:</w:t>
      </w:r>
    </w:p>
    <w:p w14:paraId="65CA7491" w14:textId="77777777" w:rsidR="00566137" w:rsidRPr="00306207" w:rsidRDefault="00566137" w:rsidP="0073103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rPr>
        <w:t>changing technology will result in broader changes to local RRR economies and work opportunities.</w:t>
      </w:r>
    </w:p>
    <w:p w14:paraId="22E6D763" w14:textId="77777777" w:rsidR="00566137" w:rsidRPr="00306207" w:rsidRDefault="00566137" w:rsidP="0073103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rPr>
        <w:t>RRR students need to consider future work changes when planning their careers</w:t>
      </w:r>
      <w:r>
        <w:rPr>
          <w:rFonts w:ascii="Calibri" w:eastAsia="Calibri" w:hAnsi="Calibri" w:cs="Calibri"/>
        </w:rPr>
        <w:t>.</w:t>
      </w:r>
      <w:r w:rsidRPr="00306207">
        <w:rPr>
          <w:rFonts w:ascii="Calibri" w:eastAsia="Calibri" w:hAnsi="Calibri" w:cs="Calibri"/>
        </w:rPr>
        <w:t xml:space="preserve"> </w:t>
      </w:r>
    </w:p>
    <w:p w14:paraId="0CE1BC59" w14:textId="77777777" w:rsidR="00566137" w:rsidRPr="00306207" w:rsidRDefault="00566137" w:rsidP="00731032">
      <w:pPr>
        <w:numPr>
          <w:ilvl w:val="0"/>
          <w:numId w:val="10"/>
        </w:numPr>
        <w:shd w:val="clear" w:color="auto" w:fill="E2E6E4"/>
        <w:contextualSpacing/>
        <w:jc w:val="both"/>
        <w:rPr>
          <w:rFonts w:ascii="Calibri" w:eastAsia="Calibri" w:hAnsi="Calibri" w:cs="Calibri"/>
        </w:rPr>
      </w:pPr>
      <w:r w:rsidRPr="00306207">
        <w:rPr>
          <w:rFonts w:ascii="Calibri" w:eastAsia="Calibri" w:hAnsi="Calibri" w:cs="Calibri"/>
        </w:rPr>
        <w:t>career advice is more important than ever before, and new models of career advice are needed to better prepare all students including RRR students</w:t>
      </w:r>
      <w:r>
        <w:rPr>
          <w:rFonts w:ascii="Calibri" w:eastAsia="Calibri" w:hAnsi="Calibri" w:cs="Calibri"/>
        </w:rPr>
        <w:t>, and</w:t>
      </w:r>
      <w:r w:rsidRPr="00306207">
        <w:rPr>
          <w:rFonts w:ascii="Calibri" w:eastAsia="Calibri" w:hAnsi="Calibri" w:cs="Calibri"/>
        </w:rPr>
        <w:t xml:space="preserve"> on Country career advice provided for Indigenous Australians.</w:t>
      </w:r>
    </w:p>
    <w:p w14:paraId="4B034B78" w14:textId="6EBDA6B3" w:rsidR="00566137" w:rsidRPr="00306207" w:rsidRDefault="00566137" w:rsidP="00726804">
      <w:pPr>
        <w:pStyle w:val="Heading2"/>
        <w:rPr>
          <w:rFonts w:eastAsia="DengXian Light"/>
        </w:rPr>
      </w:pPr>
      <w:bookmarkStart w:id="74" w:name="_Toc11861005"/>
      <w:bookmarkStart w:id="75" w:name="_Toc13224812"/>
      <w:r w:rsidRPr="00306207">
        <w:rPr>
          <w:rFonts w:eastAsia="DengXian Light"/>
        </w:rPr>
        <w:t>2.0 Aspiration</w:t>
      </w:r>
      <w:r w:rsidR="00A64BF7">
        <w:rPr>
          <w:rFonts w:eastAsia="DengXian Light"/>
        </w:rPr>
        <w:t>s</w:t>
      </w:r>
      <w:bookmarkEnd w:id="74"/>
      <w:bookmarkEnd w:id="75"/>
      <w:r w:rsidRPr="00306207">
        <w:rPr>
          <w:rFonts w:eastAsia="DengXian Light"/>
        </w:rPr>
        <w:t xml:space="preserve"> </w:t>
      </w:r>
    </w:p>
    <w:p w14:paraId="587309B8" w14:textId="77777777" w:rsidR="00566137" w:rsidRPr="00306207" w:rsidRDefault="00566137" w:rsidP="00726804">
      <w:pPr>
        <w:pStyle w:val="Heading3"/>
        <w:rPr>
          <w:rFonts w:eastAsia="DengXian Light"/>
        </w:rPr>
      </w:pPr>
      <w:r w:rsidRPr="00306207">
        <w:rPr>
          <w:rFonts w:eastAsia="DengXian Light"/>
        </w:rPr>
        <w:t>2.1 Aspirations take many forms</w:t>
      </w:r>
    </w:p>
    <w:p w14:paraId="5048AA7D" w14:textId="796C6A1A" w:rsidR="00566137" w:rsidRPr="00306207" w:rsidRDefault="00566137" w:rsidP="00566137">
      <w:pPr>
        <w:rPr>
          <w:rFonts w:ascii="Calibri" w:eastAsia="Calibri" w:hAnsi="Calibri" w:cs="Calibri"/>
          <w:sz w:val="18"/>
          <w:szCs w:val="18"/>
        </w:rPr>
      </w:pPr>
      <w:r w:rsidRPr="00306207">
        <w:rPr>
          <w:rFonts w:ascii="Calibri" w:eastAsia="Calibri" w:hAnsi="Calibri" w:cs="Calibri"/>
        </w:rPr>
        <w:t>The notion of aspiration features prominently in tertiary education</w:t>
      </w:r>
      <w:r>
        <w:rPr>
          <w:rFonts w:ascii="Calibri" w:eastAsia="Calibri" w:hAnsi="Calibri" w:cs="Calibri"/>
        </w:rPr>
        <w:t>,</w:t>
      </w:r>
      <w:r w:rsidRPr="00306207">
        <w:rPr>
          <w:rFonts w:ascii="Calibri" w:eastAsia="Calibri" w:hAnsi="Calibri" w:cs="Calibri"/>
        </w:rPr>
        <w:t xml:space="preserve"> so much so that its meaning is often assumed and taken for granted</w:t>
      </w:r>
      <w:r>
        <w:rPr>
          <w:rFonts w:ascii="Calibri" w:eastAsia="Calibri" w:hAnsi="Calibri" w:cs="Calibri"/>
        </w:rPr>
        <w:t>.</w:t>
      </w:r>
      <w:r w:rsidRPr="00306207">
        <w:rPr>
          <w:rFonts w:ascii="Calibri" w:eastAsia="Calibri" w:hAnsi="Calibri" w:cs="Calibri"/>
          <w:vertAlign w:val="superscript"/>
        </w:rPr>
        <w:footnoteReference w:id="142"/>
      </w:r>
      <w:r w:rsidRPr="00306207">
        <w:rPr>
          <w:rFonts w:ascii="Calibri" w:eastAsia="Calibri" w:hAnsi="Calibri" w:cs="Calibri"/>
        </w:rPr>
        <w:t xml:space="preserve"> Aspiration, however, has many </w:t>
      </w:r>
      <w:r>
        <w:rPr>
          <w:rFonts w:ascii="Calibri" w:eastAsia="Calibri" w:hAnsi="Calibri" w:cs="Calibri"/>
        </w:rPr>
        <w:t xml:space="preserve">definitions </w:t>
      </w:r>
      <w:r w:rsidRPr="00306207">
        <w:rPr>
          <w:rFonts w:ascii="Calibri" w:eastAsia="Calibri" w:hAnsi="Calibri" w:cs="Calibri"/>
        </w:rPr>
        <w:t xml:space="preserve">and unravelling these can shed light on </w:t>
      </w:r>
      <w:r>
        <w:rPr>
          <w:rFonts w:ascii="Calibri" w:eastAsia="Calibri" w:hAnsi="Calibri" w:cs="Calibri"/>
        </w:rPr>
        <w:t xml:space="preserve">common </w:t>
      </w:r>
      <w:r w:rsidRPr="00000A18">
        <w:rPr>
          <w:rFonts w:ascii="Calibri" w:eastAsia="Calibri" w:hAnsi="Calibri" w:cs="Calibri"/>
        </w:rPr>
        <w:t>criticism</w:t>
      </w:r>
      <w:r>
        <w:rPr>
          <w:rFonts w:ascii="Calibri" w:eastAsia="Calibri" w:hAnsi="Calibri" w:cs="Calibri"/>
        </w:rPr>
        <w:t>s</w:t>
      </w:r>
      <w:r w:rsidRPr="00000A18">
        <w:rPr>
          <w:rFonts w:ascii="Calibri" w:eastAsia="Calibri" w:hAnsi="Calibri" w:cs="Calibri"/>
        </w:rPr>
        <w:t xml:space="preserve"> and misinterpretation</w:t>
      </w:r>
      <w:r>
        <w:rPr>
          <w:rFonts w:ascii="Calibri" w:eastAsia="Calibri" w:hAnsi="Calibri" w:cs="Calibri"/>
        </w:rPr>
        <w:t>s</w:t>
      </w:r>
      <w:r w:rsidRPr="00306207">
        <w:rPr>
          <w:rFonts w:ascii="Calibri" w:eastAsia="Calibri" w:hAnsi="Calibri" w:cs="Calibri"/>
        </w:rPr>
        <w:t xml:space="preserve">. In brief, goals guide </w:t>
      </w:r>
      <w:r>
        <w:rPr>
          <w:rFonts w:ascii="Calibri" w:eastAsia="Calibri" w:hAnsi="Calibri" w:cs="Calibri"/>
        </w:rPr>
        <w:t>behaviour</w:t>
      </w:r>
      <w:r w:rsidRPr="00306207">
        <w:rPr>
          <w:rFonts w:ascii="Calibri" w:eastAsia="Calibri" w:hAnsi="Calibri" w:cs="Calibri"/>
        </w:rPr>
        <w:t>, and aspiration is linked to the self-determination and pursuit of one’s life goals</w:t>
      </w:r>
      <w:r>
        <w:rPr>
          <w:rFonts w:ascii="Calibri" w:eastAsia="Calibri" w:hAnsi="Calibri" w:cs="Calibri"/>
        </w:rPr>
        <w:t>.</w:t>
      </w:r>
      <w:r w:rsidRPr="00306207">
        <w:rPr>
          <w:rFonts w:ascii="Calibri" w:eastAsia="Calibri" w:hAnsi="Calibri" w:cs="Calibri"/>
          <w:vertAlign w:val="superscript"/>
        </w:rPr>
        <w:footnoteReference w:id="143"/>
      </w:r>
      <w:r w:rsidRPr="00306207">
        <w:rPr>
          <w:rFonts w:ascii="Calibri" w:eastAsia="Calibri" w:hAnsi="Calibri" w:cs="Calibri"/>
        </w:rPr>
        <w:t xml:space="preserve"> </w:t>
      </w:r>
      <w:r w:rsidR="00A64BF7">
        <w:rPr>
          <w:rFonts w:ascii="Calibri" w:eastAsia="Calibri" w:hAnsi="Calibri" w:cs="Calibri"/>
        </w:rPr>
        <w:t>Aspirations are d</w:t>
      </w:r>
      <w:r w:rsidRPr="00306207">
        <w:rPr>
          <w:rFonts w:ascii="Calibri" w:eastAsia="Calibri" w:hAnsi="Calibri" w:cs="Calibri"/>
        </w:rPr>
        <w:t>efined as the desire ‘to achieve something in the future, with the implication that they will drive actions in the present’</w:t>
      </w:r>
      <w:r>
        <w:rPr>
          <w:rFonts w:ascii="Calibri" w:eastAsia="Calibri" w:hAnsi="Calibri" w:cs="Calibri"/>
        </w:rPr>
        <w:t>.</w:t>
      </w:r>
      <w:r w:rsidRPr="00306207">
        <w:rPr>
          <w:rFonts w:ascii="Calibri" w:eastAsia="Calibri" w:hAnsi="Calibri" w:cs="Calibri"/>
          <w:vertAlign w:val="superscript"/>
        </w:rPr>
        <w:footnoteReference w:id="144"/>
      </w:r>
      <w:r w:rsidRPr="00306207">
        <w:rPr>
          <w:rFonts w:ascii="Calibri" w:eastAsia="Calibri" w:hAnsi="Calibri" w:cs="Calibri"/>
        </w:rPr>
        <w:t xml:space="preserve"> There is a significant body of literature dealing with the broad topic of aspiration</w:t>
      </w:r>
      <w:r w:rsidR="00F95788">
        <w:rPr>
          <w:rFonts w:ascii="Calibri" w:eastAsia="Calibri" w:hAnsi="Calibri" w:cs="Calibri"/>
        </w:rPr>
        <w:t>s</w:t>
      </w:r>
      <w:r w:rsidRPr="00306207">
        <w:rPr>
          <w:rFonts w:ascii="Calibri" w:eastAsia="Calibri" w:hAnsi="Calibri" w:cs="Calibri"/>
        </w:rPr>
        <w:t xml:space="preserve"> and the different forms </w:t>
      </w:r>
      <w:r>
        <w:rPr>
          <w:rFonts w:ascii="Calibri" w:eastAsia="Calibri" w:hAnsi="Calibri" w:cs="Calibri"/>
        </w:rPr>
        <w:t xml:space="preserve">it </w:t>
      </w:r>
      <w:r w:rsidRPr="00306207">
        <w:rPr>
          <w:rFonts w:ascii="Calibri" w:eastAsia="Calibri" w:hAnsi="Calibri" w:cs="Calibri"/>
        </w:rPr>
        <w:t>can take, including wellbeing aspirations, personal development aspirations and wealth aspirations</w:t>
      </w:r>
      <w:r>
        <w:rPr>
          <w:rFonts w:ascii="Calibri" w:eastAsia="Calibri" w:hAnsi="Calibri" w:cs="Calibri"/>
        </w:rPr>
        <w:t>.</w:t>
      </w:r>
      <w:r w:rsidRPr="00306207">
        <w:rPr>
          <w:rFonts w:ascii="Calibri" w:eastAsia="Calibri" w:hAnsi="Calibri" w:cs="Calibri"/>
          <w:vertAlign w:val="superscript"/>
        </w:rPr>
        <w:footnoteReference w:id="145"/>
      </w:r>
      <w:r w:rsidRPr="00306207">
        <w:rPr>
          <w:rFonts w:ascii="Calibri" w:eastAsia="Calibri" w:hAnsi="Calibri" w:cs="Calibri"/>
        </w:rPr>
        <w:t xml:space="preserve"> Relevant to this report, occupational aspirations </w:t>
      </w:r>
      <w:r w:rsidRPr="00306207">
        <w:rPr>
          <w:rFonts w:ascii="Calibri" w:eastAsia="Calibri" w:hAnsi="Calibri" w:cs="Calibri"/>
        </w:rPr>
        <w:lastRenderedPageBreak/>
        <w:t>refer to choosing a particular occupation and then working towards acqui</w:t>
      </w:r>
      <w:r>
        <w:rPr>
          <w:rFonts w:ascii="Calibri" w:eastAsia="Calibri" w:hAnsi="Calibri" w:cs="Calibri"/>
        </w:rPr>
        <w:t>ring</w:t>
      </w:r>
      <w:r w:rsidRPr="00306207">
        <w:rPr>
          <w:rFonts w:ascii="Calibri" w:eastAsia="Calibri" w:hAnsi="Calibri" w:cs="Calibri"/>
        </w:rPr>
        <w:t xml:space="preserve"> the knowledge, skills and abilities needed to gain employment in that </w:t>
      </w:r>
      <w:r>
        <w:rPr>
          <w:rFonts w:ascii="Calibri" w:eastAsia="Calibri" w:hAnsi="Calibri" w:cs="Calibri"/>
        </w:rPr>
        <w:t>field.</w:t>
      </w:r>
      <w:r w:rsidRPr="00306207">
        <w:rPr>
          <w:rFonts w:ascii="Calibri" w:eastAsia="Calibri" w:hAnsi="Calibri" w:cs="Calibri"/>
          <w:sz w:val="18"/>
          <w:szCs w:val="18"/>
          <w:vertAlign w:val="superscript"/>
        </w:rPr>
        <w:footnoteReference w:id="146"/>
      </w:r>
    </w:p>
    <w:p w14:paraId="0EC164AA" w14:textId="77777777" w:rsidR="00566137" w:rsidRPr="00306207" w:rsidRDefault="00566137" w:rsidP="00566137">
      <w:pPr>
        <w:spacing w:after="0"/>
        <w:rPr>
          <w:rFonts w:ascii="Calibri" w:eastAsia="Calibri" w:hAnsi="Calibri" w:cs="Calibri"/>
        </w:rPr>
      </w:pPr>
      <w:r w:rsidRPr="00306207">
        <w:rPr>
          <w:rFonts w:ascii="Calibri" w:eastAsia="Calibri" w:hAnsi="Calibri" w:cs="Calibri"/>
        </w:rPr>
        <w:t xml:space="preserve">The literature tends to be vague about which types of aspiration </w:t>
      </w:r>
      <w:r w:rsidRPr="00306207">
        <w:rPr>
          <w:rFonts w:ascii="Calibri" w:eastAsia="Calibri" w:hAnsi="Calibri" w:cs="Calibri"/>
          <w:noProof/>
        </w:rPr>
        <w:t>are</w:t>
      </w:r>
      <w:r w:rsidRPr="00306207">
        <w:rPr>
          <w:rFonts w:ascii="Calibri" w:eastAsia="Calibri" w:hAnsi="Calibri" w:cs="Calibri"/>
        </w:rPr>
        <w:t xml:space="preserve"> being referred to</w:t>
      </w:r>
      <w:r>
        <w:rPr>
          <w:rFonts w:ascii="Calibri" w:eastAsia="Calibri" w:hAnsi="Calibri" w:cs="Calibri"/>
        </w:rPr>
        <w:t xml:space="preserve"> at a particular time</w:t>
      </w:r>
      <w:r w:rsidRPr="00306207">
        <w:rPr>
          <w:rFonts w:ascii="Calibri" w:eastAsia="Calibri" w:hAnsi="Calibri" w:cs="Calibri"/>
        </w:rPr>
        <w:t>. This has led to criticism and confusion</w:t>
      </w:r>
      <w:r>
        <w:rPr>
          <w:rFonts w:ascii="Calibri" w:eastAsia="Calibri" w:hAnsi="Calibri" w:cs="Calibri"/>
        </w:rPr>
        <w:t>.</w:t>
      </w:r>
      <w:r w:rsidRPr="00306207">
        <w:rPr>
          <w:rFonts w:ascii="Calibri" w:eastAsia="Calibri" w:hAnsi="Calibri" w:cs="Calibri"/>
          <w:vertAlign w:val="superscript"/>
        </w:rPr>
        <w:footnoteReference w:id="147"/>
      </w:r>
      <w:r w:rsidRPr="00306207">
        <w:rPr>
          <w:rFonts w:ascii="Calibri" w:eastAsia="Calibri" w:hAnsi="Calibri" w:cs="Calibri"/>
        </w:rPr>
        <w:t xml:space="preserve"> Overall, aspirations of students </w:t>
      </w:r>
      <w:r>
        <w:rPr>
          <w:rFonts w:ascii="Calibri" w:eastAsia="Calibri" w:hAnsi="Calibri" w:cs="Calibri"/>
        </w:rPr>
        <w:t xml:space="preserve">should be </w:t>
      </w:r>
      <w:r w:rsidRPr="00306207">
        <w:rPr>
          <w:rFonts w:ascii="Calibri" w:eastAsia="Calibri" w:hAnsi="Calibri" w:cs="Calibri"/>
        </w:rPr>
        <w:t>phrased positively with terms such as ‘elevating aspirations’, ‘enabling aspirations’ or ‘realising aspirations’ most appropriate as they recognise that all people irrespective of age, gender, SES, Indigeneity, ability or location have aspirations, hopes and dreams for their future</w:t>
      </w:r>
      <w:r>
        <w:rPr>
          <w:rFonts w:ascii="Calibri" w:eastAsia="Calibri" w:hAnsi="Calibri" w:cs="Calibri"/>
        </w:rPr>
        <w:t>.</w:t>
      </w:r>
      <w:r w:rsidRPr="00306207">
        <w:rPr>
          <w:rFonts w:ascii="Calibri" w:eastAsia="Calibri" w:hAnsi="Calibri" w:cs="Calibri"/>
          <w:vertAlign w:val="superscript"/>
        </w:rPr>
        <w:footnoteReference w:id="148"/>
      </w:r>
    </w:p>
    <w:p w14:paraId="2C3F8CC6" w14:textId="77777777" w:rsidR="00566137" w:rsidRPr="00306207" w:rsidRDefault="00566137" w:rsidP="00726804">
      <w:pPr>
        <w:pStyle w:val="Heading3"/>
        <w:rPr>
          <w:rFonts w:eastAsia="DengXian Light"/>
          <w:color w:val="FF0000"/>
        </w:rPr>
      </w:pPr>
      <w:r w:rsidRPr="00306207">
        <w:rPr>
          <w:rFonts w:eastAsia="DengXian Light"/>
        </w:rPr>
        <w:t>2.2 The interplay between occupational and tertiary education aspiration</w:t>
      </w:r>
    </w:p>
    <w:p w14:paraId="1D08588E" w14:textId="0FAF0779" w:rsidR="00566137" w:rsidRPr="00306207" w:rsidRDefault="00566137" w:rsidP="00566137">
      <w:pPr>
        <w:rPr>
          <w:rFonts w:ascii="Calibri" w:eastAsia="Calibri" w:hAnsi="Calibri" w:cs="Calibri"/>
        </w:rPr>
      </w:pPr>
      <w:r w:rsidRPr="00306207">
        <w:rPr>
          <w:rFonts w:ascii="Calibri" w:eastAsia="Calibri" w:hAnsi="Calibri" w:cs="Calibri"/>
        </w:rPr>
        <w:t>The interplay between occupational aspirations and tertiary education aspirations is another important aspect. In most cases, occupational aspirations drive the need or desire for tertiary education</w:t>
      </w:r>
      <w:r>
        <w:rPr>
          <w:rFonts w:ascii="Calibri" w:eastAsia="Calibri" w:hAnsi="Calibri" w:cs="Calibri"/>
        </w:rPr>
        <w:t>.</w:t>
      </w:r>
      <w:r w:rsidRPr="00306207">
        <w:rPr>
          <w:rFonts w:ascii="Calibri" w:eastAsia="Calibri" w:hAnsi="Calibri" w:cs="Calibri"/>
          <w:vertAlign w:val="superscript"/>
        </w:rPr>
        <w:footnoteReference w:id="149"/>
      </w:r>
      <w:r w:rsidRPr="00306207">
        <w:rPr>
          <w:rFonts w:ascii="Calibri" w:eastAsia="Calibri" w:hAnsi="Calibri" w:cs="Calibri"/>
        </w:rPr>
        <w:t xml:space="preserve"> Occupational aspirations are formed anywhere throughout compulsory schooling</w:t>
      </w:r>
      <w:r>
        <w:rPr>
          <w:rFonts w:ascii="Calibri" w:eastAsia="Calibri" w:hAnsi="Calibri" w:cs="Calibri"/>
        </w:rPr>
        <w:t>,</w:t>
      </w:r>
      <w:r w:rsidRPr="00306207">
        <w:rPr>
          <w:rFonts w:ascii="Calibri" w:eastAsia="Calibri" w:hAnsi="Calibri" w:cs="Calibri"/>
          <w:vertAlign w:val="superscript"/>
        </w:rPr>
        <w:footnoteReference w:id="150"/>
      </w:r>
      <w:r w:rsidRPr="00306207">
        <w:rPr>
          <w:rFonts w:ascii="Calibri" w:eastAsia="Calibri" w:hAnsi="Calibri" w:cs="Calibri"/>
        </w:rPr>
        <w:t xml:space="preserve"> with primary school-aged students already considering their preferred occupations </w:t>
      </w:r>
      <w:r w:rsidR="00731032">
        <w:rPr>
          <w:rFonts w:ascii="Calibri" w:eastAsia="Calibri" w:hAnsi="Calibri" w:cs="Calibri"/>
        </w:rPr>
        <w:t>and educational pathways</w:t>
      </w:r>
      <w:r>
        <w:rPr>
          <w:rFonts w:ascii="Calibri" w:eastAsia="Calibri" w:hAnsi="Calibri" w:cs="Calibri"/>
        </w:rPr>
        <w:t>.</w:t>
      </w:r>
      <w:r w:rsidRPr="00306207">
        <w:rPr>
          <w:rFonts w:ascii="Calibri" w:eastAsia="Calibri" w:hAnsi="Calibri" w:cs="Calibri"/>
          <w:vertAlign w:val="superscript"/>
        </w:rPr>
        <w:footnoteReference w:id="151"/>
      </w:r>
      <w:r w:rsidRPr="00306207">
        <w:rPr>
          <w:rFonts w:ascii="Calibri" w:eastAsia="Calibri" w:hAnsi="Calibri" w:cs="Calibri"/>
        </w:rPr>
        <w:t xml:space="preserve"> The suite of occupational choices a student considers </w:t>
      </w:r>
      <w:r w:rsidRPr="00306207">
        <w:rPr>
          <w:rFonts w:ascii="Calibri" w:eastAsia="Calibri" w:hAnsi="Calibri" w:cs="Calibri"/>
          <w:noProof/>
        </w:rPr>
        <w:t>is</w:t>
      </w:r>
      <w:r w:rsidRPr="00306207">
        <w:rPr>
          <w:rFonts w:ascii="Calibri" w:eastAsia="Calibri" w:hAnsi="Calibri" w:cs="Calibri"/>
        </w:rPr>
        <w:t xml:space="preserve"> influenced by factors such as personal interests, academic performance, </w:t>
      </w:r>
      <w:r>
        <w:rPr>
          <w:rFonts w:ascii="Calibri" w:eastAsia="Calibri" w:hAnsi="Calibri" w:cs="Calibri"/>
        </w:rPr>
        <w:t>SES</w:t>
      </w:r>
      <w:r w:rsidRPr="00306207">
        <w:rPr>
          <w:rFonts w:ascii="Calibri" w:eastAsia="Calibri" w:hAnsi="Calibri" w:cs="Calibri"/>
        </w:rPr>
        <w:t xml:space="preserve">, the </w:t>
      </w:r>
      <w:r w:rsidRPr="00306207">
        <w:rPr>
          <w:rFonts w:ascii="Calibri" w:eastAsia="Calibri" w:hAnsi="Calibri" w:cs="Calibri"/>
          <w:noProof/>
        </w:rPr>
        <w:t>influence</w:t>
      </w:r>
      <w:r w:rsidRPr="00306207">
        <w:rPr>
          <w:rFonts w:ascii="Calibri" w:eastAsia="Calibri" w:hAnsi="Calibri" w:cs="Calibri"/>
        </w:rPr>
        <w:t xml:space="preserve"> of significant others including parents, </w:t>
      </w:r>
      <w:r>
        <w:rPr>
          <w:rFonts w:ascii="Calibri" w:eastAsia="Calibri" w:hAnsi="Calibri" w:cs="Calibri"/>
        </w:rPr>
        <w:t xml:space="preserve">and </w:t>
      </w:r>
      <w:r w:rsidRPr="00306207">
        <w:rPr>
          <w:rFonts w:ascii="Calibri" w:eastAsia="Calibri" w:hAnsi="Calibri" w:cs="Calibri"/>
        </w:rPr>
        <w:t>attitudes towards school and employment prospects in their local area</w:t>
      </w:r>
      <w:r>
        <w:rPr>
          <w:rFonts w:ascii="Calibri" w:eastAsia="Calibri" w:hAnsi="Calibri" w:cs="Calibri"/>
        </w:rPr>
        <w:t>.</w:t>
      </w:r>
      <w:r w:rsidRPr="00306207">
        <w:rPr>
          <w:rFonts w:ascii="Calibri" w:eastAsia="Calibri" w:hAnsi="Calibri" w:cs="Calibri"/>
          <w:vertAlign w:val="superscript"/>
        </w:rPr>
        <w:footnoteReference w:id="152"/>
      </w:r>
    </w:p>
    <w:p w14:paraId="643A0425" w14:textId="77777777" w:rsidR="00566137" w:rsidRPr="00306207" w:rsidRDefault="00566137" w:rsidP="00566137">
      <w:pPr>
        <w:rPr>
          <w:rFonts w:ascii="Calibri" w:eastAsia="Calibri" w:hAnsi="Calibri" w:cs="Calibri"/>
        </w:rPr>
      </w:pPr>
      <w:r w:rsidRPr="00306207">
        <w:rPr>
          <w:rFonts w:ascii="Calibri" w:eastAsia="Calibri" w:hAnsi="Calibri" w:cs="Calibri"/>
        </w:rPr>
        <w:t xml:space="preserve">There </w:t>
      </w:r>
      <w:r>
        <w:rPr>
          <w:rFonts w:ascii="Calibri" w:eastAsia="Calibri" w:hAnsi="Calibri" w:cs="Calibri"/>
        </w:rPr>
        <w:t xml:space="preserve">is an overwhelming number of </w:t>
      </w:r>
      <w:r w:rsidRPr="00306207">
        <w:rPr>
          <w:rFonts w:ascii="Calibri" w:eastAsia="Calibri" w:hAnsi="Calibri" w:cs="Calibri"/>
        </w:rPr>
        <w:t>occupations to choose from</w:t>
      </w:r>
      <w:r w:rsidRPr="00306207">
        <w:rPr>
          <w:rFonts w:ascii="Calibri" w:eastAsia="Calibri" w:hAnsi="Calibri" w:cs="Calibri"/>
          <w:noProof/>
        </w:rPr>
        <w:t>. However,</w:t>
      </w:r>
      <w:r w:rsidRPr="00306207">
        <w:rPr>
          <w:rFonts w:ascii="Calibri" w:eastAsia="Calibri" w:hAnsi="Calibri" w:cs="Calibri"/>
        </w:rPr>
        <w:t xml:space="preserve"> not all students are aware of all the possibilities or the pathways to various careers</w:t>
      </w:r>
      <w:r>
        <w:rPr>
          <w:rFonts w:ascii="Calibri" w:eastAsia="Calibri" w:hAnsi="Calibri" w:cs="Calibri"/>
        </w:rPr>
        <w:t>.</w:t>
      </w:r>
      <w:r w:rsidRPr="00306207">
        <w:rPr>
          <w:rFonts w:ascii="Calibri" w:eastAsia="Calibri" w:hAnsi="Calibri" w:cs="Calibri"/>
          <w:vertAlign w:val="superscript"/>
        </w:rPr>
        <w:footnoteReference w:id="153"/>
      </w:r>
      <w:r w:rsidRPr="00306207">
        <w:rPr>
          <w:rFonts w:ascii="Calibri" w:eastAsia="Calibri" w:hAnsi="Calibri" w:cs="Calibri"/>
        </w:rPr>
        <w:t xml:space="preserve"> Career advice helps build greater awareness of job possibilities and is most helpful when people first develop a sense of their interests, abilities and occupations they might like to do and </w:t>
      </w:r>
      <w:r>
        <w:rPr>
          <w:rFonts w:ascii="Calibri" w:eastAsia="Calibri" w:hAnsi="Calibri" w:cs="Calibri"/>
        </w:rPr>
        <w:t xml:space="preserve">can then </w:t>
      </w:r>
      <w:r w:rsidRPr="00306207">
        <w:rPr>
          <w:rFonts w:ascii="Calibri" w:eastAsia="Calibri" w:hAnsi="Calibri" w:cs="Calibri"/>
        </w:rPr>
        <w:t>begin to explore what those jobs might be like</w:t>
      </w:r>
      <w:r>
        <w:rPr>
          <w:rFonts w:ascii="Calibri" w:eastAsia="Calibri" w:hAnsi="Calibri" w:cs="Calibri"/>
        </w:rPr>
        <w:t>.</w:t>
      </w:r>
      <w:r w:rsidRPr="00306207">
        <w:rPr>
          <w:rFonts w:ascii="Calibri" w:eastAsia="Calibri" w:hAnsi="Calibri" w:cs="Calibri"/>
          <w:vertAlign w:val="superscript"/>
        </w:rPr>
        <w:footnoteReference w:id="154"/>
      </w:r>
      <w:r w:rsidRPr="00306207">
        <w:rPr>
          <w:rFonts w:ascii="Calibri" w:eastAsia="Calibri" w:hAnsi="Calibri" w:cs="Calibri"/>
        </w:rPr>
        <w:t xml:space="preserve"> It is during this time that </w:t>
      </w:r>
      <w:r>
        <w:rPr>
          <w:rFonts w:ascii="Calibri" w:eastAsia="Calibri" w:hAnsi="Calibri" w:cs="Calibri"/>
        </w:rPr>
        <w:t xml:space="preserve">students make </w:t>
      </w:r>
      <w:r w:rsidRPr="00306207">
        <w:rPr>
          <w:rFonts w:ascii="Calibri" w:eastAsia="Calibri" w:hAnsi="Calibri" w:cs="Calibri"/>
        </w:rPr>
        <w:t>judgements about whether a job is realistic, acceptable to others (such as their parents) and accessible</w:t>
      </w:r>
      <w:r>
        <w:rPr>
          <w:rFonts w:ascii="Calibri" w:eastAsia="Calibri" w:hAnsi="Calibri" w:cs="Calibri"/>
        </w:rPr>
        <w:t>.</w:t>
      </w:r>
      <w:r w:rsidRPr="00306207">
        <w:rPr>
          <w:rFonts w:ascii="Calibri" w:eastAsia="Calibri" w:hAnsi="Calibri" w:cs="Calibri"/>
          <w:vertAlign w:val="superscript"/>
        </w:rPr>
        <w:footnoteReference w:id="155"/>
      </w:r>
      <w:r w:rsidRPr="00306207">
        <w:rPr>
          <w:rFonts w:ascii="Calibri" w:eastAsia="Calibri" w:hAnsi="Calibri" w:cs="Calibri"/>
        </w:rPr>
        <w:t xml:space="preserve"> People ultimately come up with a list of acceptable and accessible job options</w:t>
      </w:r>
      <w:r>
        <w:rPr>
          <w:rFonts w:ascii="Calibri" w:eastAsia="Calibri" w:hAnsi="Calibri" w:cs="Calibri"/>
        </w:rPr>
        <w:t>.</w:t>
      </w:r>
      <w:r w:rsidRPr="00306207">
        <w:rPr>
          <w:rFonts w:ascii="Calibri" w:eastAsia="Calibri" w:hAnsi="Calibri" w:cs="Calibri"/>
          <w:vertAlign w:val="superscript"/>
        </w:rPr>
        <w:footnoteReference w:id="156"/>
      </w:r>
      <w:r w:rsidRPr="00306207">
        <w:rPr>
          <w:rFonts w:ascii="Calibri" w:eastAsia="Calibri" w:hAnsi="Calibri" w:cs="Calibri"/>
          <w:i/>
        </w:rPr>
        <w:t xml:space="preserve"> </w:t>
      </w:r>
      <w:r w:rsidRPr="00306207">
        <w:rPr>
          <w:rFonts w:ascii="Calibri" w:eastAsia="Calibri" w:hAnsi="Calibri" w:cs="Calibri"/>
        </w:rPr>
        <w:t xml:space="preserve">This list then influences the decision </w:t>
      </w:r>
      <w:r>
        <w:rPr>
          <w:rFonts w:ascii="Calibri" w:eastAsia="Calibri" w:hAnsi="Calibri" w:cs="Calibri"/>
        </w:rPr>
        <w:t xml:space="preserve">on whether or not </w:t>
      </w:r>
      <w:r w:rsidRPr="00306207">
        <w:rPr>
          <w:rFonts w:ascii="Calibri" w:eastAsia="Calibri" w:hAnsi="Calibri" w:cs="Calibri"/>
        </w:rPr>
        <w:t>to go to tertiary education. Overall, awareness of job possibilities underpins people’s ‘job list’, and this influences their aspirations for tertiary education.</w:t>
      </w:r>
    </w:p>
    <w:p w14:paraId="20BDE100" w14:textId="57352B7A" w:rsidR="00566137" w:rsidRPr="00306207" w:rsidRDefault="00566137" w:rsidP="00566137">
      <w:pPr>
        <w:rPr>
          <w:rFonts w:ascii="Calibri" w:eastAsia="Calibri" w:hAnsi="Calibri" w:cs="Calibri"/>
        </w:rPr>
      </w:pPr>
      <w:r w:rsidRPr="00306207">
        <w:rPr>
          <w:rFonts w:ascii="Calibri" w:eastAsia="Calibri" w:hAnsi="Calibri" w:cs="Calibri"/>
        </w:rPr>
        <w:lastRenderedPageBreak/>
        <w:t xml:space="preserve">The link between occupational aspirations </w:t>
      </w:r>
      <w:r>
        <w:rPr>
          <w:rFonts w:ascii="Calibri" w:eastAsia="Calibri" w:hAnsi="Calibri" w:cs="Calibri"/>
        </w:rPr>
        <w:t xml:space="preserve">and tertiary education </w:t>
      </w:r>
      <w:r w:rsidRPr="00306207">
        <w:rPr>
          <w:rFonts w:ascii="Calibri" w:eastAsia="Calibri" w:hAnsi="Calibri" w:cs="Calibri"/>
        </w:rPr>
        <w:t>participation and completion is not straightforward. Identified in the literature by Zacharias et al. (2018)</w:t>
      </w:r>
      <w:r>
        <w:rPr>
          <w:rFonts w:ascii="Calibri" w:eastAsia="Calibri" w:hAnsi="Calibri" w:cs="Calibri"/>
        </w:rPr>
        <w:t>,</w:t>
      </w:r>
      <w:r w:rsidRPr="00306207">
        <w:rPr>
          <w:rStyle w:val="FootnoteReference"/>
          <w:rFonts w:ascii="Calibri" w:eastAsia="Calibri" w:hAnsi="Calibri" w:cs="Calibri"/>
        </w:rPr>
        <w:footnoteReference w:id="157"/>
      </w:r>
      <w:r w:rsidRPr="00306207">
        <w:rPr>
          <w:rFonts w:ascii="Calibri" w:eastAsia="Calibri" w:hAnsi="Calibri" w:cs="Calibri"/>
        </w:rPr>
        <w:t xml:space="preserve"> there is evidence that irrespective of SES, young people have high aspirations but there appears to be an inability for RRR or low SES students to sustain and act on these high aspirations over time. </w:t>
      </w:r>
      <w:r w:rsidR="00731032">
        <w:rPr>
          <w:rFonts w:ascii="Calibri" w:eastAsia="Calibri" w:hAnsi="Calibri" w:cs="Calibri"/>
        </w:rPr>
        <w:t>Therefore</w:t>
      </w:r>
      <w:r w:rsidRPr="00306207">
        <w:rPr>
          <w:rFonts w:ascii="Calibri" w:eastAsia="Calibri" w:hAnsi="Calibri" w:cs="Calibri"/>
        </w:rPr>
        <w:t xml:space="preserve">, it is critical that WP efforts occur on multiple occasions in schooling to help </w:t>
      </w:r>
      <w:r w:rsidR="00731032">
        <w:rPr>
          <w:rFonts w:ascii="Calibri" w:eastAsia="Calibri" w:hAnsi="Calibri" w:cs="Calibri"/>
        </w:rPr>
        <w:t>sustain and convert aspiration</w:t>
      </w:r>
      <w:r w:rsidRPr="00306207">
        <w:rPr>
          <w:rFonts w:ascii="Calibri" w:eastAsia="Calibri" w:hAnsi="Calibri" w:cs="Calibri"/>
        </w:rPr>
        <w:t xml:space="preserve"> into ambitions (</w:t>
      </w:r>
      <w:r>
        <w:rPr>
          <w:rFonts w:ascii="Calibri" w:eastAsia="Calibri" w:hAnsi="Calibri" w:cs="Calibri"/>
        </w:rPr>
        <w:t xml:space="preserve">a </w:t>
      </w:r>
      <w:r w:rsidRPr="00306207">
        <w:rPr>
          <w:rFonts w:ascii="Calibri" w:eastAsia="Calibri" w:hAnsi="Calibri" w:cs="Calibri"/>
        </w:rPr>
        <w:t>desired professional identity)</w:t>
      </w:r>
      <w:r w:rsidRPr="00306207">
        <w:rPr>
          <w:rStyle w:val="FootnoteReference"/>
          <w:rFonts w:ascii="Calibri" w:eastAsia="Calibri" w:hAnsi="Calibri" w:cs="Calibri"/>
        </w:rPr>
        <w:footnoteReference w:id="158"/>
      </w:r>
      <w:r w:rsidRPr="00306207">
        <w:rPr>
          <w:rFonts w:ascii="Calibri" w:eastAsia="Calibri" w:hAnsi="Calibri" w:cs="Calibri"/>
        </w:rPr>
        <w:t xml:space="preserve"> and actions (</w:t>
      </w:r>
      <w:r w:rsidR="00F95788">
        <w:rPr>
          <w:rFonts w:ascii="Calibri" w:eastAsia="Calibri" w:hAnsi="Calibri" w:cs="Calibri"/>
        </w:rPr>
        <w:t xml:space="preserve">e.g. </w:t>
      </w:r>
      <w:r w:rsidRPr="00306207">
        <w:rPr>
          <w:rFonts w:ascii="Calibri" w:eastAsia="Calibri" w:hAnsi="Calibri" w:cs="Calibri"/>
        </w:rPr>
        <w:t>tertiary participation, WIL).</w:t>
      </w:r>
    </w:p>
    <w:p w14:paraId="2F6D8382" w14:textId="77777777" w:rsidR="00566137" w:rsidRPr="00306207" w:rsidRDefault="00566137" w:rsidP="00731032">
      <w:pPr>
        <w:shd w:val="clear" w:color="auto" w:fill="E2E6E4"/>
        <w:spacing w:after="0"/>
        <w:jc w:val="both"/>
        <w:rPr>
          <w:rFonts w:ascii="Calibri" w:eastAsia="Calibri" w:hAnsi="Calibri" w:cs="Calibri"/>
          <w:b/>
        </w:rPr>
      </w:pPr>
      <w:r w:rsidRPr="00306207">
        <w:rPr>
          <w:rFonts w:ascii="Calibri" w:eastAsia="Calibri" w:hAnsi="Calibri" w:cs="Calibri"/>
          <w:b/>
        </w:rPr>
        <w:t xml:space="preserve">In </w:t>
      </w:r>
      <w:r w:rsidRPr="00306207">
        <w:rPr>
          <w:rFonts w:ascii="Calibri" w:eastAsia="Calibri" w:hAnsi="Calibri" w:cs="Calibri"/>
          <w:b/>
          <w:noProof/>
        </w:rPr>
        <w:t>summary,</w:t>
      </w:r>
      <w:r w:rsidRPr="00306207">
        <w:rPr>
          <w:rFonts w:ascii="Calibri" w:eastAsia="Calibri" w:hAnsi="Calibri" w:cs="Calibri"/>
          <w:b/>
        </w:rPr>
        <w:t xml:space="preserve"> the literature suggests:</w:t>
      </w:r>
    </w:p>
    <w:p w14:paraId="175AE925" w14:textId="77777777" w:rsidR="00566137" w:rsidRPr="00306207" w:rsidRDefault="00566137" w:rsidP="0073103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rPr>
        <w:t>early or initial occupational aspirations are formed during schooling.</w:t>
      </w:r>
    </w:p>
    <w:p w14:paraId="15AEFEE5" w14:textId="77777777" w:rsidR="00566137" w:rsidRPr="00306207" w:rsidRDefault="00566137" w:rsidP="0073103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rPr>
        <w:t>greater awareness of job possibilities can change aspirations and increase tertiary education aspirations.</w:t>
      </w:r>
    </w:p>
    <w:p w14:paraId="7575517C" w14:textId="77777777" w:rsidR="00566137" w:rsidRPr="00306207" w:rsidRDefault="00566137" w:rsidP="0073103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rPr>
        <w:t>efforts are needed to help RRR students maintain high aspirations and convert these to an expectation that they will go on to tertiary education and succeed.</w:t>
      </w:r>
    </w:p>
    <w:p w14:paraId="30C3E807" w14:textId="77777777" w:rsidR="00566137" w:rsidRPr="00306207" w:rsidRDefault="00566137" w:rsidP="00726804">
      <w:pPr>
        <w:pStyle w:val="Heading2"/>
        <w:rPr>
          <w:rFonts w:eastAsia="DengXian Light"/>
        </w:rPr>
      </w:pPr>
      <w:bookmarkStart w:id="76" w:name="_Toc11861006"/>
      <w:bookmarkStart w:id="77" w:name="_Toc13224813"/>
      <w:r w:rsidRPr="00306207">
        <w:rPr>
          <w:rFonts w:eastAsia="DengXian Light"/>
        </w:rPr>
        <w:t>3.0 Tertiary education enablers and barriers</w:t>
      </w:r>
      <w:bookmarkEnd w:id="76"/>
      <w:bookmarkEnd w:id="77"/>
      <w:r w:rsidRPr="00306207">
        <w:rPr>
          <w:rFonts w:eastAsia="DengXian Light"/>
        </w:rPr>
        <w:t xml:space="preserve"> </w:t>
      </w:r>
    </w:p>
    <w:p w14:paraId="66A91042" w14:textId="77777777" w:rsidR="00566137" w:rsidRPr="00306207" w:rsidRDefault="00566137" w:rsidP="00566137">
      <w:r w:rsidRPr="00306207">
        <w:t>Disparities in the educational attainment of RRR students relative to their metropolitan counterparts can be linked to several factors. Understanding both the enablers that drive the pursuit of tertiary education as well as the barriers that inhibit participation assists in being able to consider and identify options</w:t>
      </w:r>
      <w:r>
        <w:t xml:space="preserve"> for improving participation</w:t>
      </w:r>
      <w:r w:rsidRPr="00306207">
        <w:t>.</w:t>
      </w:r>
    </w:p>
    <w:p w14:paraId="7EE1AB42" w14:textId="77777777" w:rsidR="00566137" w:rsidRPr="00306207" w:rsidRDefault="00566137" w:rsidP="00566137">
      <w:pPr>
        <w:spacing w:after="0"/>
        <w:rPr>
          <w:rFonts w:ascii="Calibri" w:eastAsia="Calibri" w:hAnsi="Calibri" w:cs="Calibri"/>
        </w:rPr>
      </w:pPr>
      <w:r>
        <w:rPr>
          <w:rFonts w:ascii="Calibri" w:eastAsia="Calibri" w:hAnsi="Calibri" w:cs="Calibri"/>
        </w:rPr>
        <w:t>E</w:t>
      </w:r>
      <w:r w:rsidRPr="00306207">
        <w:rPr>
          <w:rFonts w:ascii="Calibri" w:eastAsia="Calibri" w:hAnsi="Calibri" w:cs="Calibri"/>
        </w:rPr>
        <w:t>nablers that drive the pursuit of tertiary study by RRR students include</w:t>
      </w:r>
      <w:r>
        <w:rPr>
          <w:rFonts w:ascii="Calibri" w:eastAsia="Calibri" w:hAnsi="Calibri" w:cs="Calibri"/>
        </w:rPr>
        <w:t>:</w:t>
      </w:r>
      <w:r w:rsidRPr="00306207">
        <w:rPr>
          <w:rFonts w:ascii="Calibri" w:eastAsia="Calibri" w:hAnsi="Calibri" w:cs="Calibri"/>
          <w:vertAlign w:val="superscript"/>
        </w:rPr>
        <w:footnoteReference w:id="159"/>
      </w:r>
    </w:p>
    <w:p w14:paraId="327409C6" w14:textId="77777777" w:rsidR="00566137" w:rsidRPr="00306207" w:rsidRDefault="00566137" w:rsidP="00041655">
      <w:pPr>
        <w:numPr>
          <w:ilvl w:val="0"/>
          <w:numId w:val="8"/>
        </w:numPr>
        <w:spacing w:after="0"/>
        <w:contextualSpacing/>
        <w:rPr>
          <w:rFonts w:ascii="Calibri" w:eastAsia="Calibri" w:hAnsi="Calibri" w:cs="Calibri"/>
          <w:b/>
        </w:rPr>
      </w:pPr>
      <w:r w:rsidRPr="00306207">
        <w:rPr>
          <w:rFonts w:ascii="Calibri" w:eastAsia="Calibri" w:hAnsi="Calibri" w:cs="Calibri"/>
          <w:b/>
        </w:rPr>
        <w:t>Exposure to career possibilities and quality career advice</w:t>
      </w:r>
      <w:r w:rsidRPr="002145EE">
        <w:rPr>
          <w:rFonts w:ascii="Calibri" w:eastAsia="Calibri" w:hAnsi="Calibri" w:cs="Calibri"/>
        </w:rPr>
        <w:t xml:space="preserve"> so the student is </w:t>
      </w:r>
      <w:r w:rsidRPr="00306207">
        <w:rPr>
          <w:rFonts w:ascii="Calibri" w:eastAsia="Calibri" w:hAnsi="Calibri" w:cs="Calibri"/>
        </w:rPr>
        <w:t>aware of several types of careers that may fit with their interests and passions.</w:t>
      </w:r>
    </w:p>
    <w:p w14:paraId="28A7C214" w14:textId="77777777" w:rsidR="00566137" w:rsidRPr="00306207" w:rsidRDefault="00566137" w:rsidP="00041655">
      <w:pPr>
        <w:numPr>
          <w:ilvl w:val="0"/>
          <w:numId w:val="8"/>
        </w:numPr>
        <w:spacing w:after="0"/>
        <w:contextualSpacing/>
        <w:rPr>
          <w:rFonts w:ascii="Calibri" w:eastAsia="Calibri" w:hAnsi="Calibri" w:cs="Calibri"/>
        </w:rPr>
      </w:pPr>
      <w:r w:rsidRPr="00306207">
        <w:rPr>
          <w:rFonts w:ascii="Calibri" w:eastAsia="Calibri" w:hAnsi="Calibri" w:cs="Calibri"/>
          <w:b/>
        </w:rPr>
        <w:t xml:space="preserve">Exposure to tertiary education </w:t>
      </w:r>
      <w:r w:rsidRPr="00306207">
        <w:rPr>
          <w:rFonts w:ascii="Calibri" w:eastAsia="Calibri" w:hAnsi="Calibri" w:cs="Calibri"/>
        </w:rPr>
        <w:t>including what it is, its relationship to employment</w:t>
      </w:r>
      <w:r>
        <w:rPr>
          <w:rFonts w:ascii="Calibri" w:eastAsia="Calibri" w:hAnsi="Calibri" w:cs="Calibri"/>
        </w:rPr>
        <w:t>,</w:t>
      </w:r>
      <w:r w:rsidRPr="00306207">
        <w:rPr>
          <w:rFonts w:ascii="Calibri" w:eastAsia="Calibri" w:hAnsi="Calibri" w:cs="Calibri"/>
        </w:rPr>
        <w:t xml:space="preserve"> and the immediate and long-term benefits</w:t>
      </w:r>
      <w:r>
        <w:rPr>
          <w:rFonts w:ascii="Calibri" w:eastAsia="Calibri" w:hAnsi="Calibri" w:cs="Calibri"/>
        </w:rPr>
        <w:t>,</w:t>
      </w:r>
      <w:r w:rsidRPr="00306207">
        <w:rPr>
          <w:rFonts w:ascii="Calibri" w:eastAsia="Calibri" w:hAnsi="Calibri" w:cs="Calibri"/>
        </w:rPr>
        <w:t xml:space="preserve"> such as access to a wide range of professions and higher incomes over a working life.</w:t>
      </w:r>
    </w:p>
    <w:p w14:paraId="46CD483D" w14:textId="1F81AF50" w:rsidR="00566137" w:rsidRPr="00306207" w:rsidRDefault="00566137" w:rsidP="00041655">
      <w:pPr>
        <w:numPr>
          <w:ilvl w:val="0"/>
          <w:numId w:val="8"/>
        </w:numPr>
        <w:spacing w:after="0"/>
        <w:contextualSpacing/>
        <w:rPr>
          <w:rFonts w:ascii="Calibri" w:eastAsia="Calibri" w:hAnsi="Calibri" w:cs="Calibri"/>
        </w:rPr>
      </w:pPr>
      <w:r w:rsidRPr="00306207">
        <w:rPr>
          <w:rFonts w:ascii="Calibri" w:eastAsia="Calibri" w:hAnsi="Calibri" w:cs="Calibri"/>
          <w:b/>
        </w:rPr>
        <w:t xml:space="preserve">Awareness of tertiary education choices </w:t>
      </w:r>
      <w:r w:rsidRPr="00306207">
        <w:rPr>
          <w:rFonts w:ascii="Calibri" w:eastAsia="Calibri" w:hAnsi="Calibri" w:cs="Calibri"/>
        </w:rPr>
        <w:t xml:space="preserve">such as the qualifications needed, course options, entry requirements, alternative entry pathways, </w:t>
      </w:r>
      <w:r>
        <w:rPr>
          <w:rFonts w:ascii="Calibri" w:eastAsia="Calibri" w:hAnsi="Calibri" w:cs="Calibri"/>
        </w:rPr>
        <w:t xml:space="preserve">and </w:t>
      </w:r>
      <w:r w:rsidRPr="00306207">
        <w:rPr>
          <w:rFonts w:ascii="Calibri" w:eastAsia="Calibri" w:hAnsi="Calibri" w:cs="Calibri"/>
        </w:rPr>
        <w:t xml:space="preserve">modes of study available (e.g. part-time/full-time; </w:t>
      </w:r>
      <w:r w:rsidR="00043ED1">
        <w:rPr>
          <w:rFonts w:ascii="Calibri" w:eastAsia="Calibri" w:hAnsi="Calibri" w:cs="Calibri"/>
        </w:rPr>
        <w:t>external</w:t>
      </w:r>
      <w:r w:rsidRPr="00306207">
        <w:rPr>
          <w:rFonts w:ascii="Calibri" w:eastAsia="Calibri" w:hAnsi="Calibri" w:cs="Calibri"/>
        </w:rPr>
        <w:t>/face-to-face).</w:t>
      </w:r>
    </w:p>
    <w:p w14:paraId="4C59373B" w14:textId="77777777" w:rsidR="00566137" w:rsidRPr="00306207" w:rsidRDefault="00566137" w:rsidP="00041655">
      <w:pPr>
        <w:numPr>
          <w:ilvl w:val="0"/>
          <w:numId w:val="8"/>
        </w:numPr>
        <w:spacing w:after="0"/>
        <w:contextualSpacing/>
        <w:rPr>
          <w:rFonts w:ascii="Calibri" w:eastAsia="Calibri" w:hAnsi="Calibri" w:cs="Calibri"/>
        </w:rPr>
      </w:pPr>
      <w:r w:rsidRPr="00306207">
        <w:rPr>
          <w:rFonts w:ascii="Calibri" w:eastAsia="Calibri" w:hAnsi="Calibri" w:cs="Calibri"/>
          <w:b/>
        </w:rPr>
        <w:t xml:space="preserve">Career clarity </w:t>
      </w:r>
      <w:r w:rsidRPr="00306207">
        <w:rPr>
          <w:rFonts w:ascii="Calibri" w:eastAsia="Calibri" w:hAnsi="Calibri" w:cs="Calibri"/>
        </w:rPr>
        <w:t>including having firm views of their preferred occupation/s, likely employment prospects and understanding of the essential or desirable educational qualifications for their preferred occupation/s.</w:t>
      </w:r>
    </w:p>
    <w:p w14:paraId="15A8C1EE" w14:textId="77777777" w:rsidR="00566137" w:rsidRPr="00306207" w:rsidRDefault="00566137" w:rsidP="00041655">
      <w:pPr>
        <w:numPr>
          <w:ilvl w:val="0"/>
          <w:numId w:val="8"/>
        </w:numPr>
        <w:spacing w:after="0"/>
        <w:contextualSpacing/>
        <w:rPr>
          <w:rFonts w:ascii="Calibri" w:eastAsia="Calibri" w:hAnsi="Calibri" w:cs="Calibri"/>
        </w:rPr>
      </w:pPr>
      <w:r w:rsidRPr="00306207">
        <w:rPr>
          <w:rFonts w:ascii="Calibri" w:eastAsia="Calibri" w:hAnsi="Calibri" w:cs="Calibri"/>
          <w:b/>
        </w:rPr>
        <w:t xml:space="preserve">Upskilling and reskilling </w:t>
      </w:r>
      <w:r w:rsidRPr="00306207">
        <w:rPr>
          <w:rFonts w:ascii="Calibri" w:eastAsia="Calibri" w:hAnsi="Calibri" w:cs="Calibri"/>
        </w:rPr>
        <w:t>as part of a career transition for adult RRR students and lifelong learning.</w:t>
      </w:r>
    </w:p>
    <w:p w14:paraId="062485BB" w14:textId="77777777" w:rsidR="00566137" w:rsidRPr="00306207" w:rsidRDefault="00566137" w:rsidP="00041655">
      <w:pPr>
        <w:numPr>
          <w:ilvl w:val="0"/>
          <w:numId w:val="8"/>
        </w:numPr>
        <w:spacing w:after="0"/>
        <w:contextualSpacing/>
        <w:rPr>
          <w:rFonts w:ascii="Calibri" w:eastAsia="Calibri" w:hAnsi="Calibri" w:cs="Calibri"/>
        </w:rPr>
      </w:pPr>
      <w:r w:rsidRPr="00306207">
        <w:rPr>
          <w:rFonts w:ascii="Calibri" w:eastAsia="Calibri" w:hAnsi="Calibri" w:cs="Calibri"/>
          <w:b/>
          <w:noProof/>
        </w:rPr>
        <w:t>Encouragement by significant others</w:t>
      </w:r>
      <w:r w:rsidRPr="00306207">
        <w:rPr>
          <w:rFonts w:ascii="Calibri" w:eastAsia="Calibri" w:hAnsi="Calibri" w:cs="Calibri"/>
          <w:noProof/>
        </w:rPr>
        <w:t xml:space="preserve"> including parents, teachers and other community members, particularly in instances where students are achieving high academic grades.</w:t>
      </w:r>
    </w:p>
    <w:p w14:paraId="422B083D" w14:textId="77777777" w:rsidR="00566137" w:rsidRPr="00306207" w:rsidRDefault="00566137" w:rsidP="00041655">
      <w:pPr>
        <w:numPr>
          <w:ilvl w:val="0"/>
          <w:numId w:val="8"/>
        </w:numPr>
        <w:spacing w:after="0"/>
        <w:contextualSpacing/>
        <w:rPr>
          <w:rFonts w:ascii="Calibri" w:eastAsia="Calibri" w:hAnsi="Calibri" w:cs="Calibri"/>
        </w:rPr>
      </w:pPr>
      <w:r w:rsidRPr="00306207">
        <w:rPr>
          <w:rFonts w:ascii="Calibri" w:eastAsia="Calibri" w:hAnsi="Calibri" w:cs="Calibri"/>
          <w:b/>
        </w:rPr>
        <w:t xml:space="preserve">Personal beliefs </w:t>
      </w:r>
      <w:r w:rsidRPr="00306207">
        <w:rPr>
          <w:rFonts w:ascii="Calibri" w:eastAsia="Calibri" w:hAnsi="Calibri" w:cs="Calibri"/>
        </w:rPr>
        <w:t>such as the belief that they can choose or determine their own occupation freely; or perceive that they can relocate or are not restricted in terms of where they choose to live.</w:t>
      </w:r>
    </w:p>
    <w:p w14:paraId="07E7D392" w14:textId="77777777" w:rsidR="00566137" w:rsidRPr="00306207" w:rsidRDefault="00566137" w:rsidP="00041655">
      <w:pPr>
        <w:numPr>
          <w:ilvl w:val="0"/>
          <w:numId w:val="8"/>
        </w:numPr>
        <w:spacing w:after="0"/>
        <w:contextualSpacing/>
        <w:rPr>
          <w:rFonts w:ascii="Calibri" w:eastAsia="Calibri" w:hAnsi="Calibri" w:cs="Calibri"/>
          <w:b/>
        </w:rPr>
      </w:pPr>
      <w:r w:rsidRPr="00306207">
        <w:rPr>
          <w:rFonts w:ascii="Calibri" w:eastAsia="Calibri" w:hAnsi="Calibri" w:cs="Calibri"/>
          <w:b/>
        </w:rPr>
        <w:lastRenderedPageBreak/>
        <w:t xml:space="preserve">Personal motivations </w:t>
      </w:r>
      <w:r w:rsidRPr="00306207">
        <w:rPr>
          <w:rFonts w:ascii="Calibri" w:eastAsia="Calibri" w:hAnsi="Calibri" w:cs="Calibri"/>
        </w:rPr>
        <w:t>including to have a better life, to follow their dreams, to prove to themselves that they are capable, to be a good role model to the next generation, to learn knowledge and skills and use these to help others in their community.</w:t>
      </w:r>
    </w:p>
    <w:p w14:paraId="63AC3F7C" w14:textId="77777777" w:rsidR="00566137" w:rsidRPr="00306207" w:rsidRDefault="00566137" w:rsidP="00566137">
      <w:pPr>
        <w:spacing w:after="0"/>
        <w:rPr>
          <w:rFonts w:ascii="Calibri" w:eastAsia="Calibri" w:hAnsi="Calibri" w:cs="Calibri"/>
        </w:rPr>
      </w:pPr>
    </w:p>
    <w:p w14:paraId="620C61C5" w14:textId="77777777" w:rsidR="00566137" w:rsidRDefault="00566137" w:rsidP="00566137">
      <w:pPr>
        <w:rPr>
          <w:rFonts w:ascii="Calibri" w:eastAsia="Calibri" w:hAnsi="Calibri" w:cs="Calibri"/>
        </w:rPr>
      </w:pPr>
      <w:r w:rsidRPr="00306207">
        <w:rPr>
          <w:rFonts w:ascii="Calibri" w:eastAsia="Calibri" w:hAnsi="Calibri" w:cs="Calibri"/>
        </w:rPr>
        <w:t>Barriers may dissuad</w:t>
      </w:r>
      <w:r>
        <w:rPr>
          <w:rFonts w:ascii="Calibri" w:eastAsia="Calibri" w:hAnsi="Calibri" w:cs="Calibri"/>
        </w:rPr>
        <w:t xml:space="preserve">e or </w:t>
      </w:r>
      <w:r w:rsidRPr="00306207">
        <w:rPr>
          <w:rFonts w:ascii="Calibri" w:eastAsia="Calibri" w:hAnsi="Calibri" w:cs="Calibri"/>
        </w:rPr>
        <w:t xml:space="preserve">inhibit RRR students’ participation in tertiary education. In some cases, initial barriers have unintended, adverse effects. For example, an initial intention of taking a gap year after finishing secondary school </w:t>
      </w:r>
      <w:r>
        <w:rPr>
          <w:rFonts w:ascii="Calibri" w:eastAsia="Calibri" w:hAnsi="Calibri" w:cs="Calibri"/>
        </w:rPr>
        <w:t xml:space="preserve">is to </w:t>
      </w:r>
      <w:r w:rsidRPr="00306207">
        <w:rPr>
          <w:rFonts w:ascii="Calibri" w:eastAsia="Calibri" w:hAnsi="Calibri" w:cs="Calibri"/>
        </w:rPr>
        <w:t xml:space="preserve">save money for </w:t>
      </w:r>
      <w:r>
        <w:rPr>
          <w:rFonts w:ascii="Calibri" w:eastAsia="Calibri" w:hAnsi="Calibri" w:cs="Calibri"/>
        </w:rPr>
        <w:t xml:space="preserve">tertiary education </w:t>
      </w:r>
      <w:r w:rsidRPr="00306207">
        <w:rPr>
          <w:rFonts w:ascii="Calibri" w:eastAsia="Calibri" w:hAnsi="Calibri" w:cs="Calibri"/>
        </w:rPr>
        <w:t xml:space="preserve">costs, in actuality, is often not converted to </w:t>
      </w:r>
      <w:r>
        <w:rPr>
          <w:rFonts w:ascii="Calibri" w:eastAsia="Calibri" w:hAnsi="Calibri" w:cs="Calibri"/>
        </w:rPr>
        <w:t xml:space="preserve">tertiary </w:t>
      </w:r>
      <w:r w:rsidRPr="00306207">
        <w:rPr>
          <w:rFonts w:ascii="Calibri" w:eastAsia="Calibri" w:hAnsi="Calibri" w:cs="Calibri"/>
        </w:rPr>
        <w:t>study even some five years following the completion of schooling</w:t>
      </w:r>
      <w:r>
        <w:rPr>
          <w:rFonts w:ascii="Calibri" w:eastAsia="Calibri" w:hAnsi="Calibri" w:cs="Calibri"/>
        </w:rPr>
        <w:t>.</w:t>
      </w:r>
      <w:r w:rsidRPr="00306207">
        <w:rPr>
          <w:rFonts w:ascii="Calibri" w:eastAsia="Calibri" w:hAnsi="Calibri" w:cs="Calibri"/>
          <w:vertAlign w:val="superscript"/>
        </w:rPr>
        <w:footnoteReference w:id="160"/>
      </w:r>
    </w:p>
    <w:p w14:paraId="43A21FED" w14:textId="77777777" w:rsidR="00566137" w:rsidRPr="00306207" w:rsidRDefault="00566137" w:rsidP="00566137">
      <w:pPr>
        <w:spacing w:after="0"/>
        <w:rPr>
          <w:rFonts w:ascii="Calibri" w:eastAsia="Calibri" w:hAnsi="Calibri" w:cs="Calibri"/>
        </w:rPr>
      </w:pPr>
      <w:r w:rsidRPr="00306207">
        <w:rPr>
          <w:rFonts w:ascii="Calibri" w:eastAsia="Calibri" w:hAnsi="Calibri" w:cs="Calibri"/>
        </w:rPr>
        <w:t>Barriers that influence tertiary participation by RRR students include</w:t>
      </w:r>
      <w:r>
        <w:rPr>
          <w:rFonts w:ascii="Calibri" w:eastAsia="Calibri" w:hAnsi="Calibri" w:cs="Calibri"/>
        </w:rPr>
        <w:t>:</w:t>
      </w:r>
      <w:r w:rsidRPr="00306207">
        <w:rPr>
          <w:rFonts w:ascii="Calibri" w:eastAsia="Calibri" w:hAnsi="Calibri" w:cs="Calibri"/>
          <w:vertAlign w:val="superscript"/>
        </w:rPr>
        <w:footnoteReference w:id="161"/>
      </w:r>
    </w:p>
    <w:p w14:paraId="3DAF9805" w14:textId="77777777" w:rsidR="00566137" w:rsidRPr="00306207" w:rsidRDefault="00566137" w:rsidP="00041655">
      <w:pPr>
        <w:numPr>
          <w:ilvl w:val="0"/>
          <w:numId w:val="9"/>
        </w:numPr>
        <w:spacing w:after="0"/>
        <w:contextualSpacing/>
        <w:rPr>
          <w:rFonts w:ascii="Calibri" w:eastAsia="Calibri" w:hAnsi="Calibri" w:cs="Calibri"/>
        </w:rPr>
      </w:pPr>
      <w:r w:rsidRPr="00306207">
        <w:rPr>
          <w:rFonts w:ascii="Calibri" w:eastAsia="Calibri" w:hAnsi="Calibri" w:cs="Calibri"/>
          <w:b/>
        </w:rPr>
        <w:t xml:space="preserve">Access and proximity to tertiary education </w:t>
      </w:r>
      <w:r w:rsidRPr="00306207">
        <w:rPr>
          <w:rFonts w:ascii="Calibri" w:eastAsia="Calibri" w:hAnsi="Calibri" w:cs="Calibri"/>
        </w:rPr>
        <w:t xml:space="preserve">including geographic proximity to a campus may be problematic in terms of limited study options at nearby campuses, the willingness and ability to relocate (e.g. ‘reluctant stayer’, ‘reluctant leaver’), accommodation, transportation, confidence </w:t>
      </w:r>
      <w:r w:rsidRPr="00306207">
        <w:rPr>
          <w:rFonts w:ascii="Calibri" w:eastAsia="Calibri" w:hAnsi="Calibri" w:cs="Calibri"/>
          <w:noProof/>
        </w:rPr>
        <w:t>in their ability</w:t>
      </w:r>
      <w:r w:rsidRPr="00306207">
        <w:rPr>
          <w:rFonts w:ascii="Calibri" w:eastAsia="Calibri" w:hAnsi="Calibri" w:cs="Calibri"/>
        </w:rPr>
        <w:t xml:space="preserve"> to live independently, need or ability to work while studying, and social and cultural readjustment including homesickness, loneliness and the possible negative impacts of these on their success and persistence in tertiary study. With regards to accommodation, while a partnership between the Australian, </w:t>
      </w:r>
      <w:r>
        <w:rPr>
          <w:rFonts w:ascii="Calibri" w:eastAsia="Calibri" w:hAnsi="Calibri" w:cs="Calibri"/>
        </w:rPr>
        <w:t>s</w:t>
      </w:r>
      <w:r w:rsidRPr="00306207">
        <w:rPr>
          <w:rFonts w:ascii="Calibri" w:eastAsia="Calibri" w:hAnsi="Calibri" w:cs="Calibri"/>
        </w:rPr>
        <w:t xml:space="preserve">tate and </w:t>
      </w:r>
      <w:r>
        <w:rPr>
          <w:rFonts w:ascii="Calibri" w:eastAsia="Calibri" w:hAnsi="Calibri" w:cs="Calibri"/>
        </w:rPr>
        <w:t>t</w:t>
      </w:r>
      <w:r w:rsidRPr="00306207">
        <w:rPr>
          <w:rFonts w:ascii="Calibri" w:eastAsia="Calibri" w:hAnsi="Calibri" w:cs="Calibri"/>
        </w:rPr>
        <w:t xml:space="preserve">erritory </w:t>
      </w:r>
      <w:r>
        <w:rPr>
          <w:rFonts w:ascii="Calibri" w:eastAsia="Calibri" w:hAnsi="Calibri" w:cs="Calibri"/>
        </w:rPr>
        <w:t>g</w:t>
      </w:r>
      <w:r w:rsidRPr="00306207">
        <w:rPr>
          <w:rFonts w:ascii="Calibri" w:eastAsia="Calibri" w:hAnsi="Calibri" w:cs="Calibri"/>
        </w:rPr>
        <w:t>overnments and the National Rental Affordability Scheme was established in 2008 to enable universities to purpose build affordable accommodation, the private rental marketing is used by the vast majority (about 92%) of students</w:t>
      </w:r>
      <w:r>
        <w:rPr>
          <w:rFonts w:ascii="Calibri" w:eastAsia="Calibri" w:hAnsi="Calibri" w:cs="Calibri"/>
        </w:rPr>
        <w:t>.</w:t>
      </w:r>
      <w:r w:rsidRPr="00306207">
        <w:rPr>
          <w:rStyle w:val="FootnoteReference"/>
          <w:rFonts w:ascii="Calibri" w:eastAsia="Calibri" w:hAnsi="Calibri" w:cs="Calibri"/>
        </w:rPr>
        <w:footnoteReference w:id="162"/>
      </w:r>
    </w:p>
    <w:p w14:paraId="1467D841" w14:textId="77777777" w:rsidR="00566137" w:rsidRPr="00306207" w:rsidRDefault="00566137" w:rsidP="00041655">
      <w:pPr>
        <w:numPr>
          <w:ilvl w:val="0"/>
          <w:numId w:val="9"/>
        </w:numPr>
        <w:spacing w:after="0"/>
        <w:contextualSpacing/>
        <w:rPr>
          <w:rFonts w:ascii="Calibri" w:eastAsia="Calibri" w:hAnsi="Calibri" w:cs="Calibri"/>
        </w:rPr>
      </w:pPr>
      <w:r w:rsidRPr="00306207">
        <w:rPr>
          <w:rFonts w:ascii="Calibri" w:eastAsia="Calibri" w:hAnsi="Calibri" w:cs="Calibri"/>
          <w:b/>
        </w:rPr>
        <w:t>Financial costs</w:t>
      </w:r>
      <w:r w:rsidRPr="00306207">
        <w:rPr>
          <w:rFonts w:ascii="Calibri" w:eastAsia="Calibri" w:hAnsi="Calibri" w:cs="Calibri"/>
        </w:rPr>
        <w:t xml:space="preserve"> including tuition costs, housing, food and transport costs, textbooks, equipment and consumables costs necessary for successful completion. </w:t>
      </w:r>
      <w:r>
        <w:rPr>
          <w:rFonts w:ascii="Calibri" w:eastAsia="Calibri" w:hAnsi="Calibri" w:cs="Calibri"/>
        </w:rPr>
        <w:t>The Higher Education Loan Program (HELP) loans for</w:t>
      </w:r>
      <w:r w:rsidRPr="00306207">
        <w:rPr>
          <w:rFonts w:ascii="Calibri" w:eastAsia="Calibri" w:hAnsi="Calibri" w:cs="Calibri"/>
        </w:rPr>
        <w:t xml:space="preserve"> student </w:t>
      </w:r>
      <w:r>
        <w:rPr>
          <w:rFonts w:ascii="Calibri" w:eastAsia="Calibri" w:hAnsi="Calibri" w:cs="Calibri"/>
        </w:rPr>
        <w:t xml:space="preserve">university </w:t>
      </w:r>
      <w:r w:rsidRPr="00306207">
        <w:rPr>
          <w:rFonts w:ascii="Calibri" w:eastAsia="Calibri" w:hAnsi="Calibri" w:cs="Calibri"/>
        </w:rPr>
        <w:t>contributions are also a key financial consideration with research concluding that HELP protects access for people from low SES backgrounds</w:t>
      </w:r>
      <w:r>
        <w:rPr>
          <w:rFonts w:ascii="Calibri" w:eastAsia="Calibri" w:hAnsi="Calibri" w:cs="Calibri"/>
        </w:rPr>
        <w:t>.</w:t>
      </w:r>
      <w:r w:rsidRPr="00306207">
        <w:rPr>
          <w:rStyle w:val="FootnoteReference"/>
          <w:rFonts w:ascii="Calibri" w:eastAsia="Calibri" w:hAnsi="Calibri" w:cs="Calibri"/>
        </w:rPr>
        <w:footnoteReference w:id="163"/>
      </w:r>
      <w:r w:rsidRPr="00306207">
        <w:rPr>
          <w:rFonts w:ascii="Calibri" w:eastAsia="Calibri" w:hAnsi="Calibri" w:cs="Calibri"/>
        </w:rPr>
        <w:t xml:space="preserve"> Financial assistance for university students was first introduced in Australia in 1943 and today assistance with relocation and living costs is provided by the Australian Government predominantly via income-contingent Youth Allowance, Austudy and ABSTUDY</w:t>
      </w:r>
      <w:r w:rsidRPr="00306207">
        <w:rPr>
          <w:rStyle w:val="FootnoteReference"/>
          <w:rFonts w:ascii="Calibri" w:eastAsia="Calibri" w:hAnsi="Calibri" w:cs="Calibri"/>
        </w:rPr>
        <w:footnoteReference w:id="164"/>
      </w:r>
      <w:r w:rsidRPr="00306207">
        <w:rPr>
          <w:rFonts w:ascii="Calibri" w:eastAsia="Calibri" w:hAnsi="Calibri" w:cs="Calibri"/>
        </w:rPr>
        <w:t xml:space="preserve"> as well as the Relocation Scholarship.</w:t>
      </w:r>
    </w:p>
    <w:p w14:paraId="6EDFE052" w14:textId="77777777" w:rsidR="00566137" w:rsidRPr="00306207" w:rsidRDefault="00566137" w:rsidP="00041655">
      <w:pPr>
        <w:numPr>
          <w:ilvl w:val="0"/>
          <w:numId w:val="9"/>
        </w:numPr>
        <w:spacing w:after="0"/>
        <w:contextualSpacing/>
        <w:rPr>
          <w:rFonts w:ascii="Calibri" w:eastAsia="Calibri" w:hAnsi="Calibri" w:cs="Calibri"/>
        </w:rPr>
      </w:pPr>
      <w:r w:rsidRPr="00306207">
        <w:rPr>
          <w:rFonts w:ascii="Calibri" w:eastAsia="Calibri" w:hAnsi="Calibri" w:cs="Calibri"/>
          <w:b/>
        </w:rPr>
        <w:t>Schooling and academic attainment</w:t>
      </w:r>
      <w:r w:rsidRPr="00306207">
        <w:rPr>
          <w:rFonts w:ascii="Calibri" w:eastAsia="Calibri" w:hAnsi="Calibri" w:cs="Calibri"/>
        </w:rPr>
        <w:t xml:space="preserve"> including comparatively lower Year 12 completion rates, lower grades including literacy and numeracy skills, fewer students opting for the ATAR/OP stream in senior high school, fewer subject offerings by schools in senior high school which limits tertiary opportunities and lower school engagement related to </w:t>
      </w:r>
      <w:r>
        <w:rPr>
          <w:rFonts w:ascii="Calibri" w:eastAsia="Calibri" w:hAnsi="Calibri" w:cs="Calibri"/>
        </w:rPr>
        <w:t xml:space="preserve">disadvantaged </w:t>
      </w:r>
      <w:r w:rsidRPr="00306207">
        <w:rPr>
          <w:rFonts w:ascii="Calibri" w:eastAsia="Calibri" w:hAnsi="Calibri" w:cs="Calibri"/>
        </w:rPr>
        <w:t>schools, high teacher turnover, greater likelihood of inexperienced teachers and a lack of specialised services such as counsellors or career guidance advisors.</w:t>
      </w:r>
    </w:p>
    <w:p w14:paraId="1DAD9829" w14:textId="66422CDA" w:rsidR="00566137" w:rsidRPr="00306207" w:rsidRDefault="00566137" w:rsidP="00041655">
      <w:pPr>
        <w:numPr>
          <w:ilvl w:val="0"/>
          <w:numId w:val="9"/>
        </w:numPr>
        <w:spacing w:after="0"/>
        <w:contextualSpacing/>
        <w:rPr>
          <w:rFonts w:ascii="Calibri" w:eastAsia="Calibri" w:hAnsi="Calibri" w:cs="Calibri"/>
        </w:rPr>
      </w:pPr>
      <w:r w:rsidRPr="00306207">
        <w:rPr>
          <w:rFonts w:ascii="Calibri" w:eastAsia="Calibri" w:hAnsi="Calibri" w:cs="Calibri"/>
          <w:b/>
        </w:rPr>
        <w:t xml:space="preserve">Relevance </w:t>
      </w:r>
      <w:r w:rsidRPr="00306207">
        <w:rPr>
          <w:rFonts w:ascii="Calibri" w:eastAsia="Calibri" w:hAnsi="Calibri" w:cs="Calibri"/>
        </w:rPr>
        <w:t>or need for tertiary education to work in</w:t>
      </w:r>
      <w:r w:rsidR="00F95788">
        <w:rPr>
          <w:rFonts w:ascii="Calibri" w:eastAsia="Calibri" w:hAnsi="Calibri" w:cs="Calibri"/>
        </w:rPr>
        <w:t xml:space="preserve"> a</w:t>
      </w:r>
      <w:r w:rsidRPr="00306207">
        <w:rPr>
          <w:rFonts w:ascii="Calibri" w:eastAsia="Calibri" w:hAnsi="Calibri" w:cs="Calibri"/>
        </w:rPr>
        <w:t xml:space="preserve"> preferred occupation as typically there are fewer RRR employment opportunities that require higher-level VET or university qualifications and this may be reinforced as many in their community do not have, place value on or encourage the pursuit of </w:t>
      </w:r>
      <w:r>
        <w:rPr>
          <w:rFonts w:ascii="Calibri" w:eastAsia="Calibri" w:hAnsi="Calibri" w:cs="Calibri"/>
        </w:rPr>
        <w:t>tertiary</w:t>
      </w:r>
      <w:r w:rsidRPr="00306207">
        <w:rPr>
          <w:rFonts w:ascii="Calibri" w:eastAsia="Calibri" w:hAnsi="Calibri" w:cs="Calibri"/>
        </w:rPr>
        <w:t xml:space="preserve"> education.</w:t>
      </w:r>
    </w:p>
    <w:p w14:paraId="27B325CD" w14:textId="77777777" w:rsidR="00566137" w:rsidRPr="00306207" w:rsidRDefault="00566137" w:rsidP="00041655">
      <w:pPr>
        <w:numPr>
          <w:ilvl w:val="0"/>
          <w:numId w:val="9"/>
        </w:numPr>
        <w:spacing w:after="0"/>
        <w:contextualSpacing/>
        <w:rPr>
          <w:rFonts w:ascii="Calibri" w:eastAsia="Calibri" w:hAnsi="Calibri" w:cs="Calibri"/>
        </w:rPr>
      </w:pPr>
      <w:r w:rsidRPr="00306207">
        <w:rPr>
          <w:rFonts w:ascii="Calibri" w:eastAsia="Calibri" w:hAnsi="Calibri" w:cs="Calibri"/>
          <w:b/>
        </w:rPr>
        <w:lastRenderedPageBreak/>
        <w:t xml:space="preserve">Information </w:t>
      </w:r>
      <w:r w:rsidRPr="00306207">
        <w:rPr>
          <w:rFonts w:ascii="Calibri" w:eastAsia="Calibri" w:hAnsi="Calibri" w:cs="Calibri"/>
        </w:rPr>
        <w:t xml:space="preserve">barriers </w:t>
      </w:r>
      <w:r>
        <w:rPr>
          <w:rFonts w:ascii="Calibri" w:eastAsia="Calibri" w:hAnsi="Calibri" w:cs="Calibri"/>
        </w:rPr>
        <w:t xml:space="preserve">include </w:t>
      </w:r>
      <w:r w:rsidRPr="00306207">
        <w:rPr>
          <w:rFonts w:ascii="Calibri" w:eastAsia="Calibri" w:hAnsi="Calibri" w:cs="Calibri"/>
        </w:rPr>
        <w:t>exposure to career possibilities comprised of timely, accurate and useful information for students and their families</w:t>
      </w:r>
      <w:r>
        <w:rPr>
          <w:rFonts w:ascii="Calibri" w:eastAsia="Calibri" w:hAnsi="Calibri" w:cs="Calibri"/>
        </w:rPr>
        <w:t>;</w:t>
      </w:r>
      <w:r w:rsidRPr="00306207">
        <w:rPr>
          <w:rFonts w:ascii="Calibri" w:eastAsia="Calibri" w:hAnsi="Calibri" w:cs="Calibri"/>
        </w:rPr>
        <w:t xml:space="preserve"> awareness of tertiary education choices and benefits</w:t>
      </w:r>
      <w:r>
        <w:rPr>
          <w:rFonts w:ascii="Calibri" w:eastAsia="Calibri" w:hAnsi="Calibri" w:cs="Calibri"/>
        </w:rPr>
        <w:t>;</w:t>
      </w:r>
      <w:r w:rsidRPr="00306207">
        <w:rPr>
          <w:rFonts w:ascii="Calibri" w:eastAsia="Calibri" w:hAnsi="Calibri" w:cs="Calibri"/>
        </w:rPr>
        <w:t xml:space="preserve"> and indecision about their preferred occupation/s</w:t>
      </w:r>
      <w:r>
        <w:rPr>
          <w:rFonts w:ascii="Calibri" w:eastAsia="Calibri" w:hAnsi="Calibri" w:cs="Calibri"/>
        </w:rPr>
        <w:t>. Either this</w:t>
      </w:r>
      <w:r w:rsidRPr="00306207">
        <w:rPr>
          <w:rFonts w:ascii="Calibri" w:eastAsia="Calibri" w:hAnsi="Calibri" w:cs="Calibri"/>
        </w:rPr>
        <w:t xml:space="preserve"> means </w:t>
      </w:r>
      <w:r>
        <w:rPr>
          <w:rFonts w:ascii="Calibri" w:eastAsia="Calibri" w:hAnsi="Calibri" w:cs="Calibri"/>
        </w:rPr>
        <w:t xml:space="preserve">students </w:t>
      </w:r>
      <w:r w:rsidRPr="00306207">
        <w:rPr>
          <w:rFonts w:ascii="Calibri" w:eastAsia="Calibri" w:hAnsi="Calibri" w:cs="Calibri"/>
        </w:rPr>
        <w:t>do not engage with available information while at school</w:t>
      </w:r>
      <w:r>
        <w:rPr>
          <w:rFonts w:ascii="Calibri" w:eastAsia="Calibri" w:hAnsi="Calibri" w:cs="Calibri"/>
        </w:rPr>
        <w:t>,</w:t>
      </w:r>
      <w:r w:rsidRPr="00306207">
        <w:rPr>
          <w:rFonts w:ascii="Calibri" w:eastAsia="Calibri" w:hAnsi="Calibri" w:cs="Calibri"/>
        </w:rPr>
        <w:t xml:space="preserve"> do not select the ATAR/OP stream for senior high school</w:t>
      </w:r>
      <w:r>
        <w:rPr>
          <w:rFonts w:ascii="Calibri" w:eastAsia="Calibri" w:hAnsi="Calibri" w:cs="Calibri"/>
        </w:rPr>
        <w:t>,</w:t>
      </w:r>
      <w:r w:rsidRPr="00306207">
        <w:rPr>
          <w:rFonts w:ascii="Calibri" w:eastAsia="Calibri" w:hAnsi="Calibri" w:cs="Calibri"/>
        </w:rPr>
        <w:t xml:space="preserve"> or </w:t>
      </w:r>
      <w:r>
        <w:rPr>
          <w:rFonts w:ascii="Calibri" w:eastAsia="Calibri" w:hAnsi="Calibri" w:cs="Calibri"/>
        </w:rPr>
        <w:t xml:space="preserve">they </w:t>
      </w:r>
      <w:r w:rsidRPr="00306207">
        <w:rPr>
          <w:rFonts w:ascii="Calibri" w:eastAsia="Calibri" w:hAnsi="Calibri" w:cs="Calibri"/>
        </w:rPr>
        <w:t>do not take up VET</w:t>
      </w:r>
      <w:r>
        <w:rPr>
          <w:rFonts w:ascii="Calibri" w:eastAsia="Calibri" w:hAnsi="Calibri" w:cs="Calibri"/>
        </w:rPr>
        <w:t>iS</w:t>
      </w:r>
      <w:r w:rsidRPr="00306207">
        <w:rPr>
          <w:rFonts w:ascii="Calibri" w:eastAsia="Calibri" w:hAnsi="Calibri" w:cs="Calibri"/>
        </w:rPr>
        <w:t xml:space="preserve"> opportunities as they are unsure of their career interests. Too much information, unreliable information or a maze of information from numerous stakeholders creates confusion in VET and higher education alike impacting students’ ability to make well-informed decisions. Misalignment between job aspiration and educational intention (i.e. </w:t>
      </w:r>
      <w:r>
        <w:rPr>
          <w:rFonts w:ascii="Calibri" w:eastAsia="Calibri" w:hAnsi="Calibri" w:cs="Calibri"/>
        </w:rPr>
        <w:t xml:space="preserve">a student who </w:t>
      </w:r>
      <w:r w:rsidRPr="00306207">
        <w:rPr>
          <w:rFonts w:ascii="Calibri" w:eastAsia="Calibri" w:hAnsi="Calibri" w:cs="Calibri"/>
        </w:rPr>
        <w:t>want</w:t>
      </w:r>
      <w:r>
        <w:rPr>
          <w:rFonts w:ascii="Calibri" w:eastAsia="Calibri" w:hAnsi="Calibri" w:cs="Calibri"/>
        </w:rPr>
        <w:t>s</w:t>
      </w:r>
      <w:r w:rsidRPr="00306207">
        <w:rPr>
          <w:rFonts w:ascii="Calibri" w:eastAsia="Calibri" w:hAnsi="Calibri" w:cs="Calibri"/>
        </w:rPr>
        <w:t xml:space="preserve"> to pursue a career that requires a university qualification but intends to go to TAFE) leaves many students either underqualified or overqualified.</w:t>
      </w:r>
    </w:p>
    <w:p w14:paraId="1EBDF933" w14:textId="2E90D1B0" w:rsidR="00566137" w:rsidRPr="00306207" w:rsidRDefault="00566137" w:rsidP="00041655">
      <w:pPr>
        <w:numPr>
          <w:ilvl w:val="0"/>
          <w:numId w:val="9"/>
        </w:numPr>
        <w:spacing w:after="200"/>
        <w:contextualSpacing/>
        <w:jc w:val="both"/>
        <w:rPr>
          <w:rFonts w:ascii="Calibri" w:eastAsia="Calibri" w:hAnsi="Calibri" w:cs="Calibri"/>
          <w:b/>
        </w:rPr>
      </w:pPr>
      <w:r w:rsidRPr="00306207">
        <w:rPr>
          <w:rFonts w:ascii="Calibri" w:eastAsia="Calibri" w:hAnsi="Calibri" w:cs="Calibri"/>
          <w:b/>
        </w:rPr>
        <w:t xml:space="preserve">Personal beliefs </w:t>
      </w:r>
      <w:r w:rsidRPr="00306207">
        <w:rPr>
          <w:rFonts w:ascii="Calibri" w:eastAsia="Calibri" w:hAnsi="Calibri" w:cs="Calibri"/>
        </w:rPr>
        <w:t xml:space="preserve">including that they are not ‘smart enough’ for tertiary study, concerns they will not fit in, fear of failure, </w:t>
      </w:r>
      <w:r>
        <w:rPr>
          <w:rFonts w:ascii="Calibri" w:eastAsia="Calibri" w:hAnsi="Calibri" w:cs="Calibri"/>
        </w:rPr>
        <w:t xml:space="preserve">lack of confidence or </w:t>
      </w:r>
      <w:r w:rsidRPr="00306207">
        <w:rPr>
          <w:rFonts w:ascii="Calibri" w:eastAsia="Calibri" w:hAnsi="Calibri" w:cs="Calibri"/>
        </w:rPr>
        <w:t xml:space="preserve">self-esteem, are risk averse and perceive going to university </w:t>
      </w:r>
      <w:r>
        <w:rPr>
          <w:rFonts w:ascii="Calibri" w:eastAsia="Calibri" w:hAnsi="Calibri" w:cs="Calibri"/>
        </w:rPr>
        <w:t>a</w:t>
      </w:r>
      <w:r w:rsidRPr="00306207">
        <w:rPr>
          <w:rFonts w:ascii="Calibri" w:eastAsia="Calibri" w:hAnsi="Calibri" w:cs="Calibri"/>
        </w:rPr>
        <w:t>s a very risky proposition and are focused on the present more than the future.</w:t>
      </w:r>
    </w:p>
    <w:p w14:paraId="23055F73" w14:textId="77777777" w:rsidR="00566137" w:rsidRPr="00306207" w:rsidRDefault="00566137" w:rsidP="00726804">
      <w:pPr>
        <w:pStyle w:val="Heading3"/>
        <w:rPr>
          <w:rFonts w:eastAsia="DengXian Light"/>
        </w:rPr>
      </w:pPr>
      <w:r w:rsidRPr="00306207">
        <w:rPr>
          <w:rFonts w:eastAsia="DengXian Light"/>
        </w:rPr>
        <w:t>3.1 Change agents</w:t>
      </w:r>
    </w:p>
    <w:p w14:paraId="20EA2972" w14:textId="77777777" w:rsidR="007D631B" w:rsidRDefault="00566137" w:rsidP="00566137">
      <w:pPr>
        <w:rPr>
          <w:rFonts w:ascii="Calibri" w:eastAsia="Calibri" w:hAnsi="Calibri" w:cs="Calibri"/>
        </w:rPr>
      </w:pPr>
      <w:r w:rsidRPr="00306207">
        <w:rPr>
          <w:rFonts w:ascii="Calibri" w:eastAsia="Calibri" w:hAnsi="Calibri" w:cs="Calibri"/>
        </w:rPr>
        <w:t>While many enablers centre on student dispositions (e.g. personal beliefs and motivations) and contextual factors (e.g. exposure to quality career advice), an enabler may also be individuals</w:t>
      </w:r>
      <w:r>
        <w:rPr>
          <w:rFonts w:ascii="Calibri" w:eastAsia="Calibri" w:hAnsi="Calibri" w:cs="Calibri"/>
        </w:rPr>
        <w:t xml:space="preserve"> that are</w:t>
      </w:r>
      <w:r w:rsidRPr="00306207">
        <w:rPr>
          <w:rFonts w:ascii="Calibri" w:eastAsia="Calibri" w:hAnsi="Calibri" w:cs="Calibri"/>
        </w:rPr>
        <w:t xml:space="preserve"> often referred to as influencers or change agents</w:t>
      </w:r>
      <w:r>
        <w:rPr>
          <w:rFonts w:ascii="Calibri" w:eastAsia="Calibri" w:hAnsi="Calibri" w:cs="Calibri"/>
        </w:rPr>
        <w:t>.</w:t>
      </w:r>
      <w:r w:rsidRPr="00306207">
        <w:rPr>
          <w:rStyle w:val="FootnoteReference"/>
          <w:rFonts w:ascii="Calibri" w:eastAsia="Calibri" w:hAnsi="Calibri" w:cs="Calibri"/>
        </w:rPr>
        <w:footnoteReference w:id="165"/>
      </w:r>
      <w:r w:rsidRPr="00306207">
        <w:rPr>
          <w:rFonts w:ascii="Calibri" w:eastAsia="Calibri" w:hAnsi="Calibri" w:cs="Calibri"/>
        </w:rPr>
        <w:t xml:space="preserve"> Change agents are defined by their role in the change process with parents, teachers, career advisors and WP practitioners perhaps best described as ‘change generators’</w:t>
      </w:r>
      <w:r>
        <w:rPr>
          <w:rFonts w:ascii="Calibri" w:eastAsia="Calibri" w:hAnsi="Calibri" w:cs="Calibri"/>
        </w:rPr>
        <w:t>.</w:t>
      </w:r>
      <w:r w:rsidRPr="00306207">
        <w:rPr>
          <w:rFonts w:ascii="Calibri" w:eastAsia="Calibri" w:hAnsi="Calibri" w:cs="Calibri"/>
        </w:rPr>
        <w:t xml:space="preserve"> </w:t>
      </w:r>
      <w:r>
        <w:rPr>
          <w:rFonts w:ascii="Calibri" w:eastAsia="Calibri" w:hAnsi="Calibri" w:cs="Calibri"/>
        </w:rPr>
        <w:t>T</w:t>
      </w:r>
      <w:r w:rsidRPr="00306207">
        <w:rPr>
          <w:rFonts w:ascii="Calibri" w:eastAsia="Calibri" w:hAnsi="Calibri" w:cs="Calibri"/>
        </w:rPr>
        <w:t>heir influence is strong at the beginning of the change process</w:t>
      </w:r>
      <w:r>
        <w:rPr>
          <w:rFonts w:ascii="Calibri" w:eastAsia="Calibri" w:hAnsi="Calibri" w:cs="Calibri"/>
        </w:rPr>
        <w:t>,</w:t>
      </w:r>
      <w:r w:rsidRPr="00306207">
        <w:rPr>
          <w:rFonts w:ascii="Calibri" w:eastAsia="Calibri" w:hAnsi="Calibri" w:cs="Calibri"/>
        </w:rPr>
        <w:t xml:space="preserve"> converting an issue (e.g. what to do after secondary school) into a felt need (e.g. pursue tertiary education)</w:t>
      </w:r>
      <w:r>
        <w:rPr>
          <w:rFonts w:ascii="Calibri" w:eastAsia="Calibri" w:hAnsi="Calibri" w:cs="Calibri"/>
        </w:rPr>
        <w:t>.</w:t>
      </w:r>
      <w:r w:rsidRPr="00306207">
        <w:rPr>
          <w:rStyle w:val="FootnoteReference"/>
          <w:rFonts w:ascii="Calibri" w:eastAsia="Calibri" w:hAnsi="Calibri" w:cs="Calibri"/>
        </w:rPr>
        <w:footnoteReference w:id="166"/>
      </w:r>
      <w:r w:rsidRPr="00306207">
        <w:rPr>
          <w:rFonts w:ascii="Calibri" w:eastAsia="Calibri" w:hAnsi="Calibri" w:cs="Calibri"/>
        </w:rPr>
        <w:t xml:space="preserve"> </w:t>
      </w:r>
    </w:p>
    <w:p w14:paraId="4C6B1980" w14:textId="77777777" w:rsidR="007D631B" w:rsidRDefault="00566137" w:rsidP="00566137">
      <w:pPr>
        <w:rPr>
          <w:rFonts w:ascii="Calibri" w:eastAsia="Calibri" w:hAnsi="Calibri" w:cs="Calibri"/>
        </w:rPr>
      </w:pPr>
      <w:r w:rsidRPr="00306207">
        <w:rPr>
          <w:rFonts w:ascii="Calibri" w:eastAsia="Calibri" w:hAnsi="Calibri" w:cs="Calibri"/>
        </w:rPr>
        <w:t xml:space="preserve">In the context of this </w:t>
      </w:r>
      <w:r>
        <w:rPr>
          <w:rFonts w:ascii="Calibri" w:eastAsia="Calibri" w:hAnsi="Calibri" w:cs="Calibri"/>
        </w:rPr>
        <w:t>f</w:t>
      </w:r>
      <w:r w:rsidRPr="00306207">
        <w:rPr>
          <w:rFonts w:ascii="Calibri" w:eastAsia="Calibri" w:hAnsi="Calibri" w:cs="Calibri"/>
        </w:rPr>
        <w:t xml:space="preserve">inal </w:t>
      </w:r>
      <w:r>
        <w:rPr>
          <w:rFonts w:ascii="Calibri" w:eastAsia="Calibri" w:hAnsi="Calibri" w:cs="Calibri"/>
        </w:rPr>
        <w:t>r</w:t>
      </w:r>
      <w:r w:rsidRPr="00306207">
        <w:rPr>
          <w:rFonts w:ascii="Calibri" w:eastAsia="Calibri" w:hAnsi="Calibri" w:cs="Calibri"/>
        </w:rPr>
        <w:t xml:space="preserve">eport and Strategy, there has been recent interest in the idea of establishing a Commissioner of Regional, Rural and Remote Education as a change agent. As recommended by Halsey (2018), the role could be similar to </w:t>
      </w:r>
      <w:r>
        <w:rPr>
          <w:rFonts w:ascii="Calibri" w:eastAsia="Calibri" w:hAnsi="Calibri" w:cs="Calibri"/>
        </w:rPr>
        <w:t xml:space="preserve">the </w:t>
      </w:r>
      <w:r w:rsidRPr="00306207">
        <w:rPr>
          <w:rFonts w:ascii="Calibri" w:eastAsia="Calibri" w:hAnsi="Calibri" w:cs="Calibri"/>
        </w:rPr>
        <w:t>National Rural Health Commissioner. Internationally there does not appear to be a role with a similar remit (the UK National Schools Commissioner and Regional Schools Commissioners only work with school leaders). Domestically there are national Commissioner roles such as the National Rural Health Commissioner</w:t>
      </w:r>
      <w:r w:rsidRPr="00306207">
        <w:rPr>
          <w:rStyle w:val="FootnoteReference"/>
          <w:rFonts w:ascii="Calibri" w:eastAsia="Calibri" w:hAnsi="Calibri" w:cs="Calibri"/>
        </w:rPr>
        <w:footnoteReference w:id="167"/>
      </w:r>
      <w:r w:rsidRPr="00306207">
        <w:rPr>
          <w:rFonts w:ascii="Calibri" w:eastAsia="Calibri" w:hAnsi="Calibri" w:cs="Calibri"/>
        </w:rPr>
        <w:t xml:space="preserve"> and the eSafety Commissioner, both appointed in 2017. At the </w:t>
      </w:r>
      <w:r>
        <w:rPr>
          <w:rFonts w:ascii="Calibri" w:eastAsia="Calibri" w:hAnsi="Calibri" w:cs="Calibri"/>
        </w:rPr>
        <w:t>s</w:t>
      </w:r>
      <w:r w:rsidRPr="00306207">
        <w:rPr>
          <w:rFonts w:ascii="Calibri" w:eastAsia="Calibri" w:hAnsi="Calibri" w:cs="Calibri"/>
        </w:rPr>
        <w:t xml:space="preserve">tate level, the Victorian Government’s Cross Border Commissioner (appointed 2018), and the New South Wales Government Regional Commissioners (appointed 2018) work with multiple RRR stakeholders however their focus is on planning and development. </w:t>
      </w:r>
    </w:p>
    <w:p w14:paraId="202B80F1" w14:textId="0E689F59" w:rsidR="00566137" w:rsidRPr="00306207" w:rsidRDefault="00566137" w:rsidP="00566137">
      <w:pPr>
        <w:rPr>
          <w:rFonts w:ascii="Calibri" w:eastAsia="Calibri" w:hAnsi="Calibri" w:cs="Calibri"/>
          <w:b/>
        </w:rPr>
      </w:pPr>
      <w:r w:rsidRPr="00306207">
        <w:rPr>
          <w:rFonts w:ascii="Calibri" w:eastAsia="Calibri" w:hAnsi="Calibri" w:cs="Calibri"/>
        </w:rPr>
        <w:t xml:space="preserve">Overall, </w:t>
      </w:r>
      <w:r w:rsidR="007D631B">
        <w:rPr>
          <w:rFonts w:ascii="Calibri" w:eastAsia="Calibri" w:hAnsi="Calibri" w:cs="Calibri"/>
        </w:rPr>
        <w:t xml:space="preserve">literature suggests that </w:t>
      </w:r>
      <w:r w:rsidRPr="00306207">
        <w:rPr>
          <w:rFonts w:ascii="Calibri" w:eastAsia="Calibri" w:hAnsi="Calibri" w:cs="Calibri"/>
        </w:rPr>
        <w:t>there is an opportunity for a Commissioner of Regional, Rural and Remote Education</w:t>
      </w:r>
      <w:r>
        <w:rPr>
          <w:rFonts w:ascii="Calibri" w:eastAsia="Calibri" w:hAnsi="Calibri" w:cs="Calibri"/>
        </w:rPr>
        <w:t xml:space="preserve"> to</w:t>
      </w:r>
      <w:r w:rsidRPr="00306207">
        <w:rPr>
          <w:rFonts w:ascii="Calibri" w:eastAsia="Calibri" w:hAnsi="Calibri" w:cs="Calibri"/>
        </w:rPr>
        <w:t xml:space="preserve"> be an enabler whose role centres on implementing change in a manner that complements other change agents (e.g. parents) in the process of bridging the RRR-metropolitan educational divide.</w:t>
      </w:r>
    </w:p>
    <w:p w14:paraId="3FFE5FF0" w14:textId="77777777" w:rsidR="00566137" w:rsidRPr="00306207" w:rsidRDefault="00566137" w:rsidP="00731032">
      <w:pPr>
        <w:shd w:val="clear" w:color="auto" w:fill="E2E6E4"/>
        <w:spacing w:before="240" w:after="0"/>
        <w:contextualSpacing/>
        <w:rPr>
          <w:rFonts w:ascii="Calibri" w:eastAsia="Calibri" w:hAnsi="Calibri" w:cs="Times New Roman"/>
          <w:b/>
        </w:rPr>
      </w:pPr>
      <w:r w:rsidRPr="00306207">
        <w:rPr>
          <w:rFonts w:ascii="Calibri" w:eastAsia="Calibri" w:hAnsi="Calibri" w:cs="Calibri"/>
          <w:b/>
        </w:rPr>
        <w:t xml:space="preserve">In </w:t>
      </w:r>
      <w:r w:rsidRPr="00306207">
        <w:rPr>
          <w:rFonts w:ascii="Calibri" w:eastAsia="Calibri" w:hAnsi="Calibri" w:cs="Calibri"/>
          <w:b/>
          <w:noProof/>
        </w:rPr>
        <w:t>summary,</w:t>
      </w:r>
      <w:r w:rsidRPr="00306207">
        <w:rPr>
          <w:rFonts w:ascii="Calibri" w:eastAsia="Calibri" w:hAnsi="Calibri" w:cs="Calibri"/>
          <w:b/>
        </w:rPr>
        <w:t xml:space="preserve"> the literature suggests:</w:t>
      </w:r>
    </w:p>
    <w:p w14:paraId="1CB3517B" w14:textId="2E462889" w:rsidR="00566137" w:rsidRPr="00306207" w:rsidRDefault="00F95788" w:rsidP="00731032">
      <w:pPr>
        <w:numPr>
          <w:ilvl w:val="0"/>
          <w:numId w:val="10"/>
        </w:numPr>
        <w:shd w:val="clear" w:color="auto" w:fill="E2E6E4"/>
        <w:spacing w:after="0"/>
        <w:contextualSpacing/>
        <w:rPr>
          <w:rFonts w:ascii="Calibri" w:eastAsia="Calibri" w:hAnsi="Calibri" w:cs="Calibri"/>
        </w:rPr>
      </w:pPr>
      <w:r>
        <w:rPr>
          <w:rFonts w:ascii="Calibri" w:eastAsia="Calibri" w:hAnsi="Calibri" w:cs="Calibri"/>
        </w:rPr>
        <w:t>key</w:t>
      </w:r>
      <w:r w:rsidR="00566137" w:rsidRPr="00306207">
        <w:rPr>
          <w:rFonts w:ascii="Calibri" w:eastAsia="Calibri" w:hAnsi="Calibri" w:cs="Calibri"/>
        </w:rPr>
        <w:t xml:space="preserve"> enablers that encourage RRR tertiary education participation include exposure to career possibilities and quality career advice, exposure to tertiary education, awareness of tertiary education choices, career clarity, upskilling and reskilling, encouragements by significant others, and personal beliefs and motivations.</w:t>
      </w:r>
    </w:p>
    <w:p w14:paraId="2649A69D" w14:textId="77777777" w:rsidR="00566137" w:rsidRPr="00306207" w:rsidRDefault="00566137" w:rsidP="00731032">
      <w:pPr>
        <w:numPr>
          <w:ilvl w:val="0"/>
          <w:numId w:val="10"/>
        </w:numPr>
        <w:shd w:val="clear" w:color="auto" w:fill="E2E6E4"/>
        <w:spacing w:after="0"/>
        <w:contextualSpacing/>
        <w:rPr>
          <w:rFonts w:ascii="Calibri" w:eastAsia="Calibri" w:hAnsi="Calibri" w:cs="Calibri"/>
        </w:rPr>
      </w:pPr>
      <w:r w:rsidRPr="00306207">
        <w:rPr>
          <w:rFonts w:ascii="Calibri" w:eastAsia="Calibri" w:hAnsi="Calibri" w:cs="Calibri"/>
        </w:rPr>
        <w:lastRenderedPageBreak/>
        <w:t>core barriers that discourage RRR tertiary education participation include access and proximity to tertiary education, financial costs, schooling and academic attainment, relevance or need for tertiary education, information barriers and personal beliefs.</w:t>
      </w:r>
    </w:p>
    <w:p w14:paraId="7289A116" w14:textId="77777777" w:rsidR="00566137" w:rsidRPr="00306207" w:rsidRDefault="00566137" w:rsidP="00726804">
      <w:pPr>
        <w:pStyle w:val="Heading2"/>
        <w:rPr>
          <w:rFonts w:eastAsia="DengXian Light"/>
        </w:rPr>
      </w:pPr>
      <w:bookmarkStart w:id="78" w:name="_Toc11861007"/>
      <w:bookmarkStart w:id="79" w:name="_Toc13224814"/>
      <w:r w:rsidRPr="00306207">
        <w:rPr>
          <w:rFonts w:eastAsia="DengXian Light"/>
        </w:rPr>
        <w:t>4.0 Increasing equity groups tertiary education participation and outcomes</w:t>
      </w:r>
      <w:bookmarkEnd w:id="78"/>
      <w:bookmarkEnd w:id="79"/>
    </w:p>
    <w:p w14:paraId="24F5B0D8" w14:textId="4CAB3CBA" w:rsidR="00566137" w:rsidRPr="00306207" w:rsidRDefault="00566137" w:rsidP="00566137">
      <w:r w:rsidRPr="00306207">
        <w:t xml:space="preserve">The notion of increasing the participation of people from equity groups has been a perennial agenda for successive governments </w:t>
      </w:r>
      <w:r>
        <w:t>over</w:t>
      </w:r>
      <w:r w:rsidRPr="00306207">
        <w:t xml:space="preserve"> many decades driven by the desire for a fairer society by promoting equal educational opportunities for all Australians</w:t>
      </w:r>
      <w:r>
        <w:t>.</w:t>
      </w:r>
      <w:r w:rsidRPr="00306207">
        <w:rPr>
          <w:rStyle w:val="FootnoteReference"/>
        </w:rPr>
        <w:footnoteReference w:id="168"/>
      </w:r>
      <w:r w:rsidRPr="00306207">
        <w:t xml:space="preserve"> Typically referred to today as WP it is anchored in the premise that education can transform lives and improve quality of life. </w:t>
      </w:r>
      <w:r>
        <w:t>Education institutions</w:t>
      </w:r>
      <w:r w:rsidRPr="00306207">
        <w:t xml:space="preserve"> can help build better nations by addressing inequality that may result from race, poverty, geography and disability</w:t>
      </w:r>
      <w:r>
        <w:t>.</w:t>
      </w:r>
      <w:r w:rsidRPr="00306207">
        <w:rPr>
          <w:rStyle w:val="FootnoteReference"/>
        </w:rPr>
        <w:footnoteReference w:id="169"/>
      </w:r>
      <w:r w:rsidRPr="00306207">
        <w:t xml:space="preserve"> </w:t>
      </w:r>
      <w:r w:rsidRPr="00731032">
        <w:rPr>
          <w:rStyle w:val="Emphasis"/>
        </w:rPr>
        <w:t>A Fair Chance for All</w:t>
      </w:r>
      <w:r w:rsidRPr="00306207">
        <w:rPr>
          <w:rStyle w:val="FootnoteReference"/>
        </w:rPr>
        <w:footnoteReference w:id="170"/>
      </w:r>
      <w:r w:rsidRPr="00306207">
        <w:t xml:space="preserve"> is Australia’s formalised Australian framework for WP</w:t>
      </w:r>
      <w:r w:rsidR="007D631B">
        <w:t>.</w:t>
      </w:r>
      <w:r w:rsidRPr="00306207">
        <w:rPr>
          <w:rStyle w:val="FootnoteReference"/>
        </w:rPr>
        <w:footnoteReference w:id="171"/>
      </w:r>
      <w:r w:rsidR="007D631B">
        <w:t xml:space="preserve"> This report,</w:t>
      </w:r>
      <w:r w:rsidRPr="00306207">
        <w:t xml:space="preserve"> the </w:t>
      </w:r>
      <w:r w:rsidRPr="00731032">
        <w:rPr>
          <w:rStyle w:val="Emphasis"/>
        </w:rPr>
        <w:t>‘Bradley’ Review of Australian Higher Education</w:t>
      </w:r>
      <w:r w:rsidRPr="00306207">
        <w:t xml:space="preserve"> (2008)</w:t>
      </w:r>
      <w:r w:rsidRPr="00306207">
        <w:rPr>
          <w:rStyle w:val="FootnoteReference"/>
        </w:rPr>
        <w:footnoteReference w:id="172"/>
      </w:r>
      <w:r w:rsidRPr="00306207">
        <w:t xml:space="preserve"> and the ‘Behrendt’ Review (2012)</w:t>
      </w:r>
      <w:r w:rsidRPr="00306207">
        <w:rPr>
          <w:rStyle w:val="FootnoteReference"/>
        </w:rPr>
        <w:footnoteReference w:id="173"/>
      </w:r>
      <w:r w:rsidRPr="00306207">
        <w:t xml:space="preserve"> </w:t>
      </w:r>
      <w:r w:rsidR="007D631B">
        <w:t>are three key touchstone reports</w:t>
      </w:r>
      <w:r w:rsidRPr="00306207">
        <w:t xml:space="preserve"> that underpin</w:t>
      </w:r>
      <w:r w:rsidR="007D631B">
        <w:t xml:space="preserve"> current</w:t>
      </w:r>
      <w:r w:rsidRPr="00306207">
        <w:t xml:space="preserve"> equity activity in the </w:t>
      </w:r>
      <w:r w:rsidR="007D631B">
        <w:t>higher</w:t>
      </w:r>
      <w:r w:rsidRPr="00306207">
        <w:t xml:space="preserve"> education sector.</w:t>
      </w:r>
    </w:p>
    <w:p w14:paraId="008E1F05" w14:textId="77777777" w:rsidR="00566137" w:rsidRPr="00306207" w:rsidRDefault="00566137" w:rsidP="00566137">
      <w:r w:rsidRPr="00731032">
        <w:rPr>
          <w:rStyle w:val="Emphasis"/>
        </w:rPr>
        <w:t>A Fair Chance for All</w:t>
      </w:r>
      <w:r w:rsidRPr="00306207">
        <w:t xml:space="preserve"> framed and influenced government policy in Australia prior to being adopted in the United Kingdom (UK)</w:t>
      </w:r>
      <w:r>
        <w:t>.</w:t>
      </w:r>
      <w:r w:rsidRPr="00306207">
        <w:rPr>
          <w:rStyle w:val="FootnoteReference"/>
        </w:rPr>
        <w:footnoteReference w:id="174"/>
      </w:r>
      <w:r w:rsidRPr="00306207">
        <w:t xml:space="preserve"> In both countries, the WP agenda centred on three activities being the identification of barriers to participation, elevating and realising aspirations for higher education and increasing participation among identified equity groups</w:t>
      </w:r>
      <w:r>
        <w:t>.</w:t>
      </w:r>
      <w:r w:rsidRPr="00306207">
        <w:rPr>
          <w:rStyle w:val="FootnoteReference"/>
        </w:rPr>
        <w:footnoteReference w:id="175"/>
      </w:r>
      <w:r w:rsidRPr="00306207">
        <w:t xml:space="preserve"> Almost three decades later, the core equity groups defined by </w:t>
      </w:r>
      <w:r w:rsidRPr="00731032">
        <w:rPr>
          <w:rStyle w:val="Emphasis"/>
        </w:rPr>
        <w:t>A Fair Chance for All</w:t>
      </w:r>
      <w:r w:rsidRPr="00306207">
        <w:t xml:space="preserve"> remain relatively unchanged. The original six identified equity groups were people from </w:t>
      </w:r>
      <w:r>
        <w:t>low SES</w:t>
      </w:r>
      <w:r w:rsidRPr="00306207">
        <w:t xml:space="preserve"> backgrounds, Aboriginal and Torres Strait Islander People, Women in Non-Traditional Courses, people from non-English speaking backgrounds, people with disability and people </w:t>
      </w:r>
      <w:r>
        <w:t xml:space="preserve">from </w:t>
      </w:r>
      <w:r w:rsidRPr="00306207">
        <w:t>rural and isolated areas. The co-occurrence or overlapping of equity groups was noted from the outset by the then Government</w:t>
      </w:r>
      <w:r>
        <w:t>,</w:t>
      </w:r>
      <w:r w:rsidRPr="00306207">
        <w:t xml:space="preserve"> who stated that the groups were never intended to be mutually exclusive and many people experienced multiple types of disadvantage. Importantly, the target of parity, being the proportional representation of the general population, was established in </w:t>
      </w:r>
      <w:r w:rsidRPr="00731032">
        <w:rPr>
          <w:rStyle w:val="Emphasis"/>
        </w:rPr>
        <w:t>A Fair Chance for All</w:t>
      </w:r>
      <w:r w:rsidRPr="00306207">
        <w:t xml:space="preserve"> and remains the key measure of success</w:t>
      </w:r>
      <w:r>
        <w:t>.</w:t>
      </w:r>
      <w:r w:rsidRPr="00306207">
        <w:rPr>
          <w:rStyle w:val="FootnoteReference"/>
        </w:rPr>
        <w:footnoteReference w:id="176"/>
      </w:r>
    </w:p>
    <w:p w14:paraId="6D0A3B75" w14:textId="77777777" w:rsidR="00566137" w:rsidRPr="00306207" w:rsidRDefault="00566137" w:rsidP="00731032">
      <w:pPr>
        <w:shd w:val="clear" w:color="auto" w:fill="E2E6E4"/>
        <w:spacing w:after="0"/>
        <w:contextualSpacing/>
        <w:rPr>
          <w:rFonts w:ascii="Calibri" w:eastAsia="Calibri" w:hAnsi="Calibri" w:cs="Times New Roman"/>
          <w:b/>
        </w:rPr>
      </w:pPr>
      <w:r w:rsidRPr="00306207">
        <w:rPr>
          <w:rFonts w:ascii="Calibri" w:eastAsia="Calibri" w:hAnsi="Calibri" w:cs="Calibri"/>
          <w:b/>
        </w:rPr>
        <w:t xml:space="preserve">In </w:t>
      </w:r>
      <w:r w:rsidRPr="00306207">
        <w:rPr>
          <w:rFonts w:ascii="Calibri" w:eastAsia="Calibri" w:hAnsi="Calibri" w:cs="Calibri"/>
          <w:b/>
          <w:noProof/>
        </w:rPr>
        <w:t>summary,</w:t>
      </w:r>
      <w:r w:rsidRPr="00306207">
        <w:rPr>
          <w:rFonts w:ascii="Calibri" w:eastAsia="Calibri" w:hAnsi="Calibri" w:cs="Calibri"/>
          <w:b/>
        </w:rPr>
        <w:t xml:space="preserve"> the literature suggests:</w:t>
      </w:r>
    </w:p>
    <w:p w14:paraId="3C97EF77" w14:textId="77777777" w:rsidR="00566137" w:rsidRPr="00306207" w:rsidRDefault="00566137" w:rsidP="0073103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rPr>
        <w:t xml:space="preserve">the pursuit of equality and equity for people from RRR areas is a longstanding agenda of successive governments. </w:t>
      </w:r>
    </w:p>
    <w:p w14:paraId="2BCA7ABA" w14:textId="77777777" w:rsidR="00566137" w:rsidRPr="00306207" w:rsidRDefault="00566137" w:rsidP="0073103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rPr>
        <w:lastRenderedPageBreak/>
        <w:t>there are currently six identified equity groups in the Australian tertiary education system, including people from RRR areas</w:t>
      </w:r>
      <w:r>
        <w:rPr>
          <w:rFonts w:ascii="Calibri" w:eastAsia="Calibri" w:hAnsi="Calibri" w:cs="Calibri"/>
        </w:rPr>
        <w:t>,</w:t>
      </w:r>
      <w:r w:rsidRPr="00306207">
        <w:rPr>
          <w:rFonts w:ascii="Calibri" w:eastAsia="Calibri" w:hAnsi="Calibri" w:cs="Calibri"/>
        </w:rPr>
        <w:t xml:space="preserve"> that often co-occur</w:t>
      </w:r>
      <w:r>
        <w:rPr>
          <w:rFonts w:ascii="Calibri" w:eastAsia="Calibri" w:hAnsi="Calibri" w:cs="Calibri"/>
        </w:rPr>
        <w:t xml:space="preserve"> and</w:t>
      </w:r>
      <w:r w:rsidRPr="00306207">
        <w:rPr>
          <w:rFonts w:ascii="Calibri" w:eastAsia="Calibri" w:hAnsi="Calibri" w:cs="Calibri"/>
        </w:rPr>
        <w:t xml:space="preserve"> creat</w:t>
      </w:r>
      <w:r>
        <w:rPr>
          <w:rFonts w:ascii="Calibri" w:eastAsia="Calibri" w:hAnsi="Calibri" w:cs="Calibri"/>
        </w:rPr>
        <w:t>e</w:t>
      </w:r>
      <w:r w:rsidRPr="00306207">
        <w:rPr>
          <w:rFonts w:ascii="Calibri" w:eastAsia="Calibri" w:hAnsi="Calibri" w:cs="Calibri"/>
        </w:rPr>
        <w:t xml:space="preserve"> a complex mix of challenges that discourage RRR tertiary education participation.</w:t>
      </w:r>
    </w:p>
    <w:p w14:paraId="758BF739" w14:textId="0B4D75CF" w:rsidR="00731032" w:rsidRPr="00731032" w:rsidRDefault="00731032" w:rsidP="00731032">
      <w:pPr>
        <w:numPr>
          <w:ilvl w:val="0"/>
          <w:numId w:val="10"/>
        </w:numPr>
        <w:shd w:val="clear" w:color="auto" w:fill="E2E6E4"/>
        <w:spacing w:after="0"/>
        <w:contextualSpacing/>
        <w:rPr>
          <w:rFonts w:eastAsia="DengXian Light"/>
        </w:rPr>
      </w:pPr>
      <w:r>
        <w:rPr>
          <w:rFonts w:ascii="Segoe UI" w:hAnsi="Segoe UI" w:cs="Segoe UI"/>
          <w:color w:val="000000"/>
          <w:sz w:val="21"/>
          <w:szCs w:val="21"/>
        </w:rPr>
        <w:t xml:space="preserve">the </w:t>
      </w:r>
      <w:r w:rsidR="007D631B">
        <w:rPr>
          <w:rFonts w:ascii="Segoe UI" w:hAnsi="Segoe UI" w:cs="Segoe UI"/>
          <w:color w:val="000000"/>
          <w:sz w:val="21"/>
          <w:szCs w:val="21"/>
        </w:rPr>
        <w:t xml:space="preserve">Strategy’s </w:t>
      </w:r>
      <w:r>
        <w:rPr>
          <w:rFonts w:ascii="Segoe UI" w:hAnsi="Segoe UI" w:cs="Segoe UI"/>
          <w:color w:val="000000"/>
          <w:sz w:val="21"/>
          <w:szCs w:val="21"/>
        </w:rPr>
        <w:t>long-term vision of equal opportunity and access for RRR students is compatible with the WP agenda.</w:t>
      </w:r>
    </w:p>
    <w:p w14:paraId="68556DB8" w14:textId="7ECC0FED" w:rsidR="00566137" w:rsidRPr="00306207" w:rsidRDefault="00566137" w:rsidP="00726804">
      <w:pPr>
        <w:pStyle w:val="Heading3"/>
        <w:rPr>
          <w:rFonts w:eastAsia="DengXian Light"/>
        </w:rPr>
      </w:pPr>
      <w:r w:rsidRPr="00306207">
        <w:rPr>
          <w:rFonts w:eastAsia="DengXian Light"/>
        </w:rPr>
        <w:t>4.1 Benchmarking Australia’s widening participation policies and practices</w:t>
      </w:r>
    </w:p>
    <w:p w14:paraId="305F2215" w14:textId="29B6BABB" w:rsidR="00566137" w:rsidRPr="00306207" w:rsidRDefault="00566137" w:rsidP="00566137">
      <w:r w:rsidRPr="00306207">
        <w:t>A recent report by Salmi (2018)</w:t>
      </w:r>
      <w:r>
        <w:t>,</w:t>
      </w:r>
      <w:r w:rsidRPr="00306207">
        <w:rPr>
          <w:rStyle w:val="FootnoteReference"/>
        </w:rPr>
        <w:footnoteReference w:id="177"/>
      </w:r>
      <w:r w:rsidRPr="00306207">
        <w:t xml:space="preserve"> assessed the nature and extent of WP policy commitments of 71 countries and concluded that Australia is </w:t>
      </w:r>
      <w:r>
        <w:t xml:space="preserve">a </w:t>
      </w:r>
      <w:r w:rsidRPr="00306207">
        <w:t xml:space="preserve">world leader, having formulated and implemented a comprehensive equity strategy. Australia is one of only six countries of the 71 reviewed to be considered ‘advanced’ with their WP commitment, </w:t>
      </w:r>
      <w:r>
        <w:t xml:space="preserve">along with </w:t>
      </w:r>
      <w:r w:rsidRPr="00306207">
        <w:t>England, Scotland, Ireland, New Zealand and Cuba.</w:t>
      </w:r>
    </w:p>
    <w:p w14:paraId="4CAB4B3B" w14:textId="77777777" w:rsidR="00566137" w:rsidRPr="00306207" w:rsidRDefault="00566137" w:rsidP="00566137">
      <w:r w:rsidRPr="00306207">
        <w:t xml:space="preserve">Salmi (2018) highlights more countries </w:t>
      </w:r>
      <w:r>
        <w:t xml:space="preserve">that </w:t>
      </w:r>
      <w:r w:rsidRPr="00306207">
        <w:t xml:space="preserve">are now combining financial </w:t>
      </w:r>
      <w:r>
        <w:t>and</w:t>
      </w:r>
      <w:r w:rsidRPr="00306207">
        <w:t xml:space="preserve"> non-monetary interventions to address the barriers faced by students from disadvantaged backgrounds. Non-monetary interventions such as career guidance, recognition of prior learning and flexible pathways, outreach programs, retention programs and supports for students from equity groups who live in remote areas. Combined financial and non-monetary strategies are the most effective way to address inequality in tertiary education with this approach requiring ongoing collaboration between governments and institutions. From a global perspective, Salmi (2018b)</w:t>
      </w:r>
      <w:r w:rsidRPr="00306207">
        <w:rPr>
          <w:rStyle w:val="FootnoteReference"/>
        </w:rPr>
        <w:footnoteReference w:id="178"/>
      </w:r>
      <w:r w:rsidRPr="00306207">
        <w:t xml:space="preserve"> identified effective ways to overcome financial barriers includ</w:t>
      </w:r>
      <w:r>
        <w:t>ing</w:t>
      </w:r>
      <w:r w:rsidRPr="00306207">
        <w:t xml:space="preserve"> low or no tuition fees, need-based grants and income-contingent loans. Non-monetary </w:t>
      </w:r>
      <w:r>
        <w:t xml:space="preserve">interventions </w:t>
      </w:r>
      <w:r w:rsidRPr="00306207">
        <w:t xml:space="preserve">in addition to those previously mentioned include partnerships with schools, elevating aspirations of students from a young age and introducing preferential admission programs. Bridging programs are helpful for students from </w:t>
      </w:r>
      <w:r>
        <w:t xml:space="preserve">RRR </w:t>
      </w:r>
      <w:r w:rsidRPr="00306207">
        <w:t>areas as most of the challenges they experience in tertiary education result from an inadequate secondary education.</w:t>
      </w:r>
    </w:p>
    <w:p w14:paraId="6271FAD6" w14:textId="1ED25395" w:rsidR="00566137" w:rsidRPr="00306207" w:rsidRDefault="00566137" w:rsidP="00566137">
      <w:r w:rsidRPr="00306207">
        <w:t xml:space="preserve">Salmi (2018) noted shared international challenges such as the need for </w:t>
      </w:r>
      <w:r>
        <w:t>(</w:t>
      </w:r>
      <w:r w:rsidRPr="00306207">
        <w:t>but lack of</w:t>
      </w:r>
      <w:r>
        <w:t>)</w:t>
      </w:r>
      <w:r w:rsidRPr="00306207">
        <w:t xml:space="preserve"> student background data, sometimes due to ethical and privacy concerns</w:t>
      </w:r>
      <w:r>
        <w:t>.</w:t>
      </w:r>
      <w:r w:rsidRPr="00306207">
        <w:rPr>
          <w:rStyle w:val="FootnoteReference"/>
        </w:rPr>
        <w:footnoteReference w:id="179"/>
      </w:r>
      <w:r w:rsidR="003D1C2F">
        <w:t xml:space="preserve"> G</w:t>
      </w:r>
      <w:r w:rsidRPr="00306207">
        <w:t xml:space="preserve">lobally there is tension between excellence and inclusion </w:t>
      </w:r>
      <w:r w:rsidR="003D1C2F">
        <w:t>resulting from</w:t>
      </w:r>
      <w:r w:rsidRPr="00306207">
        <w:t xml:space="preserve"> the pursuit of higher rankings</w:t>
      </w:r>
      <w:r w:rsidR="003D1C2F">
        <w:t xml:space="preserve"> on international league tables. </w:t>
      </w:r>
      <w:r w:rsidR="003D1C2F" w:rsidRPr="003D1C2F">
        <w:t>Internationally there have been concerns that this pursuit of rankings has the potential to crowd out the social equity dimension of unive</w:t>
      </w:r>
      <w:r w:rsidR="003D1C2F">
        <w:t>rsity missions</w:t>
      </w:r>
      <w:r>
        <w:t>.</w:t>
      </w:r>
      <w:r w:rsidRPr="00306207">
        <w:rPr>
          <w:rStyle w:val="FootnoteReference"/>
        </w:rPr>
        <w:footnoteReference w:id="180"/>
      </w:r>
    </w:p>
    <w:p w14:paraId="49B0CCDE" w14:textId="77777777" w:rsidR="00566137" w:rsidRPr="00306207" w:rsidRDefault="00566137" w:rsidP="00731032">
      <w:pPr>
        <w:shd w:val="clear" w:color="auto" w:fill="E2E6E4"/>
        <w:contextualSpacing/>
        <w:rPr>
          <w:rFonts w:ascii="Calibri" w:eastAsia="Calibri" w:hAnsi="Calibri" w:cs="Times New Roman"/>
          <w:b/>
        </w:rPr>
      </w:pPr>
      <w:r w:rsidRPr="00306207">
        <w:rPr>
          <w:rFonts w:ascii="Calibri" w:eastAsia="Calibri" w:hAnsi="Calibri" w:cs="Calibri"/>
          <w:b/>
        </w:rPr>
        <w:t xml:space="preserve">In </w:t>
      </w:r>
      <w:r w:rsidRPr="00306207">
        <w:rPr>
          <w:rFonts w:ascii="Calibri" w:eastAsia="Calibri" w:hAnsi="Calibri" w:cs="Calibri"/>
          <w:b/>
          <w:noProof/>
        </w:rPr>
        <w:t>summary,</w:t>
      </w:r>
      <w:r w:rsidRPr="00306207">
        <w:rPr>
          <w:rFonts w:ascii="Calibri" w:eastAsia="Calibri" w:hAnsi="Calibri" w:cs="Calibri"/>
          <w:b/>
        </w:rPr>
        <w:t xml:space="preserve"> the literature suggests:</w:t>
      </w:r>
    </w:p>
    <w:p w14:paraId="1EB0346C" w14:textId="77777777" w:rsidR="00566137" w:rsidRPr="00306207" w:rsidRDefault="00566137" w:rsidP="00731032">
      <w:pPr>
        <w:numPr>
          <w:ilvl w:val="0"/>
          <w:numId w:val="10"/>
        </w:numPr>
        <w:shd w:val="clear" w:color="auto" w:fill="E2E6E4"/>
        <w:spacing w:after="200"/>
        <w:contextualSpacing/>
        <w:jc w:val="both"/>
        <w:rPr>
          <w:rFonts w:ascii="Calibri" w:eastAsia="Calibri" w:hAnsi="Calibri" w:cs="Calibri"/>
        </w:rPr>
      </w:pPr>
      <w:r w:rsidRPr="00306207">
        <w:rPr>
          <w:rFonts w:ascii="Calibri" w:eastAsia="Calibri" w:hAnsi="Calibri" w:cs="Calibri"/>
        </w:rPr>
        <w:t xml:space="preserve">Australia is a world leader in </w:t>
      </w:r>
      <w:r>
        <w:rPr>
          <w:rFonts w:ascii="Calibri" w:eastAsia="Calibri" w:hAnsi="Calibri" w:cs="Calibri"/>
        </w:rPr>
        <w:t xml:space="preserve">WP </w:t>
      </w:r>
      <w:r w:rsidRPr="00306207">
        <w:rPr>
          <w:rFonts w:ascii="Calibri" w:eastAsia="Calibri" w:hAnsi="Calibri" w:cs="Calibri"/>
        </w:rPr>
        <w:t xml:space="preserve">policy and </w:t>
      </w:r>
      <w:r>
        <w:rPr>
          <w:rFonts w:ascii="Calibri" w:eastAsia="Calibri" w:hAnsi="Calibri" w:cs="Calibri"/>
        </w:rPr>
        <w:t xml:space="preserve">has </w:t>
      </w:r>
      <w:r w:rsidRPr="00306207">
        <w:rPr>
          <w:rFonts w:ascii="Calibri" w:eastAsia="Calibri" w:hAnsi="Calibri" w:cs="Calibri"/>
        </w:rPr>
        <w:t>demonstrated commitment to increasing equity group participation.</w:t>
      </w:r>
    </w:p>
    <w:p w14:paraId="68D7C98E" w14:textId="77777777" w:rsidR="00566137" w:rsidRPr="00306207" w:rsidRDefault="00566137" w:rsidP="00731032">
      <w:pPr>
        <w:numPr>
          <w:ilvl w:val="0"/>
          <w:numId w:val="10"/>
        </w:numPr>
        <w:shd w:val="clear" w:color="auto" w:fill="E2E6E4"/>
        <w:spacing w:after="200"/>
        <w:contextualSpacing/>
        <w:jc w:val="both"/>
        <w:rPr>
          <w:rFonts w:ascii="Calibri" w:eastAsia="Calibri" w:hAnsi="Calibri" w:cs="Calibri"/>
        </w:rPr>
      </w:pPr>
      <w:r w:rsidRPr="00306207">
        <w:rPr>
          <w:rFonts w:ascii="Calibri" w:eastAsia="Calibri" w:hAnsi="Calibri" w:cs="Calibri"/>
        </w:rPr>
        <w:t>combining financial and non-monetary supports is international best practice.</w:t>
      </w:r>
    </w:p>
    <w:p w14:paraId="395C40E0" w14:textId="77777777" w:rsidR="00566137" w:rsidRPr="00306207" w:rsidRDefault="00566137" w:rsidP="00731032">
      <w:pPr>
        <w:numPr>
          <w:ilvl w:val="0"/>
          <w:numId w:val="10"/>
        </w:numPr>
        <w:shd w:val="clear" w:color="auto" w:fill="E2E6E4"/>
        <w:spacing w:after="200"/>
        <w:contextualSpacing/>
        <w:jc w:val="both"/>
        <w:rPr>
          <w:rFonts w:ascii="Calibri" w:eastAsia="Calibri" w:hAnsi="Calibri" w:cs="Calibri"/>
        </w:rPr>
      </w:pPr>
      <w:r w:rsidRPr="00306207">
        <w:rPr>
          <w:rFonts w:ascii="Calibri" w:eastAsia="Calibri" w:hAnsi="Calibri" w:cs="Calibri"/>
        </w:rPr>
        <w:t>experiences related to data limitations and the tensions between institutional excellence and inclusion are shared.</w:t>
      </w:r>
    </w:p>
    <w:p w14:paraId="2331A79F" w14:textId="77777777" w:rsidR="00566137" w:rsidRPr="00306207" w:rsidRDefault="00566137" w:rsidP="00726804">
      <w:pPr>
        <w:pStyle w:val="Heading3"/>
      </w:pPr>
      <w:r w:rsidRPr="00306207">
        <w:lastRenderedPageBreak/>
        <w:t xml:space="preserve">4.2 The Higher Education Participation and Partnerships Program (HEPPP) </w:t>
      </w:r>
    </w:p>
    <w:p w14:paraId="42F834DC" w14:textId="2B238D1E" w:rsidR="00566137" w:rsidRPr="00306207" w:rsidRDefault="00566137" w:rsidP="00566137">
      <w:r>
        <w:rPr>
          <w:rFonts w:ascii="Calibri" w:eastAsia="Calibri" w:hAnsi="Calibri" w:cs="Times New Roman"/>
        </w:rPr>
        <w:t xml:space="preserve">The </w:t>
      </w:r>
      <w:r w:rsidRPr="00306207">
        <w:rPr>
          <w:rFonts w:ascii="Calibri" w:eastAsia="Calibri" w:hAnsi="Calibri" w:cs="Times New Roman"/>
        </w:rPr>
        <w:t xml:space="preserve">HEPPP was established in 2010 </w:t>
      </w:r>
      <w:r>
        <w:rPr>
          <w:rFonts w:ascii="Calibri" w:eastAsia="Calibri" w:hAnsi="Calibri" w:cs="Times New Roman"/>
        </w:rPr>
        <w:t xml:space="preserve">to </w:t>
      </w:r>
      <w:r w:rsidRPr="00306207">
        <w:rPr>
          <w:rFonts w:ascii="Calibri" w:eastAsia="Calibri" w:hAnsi="Calibri" w:cs="Times New Roman"/>
        </w:rPr>
        <w:t>address barriers to participation in higher education.</w:t>
      </w:r>
      <w:r w:rsidR="00F95788">
        <w:rPr>
          <w:rFonts w:ascii="Calibri" w:eastAsia="Calibri" w:hAnsi="Calibri" w:cs="Times New Roman"/>
        </w:rPr>
        <w:t xml:space="preserve"> The</w:t>
      </w:r>
      <w:r w:rsidRPr="00306207">
        <w:rPr>
          <w:rFonts w:ascii="Calibri" w:eastAsia="Calibri" w:hAnsi="Calibri" w:cs="Times New Roman"/>
        </w:rPr>
        <w:t xml:space="preserve"> HEPPP aims to ensure that Australians from low SES backgrounds, including those in RRR areas, who have the ability to study at university have the opportunity to do so. A comprehensive review of programs resulted in the Equity Initiatives Framework (2016)</w:t>
      </w:r>
      <w:r w:rsidRPr="00306207">
        <w:rPr>
          <w:rFonts w:ascii="Calibri" w:eastAsia="Calibri" w:hAnsi="Calibri" w:cs="Times New Roman"/>
          <w:vertAlign w:val="superscript"/>
        </w:rPr>
        <w:footnoteReference w:id="181"/>
      </w:r>
      <w:r w:rsidRPr="00306207">
        <w:rPr>
          <w:rFonts w:ascii="Calibri" w:eastAsia="Calibri" w:hAnsi="Calibri" w:cs="Times New Roman"/>
        </w:rPr>
        <w:t xml:space="preserve"> which mapped programs to the student lifecycle, noting key target groups (e.g. school students, teachers), common aims of programs and types of activities undertaken. The Framework also identified sector and institution principles and possible ways to evaluate program outcomes. </w:t>
      </w:r>
      <w:r w:rsidRPr="00306207">
        <w:t xml:space="preserve">Most WP interventions are aimed at secondary school students and those commencing </w:t>
      </w:r>
      <w:r>
        <w:t xml:space="preserve">tertiary </w:t>
      </w:r>
      <w:r w:rsidRPr="00306207">
        <w:t xml:space="preserve">education, and there are significant challenges associated with evaluating these interventions to guide future, cost-effective </w:t>
      </w:r>
      <w:r>
        <w:t xml:space="preserve">programs </w:t>
      </w:r>
      <w:r w:rsidRPr="00306207">
        <w:t>that are impactful</w:t>
      </w:r>
      <w:r>
        <w:t>.</w:t>
      </w:r>
      <w:r w:rsidRPr="00306207">
        <w:rPr>
          <w:rStyle w:val="FootnoteReference"/>
        </w:rPr>
        <w:footnoteReference w:id="182"/>
      </w:r>
      <w:r w:rsidRPr="00306207">
        <w:t xml:space="preserve"> </w:t>
      </w:r>
      <w:r>
        <w:t>E</w:t>
      </w:r>
      <w:r w:rsidRPr="00306207">
        <w:t>stablishing evidence of the mediating role of WP interventions remains elusive, despite significant efforts via HEPP</w:t>
      </w:r>
      <w:r w:rsidR="00F95788">
        <w:t xml:space="preserve">P projects commissioned by the </w:t>
      </w:r>
      <w:r w:rsidR="00300A7F">
        <w:t>D</w:t>
      </w:r>
      <w:r w:rsidR="00F95788">
        <w:t>epartment</w:t>
      </w:r>
      <w:r w:rsidR="00300A7F">
        <w:t xml:space="preserve"> of Education</w:t>
      </w:r>
      <w:r>
        <w:t xml:space="preserve"> </w:t>
      </w:r>
      <w:r w:rsidR="00300A7F">
        <w:t xml:space="preserve">(the department) </w:t>
      </w:r>
      <w:r w:rsidRPr="00306207">
        <w:t>to develop measures of the effectiveness of WP interventions and identify successful WP intervention characteristics</w:t>
      </w:r>
      <w:r>
        <w:t>.</w:t>
      </w:r>
      <w:r w:rsidRPr="00306207">
        <w:rPr>
          <w:rStyle w:val="FootnoteReference"/>
        </w:rPr>
        <w:footnoteReference w:id="183"/>
      </w:r>
    </w:p>
    <w:p w14:paraId="67EE81F1" w14:textId="77777777" w:rsidR="00566137" w:rsidRPr="00306207" w:rsidRDefault="00566137" w:rsidP="00566137">
      <w:pPr>
        <w:spacing w:after="0"/>
        <w:rPr>
          <w:rFonts w:ascii="Calibri" w:eastAsia="Calibri" w:hAnsi="Calibri" w:cs="Times New Roman"/>
        </w:rPr>
      </w:pPr>
      <w:r w:rsidRPr="00306207">
        <w:rPr>
          <w:rFonts w:ascii="Calibri" w:eastAsia="Calibri" w:hAnsi="Calibri" w:cs="Times New Roman"/>
        </w:rPr>
        <w:t>Some aspects of HEPPP</w:t>
      </w:r>
      <w:r>
        <w:rPr>
          <w:rFonts w:ascii="Calibri" w:eastAsia="Calibri" w:hAnsi="Calibri" w:cs="Times New Roman"/>
        </w:rPr>
        <w:t xml:space="preserve"> </w:t>
      </w:r>
      <w:r w:rsidRPr="00306207">
        <w:rPr>
          <w:rFonts w:ascii="Calibri" w:eastAsia="Calibri" w:hAnsi="Calibri" w:cs="Times New Roman"/>
        </w:rPr>
        <w:t xml:space="preserve">funded programs that </w:t>
      </w:r>
      <w:r>
        <w:rPr>
          <w:rFonts w:ascii="Calibri" w:eastAsia="Calibri" w:hAnsi="Calibri" w:cs="Times New Roman"/>
        </w:rPr>
        <w:t xml:space="preserve">are proven to </w:t>
      </w:r>
      <w:r w:rsidRPr="00306207">
        <w:rPr>
          <w:rFonts w:ascii="Calibri" w:eastAsia="Calibri" w:hAnsi="Calibri" w:cs="Times New Roman"/>
        </w:rPr>
        <w:t>work include</w:t>
      </w:r>
      <w:r>
        <w:rPr>
          <w:rFonts w:ascii="Calibri" w:eastAsia="Calibri" w:hAnsi="Calibri" w:cs="Times New Roman"/>
        </w:rPr>
        <w:t>:</w:t>
      </w:r>
      <w:r w:rsidRPr="00306207">
        <w:rPr>
          <w:rFonts w:ascii="Calibri" w:eastAsia="Calibri" w:hAnsi="Calibri" w:cs="Times New Roman"/>
          <w:vertAlign w:val="superscript"/>
        </w:rPr>
        <w:footnoteReference w:id="184"/>
      </w:r>
    </w:p>
    <w:p w14:paraId="43FBD5E3" w14:textId="0C5F168F"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 xml:space="preserve">clearly defined project objectives </w:t>
      </w:r>
      <w:r>
        <w:rPr>
          <w:rFonts w:ascii="Calibri" w:eastAsia="Calibri" w:hAnsi="Calibri" w:cs="Times New Roman"/>
        </w:rPr>
        <w:t>(</w:t>
      </w:r>
      <w:r w:rsidRPr="00306207">
        <w:rPr>
          <w:rFonts w:ascii="Calibri" w:eastAsia="Calibri" w:hAnsi="Calibri" w:cs="Times New Roman"/>
        </w:rPr>
        <w:t xml:space="preserve">e.g. demystify university for </w:t>
      </w:r>
      <w:r w:rsidR="00F95788">
        <w:rPr>
          <w:rFonts w:ascii="Calibri" w:eastAsia="Calibri" w:hAnsi="Calibri" w:cs="Times New Roman"/>
        </w:rPr>
        <w:t>school students in Y</w:t>
      </w:r>
      <w:r w:rsidRPr="00306207">
        <w:rPr>
          <w:rFonts w:ascii="Calibri" w:eastAsia="Calibri" w:hAnsi="Calibri" w:cs="Times New Roman"/>
        </w:rPr>
        <w:t>ears 5–9)</w:t>
      </w:r>
      <w:r>
        <w:rPr>
          <w:rFonts w:ascii="Calibri" w:eastAsia="Calibri" w:hAnsi="Calibri" w:cs="Times New Roman"/>
        </w:rPr>
        <w:t>,</w:t>
      </w:r>
    </w:p>
    <w:p w14:paraId="2F494F6A" w14:textId="77777777"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collaboration across education sectors</w:t>
      </w:r>
      <w:r>
        <w:rPr>
          <w:rFonts w:ascii="Calibri" w:eastAsia="Calibri" w:hAnsi="Calibri" w:cs="Times New Roman"/>
        </w:rPr>
        <w:t>,</w:t>
      </w:r>
    </w:p>
    <w:p w14:paraId="2A786934" w14:textId="77777777"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continuity of efforts over several years to maximise program effects</w:t>
      </w:r>
      <w:r>
        <w:rPr>
          <w:rFonts w:ascii="Calibri" w:eastAsia="Calibri" w:hAnsi="Calibri" w:cs="Times New Roman"/>
        </w:rPr>
        <w:t>,</w:t>
      </w:r>
    </w:p>
    <w:p w14:paraId="6868C59B" w14:textId="77777777"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a tailored approach which recognises differing needs of students, schools and communities</w:t>
      </w:r>
      <w:r>
        <w:rPr>
          <w:rFonts w:ascii="Calibri" w:eastAsia="Calibri" w:hAnsi="Calibri" w:cs="Times New Roman"/>
        </w:rPr>
        <w:t>,</w:t>
      </w:r>
    </w:p>
    <w:p w14:paraId="1671C3B9" w14:textId="77777777"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encouraging positive school cultures</w:t>
      </w:r>
      <w:r>
        <w:rPr>
          <w:rFonts w:ascii="Calibri" w:eastAsia="Calibri" w:hAnsi="Calibri" w:cs="Times New Roman"/>
        </w:rPr>
        <w:t>,</w:t>
      </w:r>
    </w:p>
    <w:p w14:paraId="256E3FB7" w14:textId="77777777"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enhancing student confidence, career aspirations, sense of achievement and belonging</w:t>
      </w:r>
      <w:r>
        <w:rPr>
          <w:rFonts w:ascii="Calibri" w:eastAsia="Calibri" w:hAnsi="Calibri" w:cs="Times New Roman"/>
        </w:rPr>
        <w:t>,</w:t>
      </w:r>
    </w:p>
    <w:p w14:paraId="118F091A" w14:textId="77777777"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 xml:space="preserve">alignment of the </w:t>
      </w:r>
      <w:r w:rsidRPr="00306207">
        <w:rPr>
          <w:rFonts w:ascii="Calibri" w:eastAsia="Calibri" w:hAnsi="Calibri" w:cs="Times New Roman"/>
          <w:noProof/>
        </w:rPr>
        <w:t>program</w:t>
      </w:r>
      <w:r w:rsidRPr="00306207">
        <w:rPr>
          <w:rFonts w:ascii="Calibri" w:eastAsia="Calibri" w:hAnsi="Calibri" w:cs="Times New Roman"/>
        </w:rPr>
        <w:t xml:space="preserve"> with students’ age and stage of life</w:t>
      </w:r>
      <w:r>
        <w:rPr>
          <w:rFonts w:ascii="Calibri" w:eastAsia="Calibri" w:hAnsi="Calibri" w:cs="Times New Roman"/>
        </w:rPr>
        <w:t>,</w:t>
      </w:r>
    </w:p>
    <w:p w14:paraId="375CF812" w14:textId="77777777"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parent engagement tailored to the parents’ characteristics</w:t>
      </w:r>
      <w:r>
        <w:rPr>
          <w:rFonts w:ascii="Calibri" w:eastAsia="Calibri" w:hAnsi="Calibri" w:cs="Times New Roman"/>
        </w:rPr>
        <w:t>,</w:t>
      </w:r>
    </w:p>
    <w:p w14:paraId="04A5AB47" w14:textId="77777777"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‘people rich’ programs that develop ongoing relationships and conversations</w:t>
      </w:r>
      <w:r>
        <w:rPr>
          <w:rFonts w:ascii="Calibri" w:eastAsia="Calibri" w:hAnsi="Calibri" w:cs="Times New Roman"/>
        </w:rPr>
        <w:t>,</w:t>
      </w:r>
    </w:p>
    <w:p w14:paraId="62A86303" w14:textId="77777777"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programs that target cohorts rather than individuals or the student population en masse</w:t>
      </w:r>
      <w:r>
        <w:rPr>
          <w:rFonts w:ascii="Calibri" w:eastAsia="Calibri" w:hAnsi="Calibri" w:cs="Times New Roman"/>
        </w:rPr>
        <w:t>,</w:t>
      </w:r>
    </w:p>
    <w:p w14:paraId="70EB47F9" w14:textId="77777777"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inclusive higher education programs</w:t>
      </w:r>
      <w:r>
        <w:rPr>
          <w:rFonts w:ascii="Calibri" w:eastAsia="Calibri" w:hAnsi="Calibri" w:cs="Times New Roman"/>
        </w:rPr>
        <w:t>, and</w:t>
      </w:r>
    </w:p>
    <w:p w14:paraId="0D350C27" w14:textId="77777777" w:rsidR="00566137" w:rsidRPr="00306207" w:rsidRDefault="00566137" w:rsidP="00041655">
      <w:pPr>
        <w:numPr>
          <w:ilvl w:val="0"/>
          <w:numId w:val="11"/>
        </w:numPr>
        <w:spacing w:after="0"/>
        <w:contextualSpacing/>
        <w:rPr>
          <w:rFonts w:ascii="Calibri" w:eastAsia="Calibri" w:hAnsi="Calibri" w:cs="Times New Roman"/>
        </w:rPr>
      </w:pPr>
      <w:r w:rsidRPr="00306207">
        <w:rPr>
          <w:rFonts w:ascii="Calibri" w:eastAsia="Calibri" w:hAnsi="Calibri" w:cs="Times New Roman"/>
        </w:rPr>
        <w:t>evaluation that is stakeholder-centred, context-specific and iterative</w:t>
      </w:r>
      <w:r>
        <w:rPr>
          <w:rFonts w:ascii="Calibri" w:eastAsia="Calibri" w:hAnsi="Calibri" w:cs="Times New Roman"/>
        </w:rPr>
        <w:t>.</w:t>
      </w:r>
    </w:p>
    <w:p w14:paraId="471FEED6" w14:textId="77777777" w:rsidR="00566137" w:rsidRPr="00306207" w:rsidRDefault="00566137" w:rsidP="00566137">
      <w:pPr>
        <w:spacing w:after="0"/>
        <w:contextualSpacing/>
        <w:rPr>
          <w:rFonts w:ascii="Calibri" w:eastAsia="Calibri" w:hAnsi="Calibri" w:cs="Times New Roman"/>
        </w:rPr>
      </w:pPr>
    </w:p>
    <w:p w14:paraId="64871771" w14:textId="751EAAAC" w:rsidR="00731032" w:rsidRDefault="00566137">
      <w:r w:rsidRPr="00306207">
        <w:t xml:space="preserve">Abroad, the Higher Education Access Tracker (heat.ac.uk) service </w:t>
      </w:r>
      <w:r>
        <w:t xml:space="preserve">allows </w:t>
      </w:r>
      <w:r w:rsidRPr="00306207">
        <w:t xml:space="preserve">higher education providers to monitor and evaluate WP efforts via the provision of </w:t>
      </w:r>
      <w:r>
        <w:t xml:space="preserve">a </w:t>
      </w:r>
      <w:r w:rsidRPr="00306207">
        <w:t xml:space="preserve">shared, central online database, analysis and reporting functions. This service is a non-profit collaboration between higher education providers that commenced in 2013 and became self-sustaining in 2018, financed by subscribing </w:t>
      </w:r>
      <w:r w:rsidRPr="00306207">
        <w:lastRenderedPageBreak/>
        <w:t xml:space="preserve">members. In the future, the </w:t>
      </w:r>
      <w:r w:rsidR="00F95788">
        <w:t>department</w:t>
      </w:r>
      <w:r>
        <w:t xml:space="preserve"> </w:t>
      </w:r>
      <w:r w:rsidRPr="00306207">
        <w:t>may consider a similar large-scale dedicated WP service, or perhaps the HEAT service may be</w:t>
      </w:r>
      <w:r>
        <w:t>come</w:t>
      </w:r>
      <w:r w:rsidRPr="00306207">
        <w:t xml:space="preserve"> available for Australian universities.</w:t>
      </w:r>
    </w:p>
    <w:p w14:paraId="2368F3EE" w14:textId="77777777" w:rsidR="00566137" w:rsidRPr="00306207" w:rsidRDefault="00566137" w:rsidP="00731032">
      <w:pPr>
        <w:shd w:val="clear" w:color="auto" w:fill="E2E6E4"/>
        <w:spacing w:after="0"/>
        <w:contextualSpacing/>
        <w:rPr>
          <w:rFonts w:ascii="Calibri" w:eastAsia="Calibri" w:hAnsi="Calibri" w:cs="Calibri"/>
        </w:rPr>
      </w:pPr>
      <w:r w:rsidRPr="00306207">
        <w:rPr>
          <w:rFonts w:ascii="Calibri" w:eastAsia="Calibri" w:hAnsi="Calibri" w:cs="Calibri"/>
          <w:b/>
        </w:rPr>
        <w:t xml:space="preserve">In </w:t>
      </w:r>
      <w:r w:rsidRPr="00306207">
        <w:rPr>
          <w:rFonts w:ascii="Calibri" w:eastAsia="Calibri" w:hAnsi="Calibri" w:cs="Calibri"/>
          <w:b/>
          <w:noProof/>
        </w:rPr>
        <w:t>summary,</w:t>
      </w:r>
      <w:r w:rsidRPr="00306207">
        <w:rPr>
          <w:rFonts w:ascii="Calibri" w:eastAsia="Calibri" w:hAnsi="Calibri" w:cs="Calibri"/>
          <w:b/>
        </w:rPr>
        <w:t xml:space="preserve"> the literature suggests: </w:t>
      </w:r>
    </w:p>
    <w:p w14:paraId="0C62BD4B" w14:textId="77777777" w:rsidR="00566137" w:rsidRPr="00306207" w:rsidRDefault="00566137" w:rsidP="0073103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rPr>
        <w:t>there are key aspects that underpin successful HEPPP-funded programs aimed at increasing tertiary participation including cross-sector collaborations, parent engagement, targeted and tailored programs for different groups and continuity of programs and relationships over several years.</w:t>
      </w:r>
    </w:p>
    <w:p w14:paraId="430492D4" w14:textId="77777777" w:rsidR="00566137" w:rsidRPr="00306207" w:rsidRDefault="00566137" w:rsidP="00731032">
      <w:pPr>
        <w:numPr>
          <w:ilvl w:val="0"/>
          <w:numId w:val="10"/>
        </w:numPr>
        <w:shd w:val="clear" w:color="auto" w:fill="E2E6E4"/>
        <w:spacing w:after="0"/>
        <w:contextualSpacing/>
        <w:jc w:val="both"/>
        <w:rPr>
          <w:rFonts w:ascii="Calibri" w:eastAsia="Calibri" w:hAnsi="Calibri" w:cs="Calibri"/>
        </w:rPr>
      </w:pPr>
      <w:r w:rsidRPr="00306207">
        <w:rPr>
          <w:rFonts w:ascii="Calibri" w:eastAsia="Calibri" w:hAnsi="Calibri" w:cs="Calibri"/>
        </w:rPr>
        <w:t>a large-scale dedicated online WP service that allows higher education providers to monitor and evaluate WP efforts may be considered by the department in the future.</w:t>
      </w:r>
    </w:p>
    <w:p w14:paraId="2181ABC7" w14:textId="77777777" w:rsidR="00566137" w:rsidRPr="00306207" w:rsidRDefault="00566137" w:rsidP="00726804">
      <w:pPr>
        <w:pStyle w:val="Heading2"/>
        <w:rPr>
          <w:rFonts w:eastAsia="DengXian Light"/>
        </w:rPr>
      </w:pPr>
      <w:bookmarkStart w:id="80" w:name="_Toc11861008"/>
      <w:bookmarkStart w:id="81" w:name="_Toc13224815"/>
      <w:r w:rsidRPr="00306207">
        <w:rPr>
          <w:rFonts w:eastAsia="DengXian Light"/>
        </w:rPr>
        <w:t>5.0 Key considerations</w:t>
      </w:r>
      <w:bookmarkEnd w:id="80"/>
      <w:bookmarkEnd w:id="81"/>
    </w:p>
    <w:p w14:paraId="06A7C631" w14:textId="77777777" w:rsidR="00566137" w:rsidRPr="00306207" w:rsidRDefault="00566137" w:rsidP="00726804">
      <w:pPr>
        <w:pStyle w:val="Heading3"/>
        <w:rPr>
          <w:rFonts w:eastAsia="DengXian Light"/>
        </w:rPr>
      </w:pPr>
      <w:r w:rsidRPr="00306207">
        <w:rPr>
          <w:rFonts w:eastAsia="DengXian Light"/>
        </w:rPr>
        <w:t xml:space="preserve">5.1 The Triple Helix Model: How can university-industry-government relationships address the metropolitan-RRR education divide? </w:t>
      </w:r>
    </w:p>
    <w:p w14:paraId="6D6AF18E" w14:textId="14766199" w:rsidR="00566137" w:rsidRPr="00306207" w:rsidRDefault="00566137" w:rsidP="00566137">
      <w:pPr>
        <w:rPr>
          <w:rFonts w:ascii="Calibri" w:eastAsia="Calibri" w:hAnsi="Calibri" w:cs="Calibri"/>
        </w:rPr>
      </w:pPr>
      <w:r w:rsidRPr="00306207">
        <w:rPr>
          <w:rFonts w:ascii="Calibri" w:eastAsia="Calibri" w:hAnsi="Calibri" w:cs="Calibri"/>
        </w:rPr>
        <w:t xml:space="preserve">Consultations and feedback often referred to the need for linkages between </w:t>
      </w:r>
      <w:r w:rsidR="00F95788">
        <w:rPr>
          <w:rFonts w:ascii="Calibri" w:eastAsia="Calibri" w:hAnsi="Calibri" w:cs="Calibri"/>
        </w:rPr>
        <w:t>education providers</w:t>
      </w:r>
      <w:r w:rsidRPr="00306207">
        <w:rPr>
          <w:rFonts w:ascii="Calibri" w:eastAsia="Calibri" w:hAnsi="Calibri" w:cs="Calibri"/>
        </w:rPr>
        <w:t xml:space="preserve">, local businesses and industries and governments. Similar sentiments have been reported in the literature. </w:t>
      </w:r>
      <w:r>
        <w:rPr>
          <w:rFonts w:ascii="Calibri" w:eastAsia="Calibri" w:hAnsi="Calibri" w:cs="Calibri"/>
        </w:rPr>
        <w:t>T</w:t>
      </w:r>
      <w:r w:rsidRPr="00306207">
        <w:rPr>
          <w:rFonts w:ascii="Calibri" w:eastAsia="Calibri" w:hAnsi="Calibri" w:cs="Calibri"/>
        </w:rPr>
        <w:t xml:space="preserve">he NCSEHE report </w:t>
      </w:r>
      <w:r w:rsidRPr="00731032">
        <w:rPr>
          <w:rStyle w:val="Emphasis"/>
        </w:rPr>
        <w:t>Successful Outcomes for Regional and Remote Students in Australian Higher Education</w:t>
      </w:r>
      <w:r w:rsidRPr="00306207">
        <w:rPr>
          <w:rFonts w:ascii="Calibri" w:eastAsia="Calibri" w:hAnsi="Calibri" w:cs="Calibri"/>
        </w:rPr>
        <w:t xml:space="preserve"> notes the ‘misalignment between what universities have to offer and what regional jobs are available’ and that ‘qualifications alone do not create jobs</w:t>
      </w:r>
      <w:r>
        <w:rPr>
          <w:rFonts w:ascii="Calibri" w:eastAsia="Calibri" w:hAnsi="Calibri" w:cs="Calibri"/>
        </w:rPr>
        <w:t xml:space="preserve"> - </w:t>
      </w:r>
      <w:r w:rsidRPr="00306207">
        <w:rPr>
          <w:rFonts w:ascii="Calibri" w:eastAsia="Calibri" w:hAnsi="Calibri" w:cs="Calibri"/>
        </w:rPr>
        <w:t xml:space="preserve">significant employment is created by </w:t>
      </w:r>
      <w:r w:rsidRPr="006640CA">
        <w:rPr>
          <w:rFonts w:ascii="Calibri" w:eastAsia="Calibri" w:hAnsi="Calibri" w:cs="Calibri"/>
        </w:rPr>
        <w:t>networked local economic development policies and programs</w:t>
      </w:r>
      <w:r w:rsidRPr="00306207">
        <w:rPr>
          <w:rFonts w:ascii="Calibri" w:eastAsia="Calibri" w:hAnsi="Calibri" w:cs="Calibri"/>
        </w:rPr>
        <w:t>’</w:t>
      </w:r>
      <w:r>
        <w:rPr>
          <w:rFonts w:ascii="Calibri" w:eastAsia="Calibri" w:hAnsi="Calibri" w:cs="Calibri"/>
        </w:rPr>
        <w:t>.</w:t>
      </w:r>
      <w:r w:rsidRPr="00306207">
        <w:rPr>
          <w:rStyle w:val="FootnoteReference"/>
          <w:rFonts w:ascii="Calibri" w:eastAsia="Calibri" w:hAnsi="Calibri" w:cs="Calibri"/>
        </w:rPr>
        <w:footnoteReference w:id="185"/>
      </w:r>
      <w:r w:rsidRPr="00306207">
        <w:rPr>
          <w:rFonts w:ascii="Calibri" w:eastAsia="Calibri" w:hAnsi="Calibri" w:cs="Calibri"/>
        </w:rPr>
        <w:t xml:space="preserve"> Known in the broader literature as the Triple Helix Model, the notion of interactive university-industry-government relations to promote both national and local development is favoured by policymakers globally</w:t>
      </w:r>
      <w:r>
        <w:rPr>
          <w:rFonts w:ascii="Calibri" w:eastAsia="Calibri" w:hAnsi="Calibri" w:cs="Calibri"/>
        </w:rPr>
        <w:t>,</w:t>
      </w:r>
      <w:r w:rsidRPr="00306207">
        <w:rPr>
          <w:rFonts w:ascii="Calibri" w:eastAsia="Calibri" w:hAnsi="Calibri" w:cs="Calibri"/>
        </w:rPr>
        <w:t xml:space="preserve"> particularly since the rise of the knowledge-based economies</w:t>
      </w:r>
      <w:r w:rsidRPr="00306207">
        <w:rPr>
          <w:rStyle w:val="FootnoteReference"/>
          <w:rFonts w:ascii="Calibri" w:eastAsia="Calibri" w:hAnsi="Calibri" w:cs="Calibri"/>
        </w:rPr>
        <w:footnoteReference w:id="186"/>
      </w:r>
      <w:r w:rsidRPr="00306207">
        <w:rPr>
          <w:rFonts w:ascii="Calibri" w:eastAsia="Calibri" w:hAnsi="Calibri" w:cs="Calibri"/>
        </w:rPr>
        <w:t xml:space="preserve"> and the era of technology-enabled future work</w:t>
      </w:r>
      <w:r>
        <w:rPr>
          <w:rFonts w:ascii="Calibri" w:eastAsia="Calibri" w:hAnsi="Calibri" w:cs="Calibri"/>
        </w:rPr>
        <w:t>.</w:t>
      </w:r>
      <w:r w:rsidRPr="00306207">
        <w:rPr>
          <w:rStyle w:val="FootnoteReference"/>
          <w:rFonts w:ascii="Calibri" w:eastAsia="Calibri" w:hAnsi="Calibri" w:cs="Calibri"/>
        </w:rPr>
        <w:footnoteReference w:id="187"/>
      </w:r>
      <w:r w:rsidRPr="00306207">
        <w:rPr>
          <w:rFonts w:ascii="Calibri" w:eastAsia="Calibri" w:hAnsi="Calibri" w:cs="Calibri"/>
        </w:rPr>
        <w:t xml:space="preserve"> The Triple Helix Model centres on a social contract between university-industry-government based on their overlapping roles and opportunity for synergies to emerge to bring about meaningful change</w:t>
      </w:r>
      <w:r>
        <w:rPr>
          <w:rFonts w:ascii="Calibri" w:eastAsia="Calibri" w:hAnsi="Calibri" w:cs="Calibri"/>
        </w:rPr>
        <w:t>.</w:t>
      </w:r>
      <w:r w:rsidRPr="00306207">
        <w:rPr>
          <w:rStyle w:val="FootnoteReference"/>
          <w:rFonts w:ascii="Calibri" w:eastAsia="Calibri" w:hAnsi="Calibri" w:cs="Calibri"/>
        </w:rPr>
        <w:footnoteReference w:id="188"/>
      </w:r>
      <w:r w:rsidR="00F95788">
        <w:rPr>
          <w:rFonts w:ascii="Calibri" w:eastAsia="Calibri" w:hAnsi="Calibri" w:cs="Calibri"/>
        </w:rPr>
        <w:t xml:space="preserve"> The Triple Helix Model focuses on universities, however provides valuable insights for other education providers, such as VET providers and schools. </w:t>
      </w:r>
    </w:p>
    <w:p w14:paraId="3AC1D7C9" w14:textId="2E45E1A7" w:rsidR="00566137" w:rsidRPr="00306207" w:rsidRDefault="00566137" w:rsidP="00566137">
      <w:pPr>
        <w:rPr>
          <w:rFonts w:ascii="Calibri" w:eastAsia="Calibri" w:hAnsi="Calibri" w:cs="Calibri"/>
        </w:rPr>
      </w:pPr>
      <w:r w:rsidRPr="00306207">
        <w:rPr>
          <w:rFonts w:ascii="Calibri" w:eastAsia="Calibri" w:hAnsi="Calibri" w:cs="Calibri"/>
        </w:rPr>
        <w:t>Community capacity building is a related concept that can guide sustainable social change and economic development at the community level, taking into account differences that exist in each local context</w:t>
      </w:r>
      <w:r>
        <w:rPr>
          <w:rFonts w:ascii="Calibri" w:eastAsia="Calibri" w:hAnsi="Calibri" w:cs="Calibri"/>
        </w:rPr>
        <w:t>.</w:t>
      </w:r>
      <w:r w:rsidRPr="00306207">
        <w:rPr>
          <w:rStyle w:val="FootnoteReference"/>
          <w:rFonts w:ascii="Calibri" w:eastAsia="Calibri" w:hAnsi="Calibri" w:cs="Calibri"/>
        </w:rPr>
        <w:footnoteReference w:id="189"/>
      </w:r>
      <w:r w:rsidRPr="00306207">
        <w:rPr>
          <w:rFonts w:ascii="Calibri" w:eastAsia="Calibri" w:hAnsi="Calibri" w:cs="Calibri"/>
        </w:rPr>
        <w:t xml:space="preserve"> </w:t>
      </w:r>
      <w:r w:rsidR="007D631B">
        <w:rPr>
          <w:rFonts w:ascii="Calibri" w:eastAsia="Calibri" w:hAnsi="Calibri" w:cs="Calibri"/>
        </w:rPr>
        <w:t>B</w:t>
      </w:r>
      <w:r w:rsidRPr="00306207">
        <w:rPr>
          <w:rFonts w:ascii="Calibri" w:eastAsia="Calibri" w:hAnsi="Calibri" w:cs="Calibri"/>
        </w:rPr>
        <w:t>uilding a community’s capacity may take the form of building knowledge and skills among local residents for jobs in local industries or creating opportunities for locals with tertiary qualifications to start their own ‘start-up’ business in a</w:t>
      </w:r>
      <w:r>
        <w:rPr>
          <w:rFonts w:ascii="Calibri" w:eastAsia="Calibri" w:hAnsi="Calibri" w:cs="Calibri"/>
        </w:rPr>
        <w:t>n</w:t>
      </w:r>
      <w:r w:rsidRPr="00306207">
        <w:rPr>
          <w:rFonts w:ascii="Calibri" w:eastAsia="Calibri" w:hAnsi="Calibri" w:cs="Calibri"/>
        </w:rPr>
        <w:t xml:space="preserve"> RRR area. Indeed, business incubators and </w:t>
      </w:r>
      <w:r w:rsidRPr="00306207">
        <w:rPr>
          <w:rFonts w:ascii="Calibri" w:eastAsia="Calibri" w:hAnsi="Calibri" w:cs="Calibri"/>
        </w:rPr>
        <w:lastRenderedPageBreak/>
        <w:t>accelerators, which are popular worldwide, exist at Australian universities</w:t>
      </w:r>
      <w:r w:rsidRPr="00306207">
        <w:rPr>
          <w:rStyle w:val="FootnoteReference"/>
          <w:rFonts w:ascii="Calibri" w:eastAsia="Calibri" w:hAnsi="Calibri" w:cs="Calibri"/>
        </w:rPr>
        <w:footnoteReference w:id="190"/>
      </w:r>
      <w:r w:rsidRPr="00306207">
        <w:rPr>
          <w:rFonts w:ascii="Calibri" w:eastAsia="Calibri" w:hAnsi="Calibri" w:cs="Calibri"/>
        </w:rPr>
        <w:t xml:space="preserve"> and are operational examples of the Triple Helix Model and effective community capacity building.</w:t>
      </w:r>
    </w:p>
    <w:p w14:paraId="398015F5" w14:textId="77777777" w:rsidR="00566137" w:rsidRPr="00306207" w:rsidRDefault="00566137" w:rsidP="00566137">
      <w:pPr>
        <w:rPr>
          <w:rFonts w:ascii="Calibri" w:eastAsia="Calibri" w:hAnsi="Calibri" w:cs="Calibri"/>
        </w:rPr>
      </w:pPr>
      <w:r w:rsidRPr="00306207">
        <w:rPr>
          <w:rFonts w:ascii="Calibri" w:eastAsia="Calibri" w:hAnsi="Calibri" w:cs="Calibri"/>
        </w:rPr>
        <w:t xml:space="preserve">RRR employment and entrepreneurship opportunities can both support and drive participation in tertiary education. </w:t>
      </w:r>
      <w:r>
        <w:rPr>
          <w:rFonts w:ascii="Calibri" w:eastAsia="Calibri" w:hAnsi="Calibri" w:cs="Calibri"/>
        </w:rPr>
        <w:t xml:space="preserve">Women from </w:t>
      </w:r>
      <w:r w:rsidRPr="00306207">
        <w:rPr>
          <w:rFonts w:ascii="Calibri" w:eastAsia="Calibri" w:hAnsi="Calibri" w:cs="Calibri"/>
        </w:rPr>
        <w:t xml:space="preserve">RRR </w:t>
      </w:r>
      <w:r>
        <w:rPr>
          <w:rFonts w:ascii="Calibri" w:eastAsia="Calibri" w:hAnsi="Calibri" w:cs="Calibri"/>
        </w:rPr>
        <w:t xml:space="preserve">communities </w:t>
      </w:r>
      <w:r w:rsidRPr="00306207">
        <w:rPr>
          <w:rFonts w:ascii="Calibri" w:eastAsia="Calibri" w:hAnsi="Calibri" w:cs="Calibri"/>
        </w:rPr>
        <w:t xml:space="preserve">have much to gain. One-third of </w:t>
      </w:r>
      <w:r>
        <w:rPr>
          <w:rFonts w:ascii="Calibri" w:eastAsia="Calibri" w:hAnsi="Calibri" w:cs="Calibri"/>
        </w:rPr>
        <w:t xml:space="preserve">Australian </w:t>
      </w:r>
      <w:r w:rsidRPr="00306207">
        <w:rPr>
          <w:rFonts w:ascii="Calibri" w:eastAsia="Calibri" w:hAnsi="Calibri" w:cs="Calibri"/>
        </w:rPr>
        <w:t xml:space="preserve">women live in RRR areas </w:t>
      </w:r>
      <w:r>
        <w:rPr>
          <w:rFonts w:ascii="Calibri" w:eastAsia="Calibri" w:hAnsi="Calibri" w:cs="Calibri"/>
        </w:rPr>
        <w:t xml:space="preserve">and </w:t>
      </w:r>
      <w:r w:rsidRPr="00306207">
        <w:rPr>
          <w:rFonts w:ascii="Calibri" w:eastAsia="Calibri" w:hAnsi="Calibri" w:cs="Calibri"/>
        </w:rPr>
        <w:t>comprise around two-thirds of RRR university enrolments</w:t>
      </w:r>
      <w:r>
        <w:rPr>
          <w:rFonts w:ascii="Calibri" w:eastAsia="Calibri" w:hAnsi="Calibri" w:cs="Calibri"/>
        </w:rPr>
        <w:t>.</w:t>
      </w:r>
      <w:r w:rsidRPr="00306207">
        <w:rPr>
          <w:rFonts w:ascii="Calibri" w:eastAsia="Calibri" w:hAnsi="Calibri" w:cs="Calibri"/>
        </w:rPr>
        <w:t xml:space="preserve"> </w:t>
      </w:r>
      <w:r>
        <w:rPr>
          <w:rFonts w:ascii="Calibri" w:eastAsia="Calibri" w:hAnsi="Calibri" w:cs="Calibri"/>
        </w:rPr>
        <w:t>R</w:t>
      </w:r>
      <w:r w:rsidRPr="00306207">
        <w:rPr>
          <w:rFonts w:ascii="Calibri" w:eastAsia="Calibri" w:hAnsi="Calibri" w:cs="Calibri"/>
        </w:rPr>
        <w:t xml:space="preserve">emote </w:t>
      </w:r>
      <w:r>
        <w:rPr>
          <w:rFonts w:ascii="Calibri" w:eastAsia="Calibri" w:hAnsi="Calibri" w:cs="Calibri"/>
        </w:rPr>
        <w:t>female</w:t>
      </w:r>
      <w:r w:rsidRPr="00306207">
        <w:rPr>
          <w:rFonts w:ascii="Calibri" w:eastAsia="Calibri" w:hAnsi="Calibri" w:cs="Calibri"/>
        </w:rPr>
        <w:t xml:space="preserve"> students are older than their regional and metropolitan counterparts</w:t>
      </w:r>
      <w:r>
        <w:rPr>
          <w:rFonts w:ascii="Calibri" w:eastAsia="Calibri" w:hAnsi="Calibri" w:cs="Calibri"/>
        </w:rPr>
        <w:t>,</w:t>
      </w:r>
      <w:r w:rsidRPr="00306207">
        <w:rPr>
          <w:rStyle w:val="FootnoteReference"/>
          <w:rFonts w:ascii="Calibri" w:eastAsia="Calibri" w:hAnsi="Calibri" w:cs="Calibri"/>
        </w:rPr>
        <w:footnoteReference w:id="191"/>
      </w:r>
      <w:r w:rsidRPr="00306207">
        <w:rPr>
          <w:rFonts w:ascii="Calibri" w:eastAsia="Calibri" w:hAnsi="Calibri" w:cs="Calibri"/>
        </w:rPr>
        <w:t xml:space="preserve"> and </w:t>
      </w:r>
      <w:r>
        <w:rPr>
          <w:rFonts w:ascii="Calibri" w:eastAsia="Calibri" w:hAnsi="Calibri" w:cs="Calibri"/>
        </w:rPr>
        <w:t xml:space="preserve">as </w:t>
      </w:r>
      <w:r w:rsidRPr="00306207">
        <w:rPr>
          <w:rFonts w:ascii="Calibri" w:eastAsia="Calibri" w:hAnsi="Calibri" w:cs="Calibri"/>
        </w:rPr>
        <w:t>RRR women have lower rates of workforce participation</w:t>
      </w:r>
      <w:r>
        <w:rPr>
          <w:rFonts w:ascii="Calibri" w:eastAsia="Calibri" w:hAnsi="Calibri" w:cs="Calibri"/>
        </w:rPr>
        <w:t>,</w:t>
      </w:r>
      <w:r w:rsidRPr="00306207">
        <w:rPr>
          <w:rFonts w:ascii="Calibri" w:eastAsia="Calibri" w:hAnsi="Calibri" w:cs="Calibri"/>
        </w:rPr>
        <w:t xml:space="preserve"> they are the focus of the Towards 2025 Australian Government Strategy to Boost Women’s Workforce Participation</w:t>
      </w:r>
      <w:r>
        <w:rPr>
          <w:rFonts w:ascii="Calibri" w:eastAsia="Calibri" w:hAnsi="Calibri" w:cs="Calibri"/>
        </w:rPr>
        <w:t>.</w:t>
      </w:r>
      <w:r w:rsidRPr="00306207">
        <w:rPr>
          <w:rStyle w:val="FootnoteReference"/>
          <w:rFonts w:ascii="Calibri" w:eastAsia="Calibri" w:hAnsi="Calibri" w:cs="Calibri"/>
        </w:rPr>
        <w:footnoteReference w:id="192"/>
      </w:r>
      <w:r w:rsidRPr="00306207">
        <w:rPr>
          <w:rFonts w:ascii="Calibri" w:eastAsia="Calibri" w:hAnsi="Calibri" w:cs="Calibri"/>
        </w:rPr>
        <w:t xml:space="preserve"> As noted in the Towards 2025</w:t>
      </w:r>
      <w:r>
        <w:rPr>
          <w:rFonts w:ascii="Calibri" w:eastAsia="Calibri" w:hAnsi="Calibri" w:cs="Calibri"/>
        </w:rPr>
        <w:t xml:space="preserve"> Strategy</w:t>
      </w:r>
      <w:r w:rsidRPr="00306207">
        <w:rPr>
          <w:rFonts w:ascii="Calibri" w:eastAsia="Calibri" w:hAnsi="Calibri" w:cs="Calibri"/>
        </w:rPr>
        <w:t>, women now make up almost a quarter of start-up founders (</w:t>
      </w:r>
      <w:r>
        <w:rPr>
          <w:rFonts w:ascii="Calibri" w:eastAsia="Calibri" w:hAnsi="Calibri" w:cs="Calibri"/>
        </w:rPr>
        <w:t xml:space="preserve">up from </w:t>
      </w:r>
      <w:r w:rsidRPr="00306207">
        <w:rPr>
          <w:rFonts w:ascii="Calibri" w:eastAsia="Calibri" w:hAnsi="Calibri" w:cs="Calibri"/>
        </w:rPr>
        <w:t>16.1 per cent in 2014) and while women are concentrated in health care and social assistance industries (78 per cent women), these industries are projected to make the largest contribution</w:t>
      </w:r>
      <w:r>
        <w:rPr>
          <w:rFonts w:ascii="Calibri" w:eastAsia="Calibri" w:hAnsi="Calibri" w:cs="Calibri"/>
        </w:rPr>
        <w:t>s</w:t>
      </w:r>
      <w:r w:rsidRPr="00306207">
        <w:rPr>
          <w:rFonts w:ascii="Calibri" w:eastAsia="Calibri" w:hAnsi="Calibri" w:cs="Calibri"/>
        </w:rPr>
        <w:t xml:space="preserve"> to employment growth. Overall, the data suggest that expanding Regional Study Hubs to business incubators and accelerators that help speed up the growth of a ‘start-up’ businesses by providing services such as training, mentoring, networking and/or office space and equipment would create opportunities and generate benefits for RRR communities.</w:t>
      </w:r>
    </w:p>
    <w:p w14:paraId="01D72CFA" w14:textId="77777777" w:rsidR="00566137" w:rsidRPr="00306207" w:rsidRDefault="00566137" w:rsidP="00731032">
      <w:pPr>
        <w:shd w:val="clear" w:color="auto" w:fill="E2E6E4"/>
        <w:contextualSpacing/>
        <w:rPr>
          <w:rFonts w:ascii="Calibri" w:eastAsia="Calibri" w:hAnsi="Calibri" w:cs="Times New Roman"/>
          <w:b/>
        </w:rPr>
      </w:pPr>
      <w:r w:rsidRPr="00306207">
        <w:rPr>
          <w:rFonts w:ascii="Calibri" w:eastAsia="Calibri" w:hAnsi="Calibri" w:cs="Calibri"/>
          <w:b/>
        </w:rPr>
        <w:t xml:space="preserve">In </w:t>
      </w:r>
      <w:r w:rsidRPr="00306207">
        <w:rPr>
          <w:rFonts w:ascii="Calibri" w:eastAsia="Calibri" w:hAnsi="Calibri" w:cs="Calibri"/>
          <w:b/>
          <w:noProof/>
        </w:rPr>
        <w:t>summary,</w:t>
      </w:r>
      <w:r w:rsidRPr="00306207">
        <w:rPr>
          <w:rFonts w:ascii="Calibri" w:eastAsia="Calibri" w:hAnsi="Calibri" w:cs="Calibri"/>
          <w:b/>
        </w:rPr>
        <w:t xml:space="preserve"> the literature suggests:</w:t>
      </w:r>
    </w:p>
    <w:p w14:paraId="36E5258C" w14:textId="213878CF" w:rsidR="00566137" w:rsidRPr="00306207" w:rsidRDefault="00566137" w:rsidP="00731032">
      <w:pPr>
        <w:numPr>
          <w:ilvl w:val="0"/>
          <w:numId w:val="10"/>
        </w:numPr>
        <w:shd w:val="clear" w:color="auto" w:fill="E2E6E4"/>
        <w:spacing w:after="200"/>
        <w:contextualSpacing/>
        <w:jc w:val="both"/>
        <w:rPr>
          <w:rFonts w:ascii="Calibri" w:eastAsia="Calibri" w:hAnsi="Calibri" w:cs="Calibri"/>
        </w:rPr>
      </w:pPr>
      <w:r>
        <w:rPr>
          <w:rFonts w:ascii="Calibri" w:eastAsia="Calibri" w:hAnsi="Calibri" w:cs="Calibri"/>
        </w:rPr>
        <w:t>university</w:t>
      </w:r>
      <w:r w:rsidRPr="00306207">
        <w:rPr>
          <w:rFonts w:ascii="Calibri" w:eastAsia="Calibri" w:hAnsi="Calibri" w:cs="Calibri"/>
        </w:rPr>
        <w:t xml:space="preserve">-industry-government synergies </w:t>
      </w:r>
      <w:r>
        <w:rPr>
          <w:rFonts w:ascii="Calibri" w:eastAsia="Calibri" w:hAnsi="Calibri" w:cs="Calibri"/>
        </w:rPr>
        <w:t xml:space="preserve">can </w:t>
      </w:r>
      <w:r w:rsidRPr="00306207">
        <w:rPr>
          <w:rFonts w:ascii="Calibri" w:eastAsia="Calibri" w:hAnsi="Calibri" w:cs="Calibri"/>
        </w:rPr>
        <w:t>promote lo</w:t>
      </w:r>
      <w:r w:rsidR="00A46C00">
        <w:rPr>
          <w:rFonts w:ascii="Calibri" w:eastAsia="Calibri" w:hAnsi="Calibri" w:cs="Calibri"/>
        </w:rPr>
        <w:t>cal RRR community development and lead to</w:t>
      </w:r>
      <w:r w:rsidRPr="00306207">
        <w:rPr>
          <w:rFonts w:ascii="Calibri" w:eastAsia="Calibri" w:hAnsi="Calibri" w:cs="Calibri"/>
        </w:rPr>
        <w:t xml:space="preserve"> increase</w:t>
      </w:r>
      <w:r w:rsidR="00A46C00">
        <w:rPr>
          <w:rFonts w:ascii="Calibri" w:eastAsia="Calibri" w:hAnsi="Calibri" w:cs="Calibri"/>
        </w:rPr>
        <w:t>d</w:t>
      </w:r>
      <w:r w:rsidRPr="00306207">
        <w:rPr>
          <w:rFonts w:ascii="Calibri" w:eastAsia="Calibri" w:hAnsi="Calibri" w:cs="Calibri"/>
        </w:rPr>
        <w:t xml:space="preserve"> tertiary education access, participation and outcomes.</w:t>
      </w:r>
    </w:p>
    <w:p w14:paraId="0FDE4495" w14:textId="77777777" w:rsidR="00566137" w:rsidRPr="00306207" w:rsidRDefault="00566137" w:rsidP="00726804">
      <w:pPr>
        <w:pStyle w:val="Heading3"/>
        <w:rPr>
          <w:rFonts w:eastAsia="DengXian Light"/>
        </w:rPr>
      </w:pPr>
      <w:r w:rsidRPr="00306207">
        <w:rPr>
          <w:rFonts w:eastAsia="DengXian Light"/>
        </w:rPr>
        <w:t>5.2 How can the recognition of prior learning (RPL) be optimised to help RRR learners?</w:t>
      </w:r>
    </w:p>
    <w:p w14:paraId="5CF9AEA4" w14:textId="77777777" w:rsidR="00566137" w:rsidRPr="00306207" w:rsidRDefault="00566137" w:rsidP="00566137">
      <w:r w:rsidRPr="00306207">
        <w:t>RPL is a complex issue</w:t>
      </w:r>
      <w:r>
        <w:t>.</w:t>
      </w:r>
      <w:r w:rsidRPr="00306207">
        <w:rPr>
          <w:rStyle w:val="FootnoteReference"/>
        </w:rPr>
        <w:footnoteReference w:id="193"/>
      </w:r>
      <w:r w:rsidRPr="00306207">
        <w:t xml:space="preserve"> RPL was identified in consultations and feedback as a barrier to continued participation in tertiary education, particularly inhibiting the articulation from lower</w:t>
      </w:r>
      <w:r>
        <w:t>-</w:t>
      </w:r>
      <w:r w:rsidRPr="00306207">
        <w:t>level to higher</w:t>
      </w:r>
      <w:r w:rsidRPr="00306207">
        <w:noBreakHyphen/>
        <w:t xml:space="preserve">level VET qualifications and from VET to higher education. Often understood </w:t>
      </w:r>
      <w:r>
        <w:t xml:space="preserve">to be </w:t>
      </w:r>
      <w:r w:rsidRPr="00306207">
        <w:t xml:space="preserve">an essential element of lifelong learning, previously discussed trends in future work point to the </w:t>
      </w:r>
      <w:r>
        <w:t xml:space="preserve">growing </w:t>
      </w:r>
      <w:r w:rsidRPr="00306207">
        <w:t>importance of RPL.</w:t>
      </w:r>
    </w:p>
    <w:p w14:paraId="71ADB15A" w14:textId="183D4F95" w:rsidR="00566137" w:rsidRPr="00306207" w:rsidRDefault="00566137" w:rsidP="00566137">
      <w:r w:rsidRPr="00306207">
        <w:t>Learning occurs in many contexts (e.g. work, volunteering or sporting and community activities) and takes various forms (e.g. formal, informal or non-formal) and is relevant to the outcomes of formal qualifications in the Australian Qualifications Framework (AQF</w:t>
      </w:r>
      <w:r w:rsidRPr="00BB48EB">
        <w:t>).</w:t>
      </w:r>
      <w:r w:rsidRPr="00BB48EB">
        <w:rPr>
          <w:rStyle w:val="FootnoteReference"/>
        </w:rPr>
        <w:footnoteReference w:id="194"/>
      </w:r>
      <w:r w:rsidRPr="00BB48EB">
        <w:t xml:space="preserve"> </w:t>
      </w:r>
      <w:r w:rsidR="00A46C00" w:rsidRPr="00D53B13">
        <w:t>RPL recognises</w:t>
      </w:r>
      <w:r w:rsidRPr="00D53B13">
        <w:t xml:space="preserve"> that </w:t>
      </w:r>
      <w:r w:rsidR="00A46C00" w:rsidRPr="00D53B13">
        <w:t>people learn</w:t>
      </w:r>
      <w:r w:rsidRPr="00D53B13">
        <w:t xml:space="preserve"> from experience and was introduced in 1992 in Australia</w:t>
      </w:r>
      <w:r w:rsidRPr="00BB48EB">
        <w:t xml:space="preserve"> originally</w:t>
      </w:r>
      <w:r w:rsidRPr="00306207">
        <w:t xml:space="preserve"> for VET but has since expanded to </w:t>
      </w:r>
      <w:r>
        <w:t xml:space="preserve">all </w:t>
      </w:r>
      <w:r w:rsidRPr="00306207">
        <w:t>accredited education and training, including higher education</w:t>
      </w:r>
      <w:r>
        <w:t>.</w:t>
      </w:r>
      <w:r w:rsidRPr="00306207">
        <w:rPr>
          <w:rStyle w:val="FootnoteReference"/>
        </w:rPr>
        <w:footnoteReference w:id="195"/>
      </w:r>
      <w:r w:rsidRPr="00306207">
        <w:t xml:space="preserve"> RPL is formally identified by the AQF as a pathway for admission and/or credit into any qualification at any level and in doing so provides access to higher levels of education for a wider proportion of the population</w:t>
      </w:r>
      <w:r>
        <w:t>.</w:t>
      </w:r>
      <w:r w:rsidRPr="00306207">
        <w:rPr>
          <w:rStyle w:val="FootnoteReference"/>
        </w:rPr>
        <w:footnoteReference w:id="196"/>
      </w:r>
      <w:r w:rsidRPr="00306207">
        <w:t xml:space="preserve"> RPL </w:t>
      </w:r>
      <w:r w:rsidRPr="00306207">
        <w:lastRenderedPageBreak/>
        <w:t xml:space="preserve">involves assessing an individual’s relevant prior learning to determine the credit that may be used to reduce the amount of learning required to achieve a </w:t>
      </w:r>
      <w:r>
        <w:t xml:space="preserve">certain </w:t>
      </w:r>
      <w:r w:rsidRPr="00306207">
        <w:t>qualification</w:t>
      </w:r>
      <w:r>
        <w:t>.</w:t>
      </w:r>
      <w:r w:rsidRPr="00306207">
        <w:rPr>
          <w:rStyle w:val="FootnoteReference"/>
        </w:rPr>
        <w:footnoteReference w:id="197"/>
      </w:r>
    </w:p>
    <w:p w14:paraId="2F79B97D" w14:textId="221F958B" w:rsidR="00566137" w:rsidRPr="00306207" w:rsidRDefault="00566137" w:rsidP="00566137">
      <w:r w:rsidRPr="00306207">
        <w:t>RPL is undertaken by tertiary education providers with guidelines provided by the AQF (2012)</w:t>
      </w:r>
      <w:r>
        <w:t>,</w:t>
      </w:r>
      <w:r w:rsidRPr="00306207">
        <w:t xml:space="preserve"> noting that RPL is specific to the individual however can be used as a precedent for other RPL assessments. Abroad, RPL has also featured in European education policies since the mid-1980’s undergoing several evolutions and iterations many of which have been in response to the Council of the European Union (2012)</w:t>
      </w:r>
      <w:r w:rsidRPr="00306207">
        <w:rPr>
          <w:rStyle w:val="FootnoteReference"/>
        </w:rPr>
        <w:footnoteReference w:id="198"/>
      </w:r>
      <w:r w:rsidRPr="00306207">
        <w:t xml:space="preserve"> recommendation that all countries in the European Union (EU) should have RPL procedures in place by 2018. The European Qualification Framework (EQF) was formalised in 2008 and maps the qualifications of different EU members to facilitate comparison of qualification between different nation systems, enhancing the mobility of students, workforce flexibility and the development of lifelong learning</w:t>
      </w:r>
      <w:r>
        <w:t>.</w:t>
      </w:r>
      <w:r w:rsidRPr="00306207">
        <w:rPr>
          <w:rStyle w:val="FootnoteReference"/>
        </w:rPr>
        <w:footnoteReference w:id="199"/>
      </w:r>
      <w:r w:rsidRPr="00306207">
        <w:t xml:space="preserve"> Like the AQF, the EQF focuses on learning outcomes and does not replace National Qualifications Frameworks (NQFs) but rather is a translation device. Furthermore, the European Credit System for Vocational Education and Training (ECVET) assists with RPL by helping with the transfer, accumulation and recognition of learning outcomes across EU member countries.</w:t>
      </w:r>
    </w:p>
    <w:p w14:paraId="6BCDCA8C" w14:textId="47F4E109" w:rsidR="00566137" w:rsidRPr="00306207" w:rsidRDefault="00566137" w:rsidP="00566137">
      <w:r w:rsidRPr="00306207">
        <w:t xml:space="preserve">Online RPL tools have emerged in Australia and abroad. </w:t>
      </w:r>
      <w:r>
        <w:t>I</w:t>
      </w:r>
      <w:r w:rsidRPr="00306207">
        <w:t>n Australia, the Queensland Government’s DIY Recognition of Prior Learning tool</w:t>
      </w:r>
      <w:r>
        <w:rPr>
          <w:rStyle w:val="FootnoteReference"/>
        </w:rPr>
        <w:footnoteReference w:id="200"/>
      </w:r>
      <w:r w:rsidRPr="00306207">
        <w:t xml:space="preserve"> helps people identify the knowledge and skills they have, then match these to qualifications for which they may receive credit and also provides guidance as to the evidence that can be provided to support RPL applications. An international online RPL tool is SkillsTools</w:t>
      </w:r>
      <w:r>
        <w:rPr>
          <w:rStyle w:val="FootnoteReference"/>
        </w:rPr>
        <w:footnoteReference w:id="201"/>
      </w:r>
      <w:r w:rsidRPr="00306207">
        <w:t xml:space="preserve"> which was co-funded by the European Commission and is comprised of SkillsBank (facilitates RPL assessment across multiple stakeholders and is linked to matrices of</w:t>
      </w:r>
      <w:r w:rsidR="00731032">
        <w:t xml:space="preserve"> learning outcomes), YOMTOOL (Yo</w:t>
      </w:r>
      <w:r w:rsidRPr="00306207">
        <w:t>uth on the Move TOOLkit) and SkillsTube (video capture and storage of practical performances of skills knowledge).</w:t>
      </w:r>
    </w:p>
    <w:p w14:paraId="50E04A67" w14:textId="77777777" w:rsidR="00566137" w:rsidRPr="00306207" w:rsidRDefault="00566137" w:rsidP="00731032">
      <w:pPr>
        <w:shd w:val="clear" w:color="auto" w:fill="E2E6E4"/>
        <w:spacing w:after="0"/>
        <w:contextualSpacing/>
        <w:rPr>
          <w:rFonts w:ascii="Calibri" w:eastAsia="Calibri" w:hAnsi="Calibri" w:cs="Times New Roman"/>
          <w:b/>
        </w:rPr>
      </w:pPr>
      <w:r w:rsidRPr="00306207">
        <w:rPr>
          <w:rFonts w:ascii="Calibri" w:eastAsia="Calibri" w:hAnsi="Calibri" w:cs="Calibri"/>
          <w:b/>
        </w:rPr>
        <w:t xml:space="preserve">In </w:t>
      </w:r>
      <w:r w:rsidRPr="00306207">
        <w:rPr>
          <w:rFonts w:ascii="Calibri" w:eastAsia="Calibri" w:hAnsi="Calibri" w:cs="Calibri"/>
          <w:b/>
          <w:noProof/>
        </w:rPr>
        <w:t>summary,</w:t>
      </w:r>
      <w:r w:rsidRPr="00306207">
        <w:rPr>
          <w:rFonts w:ascii="Calibri" w:eastAsia="Calibri" w:hAnsi="Calibri" w:cs="Calibri"/>
          <w:b/>
        </w:rPr>
        <w:t xml:space="preserve"> the literature suggests:</w:t>
      </w:r>
    </w:p>
    <w:p w14:paraId="479340D6" w14:textId="77777777" w:rsidR="00566137" w:rsidRPr="00306207" w:rsidRDefault="00566137" w:rsidP="00731032">
      <w:pPr>
        <w:numPr>
          <w:ilvl w:val="0"/>
          <w:numId w:val="10"/>
        </w:numPr>
        <w:shd w:val="clear" w:color="auto" w:fill="E2E6E4"/>
        <w:spacing w:after="0"/>
        <w:contextualSpacing/>
        <w:rPr>
          <w:rFonts w:ascii="Calibri" w:eastAsia="Calibri" w:hAnsi="Calibri" w:cs="Calibri"/>
        </w:rPr>
      </w:pPr>
      <w:r w:rsidRPr="00306207">
        <w:rPr>
          <w:rFonts w:ascii="Calibri" w:eastAsia="Calibri" w:hAnsi="Calibri" w:cs="Calibri"/>
        </w:rPr>
        <w:t>there is an opportunity to develop national, online RPL tools to facilitate more objective, transparent and consistent assessments of informal and non-formal learning across VET and higher education providers that can be used as admission and/or credit towards a higher-level qualification by RRR students.</w:t>
      </w:r>
    </w:p>
    <w:p w14:paraId="772B2F66" w14:textId="3E422DF4" w:rsidR="00566137" w:rsidRPr="00306207" w:rsidRDefault="00566137" w:rsidP="00726804">
      <w:pPr>
        <w:pStyle w:val="Heading3"/>
      </w:pPr>
      <w:r w:rsidRPr="00306207">
        <w:t>5.3 Should efforts be targeted or is a</w:t>
      </w:r>
      <w:r w:rsidR="009C38DE">
        <w:t>n</w:t>
      </w:r>
      <w:r w:rsidRPr="00306207">
        <w:t xml:space="preserve"> RRR whole-of-student-lifecycle approach needed?  </w:t>
      </w:r>
    </w:p>
    <w:p w14:paraId="4EC65E34" w14:textId="604308DA" w:rsidR="00566137" w:rsidRPr="00306207" w:rsidRDefault="00566137" w:rsidP="00566137">
      <w:pPr>
        <w:rPr>
          <w:rFonts w:ascii="Calibri" w:eastAsia="Calibri" w:hAnsi="Calibri" w:cs="Calibri"/>
        </w:rPr>
      </w:pPr>
      <w:r w:rsidRPr="00306207">
        <w:rPr>
          <w:rFonts w:ascii="Calibri" w:eastAsia="Calibri" w:hAnsi="Calibri" w:cs="Calibri"/>
        </w:rPr>
        <w:t>The tertiary education student lifecycle spans four stages: pre-access, access, participation, attainment and transition out</w:t>
      </w:r>
      <w:r w:rsidRPr="00306207">
        <w:rPr>
          <w:rStyle w:val="FootnoteReference"/>
          <w:rFonts w:ascii="Calibri" w:eastAsia="Calibri" w:hAnsi="Calibri" w:cs="Calibri"/>
        </w:rPr>
        <w:footnoteReference w:id="202"/>
      </w:r>
      <w:r w:rsidRPr="00306207">
        <w:rPr>
          <w:rFonts w:ascii="Calibri" w:eastAsia="Calibri" w:hAnsi="Calibri" w:cs="Calibri"/>
        </w:rPr>
        <w:t xml:space="preserve"> which loosely aligns with the performance indicators for Australian universities (with the exception of pre-access) being access, success, satisfaction, retention, completion and employment. RRR students underperform on most performance indicators when </w:t>
      </w:r>
      <w:r w:rsidRPr="00306207">
        <w:rPr>
          <w:rFonts w:ascii="Calibri" w:eastAsia="Calibri" w:hAnsi="Calibri" w:cs="Calibri"/>
        </w:rPr>
        <w:lastRenderedPageBreak/>
        <w:t>compared to the overall student average, with the exception to this trend being employment</w:t>
      </w:r>
      <w:r>
        <w:rPr>
          <w:rFonts w:ascii="Calibri" w:eastAsia="Calibri" w:hAnsi="Calibri" w:cs="Calibri"/>
        </w:rPr>
        <w:t>.</w:t>
      </w:r>
      <w:r w:rsidRPr="00306207">
        <w:rPr>
          <w:rStyle w:val="FootnoteReference"/>
          <w:rFonts w:ascii="Calibri" w:eastAsia="Calibri" w:hAnsi="Calibri" w:cs="Calibri"/>
        </w:rPr>
        <w:footnoteReference w:id="203"/>
      </w:r>
      <w:r w:rsidRPr="00306207">
        <w:rPr>
          <w:rFonts w:ascii="Calibri" w:eastAsia="Calibri" w:hAnsi="Calibri" w:cs="Calibri"/>
        </w:rPr>
        <w:t xml:space="preserve"> When coupled with lower access trends, this suggests that RRR students require support at all stages of the student lifecycle. Support in the pre-access stage should not be limited to the students themselves, but also include key influencers such as parents and caregivers</w:t>
      </w:r>
      <w:r>
        <w:rPr>
          <w:rFonts w:ascii="Calibri" w:eastAsia="Calibri" w:hAnsi="Calibri" w:cs="Calibri"/>
        </w:rPr>
        <w:t>.</w:t>
      </w:r>
      <w:r w:rsidRPr="00306207">
        <w:rPr>
          <w:rStyle w:val="FootnoteReference"/>
          <w:rFonts w:ascii="Calibri" w:eastAsia="Calibri" w:hAnsi="Calibri" w:cs="Calibri"/>
        </w:rPr>
        <w:footnoteReference w:id="204"/>
      </w:r>
      <w:r w:rsidRPr="00306207">
        <w:rPr>
          <w:rFonts w:ascii="Calibri" w:eastAsia="Calibri" w:hAnsi="Calibri" w:cs="Calibri"/>
        </w:rPr>
        <w:t xml:space="preserve"> A range of supports were identified in </w:t>
      </w:r>
      <w:r w:rsidR="007D631B">
        <w:rPr>
          <w:rFonts w:ascii="Calibri" w:eastAsia="Calibri" w:hAnsi="Calibri" w:cs="Calibri"/>
        </w:rPr>
        <w:t>a</w:t>
      </w:r>
      <w:r w:rsidRPr="00306207">
        <w:rPr>
          <w:rFonts w:ascii="Calibri" w:eastAsia="Calibri" w:hAnsi="Calibri" w:cs="Calibri"/>
        </w:rPr>
        <w:t xml:space="preserve"> recent ACER report</w:t>
      </w:r>
      <w:r w:rsidRPr="00306207">
        <w:rPr>
          <w:rStyle w:val="FootnoteReference"/>
          <w:rFonts w:ascii="Calibri" w:eastAsia="Calibri" w:hAnsi="Calibri" w:cs="Calibri"/>
        </w:rPr>
        <w:footnoteReference w:id="205"/>
      </w:r>
      <w:r w:rsidRPr="00306207">
        <w:rPr>
          <w:rFonts w:ascii="Calibri" w:eastAsia="Calibri" w:hAnsi="Calibri" w:cs="Calibri"/>
        </w:rPr>
        <w:t xml:space="preserve"> specific to RRR students transitioning into university. The four key areas for RRR supports were resourcing (e.g. accommodation assistance, emergency counselling, financial assistance)</w:t>
      </w:r>
      <w:r>
        <w:rPr>
          <w:rFonts w:ascii="Calibri" w:eastAsia="Calibri" w:hAnsi="Calibri" w:cs="Calibri"/>
        </w:rPr>
        <w:t>,</w:t>
      </w:r>
      <w:r w:rsidRPr="00306207">
        <w:rPr>
          <w:rFonts w:ascii="Calibri" w:eastAsia="Calibri" w:hAnsi="Calibri" w:cs="Calibri"/>
        </w:rPr>
        <w:t xml:space="preserve"> sense of belonging (e.g. orientation, mentoring, Indigenous perspectives)</w:t>
      </w:r>
      <w:r>
        <w:rPr>
          <w:rFonts w:ascii="Calibri" w:eastAsia="Calibri" w:hAnsi="Calibri" w:cs="Calibri"/>
        </w:rPr>
        <w:t>,</w:t>
      </w:r>
      <w:r w:rsidRPr="00306207">
        <w:rPr>
          <w:rFonts w:ascii="Calibri" w:eastAsia="Calibri" w:hAnsi="Calibri" w:cs="Calibri"/>
        </w:rPr>
        <w:t xml:space="preserve"> communication (e.g. proactive/specialised communications, availability of support services)</w:t>
      </w:r>
      <w:r>
        <w:rPr>
          <w:rFonts w:ascii="Calibri" w:eastAsia="Calibri" w:hAnsi="Calibri" w:cs="Calibri"/>
        </w:rPr>
        <w:t>,</w:t>
      </w:r>
      <w:r w:rsidRPr="00306207">
        <w:rPr>
          <w:rFonts w:ascii="Calibri" w:eastAsia="Calibri" w:hAnsi="Calibri" w:cs="Calibri"/>
        </w:rPr>
        <w:t xml:space="preserve"> and effectiveness (e.g. monitoring of usage of services, helpfulness of academic support, relevance of support offered).</w:t>
      </w:r>
      <w:r>
        <w:rPr>
          <w:rFonts w:ascii="Calibri" w:eastAsia="Calibri" w:hAnsi="Calibri" w:cs="Calibri"/>
        </w:rPr>
        <w:t>T</w:t>
      </w:r>
      <w:r w:rsidRPr="00306207">
        <w:rPr>
          <w:rFonts w:ascii="Calibri" w:eastAsia="Calibri" w:hAnsi="Calibri" w:cs="Calibri"/>
        </w:rPr>
        <w:t>h</w:t>
      </w:r>
      <w:r w:rsidR="00A46C00">
        <w:rPr>
          <w:rFonts w:ascii="Calibri" w:eastAsia="Calibri" w:hAnsi="Calibri" w:cs="Calibri"/>
        </w:rPr>
        <w:t>ere are evidence-based models</w:t>
      </w:r>
      <w:r w:rsidRPr="00306207">
        <w:rPr>
          <w:rFonts w:ascii="Calibri" w:eastAsia="Calibri" w:hAnsi="Calibri" w:cs="Calibri"/>
        </w:rPr>
        <w:t xml:space="preserve"> that can be used by tertiary providers to frame their support for RRR students.</w:t>
      </w:r>
    </w:p>
    <w:p w14:paraId="2B18DE5D" w14:textId="77777777" w:rsidR="00566137" w:rsidRPr="00306207" w:rsidRDefault="00566137" w:rsidP="00566137">
      <w:pPr>
        <w:rPr>
          <w:rFonts w:ascii="Calibri" w:eastAsia="Calibri" w:hAnsi="Calibri" w:cs="Calibri"/>
        </w:rPr>
      </w:pPr>
      <w:r w:rsidRPr="00306207">
        <w:rPr>
          <w:rFonts w:ascii="Calibri" w:eastAsia="Calibri" w:hAnsi="Calibri" w:cs="Calibri"/>
        </w:rPr>
        <w:t>Beyond tertiary education providers, research has also identified key RRR student characteristics, situational factors and institutional factors (school and university) that if addressed in the pre-access stage can improve educational attainment. Zacharias et al. (2018</w:t>
      </w:r>
      <w:r>
        <w:rPr>
          <w:rFonts w:ascii="Calibri" w:eastAsia="Calibri" w:hAnsi="Calibri" w:cs="Calibri"/>
        </w:rPr>
        <w:t>)</w:t>
      </w:r>
      <w:r w:rsidRPr="00306207">
        <w:rPr>
          <w:rStyle w:val="FootnoteReference"/>
          <w:rFonts w:ascii="Calibri" w:eastAsia="Calibri" w:hAnsi="Calibri" w:cs="Calibri"/>
        </w:rPr>
        <w:footnoteReference w:id="206"/>
      </w:r>
      <w:r w:rsidRPr="00306207">
        <w:rPr>
          <w:rFonts w:ascii="Calibri" w:eastAsia="Calibri" w:hAnsi="Calibri" w:cs="Calibri"/>
        </w:rPr>
        <w:t xml:space="preserve"> examination of the RRR-metropolitan educational divide identified student characteristics </w:t>
      </w:r>
      <w:r>
        <w:rPr>
          <w:rFonts w:ascii="Calibri" w:eastAsia="Calibri" w:hAnsi="Calibri" w:cs="Calibri"/>
        </w:rPr>
        <w:t xml:space="preserve">including </w:t>
      </w:r>
      <w:r w:rsidRPr="00306207">
        <w:rPr>
          <w:rFonts w:ascii="Calibri" w:eastAsia="Calibri" w:hAnsi="Calibri" w:cs="Calibri"/>
        </w:rPr>
        <w:t>confidence, resilience and fear of the unknown as student qualities that were the key points of difference between RRR students and their metropolitan peers. Situational factors, such as proximity to a university, availability of role models, reliability of information and the promotion of non-university options over university pathways also contributed to the education divide. The lack of strategic integration of WP into schools, the turnover of WP staff in universities and schools were some institutional factors that could explain differences between RRR and metropolitan post-school education choices. Zacharias et al.’s (2018) framework has identified key differential factors, and these can become the focus of targeted and tailored pre-access supports. Thus, a whole RRR student lifecycle approach could be enacted in the immediate future as there currently exists a body of empirical evidence to direct and frame efforts.</w:t>
      </w:r>
    </w:p>
    <w:p w14:paraId="741757B8" w14:textId="77777777" w:rsidR="00566137" w:rsidRPr="00306207" w:rsidRDefault="00566137" w:rsidP="00731032">
      <w:pPr>
        <w:shd w:val="clear" w:color="auto" w:fill="E2E6E4"/>
        <w:contextualSpacing/>
        <w:rPr>
          <w:rFonts w:ascii="Calibri" w:eastAsia="Calibri" w:hAnsi="Calibri" w:cs="Times New Roman"/>
          <w:b/>
        </w:rPr>
      </w:pPr>
      <w:r w:rsidRPr="00306207">
        <w:rPr>
          <w:rFonts w:ascii="Calibri" w:eastAsia="Calibri" w:hAnsi="Calibri" w:cs="Calibri"/>
          <w:b/>
        </w:rPr>
        <w:t xml:space="preserve">In </w:t>
      </w:r>
      <w:r w:rsidRPr="00306207">
        <w:rPr>
          <w:rFonts w:ascii="Calibri" w:eastAsia="Calibri" w:hAnsi="Calibri" w:cs="Calibri"/>
          <w:b/>
          <w:noProof/>
        </w:rPr>
        <w:t>summary,</w:t>
      </w:r>
      <w:r w:rsidRPr="00306207">
        <w:rPr>
          <w:rFonts w:ascii="Calibri" w:eastAsia="Calibri" w:hAnsi="Calibri" w:cs="Calibri"/>
          <w:b/>
        </w:rPr>
        <w:t xml:space="preserve"> the literature suggests:</w:t>
      </w:r>
    </w:p>
    <w:p w14:paraId="3E8D280D" w14:textId="77777777" w:rsidR="00566137" w:rsidRPr="00306207" w:rsidRDefault="00566137" w:rsidP="00731032">
      <w:pPr>
        <w:numPr>
          <w:ilvl w:val="0"/>
          <w:numId w:val="10"/>
        </w:numPr>
        <w:shd w:val="clear" w:color="auto" w:fill="E2E6E4"/>
        <w:spacing w:after="200"/>
        <w:contextualSpacing/>
        <w:jc w:val="both"/>
        <w:rPr>
          <w:rFonts w:ascii="Calibri" w:eastAsia="Calibri" w:hAnsi="Calibri" w:cs="Calibri"/>
        </w:rPr>
      </w:pPr>
      <w:r w:rsidRPr="00306207">
        <w:rPr>
          <w:rFonts w:ascii="Calibri" w:eastAsia="Calibri" w:hAnsi="Calibri" w:cs="Calibri"/>
        </w:rPr>
        <w:t xml:space="preserve">RRR students in </w:t>
      </w:r>
      <w:r>
        <w:rPr>
          <w:rFonts w:ascii="Calibri" w:eastAsia="Calibri" w:hAnsi="Calibri" w:cs="Calibri"/>
        </w:rPr>
        <w:t xml:space="preserve">tertiary </w:t>
      </w:r>
      <w:r w:rsidRPr="00306207">
        <w:rPr>
          <w:rFonts w:ascii="Calibri" w:eastAsia="Calibri" w:hAnsi="Calibri" w:cs="Calibri"/>
        </w:rPr>
        <w:t>education require supports at all four stages of the student lifecycle: pre-access, access, participation and completion and transition out.</w:t>
      </w:r>
    </w:p>
    <w:p w14:paraId="48465E74" w14:textId="77777777" w:rsidR="00566137" w:rsidRPr="00306207" w:rsidRDefault="00566137" w:rsidP="00731032">
      <w:pPr>
        <w:numPr>
          <w:ilvl w:val="0"/>
          <w:numId w:val="10"/>
        </w:numPr>
        <w:shd w:val="clear" w:color="auto" w:fill="E2E6E4"/>
        <w:spacing w:after="200"/>
        <w:contextualSpacing/>
        <w:jc w:val="both"/>
        <w:rPr>
          <w:rFonts w:ascii="Calibri" w:eastAsia="Calibri" w:hAnsi="Calibri" w:cs="Calibri"/>
        </w:rPr>
      </w:pPr>
      <w:r w:rsidRPr="00306207">
        <w:rPr>
          <w:rFonts w:ascii="Calibri" w:eastAsia="Calibri" w:hAnsi="Calibri" w:cs="Calibri"/>
        </w:rPr>
        <w:t>RRR supports should be designed as a whole-of-student-lifecycle program.</w:t>
      </w:r>
    </w:p>
    <w:p w14:paraId="4EA258EA" w14:textId="77777777" w:rsidR="00566137" w:rsidRPr="00306207" w:rsidRDefault="00566137" w:rsidP="00726804">
      <w:pPr>
        <w:pStyle w:val="Heading3"/>
        <w:rPr>
          <w:rFonts w:eastAsia="DengXian Light"/>
        </w:rPr>
      </w:pPr>
      <w:r w:rsidRPr="00306207">
        <w:rPr>
          <w:rFonts w:eastAsia="DengXian Light"/>
        </w:rPr>
        <w:t>5.4 Themes from recent Australian research projects</w:t>
      </w:r>
    </w:p>
    <w:p w14:paraId="4539DB81" w14:textId="731585B0" w:rsidR="00731032" w:rsidRDefault="00566137" w:rsidP="00566137">
      <w:r w:rsidRPr="00306207">
        <w:t>A component of HEPPP is the National Priorities Pool (NPP) designed to inform more effective implementation of HEPPP by supporting projects that ‘develop evidence, trial innovative ideas, build capacity and reform systems to maximise opportunity and outcomes for low SES people in higher education’</w:t>
      </w:r>
      <w:r>
        <w:t>.</w:t>
      </w:r>
      <w:r w:rsidRPr="00306207">
        <w:rPr>
          <w:rStyle w:val="FootnoteReference"/>
        </w:rPr>
        <w:footnoteReference w:id="207"/>
      </w:r>
      <w:r w:rsidRPr="00306207">
        <w:t xml:space="preserve"> Established in 2014 and comprised of both commissioned projects and university </w:t>
      </w:r>
      <w:r w:rsidRPr="00306207">
        <w:lastRenderedPageBreak/>
        <w:t xml:space="preserve">proposed projects, there are a number of broad themes from this work, that are relevant to the Strategy which are summarised below. </w:t>
      </w:r>
    </w:p>
    <w:p w14:paraId="57A6BD2D" w14:textId="77777777" w:rsidR="00566137" w:rsidRPr="00306207" w:rsidRDefault="00566137" w:rsidP="00263861">
      <w:pPr>
        <w:rPr>
          <w:rFonts w:ascii="Calibri" w:eastAsia="Calibri" w:hAnsi="Calibri" w:cs="Calibri"/>
          <w:b/>
        </w:rPr>
      </w:pPr>
      <w:r w:rsidRPr="00306207">
        <w:rPr>
          <w:rFonts w:ascii="Calibri" w:eastAsia="Calibri" w:hAnsi="Calibri" w:cs="Calibri"/>
          <w:b/>
        </w:rPr>
        <w:t>In summary, the literature suggests:</w:t>
      </w:r>
    </w:p>
    <w:p w14:paraId="32B454F8" w14:textId="77777777" w:rsidR="00566137" w:rsidRPr="00306207" w:rsidRDefault="00566137" w:rsidP="00731032">
      <w:pPr>
        <w:pStyle w:val="ListParagraph"/>
        <w:numPr>
          <w:ilvl w:val="0"/>
          <w:numId w:val="12"/>
        </w:numPr>
        <w:shd w:val="clear" w:color="auto" w:fill="E2E6E4"/>
        <w:spacing w:after="200"/>
        <w:rPr>
          <w:rFonts w:ascii="Calibri" w:eastAsia="Calibri" w:hAnsi="Calibri" w:cs="Times New Roman"/>
        </w:rPr>
      </w:pPr>
      <w:r w:rsidRPr="00306207">
        <w:rPr>
          <w:rFonts w:ascii="Calibri" w:eastAsia="Calibri" w:hAnsi="Calibri" w:cs="Times New Roman"/>
        </w:rPr>
        <w:t>equitable education is essential for nation building</w:t>
      </w:r>
      <w:r>
        <w:rPr>
          <w:rFonts w:ascii="Calibri" w:eastAsia="Calibri" w:hAnsi="Calibri" w:cs="Times New Roman"/>
        </w:rPr>
        <w:t>.</w:t>
      </w:r>
      <w:r w:rsidRPr="00306207">
        <w:rPr>
          <w:rStyle w:val="FootnoteReference"/>
        </w:rPr>
        <w:footnoteReference w:id="208"/>
      </w:r>
    </w:p>
    <w:p w14:paraId="4B2C7DF8" w14:textId="77777777" w:rsidR="00566137" w:rsidRPr="00306207" w:rsidRDefault="00566137" w:rsidP="00731032">
      <w:pPr>
        <w:pStyle w:val="ListParagraph"/>
        <w:numPr>
          <w:ilvl w:val="0"/>
          <w:numId w:val="12"/>
        </w:numPr>
        <w:shd w:val="clear" w:color="auto" w:fill="E2E6E4"/>
        <w:spacing w:after="200"/>
        <w:rPr>
          <w:rFonts w:ascii="Calibri" w:eastAsia="Calibri" w:hAnsi="Calibri" w:cs="Times New Roman"/>
        </w:rPr>
      </w:pPr>
      <w:r w:rsidRPr="00306207">
        <w:rPr>
          <w:rFonts w:ascii="Calibri" w:eastAsia="Calibri" w:hAnsi="Calibri" w:cs="Times New Roman"/>
        </w:rPr>
        <w:t xml:space="preserve">remote students should be recognised as a distinct equity group (separate from regional students), and that internet access </w:t>
      </w:r>
      <w:r>
        <w:rPr>
          <w:rFonts w:ascii="Calibri" w:eastAsia="Calibri" w:hAnsi="Calibri" w:cs="Times New Roman"/>
        </w:rPr>
        <w:t xml:space="preserve">should </w:t>
      </w:r>
      <w:r w:rsidRPr="00306207">
        <w:rPr>
          <w:rFonts w:ascii="Calibri" w:eastAsia="Calibri" w:hAnsi="Calibri" w:cs="Times New Roman"/>
        </w:rPr>
        <w:t>be formally recognised as an equity issue</w:t>
      </w:r>
      <w:r>
        <w:rPr>
          <w:rFonts w:ascii="Calibri" w:eastAsia="Calibri" w:hAnsi="Calibri" w:cs="Times New Roman"/>
        </w:rPr>
        <w:t>.</w:t>
      </w:r>
      <w:r w:rsidRPr="00306207">
        <w:rPr>
          <w:rStyle w:val="FootnoteReference"/>
        </w:rPr>
        <w:footnoteReference w:id="209"/>
      </w:r>
    </w:p>
    <w:p w14:paraId="04E95EB3" w14:textId="77777777" w:rsidR="00566137" w:rsidRPr="00306207" w:rsidRDefault="00566137" w:rsidP="00731032">
      <w:pPr>
        <w:pStyle w:val="ListParagraph"/>
        <w:numPr>
          <w:ilvl w:val="0"/>
          <w:numId w:val="12"/>
        </w:numPr>
        <w:shd w:val="clear" w:color="auto" w:fill="E2E6E4"/>
        <w:spacing w:after="200"/>
        <w:rPr>
          <w:rFonts w:ascii="Calibri" w:eastAsia="Calibri" w:hAnsi="Calibri" w:cs="Times New Roman"/>
        </w:rPr>
      </w:pPr>
      <w:r w:rsidRPr="00306207">
        <w:rPr>
          <w:rFonts w:ascii="Calibri" w:eastAsia="Calibri" w:hAnsi="Calibri" w:cs="Times New Roman"/>
        </w:rPr>
        <w:t>social partners (such as schools, community groups and employers) and influencers (e.g. parents, Indigenous Elders) form important parts of the tertiary education ecosystem and need to be engaged</w:t>
      </w:r>
      <w:r>
        <w:rPr>
          <w:rFonts w:ascii="Calibri" w:eastAsia="Calibri" w:hAnsi="Calibri" w:cs="Times New Roman"/>
        </w:rPr>
        <w:t>.</w:t>
      </w:r>
      <w:r w:rsidRPr="00306207">
        <w:rPr>
          <w:rStyle w:val="FootnoteReference"/>
        </w:rPr>
        <w:footnoteReference w:id="210"/>
      </w:r>
    </w:p>
    <w:p w14:paraId="07E2B712" w14:textId="4C7B26DC" w:rsidR="00566137" w:rsidRPr="00306207" w:rsidRDefault="00566137" w:rsidP="00731032">
      <w:pPr>
        <w:pStyle w:val="ListParagraph"/>
        <w:numPr>
          <w:ilvl w:val="0"/>
          <w:numId w:val="12"/>
        </w:numPr>
        <w:shd w:val="clear" w:color="auto" w:fill="E2E6E4"/>
        <w:spacing w:after="200"/>
        <w:rPr>
          <w:rFonts w:ascii="Calibri" w:eastAsia="Calibri" w:hAnsi="Calibri" w:cs="Times New Roman"/>
        </w:rPr>
      </w:pPr>
      <w:r w:rsidRPr="00306207">
        <w:rPr>
          <w:rFonts w:ascii="Calibri" w:eastAsia="Calibri" w:hAnsi="Calibri" w:cs="Times New Roman"/>
        </w:rPr>
        <w:t xml:space="preserve">the HEPPP funding model could be refined to prioritise low-SES RRR outreach with a multi-sector consortium-type model </w:t>
      </w:r>
      <w:r w:rsidR="008D781A">
        <w:rPr>
          <w:rFonts w:ascii="Calibri" w:eastAsia="Calibri" w:hAnsi="Calibri" w:cs="Times New Roman"/>
        </w:rPr>
        <w:t xml:space="preserve">to </w:t>
      </w:r>
      <w:r w:rsidRPr="00306207">
        <w:rPr>
          <w:rFonts w:ascii="Calibri" w:eastAsia="Calibri" w:hAnsi="Calibri" w:cs="Times New Roman"/>
        </w:rPr>
        <w:t>potentially develop and deliver a RRR WP strategy</w:t>
      </w:r>
      <w:r>
        <w:rPr>
          <w:rFonts w:ascii="Calibri" w:eastAsia="Calibri" w:hAnsi="Calibri" w:cs="Times New Roman"/>
        </w:rPr>
        <w:t>.</w:t>
      </w:r>
      <w:r w:rsidRPr="00306207">
        <w:rPr>
          <w:rStyle w:val="FootnoteReference"/>
        </w:rPr>
        <w:footnoteReference w:id="211"/>
      </w:r>
    </w:p>
    <w:p w14:paraId="1F95F04D" w14:textId="77777777" w:rsidR="00566137" w:rsidRPr="00306207" w:rsidRDefault="00566137" w:rsidP="00731032">
      <w:pPr>
        <w:pStyle w:val="ListParagraph"/>
        <w:numPr>
          <w:ilvl w:val="0"/>
          <w:numId w:val="12"/>
        </w:numPr>
        <w:shd w:val="clear" w:color="auto" w:fill="E2E6E4"/>
        <w:spacing w:after="200"/>
        <w:rPr>
          <w:rFonts w:ascii="Calibri" w:eastAsia="Calibri" w:hAnsi="Calibri" w:cs="Calibri"/>
        </w:rPr>
      </w:pPr>
      <w:r w:rsidRPr="00306207">
        <w:rPr>
          <w:rFonts w:ascii="Calibri" w:eastAsia="Calibri" w:hAnsi="Calibri" w:cs="Times New Roman"/>
        </w:rPr>
        <w:t>pre-service teachers could train in career development, and existing guides and resources could be promoted and funding pre-service teachers going to RRR areas could be modelled on existing programs used in medicine for other healthcare professionals</w:t>
      </w:r>
      <w:r>
        <w:rPr>
          <w:rFonts w:ascii="Calibri" w:eastAsia="Calibri" w:hAnsi="Calibri" w:cs="Times New Roman"/>
        </w:rPr>
        <w:t>.</w:t>
      </w:r>
      <w:r w:rsidRPr="00306207">
        <w:rPr>
          <w:rStyle w:val="FootnoteReference"/>
        </w:rPr>
        <w:footnoteReference w:id="212"/>
      </w:r>
    </w:p>
    <w:p w14:paraId="57BFD5F9" w14:textId="77777777" w:rsidR="00A46C00" w:rsidRDefault="00A46C00">
      <w:pPr>
        <w:rPr>
          <w:rFonts w:asciiTheme="majorHAnsi" w:eastAsia="Calibri" w:hAnsiTheme="majorHAnsi" w:cstheme="majorBidi"/>
          <w:b/>
          <w:color w:val="2B363D" w:themeColor="accent1" w:themeShade="BF"/>
          <w:sz w:val="32"/>
          <w:szCs w:val="32"/>
        </w:rPr>
      </w:pPr>
      <w:r>
        <w:rPr>
          <w:rFonts w:eastAsia="Calibri"/>
        </w:rPr>
        <w:br w:type="page"/>
      </w:r>
    </w:p>
    <w:p w14:paraId="2ACE2D66" w14:textId="77777777" w:rsidR="00344A8D" w:rsidRDefault="0040515A" w:rsidP="00A368CF">
      <w:pPr>
        <w:pStyle w:val="Heading1"/>
      </w:pPr>
      <w:bookmarkStart w:id="82" w:name="_Toc13224816"/>
      <w:bookmarkEnd w:id="69"/>
      <w:r w:rsidRPr="00306207">
        <w:lastRenderedPageBreak/>
        <w:t>Appendix B – Map with remoteness categories</w:t>
      </w:r>
      <w:bookmarkEnd w:id="82"/>
    </w:p>
    <w:p w14:paraId="40BE3A5D" w14:textId="203C6715" w:rsidR="00344A8D" w:rsidRDefault="000652D9" w:rsidP="00344A8D">
      <w:r>
        <w:pict w14:anchorId="63E6FD0F">
          <v:shape id="_x0000_i1030" type="#_x0000_t75" alt="Appendix B is an Australian map that is shaded to show the five remoteness categories of the Australian Statistical Geography Standard (ASGS): major cities, inner regional, outer regional, remote and very remote. Major capital cities and the east coast of Australia are largely characterised as major cities, inner and outer regional, with a majority of the nation characterised as remote and very remote.”" style="width:474.6pt;height:445.8pt;mso-position-vertical:absolute">
            <v:imagedata r:id="rId42" o:title="ED19-0084 - HE - Regional Taskforce Final Report_Map - Appendix B"/>
          </v:shape>
        </w:pict>
      </w:r>
    </w:p>
    <w:p w14:paraId="4FD3E69E" w14:textId="0B7C75C2" w:rsidR="0040515A" w:rsidRPr="00306207" w:rsidRDefault="0040515A" w:rsidP="00A368CF">
      <w:pPr>
        <w:pStyle w:val="Heading1"/>
      </w:pPr>
      <w:r w:rsidRPr="00306207">
        <w:br w:type="page"/>
      </w:r>
    </w:p>
    <w:p w14:paraId="75495487" w14:textId="0FC4FB6F" w:rsidR="0051019D" w:rsidRPr="00306207" w:rsidRDefault="0040515A" w:rsidP="00A368CF">
      <w:pPr>
        <w:pStyle w:val="Heading1"/>
      </w:pPr>
      <w:bookmarkStart w:id="83" w:name="_Toc13224818"/>
      <w:r w:rsidRPr="00306207">
        <w:lastRenderedPageBreak/>
        <w:t>Appendix C</w:t>
      </w:r>
      <w:r w:rsidR="0051019D" w:rsidRPr="00306207">
        <w:t xml:space="preserve"> – </w:t>
      </w:r>
      <w:bookmarkEnd w:id="70"/>
      <w:bookmarkEnd w:id="71"/>
      <w:r w:rsidR="0051019D" w:rsidRPr="00306207">
        <w:t>Strategy development process</w:t>
      </w:r>
      <w:bookmarkEnd w:id="83"/>
      <w:r w:rsidR="0051019D" w:rsidRPr="00306207">
        <w:t xml:space="preserve"> </w:t>
      </w:r>
    </w:p>
    <w:p w14:paraId="193CA59F" w14:textId="77777777" w:rsidR="0051019D" w:rsidRPr="00306207" w:rsidRDefault="0051019D" w:rsidP="00726804">
      <w:pPr>
        <w:pStyle w:val="Heading2"/>
      </w:pPr>
      <w:bookmarkStart w:id="84" w:name="_Toc11860865"/>
      <w:bookmarkStart w:id="85" w:name="_Toc11861012"/>
      <w:bookmarkStart w:id="86" w:name="_Toc13224819"/>
      <w:r w:rsidRPr="00306207">
        <w:t>Review process</w:t>
      </w:r>
      <w:bookmarkEnd w:id="84"/>
      <w:bookmarkEnd w:id="85"/>
      <w:bookmarkEnd w:id="86"/>
    </w:p>
    <w:p w14:paraId="4612B7B9" w14:textId="77777777" w:rsidR="00B06327" w:rsidRDefault="00B06327" w:rsidP="00726804">
      <w:pPr>
        <w:pStyle w:val="Heading2"/>
        <w:rPr>
          <w:rFonts w:ascii="Calibri" w:eastAsia="Calibri" w:hAnsi="Calibri" w:cs="Calibri"/>
          <w:color w:val="auto"/>
          <w:sz w:val="22"/>
          <w:szCs w:val="22"/>
        </w:rPr>
      </w:pPr>
      <w:bookmarkStart w:id="87" w:name="_Toc11860866"/>
      <w:bookmarkStart w:id="88" w:name="_Toc11861013"/>
      <w:bookmarkStart w:id="89" w:name="_Toc13224820"/>
      <w:r w:rsidRPr="00B06327">
        <w:rPr>
          <w:rFonts w:ascii="Calibri" w:eastAsia="Calibri" w:hAnsi="Calibri" w:cs="Calibri"/>
          <w:color w:val="auto"/>
          <w:sz w:val="22"/>
          <w:szCs w:val="22"/>
        </w:rPr>
        <w:t xml:space="preserve">On 12 November 2018, the Minister for Education, the Hon Dan Tehan MP announced that as part of the Australian Government’s Regional Education Package, the Government would develop a National Regional, Rural and Remote Education Strategy to drive increased participation in post-secondary education. This work builds on the Government’s response to the </w:t>
      </w:r>
      <w:r w:rsidRPr="00B06327">
        <w:rPr>
          <w:rStyle w:val="Emphasis"/>
          <w:color w:val="3A4952" w:themeColor="accent1"/>
        </w:rPr>
        <w:t>Independent Review into Regional, Rural and Remote Education</w:t>
      </w:r>
      <w:r w:rsidRPr="00B06327">
        <w:rPr>
          <w:rFonts w:ascii="Calibri" w:eastAsia="Calibri" w:hAnsi="Calibri" w:cs="Calibri"/>
          <w:i/>
          <w:iCs/>
          <w:color w:val="3A4952" w:themeColor="accent1"/>
          <w:sz w:val="22"/>
          <w:szCs w:val="22"/>
        </w:rPr>
        <w:t xml:space="preserve"> </w:t>
      </w:r>
      <w:r w:rsidRPr="00B06327">
        <w:rPr>
          <w:rFonts w:ascii="Calibri" w:eastAsia="Calibri" w:hAnsi="Calibri" w:cs="Calibri"/>
          <w:color w:val="auto"/>
          <w:sz w:val="22"/>
          <w:szCs w:val="22"/>
        </w:rPr>
        <w:t xml:space="preserve">(the Halsey Review). Recommendation 11 of the review proposed that the Government ‘establish a national focus for regional, rural and remote education, training and research to enhance access, outcomes and opportunities in regional Australia’. </w:t>
      </w:r>
    </w:p>
    <w:p w14:paraId="18AAA19B" w14:textId="014819CE" w:rsidR="0051019D" w:rsidRPr="00306207" w:rsidRDefault="0051019D" w:rsidP="00726804">
      <w:pPr>
        <w:pStyle w:val="Heading2"/>
        <w:rPr>
          <w:rFonts w:eastAsia="Times New Roman"/>
          <w:lang w:val="en" w:eastAsia="en-AU"/>
        </w:rPr>
      </w:pPr>
      <w:r w:rsidRPr="00306207">
        <w:rPr>
          <w:rFonts w:eastAsia="Times New Roman"/>
          <w:lang w:val="en" w:eastAsia="en-AU"/>
        </w:rPr>
        <w:t>Regional Education Expert Advisory Group</w:t>
      </w:r>
      <w:bookmarkEnd w:id="87"/>
      <w:bookmarkEnd w:id="88"/>
      <w:bookmarkEnd w:id="89"/>
    </w:p>
    <w:p w14:paraId="65067460" w14:textId="6881054C" w:rsidR="0051019D" w:rsidRPr="00306207" w:rsidRDefault="0051019D" w:rsidP="0051019D">
      <w:pPr>
        <w:rPr>
          <w:rFonts w:ascii="Calibri" w:eastAsia="Calibri" w:hAnsi="Calibri" w:cs="Calibri"/>
        </w:rPr>
      </w:pPr>
      <w:r w:rsidRPr="00306207">
        <w:rPr>
          <w:rFonts w:ascii="Calibri" w:eastAsia="Calibri" w:hAnsi="Calibri" w:cs="Calibri"/>
        </w:rPr>
        <w:t xml:space="preserve">To drive the development of the Strategy, the Minister established a Regional Education Expert Advisory Group to advise Government on the ongoing education and training needs of regional, rural and remote communities. The Terms of Reference for the Advisory Group are </w:t>
      </w:r>
      <w:r w:rsidR="0065108C" w:rsidRPr="00306207">
        <w:rPr>
          <w:rFonts w:ascii="Calibri" w:eastAsia="Calibri" w:hAnsi="Calibri" w:cs="Calibri"/>
        </w:rPr>
        <w:t xml:space="preserve">in </w:t>
      </w:r>
      <w:r w:rsidRPr="00306207">
        <w:rPr>
          <w:rFonts w:ascii="Calibri" w:eastAsia="Calibri" w:hAnsi="Calibri" w:cs="Calibri"/>
        </w:rPr>
        <w:t xml:space="preserve">Appendix </w:t>
      </w:r>
      <w:r w:rsidR="00A1562B">
        <w:rPr>
          <w:rFonts w:ascii="Calibri" w:eastAsia="Calibri" w:hAnsi="Calibri" w:cs="Calibri"/>
        </w:rPr>
        <w:t>D</w:t>
      </w:r>
      <w:r w:rsidRPr="00306207">
        <w:rPr>
          <w:rFonts w:ascii="Calibri" w:eastAsia="Calibri" w:hAnsi="Calibri" w:cs="Calibri"/>
        </w:rPr>
        <w:t>. The members of the Advisory Group are:</w:t>
      </w:r>
    </w:p>
    <w:p w14:paraId="43AB6223" w14:textId="77777777" w:rsidR="0051019D" w:rsidRPr="00306207" w:rsidRDefault="0051019D" w:rsidP="00AE4055">
      <w:pPr>
        <w:pStyle w:val="ListParagraph"/>
        <w:numPr>
          <w:ilvl w:val="0"/>
          <w:numId w:val="2"/>
        </w:numPr>
        <w:spacing w:after="200" w:line="276" w:lineRule="auto"/>
        <w:rPr>
          <w:rFonts w:ascii="Calibri" w:eastAsia="Calibri" w:hAnsi="Calibri" w:cs="Calibri"/>
        </w:rPr>
      </w:pPr>
      <w:r w:rsidRPr="00306207">
        <w:rPr>
          <w:rFonts w:ascii="Calibri" w:eastAsia="Calibri" w:hAnsi="Calibri" w:cs="Calibri"/>
        </w:rPr>
        <w:t>The Hon Dr Denis Napthine, former Victorian Premier (Chair)</w:t>
      </w:r>
    </w:p>
    <w:p w14:paraId="035704B9" w14:textId="77777777" w:rsidR="00B06327" w:rsidRPr="00306207" w:rsidRDefault="00B06327" w:rsidP="00B06327">
      <w:pPr>
        <w:pStyle w:val="ListParagraph"/>
        <w:numPr>
          <w:ilvl w:val="0"/>
          <w:numId w:val="2"/>
        </w:numPr>
        <w:spacing w:after="200" w:line="276" w:lineRule="auto"/>
        <w:rPr>
          <w:rFonts w:ascii="Calibri" w:eastAsia="Calibri" w:hAnsi="Calibri" w:cs="Calibri"/>
        </w:rPr>
      </w:pPr>
      <w:r w:rsidRPr="00306207">
        <w:rPr>
          <w:rFonts w:ascii="Calibri" w:eastAsia="Calibri" w:hAnsi="Calibri" w:cs="Calibri"/>
        </w:rPr>
        <w:t>Ms Caroline Graham, Chief Executive Officer, Regional Skills Training</w:t>
      </w:r>
    </w:p>
    <w:p w14:paraId="20E0BBB3" w14:textId="77777777" w:rsidR="0051019D" w:rsidRPr="00306207" w:rsidRDefault="0051019D" w:rsidP="00AE4055">
      <w:pPr>
        <w:pStyle w:val="ListParagraph"/>
        <w:numPr>
          <w:ilvl w:val="0"/>
          <w:numId w:val="2"/>
        </w:numPr>
        <w:spacing w:after="200" w:line="276" w:lineRule="auto"/>
        <w:rPr>
          <w:rFonts w:ascii="Calibri" w:eastAsia="Calibri" w:hAnsi="Calibri" w:cs="Calibri"/>
        </w:rPr>
      </w:pPr>
      <w:r w:rsidRPr="00306207">
        <w:rPr>
          <w:rFonts w:ascii="Calibri" w:eastAsia="Calibri" w:hAnsi="Calibri" w:cs="Calibri"/>
        </w:rPr>
        <w:t>Emeritus Professor Peter Lee, former Vice Chancellor Southern Cross University</w:t>
      </w:r>
    </w:p>
    <w:p w14:paraId="15940B08" w14:textId="77777777" w:rsidR="0051019D" w:rsidRPr="00306207" w:rsidRDefault="0051019D" w:rsidP="00AE4055">
      <w:pPr>
        <w:pStyle w:val="ListParagraph"/>
        <w:numPr>
          <w:ilvl w:val="0"/>
          <w:numId w:val="2"/>
        </w:numPr>
        <w:spacing w:after="200" w:line="276" w:lineRule="auto"/>
        <w:rPr>
          <w:rFonts w:ascii="Calibri" w:eastAsia="Calibri" w:hAnsi="Calibri" w:cs="Calibri"/>
        </w:rPr>
      </w:pPr>
      <w:r w:rsidRPr="00306207">
        <w:rPr>
          <w:rFonts w:ascii="Calibri" w:eastAsia="Calibri" w:hAnsi="Calibri" w:cs="Calibri"/>
        </w:rPr>
        <w:t>Ms Meredith Wills, former Director, Geraldton Universities Centre.</w:t>
      </w:r>
    </w:p>
    <w:p w14:paraId="6B77E11C" w14:textId="77777777" w:rsidR="0051019D" w:rsidRPr="00306207" w:rsidRDefault="0051019D" w:rsidP="00726804">
      <w:pPr>
        <w:pStyle w:val="Heading2"/>
        <w:rPr>
          <w:rFonts w:eastAsia="Times New Roman"/>
          <w:lang w:val="en" w:eastAsia="en-AU"/>
        </w:rPr>
      </w:pPr>
      <w:bookmarkStart w:id="90" w:name="_Toc11860867"/>
      <w:bookmarkStart w:id="91" w:name="_Toc11861014"/>
      <w:bookmarkStart w:id="92" w:name="_Toc13224821"/>
      <w:r w:rsidRPr="00306207">
        <w:rPr>
          <w:rFonts w:eastAsia="Times New Roman"/>
          <w:lang w:val="en" w:eastAsia="en-AU"/>
        </w:rPr>
        <w:t>Framing Paper and submissions</w:t>
      </w:r>
      <w:bookmarkEnd w:id="90"/>
      <w:bookmarkEnd w:id="91"/>
      <w:bookmarkEnd w:id="92"/>
    </w:p>
    <w:p w14:paraId="629679A4" w14:textId="43E3DEB9" w:rsidR="00EC38DE" w:rsidRDefault="00EC38DE" w:rsidP="0051019D">
      <w:pPr>
        <w:rPr>
          <w:rFonts w:ascii="Calibri" w:eastAsia="Calibri" w:hAnsi="Calibri" w:cs="Calibri"/>
        </w:rPr>
      </w:pPr>
      <w:r w:rsidRPr="00EC38DE">
        <w:rPr>
          <w:rFonts w:ascii="Calibri" w:eastAsia="Calibri" w:hAnsi="Calibri" w:cs="Calibri"/>
        </w:rPr>
        <w:t>To inform the Strategy development process and submission, the Advisory Group released a Framing Paper on 20 December 2018 and sought submissions from interested parties by 1 February 2019. In total, 79 submissions were received from a diverse range of stakeholders in response to the issues set out in the Framing Paper. Those contributing to the process were asked to focus on practical steps the Government could take to improve tertiary education access and attainment for people in regional, rural and remote communities.</w:t>
      </w:r>
    </w:p>
    <w:p w14:paraId="17E425DE" w14:textId="77777777" w:rsidR="00EC38DE" w:rsidRDefault="00EC38DE">
      <w:pPr>
        <w:rPr>
          <w:rFonts w:ascii="Calibri" w:eastAsia="Calibri" w:hAnsi="Calibri" w:cs="Calibri"/>
        </w:rPr>
      </w:pPr>
      <w:r>
        <w:rPr>
          <w:rFonts w:ascii="Calibri" w:eastAsia="Calibri" w:hAnsi="Calibri" w:cs="Calibri"/>
        </w:rPr>
        <w:br w:type="page"/>
      </w:r>
    </w:p>
    <w:p w14:paraId="42407B13" w14:textId="74328B5F" w:rsidR="00EC38DE" w:rsidRPr="00EC38DE" w:rsidRDefault="00EC38DE" w:rsidP="00EC38DE">
      <w:pPr>
        <w:pStyle w:val="Caption"/>
        <w:keepNext/>
        <w:rPr>
          <w:b/>
        </w:rPr>
      </w:pPr>
      <w:r w:rsidRPr="00EC38DE">
        <w:rPr>
          <w:b/>
        </w:rPr>
        <w:lastRenderedPageBreak/>
        <w:t xml:space="preserve">Table C </w:t>
      </w:r>
      <w:r w:rsidRPr="00EC38DE">
        <w:rPr>
          <w:b/>
        </w:rPr>
        <w:fldChar w:fldCharType="begin"/>
      </w:r>
      <w:r w:rsidRPr="00EC38DE">
        <w:rPr>
          <w:b/>
        </w:rPr>
        <w:instrText xml:space="preserve"> SEQ Table_C \* ARABIC </w:instrText>
      </w:r>
      <w:r w:rsidRPr="00EC38DE">
        <w:rPr>
          <w:b/>
        </w:rPr>
        <w:fldChar w:fldCharType="separate"/>
      </w:r>
      <w:r>
        <w:rPr>
          <w:b/>
          <w:noProof/>
        </w:rPr>
        <w:t>1</w:t>
      </w:r>
      <w:r w:rsidRPr="00EC38DE">
        <w:rPr>
          <w:b/>
        </w:rPr>
        <w:fldChar w:fldCharType="end"/>
      </w:r>
      <w:r w:rsidRPr="00EC38DE">
        <w:rPr>
          <w:b/>
        </w:rPr>
        <w:t>. Number of submissions by group*</w:t>
      </w:r>
    </w:p>
    <w:tbl>
      <w:tblPr>
        <w:tblStyle w:val="GridTable4-Accent1"/>
        <w:tblW w:w="0" w:type="auto"/>
        <w:tblLook w:val="04A0" w:firstRow="1" w:lastRow="0" w:firstColumn="1" w:lastColumn="0" w:noHBand="0" w:noVBand="1"/>
      </w:tblPr>
      <w:tblGrid>
        <w:gridCol w:w="6516"/>
        <w:gridCol w:w="2500"/>
      </w:tblGrid>
      <w:tr w:rsidR="0051019D" w:rsidRPr="00306207" w14:paraId="05391D29" w14:textId="77777777" w:rsidTr="00EC38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516" w:type="dxa"/>
          </w:tcPr>
          <w:p w14:paraId="06844AE8" w14:textId="77777777" w:rsidR="0051019D" w:rsidRPr="00306207" w:rsidRDefault="0051019D" w:rsidP="0051019D">
            <w:pPr>
              <w:rPr>
                <w:color w:val="E7E6E6" w:themeColor="background2"/>
              </w:rPr>
            </w:pPr>
            <w:r w:rsidRPr="00306207">
              <w:rPr>
                <w:color w:val="E7E6E6" w:themeColor="background2"/>
              </w:rPr>
              <w:t>Role of person submitting (as included on submission template)</w:t>
            </w:r>
          </w:p>
        </w:tc>
        <w:tc>
          <w:tcPr>
            <w:tcW w:w="2500" w:type="dxa"/>
          </w:tcPr>
          <w:p w14:paraId="1C3A5770" w14:textId="77777777" w:rsidR="0051019D" w:rsidRPr="00306207" w:rsidRDefault="0051019D" w:rsidP="0051019D">
            <w:pPr>
              <w:cnfStyle w:val="100000000000" w:firstRow="1" w:lastRow="0" w:firstColumn="0" w:lastColumn="0" w:oddVBand="0" w:evenVBand="0" w:oddHBand="0" w:evenHBand="0" w:firstRowFirstColumn="0" w:firstRowLastColumn="0" w:lastRowFirstColumn="0" w:lastRowLastColumn="0"/>
              <w:rPr>
                <w:color w:val="E7E6E6" w:themeColor="background2"/>
              </w:rPr>
            </w:pPr>
            <w:r w:rsidRPr="00306207">
              <w:rPr>
                <w:color w:val="E7E6E6" w:themeColor="background2"/>
              </w:rPr>
              <w:t>Number of submissions</w:t>
            </w:r>
          </w:p>
        </w:tc>
      </w:tr>
      <w:tr w:rsidR="0051019D" w:rsidRPr="00306207" w14:paraId="21DA8FB8"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7B206D95" w14:textId="77777777" w:rsidR="0051019D" w:rsidRPr="00306207" w:rsidRDefault="0051019D" w:rsidP="0051019D">
            <w:pPr>
              <w:rPr>
                <w:b w:val="0"/>
              </w:rPr>
            </w:pPr>
            <w:r w:rsidRPr="00306207">
              <w:t xml:space="preserve">University </w:t>
            </w:r>
          </w:p>
        </w:tc>
        <w:tc>
          <w:tcPr>
            <w:tcW w:w="2500" w:type="dxa"/>
            <w:vAlign w:val="center"/>
          </w:tcPr>
          <w:p w14:paraId="2618D61B"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20</w:t>
            </w:r>
          </w:p>
        </w:tc>
      </w:tr>
      <w:tr w:rsidR="0051019D" w:rsidRPr="00306207" w14:paraId="0BD2C7E9" w14:textId="77777777" w:rsidTr="00263861">
        <w:tc>
          <w:tcPr>
            <w:cnfStyle w:val="001000000000" w:firstRow="0" w:lastRow="0" w:firstColumn="1" w:lastColumn="0" w:oddVBand="0" w:evenVBand="0" w:oddHBand="0" w:evenHBand="0" w:firstRowFirstColumn="0" w:firstRowLastColumn="0" w:lastRowFirstColumn="0" w:lastRowLastColumn="0"/>
            <w:tcW w:w="6516" w:type="dxa"/>
          </w:tcPr>
          <w:p w14:paraId="58C84B60" w14:textId="77777777" w:rsidR="0051019D" w:rsidRPr="00306207" w:rsidRDefault="0051019D" w:rsidP="0051019D">
            <w:pPr>
              <w:rPr>
                <w:b w:val="0"/>
              </w:rPr>
            </w:pPr>
            <w:r w:rsidRPr="00306207">
              <w:t>Peak body/think tank</w:t>
            </w:r>
          </w:p>
        </w:tc>
        <w:tc>
          <w:tcPr>
            <w:tcW w:w="2500" w:type="dxa"/>
            <w:vAlign w:val="center"/>
          </w:tcPr>
          <w:p w14:paraId="1700914C"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13</w:t>
            </w:r>
          </w:p>
        </w:tc>
      </w:tr>
      <w:tr w:rsidR="0051019D" w:rsidRPr="00306207" w14:paraId="08D23A60"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304BEB12" w14:textId="77777777" w:rsidR="0051019D" w:rsidRPr="00306207" w:rsidRDefault="0051019D" w:rsidP="0051019D">
            <w:pPr>
              <w:rPr>
                <w:b w:val="0"/>
              </w:rPr>
            </w:pPr>
            <w:r w:rsidRPr="00306207">
              <w:t>Educator</w:t>
            </w:r>
          </w:p>
        </w:tc>
        <w:tc>
          <w:tcPr>
            <w:tcW w:w="2500" w:type="dxa"/>
            <w:vAlign w:val="center"/>
          </w:tcPr>
          <w:p w14:paraId="6B85D892"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11</w:t>
            </w:r>
          </w:p>
        </w:tc>
      </w:tr>
      <w:tr w:rsidR="0051019D" w:rsidRPr="00306207" w14:paraId="6D90C029" w14:textId="77777777" w:rsidTr="00263861">
        <w:tc>
          <w:tcPr>
            <w:cnfStyle w:val="001000000000" w:firstRow="0" w:lastRow="0" w:firstColumn="1" w:lastColumn="0" w:oddVBand="0" w:evenVBand="0" w:oddHBand="0" w:evenHBand="0" w:firstRowFirstColumn="0" w:firstRowLastColumn="0" w:lastRowFirstColumn="0" w:lastRowLastColumn="0"/>
            <w:tcW w:w="6516" w:type="dxa"/>
          </w:tcPr>
          <w:p w14:paraId="0416268E" w14:textId="77777777" w:rsidR="0051019D" w:rsidRPr="00306207" w:rsidRDefault="0051019D" w:rsidP="0051019D">
            <w:pPr>
              <w:rPr>
                <w:b w:val="0"/>
              </w:rPr>
            </w:pPr>
            <w:r w:rsidRPr="00306207">
              <w:t xml:space="preserve">Academic </w:t>
            </w:r>
          </w:p>
        </w:tc>
        <w:tc>
          <w:tcPr>
            <w:tcW w:w="2500" w:type="dxa"/>
            <w:vAlign w:val="center"/>
          </w:tcPr>
          <w:p w14:paraId="60D1D978"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7</w:t>
            </w:r>
          </w:p>
        </w:tc>
      </w:tr>
      <w:tr w:rsidR="0051019D" w:rsidRPr="00306207" w14:paraId="69172291"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6528D07D" w14:textId="77777777" w:rsidR="0051019D" w:rsidRPr="00306207" w:rsidRDefault="0051019D" w:rsidP="0051019D">
            <w:pPr>
              <w:rPr>
                <w:b w:val="0"/>
              </w:rPr>
            </w:pPr>
            <w:r w:rsidRPr="00306207">
              <w:t xml:space="preserve">Government Agencies </w:t>
            </w:r>
          </w:p>
        </w:tc>
        <w:tc>
          <w:tcPr>
            <w:tcW w:w="2500" w:type="dxa"/>
            <w:vAlign w:val="center"/>
          </w:tcPr>
          <w:p w14:paraId="69D34551"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6</w:t>
            </w:r>
          </w:p>
        </w:tc>
      </w:tr>
      <w:tr w:rsidR="0051019D" w:rsidRPr="00306207" w14:paraId="569A89E0" w14:textId="77777777" w:rsidTr="00263861">
        <w:tc>
          <w:tcPr>
            <w:cnfStyle w:val="001000000000" w:firstRow="0" w:lastRow="0" w:firstColumn="1" w:lastColumn="0" w:oddVBand="0" w:evenVBand="0" w:oddHBand="0" w:evenHBand="0" w:firstRowFirstColumn="0" w:firstRowLastColumn="0" w:lastRowFirstColumn="0" w:lastRowLastColumn="0"/>
            <w:tcW w:w="6516" w:type="dxa"/>
          </w:tcPr>
          <w:p w14:paraId="37961554" w14:textId="77777777" w:rsidR="0051019D" w:rsidRPr="00306207" w:rsidRDefault="0051019D" w:rsidP="0051019D">
            <w:pPr>
              <w:rPr>
                <w:b w:val="0"/>
              </w:rPr>
            </w:pPr>
            <w:r w:rsidRPr="00306207">
              <w:t xml:space="preserve">Community Organisation </w:t>
            </w:r>
          </w:p>
        </w:tc>
        <w:tc>
          <w:tcPr>
            <w:tcW w:w="2500" w:type="dxa"/>
            <w:vAlign w:val="center"/>
          </w:tcPr>
          <w:p w14:paraId="13BD0CA3"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6</w:t>
            </w:r>
          </w:p>
        </w:tc>
      </w:tr>
      <w:tr w:rsidR="0051019D" w:rsidRPr="00306207" w14:paraId="0EF616C0"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01A84D37" w14:textId="77777777" w:rsidR="0051019D" w:rsidRPr="00306207" w:rsidRDefault="0051019D" w:rsidP="0051019D">
            <w:pPr>
              <w:rPr>
                <w:b w:val="0"/>
              </w:rPr>
            </w:pPr>
            <w:r w:rsidRPr="00306207">
              <w:t>Parent/carer/guardian</w:t>
            </w:r>
          </w:p>
        </w:tc>
        <w:tc>
          <w:tcPr>
            <w:tcW w:w="2500" w:type="dxa"/>
            <w:vAlign w:val="center"/>
          </w:tcPr>
          <w:p w14:paraId="30A6ED9B"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2</w:t>
            </w:r>
          </w:p>
        </w:tc>
      </w:tr>
      <w:tr w:rsidR="0051019D" w:rsidRPr="00306207" w14:paraId="37AA9EEF" w14:textId="77777777" w:rsidTr="00263861">
        <w:tc>
          <w:tcPr>
            <w:cnfStyle w:val="001000000000" w:firstRow="0" w:lastRow="0" w:firstColumn="1" w:lastColumn="0" w:oddVBand="0" w:evenVBand="0" w:oddHBand="0" w:evenHBand="0" w:firstRowFirstColumn="0" w:firstRowLastColumn="0" w:lastRowFirstColumn="0" w:lastRowLastColumn="0"/>
            <w:tcW w:w="6516" w:type="dxa"/>
          </w:tcPr>
          <w:p w14:paraId="11D36EA6" w14:textId="77777777" w:rsidR="0051019D" w:rsidRPr="00306207" w:rsidRDefault="0051019D" w:rsidP="0051019D">
            <w:pPr>
              <w:rPr>
                <w:b w:val="0"/>
              </w:rPr>
            </w:pPr>
            <w:r w:rsidRPr="00306207">
              <w:t xml:space="preserve">Student/potential student </w:t>
            </w:r>
          </w:p>
        </w:tc>
        <w:tc>
          <w:tcPr>
            <w:tcW w:w="2500" w:type="dxa"/>
            <w:vAlign w:val="center"/>
          </w:tcPr>
          <w:p w14:paraId="77489C8C"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2</w:t>
            </w:r>
          </w:p>
        </w:tc>
      </w:tr>
      <w:tr w:rsidR="0051019D" w:rsidRPr="00306207" w14:paraId="30C89FC0"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27A000A1" w14:textId="77777777" w:rsidR="0051019D" w:rsidRPr="00306207" w:rsidRDefault="0051019D" w:rsidP="0051019D">
            <w:pPr>
              <w:rPr>
                <w:b w:val="0"/>
              </w:rPr>
            </w:pPr>
            <w:r w:rsidRPr="00306207">
              <w:t>Training Provider</w:t>
            </w:r>
          </w:p>
        </w:tc>
        <w:tc>
          <w:tcPr>
            <w:tcW w:w="2500" w:type="dxa"/>
            <w:vAlign w:val="center"/>
          </w:tcPr>
          <w:p w14:paraId="4044F71B"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1</w:t>
            </w:r>
          </w:p>
        </w:tc>
      </w:tr>
      <w:tr w:rsidR="0051019D" w:rsidRPr="00306207" w14:paraId="10D84C6A" w14:textId="77777777" w:rsidTr="00263861">
        <w:tc>
          <w:tcPr>
            <w:cnfStyle w:val="001000000000" w:firstRow="0" w:lastRow="0" w:firstColumn="1" w:lastColumn="0" w:oddVBand="0" w:evenVBand="0" w:oddHBand="0" w:evenHBand="0" w:firstRowFirstColumn="0" w:firstRowLastColumn="0" w:lastRowFirstColumn="0" w:lastRowLastColumn="0"/>
            <w:tcW w:w="6516" w:type="dxa"/>
          </w:tcPr>
          <w:p w14:paraId="1BA55388" w14:textId="77777777" w:rsidR="0051019D" w:rsidRPr="00306207" w:rsidRDefault="0051019D" w:rsidP="0051019D">
            <w:pPr>
              <w:rPr>
                <w:b w:val="0"/>
              </w:rPr>
            </w:pPr>
            <w:r w:rsidRPr="00306207">
              <w:t>Employer</w:t>
            </w:r>
          </w:p>
        </w:tc>
        <w:tc>
          <w:tcPr>
            <w:tcW w:w="2500" w:type="dxa"/>
            <w:vAlign w:val="center"/>
          </w:tcPr>
          <w:p w14:paraId="30824686"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1</w:t>
            </w:r>
          </w:p>
        </w:tc>
      </w:tr>
      <w:tr w:rsidR="0051019D" w:rsidRPr="00306207" w14:paraId="6B36969A"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54F827CB" w14:textId="77777777" w:rsidR="0051019D" w:rsidRPr="00306207" w:rsidRDefault="0051019D" w:rsidP="0051019D">
            <w:pPr>
              <w:rPr>
                <w:b w:val="0"/>
              </w:rPr>
            </w:pPr>
            <w:r w:rsidRPr="00306207">
              <w:t xml:space="preserve">School </w:t>
            </w:r>
          </w:p>
        </w:tc>
        <w:tc>
          <w:tcPr>
            <w:tcW w:w="2500" w:type="dxa"/>
            <w:vAlign w:val="center"/>
          </w:tcPr>
          <w:p w14:paraId="4F1B73CE"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0</w:t>
            </w:r>
          </w:p>
        </w:tc>
      </w:tr>
      <w:tr w:rsidR="0051019D" w:rsidRPr="00306207" w14:paraId="4ACBC006" w14:textId="77777777" w:rsidTr="00263861">
        <w:trPr>
          <w:trHeight w:val="109"/>
        </w:trPr>
        <w:tc>
          <w:tcPr>
            <w:cnfStyle w:val="001000000000" w:firstRow="0" w:lastRow="0" w:firstColumn="1" w:lastColumn="0" w:oddVBand="0" w:evenVBand="0" w:oddHBand="0" w:evenHBand="0" w:firstRowFirstColumn="0" w:firstRowLastColumn="0" w:lastRowFirstColumn="0" w:lastRowLastColumn="0"/>
            <w:tcW w:w="6516" w:type="dxa"/>
          </w:tcPr>
          <w:p w14:paraId="283C79F3" w14:textId="77777777" w:rsidR="0051019D" w:rsidRPr="00306207" w:rsidRDefault="0051019D" w:rsidP="0051019D">
            <w:pPr>
              <w:rPr>
                <w:b w:val="0"/>
              </w:rPr>
            </w:pPr>
            <w:r w:rsidRPr="00306207">
              <w:t xml:space="preserve">Other </w:t>
            </w:r>
          </w:p>
        </w:tc>
        <w:tc>
          <w:tcPr>
            <w:tcW w:w="2500" w:type="dxa"/>
            <w:vAlign w:val="center"/>
          </w:tcPr>
          <w:p w14:paraId="331F1740"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10</w:t>
            </w:r>
          </w:p>
        </w:tc>
      </w:tr>
      <w:tr w:rsidR="0051019D" w:rsidRPr="00306207" w14:paraId="3B90BF68" w14:textId="77777777" w:rsidTr="00263861">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6516" w:type="dxa"/>
          </w:tcPr>
          <w:p w14:paraId="059294DA" w14:textId="77777777" w:rsidR="0051019D" w:rsidRPr="00306207" w:rsidRDefault="0051019D" w:rsidP="0051019D">
            <w:pPr>
              <w:rPr>
                <w:b w:val="0"/>
              </w:rPr>
            </w:pPr>
            <w:r w:rsidRPr="00306207">
              <w:t>Total</w:t>
            </w:r>
          </w:p>
        </w:tc>
        <w:tc>
          <w:tcPr>
            <w:tcW w:w="2500" w:type="dxa"/>
            <w:vAlign w:val="center"/>
          </w:tcPr>
          <w:p w14:paraId="63652D89"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rPr>
                <w:bCs/>
              </w:rPr>
            </w:pPr>
            <w:r w:rsidRPr="00306207">
              <w:rPr>
                <w:bCs/>
              </w:rPr>
              <w:t>79</w:t>
            </w:r>
          </w:p>
        </w:tc>
      </w:tr>
    </w:tbl>
    <w:p w14:paraId="3B0BBC11" w14:textId="012681BF" w:rsidR="0051019D" w:rsidRPr="00EC38DE" w:rsidRDefault="0051019D" w:rsidP="0051019D">
      <w:pPr>
        <w:spacing w:line="240" w:lineRule="auto"/>
        <w:rPr>
          <w:sz w:val="16"/>
          <w:szCs w:val="16"/>
        </w:rPr>
      </w:pPr>
      <w:r w:rsidRPr="00EC38DE">
        <w:rPr>
          <w:sz w:val="16"/>
          <w:szCs w:val="16"/>
        </w:rPr>
        <w:t>*Note: A number indicated they were from more than one stakeholder gro</w:t>
      </w:r>
      <w:r w:rsidR="00EC38DE" w:rsidRPr="00EC38DE">
        <w:rPr>
          <w:sz w:val="16"/>
          <w:szCs w:val="16"/>
        </w:rPr>
        <w:t xml:space="preserve">up. In this case, the group was </w:t>
      </w:r>
      <w:r w:rsidRPr="00EC38DE">
        <w:rPr>
          <w:sz w:val="16"/>
          <w:szCs w:val="16"/>
        </w:rPr>
        <w:t>selected based on the role that they were writing from the most. For examp</w:t>
      </w:r>
      <w:r w:rsidR="00EC38DE" w:rsidRPr="00EC38DE">
        <w:rPr>
          <w:sz w:val="16"/>
          <w:szCs w:val="16"/>
        </w:rPr>
        <w:t xml:space="preserve">le, if parent and educator were </w:t>
      </w:r>
      <w:r w:rsidRPr="00EC38DE">
        <w:rPr>
          <w:sz w:val="16"/>
          <w:szCs w:val="16"/>
        </w:rPr>
        <w:t>both selected</w:t>
      </w:r>
      <w:r w:rsidR="0065108C" w:rsidRPr="00EC38DE">
        <w:rPr>
          <w:sz w:val="16"/>
          <w:szCs w:val="16"/>
        </w:rPr>
        <w:t>,</w:t>
      </w:r>
      <w:r w:rsidRPr="00EC38DE">
        <w:rPr>
          <w:sz w:val="16"/>
          <w:szCs w:val="16"/>
        </w:rPr>
        <w:t xml:space="preserve"> but the submission refers to their students, not their own children, ‘educator’ has been used.</w:t>
      </w:r>
    </w:p>
    <w:p w14:paraId="0372CDA1" w14:textId="77777777" w:rsidR="0051019D" w:rsidRPr="00306207" w:rsidRDefault="0051019D" w:rsidP="00726804">
      <w:pPr>
        <w:pStyle w:val="Heading3"/>
      </w:pPr>
      <w:r w:rsidRPr="00306207">
        <w:t>Overview of issues raised</w:t>
      </w:r>
    </w:p>
    <w:p w14:paraId="2F9DA3F3" w14:textId="298D73CF" w:rsidR="00EC38DE" w:rsidRPr="00EC38DE" w:rsidRDefault="00EC38DE" w:rsidP="00EC38DE">
      <w:pPr>
        <w:rPr>
          <w:b/>
        </w:rPr>
      </w:pPr>
      <w:r w:rsidRPr="00EC38DE">
        <w:t>While the submissions received were wide-ranging and expressed a range of views, there were a number of key themes that emerged, consistent with those ra</w:t>
      </w:r>
      <w:r>
        <w:t xml:space="preserve">ised in consultations. Table C </w:t>
      </w:r>
      <w:r w:rsidRPr="00EC38DE">
        <w:t>2 shows the count of these from all the submissions analysed.</w:t>
      </w:r>
    </w:p>
    <w:p w14:paraId="3547B8F2" w14:textId="19F4683E" w:rsidR="00EC38DE" w:rsidRPr="00EC38DE" w:rsidRDefault="00EC38DE" w:rsidP="00EC38DE">
      <w:pPr>
        <w:pStyle w:val="Caption"/>
        <w:keepNext/>
        <w:rPr>
          <w:b/>
        </w:rPr>
      </w:pPr>
      <w:r w:rsidRPr="00EC38DE">
        <w:rPr>
          <w:b/>
        </w:rPr>
        <w:t xml:space="preserve">Table C </w:t>
      </w:r>
      <w:r w:rsidRPr="00EC38DE">
        <w:rPr>
          <w:b/>
        </w:rPr>
        <w:fldChar w:fldCharType="begin"/>
      </w:r>
      <w:r w:rsidRPr="00EC38DE">
        <w:rPr>
          <w:b/>
        </w:rPr>
        <w:instrText xml:space="preserve"> SEQ Table_C \* ARABIC </w:instrText>
      </w:r>
      <w:r w:rsidRPr="00EC38DE">
        <w:rPr>
          <w:b/>
        </w:rPr>
        <w:fldChar w:fldCharType="separate"/>
      </w:r>
      <w:r>
        <w:rPr>
          <w:b/>
          <w:noProof/>
        </w:rPr>
        <w:t>2</w:t>
      </w:r>
      <w:r w:rsidRPr="00EC38DE">
        <w:rPr>
          <w:b/>
        </w:rPr>
        <w:fldChar w:fldCharType="end"/>
      </w:r>
      <w:r w:rsidRPr="00EC38DE">
        <w:rPr>
          <w:b/>
        </w:rPr>
        <w:t>. Count of key policy suggestions raised in submissions by theme</w:t>
      </w:r>
    </w:p>
    <w:tbl>
      <w:tblPr>
        <w:tblStyle w:val="ListTable4-Accent1"/>
        <w:tblW w:w="0" w:type="auto"/>
        <w:tblLook w:val="04A0" w:firstRow="1" w:lastRow="0" w:firstColumn="1" w:lastColumn="0" w:noHBand="0" w:noVBand="1"/>
      </w:tblPr>
      <w:tblGrid>
        <w:gridCol w:w="4961"/>
        <w:gridCol w:w="4055"/>
      </w:tblGrid>
      <w:tr w:rsidR="0051019D" w:rsidRPr="00306207" w14:paraId="5CF93398" w14:textId="77777777" w:rsidTr="00EC38DE">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4961" w:type="dxa"/>
            <w:hideMark/>
          </w:tcPr>
          <w:p w14:paraId="1CD00B5E" w14:textId="77777777" w:rsidR="0051019D" w:rsidRPr="00306207" w:rsidRDefault="0051019D" w:rsidP="0051019D">
            <w:pPr>
              <w:rPr>
                <w:color w:val="E7E6E6" w:themeColor="background2"/>
              </w:rPr>
            </w:pPr>
            <w:r w:rsidRPr="00306207">
              <w:rPr>
                <w:color w:val="E7E6E6" w:themeColor="background2"/>
              </w:rPr>
              <w:t>Theme</w:t>
            </w:r>
          </w:p>
        </w:tc>
        <w:tc>
          <w:tcPr>
            <w:tcW w:w="4055" w:type="dxa"/>
            <w:hideMark/>
          </w:tcPr>
          <w:p w14:paraId="7450DB47" w14:textId="77777777" w:rsidR="0051019D" w:rsidRPr="00306207" w:rsidRDefault="0051019D" w:rsidP="0051019D">
            <w:pPr>
              <w:cnfStyle w:val="100000000000" w:firstRow="1" w:lastRow="0" w:firstColumn="0" w:lastColumn="0" w:oddVBand="0" w:evenVBand="0" w:oddHBand="0" w:evenHBand="0" w:firstRowFirstColumn="0" w:firstRowLastColumn="0" w:lastRowFirstColumn="0" w:lastRowLastColumn="0"/>
              <w:rPr>
                <w:color w:val="E7E6E6" w:themeColor="background2"/>
              </w:rPr>
            </w:pPr>
            <w:r w:rsidRPr="00306207">
              <w:rPr>
                <w:color w:val="E7E6E6" w:themeColor="background2"/>
              </w:rPr>
              <w:t>Submissions mentioning suggestions</w:t>
            </w:r>
          </w:p>
        </w:tc>
      </w:tr>
      <w:tr w:rsidR="0051019D" w:rsidRPr="00306207" w14:paraId="5BB85E18" w14:textId="77777777" w:rsidTr="0026386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61" w:type="dxa"/>
            <w:hideMark/>
          </w:tcPr>
          <w:p w14:paraId="5F3D3159" w14:textId="77777777" w:rsidR="0051019D" w:rsidRPr="00306207" w:rsidRDefault="0051019D" w:rsidP="0051019D">
            <w:pPr>
              <w:rPr>
                <w:b w:val="0"/>
              </w:rPr>
            </w:pPr>
            <w:r w:rsidRPr="00306207">
              <w:t>Income support</w:t>
            </w:r>
          </w:p>
        </w:tc>
        <w:tc>
          <w:tcPr>
            <w:tcW w:w="4055" w:type="dxa"/>
            <w:vAlign w:val="center"/>
            <w:hideMark/>
          </w:tcPr>
          <w:p w14:paraId="499B0916"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33</w:t>
            </w:r>
          </w:p>
        </w:tc>
      </w:tr>
      <w:tr w:rsidR="0051019D" w:rsidRPr="00306207" w14:paraId="0D1F774B" w14:textId="77777777" w:rsidTr="00263861">
        <w:trPr>
          <w:trHeight w:val="270"/>
        </w:trPr>
        <w:tc>
          <w:tcPr>
            <w:cnfStyle w:val="001000000000" w:firstRow="0" w:lastRow="0" w:firstColumn="1" w:lastColumn="0" w:oddVBand="0" w:evenVBand="0" w:oddHBand="0" w:evenHBand="0" w:firstRowFirstColumn="0" w:firstRowLastColumn="0" w:lastRowFirstColumn="0" w:lastRowLastColumn="0"/>
            <w:tcW w:w="4961" w:type="dxa"/>
            <w:hideMark/>
          </w:tcPr>
          <w:p w14:paraId="4AFE9509" w14:textId="77777777" w:rsidR="0051019D" w:rsidRPr="00306207" w:rsidRDefault="0051019D" w:rsidP="0051019D">
            <w:pPr>
              <w:rPr>
                <w:b w:val="0"/>
              </w:rPr>
            </w:pPr>
            <w:r w:rsidRPr="00306207">
              <w:t>Accommodation, relocation and transport</w:t>
            </w:r>
          </w:p>
        </w:tc>
        <w:tc>
          <w:tcPr>
            <w:tcW w:w="4055" w:type="dxa"/>
            <w:vAlign w:val="center"/>
            <w:hideMark/>
          </w:tcPr>
          <w:p w14:paraId="23A85DB4"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34</w:t>
            </w:r>
          </w:p>
        </w:tc>
      </w:tr>
      <w:tr w:rsidR="0051019D" w:rsidRPr="00306207" w14:paraId="7883ECC9" w14:textId="77777777" w:rsidTr="0026386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61" w:type="dxa"/>
            <w:hideMark/>
          </w:tcPr>
          <w:p w14:paraId="0B3034DE" w14:textId="77777777" w:rsidR="0051019D" w:rsidRPr="00306207" w:rsidRDefault="0051019D" w:rsidP="0051019D">
            <w:pPr>
              <w:rPr>
                <w:b w:val="0"/>
              </w:rPr>
            </w:pPr>
            <w:r w:rsidRPr="00306207">
              <w:t>Career advice</w:t>
            </w:r>
          </w:p>
        </w:tc>
        <w:tc>
          <w:tcPr>
            <w:tcW w:w="4055" w:type="dxa"/>
            <w:vAlign w:val="center"/>
            <w:hideMark/>
          </w:tcPr>
          <w:p w14:paraId="5368DA1A"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23</w:t>
            </w:r>
          </w:p>
        </w:tc>
      </w:tr>
      <w:tr w:rsidR="0051019D" w:rsidRPr="00306207" w14:paraId="4A8FEDAD" w14:textId="77777777" w:rsidTr="00263861">
        <w:trPr>
          <w:trHeight w:val="270"/>
        </w:trPr>
        <w:tc>
          <w:tcPr>
            <w:cnfStyle w:val="001000000000" w:firstRow="0" w:lastRow="0" w:firstColumn="1" w:lastColumn="0" w:oddVBand="0" w:evenVBand="0" w:oddHBand="0" w:evenHBand="0" w:firstRowFirstColumn="0" w:firstRowLastColumn="0" w:lastRowFirstColumn="0" w:lastRowLastColumn="0"/>
            <w:tcW w:w="4961" w:type="dxa"/>
            <w:hideMark/>
          </w:tcPr>
          <w:p w14:paraId="781FD6F3" w14:textId="77777777" w:rsidR="0051019D" w:rsidRPr="00306207" w:rsidRDefault="0051019D" w:rsidP="0051019D">
            <w:pPr>
              <w:rPr>
                <w:b w:val="0"/>
              </w:rPr>
            </w:pPr>
            <w:r w:rsidRPr="00306207">
              <w:t>Aspiration</w:t>
            </w:r>
          </w:p>
        </w:tc>
        <w:tc>
          <w:tcPr>
            <w:tcW w:w="4055" w:type="dxa"/>
            <w:vAlign w:val="center"/>
            <w:hideMark/>
          </w:tcPr>
          <w:p w14:paraId="788612E6"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34</w:t>
            </w:r>
          </w:p>
        </w:tc>
      </w:tr>
      <w:tr w:rsidR="0051019D" w:rsidRPr="00306207" w14:paraId="51A547F0" w14:textId="77777777" w:rsidTr="0026386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61" w:type="dxa"/>
            <w:hideMark/>
          </w:tcPr>
          <w:p w14:paraId="0E9DE3E3" w14:textId="77777777" w:rsidR="0051019D" w:rsidRPr="00306207" w:rsidRDefault="0051019D" w:rsidP="0051019D">
            <w:pPr>
              <w:rPr>
                <w:b w:val="0"/>
              </w:rPr>
            </w:pPr>
            <w:r w:rsidRPr="00306207">
              <w:t>Regional Study Hubs</w:t>
            </w:r>
          </w:p>
        </w:tc>
        <w:tc>
          <w:tcPr>
            <w:tcW w:w="4055" w:type="dxa"/>
            <w:vAlign w:val="center"/>
            <w:hideMark/>
          </w:tcPr>
          <w:p w14:paraId="5A3C2D5E"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20</w:t>
            </w:r>
          </w:p>
        </w:tc>
      </w:tr>
      <w:tr w:rsidR="0051019D" w:rsidRPr="00306207" w14:paraId="65C7EDB3" w14:textId="77777777" w:rsidTr="00263861">
        <w:trPr>
          <w:trHeight w:val="270"/>
        </w:trPr>
        <w:tc>
          <w:tcPr>
            <w:cnfStyle w:val="001000000000" w:firstRow="0" w:lastRow="0" w:firstColumn="1" w:lastColumn="0" w:oddVBand="0" w:evenVBand="0" w:oddHBand="0" w:evenHBand="0" w:firstRowFirstColumn="0" w:firstRowLastColumn="0" w:lastRowFirstColumn="0" w:lastRowLastColumn="0"/>
            <w:tcW w:w="4961" w:type="dxa"/>
            <w:hideMark/>
          </w:tcPr>
          <w:p w14:paraId="4CC5A564" w14:textId="77777777" w:rsidR="0051019D" w:rsidRPr="00306207" w:rsidRDefault="0051019D" w:rsidP="0051019D">
            <w:pPr>
              <w:rPr>
                <w:b w:val="0"/>
              </w:rPr>
            </w:pPr>
            <w:r w:rsidRPr="00306207">
              <w:t>Support for regional universities</w:t>
            </w:r>
          </w:p>
        </w:tc>
        <w:tc>
          <w:tcPr>
            <w:tcW w:w="4055" w:type="dxa"/>
            <w:vAlign w:val="center"/>
            <w:hideMark/>
          </w:tcPr>
          <w:p w14:paraId="5566DA0C"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24</w:t>
            </w:r>
          </w:p>
        </w:tc>
      </w:tr>
      <w:tr w:rsidR="0051019D" w:rsidRPr="00306207" w14:paraId="3C9336CA" w14:textId="77777777" w:rsidTr="0026386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61" w:type="dxa"/>
            <w:hideMark/>
          </w:tcPr>
          <w:p w14:paraId="41F6E915" w14:textId="77777777" w:rsidR="0051019D" w:rsidRPr="00306207" w:rsidRDefault="0051019D" w:rsidP="0051019D">
            <w:pPr>
              <w:rPr>
                <w:b w:val="0"/>
              </w:rPr>
            </w:pPr>
            <w:r w:rsidRPr="00306207">
              <w:t>HE funding and regulation</w:t>
            </w:r>
          </w:p>
        </w:tc>
        <w:tc>
          <w:tcPr>
            <w:tcW w:w="4055" w:type="dxa"/>
            <w:vAlign w:val="center"/>
            <w:hideMark/>
          </w:tcPr>
          <w:p w14:paraId="3858AA8A"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18</w:t>
            </w:r>
          </w:p>
        </w:tc>
      </w:tr>
      <w:tr w:rsidR="0051019D" w:rsidRPr="00306207" w14:paraId="6EC301A1" w14:textId="77777777" w:rsidTr="00263861">
        <w:trPr>
          <w:trHeight w:val="255"/>
        </w:trPr>
        <w:tc>
          <w:tcPr>
            <w:cnfStyle w:val="001000000000" w:firstRow="0" w:lastRow="0" w:firstColumn="1" w:lastColumn="0" w:oddVBand="0" w:evenVBand="0" w:oddHBand="0" w:evenHBand="0" w:firstRowFirstColumn="0" w:firstRowLastColumn="0" w:lastRowFirstColumn="0" w:lastRowLastColumn="0"/>
            <w:tcW w:w="4961" w:type="dxa"/>
            <w:hideMark/>
          </w:tcPr>
          <w:p w14:paraId="76A9C83C" w14:textId="77777777" w:rsidR="0051019D" w:rsidRPr="00306207" w:rsidRDefault="0051019D" w:rsidP="0051019D">
            <w:pPr>
              <w:rPr>
                <w:b w:val="0"/>
              </w:rPr>
            </w:pPr>
            <w:r w:rsidRPr="00306207">
              <w:t>VET funding and regulation</w:t>
            </w:r>
          </w:p>
        </w:tc>
        <w:tc>
          <w:tcPr>
            <w:tcW w:w="4055" w:type="dxa"/>
            <w:vAlign w:val="center"/>
            <w:hideMark/>
          </w:tcPr>
          <w:p w14:paraId="6A73925E"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9</w:t>
            </w:r>
          </w:p>
        </w:tc>
      </w:tr>
      <w:tr w:rsidR="0051019D" w:rsidRPr="00306207" w14:paraId="0B38BA3A" w14:textId="77777777" w:rsidTr="0026386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61" w:type="dxa"/>
            <w:hideMark/>
          </w:tcPr>
          <w:p w14:paraId="4A226364" w14:textId="77777777" w:rsidR="0051019D" w:rsidRPr="00306207" w:rsidRDefault="0051019D" w:rsidP="0051019D">
            <w:pPr>
              <w:rPr>
                <w:b w:val="0"/>
              </w:rPr>
            </w:pPr>
            <w:r w:rsidRPr="00306207">
              <w:t xml:space="preserve">HE/VET articulation and pathways </w:t>
            </w:r>
          </w:p>
        </w:tc>
        <w:tc>
          <w:tcPr>
            <w:tcW w:w="4055" w:type="dxa"/>
            <w:vAlign w:val="center"/>
            <w:hideMark/>
          </w:tcPr>
          <w:p w14:paraId="244BCE5E"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17</w:t>
            </w:r>
          </w:p>
        </w:tc>
      </w:tr>
      <w:tr w:rsidR="0051019D" w:rsidRPr="00306207" w14:paraId="6EB091B4" w14:textId="77777777" w:rsidTr="00263861">
        <w:trPr>
          <w:trHeight w:val="255"/>
        </w:trPr>
        <w:tc>
          <w:tcPr>
            <w:cnfStyle w:val="001000000000" w:firstRow="0" w:lastRow="0" w:firstColumn="1" w:lastColumn="0" w:oddVBand="0" w:evenVBand="0" w:oddHBand="0" w:evenHBand="0" w:firstRowFirstColumn="0" w:firstRowLastColumn="0" w:lastRowFirstColumn="0" w:lastRowLastColumn="0"/>
            <w:tcW w:w="4961" w:type="dxa"/>
            <w:hideMark/>
          </w:tcPr>
          <w:p w14:paraId="1A4D00E4" w14:textId="77777777" w:rsidR="0051019D" w:rsidRPr="00306207" w:rsidRDefault="0051019D" w:rsidP="0051019D">
            <w:pPr>
              <w:rPr>
                <w:b w:val="0"/>
              </w:rPr>
            </w:pPr>
            <w:r w:rsidRPr="00306207">
              <w:t>Internet access</w:t>
            </w:r>
          </w:p>
        </w:tc>
        <w:tc>
          <w:tcPr>
            <w:tcW w:w="4055" w:type="dxa"/>
            <w:vAlign w:val="center"/>
            <w:hideMark/>
          </w:tcPr>
          <w:p w14:paraId="1727D8B0"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13</w:t>
            </w:r>
          </w:p>
        </w:tc>
      </w:tr>
    </w:tbl>
    <w:p w14:paraId="36946DC5" w14:textId="77777777" w:rsidR="00CE3221" w:rsidRPr="00263861" w:rsidRDefault="00CE3221" w:rsidP="00263861">
      <w:pPr>
        <w:spacing w:after="0"/>
        <w:rPr>
          <w:lang w:val="en" w:eastAsia="en-AU"/>
        </w:rPr>
      </w:pPr>
      <w:bookmarkStart w:id="93" w:name="_Toc11860868"/>
      <w:bookmarkStart w:id="94" w:name="_Toc11861015"/>
      <w:bookmarkStart w:id="95" w:name="_Toc13224822"/>
    </w:p>
    <w:p w14:paraId="06D2A852" w14:textId="4E720F36" w:rsidR="0051019D" w:rsidRPr="00306207" w:rsidRDefault="0051019D" w:rsidP="00CE3221">
      <w:pPr>
        <w:pStyle w:val="Heading2"/>
        <w:rPr>
          <w:rFonts w:eastAsia="Times New Roman"/>
          <w:lang w:val="en" w:eastAsia="en-AU"/>
        </w:rPr>
      </w:pPr>
      <w:r w:rsidRPr="00306207">
        <w:rPr>
          <w:rFonts w:eastAsia="Times New Roman"/>
          <w:lang w:val="en" w:eastAsia="en-AU"/>
        </w:rPr>
        <w:t>Consultations</w:t>
      </w:r>
      <w:bookmarkEnd w:id="93"/>
      <w:bookmarkEnd w:id="94"/>
      <w:bookmarkEnd w:id="95"/>
    </w:p>
    <w:p w14:paraId="5A900411" w14:textId="77777777" w:rsidR="0051019D" w:rsidRPr="00306207" w:rsidRDefault="0051019D" w:rsidP="0051019D">
      <w:pPr>
        <w:rPr>
          <w:rFonts w:ascii="Calibri" w:eastAsia="Calibri" w:hAnsi="Calibri" w:cs="Calibri"/>
        </w:rPr>
      </w:pPr>
      <w:r w:rsidRPr="00306207">
        <w:rPr>
          <w:rFonts w:ascii="Calibri" w:eastAsia="Calibri" w:hAnsi="Calibri" w:cs="Calibri"/>
        </w:rPr>
        <w:t>The Expert Advisory Group undertook extensive face-to-face consultations through January to March to develop a deeper understanding of the issues and challenges facing RRR communities. Details on the consultation meetings held are available at Appendix E.</w:t>
      </w:r>
    </w:p>
    <w:p w14:paraId="61F8D571" w14:textId="77777777" w:rsidR="0051019D" w:rsidRPr="00306207" w:rsidRDefault="0051019D" w:rsidP="00726804">
      <w:pPr>
        <w:pStyle w:val="Heading2"/>
        <w:rPr>
          <w:rFonts w:eastAsia="Times New Roman"/>
          <w:lang w:val="en" w:eastAsia="en-AU"/>
        </w:rPr>
      </w:pPr>
      <w:bookmarkStart w:id="96" w:name="_Toc11860869"/>
      <w:bookmarkStart w:id="97" w:name="_Toc11861016"/>
      <w:bookmarkStart w:id="98" w:name="_Toc13224823"/>
      <w:r w:rsidRPr="00306207">
        <w:rPr>
          <w:rFonts w:eastAsia="Times New Roman"/>
          <w:lang w:val="en" w:eastAsia="en-AU"/>
        </w:rPr>
        <w:t>Issues papers</w:t>
      </w:r>
      <w:bookmarkEnd w:id="96"/>
      <w:bookmarkEnd w:id="97"/>
      <w:bookmarkEnd w:id="98"/>
    </w:p>
    <w:p w14:paraId="22214504" w14:textId="3257B0A5" w:rsidR="0051019D" w:rsidRPr="00306207" w:rsidRDefault="0051019D" w:rsidP="0051019D">
      <w:pPr>
        <w:rPr>
          <w:rFonts w:ascii="Calibri" w:eastAsia="Calibri" w:hAnsi="Calibri" w:cs="Calibri"/>
        </w:rPr>
      </w:pPr>
      <w:r w:rsidRPr="00306207">
        <w:rPr>
          <w:rFonts w:ascii="Calibri" w:eastAsia="Calibri" w:hAnsi="Calibri" w:cs="Calibri"/>
        </w:rPr>
        <w:t>A series of six issues papers containing possible further actions were released by the Advisory Group on 1 March 2019. These were developed using the feedback received through submissions and consultations. Comment was sought from interested parties by 15 March 2019. A total of 4</w:t>
      </w:r>
      <w:r w:rsidR="00AF0BE1">
        <w:rPr>
          <w:rFonts w:ascii="Calibri" w:eastAsia="Calibri" w:hAnsi="Calibri" w:cs="Calibri"/>
        </w:rPr>
        <w:t>2</w:t>
      </w:r>
      <w:r w:rsidRPr="00306207">
        <w:rPr>
          <w:rFonts w:ascii="Calibri" w:eastAsia="Calibri" w:hAnsi="Calibri" w:cs="Calibri"/>
        </w:rPr>
        <w:t xml:space="preserve"> responses were received to the issues papers. All submissions have been analysed and the key statistics are below.</w:t>
      </w:r>
    </w:p>
    <w:p w14:paraId="40FC891A" w14:textId="3E897D58" w:rsidR="00EC38DE" w:rsidRPr="00EC38DE" w:rsidRDefault="00EC38DE" w:rsidP="00EC38DE">
      <w:pPr>
        <w:pStyle w:val="Caption"/>
        <w:keepNext/>
        <w:rPr>
          <w:b/>
        </w:rPr>
      </w:pPr>
      <w:r w:rsidRPr="00EC38DE">
        <w:rPr>
          <w:b/>
        </w:rPr>
        <w:lastRenderedPageBreak/>
        <w:t xml:space="preserve">Table C </w:t>
      </w:r>
      <w:r w:rsidRPr="00EC38DE">
        <w:rPr>
          <w:b/>
        </w:rPr>
        <w:fldChar w:fldCharType="begin"/>
      </w:r>
      <w:r w:rsidRPr="00EC38DE">
        <w:rPr>
          <w:b/>
        </w:rPr>
        <w:instrText xml:space="preserve"> SEQ Table_C \* ARABIC </w:instrText>
      </w:r>
      <w:r w:rsidRPr="00EC38DE">
        <w:rPr>
          <w:b/>
        </w:rPr>
        <w:fldChar w:fldCharType="separate"/>
      </w:r>
      <w:r>
        <w:rPr>
          <w:b/>
          <w:noProof/>
        </w:rPr>
        <w:t>3</w:t>
      </w:r>
      <w:r w:rsidRPr="00EC38DE">
        <w:rPr>
          <w:b/>
        </w:rPr>
        <w:fldChar w:fldCharType="end"/>
      </w:r>
      <w:r w:rsidRPr="00EC38DE">
        <w:rPr>
          <w:b/>
        </w:rPr>
        <w:t>. Number of responses by group</w:t>
      </w:r>
    </w:p>
    <w:tbl>
      <w:tblPr>
        <w:tblStyle w:val="ListTable4-Accent1"/>
        <w:tblW w:w="0" w:type="auto"/>
        <w:tblLook w:val="04A0" w:firstRow="1" w:lastRow="0" w:firstColumn="1" w:lastColumn="0" w:noHBand="0" w:noVBand="1"/>
      </w:tblPr>
      <w:tblGrid>
        <w:gridCol w:w="6516"/>
        <w:gridCol w:w="2500"/>
      </w:tblGrid>
      <w:tr w:rsidR="0051019D" w:rsidRPr="00306207" w14:paraId="4335A949" w14:textId="77777777" w:rsidTr="00EC38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516" w:type="dxa"/>
          </w:tcPr>
          <w:p w14:paraId="4279814F" w14:textId="77777777" w:rsidR="0051019D" w:rsidRPr="00306207" w:rsidRDefault="0051019D" w:rsidP="0051019D">
            <w:pPr>
              <w:rPr>
                <w:color w:val="E7E6E6" w:themeColor="background2"/>
              </w:rPr>
            </w:pPr>
            <w:r w:rsidRPr="00306207">
              <w:rPr>
                <w:color w:val="E7E6E6" w:themeColor="background2"/>
              </w:rPr>
              <w:t>Role of person responding (as included on response template)</w:t>
            </w:r>
          </w:p>
        </w:tc>
        <w:tc>
          <w:tcPr>
            <w:tcW w:w="2500" w:type="dxa"/>
          </w:tcPr>
          <w:p w14:paraId="4A629688" w14:textId="77777777" w:rsidR="0051019D" w:rsidRPr="00306207" w:rsidRDefault="0051019D" w:rsidP="0051019D">
            <w:pPr>
              <w:cnfStyle w:val="100000000000" w:firstRow="1" w:lastRow="0" w:firstColumn="0" w:lastColumn="0" w:oddVBand="0" w:evenVBand="0" w:oddHBand="0" w:evenHBand="0" w:firstRowFirstColumn="0" w:firstRowLastColumn="0" w:lastRowFirstColumn="0" w:lastRowLastColumn="0"/>
              <w:rPr>
                <w:color w:val="E7E6E6" w:themeColor="background2"/>
              </w:rPr>
            </w:pPr>
            <w:r w:rsidRPr="00306207">
              <w:rPr>
                <w:color w:val="E7E6E6" w:themeColor="background2"/>
              </w:rPr>
              <w:t>Number of submissions</w:t>
            </w:r>
          </w:p>
        </w:tc>
      </w:tr>
      <w:tr w:rsidR="0051019D" w:rsidRPr="00306207" w14:paraId="036156A5"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7CAC331A" w14:textId="77777777" w:rsidR="0051019D" w:rsidRPr="00EC38DE" w:rsidRDefault="0051019D" w:rsidP="0051019D">
            <w:pPr>
              <w:rPr>
                <w:b w:val="0"/>
              </w:rPr>
            </w:pPr>
            <w:r w:rsidRPr="00EC38DE">
              <w:rPr>
                <w:b w:val="0"/>
              </w:rPr>
              <w:t xml:space="preserve">University </w:t>
            </w:r>
          </w:p>
        </w:tc>
        <w:tc>
          <w:tcPr>
            <w:tcW w:w="2500" w:type="dxa"/>
            <w:vAlign w:val="center"/>
          </w:tcPr>
          <w:p w14:paraId="753167A0"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16</w:t>
            </w:r>
          </w:p>
        </w:tc>
      </w:tr>
      <w:tr w:rsidR="0051019D" w:rsidRPr="00306207" w14:paraId="5A52D863" w14:textId="77777777" w:rsidTr="00263861">
        <w:tc>
          <w:tcPr>
            <w:cnfStyle w:val="001000000000" w:firstRow="0" w:lastRow="0" w:firstColumn="1" w:lastColumn="0" w:oddVBand="0" w:evenVBand="0" w:oddHBand="0" w:evenHBand="0" w:firstRowFirstColumn="0" w:firstRowLastColumn="0" w:lastRowFirstColumn="0" w:lastRowLastColumn="0"/>
            <w:tcW w:w="6516" w:type="dxa"/>
          </w:tcPr>
          <w:p w14:paraId="4845B29C" w14:textId="77777777" w:rsidR="0051019D" w:rsidRPr="00EC38DE" w:rsidRDefault="0051019D" w:rsidP="0051019D">
            <w:pPr>
              <w:rPr>
                <w:b w:val="0"/>
              </w:rPr>
            </w:pPr>
            <w:r w:rsidRPr="00EC38DE">
              <w:rPr>
                <w:b w:val="0"/>
              </w:rPr>
              <w:t>Peak body/think tank</w:t>
            </w:r>
          </w:p>
        </w:tc>
        <w:tc>
          <w:tcPr>
            <w:tcW w:w="2500" w:type="dxa"/>
            <w:vAlign w:val="center"/>
          </w:tcPr>
          <w:p w14:paraId="34E1ED21"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5</w:t>
            </w:r>
          </w:p>
        </w:tc>
      </w:tr>
      <w:tr w:rsidR="0051019D" w:rsidRPr="00306207" w14:paraId="43D15215"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37444028" w14:textId="77777777" w:rsidR="0051019D" w:rsidRPr="00EC38DE" w:rsidRDefault="0051019D" w:rsidP="0051019D">
            <w:pPr>
              <w:rPr>
                <w:b w:val="0"/>
              </w:rPr>
            </w:pPr>
            <w:r w:rsidRPr="00EC38DE">
              <w:rPr>
                <w:b w:val="0"/>
              </w:rPr>
              <w:t>Educator</w:t>
            </w:r>
          </w:p>
        </w:tc>
        <w:tc>
          <w:tcPr>
            <w:tcW w:w="2500" w:type="dxa"/>
            <w:vAlign w:val="center"/>
          </w:tcPr>
          <w:p w14:paraId="505E117A"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1</w:t>
            </w:r>
          </w:p>
        </w:tc>
      </w:tr>
      <w:tr w:rsidR="0051019D" w:rsidRPr="00306207" w14:paraId="5A87074F" w14:textId="77777777" w:rsidTr="00263861">
        <w:tc>
          <w:tcPr>
            <w:cnfStyle w:val="001000000000" w:firstRow="0" w:lastRow="0" w:firstColumn="1" w:lastColumn="0" w:oddVBand="0" w:evenVBand="0" w:oddHBand="0" w:evenHBand="0" w:firstRowFirstColumn="0" w:firstRowLastColumn="0" w:lastRowFirstColumn="0" w:lastRowLastColumn="0"/>
            <w:tcW w:w="6516" w:type="dxa"/>
          </w:tcPr>
          <w:p w14:paraId="5046C486" w14:textId="77777777" w:rsidR="0051019D" w:rsidRPr="00EC38DE" w:rsidRDefault="0051019D" w:rsidP="0051019D">
            <w:pPr>
              <w:rPr>
                <w:b w:val="0"/>
              </w:rPr>
            </w:pPr>
            <w:r w:rsidRPr="00EC38DE">
              <w:rPr>
                <w:b w:val="0"/>
              </w:rPr>
              <w:t xml:space="preserve">Government Agencies </w:t>
            </w:r>
          </w:p>
        </w:tc>
        <w:tc>
          <w:tcPr>
            <w:tcW w:w="2500" w:type="dxa"/>
            <w:vAlign w:val="center"/>
          </w:tcPr>
          <w:p w14:paraId="45EE1ACD" w14:textId="69207E75"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1</w:t>
            </w:r>
            <w:r w:rsidR="00AF0BE1">
              <w:t>3</w:t>
            </w:r>
          </w:p>
        </w:tc>
      </w:tr>
      <w:tr w:rsidR="0051019D" w:rsidRPr="00306207" w14:paraId="680B5945"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09303D91" w14:textId="77777777" w:rsidR="0051019D" w:rsidRPr="00EC38DE" w:rsidRDefault="0051019D" w:rsidP="0051019D">
            <w:pPr>
              <w:rPr>
                <w:b w:val="0"/>
              </w:rPr>
            </w:pPr>
            <w:r w:rsidRPr="00EC38DE">
              <w:rPr>
                <w:b w:val="0"/>
              </w:rPr>
              <w:t xml:space="preserve">Community Organisation </w:t>
            </w:r>
          </w:p>
        </w:tc>
        <w:tc>
          <w:tcPr>
            <w:tcW w:w="2500" w:type="dxa"/>
            <w:vAlign w:val="center"/>
          </w:tcPr>
          <w:p w14:paraId="1AB68B51"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5</w:t>
            </w:r>
          </w:p>
        </w:tc>
      </w:tr>
      <w:tr w:rsidR="0051019D" w:rsidRPr="00306207" w14:paraId="6F517A3C" w14:textId="77777777" w:rsidTr="00263861">
        <w:tc>
          <w:tcPr>
            <w:cnfStyle w:val="001000000000" w:firstRow="0" w:lastRow="0" w:firstColumn="1" w:lastColumn="0" w:oddVBand="0" w:evenVBand="0" w:oddHBand="0" w:evenHBand="0" w:firstRowFirstColumn="0" w:firstRowLastColumn="0" w:lastRowFirstColumn="0" w:lastRowLastColumn="0"/>
            <w:tcW w:w="6516" w:type="dxa"/>
          </w:tcPr>
          <w:p w14:paraId="166CAAC6" w14:textId="77777777" w:rsidR="0051019D" w:rsidRPr="00EC38DE" w:rsidRDefault="0051019D" w:rsidP="0051019D">
            <w:pPr>
              <w:rPr>
                <w:b w:val="0"/>
              </w:rPr>
            </w:pPr>
            <w:r w:rsidRPr="00EC38DE">
              <w:rPr>
                <w:b w:val="0"/>
              </w:rPr>
              <w:t>Parent/carer/guardian</w:t>
            </w:r>
          </w:p>
        </w:tc>
        <w:tc>
          <w:tcPr>
            <w:tcW w:w="2500" w:type="dxa"/>
            <w:vAlign w:val="center"/>
          </w:tcPr>
          <w:p w14:paraId="61E02753" w14:textId="77777777"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1</w:t>
            </w:r>
          </w:p>
        </w:tc>
      </w:tr>
      <w:tr w:rsidR="0051019D" w:rsidRPr="00306207" w14:paraId="6262E2C1"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23CB3CE5" w14:textId="77777777" w:rsidR="0051019D" w:rsidRPr="00EC38DE" w:rsidRDefault="0051019D" w:rsidP="0051019D">
            <w:pPr>
              <w:rPr>
                <w:b w:val="0"/>
              </w:rPr>
            </w:pPr>
            <w:r w:rsidRPr="00EC38DE">
              <w:rPr>
                <w:b w:val="0"/>
              </w:rPr>
              <w:t>Training Provider</w:t>
            </w:r>
          </w:p>
        </w:tc>
        <w:tc>
          <w:tcPr>
            <w:tcW w:w="2500" w:type="dxa"/>
            <w:vAlign w:val="center"/>
          </w:tcPr>
          <w:p w14:paraId="46EBE2A6" w14:textId="77777777"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1</w:t>
            </w:r>
          </w:p>
        </w:tc>
      </w:tr>
      <w:tr w:rsidR="0051019D" w:rsidRPr="00306207" w14:paraId="11785FDE" w14:textId="77777777" w:rsidTr="00263861">
        <w:trPr>
          <w:trHeight w:val="109"/>
        </w:trPr>
        <w:tc>
          <w:tcPr>
            <w:cnfStyle w:val="001000000000" w:firstRow="0" w:lastRow="0" w:firstColumn="1" w:lastColumn="0" w:oddVBand="0" w:evenVBand="0" w:oddHBand="0" w:evenHBand="0" w:firstRowFirstColumn="0" w:firstRowLastColumn="0" w:lastRowFirstColumn="0" w:lastRowLastColumn="0"/>
            <w:tcW w:w="6516" w:type="dxa"/>
          </w:tcPr>
          <w:p w14:paraId="06A1E7E6" w14:textId="77777777" w:rsidR="0051019D" w:rsidRPr="00EC38DE" w:rsidRDefault="0051019D" w:rsidP="0051019D">
            <w:r w:rsidRPr="00EC38DE">
              <w:t>Total</w:t>
            </w:r>
          </w:p>
        </w:tc>
        <w:tc>
          <w:tcPr>
            <w:tcW w:w="2500" w:type="dxa"/>
            <w:vAlign w:val="center"/>
          </w:tcPr>
          <w:p w14:paraId="0C4A179B" w14:textId="1EA04A83"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rPr>
                <w:b/>
                <w:bCs/>
              </w:rPr>
            </w:pPr>
            <w:r w:rsidRPr="00306207">
              <w:rPr>
                <w:b/>
                <w:bCs/>
              </w:rPr>
              <w:t>4</w:t>
            </w:r>
            <w:r w:rsidR="00AF0BE1">
              <w:rPr>
                <w:b/>
                <w:bCs/>
              </w:rPr>
              <w:t>2</w:t>
            </w:r>
          </w:p>
        </w:tc>
      </w:tr>
    </w:tbl>
    <w:p w14:paraId="42B07E04" w14:textId="77777777" w:rsidR="0051019D" w:rsidRPr="00306207" w:rsidRDefault="0051019D" w:rsidP="00CE3221">
      <w:pPr>
        <w:pStyle w:val="Heading3"/>
      </w:pPr>
      <w:r w:rsidRPr="00306207">
        <w:t>Overview of issues raised</w:t>
      </w:r>
    </w:p>
    <w:p w14:paraId="07DF2DFB" w14:textId="06574EAC" w:rsidR="0051019D" w:rsidRPr="00306207" w:rsidRDefault="0051019D" w:rsidP="0051019D">
      <w:pPr>
        <w:rPr>
          <w:b/>
        </w:rPr>
      </w:pPr>
      <w:r w:rsidRPr="00306207">
        <w:t xml:space="preserve">Those responding to the issues papers were requested to identify which Issues papers were being discussed. </w:t>
      </w:r>
    </w:p>
    <w:p w14:paraId="6A92D08E" w14:textId="2A2BB4DA" w:rsidR="00EC38DE" w:rsidRPr="00EC38DE" w:rsidRDefault="00EC38DE" w:rsidP="00EC38DE">
      <w:pPr>
        <w:pStyle w:val="Caption"/>
        <w:keepNext/>
        <w:rPr>
          <w:b/>
        </w:rPr>
      </w:pPr>
      <w:r w:rsidRPr="00EC38DE">
        <w:rPr>
          <w:b/>
        </w:rPr>
        <w:t xml:space="preserve">Table C </w:t>
      </w:r>
      <w:r w:rsidRPr="00EC38DE">
        <w:rPr>
          <w:b/>
        </w:rPr>
        <w:fldChar w:fldCharType="begin"/>
      </w:r>
      <w:r w:rsidRPr="00EC38DE">
        <w:rPr>
          <w:b/>
        </w:rPr>
        <w:instrText xml:space="preserve"> SEQ Table_C \* ARABIC </w:instrText>
      </w:r>
      <w:r w:rsidRPr="00EC38DE">
        <w:rPr>
          <w:b/>
        </w:rPr>
        <w:fldChar w:fldCharType="separate"/>
      </w:r>
      <w:r w:rsidRPr="00EC38DE">
        <w:rPr>
          <w:b/>
          <w:noProof/>
        </w:rPr>
        <w:t>4</w:t>
      </w:r>
      <w:r w:rsidRPr="00EC38DE">
        <w:rPr>
          <w:b/>
        </w:rPr>
        <w:fldChar w:fldCharType="end"/>
      </w:r>
      <w:r w:rsidRPr="00EC38DE">
        <w:rPr>
          <w:b/>
        </w:rPr>
        <w:t>. Count of Issues Papers discussed in responses</w:t>
      </w:r>
    </w:p>
    <w:tbl>
      <w:tblPr>
        <w:tblStyle w:val="ListTable4-Accent1"/>
        <w:tblW w:w="0" w:type="auto"/>
        <w:tblLook w:val="04A0" w:firstRow="1" w:lastRow="0" w:firstColumn="1" w:lastColumn="0" w:noHBand="0" w:noVBand="1"/>
      </w:tblPr>
      <w:tblGrid>
        <w:gridCol w:w="6232"/>
        <w:gridCol w:w="2784"/>
      </w:tblGrid>
      <w:tr w:rsidR="0051019D" w:rsidRPr="00306207" w14:paraId="4BA03949" w14:textId="77777777" w:rsidTr="00EC38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32" w:type="dxa"/>
            <w:hideMark/>
          </w:tcPr>
          <w:p w14:paraId="7BD17244" w14:textId="77777777" w:rsidR="0051019D" w:rsidRPr="00306207" w:rsidRDefault="0051019D" w:rsidP="0051019D">
            <w:pPr>
              <w:rPr>
                <w:color w:val="E7E6E6" w:themeColor="background2"/>
              </w:rPr>
            </w:pPr>
            <w:r w:rsidRPr="00306207">
              <w:rPr>
                <w:color w:val="E7E6E6" w:themeColor="background2"/>
              </w:rPr>
              <w:t>Issues Paper</w:t>
            </w:r>
          </w:p>
        </w:tc>
        <w:tc>
          <w:tcPr>
            <w:tcW w:w="2784" w:type="dxa"/>
            <w:hideMark/>
          </w:tcPr>
          <w:p w14:paraId="2D19A373" w14:textId="77777777" w:rsidR="0051019D" w:rsidRPr="00306207" w:rsidRDefault="0051019D" w:rsidP="0051019D">
            <w:pPr>
              <w:cnfStyle w:val="100000000000" w:firstRow="1" w:lastRow="0" w:firstColumn="0" w:lastColumn="0" w:oddVBand="0" w:evenVBand="0" w:oddHBand="0" w:evenHBand="0" w:firstRowFirstColumn="0" w:firstRowLastColumn="0" w:lastRowFirstColumn="0" w:lastRowLastColumn="0"/>
              <w:rPr>
                <w:color w:val="E7E6E6" w:themeColor="background2"/>
              </w:rPr>
            </w:pPr>
            <w:r w:rsidRPr="00306207">
              <w:rPr>
                <w:color w:val="E7E6E6" w:themeColor="background2"/>
              </w:rPr>
              <w:t>Responses mentioning suggestions</w:t>
            </w:r>
          </w:p>
        </w:tc>
      </w:tr>
      <w:tr w:rsidR="0051019D" w:rsidRPr="00306207" w14:paraId="477B565F"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hideMark/>
          </w:tcPr>
          <w:p w14:paraId="5CC27C6F" w14:textId="77777777" w:rsidR="0051019D" w:rsidRPr="00EC38DE" w:rsidRDefault="0051019D" w:rsidP="0051019D">
            <w:pPr>
              <w:rPr>
                <w:b w:val="0"/>
              </w:rPr>
            </w:pPr>
            <w:r w:rsidRPr="00EC38DE">
              <w:rPr>
                <w:b w:val="0"/>
              </w:rPr>
              <w:t>1 Preparing Students for Success</w:t>
            </w:r>
          </w:p>
        </w:tc>
        <w:tc>
          <w:tcPr>
            <w:tcW w:w="2784" w:type="dxa"/>
            <w:vAlign w:val="center"/>
            <w:hideMark/>
          </w:tcPr>
          <w:p w14:paraId="2C2CA324" w14:textId="5E71D01C"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2</w:t>
            </w:r>
            <w:r w:rsidR="00AF0BE1">
              <w:t>9</w:t>
            </w:r>
          </w:p>
        </w:tc>
      </w:tr>
      <w:tr w:rsidR="0051019D" w:rsidRPr="00306207" w14:paraId="77E73BD2" w14:textId="77777777" w:rsidTr="00263861">
        <w:tc>
          <w:tcPr>
            <w:cnfStyle w:val="001000000000" w:firstRow="0" w:lastRow="0" w:firstColumn="1" w:lastColumn="0" w:oddVBand="0" w:evenVBand="0" w:oddHBand="0" w:evenHBand="0" w:firstRowFirstColumn="0" w:firstRowLastColumn="0" w:lastRowFirstColumn="0" w:lastRowLastColumn="0"/>
            <w:tcW w:w="6232" w:type="dxa"/>
            <w:hideMark/>
          </w:tcPr>
          <w:p w14:paraId="61AD607D" w14:textId="77777777" w:rsidR="0051019D" w:rsidRPr="00EC38DE" w:rsidRDefault="0051019D" w:rsidP="0051019D">
            <w:pPr>
              <w:rPr>
                <w:b w:val="0"/>
              </w:rPr>
            </w:pPr>
            <w:r w:rsidRPr="00EC38DE">
              <w:rPr>
                <w:b w:val="0"/>
              </w:rPr>
              <w:t>2. Improving Access, Opportunity and Choice</w:t>
            </w:r>
          </w:p>
        </w:tc>
        <w:tc>
          <w:tcPr>
            <w:tcW w:w="2784" w:type="dxa"/>
            <w:vAlign w:val="center"/>
            <w:hideMark/>
          </w:tcPr>
          <w:p w14:paraId="535B7D6A" w14:textId="4F49A1C8"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3</w:t>
            </w:r>
            <w:r w:rsidR="00AF0BE1">
              <w:t>9</w:t>
            </w:r>
          </w:p>
        </w:tc>
      </w:tr>
      <w:tr w:rsidR="0051019D" w:rsidRPr="00306207" w14:paraId="14AD3AFD"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7CEEF234" w14:textId="77777777" w:rsidR="0051019D" w:rsidRPr="00EC38DE" w:rsidRDefault="0051019D" w:rsidP="0051019D">
            <w:pPr>
              <w:rPr>
                <w:b w:val="0"/>
              </w:rPr>
            </w:pPr>
            <w:r w:rsidRPr="00EC38DE">
              <w:rPr>
                <w:b w:val="0"/>
              </w:rPr>
              <w:t>3. Retention and Attainment</w:t>
            </w:r>
          </w:p>
        </w:tc>
        <w:tc>
          <w:tcPr>
            <w:tcW w:w="2784" w:type="dxa"/>
            <w:vAlign w:val="center"/>
            <w:hideMark/>
          </w:tcPr>
          <w:p w14:paraId="75CEAC19" w14:textId="56D046CD"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2</w:t>
            </w:r>
            <w:r w:rsidR="00AF0BE1">
              <w:t>9</w:t>
            </w:r>
          </w:p>
        </w:tc>
      </w:tr>
      <w:tr w:rsidR="0051019D" w:rsidRPr="00306207" w14:paraId="3E20951B" w14:textId="77777777" w:rsidTr="00263861">
        <w:tc>
          <w:tcPr>
            <w:cnfStyle w:val="001000000000" w:firstRow="0" w:lastRow="0" w:firstColumn="1" w:lastColumn="0" w:oddVBand="0" w:evenVBand="0" w:oddHBand="0" w:evenHBand="0" w:firstRowFirstColumn="0" w:firstRowLastColumn="0" w:lastRowFirstColumn="0" w:lastRowLastColumn="0"/>
            <w:tcW w:w="6232" w:type="dxa"/>
          </w:tcPr>
          <w:p w14:paraId="54BCB1C8" w14:textId="77777777" w:rsidR="0051019D" w:rsidRPr="00EC38DE" w:rsidRDefault="0051019D" w:rsidP="0051019D">
            <w:pPr>
              <w:rPr>
                <w:b w:val="0"/>
              </w:rPr>
            </w:pPr>
            <w:r w:rsidRPr="00EC38DE">
              <w:rPr>
                <w:b w:val="0"/>
              </w:rPr>
              <w:t>4. Enhancement and Enabling RRR Communities</w:t>
            </w:r>
          </w:p>
        </w:tc>
        <w:tc>
          <w:tcPr>
            <w:tcW w:w="2784" w:type="dxa"/>
            <w:vAlign w:val="center"/>
            <w:hideMark/>
          </w:tcPr>
          <w:p w14:paraId="65FD367F" w14:textId="0F391BD0"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2</w:t>
            </w:r>
            <w:r w:rsidR="00AF0BE1">
              <w:t>8</w:t>
            </w:r>
          </w:p>
        </w:tc>
      </w:tr>
      <w:tr w:rsidR="0051019D" w:rsidRPr="00306207" w14:paraId="45E964AA" w14:textId="77777777" w:rsidTr="00263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3050707" w14:textId="77777777" w:rsidR="0051019D" w:rsidRPr="00EC38DE" w:rsidRDefault="0051019D" w:rsidP="0051019D">
            <w:pPr>
              <w:rPr>
                <w:b w:val="0"/>
              </w:rPr>
            </w:pPr>
            <w:r w:rsidRPr="00EC38DE">
              <w:rPr>
                <w:b w:val="0"/>
              </w:rPr>
              <w:t>5. RRR Students from Identified Equity Groups</w:t>
            </w:r>
          </w:p>
        </w:tc>
        <w:tc>
          <w:tcPr>
            <w:tcW w:w="2784" w:type="dxa"/>
            <w:vAlign w:val="center"/>
            <w:hideMark/>
          </w:tcPr>
          <w:p w14:paraId="72EB3F54" w14:textId="1CECBF46" w:rsidR="0051019D" w:rsidRPr="00306207" w:rsidRDefault="0051019D" w:rsidP="00263861">
            <w:pPr>
              <w:jc w:val="center"/>
              <w:cnfStyle w:val="000000100000" w:firstRow="0" w:lastRow="0" w:firstColumn="0" w:lastColumn="0" w:oddVBand="0" w:evenVBand="0" w:oddHBand="1" w:evenHBand="0" w:firstRowFirstColumn="0" w:firstRowLastColumn="0" w:lastRowFirstColumn="0" w:lastRowLastColumn="0"/>
            </w:pPr>
            <w:r w:rsidRPr="00306207">
              <w:t>2</w:t>
            </w:r>
            <w:r w:rsidR="00AF0BE1">
              <w:t>7</w:t>
            </w:r>
          </w:p>
        </w:tc>
      </w:tr>
      <w:tr w:rsidR="0051019D" w:rsidRPr="00306207" w14:paraId="1B6FB98B" w14:textId="77777777" w:rsidTr="00263861">
        <w:tc>
          <w:tcPr>
            <w:cnfStyle w:val="001000000000" w:firstRow="0" w:lastRow="0" w:firstColumn="1" w:lastColumn="0" w:oddVBand="0" w:evenVBand="0" w:oddHBand="0" w:evenHBand="0" w:firstRowFirstColumn="0" w:firstRowLastColumn="0" w:lastRowFirstColumn="0" w:lastRowLastColumn="0"/>
            <w:tcW w:w="6232" w:type="dxa"/>
          </w:tcPr>
          <w:p w14:paraId="25C7B4F0" w14:textId="77777777" w:rsidR="0051019D" w:rsidRPr="00EC38DE" w:rsidRDefault="0051019D" w:rsidP="0051019D">
            <w:pPr>
              <w:rPr>
                <w:b w:val="0"/>
              </w:rPr>
            </w:pPr>
            <w:r w:rsidRPr="00EC38DE">
              <w:rPr>
                <w:b w:val="0"/>
              </w:rPr>
              <w:t>6. RRR Strategy Targets, Implementation and Monitoring</w:t>
            </w:r>
          </w:p>
        </w:tc>
        <w:tc>
          <w:tcPr>
            <w:tcW w:w="2784" w:type="dxa"/>
            <w:vAlign w:val="center"/>
            <w:hideMark/>
          </w:tcPr>
          <w:p w14:paraId="7975133B" w14:textId="4172A98F" w:rsidR="0051019D" w:rsidRPr="00306207" w:rsidRDefault="0051019D" w:rsidP="00263861">
            <w:pPr>
              <w:jc w:val="center"/>
              <w:cnfStyle w:val="000000000000" w:firstRow="0" w:lastRow="0" w:firstColumn="0" w:lastColumn="0" w:oddVBand="0" w:evenVBand="0" w:oddHBand="0" w:evenHBand="0" w:firstRowFirstColumn="0" w:firstRowLastColumn="0" w:lastRowFirstColumn="0" w:lastRowLastColumn="0"/>
            </w:pPr>
            <w:r w:rsidRPr="00306207">
              <w:t>2</w:t>
            </w:r>
            <w:r w:rsidR="00AF0BE1">
              <w:t>5</w:t>
            </w:r>
          </w:p>
        </w:tc>
      </w:tr>
    </w:tbl>
    <w:p w14:paraId="6A766208" w14:textId="77777777" w:rsidR="00EC38DE" w:rsidRDefault="00EC38DE" w:rsidP="00EC38DE">
      <w:pPr>
        <w:rPr>
          <w:lang w:val="en" w:eastAsia="en-AU"/>
        </w:rPr>
      </w:pPr>
    </w:p>
    <w:p w14:paraId="282DCDC2" w14:textId="222B194D" w:rsidR="0051019D" w:rsidRPr="00306207" w:rsidRDefault="0051019D" w:rsidP="00726804">
      <w:pPr>
        <w:pStyle w:val="Heading3"/>
        <w:rPr>
          <w:rFonts w:eastAsia="Times New Roman"/>
          <w:lang w:val="en" w:eastAsia="en-AU"/>
        </w:rPr>
      </w:pPr>
      <w:r w:rsidRPr="00306207">
        <w:rPr>
          <w:rFonts w:eastAsia="Times New Roman"/>
          <w:lang w:val="en" w:eastAsia="en-AU"/>
        </w:rPr>
        <w:t>Final Report</w:t>
      </w:r>
    </w:p>
    <w:p w14:paraId="003B512A" w14:textId="54E396D3" w:rsidR="0051019D" w:rsidRPr="00306207" w:rsidRDefault="0051019D" w:rsidP="0051019D">
      <w:pPr>
        <w:rPr>
          <w:rFonts w:ascii="Calibri" w:eastAsia="Calibri" w:hAnsi="Calibri" w:cs="Calibri"/>
        </w:rPr>
      </w:pPr>
      <w:r w:rsidRPr="00306207">
        <w:rPr>
          <w:rFonts w:ascii="Calibri" w:eastAsia="Calibri" w:hAnsi="Calibri" w:cs="Calibri"/>
        </w:rPr>
        <w:t xml:space="preserve">The written responses to the Framing Paper and the issues papers, along with the feedback compiled through the consultation process, have informed the development of this </w:t>
      </w:r>
      <w:r w:rsidR="001259A9" w:rsidRPr="00306207">
        <w:rPr>
          <w:rFonts w:ascii="Calibri" w:eastAsia="Calibri" w:hAnsi="Calibri" w:cs="Calibri"/>
        </w:rPr>
        <w:t>Strategy</w:t>
      </w:r>
      <w:r w:rsidRPr="00306207">
        <w:rPr>
          <w:rFonts w:ascii="Calibri" w:eastAsia="Calibri" w:hAnsi="Calibri" w:cs="Calibri"/>
        </w:rPr>
        <w:t xml:space="preserve">. </w:t>
      </w:r>
    </w:p>
    <w:p w14:paraId="7EA568E2" w14:textId="77777777" w:rsidR="0051019D" w:rsidRPr="00306207" w:rsidRDefault="0051019D" w:rsidP="0051019D">
      <w:pPr>
        <w:rPr>
          <w:rFonts w:ascii="Calibri" w:eastAsiaTheme="majorEastAsia" w:hAnsi="Calibri" w:cstheme="majorBidi"/>
          <w:b/>
          <w:bCs/>
          <w:color w:val="522761"/>
          <w:sz w:val="36"/>
          <w:szCs w:val="28"/>
        </w:rPr>
      </w:pPr>
      <w:r w:rsidRPr="00306207">
        <w:br w:type="page"/>
      </w:r>
    </w:p>
    <w:p w14:paraId="6B905690" w14:textId="2FC5D2CC" w:rsidR="00B5290C" w:rsidRPr="00306207" w:rsidRDefault="0040515A" w:rsidP="00A368CF">
      <w:pPr>
        <w:pStyle w:val="Heading1"/>
      </w:pPr>
      <w:bookmarkStart w:id="99" w:name="_Toc11783265"/>
      <w:bookmarkStart w:id="100" w:name="_Toc13224824"/>
      <w:r w:rsidRPr="00306207">
        <w:lastRenderedPageBreak/>
        <w:t xml:space="preserve">Appendix </w:t>
      </w:r>
      <w:r w:rsidR="00397244">
        <w:t>D</w:t>
      </w:r>
      <w:r w:rsidRPr="00306207">
        <w:t xml:space="preserve"> – Terms of Reference</w:t>
      </w:r>
      <w:bookmarkEnd w:id="99"/>
      <w:bookmarkEnd w:id="100"/>
    </w:p>
    <w:p w14:paraId="6FABE82A" w14:textId="77777777" w:rsidR="00B5290C" w:rsidRPr="00EC38DE" w:rsidRDefault="00B5290C" w:rsidP="00EC38DE">
      <w:pPr>
        <w:pStyle w:val="Heading2"/>
        <w:rPr>
          <w:rFonts w:eastAsia="Calibri"/>
          <w:b/>
        </w:rPr>
      </w:pPr>
      <w:r w:rsidRPr="00306207">
        <w:rPr>
          <w:rFonts w:eastAsia="Calibri"/>
        </w:rPr>
        <w:t>Scope</w:t>
      </w:r>
    </w:p>
    <w:p w14:paraId="30F68E5E" w14:textId="77777777" w:rsidR="00B5290C" w:rsidRPr="00306207" w:rsidRDefault="00B5290C" w:rsidP="00B5290C">
      <w:pPr>
        <w:spacing w:after="120"/>
        <w:rPr>
          <w:rFonts w:ascii="Calibri" w:eastAsia="Calibri" w:hAnsi="Calibri" w:cs="Calibri"/>
        </w:rPr>
      </w:pPr>
      <w:r w:rsidRPr="00306207">
        <w:rPr>
          <w:rFonts w:ascii="Calibri" w:eastAsia="Calibri" w:hAnsi="Calibri" w:cs="Calibri"/>
        </w:rPr>
        <w:t>The National Regional, Rural and Remote Education Strategy will build on the</w:t>
      </w:r>
      <w:r w:rsidRPr="00EC38DE">
        <w:rPr>
          <w:rStyle w:val="Emphasis"/>
        </w:rPr>
        <w:t xml:space="preserve"> Independent Review into Regional, Rural and Remote Education</w:t>
      </w:r>
      <w:r w:rsidRPr="00306207">
        <w:rPr>
          <w:rFonts w:ascii="Calibri" w:eastAsia="Calibri" w:hAnsi="Calibri" w:cs="Calibri"/>
        </w:rPr>
        <w:t xml:space="preserve"> to:</w:t>
      </w:r>
    </w:p>
    <w:p w14:paraId="7DC07068" w14:textId="77777777" w:rsidR="00B5290C" w:rsidRPr="00306207" w:rsidRDefault="00B5290C" w:rsidP="00041655">
      <w:pPr>
        <w:numPr>
          <w:ilvl w:val="0"/>
          <w:numId w:val="14"/>
        </w:numPr>
        <w:spacing w:after="120" w:line="240" w:lineRule="auto"/>
        <w:contextualSpacing/>
        <w:rPr>
          <w:rFonts w:ascii="Calibri" w:eastAsia="Calibri" w:hAnsi="Calibri" w:cs="Calibri"/>
        </w:rPr>
      </w:pPr>
      <w:r w:rsidRPr="00306207">
        <w:rPr>
          <w:rFonts w:ascii="Calibri" w:eastAsia="Calibri" w:hAnsi="Calibri" w:cs="Calibri"/>
        </w:rPr>
        <w:t>build aspiration towards further education</w:t>
      </w:r>
    </w:p>
    <w:p w14:paraId="5AA531D4" w14:textId="3AA62905" w:rsidR="00B5290C" w:rsidRPr="00306207" w:rsidRDefault="00B5290C" w:rsidP="00041655">
      <w:pPr>
        <w:numPr>
          <w:ilvl w:val="0"/>
          <w:numId w:val="14"/>
        </w:numPr>
        <w:spacing w:after="120" w:line="240" w:lineRule="auto"/>
        <w:contextualSpacing/>
        <w:rPr>
          <w:rFonts w:ascii="Calibri" w:eastAsia="Calibri" w:hAnsi="Calibri" w:cs="Calibri"/>
        </w:rPr>
      </w:pPr>
      <w:r w:rsidRPr="00306207">
        <w:rPr>
          <w:rFonts w:ascii="Calibri" w:eastAsia="Calibri" w:hAnsi="Calibri" w:cs="Calibri"/>
        </w:rPr>
        <w:t>support students in the transition from secondary to tertiary education (including relocation and career advice)</w:t>
      </w:r>
    </w:p>
    <w:p w14:paraId="0E756929" w14:textId="77777777" w:rsidR="00B5290C" w:rsidRPr="00306207" w:rsidRDefault="00B5290C" w:rsidP="00041655">
      <w:pPr>
        <w:numPr>
          <w:ilvl w:val="0"/>
          <w:numId w:val="14"/>
        </w:numPr>
        <w:spacing w:before="360" w:after="120" w:line="240" w:lineRule="auto"/>
        <w:contextualSpacing/>
        <w:rPr>
          <w:rFonts w:ascii="Calibri" w:eastAsia="Calibri" w:hAnsi="Calibri" w:cs="Calibri"/>
        </w:rPr>
      </w:pPr>
      <w:r w:rsidRPr="00306207">
        <w:rPr>
          <w:rFonts w:ascii="Calibri" w:eastAsia="Calibri" w:hAnsi="Calibri" w:cs="Calibri"/>
        </w:rPr>
        <w:t xml:space="preserve">increase access, completions and success for students at post-secondary education and training. </w:t>
      </w:r>
    </w:p>
    <w:p w14:paraId="495006E3" w14:textId="77777777" w:rsidR="00B5290C" w:rsidRPr="00306207" w:rsidRDefault="00B5290C" w:rsidP="00B5290C">
      <w:pPr>
        <w:spacing w:before="360" w:after="120"/>
        <w:rPr>
          <w:rFonts w:ascii="Calibri" w:eastAsia="Calibri" w:hAnsi="Calibri" w:cs="Calibri"/>
        </w:rPr>
      </w:pPr>
      <w:r w:rsidRPr="00306207">
        <w:rPr>
          <w:rFonts w:ascii="Calibri" w:eastAsia="Calibri" w:hAnsi="Calibri" w:cs="Calibri"/>
        </w:rPr>
        <w:t>The Strategy will also consider how to build on initiatives that support regional education, including:</w:t>
      </w:r>
    </w:p>
    <w:p w14:paraId="1E2506C3" w14:textId="77777777" w:rsidR="00B5290C" w:rsidRPr="00306207" w:rsidRDefault="00B5290C" w:rsidP="00041655">
      <w:pPr>
        <w:numPr>
          <w:ilvl w:val="0"/>
          <w:numId w:val="14"/>
        </w:numPr>
        <w:spacing w:after="120" w:line="240" w:lineRule="auto"/>
        <w:contextualSpacing/>
        <w:rPr>
          <w:rFonts w:ascii="Calibri" w:eastAsia="Calibri" w:hAnsi="Calibri" w:cs="Calibri"/>
        </w:rPr>
      </w:pPr>
      <w:r w:rsidRPr="00306207">
        <w:rPr>
          <w:rFonts w:ascii="Calibri" w:eastAsia="Calibri" w:hAnsi="Calibri" w:cs="Calibri"/>
        </w:rPr>
        <w:t>supporting the performance of regional universities and vocational education providers</w:t>
      </w:r>
    </w:p>
    <w:p w14:paraId="0D812795" w14:textId="77777777" w:rsidR="00B5290C" w:rsidRPr="00306207" w:rsidRDefault="00B5290C" w:rsidP="00041655">
      <w:pPr>
        <w:numPr>
          <w:ilvl w:val="0"/>
          <w:numId w:val="14"/>
        </w:numPr>
        <w:spacing w:after="120" w:line="240" w:lineRule="auto"/>
        <w:contextualSpacing/>
        <w:rPr>
          <w:rFonts w:ascii="Calibri" w:eastAsia="Calibri" w:hAnsi="Calibri" w:cs="Calibri"/>
        </w:rPr>
      </w:pPr>
      <w:r w:rsidRPr="00306207">
        <w:rPr>
          <w:rFonts w:ascii="Calibri" w:eastAsia="Calibri" w:hAnsi="Calibri" w:cs="Calibri"/>
        </w:rPr>
        <w:t xml:space="preserve">enhancing the role of regional education providers in the economic development of regional centres, and </w:t>
      </w:r>
    </w:p>
    <w:p w14:paraId="2ED83035" w14:textId="77777777" w:rsidR="00B5290C" w:rsidRPr="00306207" w:rsidRDefault="00B5290C" w:rsidP="00041655">
      <w:pPr>
        <w:numPr>
          <w:ilvl w:val="0"/>
          <w:numId w:val="14"/>
        </w:numPr>
        <w:spacing w:after="120" w:line="240" w:lineRule="auto"/>
        <w:contextualSpacing/>
        <w:rPr>
          <w:rFonts w:ascii="Calibri" w:eastAsia="Calibri" w:hAnsi="Calibri" w:cs="Calibri"/>
        </w:rPr>
      </w:pPr>
      <w:r w:rsidRPr="00306207">
        <w:rPr>
          <w:rFonts w:ascii="Calibri" w:eastAsia="Calibri" w:hAnsi="Calibri" w:cs="Calibri"/>
        </w:rPr>
        <w:t xml:space="preserve">attracting people to the regions. </w:t>
      </w:r>
    </w:p>
    <w:p w14:paraId="36BE3A1F" w14:textId="77777777" w:rsidR="00B5290C" w:rsidRPr="00306207" w:rsidRDefault="00B5290C" w:rsidP="00EC38DE">
      <w:pPr>
        <w:pStyle w:val="Heading2"/>
        <w:rPr>
          <w:rFonts w:eastAsia="Calibri"/>
        </w:rPr>
      </w:pPr>
      <w:r w:rsidRPr="00306207">
        <w:rPr>
          <w:rFonts w:eastAsia="Calibri"/>
        </w:rPr>
        <w:t>Terms of Reference</w:t>
      </w:r>
    </w:p>
    <w:p w14:paraId="3AC87B13" w14:textId="77777777" w:rsidR="00B5290C" w:rsidRPr="00306207" w:rsidRDefault="00B5290C" w:rsidP="00B5290C">
      <w:pPr>
        <w:spacing w:after="120"/>
        <w:rPr>
          <w:rFonts w:ascii="Calibri" w:eastAsia="Calibri" w:hAnsi="Calibri" w:cs="Calibri"/>
        </w:rPr>
      </w:pPr>
      <w:r w:rsidRPr="00306207">
        <w:rPr>
          <w:rFonts w:ascii="Calibri" w:eastAsia="Calibri" w:hAnsi="Calibri" w:cs="Calibri"/>
        </w:rPr>
        <w:t>The Terms of Reference for the Expert Advisory Group are to:</w:t>
      </w:r>
    </w:p>
    <w:p w14:paraId="38264A24" w14:textId="77777777" w:rsidR="00B5290C" w:rsidRPr="00306207" w:rsidRDefault="00B5290C" w:rsidP="00041655">
      <w:pPr>
        <w:numPr>
          <w:ilvl w:val="0"/>
          <w:numId w:val="15"/>
        </w:numPr>
        <w:spacing w:after="120" w:line="240" w:lineRule="auto"/>
        <w:contextualSpacing/>
        <w:rPr>
          <w:rFonts w:ascii="Calibri" w:eastAsia="Calibri" w:hAnsi="Calibri" w:cs="Calibri"/>
        </w:rPr>
      </w:pPr>
      <w:r w:rsidRPr="00306207">
        <w:rPr>
          <w:rFonts w:ascii="Calibri" w:eastAsia="Calibri" w:hAnsi="Calibri" w:cs="Calibri"/>
        </w:rPr>
        <w:t xml:space="preserve">build on the work of the </w:t>
      </w:r>
      <w:r w:rsidRPr="00EC38DE">
        <w:rPr>
          <w:rStyle w:val="Emphasis"/>
        </w:rPr>
        <w:t>Independent Review into Regional, Rural and Remote Education</w:t>
      </w:r>
      <w:r w:rsidRPr="00306207">
        <w:rPr>
          <w:rFonts w:ascii="Calibri" w:eastAsia="Calibri" w:hAnsi="Calibri" w:cs="Calibri"/>
        </w:rPr>
        <w:t xml:space="preserve"> and investigate the need for a commissioner to oversee the implementation of the Strategy </w:t>
      </w:r>
    </w:p>
    <w:p w14:paraId="2FF7106F" w14:textId="77777777" w:rsidR="00B5290C" w:rsidRPr="00306207" w:rsidRDefault="00B5290C" w:rsidP="00041655">
      <w:pPr>
        <w:numPr>
          <w:ilvl w:val="0"/>
          <w:numId w:val="15"/>
        </w:numPr>
        <w:spacing w:after="120" w:line="240" w:lineRule="auto"/>
        <w:contextualSpacing/>
        <w:rPr>
          <w:rFonts w:ascii="Calibri" w:eastAsia="Calibri" w:hAnsi="Calibri" w:cs="Calibri"/>
        </w:rPr>
      </w:pPr>
      <w:r w:rsidRPr="00306207">
        <w:rPr>
          <w:rFonts w:ascii="Calibri" w:eastAsia="Calibri" w:hAnsi="Calibri" w:cs="Calibri"/>
        </w:rPr>
        <w:t xml:space="preserve">identify strategies and policies for the Australian Government to put in place to bring the attainment rate of regional, rural and remote students to parity with students from metropolitan areas </w:t>
      </w:r>
    </w:p>
    <w:p w14:paraId="343E457F" w14:textId="77777777" w:rsidR="00B5290C" w:rsidRPr="00306207" w:rsidRDefault="00B5290C" w:rsidP="00041655">
      <w:pPr>
        <w:numPr>
          <w:ilvl w:val="0"/>
          <w:numId w:val="15"/>
        </w:numPr>
        <w:spacing w:after="120" w:line="240" w:lineRule="auto"/>
        <w:contextualSpacing/>
        <w:rPr>
          <w:rFonts w:ascii="Calibri" w:eastAsia="Calibri" w:hAnsi="Calibri" w:cs="Calibri"/>
        </w:rPr>
      </w:pPr>
      <w:r w:rsidRPr="00306207">
        <w:rPr>
          <w:rFonts w:ascii="Calibri" w:eastAsia="Calibri" w:hAnsi="Calibri" w:cs="Calibri"/>
        </w:rPr>
        <w:t xml:space="preserve">examine the literature and research on aspiration, access and success for regional students and the barriers to access to tertiary education facing people in regional Australia </w:t>
      </w:r>
    </w:p>
    <w:p w14:paraId="53FCE470" w14:textId="77777777" w:rsidR="00B5290C" w:rsidRPr="00306207" w:rsidRDefault="00B5290C" w:rsidP="00041655">
      <w:pPr>
        <w:numPr>
          <w:ilvl w:val="0"/>
          <w:numId w:val="15"/>
        </w:numPr>
        <w:spacing w:after="120" w:line="240" w:lineRule="auto"/>
        <w:contextualSpacing/>
        <w:rPr>
          <w:rFonts w:ascii="Calibri" w:eastAsia="Calibri" w:hAnsi="Calibri" w:cs="Calibri"/>
        </w:rPr>
      </w:pPr>
      <w:r w:rsidRPr="00306207">
        <w:rPr>
          <w:rFonts w:ascii="Calibri" w:eastAsia="Calibri" w:hAnsi="Calibri" w:cs="Calibri"/>
        </w:rPr>
        <w:t>leverage research undertaken on the provision of tertiary education in regional Australia and the support services provided to regional, rural and remote students at university</w:t>
      </w:r>
    </w:p>
    <w:p w14:paraId="27D48B95" w14:textId="77777777" w:rsidR="00B5290C" w:rsidRPr="00306207" w:rsidRDefault="00B5290C" w:rsidP="00041655">
      <w:pPr>
        <w:numPr>
          <w:ilvl w:val="0"/>
          <w:numId w:val="15"/>
        </w:numPr>
        <w:spacing w:after="120" w:line="240" w:lineRule="auto"/>
        <w:contextualSpacing/>
        <w:rPr>
          <w:rFonts w:ascii="Calibri" w:eastAsia="Calibri" w:hAnsi="Calibri" w:cs="Calibri"/>
        </w:rPr>
      </w:pPr>
      <w:r w:rsidRPr="00306207">
        <w:rPr>
          <w:rFonts w:ascii="Calibri" w:eastAsia="Calibri" w:hAnsi="Calibri" w:cs="Calibri"/>
        </w:rPr>
        <w:t>consider the current policy options supported by the Government, including student income support as well as the opportunities presented by the Regional Study Hubs Program</w:t>
      </w:r>
    </w:p>
    <w:p w14:paraId="1FFBA660" w14:textId="77777777" w:rsidR="00B5290C" w:rsidRPr="00306207" w:rsidRDefault="00B5290C" w:rsidP="00041655">
      <w:pPr>
        <w:numPr>
          <w:ilvl w:val="0"/>
          <w:numId w:val="15"/>
        </w:numPr>
        <w:spacing w:after="120" w:line="240" w:lineRule="auto"/>
        <w:contextualSpacing/>
        <w:rPr>
          <w:rFonts w:ascii="Calibri" w:eastAsia="Calibri" w:hAnsi="Calibri" w:cs="Calibri"/>
        </w:rPr>
      </w:pPr>
      <w:r w:rsidRPr="00306207">
        <w:rPr>
          <w:rFonts w:ascii="Calibri" w:eastAsia="Calibri" w:hAnsi="Calibri" w:cs="Calibri"/>
        </w:rPr>
        <w:t>recommend how current and potential new approaches should be best combined as a coherent suite of policy responses to address issues particular to a region, to deliver improved higher education outcomes to students in regional, rural and remote Australia</w:t>
      </w:r>
    </w:p>
    <w:p w14:paraId="142A8326" w14:textId="77777777" w:rsidR="00B5290C" w:rsidRPr="00306207" w:rsidRDefault="00B5290C" w:rsidP="00041655">
      <w:pPr>
        <w:numPr>
          <w:ilvl w:val="0"/>
          <w:numId w:val="15"/>
        </w:numPr>
        <w:spacing w:after="120" w:line="240" w:lineRule="auto"/>
        <w:contextualSpacing/>
        <w:rPr>
          <w:rFonts w:ascii="Calibri" w:eastAsia="Calibri" w:hAnsi="Calibri" w:cs="Calibri"/>
        </w:rPr>
      </w:pPr>
      <w:r w:rsidRPr="00306207">
        <w:rPr>
          <w:rFonts w:ascii="Calibri" w:eastAsia="Calibri" w:hAnsi="Calibri" w:cs="Calibri"/>
        </w:rPr>
        <w:t>recommend a target for regional, rural and remote education outcomes.</w:t>
      </w:r>
    </w:p>
    <w:p w14:paraId="3DF60D37" w14:textId="77777777" w:rsidR="00B5290C" w:rsidRPr="00306207" w:rsidRDefault="00B5290C" w:rsidP="00B5290C">
      <w:pPr>
        <w:spacing w:after="120" w:line="240" w:lineRule="auto"/>
        <w:ind w:left="720"/>
        <w:contextualSpacing/>
        <w:rPr>
          <w:rFonts w:ascii="Calibri" w:eastAsia="Calibri" w:hAnsi="Calibri" w:cs="Calibri"/>
        </w:rPr>
      </w:pPr>
    </w:p>
    <w:p w14:paraId="2365CA9A" w14:textId="77777777" w:rsidR="00B5290C" w:rsidRPr="00306207" w:rsidRDefault="00B5290C" w:rsidP="00B5290C">
      <w:pPr>
        <w:spacing w:after="120"/>
        <w:rPr>
          <w:rFonts w:ascii="Calibri" w:eastAsia="Calibri" w:hAnsi="Calibri" w:cs="Calibri"/>
        </w:rPr>
      </w:pPr>
      <w:r w:rsidRPr="00306207">
        <w:rPr>
          <w:rFonts w:ascii="Calibri" w:eastAsia="Calibri" w:hAnsi="Calibri" w:cs="Calibri"/>
        </w:rPr>
        <w:t>The report will make priority recommendations, and put forward the Strategy for the Minister’s approval.</w:t>
      </w:r>
    </w:p>
    <w:p w14:paraId="5A76F5AA" w14:textId="66371E3F" w:rsidR="0040515A" w:rsidRPr="00306207" w:rsidRDefault="0040515A" w:rsidP="00A368CF">
      <w:pPr>
        <w:pStyle w:val="Heading1"/>
      </w:pPr>
      <w:r w:rsidRPr="00306207">
        <w:br w:type="page"/>
      </w:r>
    </w:p>
    <w:p w14:paraId="2AB5A1E3" w14:textId="138067E1" w:rsidR="0051019D" w:rsidRPr="00306207" w:rsidRDefault="0040515A" w:rsidP="00A368CF">
      <w:pPr>
        <w:pStyle w:val="Heading1"/>
      </w:pPr>
      <w:bookmarkStart w:id="101" w:name="_Toc11783266"/>
      <w:bookmarkStart w:id="102" w:name="_Toc13224825"/>
      <w:r w:rsidRPr="00306207">
        <w:lastRenderedPageBreak/>
        <w:t xml:space="preserve">Appendix </w:t>
      </w:r>
      <w:r w:rsidR="00397244">
        <w:t>E</w:t>
      </w:r>
      <w:r w:rsidR="0051019D" w:rsidRPr="00306207">
        <w:t xml:space="preserve"> – List of consultations</w:t>
      </w:r>
      <w:bookmarkEnd w:id="101"/>
      <w:bookmarkEnd w:id="102"/>
      <w:r w:rsidR="0051019D" w:rsidRPr="00306207">
        <w:t xml:space="preserve"> </w:t>
      </w:r>
    </w:p>
    <w:tbl>
      <w:tblPr>
        <w:tblStyle w:val="ListTable4-Accent1"/>
        <w:tblW w:w="0" w:type="auto"/>
        <w:tblLook w:val="04A0" w:firstRow="1" w:lastRow="0" w:firstColumn="1" w:lastColumn="0" w:noHBand="0" w:noVBand="1"/>
      </w:tblPr>
      <w:tblGrid>
        <w:gridCol w:w="9016"/>
      </w:tblGrid>
      <w:tr w:rsidR="0051019D" w:rsidRPr="00306207" w14:paraId="2C5B35BD" w14:textId="77777777" w:rsidTr="007A51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56" w:type="dxa"/>
          </w:tcPr>
          <w:p w14:paraId="15104607" w14:textId="77777777" w:rsidR="0051019D" w:rsidRPr="00306207" w:rsidRDefault="0051019D" w:rsidP="00EC38DE">
            <w:r w:rsidRPr="00306207">
              <w:t>Consultation meetings</w:t>
            </w:r>
          </w:p>
        </w:tc>
      </w:tr>
      <w:tr w:rsidR="0051019D" w:rsidRPr="00306207" w14:paraId="4774FA8A"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2295A2B"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AgForce Qld</w:t>
            </w:r>
          </w:p>
        </w:tc>
      </w:tr>
      <w:tr w:rsidR="0051019D" w:rsidRPr="00306207" w14:paraId="6C1F8AC9"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6DBC4E95"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Anderson, Clair - Aboriginal Higher Education Advisor, University of Tasmania</w:t>
            </w:r>
          </w:p>
        </w:tc>
      </w:tr>
      <w:tr w:rsidR="0051019D" w:rsidRPr="00306207" w14:paraId="0016A677"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111C2726" w14:textId="77777777" w:rsidR="0051019D" w:rsidRPr="005B7609" w:rsidRDefault="0051019D" w:rsidP="0051019D">
            <w:pPr>
              <w:rPr>
                <w:b w:val="0"/>
                <w:sz w:val="21"/>
                <w:szCs w:val="21"/>
              </w:rPr>
            </w:pPr>
            <w:r w:rsidRPr="005B7609">
              <w:rPr>
                <w:rFonts w:ascii="Calibri" w:hAnsi="Calibri" w:cs="Calibri"/>
                <w:b w:val="0"/>
                <w:color w:val="000000"/>
                <w:sz w:val="21"/>
                <w:szCs w:val="21"/>
              </w:rPr>
              <w:t xml:space="preserve">Australian Apprenticeships Northern Territory </w:t>
            </w:r>
          </w:p>
        </w:tc>
      </w:tr>
      <w:tr w:rsidR="0051019D" w:rsidRPr="00306207" w14:paraId="1F336D0C"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7FFCC58B"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Australian Council for Private Education and Training </w:t>
            </w:r>
          </w:p>
        </w:tc>
      </w:tr>
      <w:tr w:rsidR="0051019D" w:rsidRPr="00306207" w14:paraId="5FD41F09"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12EB16BD"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Australian Industry Group </w:t>
            </w:r>
          </w:p>
        </w:tc>
      </w:tr>
      <w:tr w:rsidR="0051019D" w:rsidRPr="00306207" w14:paraId="0435221B"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67B775F5"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Australian Technology Network of Universities </w:t>
            </w:r>
          </w:p>
        </w:tc>
      </w:tr>
      <w:tr w:rsidR="0051019D" w:rsidRPr="00306207" w14:paraId="5383C9BE"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56A2115"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Australia's Academic and Research Network </w:t>
            </w:r>
          </w:p>
        </w:tc>
      </w:tr>
      <w:tr w:rsidR="0051019D" w:rsidRPr="00306207" w14:paraId="6F2C571C"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01DF50D3"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Batchelor Institute of Indigenous Tertiary Education </w:t>
            </w:r>
          </w:p>
        </w:tc>
      </w:tr>
      <w:tr w:rsidR="0051019D" w:rsidRPr="00306207" w14:paraId="6D503EDB"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1316D0AD"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Bendigo Kangan Institute</w:t>
            </w:r>
            <w:r w:rsidRPr="005B7609" w:rsidDel="001D3F0B">
              <w:rPr>
                <w:rFonts w:ascii="Calibri" w:hAnsi="Calibri" w:cs="Calibri"/>
                <w:b w:val="0"/>
                <w:color w:val="000000"/>
                <w:sz w:val="21"/>
                <w:szCs w:val="21"/>
              </w:rPr>
              <w:t xml:space="preserve"> </w:t>
            </w:r>
          </w:p>
        </w:tc>
      </w:tr>
      <w:tr w:rsidR="0051019D" w:rsidRPr="00306207" w14:paraId="1BC103D5"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3A8858BC"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Career Industry Council of Australia </w:t>
            </w:r>
          </w:p>
        </w:tc>
      </w:tr>
      <w:tr w:rsidR="0051019D" w:rsidRPr="00306207" w14:paraId="24005D0C"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56BCCC8F"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Central Regional TAFE (WA)</w:t>
            </w:r>
          </w:p>
        </w:tc>
      </w:tr>
      <w:tr w:rsidR="0051019D" w:rsidRPr="00306207" w14:paraId="04C3CE52"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3CFE59B2"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Charles Darwin University</w:t>
            </w:r>
          </w:p>
        </w:tc>
      </w:tr>
      <w:tr w:rsidR="0051019D" w:rsidRPr="00306207" w14:paraId="26805567"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6CECC4B"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Charles Sturt University </w:t>
            </w:r>
          </w:p>
        </w:tc>
      </w:tr>
      <w:tr w:rsidR="0051019D" w:rsidRPr="00306207" w14:paraId="0B975913"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2459296F"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Council of Australian Postgraduate Associations  </w:t>
            </w:r>
          </w:p>
        </w:tc>
      </w:tr>
      <w:tr w:rsidR="0051019D" w:rsidRPr="00306207" w14:paraId="7D0D2CA8"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840E7E6"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Country Education Foundation </w:t>
            </w:r>
          </w:p>
        </w:tc>
      </w:tr>
      <w:tr w:rsidR="0051019D" w:rsidRPr="00306207" w14:paraId="5D67AC22"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7D771B85"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Country Education Partnership</w:t>
            </w:r>
          </w:p>
        </w:tc>
      </w:tr>
      <w:tr w:rsidR="0051019D" w:rsidRPr="00306207" w14:paraId="52A17489"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D438710"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Country Universities Centre Snowy Monaro</w:t>
            </w:r>
          </w:p>
        </w:tc>
      </w:tr>
      <w:tr w:rsidR="0051019D" w:rsidRPr="00306207" w14:paraId="0BF56D9F"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17009233" w14:textId="77777777" w:rsidR="0051019D" w:rsidRPr="005B7609" w:rsidRDefault="0051019D" w:rsidP="0051019D">
            <w:pPr>
              <w:rPr>
                <w:b w:val="0"/>
                <w:sz w:val="21"/>
                <w:szCs w:val="21"/>
              </w:rPr>
            </w:pPr>
            <w:r w:rsidRPr="005B7609">
              <w:rPr>
                <w:rFonts w:ascii="Calibri" w:hAnsi="Calibri" w:cs="Calibri"/>
                <w:b w:val="0"/>
                <w:color w:val="000000"/>
                <w:sz w:val="21"/>
                <w:szCs w:val="21"/>
              </w:rPr>
              <w:t>Curtin University</w:t>
            </w:r>
          </w:p>
        </w:tc>
      </w:tr>
      <w:tr w:rsidR="0051019D" w:rsidRPr="00306207" w14:paraId="4B3A59B6"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17B1DFD"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Deakin University </w:t>
            </w:r>
          </w:p>
        </w:tc>
      </w:tr>
      <w:tr w:rsidR="0051019D" w:rsidRPr="00306207" w14:paraId="7A1A1EB5"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18907D0D"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Equity Practitioners in Higher Education Australasia </w:t>
            </w:r>
          </w:p>
        </w:tc>
      </w:tr>
      <w:tr w:rsidR="0051019D" w:rsidRPr="00306207" w14:paraId="727FC25B"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5718EE6D"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Federation Training </w:t>
            </w:r>
          </w:p>
        </w:tc>
      </w:tr>
      <w:tr w:rsidR="0051019D" w:rsidRPr="00306207" w14:paraId="5DECCB9B"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2A501971"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Federation University Australia</w:t>
            </w:r>
          </w:p>
        </w:tc>
      </w:tr>
      <w:tr w:rsidR="0051019D" w:rsidRPr="00306207" w14:paraId="5A9F2B91"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04BE50E"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Flinders University</w:t>
            </w:r>
          </w:p>
        </w:tc>
      </w:tr>
      <w:tr w:rsidR="0051019D" w:rsidRPr="00306207" w14:paraId="592EEBCD"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27573F95"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Geraldton Universities Centre</w:t>
            </w:r>
          </w:p>
        </w:tc>
      </w:tr>
      <w:tr w:rsidR="0051019D" w:rsidRPr="00306207" w14:paraId="73EACDD2"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8190BE8"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Goulburn Ovens TAFE</w:t>
            </w:r>
          </w:p>
        </w:tc>
      </w:tr>
      <w:tr w:rsidR="0051019D" w:rsidRPr="00306207" w14:paraId="62F68A17"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11E6EBF3"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Graham (Polly) Farmer Foundation </w:t>
            </w:r>
          </w:p>
        </w:tc>
      </w:tr>
      <w:tr w:rsidR="0051019D" w:rsidRPr="00306207" w14:paraId="096B9DF3"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271C72C4"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Grattan Institute</w:t>
            </w:r>
          </w:p>
        </w:tc>
      </w:tr>
      <w:tr w:rsidR="0051019D" w:rsidRPr="00306207" w14:paraId="44378EF2"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00973777"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Group of Eight </w:t>
            </w:r>
          </w:p>
        </w:tc>
      </w:tr>
      <w:tr w:rsidR="0051019D" w:rsidRPr="00306207" w14:paraId="4BF4AE0D"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2273B508"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Halsey, John – The Independent Review into Regional, Rural and Remote Education </w:t>
            </w:r>
          </w:p>
        </w:tc>
      </w:tr>
      <w:tr w:rsidR="0051019D" w:rsidRPr="00306207" w14:paraId="3B182317"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04C600C4"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Honeywood, The Hon Phil  – Council for International Education</w:t>
            </w:r>
          </w:p>
        </w:tc>
      </w:tr>
      <w:tr w:rsidR="0051019D" w:rsidRPr="00306207" w14:paraId="2D94438C"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2806F290" w14:textId="77777777" w:rsidR="0051019D" w:rsidRPr="005B7609" w:rsidRDefault="0051019D" w:rsidP="0051019D">
            <w:pPr>
              <w:rPr>
                <w:rFonts w:ascii="Calibri" w:hAnsi="Calibri" w:cs="Calibri"/>
                <w:b w:val="0"/>
                <w:color w:val="000000"/>
                <w:sz w:val="21"/>
                <w:szCs w:val="21"/>
              </w:rPr>
            </w:pPr>
            <w:r w:rsidRPr="005B7609">
              <w:rPr>
                <w:b w:val="0"/>
                <w:sz w:val="21"/>
                <w:szCs w:val="21"/>
              </w:rPr>
              <w:t>Independent Higher Education Australia</w:t>
            </w:r>
            <w:r w:rsidRPr="005B7609" w:rsidDel="001D3F0B">
              <w:rPr>
                <w:rFonts w:ascii="Calibri" w:hAnsi="Calibri" w:cs="Calibri"/>
                <w:b w:val="0"/>
                <w:color w:val="000000"/>
                <w:sz w:val="21"/>
                <w:szCs w:val="21"/>
              </w:rPr>
              <w:t xml:space="preserve"> </w:t>
            </w:r>
          </w:p>
        </w:tc>
      </w:tr>
      <w:tr w:rsidR="0051019D" w:rsidRPr="00306207" w14:paraId="36D7CE90"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2BF02568"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Innovative Research Universities </w:t>
            </w:r>
          </w:p>
        </w:tc>
      </w:tr>
      <w:tr w:rsidR="0051019D" w:rsidRPr="00306207" w14:paraId="27809D11"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101C449B" w14:textId="77777777" w:rsidR="0051019D" w:rsidRPr="005B7609" w:rsidRDefault="0051019D" w:rsidP="0051019D">
            <w:pPr>
              <w:rPr>
                <w:b w:val="0"/>
                <w:sz w:val="21"/>
                <w:szCs w:val="21"/>
              </w:rPr>
            </w:pPr>
            <w:r w:rsidRPr="005B7609">
              <w:rPr>
                <w:rFonts w:ascii="Calibri" w:hAnsi="Calibri" w:cs="Calibri"/>
                <w:b w:val="0"/>
                <w:color w:val="000000"/>
                <w:sz w:val="21"/>
                <w:szCs w:val="21"/>
              </w:rPr>
              <w:t xml:space="preserve">Isolated Children’s Parents’ Association </w:t>
            </w:r>
          </w:p>
        </w:tc>
      </w:tr>
      <w:tr w:rsidR="0051019D" w:rsidRPr="00306207" w14:paraId="4FE7E994"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0C1655D8"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Joyce, The Hon Steven – Review into the Australian VET system </w:t>
            </w:r>
          </w:p>
        </w:tc>
      </w:tr>
      <w:tr w:rsidR="0051019D" w:rsidRPr="00306207" w14:paraId="757B428C"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EF8AFC1"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Kulunga Aboriginal Research Development Unit</w:t>
            </w:r>
            <w:r w:rsidRPr="005B7609" w:rsidDel="001D3F0B">
              <w:rPr>
                <w:rFonts w:ascii="Calibri" w:hAnsi="Calibri" w:cs="Calibri"/>
                <w:b w:val="0"/>
                <w:color w:val="000000"/>
                <w:sz w:val="21"/>
                <w:szCs w:val="21"/>
              </w:rPr>
              <w:t xml:space="preserve"> </w:t>
            </w:r>
          </w:p>
        </w:tc>
      </w:tr>
      <w:tr w:rsidR="0051019D" w:rsidRPr="00306207" w14:paraId="7A27DB37"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14B4E0FC"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La Trobe University </w:t>
            </w:r>
          </w:p>
        </w:tc>
      </w:tr>
      <w:tr w:rsidR="0051019D" w:rsidRPr="00306207" w14:paraId="53BCF89C"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611CB9B"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Mid West Development Commission</w:t>
            </w:r>
          </w:p>
        </w:tc>
      </w:tr>
      <w:tr w:rsidR="0051019D" w:rsidRPr="00306207" w14:paraId="25DA350B"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139A69D1"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Minerals Council of Australia</w:t>
            </w:r>
          </w:p>
        </w:tc>
      </w:tr>
      <w:tr w:rsidR="0051019D" w:rsidRPr="00306207" w14:paraId="70559F37"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3F31B0BA"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Murdoch University</w:t>
            </w:r>
          </w:p>
        </w:tc>
      </w:tr>
      <w:tr w:rsidR="0051019D" w:rsidRPr="00306207" w14:paraId="2417D456"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1FCA0468"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National Broadband Network </w:t>
            </w:r>
          </w:p>
        </w:tc>
      </w:tr>
      <w:tr w:rsidR="0051019D" w:rsidRPr="00306207" w14:paraId="5E274604"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139B6D1"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National Centre for Student Equity in Higher Education </w:t>
            </w:r>
          </w:p>
        </w:tc>
      </w:tr>
      <w:tr w:rsidR="0051019D" w:rsidRPr="00306207" w14:paraId="179E7D3C"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23B5FC58"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National Centre for Vocational Education Research </w:t>
            </w:r>
          </w:p>
        </w:tc>
      </w:tr>
      <w:tr w:rsidR="0051019D" w:rsidRPr="00306207" w14:paraId="7C2B5343"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3637224A"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National Disability Insurance Agency </w:t>
            </w:r>
          </w:p>
        </w:tc>
      </w:tr>
      <w:tr w:rsidR="0051019D" w:rsidRPr="00306207" w14:paraId="425EF4AA"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25261E23"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National Union of Students </w:t>
            </w:r>
          </w:p>
        </w:tc>
      </w:tr>
      <w:tr w:rsidR="0051019D" w:rsidRPr="00306207" w14:paraId="69FCA6CC"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FDCF054"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Noonan, Peter – Australian Qualifications Framework Review  </w:t>
            </w:r>
          </w:p>
        </w:tc>
      </w:tr>
      <w:tr w:rsidR="0051019D" w:rsidRPr="00306207" w14:paraId="061E35ED"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1C97C99C"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Northern Territory Department of Education</w:t>
            </w:r>
            <w:r w:rsidRPr="005B7609" w:rsidDel="001D3F0B">
              <w:rPr>
                <w:rFonts w:ascii="Calibri" w:hAnsi="Calibri" w:cs="Calibri"/>
                <w:b w:val="0"/>
                <w:color w:val="000000"/>
                <w:sz w:val="21"/>
                <w:szCs w:val="21"/>
              </w:rPr>
              <w:t xml:space="preserve"> </w:t>
            </w:r>
          </w:p>
        </w:tc>
      </w:tr>
      <w:tr w:rsidR="0051019D" w:rsidRPr="00306207" w14:paraId="47002FB9"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500766D1"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North Midlands Industry Training Alliance </w:t>
            </w:r>
          </w:p>
        </w:tc>
      </w:tr>
      <w:tr w:rsidR="0051019D" w:rsidRPr="00306207" w14:paraId="74082E6A"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6D33B734"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New South Wales Department of Education – Higher Education and Tertiary Policy Directorate </w:t>
            </w:r>
          </w:p>
        </w:tc>
      </w:tr>
      <w:tr w:rsidR="0051019D" w:rsidRPr="00306207" w14:paraId="31137837"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8E98154"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lastRenderedPageBreak/>
              <w:t>Open Universities Australia</w:t>
            </w:r>
            <w:r w:rsidRPr="005B7609" w:rsidDel="001D3F0B">
              <w:rPr>
                <w:rFonts w:ascii="Calibri" w:hAnsi="Calibri" w:cs="Calibri"/>
                <w:b w:val="0"/>
                <w:color w:val="000000"/>
                <w:sz w:val="21"/>
                <w:szCs w:val="21"/>
              </w:rPr>
              <w:t xml:space="preserve"> </w:t>
            </w:r>
          </w:p>
        </w:tc>
      </w:tr>
      <w:tr w:rsidR="0051019D" w:rsidRPr="00306207" w14:paraId="0154F1A8"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52F7A3D5"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Parker, Stephen </w:t>
            </w:r>
          </w:p>
        </w:tc>
      </w:tr>
      <w:tr w:rsidR="0051019D" w:rsidRPr="00306207" w14:paraId="28C39A43"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32C77440" w14:textId="77777777" w:rsidR="0051019D" w:rsidRPr="005B7609" w:rsidRDefault="0051019D" w:rsidP="0051019D">
            <w:pPr>
              <w:rPr>
                <w:b w:val="0"/>
                <w:sz w:val="21"/>
                <w:szCs w:val="21"/>
              </w:rPr>
            </w:pPr>
            <w:r w:rsidRPr="005B7609">
              <w:rPr>
                <w:rFonts w:ascii="Calibri" w:hAnsi="Calibri" w:cs="Calibri"/>
                <w:b w:val="0"/>
                <w:color w:val="000000"/>
                <w:sz w:val="21"/>
                <w:szCs w:val="21"/>
              </w:rPr>
              <w:t xml:space="preserve">Ryan, The Hon Peter – Expert Panel for Strategic Regional Growth </w:t>
            </w:r>
          </w:p>
        </w:tc>
      </w:tr>
      <w:tr w:rsidR="0051019D" w:rsidRPr="00306207" w14:paraId="26535D8A"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7301C79A"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Regional Australia Institute </w:t>
            </w:r>
          </w:p>
        </w:tc>
      </w:tr>
      <w:tr w:rsidR="0051019D" w:rsidRPr="00306207" w14:paraId="72FADAFE"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738394B"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Regional Development Australia </w:t>
            </w:r>
          </w:p>
        </w:tc>
      </w:tr>
      <w:tr w:rsidR="0051019D" w:rsidRPr="00306207" w14:paraId="30915877"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1CB03FEE"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Regional Universities Network</w:t>
            </w:r>
          </w:p>
        </w:tc>
      </w:tr>
      <w:tr w:rsidR="0051019D" w:rsidRPr="00306207" w14:paraId="1A3F9AFB"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52FBA040"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Rural Industries Skills Training </w:t>
            </w:r>
          </w:p>
        </w:tc>
      </w:tr>
      <w:tr w:rsidR="0051019D" w:rsidRPr="00306207" w14:paraId="6F530C7F"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15295FF6"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Society for the Provision of Education in Rural Australia </w:t>
            </w:r>
          </w:p>
        </w:tc>
      </w:tr>
      <w:tr w:rsidR="0051019D" w:rsidRPr="00306207" w14:paraId="62E9102E"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01363D0"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South Regional TAFE (WA)</w:t>
            </w:r>
          </w:p>
        </w:tc>
      </w:tr>
      <w:tr w:rsidR="0051019D" w:rsidRPr="00306207" w14:paraId="0D90F7E2"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221EAAF3"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South West TAFE (VIC)</w:t>
            </w:r>
          </w:p>
        </w:tc>
      </w:tr>
      <w:tr w:rsidR="0051019D" w:rsidRPr="00306207" w14:paraId="5C55E933"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D825725" w14:textId="77777777" w:rsidR="0051019D" w:rsidRPr="005B7609" w:rsidRDefault="0051019D" w:rsidP="0051019D">
            <w:pPr>
              <w:rPr>
                <w:b w:val="0"/>
                <w:sz w:val="21"/>
                <w:szCs w:val="21"/>
              </w:rPr>
            </w:pPr>
            <w:r w:rsidRPr="005B7609">
              <w:rPr>
                <w:rFonts w:ascii="Calibri" w:hAnsi="Calibri" w:cs="Calibri"/>
                <w:b w:val="0"/>
                <w:color w:val="000000"/>
                <w:sz w:val="21"/>
                <w:szCs w:val="21"/>
              </w:rPr>
              <w:t>Southern Cross University</w:t>
            </w:r>
          </w:p>
        </w:tc>
      </w:tr>
      <w:tr w:rsidR="0051019D" w:rsidRPr="00306207" w14:paraId="44908715"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66E043A9"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Sunraysia Institute of TAFE</w:t>
            </w:r>
          </w:p>
        </w:tc>
      </w:tr>
      <w:tr w:rsidR="0051019D" w:rsidRPr="00306207" w14:paraId="102463D5"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79AFE8D"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TAFE Directors Australia </w:t>
            </w:r>
          </w:p>
        </w:tc>
      </w:tr>
      <w:tr w:rsidR="0051019D" w:rsidRPr="00306207" w14:paraId="00E73F94"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5F16988D"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TAFE NSW</w:t>
            </w:r>
          </w:p>
        </w:tc>
      </w:tr>
      <w:tr w:rsidR="0051019D" w:rsidRPr="00306207" w14:paraId="14ED882E"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27EC8E3"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TAFE Qld</w:t>
            </w:r>
          </w:p>
        </w:tc>
      </w:tr>
      <w:tr w:rsidR="0051019D" w:rsidRPr="00306207" w14:paraId="2144B999"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778E183C"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TAFE SA</w:t>
            </w:r>
          </w:p>
        </w:tc>
      </w:tr>
      <w:tr w:rsidR="0051019D" w:rsidRPr="00306207" w14:paraId="265C2D80"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490E98A"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Universities Australia</w:t>
            </w:r>
          </w:p>
        </w:tc>
      </w:tr>
      <w:tr w:rsidR="0051019D" w:rsidRPr="00306207" w14:paraId="701B969C"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394A3D39"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University of Melbourne </w:t>
            </w:r>
          </w:p>
        </w:tc>
      </w:tr>
      <w:tr w:rsidR="0051019D" w:rsidRPr="00306207" w14:paraId="29B318A4"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D6DD5E1"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University of New England</w:t>
            </w:r>
          </w:p>
        </w:tc>
      </w:tr>
      <w:tr w:rsidR="0051019D" w:rsidRPr="00306207" w14:paraId="64954767"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56C527D0"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University of Newcastle</w:t>
            </w:r>
          </w:p>
        </w:tc>
      </w:tr>
      <w:tr w:rsidR="0051019D" w:rsidRPr="00306207" w14:paraId="51FD952E"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4DE12963" w14:textId="77777777" w:rsidR="0051019D" w:rsidRPr="005B7609" w:rsidRDefault="0051019D" w:rsidP="0051019D">
            <w:pPr>
              <w:rPr>
                <w:b w:val="0"/>
                <w:sz w:val="21"/>
                <w:szCs w:val="21"/>
              </w:rPr>
            </w:pPr>
            <w:r w:rsidRPr="005B7609">
              <w:rPr>
                <w:rFonts w:ascii="Calibri" w:hAnsi="Calibri" w:cs="Calibri"/>
                <w:b w:val="0"/>
                <w:color w:val="000000"/>
                <w:sz w:val="21"/>
                <w:szCs w:val="21"/>
              </w:rPr>
              <w:t>University of Southern Queensland</w:t>
            </w:r>
          </w:p>
        </w:tc>
      </w:tr>
      <w:tr w:rsidR="0051019D" w:rsidRPr="00306207" w14:paraId="1FDC8A12"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0850D3DD"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University of the Sunshine Coast</w:t>
            </w:r>
          </w:p>
        </w:tc>
      </w:tr>
      <w:tr w:rsidR="0051019D" w:rsidRPr="00306207" w14:paraId="091DE1BA"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AA9A4A3"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University of Tasmania </w:t>
            </w:r>
          </w:p>
        </w:tc>
      </w:tr>
      <w:tr w:rsidR="0051019D" w:rsidRPr="00306207" w14:paraId="14EBB123"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5A694E3F"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University of Tasmania Student Union</w:t>
            </w:r>
            <w:r w:rsidRPr="005B7609" w:rsidDel="001D3F0B">
              <w:rPr>
                <w:rFonts w:ascii="Calibri" w:hAnsi="Calibri" w:cs="Calibri"/>
                <w:b w:val="0"/>
                <w:color w:val="000000"/>
                <w:sz w:val="21"/>
                <w:szCs w:val="21"/>
              </w:rPr>
              <w:t xml:space="preserve"> </w:t>
            </w:r>
          </w:p>
        </w:tc>
      </w:tr>
      <w:tr w:rsidR="0051019D" w:rsidRPr="00306207" w14:paraId="1B81A6F8"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30F754EC"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University of Wollongong</w:t>
            </w:r>
          </w:p>
        </w:tc>
      </w:tr>
      <w:tr w:rsidR="0051019D" w:rsidRPr="00306207" w14:paraId="12359A5D"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57EF4BA3"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Van Styn, Shane  – Geraldton Mayor and Deputy Chair of Regional Capitals Australia</w:t>
            </w:r>
          </w:p>
        </w:tc>
      </w:tr>
      <w:tr w:rsidR="0051019D" w:rsidRPr="00306207" w14:paraId="2CCF3C3D"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2D6F95B6"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Velg Training</w:t>
            </w:r>
          </w:p>
        </w:tc>
      </w:tr>
      <w:tr w:rsidR="0051019D" w:rsidRPr="00306207" w14:paraId="23FA5F21"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2546B0D3"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Victorian TAFE Association </w:t>
            </w:r>
          </w:p>
        </w:tc>
      </w:tr>
      <w:tr w:rsidR="0051019D" w:rsidRPr="00306207" w14:paraId="0835E979"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57202B9C"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Western Australia Aboriginal Education and Training Council</w:t>
            </w:r>
            <w:r w:rsidRPr="005B7609" w:rsidDel="001D3F0B">
              <w:rPr>
                <w:rFonts w:ascii="Calibri" w:hAnsi="Calibri" w:cs="Calibri"/>
                <w:b w:val="0"/>
                <w:color w:val="000000"/>
                <w:sz w:val="21"/>
                <w:szCs w:val="21"/>
              </w:rPr>
              <w:t xml:space="preserve"> </w:t>
            </w:r>
          </w:p>
        </w:tc>
      </w:tr>
      <w:tr w:rsidR="0051019D" w:rsidRPr="00306207" w14:paraId="22052671"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174A8CB8"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Wellings, Paul – Performance-Based Funding for the Commonwealth Grant Scheme</w:t>
            </w:r>
          </w:p>
        </w:tc>
      </w:tr>
      <w:tr w:rsidR="0051019D" w:rsidRPr="00306207" w14:paraId="3C81C93E" w14:textId="77777777" w:rsidTr="00CA4B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3AA08E59"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West Coast Heritage Regional Study Hub </w:t>
            </w:r>
          </w:p>
        </w:tc>
      </w:tr>
      <w:tr w:rsidR="0051019D" w:rsidRPr="00306207" w14:paraId="072296F1" w14:textId="77777777" w:rsidTr="00CA4BD4">
        <w:tc>
          <w:tcPr>
            <w:cnfStyle w:val="001000000000" w:firstRow="0" w:lastRow="0" w:firstColumn="1" w:lastColumn="0" w:oddVBand="0" w:evenVBand="0" w:oddHBand="0" w:evenHBand="0" w:firstRowFirstColumn="0" w:firstRowLastColumn="0" w:lastRowFirstColumn="0" w:lastRowLastColumn="0"/>
            <w:tcW w:w="10456" w:type="dxa"/>
          </w:tcPr>
          <w:p w14:paraId="5A12325A" w14:textId="77777777" w:rsidR="0051019D" w:rsidRPr="005B7609" w:rsidRDefault="0051019D" w:rsidP="0051019D">
            <w:pPr>
              <w:rPr>
                <w:rFonts w:ascii="Calibri" w:hAnsi="Calibri" w:cs="Calibri"/>
                <w:b w:val="0"/>
                <w:color w:val="000000"/>
                <w:sz w:val="21"/>
                <w:szCs w:val="21"/>
              </w:rPr>
            </w:pPr>
            <w:r w:rsidRPr="005B7609">
              <w:rPr>
                <w:rFonts w:ascii="Calibri" w:hAnsi="Calibri" w:cs="Calibri"/>
                <w:b w:val="0"/>
                <w:color w:val="000000"/>
                <w:sz w:val="21"/>
                <w:szCs w:val="21"/>
              </w:rPr>
              <w:t xml:space="preserve">Wodonga Institute of TAFE </w:t>
            </w:r>
          </w:p>
        </w:tc>
      </w:tr>
    </w:tbl>
    <w:p w14:paraId="550552C6" w14:textId="77777777" w:rsidR="0051019D" w:rsidRPr="00306207" w:rsidRDefault="0051019D" w:rsidP="0051019D"/>
    <w:p w14:paraId="48454AC0" w14:textId="77777777" w:rsidR="0051019D" w:rsidRPr="00306207" w:rsidRDefault="0051019D" w:rsidP="0051019D">
      <w:r w:rsidRPr="00306207">
        <w:br w:type="page"/>
      </w:r>
    </w:p>
    <w:p w14:paraId="255172E8" w14:textId="10B4EE5C" w:rsidR="0051019D" w:rsidRPr="00306207" w:rsidRDefault="0040515A" w:rsidP="00A368CF">
      <w:pPr>
        <w:pStyle w:val="Heading1"/>
      </w:pPr>
      <w:bookmarkStart w:id="103" w:name="_Toc11783267"/>
      <w:bookmarkStart w:id="104" w:name="_Toc13224826"/>
      <w:r w:rsidRPr="00306207">
        <w:lastRenderedPageBreak/>
        <w:t xml:space="preserve">Appendix </w:t>
      </w:r>
      <w:r w:rsidR="00397244">
        <w:t>F</w:t>
      </w:r>
      <w:r w:rsidR="0051019D" w:rsidRPr="00306207">
        <w:t xml:space="preserve"> – List of public submissions</w:t>
      </w:r>
      <w:bookmarkEnd w:id="103"/>
      <w:r w:rsidR="00F226E7">
        <w:t xml:space="preserve"> and responses</w:t>
      </w:r>
      <w:bookmarkEnd w:id="104"/>
    </w:p>
    <w:tbl>
      <w:tblPr>
        <w:tblStyle w:val="GridTable4-Accent1"/>
        <w:tblW w:w="9226" w:type="dxa"/>
        <w:tblLook w:val="04A0" w:firstRow="1" w:lastRow="0" w:firstColumn="1" w:lastColumn="0" w:noHBand="0" w:noVBand="1"/>
      </w:tblPr>
      <w:tblGrid>
        <w:gridCol w:w="9226"/>
      </w:tblGrid>
      <w:tr w:rsidR="0051019D" w:rsidRPr="00306207" w14:paraId="043FB4DE" w14:textId="77777777" w:rsidTr="005B7609">
        <w:trPr>
          <w:cnfStyle w:val="100000000000" w:firstRow="1" w:lastRow="0" w:firstColumn="0" w:lastColumn="0" w:oddVBand="0" w:evenVBand="0" w:oddHBand="0" w:evenHBand="0" w:firstRowFirstColumn="0" w:firstRowLastColumn="0" w:lastRowFirstColumn="0" w:lastRowLastColumn="0"/>
          <w:trHeight w:val="126"/>
          <w:tblHeader/>
        </w:trPr>
        <w:tc>
          <w:tcPr>
            <w:cnfStyle w:val="001000000000" w:firstRow="0" w:lastRow="0" w:firstColumn="1" w:lastColumn="0" w:oddVBand="0" w:evenVBand="0" w:oddHBand="0" w:evenHBand="0" w:firstRowFirstColumn="0" w:firstRowLastColumn="0" w:lastRowFirstColumn="0" w:lastRowLastColumn="0"/>
            <w:tcW w:w="9226" w:type="dxa"/>
            <w:noWrap/>
          </w:tcPr>
          <w:p w14:paraId="40B1E8E0" w14:textId="77777777" w:rsidR="0051019D" w:rsidRPr="00306207" w:rsidRDefault="0051019D" w:rsidP="00EC38DE">
            <w:pPr>
              <w:rPr>
                <w:color w:val="E7E6E6" w:themeColor="background2"/>
              </w:rPr>
            </w:pPr>
            <w:r w:rsidRPr="00306207">
              <w:rPr>
                <w:color w:val="E7E6E6" w:themeColor="background2"/>
              </w:rPr>
              <w:t>Submissions and responses</w:t>
            </w:r>
          </w:p>
        </w:tc>
      </w:tr>
      <w:tr w:rsidR="0051019D" w:rsidRPr="00306207" w14:paraId="763DF7A6"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1B0A53CF" w14:textId="77777777" w:rsidR="0051019D" w:rsidRPr="005B7609" w:rsidRDefault="0051019D" w:rsidP="0051019D">
            <w:pPr>
              <w:rPr>
                <w:b w:val="0"/>
                <w:sz w:val="21"/>
                <w:szCs w:val="21"/>
              </w:rPr>
            </w:pPr>
            <w:r w:rsidRPr="005B7609">
              <w:rPr>
                <w:b w:val="0"/>
                <w:sz w:val="21"/>
                <w:szCs w:val="21"/>
              </w:rPr>
              <w:t xml:space="preserve">Abingdon Advisory </w:t>
            </w:r>
          </w:p>
        </w:tc>
      </w:tr>
      <w:tr w:rsidR="0051019D" w:rsidRPr="00306207" w14:paraId="75A341DD"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42529823" w14:textId="77777777" w:rsidR="0051019D" w:rsidRPr="005B7609" w:rsidRDefault="0051019D" w:rsidP="0051019D">
            <w:pPr>
              <w:rPr>
                <w:b w:val="0"/>
                <w:sz w:val="21"/>
                <w:szCs w:val="21"/>
              </w:rPr>
            </w:pPr>
            <w:r w:rsidRPr="005B7609">
              <w:rPr>
                <w:b w:val="0"/>
                <w:sz w:val="21"/>
                <w:szCs w:val="21"/>
              </w:rPr>
              <w:t xml:space="preserve">Academy of the Social Sciences in Australia </w:t>
            </w:r>
          </w:p>
        </w:tc>
      </w:tr>
      <w:tr w:rsidR="0051019D" w:rsidRPr="00306207" w14:paraId="37908FF2"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1322C29C" w14:textId="77777777" w:rsidR="0051019D" w:rsidRPr="005B7609" w:rsidRDefault="0051019D" w:rsidP="0051019D">
            <w:pPr>
              <w:rPr>
                <w:b w:val="0"/>
                <w:sz w:val="21"/>
                <w:szCs w:val="21"/>
              </w:rPr>
            </w:pPr>
            <w:r w:rsidRPr="005B7609">
              <w:rPr>
                <w:b w:val="0"/>
                <w:sz w:val="21"/>
                <w:szCs w:val="21"/>
              </w:rPr>
              <w:t xml:space="preserve">Adult Learning Australia </w:t>
            </w:r>
          </w:p>
        </w:tc>
      </w:tr>
      <w:tr w:rsidR="0051019D" w:rsidRPr="00306207" w14:paraId="523A2416"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3FEF165F" w14:textId="77777777" w:rsidR="0051019D" w:rsidRPr="005B7609" w:rsidRDefault="0051019D" w:rsidP="0051019D">
            <w:pPr>
              <w:rPr>
                <w:b w:val="0"/>
                <w:sz w:val="21"/>
                <w:szCs w:val="21"/>
              </w:rPr>
            </w:pPr>
            <w:r w:rsidRPr="005B7609">
              <w:rPr>
                <w:b w:val="0"/>
                <w:sz w:val="21"/>
                <w:szCs w:val="21"/>
              </w:rPr>
              <w:t xml:space="preserve">Alphacrucis College </w:t>
            </w:r>
          </w:p>
        </w:tc>
      </w:tr>
      <w:tr w:rsidR="0051019D" w:rsidRPr="00306207" w14:paraId="2D5DD694"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1B873736" w14:textId="77777777" w:rsidR="0051019D" w:rsidRPr="005B7609" w:rsidRDefault="0051019D" w:rsidP="0051019D">
            <w:pPr>
              <w:rPr>
                <w:b w:val="0"/>
                <w:sz w:val="21"/>
                <w:szCs w:val="21"/>
              </w:rPr>
            </w:pPr>
            <w:r w:rsidRPr="005B7609">
              <w:rPr>
                <w:b w:val="0"/>
                <w:sz w:val="21"/>
                <w:szCs w:val="21"/>
              </w:rPr>
              <w:t xml:space="preserve">Association of Heads of Independent Schools of Australia </w:t>
            </w:r>
          </w:p>
        </w:tc>
      </w:tr>
      <w:tr w:rsidR="0051019D" w:rsidRPr="00306207" w14:paraId="381FCDAA"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03FDBBF1" w14:textId="77777777" w:rsidR="0051019D" w:rsidRPr="005B7609" w:rsidRDefault="0051019D" w:rsidP="0051019D">
            <w:pPr>
              <w:rPr>
                <w:b w:val="0"/>
                <w:sz w:val="21"/>
                <w:szCs w:val="21"/>
              </w:rPr>
            </w:pPr>
            <w:r w:rsidRPr="005B7609">
              <w:rPr>
                <w:b w:val="0"/>
                <w:sz w:val="21"/>
                <w:szCs w:val="21"/>
              </w:rPr>
              <w:t>Australia’s Academic and Research Network</w:t>
            </w:r>
          </w:p>
        </w:tc>
      </w:tr>
      <w:tr w:rsidR="0051019D" w:rsidRPr="00306207" w14:paraId="25CFC579"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3721C6AE" w14:textId="77777777" w:rsidR="0051019D" w:rsidRPr="005B7609" w:rsidRDefault="0051019D" w:rsidP="0051019D">
            <w:pPr>
              <w:rPr>
                <w:b w:val="0"/>
                <w:sz w:val="21"/>
                <w:szCs w:val="21"/>
              </w:rPr>
            </w:pPr>
            <w:r w:rsidRPr="005B7609">
              <w:rPr>
                <w:b w:val="0"/>
                <w:sz w:val="21"/>
                <w:szCs w:val="21"/>
              </w:rPr>
              <w:t xml:space="preserve">Australian National University </w:t>
            </w:r>
          </w:p>
        </w:tc>
      </w:tr>
      <w:tr w:rsidR="0051019D" w:rsidRPr="00306207" w14:paraId="1B3C0293"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2ED778A4" w14:textId="77777777" w:rsidR="0051019D" w:rsidRPr="005B7609" w:rsidRDefault="0051019D" w:rsidP="0051019D">
            <w:pPr>
              <w:rPr>
                <w:b w:val="0"/>
                <w:sz w:val="21"/>
                <w:szCs w:val="21"/>
              </w:rPr>
            </w:pPr>
            <w:r w:rsidRPr="005B7609">
              <w:rPr>
                <w:b w:val="0"/>
                <w:sz w:val="21"/>
                <w:szCs w:val="21"/>
              </w:rPr>
              <w:t xml:space="preserve">Australian Technology Network of Universities </w:t>
            </w:r>
          </w:p>
        </w:tc>
      </w:tr>
      <w:tr w:rsidR="0051019D" w:rsidRPr="00306207" w14:paraId="4B56150A"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683B7075" w14:textId="1D771522" w:rsidR="0051019D" w:rsidRPr="005B7609" w:rsidRDefault="0051019D" w:rsidP="0051019D">
            <w:pPr>
              <w:rPr>
                <w:b w:val="0"/>
                <w:sz w:val="21"/>
                <w:szCs w:val="21"/>
              </w:rPr>
            </w:pPr>
            <w:r w:rsidRPr="005B7609">
              <w:rPr>
                <w:b w:val="0"/>
                <w:sz w:val="21"/>
                <w:szCs w:val="21"/>
              </w:rPr>
              <w:t>Batchelor Institute of Indigenous Tertia</w:t>
            </w:r>
            <w:r w:rsidR="0065108C" w:rsidRPr="005B7609">
              <w:rPr>
                <w:b w:val="0"/>
                <w:sz w:val="21"/>
                <w:szCs w:val="21"/>
              </w:rPr>
              <w:t>r</w:t>
            </w:r>
            <w:r w:rsidRPr="005B7609">
              <w:rPr>
                <w:b w:val="0"/>
                <w:sz w:val="21"/>
                <w:szCs w:val="21"/>
              </w:rPr>
              <w:t>y Education</w:t>
            </w:r>
          </w:p>
        </w:tc>
      </w:tr>
      <w:tr w:rsidR="0051019D" w:rsidRPr="00306207" w14:paraId="7182D007"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407206FC" w14:textId="77777777" w:rsidR="0051019D" w:rsidRPr="005B7609" w:rsidRDefault="0051019D" w:rsidP="0051019D">
            <w:pPr>
              <w:rPr>
                <w:b w:val="0"/>
                <w:sz w:val="21"/>
                <w:szCs w:val="21"/>
              </w:rPr>
            </w:pPr>
            <w:r w:rsidRPr="005B7609">
              <w:rPr>
                <w:b w:val="0"/>
                <w:sz w:val="21"/>
                <w:szCs w:val="21"/>
              </w:rPr>
              <w:t xml:space="preserve">Beacon Foundation </w:t>
            </w:r>
          </w:p>
        </w:tc>
      </w:tr>
      <w:tr w:rsidR="0051019D" w:rsidRPr="00306207" w14:paraId="6898F9D3"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42739E9E" w14:textId="77777777" w:rsidR="0051019D" w:rsidRPr="005B7609" w:rsidRDefault="0051019D" w:rsidP="0051019D">
            <w:pPr>
              <w:rPr>
                <w:b w:val="0"/>
                <w:sz w:val="21"/>
                <w:szCs w:val="21"/>
              </w:rPr>
            </w:pPr>
            <w:r w:rsidRPr="005B7609">
              <w:rPr>
                <w:b w:val="0"/>
                <w:sz w:val="21"/>
                <w:szCs w:val="21"/>
              </w:rPr>
              <w:t xml:space="preserve">Bendigo Tech School, La Trobe University </w:t>
            </w:r>
          </w:p>
        </w:tc>
      </w:tr>
      <w:tr w:rsidR="0051019D" w:rsidRPr="00306207" w14:paraId="6CC55866"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4FB4F91B" w14:textId="77777777" w:rsidR="0051019D" w:rsidRPr="005B7609" w:rsidRDefault="0051019D" w:rsidP="0051019D">
            <w:pPr>
              <w:rPr>
                <w:b w:val="0"/>
                <w:sz w:val="21"/>
                <w:szCs w:val="21"/>
              </w:rPr>
            </w:pPr>
            <w:r w:rsidRPr="005B7609">
              <w:rPr>
                <w:b w:val="0"/>
                <w:sz w:val="21"/>
                <w:szCs w:val="21"/>
              </w:rPr>
              <w:t>Bolte, Keryn</w:t>
            </w:r>
          </w:p>
        </w:tc>
      </w:tr>
      <w:tr w:rsidR="0051019D" w:rsidRPr="00306207" w14:paraId="644EDE7D"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69DD27DB" w14:textId="77777777" w:rsidR="0051019D" w:rsidRPr="005B7609" w:rsidRDefault="0051019D" w:rsidP="0051019D">
            <w:pPr>
              <w:rPr>
                <w:b w:val="0"/>
                <w:sz w:val="21"/>
                <w:szCs w:val="21"/>
              </w:rPr>
            </w:pPr>
            <w:r w:rsidRPr="005B7609">
              <w:rPr>
                <w:b w:val="0"/>
                <w:sz w:val="21"/>
                <w:szCs w:val="21"/>
              </w:rPr>
              <w:t>Budge, Trevor</w:t>
            </w:r>
          </w:p>
        </w:tc>
      </w:tr>
      <w:tr w:rsidR="0051019D" w:rsidRPr="00306207" w14:paraId="45D2DD27"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40BA4AC2" w14:textId="77777777" w:rsidR="0051019D" w:rsidRPr="005B7609" w:rsidRDefault="0051019D" w:rsidP="0051019D">
            <w:pPr>
              <w:rPr>
                <w:b w:val="0"/>
                <w:sz w:val="21"/>
                <w:szCs w:val="21"/>
              </w:rPr>
            </w:pPr>
            <w:r w:rsidRPr="005B7609">
              <w:rPr>
                <w:b w:val="0"/>
                <w:sz w:val="21"/>
                <w:szCs w:val="21"/>
              </w:rPr>
              <w:t>Candy, Glenn</w:t>
            </w:r>
          </w:p>
        </w:tc>
      </w:tr>
      <w:tr w:rsidR="0051019D" w:rsidRPr="00306207" w14:paraId="188F3DD3"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457AF17E" w14:textId="77777777" w:rsidR="0051019D" w:rsidRPr="005B7609" w:rsidRDefault="0051019D" w:rsidP="0051019D">
            <w:pPr>
              <w:rPr>
                <w:b w:val="0"/>
                <w:sz w:val="21"/>
                <w:szCs w:val="21"/>
              </w:rPr>
            </w:pPr>
            <w:r w:rsidRPr="005B7609">
              <w:rPr>
                <w:b w:val="0"/>
                <w:sz w:val="21"/>
                <w:szCs w:val="21"/>
              </w:rPr>
              <w:t xml:space="preserve">Central Queensland University </w:t>
            </w:r>
          </w:p>
        </w:tc>
      </w:tr>
      <w:tr w:rsidR="0051019D" w:rsidRPr="00306207" w14:paraId="1D77E8E4"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4A439354" w14:textId="77777777" w:rsidR="0051019D" w:rsidRPr="005B7609" w:rsidRDefault="0051019D" w:rsidP="0051019D">
            <w:pPr>
              <w:rPr>
                <w:b w:val="0"/>
                <w:sz w:val="21"/>
                <w:szCs w:val="21"/>
              </w:rPr>
            </w:pPr>
            <w:r w:rsidRPr="005B7609">
              <w:rPr>
                <w:b w:val="0"/>
                <w:sz w:val="21"/>
                <w:szCs w:val="21"/>
              </w:rPr>
              <w:t xml:space="preserve">Charles Darwin University </w:t>
            </w:r>
          </w:p>
        </w:tc>
      </w:tr>
      <w:tr w:rsidR="0051019D" w:rsidRPr="00306207" w14:paraId="332C9CBD"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1C2E3178" w14:textId="77777777" w:rsidR="0051019D" w:rsidRPr="005B7609" w:rsidRDefault="0051019D" w:rsidP="0051019D">
            <w:pPr>
              <w:rPr>
                <w:b w:val="0"/>
                <w:sz w:val="21"/>
                <w:szCs w:val="21"/>
              </w:rPr>
            </w:pPr>
            <w:r w:rsidRPr="005B7609">
              <w:rPr>
                <w:b w:val="0"/>
                <w:sz w:val="21"/>
                <w:szCs w:val="21"/>
              </w:rPr>
              <w:t xml:space="preserve">Charles Sturt University </w:t>
            </w:r>
          </w:p>
        </w:tc>
      </w:tr>
      <w:tr w:rsidR="0051019D" w:rsidRPr="00306207" w14:paraId="16B59957"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5185D7D3" w14:textId="77777777" w:rsidR="0051019D" w:rsidRPr="005B7609" w:rsidRDefault="0051019D" w:rsidP="0051019D">
            <w:pPr>
              <w:rPr>
                <w:b w:val="0"/>
                <w:sz w:val="21"/>
                <w:szCs w:val="21"/>
              </w:rPr>
            </w:pPr>
            <w:r w:rsidRPr="005B7609">
              <w:rPr>
                <w:b w:val="0"/>
                <w:sz w:val="21"/>
                <w:szCs w:val="21"/>
              </w:rPr>
              <w:t>Council of Australian Postgraduate Associations</w:t>
            </w:r>
          </w:p>
        </w:tc>
      </w:tr>
      <w:tr w:rsidR="0051019D" w:rsidRPr="00306207" w14:paraId="52BFA446"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4FC8505B" w14:textId="77777777" w:rsidR="0051019D" w:rsidRPr="005B7609" w:rsidRDefault="0051019D" w:rsidP="0051019D">
            <w:pPr>
              <w:rPr>
                <w:b w:val="0"/>
                <w:sz w:val="21"/>
                <w:szCs w:val="21"/>
              </w:rPr>
            </w:pPr>
            <w:r w:rsidRPr="005B7609">
              <w:rPr>
                <w:b w:val="0"/>
                <w:sz w:val="21"/>
                <w:szCs w:val="21"/>
              </w:rPr>
              <w:t xml:space="preserve">Council of Private Higher Education </w:t>
            </w:r>
          </w:p>
        </w:tc>
      </w:tr>
      <w:tr w:rsidR="0051019D" w:rsidRPr="00306207" w14:paraId="3CAB0959"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D0DFCE1" w14:textId="77777777" w:rsidR="0051019D" w:rsidRPr="005B7609" w:rsidRDefault="0051019D" w:rsidP="0051019D">
            <w:pPr>
              <w:rPr>
                <w:b w:val="0"/>
                <w:sz w:val="21"/>
                <w:szCs w:val="21"/>
              </w:rPr>
            </w:pPr>
            <w:r w:rsidRPr="005B7609">
              <w:rPr>
                <w:b w:val="0"/>
                <w:sz w:val="21"/>
                <w:szCs w:val="21"/>
              </w:rPr>
              <w:t xml:space="preserve">Country Education Foundation </w:t>
            </w:r>
          </w:p>
        </w:tc>
      </w:tr>
      <w:tr w:rsidR="0051019D" w:rsidRPr="00306207" w14:paraId="742D5B98"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08926B5C" w14:textId="77777777" w:rsidR="0051019D" w:rsidRPr="005B7609" w:rsidRDefault="0051019D" w:rsidP="0051019D">
            <w:pPr>
              <w:rPr>
                <w:b w:val="0"/>
                <w:sz w:val="21"/>
                <w:szCs w:val="21"/>
              </w:rPr>
            </w:pPr>
            <w:r w:rsidRPr="005B7609">
              <w:rPr>
                <w:b w:val="0"/>
                <w:sz w:val="21"/>
                <w:szCs w:val="21"/>
              </w:rPr>
              <w:t xml:space="preserve">Country Education Partnership </w:t>
            </w:r>
          </w:p>
        </w:tc>
      </w:tr>
      <w:tr w:rsidR="0051019D" w:rsidRPr="00306207" w14:paraId="5FCADB0C"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0B1FD8BF" w14:textId="77777777" w:rsidR="0051019D" w:rsidRPr="005B7609" w:rsidRDefault="0051019D" w:rsidP="0051019D">
            <w:pPr>
              <w:rPr>
                <w:b w:val="0"/>
                <w:sz w:val="21"/>
                <w:szCs w:val="21"/>
              </w:rPr>
            </w:pPr>
            <w:r w:rsidRPr="005B7609">
              <w:rPr>
                <w:b w:val="0"/>
                <w:sz w:val="21"/>
                <w:szCs w:val="21"/>
              </w:rPr>
              <w:t xml:space="preserve">Country Universities Centre </w:t>
            </w:r>
          </w:p>
        </w:tc>
      </w:tr>
      <w:tr w:rsidR="0051019D" w:rsidRPr="00306207" w14:paraId="7B1F55C6"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04423607" w14:textId="77777777" w:rsidR="0051019D" w:rsidRPr="005B7609" w:rsidRDefault="0051019D" w:rsidP="0051019D">
            <w:pPr>
              <w:rPr>
                <w:b w:val="0"/>
                <w:sz w:val="21"/>
                <w:szCs w:val="21"/>
              </w:rPr>
            </w:pPr>
            <w:r w:rsidRPr="005B7609">
              <w:rPr>
                <w:b w:val="0"/>
                <w:sz w:val="21"/>
                <w:szCs w:val="21"/>
              </w:rPr>
              <w:t xml:space="preserve">Curtin University </w:t>
            </w:r>
          </w:p>
        </w:tc>
      </w:tr>
      <w:tr w:rsidR="0051019D" w:rsidRPr="00306207" w14:paraId="06588FD5"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7C2A85B6" w14:textId="77777777" w:rsidR="0051019D" w:rsidRPr="005B7609" w:rsidRDefault="0051019D" w:rsidP="0051019D">
            <w:pPr>
              <w:rPr>
                <w:b w:val="0"/>
                <w:sz w:val="21"/>
                <w:szCs w:val="21"/>
              </w:rPr>
            </w:pPr>
            <w:r w:rsidRPr="005B7609">
              <w:rPr>
                <w:b w:val="0"/>
                <w:sz w:val="21"/>
                <w:szCs w:val="21"/>
              </w:rPr>
              <w:t xml:space="preserve">Dunstan, Amity </w:t>
            </w:r>
          </w:p>
        </w:tc>
      </w:tr>
      <w:tr w:rsidR="0051019D" w:rsidRPr="00306207" w14:paraId="25CA6910"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0E928379" w14:textId="77777777" w:rsidR="0051019D" w:rsidRPr="005B7609" w:rsidRDefault="0051019D" w:rsidP="0051019D">
            <w:pPr>
              <w:rPr>
                <w:b w:val="0"/>
                <w:sz w:val="21"/>
                <w:szCs w:val="21"/>
              </w:rPr>
            </w:pPr>
            <w:r w:rsidRPr="005B7609">
              <w:rPr>
                <w:b w:val="0"/>
                <w:sz w:val="21"/>
                <w:szCs w:val="21"/>
              </w:rPr>
              <w:t>E Learning Education Solutions</w:t>
            </w:r>
          </w:p>
        </w:tc>
      </w:tr>
      <w:tr w:rsidR="0051019D" w:rsidRPr="00306207" w14:paraId="234205F3"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612D55D0" w14:textId="77777777" w:rsidR="0051019D" w:rsidRPr="005B7609" w:rsidRDefault="0051019D" w:rsidP="0051019D">
            <w:pPr>
              <w:rPr>
                <w:b w:val="0"/>
                <w:sz w:val="21"/>
                <w:szCs w:val="21"/>
              </w:rPr>
            </w:pPr>
            <w:r w:rsidRPr="005B7609">
              <w:rPr>
                <w:b w:val="0"/>
                <w:sz w:val="21"/>
                <w:szCs w:val="21"/>
              </w:rPr>
              <w:t>Ellis, Debra</w:t>
            </w:r>
          </w:p>
        </w:tc>
      </w:tr>
      <w:tr w:rsidR="0051019D" w:rsidRPr="00306207" w14:paraId="6F51A2B6"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36EAF8A5" w14:textId="77777777" w:rsidR="0051019D" w:rsidRPr="005B7609" w:rsidRDefault="0051019D" w:rsidP="0051019D">
            <w:pPr>
              <w:rPr>
                <w:b w:val="0"/>
                <w:sz w:val="21"/>
                <w:szCs w:val="21"/>
              </w:rPr>
            </w:pPr>
            <w:r w:rsidRPr="005B7609">
              <w:rPr>
                <w:b w:val="0"/>
                <w:sz w:val="21"/>
                <w:szCs w:val="21"/>
              </w:rPr>
              <w:t xml:space="preserve">Equity Practitioners in Higher Education Australasia </w:t>
            </w:r>
          </w:p>
        </w:tc>
      </w:tr>
      <w:tr w:rsidR="0051019D" w:rsidRPr="00306207" w14:paraId="7BB70835"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29DC18FA" w14:textId="77777777" w:rsidR="0051019D" w:rsidRPr="005B7609" w:rsidRDefault="0051019D" w:rsidP="0051019D">
            <w:pPr>
              <w:rPr>
                <w:b w:val="0"/>
                <w:sz w:val="21"/>
                <w:szCs w:val="21"/>
              </w:rPr>
            </w:pPr>
            <w:r w:rsidRPr="005B7609">
              <w:rPr>
                <w:b w:val="0"/>
                <w:sz w:val="21"/>
                <w:szCs w:val="21"/>
              </w:rPr>
              <w:t xml:space="preserve">Flinders University </w:t>
            </w:r>
          </w:p>
        </w:tc>
      </w:tr>
      <w:tr w:rsidR="0051019D" w:rsidRPr="00306207" w14:paraId="475FA339"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37C2CDD8" w14:textId="77777777" w:rsidR="0051019D" w:rsidRPr="005B7609" w:rsidRDefault="0051019D" w:rsidP="0051019D">
            <w:pPr>
              <w:rPr>
                <w:b w:val="0"/>
                <w:sz w:val="21"/>
                <w:szCs w:val="21"/>
              </w:rPr>
            </w:pPr>
            <w:r w:rsidRPr="005B7609">
              <w:rPr>
                <w:b w:val="0"/>
                <w:sz w:val="21"/>
                <w:szCs w:val="21"/>
              </w:rPr>
              <w:t xml:space="preserve">Geraldton Universities Centre </w:t>
            </w:r>
          </w:p>
        </w:tc>
      </w:tr>
      <w:tr w:rsidR="00263861" w:rsidRPr="00306207" w14:paraId="3C06078E"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0941CA99" w14:textId="465C59CC" w:rsidR="00263861" w:rsidRPr="005B7609" w:rsidRDefault="00263861" w:rsidP="0051019D">
            <w:pPr>
              <w:rPr>
                <w:b w:val="0"/>
                <w:sz w:val="21"/>
                <w:szCs w:val="21"/>
              </w:rPr>
            </w:pPr>
            <w:r>
              <w:rPr>
                <w:b w:val="0"/>
                <w:sz w:val="21"/>
                <w:szCs w:val="21"/>
              </w:rPr>
              <w:t>Government of South Australia</w:t>
            </w:r>
          </w:p>
        </w:tc>
      </w:tr>
      <w:tr w:rsidR="0051019D" w:rsidRPr="00306207" w14:paraId="5F195374"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hideMark/>
          </w:tcPr>
          <w:p w14:paraId="3B058DAF" w14:textId="77777777" w:rsidR="0051019D" w:rsidRPr="005B7609" w:rsidRDefault="0051019D" w:rsidP="0051019D">
            <w:pPr>
              <w:rPr>
                <w:b w:val="0"/>
                <w:sz w:val="21"/>
                <w:szCs w:val="21"/>
              </w:rPr>
            </w:pPr>
            <w:r w:rsidRPr="005B7609">
              <w:rPr>
                <w:b w:val="0"/>
                <w:sz w:val="21"/>
                <w:szCs w:val="21"/>
              </w:rPr>
              <w:t xml:space="preserve">Group of Eight </w:t>
            </w:r>
          </w:p>
        </w:tc>
      </w:tr>
      <w:tr w:rsidR="0051019D" w:rsidRPr="00306207" w14:paraId="410CAFD3"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69A38405" w14:textId="77777777" w:rsidR="0051019D" w:rsidRPr="005B7609" w:rsidRDefault="0051019D" w:rsidP="0051019D">
            <w:pPr>
              <w:rPr>
                <w:b w:val="0"/>
                <w:sz w:val="21"/>
                <w:szCs w:val="21"/>
              </w:rPr>
            </w:pPr>
            <w:r w:rsidRPr="005B7609">
              <w:rPr>
                <w:b w:val="0"/>
                <w:sz w:val="21"/>
                <w:szCs w:val="21"/>
              </w:rPr>
              <w:t xml:space="preserve">Halsey, John – The Independent Review into Regional, Rural and Remote Education </w:t>
            </w:r>
          </w:p>
        </w:tc>
      </w:tr>
      <w:tr w:rsidR="0051019D" w:rsidRPr="00306207" w14:paraId="13096BED"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EC1FCBC" w14:textId="77777777" w:rsidR="0051019D" w:rsidRPr="005B7609" w:rsidRDefault="0051019D" w:rsidP="0051019D">
            <w:pPr>
              <w:rPr>
                <w:b w:val="0"/>
                <w:sz w:val="21"/>
                <w:szCs w:val="21"/>
              </w:rPr>
            </w:pPr>
            <w:r w:rsidRPr="005B7609">
              <w:rPr>
                <w:b w:val="0"/>
                <w:sz w:val="21"/>
                <w:szCs w:val="21"/>
              </w:rPr>
              <w:t xml:space="preserve">Hardwick-Franco, Kathryn </w:t>
            </w:r>
          </w:p>
        </w:tc>
      </w:tr>
      <w:tr w:rsidR="0051019D" w:rsidRPr="00306207" w14:paraId="60122D1D"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6B7E1C57" w14:textId="77777777" w:rsidR="0051019D" w:rsidRPr="005B7609" w:rsidRDefault="0051019D" w:rsidP="0051019D">
            <w:pPr>
              <w:rPr>
                <w:b w:val="0"/>
                <w:sz w:val="21"/>
                <w:szCs w:val="21"/>
              </w:rPr>
            </w:pPr>
            <w:r w:rsidRPr="005B7609">
              <w:rPr>
                <w:b w:val="0"/>
                <w:sz w:val="21"/>
                <w:szCs w:val="21"/>
              </w:rPr>
              <w:t xml:space="preserve">Heather, Robert </w:t>
            </w:r>
          </w:p>
        </w:tc>
      </w:tr>
      <w:tr w:rsidR="0051019D" w:rsidRPr="00306207" w14:paraId="6E6683F4"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3459A6F3" w14:textId="77777777" w:rsidR="0051019D" w:rsidRPr="005B7609" w:rsidRDefault="0051019D" w:rsidP="0051019D">
            <w:pPr>
              <w:rPr>
                <w:b w:val="0"/>
                <w:sz w:val="21"/>
                <w:szCs w:val="21"/>
              </w:rPr>
            </w:pPr>
            <w:r w:rsidRPr="005B7609">
              <w:rPr>
                <w:b w:val="0"/>
                <w:sz w:val="21"/>
                <w:szCs w:val="21"/>
              </w:rPr>
              <w:t>Impey, Charles</w:t>
            </w:r>
          </w:p>
        </w:tc>
      </w:tr>
      <w:tr w:rsidR="0051019D" w:rsidRPr="00306207" w14:paraId="6EA33F2A"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6DE11303" w14:textId="77777777" w:rsidR="0051019D" w:rsidRPr="005B7609" w:rsidRDefault="0051019D" w:rsidP="0051019D">
            <w:pPr>
              <w:rPr>
                <w:b w:val="0"/>
                <w:sz w:val="21"/>
                <w:szCs w:val="21"/>
              </w:rPr>
            </w:pPr>
            <w:r w:rsidRPr="005B7609">
              <w:rPr>
                <w:b w:val="0"/>
                <w:sz w:val="21"/>
                <w:szCs w:val="21"/>
              </w:rPr>
              <w:t>Independent Higher Education Australia</w:t>
            </w:r>
          </w:p>
        </w:tc>
      </w:tr>
      <w:tr w:rsidR="0051019D" w:rsidRPr="00306207" w14:paraId="3325F44A"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07BB2FD0" w14:textId="77777777" w:rsidR="0051019D" w:rsidRPr="005B7609" w:rsidRDefault="0051019D" w:rsidP="0051019D">
            <w:pPr>
              <w:rPr>
                <w:b w:val="0"/>
                <w:sz w:val="21"/>
                <w:szCs w:val="21"/>
              </w:rPr>
            </w:pPr>
            <w:r w:rsidRPr="005B7609">
              <w:rPr>
                <w:b w:val="0"/>
                <w:sz w:val="21"/>
                <w:szCs w:val="21"/>
              </w:rPr>
              <w:t xml:space="preserve">Innovative Research Universities </w:t>
            </w:r>
          </w:p>
        </w:tc>
      </w:tr>
      <w:tr w:rsidR="0051019D" w:rsidRPr="00306207" w14:paraId="36076172"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5219776D" w14:textId="77777777" w:rsidR="0051019D" w:rsidRPr="005B7609" w:rsidRDefault="0051019D" w:rsidP="0051019D">
            <w:pPr>
              <w:rPr>
                <w:b w:val="0"/>
                <w:sz w:val="21"/>
                <w:szCs w:val="21"/>
              </w:rPr>
            </w:pPr>
            <w:r w:rsidRPr="005B7609">
              <w:rPr>
                <w:b w:val="0"/>
                <w:sz w:val="21"/>
                <w:szCs w:val="21"/>
              </w:rPr>
              <w:t>Isolated Children's Parents' Association of Australia</w:t>
            </w:r>
          </w:p>
        </w:tc>
      </w:tr>
      <w:tr w:rsidR="0051019D" w:rsidRPr="00306207" w14:paraId="23CA2BEF"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54322BE1" w14:textId="77777777" w:rsidR="0051019D" w:rsidRPr="005B7609" w:rsidRDefault="0051019D" w:rsidP="0051019D">
            <w:pPr>
              <w:rPr>
                <w:b w:val="0"/>
                <w:sz w:val="21"/>
                <w:szCs w:val="21"/>
              </w:rPr>
            </w:pPr>
            <w:r w:rsidRPr="005B7609">
              <w:rPr>
                <w:b w:val="0"/>
                <w:sz w:val="21"/>
                <w:szCs w:val="21"/>
              </w:rPr>
              <w:t xml:space="preserve">James Cook University </w:t>
            </w:r>
          </w:p>
        </w:tc>
      </w:tr>
      <w:tr w:rsidR="0051019D" w:rsidRPr="00306207" w14:paraId="22D04FDC"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E043775" w14:textId="77777777" w:rsidR="0051019D" w:rsidRPr="005B7609" w:rsidRDefault="0051019D" w:rsidP="0051019D">
            <w:pPr>
              <w:rPr>
                <w:b w:val="0"/>
                <w:sz w:val="21"/>
                <w:szCs w:val="21"/>
              </w:rPr>
            </w:pPr>
            <w:r w:rsidRPr="005B7609">
              <w:rPr>
                <w:b w:val="0"/>
                <w:sz w:val="21"/>
                <w:szCs w:val="21"/>
              </w:rPr>
              <w:t>Kilpatrick, Sue</w:t>
            </w:r>
          </w:p>
        </w:tc>
      </w:tr>
      <w:tr w:rsidR="0051019D" w:rsidRPr="00306207" w14:paraId="537D5AA6"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2C9461EC" w14:textId="77777777" w:rsidR="0051019D" w:rsidRPr="005B7609" w:rsidRDefault="0051019D" w:rsidP="0051019D">
            <w:pPr>
              <w:rPr>
                <w:b w:val="0"/>
                <w:sz w:val="21"/>
                <w:szCs w:val="21"/>
              </w:rPr>
            </w:pPr>
            <w:r w:rsidRPr="005B7609">
              <w:rPr>
                <w:b w:val="0"/>
                <w:sz w:val="21"/>
                <w:szCs w:val="21"/>
              </w:rPr>
              <w:t>Knight, Jodi</w:t>
            </w:r>
          </w:p>
        </w:tc>
      </w:tr>
      <w:tr w:rsidR="0051019D" w:rsidRPr="00306207" w14:paraId="4FE77D1F"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0B0B69D3" w14:textId="77777777" w:rsidR="0051019D" w:rsidRPr="005B7609" w:rsidRDefault="0051019D" w:rsidP="0051019D">
            <w:pPr>
              <w:rPr>
                <w:b w:val="0"/>
                <w:sz w:val="21"/>
                <w:szCs w:val="21"/>
              </w:rPr>
            </w:pPr>
            <w:r w:rsidRPr="005B7609">
              <w:rPr>
                <w:b w:val="0"/>
                <w:sz w:val="21"/>
                <w:szCs w:val="21"/>
              </w:rPr>
              <w:t xml:space="preserve">La Trobe University </w:t>
            </w:r>
          </w:p>
        </w:tc>
      </w:tr>
      <w:tr w:rsidR="0051019D" w:rsidRPr="00306207" w14:paraId="72248A09"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EB7F450" w14:textId="77777777" w:rsidR="0051019D" w:rsidRPr="005B7609" w:rsidRDefault="0051019D" w:rsidP="0051019D">
            <w:pPr>
              <w:rPr>
                <w:b w:val="0"/>
                <w:sz w:val="21"/>
                <w:szCs w:val="21"/>
              </w:rPr>
            </w:pPr>
            <w:r w:rsidRPr="005B7609">
              <w:rPr>
                <w:b w:val="0"/>
                <w:sz w:val="21"/>
                <w:szCs w:val="21"/>
              </w:rPr>
              <w:t xml:space="preserve">Macquarie University </w:t>
            </w:r>
          </w:p>
        </w:tc>
      </w:tr>
      <w:tr w:rsidR="0051019D" w:rsidRPr="00306207" w14:paraId="1C21051B"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ED0678A" w14:textId="77777777" w:rsidR="0051019D" w:rsidRPr="005B7609" w:rsidRDefault="0051019D" w:rsidP="0051019D">
            <w:pPr>
              <w:rPr>
                <w:b w:val="0"/>
                <w:sz w:val="21"/>
                <w:szCs w:val="21"/>
              </w:rPr>
            </w:pPr>
            <w:r w:rsidRPr="005B7609">
              <w:rPr>
                <w:b w:val="0"/>
                <w:sz w:val="21"/>
                <w:szCs w:val="21"/>
              </w:rPr>
              <w:t xml:space="preserve">Mainwaring, Alan </w:t>
            </w:r>
          </w:p>
        </w:tc>
      </w:tr>
      <w:tr w:rsidR="0051019D" w:rsidRPr="00306207" w14:paraId="226F20CB"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39CDACE8" w14:textId="77777777" w:rsidR="0051019D" w:rsidRPr="005B7609" w:rsidRDefault="0051019D" w:rsidP="0051019D">
            <w:pPr>
              <w:rPr>
                <w:b w:val="0"/>
                <w:sz w:val="21"/>
                <w:szCs w:val="21"/>
              </w:rPr>
            </w:pPr>
            <w:r w:rsidRPr="005B7609">
              <w:rPr>
                <w:b w:val="0"/>
                <w:sz w:val="21"/>
                <w:szCs w:val="21"/>
              </w:rPr>
              <w:t>McGlew, Kaye</w:t>
            </w:r>
          </w:p>
        </w:tc>
      </w:tr>
      <w:tr w:rsidR="0051019D" w:rsidRPr="00306207" w14:paraId="53F4C27B"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C49BD6D" w14:textId="77777777" w:rsidR="0051019D" w:rsidRPr="005B7609" w:rsidRDefault="0051019D" w:rsidP="0051019D">
            <w:pPr>
              <w:rPr>
                <w:b w:val="0"/>
                <w:sz w:val="21"/>
                <w:szCs w:val="21"/>
              </w:rPr>
            </w:pPr>
            <w:r w:rsidRPr="005B7609">
              <w:rPr>
                <w:b w:val="0"/>
                <w:sz w:val="21"/>
                <w:szCs w:val="21"/>
              </w:rPr>
              <w:t>Mid West Development Commission</w:t>
            </w:r>
          </w:p>
        </w:tc>
      </w:tr>
      <w:tr w:rsidR="0051019D" w:rsidRPr="00306207" w14:paraId="79D5FAD8"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6FD5D840" w14:textId="77777777" w:rsidR="0051019D" w:rsidRPr="005B7609" w:rsidRDefault="0051019D" w:rsidP="0051019D">
            <w:pPr>
              <w:rPr>
                <w:b w:val="0"/>
                <w:sz w:val="21"/>
                <w:szCs w:val="21"/>
              </w:rPr>
            </w:pPr>
            <w:r w:rsidRPr="005B7609">
              <w:rPr>
                <w:b w:val="0"/>
                <w:sz w:val="21"/>
                <w:szCs w:val="21"/>
              </w:rPr>
              <w:lastRenderedPageBreak/>
              <w:t xml:space="preserve">Mills, Terence </w:t>
            </w:r>
          </w:p>
        </w:tc>
      </w:tr>
      <w:tr w:rsidR="0051019D" w:rsidRPr="00306207" w14:paraId="5E379318"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21052A61" w14:textId="77777777" w:rsidR="0051019D" w:rsidRPr="005B7609" w:rsidRDefault="0051019D" w:rsidP="0051019D">
            <w:pPr>
              <w:rPr>
                <w:b w:val="0"/>
                <w:sz w:val="21"/>
                <w:szCs w:val="21"/>
              </w:rPr>
            </w:pPr>
            <w:r w:rsidRPr="005B7609">
              <w:rPr>
                <w:b w:val="0"/>
                <w:sz w:val="21"/>
                <w:szCs w:val="21"/>
              </w:rPr>
              <w:t xml:space="preserve">Minerals Council of Australia </w:t>
            </w:r>
          </w:p>
        </w:tc>
      </w:tr>
      <w:tr w:rsidR="0051019D" w:rsidRPr="00306207" w14:paraId="104DA7D2"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512E0FB" w14:textId="77777777" w:rsidR="0051019D" w:rsidRPr="005B7609" w:rsidRDefault="0051019D" w:rsidP="0051019D">
            <w:pPr>
              <w:rPr>
                <w:b w:val="0"/>
                <w:sz w:val="21"/>
                <w:szCs w:val="21"/>
              </w:rPr>
            </w:pPr>
            <w:r w:rsidRPr="005B7609">
              <w:rPr>
                <w:b w:val="0"/>
                <w:sz w:val="21"/>
                <w:szCs w:val="21"/>
              </w:rPr>
              <w:t xml:space="preserve">National Centre for Student Equity in Higher Education </w:t>
            </w:r>
          </w:p>
        </w:tc>
      </w:tr>
      <w:tr w:rsidR="0051019D" w:rsidRPr="00306207" w14:paraId="44E33778"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0E2BE455" w14:textId="77777777" w:rsidR="0051019D" w:rsidRPr="005B7609" w:rsidRDefault="0051019D" w:rsidP="0051019D">
            <w:pPr>
              <w:rPr>
                <w:b w:val="0"/>
                <w:sz w:val="21"/>
                <w:szCs w:val="21"/>
              </w:rPr>
            </w:pPr>
            <w:r w:rsidRPr="005B7609">
              <w:rPr>
                <w:b w:val="0"/>
                <w:sz w:val="21"/>
                <w:szCs w:val="21"/>
              </w:rPr>
              <w:t>National Tertiary Education Union</w:t>
            </w:r>
          </w:p>
        </w:tc>
      </w:tr>
      <w:tr w:rsidR="0051019D" w:rsidRPr="00306207" w14:paraId="65524221"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5BD3BEF9" w14:textId="77777777" w:rsidR="0051019D" w:rsidRPr="005B7609" w:rsidRDefault="0051019D" w:rsidP="0051019D">
            <w:pPr>
              <w:rPr>
                <w:b w:val="0"/>
                <w:sz w:val="21"/>
                <w:szCs w:val="21"/>
              </w:rPr>
            </w:pPr>
            <w:r w:rsidRPr="005B7609">
              <w:rPr>
                <w:b w:val="0"/>
                <w:sz w:val="21"/>
                <w:szCs w:val="21"/>
              </w:rPr>
              <w:t>National Centre for Vocational Education Research</w:t>
            </w:r>
          </w:p>
        </w:tc>
      </w:tr>
      <w:tr w:rsidR="0051019D" w:rsidRPr="00306207" w14:paraId="1B2F0687"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FBFC681" w14:textId="77777777" w:rsidR="0051019D" w:rsidRPr="005B7609" w:rsidRDefault="0051019D" w:rsidP="0051019D">
            <w:pPr>
              <w:rPr>
                <w:b w:val="0"/>
                <w:sz w:val="21"/>
                <w:szCs w:val="21"/>
              </w:rPr>
            </w:pPr>
            <w:r w:rsidRPr="005B7609">
              <w:rPr>
                <w:b w:val="0"/>
                <w:sz w:val="21"/>
                <w:szCs w:val="21"/>
              </w:rPr>
              <w:t>NE Tracks Local Learning Employment Network &amp; North East Local Learning Employment Network</w:t>
            </w:r>
          </w:p>
        </w:tc>
      </w:tr>
      <w:tr w:rsidR="0051019D" w:rsidRPr="00306207" w14:paraId="62E48A90"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61A1D57" w14:textId="77777777" w:rsidR="0051019D" w:rsidRPr="005B7609" w:rsidRDefault="0051019D" w:rsidP="0051019D">
            <w:pPr>
              <w:rPr>
                <w:b w:val="0"/>
                <w:sz w:val="21"/>
                <w:szCs w:val="21"/>
              </w:rPr>
            </w:pPr>
            <w:r w:rsidRPr="005B7609">
              <w:rPr>
                <w:b w:val="0"/>
                <w:sz w:val="21"/>
                <w:szCs w:val="21"/>
              </w:rPr>
              <w:t xml:space="preserve">Open Universities Australia </w:t>
            </w:r>
          </w:p>
        </w:tc>
      </w:tr>
      <w:tr w:rsidR="0051019D" w:rsidRPr="00306207" w14:paraId="6CE1044C"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4A4AF2B" w14:textId="77777777" w:rsidR="0051019D" w:rsidRPr="005B7609" w:rsidRDefault="0051019D" w:rsidP="0051019D">
            <w:pPr>
              <w:rPr>
                <w:b w:val="0"/>
                <w:sz w:val="21"/>
                <w:szCs w:val="21"/>
              </w:rPr>
            </w:pPr>
            <w:r w:rsidRPr="005B7609">
              <w:rPr>
                <w:b w:val="0"/>
                <w:sz w:val="21"/>
                <w:szCs w:val="21"/>
              </w:rPr>
              <w:t>Outdoor Education Group</w:t>
            </w:r>
          </w:p>
        </w:tc>
      </w:tr>
      <w:tr w:rsidR="0051019D" w:rsidRPr="00306207" w14:paraId="27913862"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0F6EC53C" w14:textId="77777777" w:rsidR="0051019D" w:rsidRPr="005B7609" w:rsidRDefault="0051019D" w:rsidP="0051019D">
            <w:pPr>
              <w:rPr>
                <w:b w:val="0"/>
                <w:sz w:val="21"/>
                <w:szCs w:val="21"/>
              </w:rPr>
            </w:pPr>
            <w:r w:rsidRPr="005B7609">
              <w:rPr>
                <w:b w:val="0"/>
                <w:sz w:val="21"/>
                <w:szCs w:val="21"/>
              </w:rPr>
              <w:t xml:space="preserve">Perkins, Darrell </w:t>
            </w:r>
          </w:p>
        </w:tc>
      </w:tr>
      <w:tr w:rsidR="00FE3791" w:rsidRPr="00306207" w14:paraId="2E2E0938"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040E2855" w14:textId="0F2FE4E3" w:rsidR="00FE3791" w:rsidRPr="005B7609" w:rsidRDefault="00FE3791" w:rsidP="0051019D">
            <w:pPr>
              <w:rPr>
                <w:b w:val="0"/>
                <w:sz w:val="21"/>
                <w:szCs w:val="21"/>
              </w:rPr>
            </w:pPr>
            <w:r w:rsidRPr="005B7609">
              <w:rPr>
                <w:b w:val="0"/>
                <w:sz w:val="21"/>
                <w:szCs w:val="21"/>
              </w:rPr>
              <w:t>Queensland Government</w:t>
            </w:r>
          </w:p>
        </w:tc>
      </w:tr>
      <w:tr w:rsidR="0051019D" w:rsidRPr="00306207" w14:paraId="18BAAA45"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092CDA2D" w14:textId="77777777" w:rsidR="0051019D" w:rsidRPr="005B7609" w:rsidRDefault="0051019D" w:rsidP="0051019D">
            <w:pPr>
              <w:rPr>
                <w:b w:val="0"/>
                <w:sz w:val="21"/>
                <w:szCs w:val="21"/>
              </w:rPr>
            </w:pPr>
            <w:r w:rsidRPr="005B7609">
              <w:rPr>
                <w:b w:val="0"/>
                <w:sz w:val="21"/>
                <w:szCs w:val="21"/>
              </w:rPr>
              <w:t xml:space="preserve">Queensland University of Technology </w:t>
            </w:r>
          </w:p>
        </w:tc>
      </w:tr>
      <w:tr w:rsidR="0051019D" w:rsidRPr="00306207" w14:paraId="70668723"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4C22DC34" w14:textId="77777777" w:rsidR="0051019D" w:rsidRPr="005B7609" w:rsidRDefault="0051019D" w:rsidP="0051019D">
            <w:pPr>
              <w:rPr>
                <w:b w:val="0"/>
                <w:sz w:val="21"/>
                <w:szCs w:val="21"/>
              </w:rPr>
            </w:pPr>
            <w:r w:rsidRPr="005B7609">
              <w:rPr>
                <w:b w:val="0"/>
                <w:sz w:val="21"/>
                <w:szCs w:val="21"/>
              </w:rPr>
              <w:t xml:space="preserve">Queensland Widening Tertiary Participation Consortium </w:t>
            </w:r>
          </w:p>
        </w:tc>
      </w:tr>
      <w:tr w:rsidR="0051019D" w:rsidRPr="00306207" w14:paraId="4E864CD8"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285B3829" w14:textId="77777777" w:rsidR="0051019D" w:rsidRPr="005B7609" w:rsidRDefault="0051019D" w:rsidP="0051019D">
            <w:pPr>
              <w:rPr>
                <w:b w:val="0"/>
                <w:sz w:val="21"/>
                <w:szCs w:val="21"/>
              </w:rPr>
            </w:pPr>
            <w:r w:rsidRPr="005B7609">
              <w:rPr>
                <w:b w:val="0"/>
                <w:sz w:val="21"/>
                <w:szCs w:val="21"/>
              </w:rPr>
              <w:t>Regional Development Australia Fitzroy and Central West</w:t>
            </w:r>
          </w:p>
        </w:tc>
      </w:tr>
      <w:tr w:rsidR="0051019D" w:rsidRPr="00306207" w14:paraId="314CD8EB"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13ECD0B" w14:textId="77777777" w:rsidR="0051019D" w:rsidRPr="005B7609" w:rsidRDefault="0051019D" w:rsidP="0051019D">
            <w:pPr>
              <w:rPr>
                <w:b w:val="0"/>
                <w:sz w:val="21"/>
                <w:szCs w:val="21"/>
              </w:rPr>
            </w:pPr>
            <w:r w:rsidRPr="005B7609">
              <w:rPr>
                <w:b w:val="0"/>
                <w:sz w:val="21"/>
                <w:szCs w:val="21"/>
              </w:rPr>
              <w:t>Regional Development Australia Goldfields Esperance</w:t>
            </w:r>
          </w:p>
        </w:tc>
      </w:tr>
      <w:tr w:rsidR="0051019D" w:rsidRPr="00306207" w14:paraId="3377B57A"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6C2A7281" w14:textId="77777777" w:rsidR="0051019D" w:rsidRPr="005B7609" w:rsidRDefault="0051019D" w:rsidP="0051019D">
            <w:pPr>
              <w:rPr>
                <w:b w:val="0"/>
                <w:sz w:val="21"/>
                <w:szCs w:val="21"/>
              </w:rPr>
            </w:pPr>
            <w:r w:rsidRPr="005B7609">
              <w:rPr>
                <w:b w:val="0"/>
                <w:sz w:val="21"/>
                <w:szCs w:val="21"/>
              </w:rPr>
              <w:t xml:space="preserve">Regional Development Australia Indian Ocean Territories </w:t>
            </w:r>
          </w:p>
        </w:tc>
      </w:tr>
      <w:tr w:rsidR="0051019D" w:rsidRPr="00306207" w14:paraId="66660C16"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279D17B" w14:textId="77777777" w:rsidR="0051019D" w:rsidRPr="005B7609" w:rsidRDefault="0051019D" w:rsidP="0051019D">
            <w:pPr>
              <w:rPr>
                <w:b w:val="0"/>
                <w:sz w:val="21"/>
                <w:szCs w:val="21"/>
              </w:rPr>
            </w:pPr>
            <w:r w:rsidRPr="005B7609">
              <w:rPr>
                <w:b w:val="0"/>
                <w:sz w:val="21"/>
                <w:szCs w:val="21"/>
              </w:rPr>
              <w:t>Regional Development Australia Loddon Mallee</w:t>
            </w:r>
          </w:p>
        </w:tc>
      </w:tr>
      <w:tr w:rsidR="0051019D" w:rsidRPr="00306207" w14:paraId="0877C38D"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3EA8EDE" w14:textId="77777777" w:rsidR="0051019D" w:rsidRPr="005B7609" w:rsidRDefault="0051019D" w:rsidP="0051019D">
            <w:pPr>
              <w:rPr>
                <w:b w:val="0"/>
                <w:sz w:val="21"/>
                <w:szCs w:val="21"/>
              </w:rPr>
            </w:pPr>
            <w:r w:rsidRPr="005B7609">
              <w:rPr>
                <w:b w:val="0"/>
                <w:sz w:val="21"/>
                <w:szCs w:val="21"/>
              </w:rPr>
              <w:t>Regional Development Australia Logan and Redlands</w:t>
            </w:r>
          </w:p>
        </w:tc>
      </w:tr>
      <w:tr w:rsidR="0051019D" w:rsidRPr="00306207" w14:paraId="0B9DB00C"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595B716" w14:textId="77777777" w:rsidR="0051019D" w:rsidRPr="005B7609" w:rsidRDefault="0051019D" w:rsidP="0051019D">
            <w:pPr>
              <w:rPr>
                <w:b w:val="0"/>
                <w:sz w:val="21"/>
                <w:szCs w:val="21"/>
              </w:rPr>
            </w:pPr>
            <w:r w:rsidRPr="005B7609">
              <w:rPr>
                <w:b w:val="0"/>
                <w:sz w:val="21"/>
                <w:szCs w:val="21"/>
              </w:rPr>
              <w:t>Regional Development Australia Mackay-Isaac-Whitsunday</w:t>
            </w:r>
          </w:p>
        </w:tc>
      </w:tr>
      <w:tr w:rsidR="0051019D" w:rsidRPr="00306207" w14:paraId="6E1BCCA8"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3B7762F3" w14:textId="516DC5D0" w:rsidR="0051019D" w:rsidRPr="005B7609" w:rsidRDefault="0051019D" w:rsidP="0051019D">
            <w:pPr>
              <w:rPr>
                <w:b w:val="0"/>
                <w:sz w:val="21"/>
                <w:szCs w:val="21"/>
              </w:rPr>
            </w:pPr>
            <w:r w:rsidRPr="005B7609">
              <w:rPr>
                <w:b w:val="0"/>
                <w:sz w:val="21"/>
                <w:szCs w:val="21"/>
              </w:rPr>
              <w:t>Regional Development Australia Mid West</w:t>
            </w:r>
            <w:r w:rsidR="0065108C" w:rsidRPr="005B7609">
              <w:rPr>
                <w:b w:val="0"/>
                <w:sz w:val="21"/>
                <w:szCs w:val="21"/>
              </w:rPr>
              <w:t xml:space="preserve"> </w:t>
            </w:r>
            <w:r w:rsidRPr="005B7609">
              <w:rPr>
                <w:b w:val="0"/>
                <w:sz w:val="21"/>
                <w:szCs w:val="21"/>
              </w:rPr>
              <w:t>and  Gascoyne</w:t>
            </w:r>
          </w:p>
        </w:tc>
      </w:tr>
      <w:tr w:rsidR="0051019D" w:rsidRPr="00306207" w14:paraId="4CFDB7FA"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3B8734B4" w14:textId="77777777" w:rsidR="0051019D" w:rsidRPr="005B7609" w:rsidRDefault="0051019D" w:rsidP="0051019D">
            <w:pPr>
              <w:rPr>
                <w:b w:val="0"/>
                <w:sz w:val="21"/>
                <w:szCs w:val="21"/>
              </w:rPr>
            </w:pPr>
            <w:r w:rsidRPr="005B7609">
              <w:rPr>
                <w:b w:val="0"/>
                <w:sz w:val="21"/>
                <w:szCs w:val="21"/>
              </w:rPr>
              <w:t>Regional Development Australia Murraylands and Riverland</w:t>
            </w:r>
          </w:p>
        </w:tc>
      </w:tr>
      <w:tr w:rsidR="0051019D" w:rsidRPr="00306207" w14:paraId="44151C1B"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3C87E2D0" w14:textId="77777777" w:rsidR="0051019D" w:rsidRPr="005B7609" w:rsidRDefault="0051019D" w:rsidP="0051019D">
            <w:pPr>
              <w:rPr>
                <w:b w:val="0"/>
                <w:sz w:val="21"/>
                <w:szCs w:val="21"/>
              </w:rPr>
            </w:pPr>
            <w:r w:rsidRPr="005B7609">
              <w:rPr>
                <w:b w:val="0"/>
                <w:sz w:val="21"/>
                <w:szCs w:val="21"/>
              </w:rPr>
              <w:t>Regional Development Australia Orana</w:t>
            </w:r>
          </w:p>
        </w:tc>
      </w:tr>
      <w:tr w:rsidR="0051019D" w:rsidRPr="00306207" w14:paraId="5F580C8E"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8E409C7" w14:textId="77777777" w:rsidR="0051019D" w:rsidRPr="005B7609" w:rsidRDefault="0051019D" w:rsidP="0051019D">
            <w:pPr>
              <w:rPr>
                <w:b w:val="0"/>
                <w:sz w:val="21"/>
                <w:szCs w:val="21"/>
              </w:rPr>
            </w:pPr>
            <w:r w:rsidRPr="005B7609">
              <w:rPr>
                <w:b w:val="0"/>
                <w:sz w:val="21"/>
                <w:szCs w:val="21"/>
              </w:rPr>
              <w:t xml:space="preserve">Regional Development Australia Tasmania </w:t>
            </w:r>
          </w:p>
        </w:tc>
      </w:tr>
      <w:tr w:rsidR="0051019D" w:rsidRPr="00306207" w14:paraId="59F33E6C"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4FE687C4" w14:textId="77777777" w:rsidR="0051019D" w:rsidRPr="005B7609" w:rsidRDefault="0051019D" w:rsidP="0051019D">
            <w:pPr>
              <w:rPr>
                <w:b w:val="0"/>
                <w:sz w:val="21"/>
                <w:szCs w:val="21"/>
              </w:rPr>
            </w:pPr>
            <w:r w:rsidRPr="005B7609">
              <w:rPr>
                <w:b w:val="0"/>
                <w:sz w:val="21"/>
                <w:szCs w:val="21"/>
              </w:rPr>
              <w:t>Regional Development Australia Wheatbelt</w:t>
            </w:r>
          </w:p>
        </w:tc>
      </w:tr>
      <w:tr w:rsidR="0051019D" w:rsidRPr="00306207" w14:paraId="3BA512B6"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63AE955E" w14:textId="77777777" w:rsidR="0051019D" w:rsidRPr="005B7609" w:rsidRDefault="0051019D" w:rsidP="0051019D">
            <w:pPr>
              <w:rPr>
                <w:b w:val="0"/>
                <w:sz w:val="21"/>
                <w:szCs w:val="21"/>
              </w:rPr>
            </w:pPr>
            <w:r w:rsidRPr="005B7609">
              <w:rPr>
                <w:b w:val="0"/>
                <w:sz w:val="21"/>
                <w:szCs w:val="21"/>
              </w:rPr>
              <w:t>Regional Development Australia Whyalla and Eyre Peninsula</w:t>
            </w:r>
          </w:p>
        </w:tc>
      </w:tr>
      <w:tr w:rsidR="0051019D" w:rsidRPr="00306207" w14:paraId="0E103002"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46CBA89B" w14:textId="77777777" w:rsidR="0051019D" w:rsidRPr="005B7609" w:rsidRDefault="0051019D" w:rsidP="0051019D">
            <w:pPr>
              <w:rPr>
                <w:b w:val="0"/>
                <w:sz w:val="21"/>
                <w:szCs w:val="21"/>
              </w:rPr>
            </w:pPr>
            <w:r w:rsidRPr="005B7609">
              <w:rPr>
                <w:b w:val="0"/>
                <w:sz w:val="21"/>
                <w:szCs w:val="21"/>
              </w:rPr>
              <w:t>Regional Universities Network</w:t>
            </w:r>
          </w:p>
        </w:tc>
      </w:tr>
      <w:tr w:rsidR="0051019D" w:rsidRPr="00306207" w14:paraId="2A8051BD"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E0E6D35" w14:textId="77777777" w:rsidR="0051019D" w:rsidRPr="005B7609" w:rsidRDefault="0051019D" w:rsidP="0051019D">
            <w:pPr>
              <w:rPr>
                <w:b w:val="0"/>
                <w:sz w:val="21"/>
                <w:szCs w:val="21"/>
              </w:rPr>
            </w:pPr>
            <w:r w:rsidRPr="005B7609">
              <w:rPr>
                <w:b w:val="0"/>
                <w:sz w:val="21"/>
                <w:szCs w:val="21"/>
              </w:rPr>
              <w:t>Roberts, Philip</w:t>
            </w:r>
          </w:p>
        </w:tc>
      </w:tr>
      <w:tr w:rsidR="0051019D" w:rsidRPr="00306207" w14:paraId="1B0D8482"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7CC7E14" w14:textId="77777777" w:rsidR="0051019D" w:rsidRPr="005B7609" w:rsidRDefault="0051019D" w:rsidP="0051019D">
            <w:pPr>
              <w:rPr>
                <w:b w:val="0"/>
                <w:sz w:val="21"/>
                <w:szCs w:val="21"/>
              </w:rPr>
            </w:pPr>
            <w:r w:rsidRPr="005B7609">
              <w:rPr>
                <w:b w:val="0"/>
                <w:sz w:val="21"/>
                <w:szCs w:val="21"/>
              </w:rPr>
              <w:t>Robinson, Kerrie</w:t>
            </w:r>
          </w:p>
        </w:tc>
      </w:tr>
      <w:tr w:rsidR="0051019D" w:rsidRPr="00306207" w14:paraId="727D90E3"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0A12E63" w14:textId="77777777" w:rsidR="0051019D" w:rsidRPr="005B7609" w:rsidRDefault="0051019D" w:rsidP="0051019D">
            <w:pPr>
              <w:rPr>
                <w:b w:val="0"/>
                <w:sz w:val="21"/>
                <w:szCs w:val="21"/>
              </w:rPr>
            </w:pPr>
            <w:r w:rsidRPr="005B7609">
              <w:rPr>
                <w:b w:val="0"/>
                <w:sz w:val="21"/>
                <w:szCs w:val="21"/>
              </w:rPr>
              <w:t xml:space="preserve">Science and Technology Australia </w:t>
            </w:r>
          </w:p>
        </w:tc>
      </w:tr>
      <w:tr w:rsidR="0051019D" w:rsidRPr="00306207" w14:paraId="7952288F"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562C374B" w14:textId="77777777" w:rsidR="0051019D" w:rsidRPr="005B7609" w:rsidRDefault="0051019D" w:rsidP="0051019D">
            <w:pPr>
              <w:rPr>
                <w:b w:val="0"/>
                <w:sz w:val="21"/>
                <w:szCs w:val="21"/>
              </w:rPr>
            </w:pPr>
            <w:r w:rsidRPr="005B7609">
              <w:rPr>
                <w:b w:val="0"/>
                <w:sz w:val="21"/>
                <w:szCs w:val="21"/>
              </w:rPr>
              <w:t>Shaw, Tim</w:t>
            </w:r>
          </w:p>
        </w:tc>
      </w:tr>
      <w:tr w:rsidR="0051019D" w:rsidRPr="00306207" w14:paraId="558D157F"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5FEB00DD" w14:textId="77777777" w:rsidR="0051019D" w:rsidRPr="005B7609" w:rsidRDefault="0051019D" w:rsidP="0051019D">
            <w:pPr>
              <w:rPr>
                <w:b w:val="0"/>
                <w:sz w:val="21"/>
                <w:szCs w:val="21"/>
              </w:rPr>
            </w:pPr>
            <w:r w:rsidRPr="005B7609">
              <w:rPr>
                <w:b w:val="0"/>
                <w:sz w:val="21"/>
                <w:szCs w:val="21"/>
              </w:rPr>
              <w:t xml:space="preserve">Shire of Carnamah </w:t>
            </w:r>
          </w:p>
        </w:tc>
      </w:tr>
      <w:tr w:rsidR="0051019D" w:rsidRPr="00306207" w14:paraId="30652324"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207E829A" w14:textId="77777777" w:rsidR="0051019D" w:rsidRPr="005B7609" w:rsidRDefault="0051019D" w:rsidP="0051019D">
            <w:pPr>
              <w:rPr>
                <w:b w:val="0"/>
                <w:sz w:val="21"/>
                <w:szCs w:val="21"/>
              </w:rPr>
            </w:pPr>
            <w:r w:rsidRPr="005B7609">
              <w:rPr>
                <w:b w:val="0"/>
                <w:sz w:val="21"/>
                <w:szCs w:val="21"/>
              </w:rPr>
              <w:t>Shire of Dandaragan</w:t>
            </w:r>
          </w:p>
        </w:tc>
      </w:tr>
      <w:tr w:rsidR="0051019D" w:rsidRPr="00306207" w14:paraId="6A898978"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3301E3B6" w14:textId="77777777" w:rsidR="0051019D" w:rsidRPr="005B7609" w:rsidRDefault="0051019D" w:rsidP="0051019D">
            <w:pPr>
              <w:rPr>
                <w:b w:val="0"/>
                <w:sz w:val="21"/>
                <w:szCs w:val="21"/>
              </w:rPr>
            </w:pPr>
            <w:r w:rsidRPr="005B7609">
              <w:rPr>
                <w:b w:val="0"/>
                <w:sz w:val="21"/>
                <w:szCs w:val="21"/>
              </w:rPr>
              <w:t>Sweet, Lisa</w:t>
            </w:r>
          </w:p>
        </w:tc>
      </w:tr>
      <w:tr w:rsidR="0051019D" w:rsidRPr="00306207" w14:paraId="70977FEA"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396B9DF5" w14:textId="77777777" w:rsidR="0051019D" w:rsidRPr="005B7609" w:rsidRDefault="0051019D" w:rsidP="0051019D">
            <w:pPr>
              <w:rPr>
                <w:b w:val="0"/>
                <w:sz w:val="21"/>
                <w:szCs w:val="21"/>
              </w:rPr>
            </w:pPr>
            <w:r w:rsidRPr="005B7609">
              <w:rPr>
                <w:b w:val="0"/>
                <w:sz w:val="21"/>
                <w:szCs w:val="21"/>
              </w:rPr>
              <w:t xml:space="preserve">Swinburne University </w:t>
            </w:r>
          </w:p>
        </w:tc>
      </w:tr>
      <w:tr w:rsidR="0051019D" w:rsidRPr="00306207" w14:paraId="1E6DB14D"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F1331E2" w14:textId="77777777" w:rsidR="0051019D" w:rsidRPr="005B7609" w:rsidRDefault="0051019D" w:rsidP="0051019D">
            <w:pPr>
              <w:rPr>
                <w:b w:val="0"/>
                <w:sz w:val="21"/>
                <w:szCs w:val="21"/>
              </w:rPr>
            </w:pPr>
            <w:r w:rsidRPr="005B7609">
              <w:rPr>
                <w:b w:val="0"/>
                <w:sz w:val="21"/>
                <w:szCs w:val="21"/>
              </w:rPr>
              <w:t xml:space="preserve">Taggart, Andrew </w:t>
            </w:r>
          </w:p>
        </w:tc>
      </w:tr>
      <w:tr w:rsidR="0051019D" w:rsidRPr="00306207" w14:paraId="7C9E9A3D"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13796BC" w14:textId="77777777" w:rsidR="0051019D" w:rsidRPr="005B7609" w:rsidRDefault="0051019D" w:rsidP="0051019D">
            <w:pPr>
              <w:rPr>
                <w:b w:val="0"/>
                <w:sz w:val="21"/>
                <w:szCs w:val="21"/>
              </w:rPr>
            </w:pPr>
            <w:r w:rsidRPr="005B7609">
              <w:rPr>
                <w:b w:val="0"/>
                <w:sz w:val="21"/>
                <w:szCs w:val="21"/>
              </w:rPr>
              <w:t xml:space="preserve">Teach for Australia </w:t>
            </w:r>
          </w:p>
        </w:tc>
      </w:tr>
      <w:tr w:rsidR="0051019D" w:rsidRPr="00306207" w14:paraId="0E1EE8EB"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6B8FFE62" w14:textId="77777777" w:rsidR="0051019D" w:rsidRPr="005B7609" w:rsidRDefault="0051019D" w:rsidP="0051019D">
            <w:pPr>
              <w:rPr>
                <w:b w:val="0"/>
                <w:sz w:val="21"/>
                <w:szCs w:val="21"/>
              </w:rPr>
            </w:pPr>
            <w:r w:rsidRPr="005B7609">
              <w:rPr>
                <w:b w:val="0"/>
                <w:sz w:val="21"/>
                <w:szCs w:val="21"/>
              </w:rPr>
              <w:t xml:space="preserve">The Smith Family </w:t>
            </w:r>
          </w:p>
        </w:tc>
      </w:tr>
      <w:tr w:rsidR="0051019D" w:rsidRPr="00306207" w14:paraId="1B025C4C"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52DA47D3" w14:textId="77777777" w:rsidR="0051019D" w:rsidRPr="005B7609" w:rsidRDefault="0051019D" w:rsidP="0051019D">
            <w:pPr>
              <w:rPr>
                <w:b w:val="0"/>
                <w:sz w:val="21"/>
                <w:szCs w:val="21"/>
              </w:rPr>
            </w:pPr>
            <w:r w:rsidRPr="005B7609">
              <w:rPr>
                <w:b w:val="0"/>
                <w:sz w:val="21"/>
                <w:szCs w:val="21"/>
              </w:rPr>
              <w:t>Tishler, Cathy</w:t>
            </w:r>
          </w:p>
        </w:tc>
      </w:tr>
      <w:tr w:rsidR="0051019D" w:rsidRPr="00306207" w14:paraId="1C7C7A9E"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449B7FA3" w14:textId="77777777" w:rsidR="0051019D" w:rsidRPr="005B7609" w:rsidRDefault="0051019D" w:rsidP="0051019D">
            <w:pPr>
              <w:rPr>
                <w:b w:val="0"/>
                <w:sz w:val="21"/>
                <w:szCs w:val="21"/>
              </w:rPr>
            </w:pPr>
            <w:r w:rsidRPr="005B7609">
              <w:rPr>
                <w:b w:val="0"/>
                <w:sz w:val="21"/>
                <w:szCs w:val="21"/>
              </w:rPr>
              <w:t xml:space="preserve">Universities Australia </w:t>
            </w:r>
          </w:p>
        </w:tc>
      </w:tr>
      <w:tr w:rsidR="0051019D" w:rsidRPr="00306207" w14:paraId="270B91B4"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6E78B02D" w14:textId="77777777" w:rsidR="0051019D" w:rsidRPr="005B7609" w:rsidRDefault="0051019D" w:rsidP="0051019D">
            <w:pPr>
              <w:rPr>
                <w:b w:val="0"/>
                <w:sz w:val="21"/>
                <w:szCs w:val="21"/>
              </w:rPr>
            </w:pPr>
            <w:r w:rsidRPr="005B7609">
              <w:rPr>
                <w:b w:val="0"/>
                <w:sz w:val="21"/>
                <w:szCs w:val="21"/>
              </w:rPr>
              <w:t xml:space="preserve">University of Melbourne </w:t>
            </w:r>
          </w:p>
        </w:tc>
      </w:tr>
      <w:tr w:rsidR="0051019D" w:rsidRPr="00306207" w14:paraId="4232326B"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01E17AD7" w14:textId="77777777" w:rsidR="0051019D" w:rsidRPr="005B7609" w:rsidRDefault="0051019D" w:rsidP="0051019D">
            <w:pPr>
              <w:rPr>
                <w:b w:val="0"/>
                <w:sz w:val="21"/>
                <w:szCs w:val="21"/>
              </w:rPr>
            </w:pPr>
            <w:r w:rsidRPr="005B7609">
              <w:rPr>
                <w:b w:val="0"/>
                <w:sz w:val="21"/>
                <w:szCs w:val="21"/>
              </w:rPr>
              <w:t xml:space="preserve">University of New England </w:t>
            </w:r>
          </w:p>
        </w:tc>
      </w:tr>
      <w:tr w:rsidR="0051019D" w:rsidRPr="00306207" w14:paraId="12ED5D29"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AC50213" w14:textId="77777777" w:rsidR="0051019D" w:rsidRPr="005B7609" w:rsidRDefault="0051019D" w:rsidP="0051019D">
            <w:pPr>
              <w:rPr>
                <w:b w:val="0"/>
                <w:sz w:val="21"/>
                <w:szCs w:val="21"/>
              </w:rPr>
            </w:pPr>
            <w:r w:rsidRPr="005B7609">
              <w:rPr>
                <w:b w:val="0"/>
                <w:sz w:val="21"/>
                <w:szCs w:val="21"/>
              </w:rPr>
              <w:t xml:space="preserve">University of Newcastle </w:t>
            </w:r>
          </w:p>
        </w:tc>
      </w:tr>
      <w:tr w:rsidR="0051019D" w:rsidRPr="00306207" w14:paraId="3A132ACC"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371BA199" w14:textId="77777777" w:rsidR="0051019D" w:rsidRPr="005B7609" w:rsidRDefault="0051019D" w:rsidP="0051019D">
            <w:pPr>
              <w:rPr>
                <w:b w:val="0"/>
                <w:sz w:val="21"/>
                <w:szCs w:val="21"/>
              </w:rPr>
            </w:pPr>
            <w:r w:rsidRPr="005B7609">
              <w:rPr>
                <w:b w:val="0"/>
                <w:sz w:val="21"/>
                <w:szCs w:val="21"/>
              </w:rPr>
              <w:t xml:space="preserve">University of Queensland </w:t>
            </w:r>
          </w:p>
        </w:tc>
      </w:tr>
      <w:tr w:rsidR="0051019D" w:rsidRPr="00306207" w14:paraId="7EFB8B0F"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0C5DA124" w14:textId="77777777" w:rsidR="0051019D" w:rsidRPr="005B7609" w:rsidRDefault="0051019D" w:rsidP="0051019D">
            <w:pPr>
              <w:rPr>
                <w:b w:val="0"/>
                <w:sz w:val="21"/>
                <w:szCs w:val="21"/>
              </w:rPr>
            </w:pPr>
            <w:r w:rsidRPr="005B7609">
              <w:rPr>
                <w:b w:val="0"/>
                <w:sz w:val="21"/>
                <w:szCs w:val="21"/>
              </w:rPr>
              <w:t xml:space="preserve">University of South Australia </w:t>
            </w:r>
          </w:p>
        </w:tc>
      </w:tr>
      <w:tr w:rsidR="0051019D" w:rsidRPr="00306207" w14:paraId="5336E6D2"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1312CC5E" w14:textId="77777777" w:rsidR="0051019D" w:rsidRPr="005B7609" w:rsidRDefault="0051019D" w:rsidP="0051019D">
            <w:pPr>
              <w:rPr>
                <w:b w:val="0"/>
                <w:sz w:val="21"/>
                <w:szCs w:val="21"/>
              </w:rPr>
            </w:pPr>
            <w:r w:rsidRPr="005B7609">
              <w:rPr>
                <w:b w:val="0"/>
                <w:sz w:val="21"/>
                <w:szCs w:val="21"/>
              </w:rPr>
              <w:t xml:space="preserve">University of Sydney </w:t>
            </w:r>
          </w:p>
        </w:tc>
      </w:tr>
      <w:tr w:rsidR="0051019D" w:rsidRPr="00306207" w14:paraId="0A3C95C1"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C41FAB9" w14:textId="77777777" w:rsidR="0051019D" w:rsidRPr="005B7609" w:rsidRDefault="0051019D" w:rsidP="0051019D">
            <w:pPr>
              <w:rPr>
                <w:b w:val="0"/>
                <w:sz w:val="21"/>
                <w:szCs w:val="21"/>
              </w:rPr>
            </w:pPr>
            <w:r w:rsidRPr="005B7609">
              <w:rPr>
                <w:b w:val="0"/>
                <w:sz w:val="21"/>
                <w:szCs w:val="21"/>
              </w:rPr>
              <w:t xml:space="preserve">University of Tasmania, School of Education </w:t>
            </w:r>
          </w:p>
        </w:tc>
      </w:tr>
      <w:tr w:rsidR="0051019D" w:rsidRPr="00306207" w14:paraId="14997C1A"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5149BB0B" w14:textId="77777777" w:rsidR="0051019D" w:rsidRPr="005B7609" w:rsidRDefault="0051019D" w:rsidP="0051019D">
            <w:pPr>
              <w:rPr>
                <w:b w:val="0"/>
                <w:sz w:val="21"/>
                <w:szCs w:val="21"/>
              </w:rPr>
            </w:pPr>
            <w:r w:rsidRPr="005B7609">
              <w:rPr>
                <w:b w:val="0"/>
                <w:sz w:val="21"/>
                <w:szCs w:val="21"/>
              </w:rPr>
              <w:t xml:space="preserve">University of the Sunshine Coast </w:t>
            </w:r>
          </w:p>
        </w:tc>
      </w:tr>
      <w:tr w:rsidR="0051019D" w:rsidRPr="00306207" w14:paraId="6779C78B"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5F3AA286" w14:textId="77777777" w:rsidR="0051019D" w:rsidRPr="005B7609" w:rsidRDefault="0051019D" w:rsidP="0051019D">
            <w:pPr>
              <w:rPr>
                <w:b w:val="0"/>
                <w:sz w:val="21"/>
                <w:szCs w:val="21"/>
              </w:rPr>
            </w:pPr>
            <w:r w:rsidRPr="005B7609">
              <w:rPr>
                <w:b w:val="0"/>
                <w:sz w:val="21"/>
                <w:szCs w:val="21"/>
              </w:rPr>
              <w:t>University of Western Australia</w:t>
            </w:r>
          </w:p>
        </w:tc>
      </w:tr>
      <w:tr w:rsidR="0051019D" w:rsidRPr="00306207" w14:paraId="1824CDB9"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45E909AB" w14:textId="77777777" w:rsidR="0051019D" w:rsidRPr="005B7609" w:rsidRDefault="0051019D" w:rsidP="0051019D">
            <w:pPr>
              <w:rPr>
                <w:b w:val="0"/>
                <w:sz w:val="21"/>
                <w:szCs w:val="21"/>
              </w:rPr>
            </w:pPr>
            <w:r w:rsidRPr="005B7609">
              <w:rPr>
                <w:b w:val="0"/>
                <w:sz w:val="21"/>
                <w:szCs w:val="21"/>
              </w:rPr>
              <w:t xml:space="preserve">University of Wollongong </w:t>
            </w:r>
          </w:p>
        </w:tc>
      </w:tr>
      <w:tr w:rsidR="0051019D" w:rsidRPr="00306207" w14:paraId="0F63967C"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56F4FB90" w14:textId="77777777" w:rsidR="0051019D" w:rsidRPr="005B7609" w:rsidRDefault="0051019D" w:rsidP="0051019D">
            <w:pPr>
              <w:rPr>
                <w:b w:val="0"/>
                <w:sz w:val="21"/>
                <w:szCs w:val="21"/>
              </w:rPr>
            </w:pPr>
            <w:r w:rsidRPr="005B7609">
              <w:rPr>
                <w:b w:val="0"/>
                <w:sz w:val="21"/>
                <w:szCs w:val="21"/>
              </w:rPr>
              <w:t xml:space="preserve">Victorian TAFE Association </w:t>
            </w:r>
          </w:p>
        </w:tc>
      </w:tr>
      <w:tr w:rsidR="0051019D" w:rsidRPr="00306207" w14:paraId="22AEEB3A" w14:textId="77777777" w:rsidTr="005B7609">
        <w:trPr>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7A90DE59" w14:textId="77777777" w:rsidR="0051019D" w:rsidRPr="005B7609" w:rsidRDefault="0051019D" w:rsidP="0051019D">
            <w:pPr>
              <w:rPr>
                <w:b w:val="0"/>
                <w:sz w:val="21"/>
                <w:szCs w:val="21"/>
              </w:rPr>
            </w:pPr>
            <w:r w:rsidRPr="005B7609">
              <w:rPr>
                <w:b w:val="0"/>
                <w:sz w:val="21"/>
                <w:szCs w:val="21"/>
              </w:rPr>
              <w:t>Wimmera Southern Mallee Regional Partnership</w:t>
            </w:r>
          </w:p>
        </w:tc>
      </w:tr>
      <w:tr w:rsidR="0051019D" w:rsidRPr="00306207" w14:paraId="57576CB2" w14:textId="77777777" w:rsidTr="005B76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9226" w:type="dxa"/>
            <w:noWrap/>
          </w:tcPr>
          <w:p w14:paraId="2B82E351" w14:textId="77777777" w:rsidR="0051019D" w:rsidRPr="005B7609" w:rsidRDefault="0051019D" w:rsidP="0051019D">
            <w:pPr>
              <w:rPr>
                <w:b w:val="0"/>
                <w:sz w:val="21"/>
                <w:szCs w:val="21"/>
              </w:rPr>
            </w:pPr>
            <w:r w:rsidRPr="005B7609">
              <w:rPr>
                <w:b w:val="0"/>
                <w:sz w:val="21"/>
                <w:szCs w:val="21"/>
              </w:rPr>
              <w:t>Wodonga Institute of TAFE</w:t>
            </w:r>
          </w:p>
        </w:tc>
      </w:tr>
    </w:tbl>
    <w:p w14:paraId="0B494350" w14:textId="594C93EE" w:rsidR="0051019D" w:rsidRPr="00306207" w:rsidRDefault="0040515A" w:rsidP="00A368CF">
      <w:pPr>
        <w:pStyle w:val="Heading1"/>
      </w:pPr>
      <w:bookmarkStart w:id="105" w:name="_Toc11783268"/>
      <w:bookmarkStart w:id="106" w:name="_Toc13224827"/>
      <w:r w:rsidRPr="00306207">
        <w:lastRenderedPageBreak/>
        <w:t xml:space="preserve">Appendix </w:t>
      </w:r>
      <w:r w:rsidR="00397244">
        <w:t>G</w:t>
      </w:r>
      <w:r w:rsidR="0051019D" w:rsidRPr="00306207">
        <w:t xml:space="preserve"> – Glossary</w:t>
      </w:r>
      <w:bookmarkEnd w:id="105"/>
      <w:bookmarkEnd w:id="106"/>
    </w:p>
    <w:p w14:paraId="14A7FC74" w14:textId="77777777" w:rsidR="0051019D" w:rsidRPr="004A18E3" w:rsidRDefault="0051019D" w:rsidP="0051019D">
      <w:r w:rsidRPr="005B7609">
        <w:rPr>
          <w:rStyle w:val="Strong"/>
        </w:rPr>
        <w:t>Attainment</w:t>
      </w:r>
      <w:r w:rsidRPr="00306207">
        <w:rPr>
          <w:b/>
        </w:rPr>
        <w:t xml:space="preserve"> </w:t>
      </w:r>
      <w:r w:rsidRPr="00306207">
        <w:t>refers to</w:t>
      </w:r>
      <w:r w:rsidRPr="00306207">
        <w:rPr>
          <w:b/>
        </w:rPr>
        <w:t xml:space="preserve"> </w:t>
      </w:r>
      <w:r w:rsidRPr="00306207">
        <w:t xml:space="preserve">the highest level of an accredited tertiary education qualification achieved. The educational attainment a person has is the highest qualification listed on the Australian Qualifications Framework that they have received. </w:t>
      </w:r>
    </w:p>
    <w:p w14:paraId="0B8C9DF3" w14:textId="77777777" w:rsidR="0051019D" w:rsidRPr="00306207" w:rsidRDefault="0051019D" w:rsidP="0051019D">
      <w:r w:rsidRPr="005B7609">
        <w:rPr>
          <w:rStyle w:val="Strong"/>
        </w:rPr>
        <w:t>Attrition</w:t>
      </w:r>
      <w:r w:rsidRPr="00306207">
        <w:rPr>
          <w:b/>
        </w:rPr>
        <w:t xml:space="preserve"> </w:t>
      </w:r>
      <w:r w:rsidRPr="00306207">
        <w:t>is a measure of the proportion of students leaving the higher education system after their first year.</w:t>
      </w:r>
      <w:r w:rsidRPr="00306207">
        <w:rPr>
          <w:rStyle w:val="FootnoteReference"/>
        </w:rPr>
        <w:footnoteReference w:id="213"/>
      </w:r>
      <w:r w:rsidRPr="00306207">
        <w:t xml:space="preserve"> The reason a person drops out after their first year of study varies widely and could include homesickness, illness, change of mind, family commitments and more. </w:t>
      </w:r>
    </w:p>
    <w:p w14:paraId="2C942269" w14:textId="540EEB46" w:rsidR="0051019D" w:rsidRPr="004A18E3" w:rsidRDefault="0051019D" w:rsidP="0051019D">
      <w:r w:rsidRPr="005B7609">
        <w:rPr>
          <w:rStyle w:val="Strong"/>
        </w:rPr>
        <w:t>Career advice</w:t>
      </w:r>
      <w:r w:rsidRPr="00306207">
        <w:t xml:space="preserve"> in this report refers to the development of knowledge, skills and attitudes to assist individuals to make informed decisions about their study and work options and enable effective participation in working life.</w:t>
      </w:r>
      <w:r w:rsidR="005B7609">
        <w:rPr>
          <w:rStyle w:val="FootnoteReference"/>
        </w:rPr>
        <w:footnoteReference w:id="214"/>
      </w:r>
    </w:p>
    <w:p w14:paraId="49F8D349" w14:textId="77777777" w:rsidR="0051019D" w:rsidRPr="00306207" w:rsidRDefault="0051019D" w:rsidP="0051019D">
      <w:r w:rsidRPr="005B7609">
        <w:rPr>
          <w:rStyle w:val="Strong"/>
        </w:rPr>
        <w:t>Completion</w:t>
      </w:r>
      <w:r w:rsidRPr="00306207">
        <w:rPr>
          <w:b/>
        </w:rPr>
        <w:t xml:space="preserve"> </w:t>
      </w:r>
      <w:r w:rsidRPr="00306207">
        <w:t>describes the rate of students who finish the courses they have started. This differs from attainment in that completion could be any course no matter the level, whereas attainment is measuring the highest level of education completed.</w:t>
      </w:r>
      <w:r w:rsidRPr="00306207">
        <w:rPr>
          <w:rStyle w:val="FootnoteReference"/>
        </w:rPr>
        <w:footnoteReference w:id="215"/>
      </w:r>
      <w:r w:rsidRPr="00306207">
        <w:t xml:space="preserve"> </w:t>
      </w:r>
    </w:p>
    <w:p w14:paraId="69CE79C0" w14:textId="3EF30F83" w:rsidR="0051019D" w:rsidRPr="00306207" w:rsidRDefault="0051019D" w:rsidP="0051019D">
      <w:pPr>
        <w:rPr>
          <w:b/>
        </w:rPr>
      </w:pPr>
      <w:r w:rsidRPr="005B7609">
        <w:rPr>
          <w:rStyle w:val="Strong"/>
        </w:rPr>
        <w:t>Equality</w:t>
      </w:r>
      <w:r w:rsidRPr="00306207">
        <w:rPr>
          <w:b/>
        </w:rPr>
        <w:t xml:space="preserve"> </w:t>
      </w:r>
      <w:r w:rsidRPr="00306207">
        <w:t>is ensuring individuals or groups of individuals have the same rights and responsibilities, are given the same opportunities and resources and are not treated less favourably on the basis of their specific characteristics, including race, gender, disability, religion, belief, sexual orientation and age</w:t>
      </w:r>
      <w:r w:rsidR="005B7609">
        <w:t>.</w:t>
      </w:r>
      <w:r w:rsidR="00810792">
        <w:rPr>
          <w:rStyle w:val="FootnoteReference"/>
        </w:rPr>
        <w:footnoteReference w:id="216"/>
      </w:r>
    </w:p>
    <w:p w14:paraId="3121999C" w14:textId="00D3AB4D" w:rsidR="0051019D" w:rsidRDefault="0051019D" w:rsidP="0051019D">
      <w:r w:rsidRPr="005B7609">
        <w:rPr>
          <w:rStyle w:val="Strong"/>
        </w:rPr>
        <w:t>Equity</w:t>
      </w:r>
      <w:r w:rsidRPr="00306207">
        <w:t xml:space="preserve"> refers to the practices and ways of thinking that assist in working towards equality, including ensuring individuals or groups of individuals are given opportunities and resources that are proportional to their needs. Equity is distinct from equality in that it acknowledges that underrepresented groups may face different systemic barriers, and therefore may require additional support to overcome these barriers.</w:t>
      </w:r>
    </w:p>
    <w:p w14:paraId="535F6C68" w14:textId="1C330725" w:rsidR="00F82E5F" w:rsidRPr="00F82E5F" w:rsidRDefault="00F82E5F" w:rsidP="00F82E5F">
      <w:r w:rsidRPr="005B7609">
        <w:rPr>
          <w:rStyle w:val="Strong"/>
        </w:rPr>
        <w:t>External study</w:t>
      </w:r>
      <w:r>
        <w:rPr>
          <w:b/>
        </w:rPr>
        <w:t xml:space="preserve"> </w:t>
      </w:r>
      <w:r>
        <w:t>refers to student</w:t>
      </w:r>
      <w:r w:rsidR="0061682A">
        <w:t>s</w:t>
      </w:r>
      <w:r>
        <w:t xml:space="preserve"> studying outside the physical campus, by distance or online.</w:t>
      </w:r>
    </w:p>
    <w:p w14:paraId="710ECDDC" w14:textId="77777777" w:rsidR="0051019D" w:rsidRPr="00306207" w:rsidRDefault="0051019D" w:rsidP="00F82E5F">
      <w:pPr>
        <w:rPr>
          <w:b/>
        </w:rPr>
      </w:pPr>
      <w:r w:rsidRPr="005B7609">
        <w:rPr>
          <w:rStyle w:val="Strong"/>
        </w:rPr>
        <w:t>Higher education</w:t>
      </w:r>
      <w:r w:rsidRPr="00306207">
        <w:rPr>
          <w:b/>
        </w:rPr>
        <w:t xml:space="preserve"> </w:t>
      </w:r>
      <w:r w:rsidRPr="00306207">
        <w:t xml:space="preserve">is education delivered primarily through universities, as well as other approved higher education providers. Higher education leads to the award of a diploma, degree or doctorate qualification, delivered in accordance with the requirements of the Tertiary Education Quality and Standards Agency. </w:t>
      </w:r>
    </w:p>
    <w:p w14:paraId="5FFC691B" w14:textId="306CC978" w:rsidR="005B7609" w:rsidRDefault="000A0540" w:rsidP="0051019D">
      <w:r w:rsidRPr="005B7609">
        <w:rPr>
          <w:rStyle w:val="Strong"/>
        </w:rPr>
        <w:t>Higher</w:t>
      </w:r>
      <w:r w:rsidRPr="005B7609">
        <w:rPr>
          <w:rStyle w:val="Strong"/>
        </w:rPr>
        <w:noBreakHyphen/>
      </w:r>
      <w:r w:rsidR="0051019D" w:rsidRPr="005B7609">
        <w:rPr>
          <w:rStyle w:val="Strong"/>
        </w:rPr>
        <w:t>level VET qualifications</w:t>
      </w:r>
      <w:r w:rsidR="0051019D" w:rsidRPr="00306207">
        <w:rPr>
          <w:b/>
        </w:rPr>
        <w:t xml:space="preserve"> </w:t>
      </w:r>
      <w:r w:rsidR="0051019D" w:rsidRPr="00306207">
        <w:t xml:space="preserve">are identified as certificate IVs, diplomas, advanced diplomas, vocational graduate certificates and vocational graduate diplomas. </w:t>
      </w:r>
    </w:p>
    <w:p w14:paraId="5879E0BA" w14:textId="77777777" w:rsidR="005B7609" w:rsidRDefault="005B7609">
      <w:r>
        <w:br w:type="page"/>
      </w:r>
    </w:p>
    <w:p w14:paraId="18CDF641" w14:textId="77777777" w:rsidR="0051019D" w:rsidRPr="00306207" w:rsidRDefault="0051019D" w:rsidP="0051019D"/>
    <w:p w14:paraId="71591822" w14:textId="6B24D374" w:rsidR="0051019D" w:rsidRPr="00810792" w:rsidRDefault="0051019D" w:rsidP="00810792">
      <w:r w:rsidRPr="00810792">
        <w:rPr>
          <w:rStyle w:val="Strong"/>
        </w:rPr>
        <w:t>Low socioeconomic status</w:t>
      </w:r>
      <w:r w:rsidRPr="00306207">
        <w:t xml:space="preserve"> </w:t>
      </w:r>
      <w:r w:rsidR="00810792" w:rsidRPr="00810792">
        <w:t>a number of measures can be used in research and data analysis to estimate low, medium and high socioeconomic status. In higher education data, for example, the 2016 ABS Socioeconomic Indexes for Areas (SEIFA) Index of Education and Occupation is used to identify postcodes nationally as low (bottom 25% of the population), medium (middle 50%) or high (top 25%) socioeconomic status (SES).</w:t>
      </w:r>
    </w:p>
    <w:p w14:paraId="4AF6EBAE" w14:textId="77777777" w:rsidR="0051019D" w:rsidRPr="00306207" w:rsidRDefault="0051019D" w:rsidP="0051019D">
      <w:pPr>
        <w:rPr>
          <w:bCs/>
        </w:rPr>
      </w:pPr>
      <w:r w:rsidRPr="00810792">
        <w:rPr>
          <w:rStyle w:val="Strong"/>
        </w:rPr>
        <w:t>On-boarding</w:t>
      </w:r>
      <w:r w:rsidRPr="00306207">
        <w:rPr>
          <w:b/>
          <w:bCs/>
        </w:rPr>
        <w:t xml:space="preserve"> </w:t>
      </w:r>
      <w:r w:rsidRPr="00306207">
        <w:rPr>
          <w:bCs/>
        </w:rPr>
        <w:t xml:space="preserve">refers to the process of orienting individuals in a new context in a manner that aids retention and/or performance in the role. </w:t>
      </w:r>
    </w:p>
    <w:p w14:paraId="7DBC4515" w14:textId="1C574059" w:rsidR="0051019D" w:rsidRPr="00306207" w:rsidRDefault="00810792" w:rsidP="0051019D">
      <w:r w:rsidRPr="00810792">
        <w:rPr>
          <w:rStyle w:val="Strong"/>
        </w:rPr>
        <w:t>O</w:t>
      </w:r>
      <w:r w:rsidR="0051019D" w:rsidRPr="00810792">
        <w:rPr>
          <w:rStyle w:val="Strong"/>
        </w:rPr>
        <w:t>n Country</w:t>
      </w:r>
      <w:r w:rsidR="0051019D" w:rsidRPr="00306207">
        <w:rPr>
          <w:b/>
          <w:bCs/>
        </w:rPr>
        <w:t xml:space="preserve"> </w:t>
      </w:r>
      <w:r w:rsidR="0051019D" w:rsidRPr="00306207">
        <w:rPr>
          <w:bCs/>
        </w:rPr>
        <w:t>recognises</w:t>
      </w:r>
      <w:r w:rsidR="0051019D" w:rsidRPr="00306207">
        <w:rPr>
          <w:b/>
          <w:bCs/>
        </w:rPr>
        <w:t xml:space="preserve"> </w:t>
      </w:r>
      <w:r w:rsidR="0051019D" w:rsidRPr="00306207">
        <w:t>Indigenous Australians strong connection to their land. When Indigenous people use the English word 'Country' it is meant in a special way. For Indigenous people culture, nature and land are all linked. Indigenous communities have a cultural connection to the land, which is based on each community's distinct culture, traditions and laws. Country takes in everything within the landscape - landforms, waters, air, trees, rocks, plants, animals, foods, medicines, minerals, stories and special places. Community connections include cultural practices, knowledge, songs, stories and art, as well as all people: past, present and future.</w:t>
      </w:r>
      <w:r w:rsidR="0051019D" w:rsidRPr="00306207">
        <w:rPr>
          <w:rStyle w:val="FootnoteReference"/>
        </w:rPr>
        <w:footnoteReference w:id="217"/>
      </w:r>
      <w:r w:rsidR="0051019D" w:rsidRPr="00306207">
        <w:t xml:space="preserve"> </w:t>
      </w:r>
    </w:p>
    <w:p w14:paraId="3AB3236D" w14:textId="66DFB793" w:rsidR="0051019D" w:rsidRPr="004A18E3" w:rsidRDefault="0051019D" w:rsidP="0051019D">
      <w:pPr>
        <w:rPr>
          <w:b/>
        </w:rPr>
      </w:pPr>
      <w:r w:rsidRPr="00810792">
        <w:rPr>
          <w:rStyle w:val="Strong"/>
        </w:rPr>
        <w:t>Regional Study Hubs</w:t>
      </w:r>
      <w:r w:rsidRPr="00306207">
        <w:rPr>
          <w:b/>
        </w:rPr>
        <w:t xml:space="preserve"> </w:t>
      </w:r>
      <w:r w:rsidRPr="00306207">
        <w:t>provide infrastructure such as study spaces, video conferencing, computing facilities and internet access, as well as academic and some pastoral support for higher education students studying in RRR Australia via distance education. They also provide support for other students studying in RRR locations, for example, VET students in the local area may also access the facilities.</w:t>
      </w:r>
      <w:r w:rsidRPr="00306207">
        <w:rPr>
          <w:rStyle w:val="FootnoteReference"/>
        </w:rPr>
        <w:footnoteReference w:id="218"/>
      </w:r>
      <w:r w:rsidRPr="004A18E3">
        <w:rPr>
          <w:b/>
        </w:rPr>
        <w:t xml:space="preserve"> </w:t>
      </w:r>
    </w:p>
    <w:p w14:paraId="0562DC8D" w14:textId="2F92806F" w:rsidR="0051019D" w:rsidRDefault="0051019D" w:rsidP="0051019D">
      <w:r w:rsidRPr="00810792">
        <w:rPr>
          <w:rStyle w:val="Strong"/>
        </w:rPr>
        <w:t>Regional, rural and remote (RRR) areas</w:t>
      </w:r>
      <w:r w:rsidRPr="00306207">
        <w:t xml:space="preserve"> is a composite of the Australian Statistical Geography Standard (ASGS) remoteness structure and the Australian Bureau of Statistics Section of State (SOS) Structure. Terms “regional” or “remote” referring to specific classes of remoteness under the ASGS reflecting their relative access to services. “Rural” areas are typically associated with agricultural industries. The SOS Structure describes rural as any population not contained in an urban centre or locality. A composite approach is not uncommon. For example, the Australian Institute of Health and Welfare use the term ‘rural and remote’ to describe all areas outside of major cities. In Australia, 28.4% (6.8 million) of the population reside in RRR areas</w:t>
      </w:r>
      <w:r w:rsidR="00C07CB8">
        <w:t>.</w:t>
      </w:r>
      <w:r w:rsidRPr="00306207">
        <w:rPr>
          <w:vertAlign w:val="superscript"/>
        </w:rPr>
        <w:footnoteReference w:id="219"/>
      </w:r>
      <w:r w:rsidRPr="00306207">
        <w:t xml:space="preserve"> </w:t>
      </w:r>
    </w:p>
    <w:p w14:paraId="0A00429E" w14:textId="57A9E426" w:rsidR="00810792" w:rsidRDefault="00810792" w:rsidP="00810792">
      <w:r w:rsidRPr="00810792">
        <w:rPr>
          <w:rStyle w:val="Strong"/>
        </w:rPr>
        <w:t>Registered Training Organisations (RTOs)</w:t>
      </w:r>
      <w:r w:rsidRPr="00810792">
        <w:t xml:space="preserve"> are those training providers registered by the Australian Skills Quality Authority (or, in some cases, a state regulator) to deliver vocational education and training services. RTOs are recognised as providers of quality-assured and nationally recognised training and qualifications.</w:t>
      </w:r>
      <w:r>
        <w:rPr>
          <w:rStyle w:val="FootnoteReference"/>
        </w:rPr>
        <w:footnoteReference w:id="220"/>
      </w:r>
    </w:p>
    <w:p w14:paraId="2BA27753" w14:textId="77777777" w:rsidR="00810792" w:rsidRDefault="00810792">
      <w:r>
        <w:br w:type="page"/>
      </w:r>
    </w:p>
    <w:p w14:paraId="3CB3B96E" w14:textId="77777777" w:rsidR="0051019D" w:rsidRPr="00306207" w:rsidRDefault="0051019D" w:rsidP="0051019D">
      <w:r w:rsidRPr="00810792">
        <w:rPr>
          <w:rStyle w:val="Strong"/>
        </w:rPr>
        <w:lastRenderedPageBreak/>
        <w:t>Research infrastructure</w:t>
      </w:r>
      <w:r w:rsidRPr="00306207">
        <w:rPr>
          <w:b/>
        </w:rPr>
        <w:t xml:space="preserve"> </w:t>
      </w:r>
      <w:r w:rsidRPr="00306207">
        <w:t xml:space="preserve">comprises the nationally significant assets, facilities and services to support leading-edge research and innovation. It is accessible to publicly and privately funded users across Australia, and internationally. </w:t>
      </w:r>
      <w:r w:rsidRPr="00306207">
        <w:rPr>
          <w:rFonts w:cs="Myriad Pro Light"/>
          <w:color w:val="000000"/>
          <w:sz w:val="21"/>
          <w:szCs w:val="21"/>
        </w:rPr>
        <w:t>Australia’s existing national research infrastructure system comprises a highly effective network of facilities and projects under the National Collaborative Research Infrastructure Strategy (NCRIS), landmark facilities, including the Australian Synchrotron and the Open-Pool Australian Lightwater (OPAL) Research Reactor operated by publicly funded research agencies (PFRAs) and large-scale international collaborations such as the Square Kilometre Array (SKA).</w:t>
      </w:r>
      <w:r w:rsidRPr="00306207">
        <w:rPr>
          <w:rStyle w:val="FootnoteReference"/>
          <w:rFonts w:cs="Myriad Pro Light"/>
          <w:color w:val="000000"/>
          <w:sz w:val="21"/>
          <w:szCs w:val="21"/>
        </w:rPr>
        <w:footnoteReference w:id="221"/>
      </w:r>
    </w:p>
    <w:p w14:paraId="55DD913E" w14:textId="17BF7024" w:rsidR="0051019D" w:rsidRPr="00306207" w:rsidRDefault="0051019D" w:rsidP="0051019D">
      <w:pPr>
        <w:rPr>
          <w:b/>
        </w:rPr>
      </w:pPr>
      <w:r w:rsidRPr="00FD4800">
        <w:rPr>
          <w:rStyle w:val="Strong"/>
        </w:rPr>
        <w:t>Retention rate</w:t>
      </w:r>
      <w:r w:rsidRPr="00306207">
        <w:rPr>
          <w:b/>
        </w:rPr>
        <w:t xml:space="preserve"> </w:t>
      </w:r>
      <w:r w:rsidRPr="00306207">
        <w:t>is a measure of the proportion of students who continue their studies after their first year.</w:t>
      </w:r>
      <w:r w:rsidRPr="00306207">
        <w:rPr>
          <w:rStyle w:val="FootnoteReference"/>
        </w:rPr>
        <w:footnoteReference w:id="222"/>
      </w:r>
      <w:r w:rsidRPr="00306207">
        <w:t xml:space="preserve"> It is the opposite of </w:t>
      </w:r>
      <w:r w:rsidR="0065108C" w:rsidRPr="00306207">
        <w:t xml:space="preserve">the </w:t>
      </w:r>
      <w:r w:rsidRPr="00306207">
        <w:t xml:space="preserve">attrition rate. </w:t>
      </w:r>
    </w:p>
    <w:p w14:paraId="3019E106" w14:textId="2747B42C" w:rsidR="0051019D" w:rsidRPr="00306207" w:rsidRDefault="0051019D" w:rsidP="0051019D">
      <w:r w:rsidRPr="00FD4800">
        <w:rPr>
          <w:rStyle w:val="Strong"/>
        </w:rPr>
        <w:t>RRR students</w:t>
      </w:r>
      <w:r w:rsidRPr="00306207">
        <w:t xml:space="preserve"> include students from RRR locations as determined by the postcode of their permanent home residence at the time of enrolment (first address) as well as the postcode of their permanent home residence during their current year of study (current address)</w:t>
      </w:r>
      <w:r w:rsidR="00810792">
        <w:t>.</w:t>
      </w:r>
      <w:r w:rsidRPr="00306207">
        <w:rPr>
          <w:vertAlign w:val="superscript"/>
        </w:rPr>
        <w:footnoteReference w:id="223"/>
      </w:r>
      <w:r w:rsidRPr="00306207">
        <w:t xml:space="preserve"> </w:t>
      </w:r>
    </w:p>
    <w:p w14:paraId="6BDA736D" w14:textId="28B10F19" w:rsidR="0051019D" w:rsidRPr="00306207" w:rsidRDefault="0051019D" w:rsidP="0051019D">
      <w:r w:rsidRPr="00FD4800">
        <w:rPr>
          <w:rStyle w:val="Strong"/>
        </w:rPr>
        <w:t>RRR tertiary institutions</w:t>
      </w:r>
      <w:r w:rsidRPr="00306207">
        <w:rPr>
          <w:b/>
        </w:rPr>
        <w:t xml:space="preserve"> </w:t>
      </w:r>
      <w:r w:rsidRPr="00306207">
        <w:t>refer to VET/TAFE and university providers including Regional Study Hubs who have a permanent, physical presence (e.g. campus) in a regional, rural and/or remote area. It is acknowledged that many tertiary institutions also have a digital presence in RRR loca</w:t>
      </w:r>
      <w:r w:rsidR="0061682A">
        <w:t>tions</w:t>
      </w:r>
      <w:r w:rsidRPr="00306207">
        <w:t xml:space="preserve"> via the internet, however for the purposes of this Strategy, reference to RRR tertiary institutions centres on those with physical facilities.</w:t>
      </w:r>
    </w:p>
    <w:p w14:paraId="368B0B0B" w14:textId="77777777" w:rsidR="0051019D" w:rsidRPr="00306207" w:rsidRDefault="0051019D" w:rsidP="0051019D">
      <w:r w:rsidRPr="00FD4800">
        <w:rPr>
          <w:rStyle w:val="Strong"/>
        </w:rPr>
        <w:t>Student</w:t>
      </w:r>
      <w:r w:rsidRPr="00FD4800">
        <w:rPr>
          <w:rStyle w:val="Strong"/>
          <w:b w:val="0"/>
        </w:rPr>
        <w:t xml:space="preserve"> </w:t>
      </w:r>
      <w:r w:rsidRPr="00306207">
        <w:t>refers to both young people and adults who are potential or current participants in tertiary education.</w:t>
      </w:r>
    </w:p>
    <w:p w14:paraId="0F3374F3" w14:textId="77777777" w:rsidR="0051019D" w:rsidRPr="00306207" w:rsidRDefault="0051019D" w:rsidP="0051019D">
      <w:r w:rsidRPr="00FD4800">
        <w:rPr>
          <w:rStyle w:val="Strong"/>
        </w:rPr>
        <w:t>Technical and Further Education (TAFE)</w:t>
      </w:r>
      <w:r w:rsidRPr="00306207">
        <w:t xml:space="preserve"> providers are state and territory government-funded VET providers.</w:t>
      </w:r>
    </w:p>
    <w:p w14:paraId="441A3A7C" w14:textId="77777777" w:rsidR="0051019D" w:rsidRPr="00306207" w:rsidRDefault="0051019D" w:rsidP="0051019D">
      <w:r w:rsidRPr="00FD4800">
        <w:rPr>
          <w:rStyle w:val="Strong"/>
          <w:b w:val="0"/>
        </w:rPr>
        <w:t>Tertiary education</w:t>
      </w:r>
      <w:r w:rsidRPr="00306207">
        <w:rPr>
          <w:b/>
        </w:rPr>
        <w:t xml:space="preserve"> </w:t>
      </w:r>
      <w:r w:rsidRPr="00306207">
        <w:t>refers to education and training delivered through Australia’s VET system or its higher education system, which includes universities.</w:t>
      </w:r>
    </w:p>
    <w:p w14:paraId="3D428755" w14:textId="77777777" w:rsidR="0051019D" w:rsidRDefault="0051019D" w:rsidP="0051019D">
      <w:r w:rsidRPr="00FD4800">
        <w:rPr>
          <w:rStyle w:val="Strong"/>
        </w:rPr>
        <w:t>Vocational education and training (VET)</w:t>
      </w:r>
      <w:r w:rsidRPr="00306207">
        <w:t xml:space="preserve"> provides skills and knowledge for work through a national system of registered training organisations, provided by a network of industry, public and private training providers that work together to provide nationally consistent training.</w:t>
      </w:r>
      <w:r w:rsidRPr="00330888">
        <w:t xml:space="preserve"> </w:t>
      </w:r>
    </w:p>
    <w:p w14:paraId="12E8C3F6" w14:textId="00685270" w:rsidR="004B09D6" w:rsidRPr="002E55E8" w:rsidRDefault="004B09D6"/>
    <w:sectPr w:rsidR="004B09D6" w:rsidRPr="002E55E8" w:rsidSect="00CA4BD4">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25DAF2" w16cid:durableId="20A90DB2"/>
  <w16cid:commentId w16cid:paraId="2F5C7680" w16cid:durableId="20A90DB3"/>
  <w16cid:commentId w16cid:paraId="232EFF89" w16cid:durableId="20A90DB4"/>
  <w16cid:commentId w16cid:paraId="4912AA06" w16cid:durableId="20A90DB5"/>
  <w16cid:commentId w16cid:paraId="0E9A19B2" w16cid:durableId="20A90DB6"/>
  <w16cid:commentId w16cid:paraId="5006CA80" w16cid:durableId="20A949D8"/>
  <w16cid:commentId w16cid:paraId="31A0DCAD" w16cid:durableId="20A90DB7"/>
  <w16cid:commentId w16cid:paraId="02B49239" w16cid:durableId="20A90DB8"/>
  <w16cid:commentId w16cid:paraId="6BC00079" w16cid:durableId="20A90DB9"/>
  <w16cid:commentId w16cid:paraId="748E3E17" w16cid:durableId="20A90DBA"/>
  <w16cid:commentId w16cid:paraId="6817204F" w16cid:durableId="20A94A6C"/>
  <w16cid:commentId w16cid:paraId="0D2B72D7" w16cid:durableId="20A90DBB"/>
  <w16cid:commentId w16cid:paraId="6153BCF6" w16cid:durableId="20A90DBC"/>
  <w16cid:commentId w16cid:paraId="36D4E1AF" w16cid:durableId="20A9521F"/>
  <w16cid:commentId w16cid:paraId="3C40B21F" w16cid:durableId="20A90DBD"/>
  <w16cid:commentId w16cid:paraId="4C0D0AFE" w16cid:durableId="20A954F9"/>
  <w16cid:commentId w16cid:paraId="085AD70A" w16cid:durableId="20A90DBE"/>
  <w16cid:commentId w16cid:paraId="77818EAC" w16cid:durableId="20A95A44"/>
  <w16cid:commentId w16cid:paraId="741B0460" w16cid:durableId="20A90DBF"/>
  <w16cid:commentId w16cid:paraId="2B6BE746" w16cid:durableId="20A90DC0"/>
  <w16cid:commentId w16cid:paraId="07212A61" w16cid:durableId="20A90DC1"/>
  <w16cid:commentId w16cid:paraId="585662B3" w16cid:durableId="20A90DC2"/>
  <w16cid:commentId w16cid:paraId="263A6F94" w16cid:durableId="20A90DC3"/>
  <w16cid:commentId w16cid:paraId="1DB17FA8" w16cid:durableId="20A90DC4"/>
  <w16cid:commentId w16cid:paraId="1DED951B" w16cid:durableId="20A90DC5"/>
  <w16cid:commentId w16cid:paraId="619DD795" w16cid:durableId="20A90DC6"/>
  <w16cid:commentId w16cid:paraId="0C1515BF" w16cid:durableId="20A90DC7"/>
  <w16cid:commentId w16cid:paraId="1454ECE6" w16cid:durableId="20A90DC8"/>
  <w16cid:commentId w16cid:paraId="73C908DD" w16cid:durableId="20A90DC9"/>
  <w16cid:commentId w16cid:paraId="7008590E" w16cid:durableId="20A90DCA"/>
  <w16cid:commentId w16cid:paraId="7BDEB885" w16cid:durableId="20A90DCB"/>
  <w16cid:commentId w16cid:paraId="6B4A912A" w16cid:durableId="20A90DCC"/>
  <w16cid:commentId w16cid:paraId="00D9D6F9" w16cid:durableId="20A90DCD"/>
  <w16cid:commentId w16cid:paraId="08977C3E" w16cid:durableId="20A90DCE"/>
  <w16cid:commentId w16cid:paraId="10B8E21A" w16cid:durableId="20A90DCF"/>
  <w16cid:commentId w16cid:paraId="4BEB7318" w16cid:durableId="20A90DD0"/>
  <w16cid:commentId w16cid:paraId="263CC5FB" w16cid:durableId="20A90DD1"/>
  <w16cid:commentId w16cid:paraId="078BA9B5" w16cid:durableId="20A95BBB"/>
  <w16cid:commentId w16cid:paraId="5C620CD6" w16cid:durableId="20A90DD2"/>
  <w16cid:commentId w16cid:paraId="7AF376C6" w16cid:durableId="20A90DD3"/>
  <w16cid:commentId w16cid:paraId="56C3BB2E" w16cid:durableId="20A90DD4"/>
  <w16cid:commentId w16cid:paraId="331EF0AB" w16cid:durableId="20A95D37"/>
  <w16cid:commentId w16cid:paraId="60807F48" w16cid:durableId="20A90DD5"/>
  <w16cid:commentId w16cid:paraId="4E8B9511" w16cid:durableId="20A95E0F"/>
  <w16cid:commentId w16cid:paraId="1764397D" w16cid:durableId="20A90DD6"/>
  <w16cid:commentId w16cid:paraId="27046C8E" w16cid:durableId="20A90DD7"/>
  <w16cid:commentId w16cid:paraId="76971C4F" w16cid:durableId="20A90DD8"/>
  <w16cid:commentId w16cid:paraId="7BB4E06D" w16cid:durableId="20A90DD9"/>
  <w16cid:commentId w16cid:paraId="6646F3E8" w16cid:durableId="20A90DDA"/>
  <w16cid:commentId w16cid:paraId="52DC817E" w16cid:durableId="20A90DDB"/>
  <w16cid:commentId w16cid:paraId="24A8C5AA" w16cid:durableId="20A90DDC"/>
  <w16cid:commentId w16cid:paraId="25DE2DA8" w16cid:durableId="20A90DDD"/>
  <w16cid:commentId w16cid:paraId="570A2A17" w16cid:durableId="20A90DDE"/>
  <w16cid:commentId w16cid:paraId="65B9FAFF" w16cid:durableId="20A962B6"/>
  <w16cid:commentId w16cid:paraId="6D1C5D86" w16cid:durableId="20A90DDF"/>
  <w16cid:commentId w16cid:paraId="46CEB8C2" w16cid:durableId="20A90DE0"/>
  <w16cid:commentId w16cid:paraId="49BDEA36" w16cid:durableId="20A90DE1"/>
  <w16cid:commentId w16cid:paraId="3A8A3688" w16cid:durableId="20A90DE2"/>
  <w16cid:commentId w16cid:paraId="6A010749" w16cid:durableId="20A90DE3"/>
  <w16cid:commentId w16cid:paraId="2994042D" w16cid:durableId="20A9656F"/>
  <w16cid:commentId w16cid:paraId="35F69C59" w16cid:durableId="20A90DE4"/>
  <w16cid:commentId w16cid:paraId="60E95CB4" w16cid:durableId="20A96624"/>
  <w16cid:commentId w16cid:paraId="1553D476" w16cid:durableId="20A90DE5"/>
  <w16cid:commentId w16cid:paraId="50AAF003" w16cid:durableId="20A90DE6"/>
  <w16cid:commentId w16cid:paraId="6D437361" w16cid:durableId="20A90DE7"/>
  <w16cid:commentId w16cid:paraId="637671E4" w16cid:durableId="20A90DE8"/>
  <w16cid:commentId w16cid:paraId="6A106B9D" w16cid:durableId="20A90DE9"/>
  <w16cid:commentId w16cid:paraId="6A75739F" w16cid:durableId="20A90DEA"/>
  <w16cid:commentId w16cid:paraId="10D32FD2" w16cid:durableId="20A90DEB"/>
  <w16cid:commentId w16cid:paraId="19FCD717" w16cid:durableId="20A90DEC"/>
  <w16cid:commentId w16cid:paraId="13D45511" w16cid:durableId="20A90DED"/>
  <w16cid:commentId w16cid:paraId="2099A3F0" w16cid:durableId="20A90DEE"/>
  <w16cid:commentId w16cid:paraId="0B663DC4" w16cid:durableId="20A90DEF"/>
  <w16cid:commentId w16cid:paraId="00CBD3F2" w16cid:durableId="20A90DF0"/>
  <w16cid:commentId w16cid:paraId="364B8B81" w16cid:durableId="20A90DF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23589" w14:textId="77777777" w:rsidR="007331AF" w:rsidRDefault="007331AF" w:rsidP="00FF415A">
      <w:pPr>
        <w:spacing w:after="0" w:line="240" w:lineRule="auto"/>
      </w:pPr>
      <w:r>
        <w:separator/>
      </w:r>
    </w:p>
  </w:endnote>
  <w:endnote w:type="continuationSeparator" w:id="0">
    <w:p w14:paraId="6F4DDFCC" w14:textId="77777777" w:rsidR="007331AF" w:rsidRDefault="007331AF" w:rsidP="00FF415A">
      <w:pPr>
        <w:spacing w:after="0" w:line="240" w:lineRule="auto"/>
      </w:pPr>
      <w:r>
        <w:continuationSeparator/>
      </w:r>
    </w:p>
  </w:endnote>
  <w:endnote w:type="continuationNotice" w:id="1">
    <w:p w14:paraId="693ADE40" w14:textId="77777777" w:rsidR="007331AF" w:rsidRDefault="007331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Neue LT 45 Light">
    <w:altName w:val="HelveticaNeue LT 45 Light"/>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ansa Soft Pro">
    <w:altName w:val="Calibri"/>
    <w:panose1 w:val="00000000000000000000"/>
    <w:charset w:val="00"/>
    <w:family w:val="swiss"/>
    <w:notTrueType/>
    <w:pitch w:val="default"/>
    <w:sig w:usb0="00000003" w:usb1="00000000" w:usb2="00000000" w:usb3="00000000" w:csb0="00000001" w:csb1="00000000"/>
  </w:font>
  <w:font w:name="Futura Std Book">
    <w:altName w:val="Century Gothic"/>
    <w:panose1 w:val="00000000000000000000"/>
    <w:charset w:val="00"/>
    <w:family w:val="swiss"/>
    <w:notTrueType/>
    <w:pitch w:val="default"/>
    <w:sig w:usb0="00000003" w:usb1="00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 w:name="HelveticaNeueLT-Medium">
    <w:panose1 w:val="00000000000000000000"/>
    <w:charset w:val="00"/>
    <w:family w:val="swiss"/>
    <w:notTrueType/>
    <w:pitch w:val="default"/>
    <w:sig w:usb0="00000003" w:usb1="00000000" w:usb2="00000000" w:usb3="00000000" w:csb0="00000001" w:csb1="00000000"/>
  </w:font>
  <w:font w:name="HelveticaNeue LT 35 Thin">
    <w:altName w:val="Times New Roman"/>
    <w:charset w:val="00"/>
    <w:family w:val="roman"/>
    <w:pitch w:val="variable"/>
  </w:font>
  <w:font w:name="HelveticaNeue LT 65 Medium">
    <w:altName w:val="HelveticaNeue LT 65 Medium"/>
    <w:charset w:val="00"/>
    <w:family w:val="roman"/>
    <w:pitch w:val="variable"/>
    <w:sig w:usb0="00000003" w:usb1="08070000" w:usb2="00000010" w:usb3="00000000" w:csb0="00020001" w:csb1="00000000"/>
  </w:font>
  <w:font w:name="DengXian Light">
    <w:altName w:val="等线 Light"/>
    <w:panose1 w:val="00000000000000000000"/>
    <w:charset w:val="86"/>
    <w:family w:val="roman"/>
    <w:notTrueType/>
    <w:pitch w:val="default"/>
  </w:font>
  <w:font w:name="Myriad Pro Light">
    <w:altName w:val="Myriad Pro Light"/>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F921D" w14:textId="55F3AD51" w:rsidR="007331AF" w:rsidRDefault="007331AF" w:rsidP="00DD490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1819880"/>
      <w:docPartObj>
        <w:docPartGallery w:val="Page Numbers (Bottom of Page)"/>
        <w:docPartUnique/>
      </w:docPartObj>
    </w:sdtPr>
    <w:sdtEndPr>
      <w:rPr>
        <w:noProof/>
      </w:rPr>
    </w:sdtEndPr>
    <w:sdtContent>
      <w:p w14:paraId="78B42EEA" w14:textId="31D296F9" w:rsidR="007331AF" w:rsidRDefault="007331AF">
        <w:pPr>
          <w:pStyle w:val="Footer"/>
          <w:jc w:val="right"/>
        </w:pPr>
        <w:r>
          <w:fldChar w:fldCharType="begin"/>
        </w:r>
        <w:r>
          <w:instrText xml:space="preserve"> PAGE   \* MERGEFORMAT </w:instrText>
        </w:r>
        <w:r>
          <w:fldChar w:fldCharType="separate"/>
        </w:r>
        <w:r w:rsidR="000652D9">
          <w:rPr>
            <w:noProof/>
          </w:rPr>
          <w:t>1</w:t>
        </w:r>
        <w:r>
          <w:rPr>
            <w:noProof/>
          </w:rPr>
          <w:fldChar w:fldCharType="end"/>
        </w:r>
      </w:p>
    </w:sdtContent>
  </w:sdt>
  <w:p w14:paraId="4E18ACBC" w14:textId="77777777" w:rsidR="007331AF" w:rsidRDefault="007331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482583"/>
      <w:docPartObj>
        <w:docPartGallery w:val="Page Numbers (Bottom of Page)"/>
        <w:docPartUnique/>
      </w:docPartObj>
    </w:sdtPr>
    <w:sdtEndPr>
      <w:rPr>
        <w:noProof/>
        <w:sz w:val="16"/>
        <w:szCs w:val="16"/>
      </w:rPr>
    </w:sdtEndPr>
    <w:sdtContent>
      <w:p w14:paraId="3F8DB462" w14:textId="326104C4" w:rsidR="007331AF" w:rsidRDefault="007331AF" w:rsidP="00970C85">
        <w:pPr>
          <w:pStyle w:val="Footer"/>
          <w:tabs>
            <w:tab w:val="clear" w:pos="9026"/>
            <w:tab w:val="left" w:pos="6379"/>
            <w:tab w:val="left" w:pos="7371"/>
          </w:tabs>
          <w:jc w:val="right"/>
        </w:pPr>
        <w:r w:rsidRPr="00970C85">
          <w:rPr>
            <w:rFonts w:cstheme="minorHAnsi"/>
            <w:sz w:val="16"/>
            <w:szCs w:val="16"/>
          </w:rPr>
          <w:t xml:space="preserve">National Regional, Rural and Remote Tertiary Education Strategy | </w:t>
        </w:r>
        <w:r w:rsidRPr="00970C85">
          <w:rPr>
            <w:rFonts w:cstheme="minorHAnsi"/>
            <w:b/>
            <w:sz w:val="16"/>
            <w:szCs w:val="16"/>
          </w:rPr>
          <w:t>Final Report</w:t>
        </w:r>
        <w:r>
          <w:rPr>
            <w:rFonts w:ascii="HelveticaNeueLT-Medium" w:hAnsi="HelveticaNeueLT-Medium" w:cs="HelveticaNeueLT-Medium"/>
            <w:sz w:val="16"/>
            <w:szCs w:val="16"/>
          </w:rPr>
          <w:tab/>
        </w:r>
        <w:r w:rsidRPr="00BF622D">
          <w:rPr>
            <w:sz w:val="16"/>
            <w:szCs w:val="16"/>
          </w:rPr>
          <w:fldChar w:fldCharType="begin"/>
        </w:r>
        <w:r w:rsidRPr="00BF622D">
          <w:rPr>
            <w:sz w:val="16"/>
            <w:szCs w:val="16"/>
          </w:rPr>
          <w:instrText xml:space="preserve"> PAGE   \* MERGEFORMAT </w:instrText>
        </w:r>
        <w:r w:rsidRPr="00BF622D">
          <w:rPr>
            <w:sz w:val="16"/>
            <w:szCs w:val="16"/>
          </w:rPr>
          <w:fldChar w:fldCharType="separate"/>
        </w:r>
        <w:r w:rsidR="000652D9">
          <w:rPr>
            <w:noProof/>
            <w:sz w:val="16"/>
            <w:szCs w:val="16"/>
          </w:rPr>
          <w:t>15</w:t>
        </w:r>
        <w:r w:rsidRPr="00BF622D">
          <w:rPr>
            <w:noProof/>
            <w:sz w:val="16"/>
            <w:szCs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5CECA" w14:textId="1F3BC947" w:rsidR="007331AF" w:rsidRDefault="007331AF">
    <w:pPr>
      <w:pStyle w:val="BodyText"/>
      <w:spacing w:line="14" w:lineRule="auto"/>
      <w:rPr>
        <w:sz w:val="20"/>
      </w:rPr>
    </w:pPr>
    <w:r>
      <w:rPr>
        <w:noProof/>
        <w:sz w:val="21"/>
      </w:rPr>
      <mc:AlternateContent>
        <mc:Choice Requires="wps">
          <w:drawing>
            <wp:anchor distT="0" distB="0" distL="114300" distR="114300" simplePos="0" relativeHeight="251659264" behindDoc="1" locked="0" layoutInCell="1" allowOverlap="1" wp14:anchorId="75878FA6" wp14:editId="10301254">
              <wp:simplePos x="0" y="0"/>
              <wp:positionH relativeFrom="page">
                <wp:posOffset>5966460</wp:posOffset>
              </wp:positionH>
              <wp:positionV relativeFrom="page">
                <wp:posOffset>6983095</wp:posOffset>
              </wp:positionV>
              <wp:extent cx="3370580" cy="144780"/>
              <wp:effectExtent l="3810" t="1270" r="0" b="0"/>
              <wp:wrapNone/>
              <wp:docPr id="3395" name="Text Box 3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58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35EE1" w14:textId="77777777" w:rsidR="007331AF" w:rsidRDefault="007331AF">
                          <w:pPr>
                            <w:spacing w:before="20"/>
                            <w:ind w:left="20"/>
                            <w:rPr>
                              <w:rFonts w:ascii="HelveticaNeue LT 65 Medium"/>
                              <w:sz w:val="16"/>
                            </w:rPr>
                          </w:pPr>
                          <w:r>
                            <w:rPr>
                              <w:rFonts w:ascii="HelveticaNeue LT 35 Thin"/>
                              <w:color w:val="231F20"/>
                              <w:sz w:val="16"/>
                            </w:rPr>
                            <w:t xml:space="preserve">National Regional, Rural and Remote Tertiary Education Strategy | </w:t>
                          </w:r>
                          <w:r>
                            <w:rPr>
                              <w:rFonts w:ascii="HelveticaNeue LT 65 Medium"/>
                              <w:color w:val="231F20"/>
                              <w:sz w:val="16"/>
                            </w:rPr>
                            <w:t>Final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78FA6" id="_x0000_t202" coordsize="21600,21600" o:spt="202" path="m,l,21600r21600,l21600,xe">
              <v:stroke joinstyle="miter"/>
              <v:path gradientshapeok="t" o:connecttype="rect"/>
            </v:shapetype>
            <v:shape id="Text Box 3395" o:spid="_x0000_s1028" type="#_x0000_t202" style="position:absolute;margin-left:469.8pt;margin-top:549.85pt;width:265.4pt;height:1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" filled="f" stroked="f">
              <v:textbox inset="0,0,0,0">
                <w:txbxContent>
                  <w:p w14:paraId="0BB35EE1" w14:textId="77777777" w:rsidR="007331AF" w:rsidRDefault="007331AF">
                    <w:pPr>
                      <w:spacing w:before="20"/>
                      <w:ind w:left="20"/>
                      <w:rPr>
                        <w:rFonts w:ascii="HelveticaNeue LT 65 Medium"/>
                        <w:sz w:val="16"/>
                      </w:rPr>
                    </w:pPr>
                    <w:r>
                      <w:rPr>
                        <w:rFonts w:ascii="HelveticaNeue LT 35 Thin"/>
                        <w:color w:val="231F20"/>
                        <w:sz w:val="16"/>
                      </w:rPr>
                      <w:t xml:space="preserve">National Regional, Rural and Remote Tertiary Education Strategy | </w:t>
                    </w:r>
                    <w:r>
                      <w:rPr>
                        <w:rFonts w:ascii="HelveticaNeue LT 65 Medium"/>
                        <w:color w:val="231F20"/>
                        <w:sz w:val="16"/>
                      </w:rPr>
                      <w:t>Final Report</w:t>
                    </w:r>
                  </w:p>
                </w:txbxContent>
              </v:textbox>
              <w10:wrap anchorx="page" anchory="page"/>
            </v:shape>
          </w:pict>
        </mc:Fallback>
      </mc:AlternateContent>
    </w:r>
    <w:r>
      <w:rPr>
        <w:noProof/>
        <w:sz w:val="21"/>
      </w:rPr>
      <mc:AlternateContent>
        <mc:Choice Requires="wps">
          <w:drawing>
            <wp:anchor distT="0" distB="0" distL="114300" distR="114300" simplePos="0" relativeHeight="251660288" behindDoc="1" locked="0" layoutInCell="1" allowOverlap="1" wp14:anchorId="6C9ED2FB" wp14:editId="640EE16F">
              <wp:simplePos x="0" y="0"/>
              <wp:positionH relativeFrom="page">
                <wp:posOffset>9761855</wp:posOffset>
              </wp:positionH>
              <wp:positionV relativeFrom="page">
                <wp:posOffset>6982460</wp:posOffset>
              </wp:positionV>
              <wp:extent cx="163830" cy="144780"/>
              <wp:effectExtent l="0" t="635"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A212E" w14:textId="77777777" w:rsidR="007331AF" w:rsidRDefault="007331AF">
                          <w:pPr>
                            <w:spacing w:before="20"/>
                            <w:ind w:left="40"/>
                            <w:rPr>
                              <w:rFonts w:ascii="HelveticaNeue LT 65 Medium"/>
                              <w:sz w:val="16"/>
                            </w:rPr>
                          </w:pPr>
                          <w:r>
                            <w:fldChar w:fldCharType="begin"/>
                          </w:r>
                          <w:r>
                            <w:rPr>
                              <w:rFonts w:ascii="HelveticaNeue LT 65 Medium"/>
                              <w:color w:val="231F20"/>
                              <w:sz w:val="16"/>
                            </w:rPr>
                            <w:instrText xml:space="preserve"> PAGE </w:instrText>
                          </w:r>
                          <w:r>
                            <w:fldChar w:fldCharType="separate"/>
                          </w:r>
                          <w:r>
                            <w:rPr>
                              <w:rFonts w:ascii="HelveticaNeue LT 65 Medium"/>
                              <w:noProof/>
                              <w:color w:val="231F20"/>
                              <w:sz w:val="16"/>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ED2FB" id="Text Box 29" o:spid="_x0000_s1029" type="#_x0000_t202" style="position:absolute;margin-left:768.65pt;margin-top:549.8pt;width:12.9pt;height:1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mMsgIAALE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" filled="f" stroked="f">
              <v:textbox inset="0,0,0,0">
                <w:txbxContent>
                  <w:p w14:paraId="1CAA212E" w14:textId="77777777" w:rsidR="007331AF" w:rsidRDefault="007331AF">
                    <w:pPr>
                      <w:spacing w:before="20"/>
                      <w:ind w:left="40"/>
                      <w:rPr>
                        <w:rFonts w:ascii="HelveticaNeue LT 65 Medium"/>
                        <w:sz w:val="16"/>
                      </w:rPr>
                    </w:pPr>
                    <w:r>
                      <w:fldChar w:fldCharType="begin"/>
                    </w:r>
                    <w:r>
                      <w:rPr>
                        <w:rFonts w:ascii="HelveticaNeue LT 65 Medium"/>
                        <w:color w:val="231F20"/>
                        <w:sz w:val="16"/>
                      </w:rPr>
                      <w:instrText xml:space="preserve"> PAGE </w:instrText>
                    </w:r>
                    <w:r>
                      <w:fldChar w:fldCharType="separate"/>
                    </w:r>
                    <w:r>
                      <w:rPr>
                        <w:rFonts w:ascii="HelveticaNeue LT 65 Medium"/>
                        <w:noProof/>
                        <w:color w:val="231F20"/>
                        <w:sz w:val="16"/>
                      </w:rPr>
                      <w:t>68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993355"/>
      <w:docPartObj>
        <w:docPartGallery w:val="Page Numbers (Bottom of Page)"/>
        <w:docPartUnique/>
      </w:docPartObj>
    </w:sdtPr>
    <w:sdtEndPr>
      <w:rPr>
        <w:noProof/>
        <w:sz w:val="16"/>
        <w:szCs w:val="16"/>
      </w:rPr>
    </w:sdtEndPr>
    <w:sdtContent>
      <w:p w14:paraId="0C14866E" w14:textId="5A04FB8C" w:rsidR="007331AF" w:rsidRPr="004B2767" w:rsidRDefault="007331AF">
        <w:pPr>
          <w:pStyle w:val="Footer"/>
          <w:jc w:val="right"/>
          <w:rPr>
            <w:sz w:val="16"/>
            <w:szCs w:val="16"/>
          </w:rPr>
        </w:pPr>
        <w:r w:rsidRPr="004B2767">
          <w:rPr>
            <w:sz w:val="16"/>
            <w:szCs w:val="16"/>
          </w:rPr>
          <w:fldChar w:fldCharType="begin"/>
        </w:r>
        <w:r w:rsidRPr="004B2767">
          <w:rPr>
            <w:sz w:val="16"/>
            <w:szCs w:val="16"/>
          </w:rPr>
          <w:instrText xml:space="preserve"> PAGE   \* MERGEFORMAT </w:instrText>
        </w:r>
        <w:r w:rsidRPr="004B2767">
          <w:rPr>
            <w:sz w:val="16"/>
            <w:szCs w:val="16"/>
          </w:rPr>
          <w:fldChar w:fldCharType="separate"/>
        </w:r>
        <w:r w:rsidR="000652D9">
          <w:rPr>
            <w:noProof/>
            <w:sz w:val="16"/>
            <w:szCs w:val="16"/>
          </w:rPr>
          <w:t>64</w:t>
        </w:r>
        <w:r w:rsidRPr="004B2767">
          <w:rPr>
            <w:noProof/>
            <w:sz w:val="16"/>
            <w:szCs w:val="16"/>
          </w:rPr>
          <w:fldChar w:fldCharType="end"/>
        </w:r>
      </w:p>
    </w:sdtContent>
  </w:sdt>
  <w:p w14:paraId="2E67B9B0" w14:textId="45AD6207" w:rsidR="007331AF" w:rsidRDefault="007331AF" w:rsidP="004B2767">
    <w:pPr>
      <w:pStyle w:val="BodyText"/>
      <w:tabs>
        <w:tab w:val="left" w:pos="11655"/>
      </w:tabs>
      <w:spacing w:line="14" w:lineRule="auto"/>
      <w:rPr>
        <w:sz w:val="20"/>
      </w:rPr>
    </w:pPr>
    <w:r>
      <w:rPr>
        <w:sz w:val="20"/>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F1099" w14:textId="24146C05" w:rsidR="007331AF" w:rsidRDefault="007331AF">
    <w:pPr>
      <w:pStyle w:val="BodyText"/>
      <w:spacing w:line="14" w:lineRule="auto"/>
      <w:rPr>
        <w:sz w:val="20"/>
      </w:rPr>
    </w:pPr>
    <w:r>
      <w:rPr>
        <w:noProof/>
        <w:sz w:val="21"/>
      </w:rPr>
      <mc:AlternateContent>
        <mc:Choice Requires="wps">
          <w:drawing>
            <wp:anchor distT="0" distB="0" distL="114300" distR="114300" simplePos="0" relativeHeight="251663360" behindDoc="1" locked="0" layoutInCell="1" allowOverlap="1" wp14:anchorId="5F979B97" wp14:editId="5F283209">
              <wp:simplePos x="0" y="0"/>
              <wp:positionH relativeFrom="page">
                <wp:posOffset>5966460</wp:posOffset>
              </wp:positionH>
              <wp:positionV relativeFrom="page">
                <wp:posOffset>6983095</wp:posOffset>
              </wp:positionV>
              <wp:extent cx="3370580" cy="144780"/>
              <wp:effectExtent l="3810" t="127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58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4AE84" w14:textId="77777777" w:rsidR="007331AF" w:rsidRDefault="007331AF">
                          <w:pPr>
                            <w:spacing w:before="20"/>
                            <w:ind w:left="20"/>
                            <w:rPr>
                              <w:rFonts w:ascii="HelveticaNeue LT 65 Medium"/>
                              <w:sz w:val="16"/>
                            </w:rPr>
                          </w:pPr>
                          <w:r>
                            <w:rPr>
                              <w:rFonts w:ascii="HelveticaNeue LT 35 Thin"/>
                              <w:color w:val="231F20"/>
                              <w:sz w:val="16"/>
                            </w:rPr>
                            <w:t xml:space="preserve">National Regional, Rural and Remote Tertiary Education Strategy | </w:t>
                          </w:r>
                          <w:r>
                            <w:rPr>
                              <w:rFonts w:ascii="HelveticaNeue LT 65 Medium"/>
                              <w:color w:val="231F20"/>
                              <w:sz w:val="16"/>
                            </w:rPr>
                            <w:t>Final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79B97" id="_x0000_t202" coordsize="21600,21600" o:spt="202" path="m,l,21600r21600,l21600,xe">
              <v:stroke joinstyle="miter"/>
              <v:path gradientshapeok="t" o:connecttype="rect"/>
            </v:shapetype>
            <v:shape id="Text Box 26" o:spid="_x0000_s1030" type="#_x0000_t202" style="position:absolute;margin-left:469.8pt;margin-top:549.85pt;width:265.4pt;height:1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" filled="f" stroked="f">
              <v:textbox inset="0,0,0,0">
                <w:txbxContent>
                  <w:p w14:paraId="38B4AE84" w14:textId="77777777" w:rsidR="007331AF" w:rsidRDefault="007331AF">
                    <w:pPr>
                      <w:spacing w:before="20"/>
                      <w:ind w:left="20"/>
                      <w:rPr>
                        <w:rFonts w:ascii="HelveticaNeue LT 65 Medium"/>
                        <w:sz w:val="16"/>
                      </w:rPr>
                    </w:pPr>
                    <w:r>
                      <w:rPr>
                        <w:rFonts w:ascii="HelveticaNeue LT 35 Thin"/>
                        <w:color w:val="231F20"/>
                        <w:sz w:val="16"/>
                      </w:rPr>
                      <w:t xml:space="preserve">National Regional, Rural and Remote Tertiary Education Strategy | </w:t>
                    </w:r>
                    <w:r>
                      <w:rPr>
                        <w:rFonts w:ascii="HelveticaNeue LT 65 Medium"/>
                        <w:color w:val="231F20"/>
                        <w:sz w:val="16"/>
                      </w:rPr>
                      <w:t>Final Report</w:t>
                    </w:r>
                  </w:p>
                </w:txbxContent>
              </v:textbox>
              <w10:wrap anchorx="page" anchory="page"/>
            </v:shape>
          </w:pict>
        </mc:Fallback>
      </mc:AlternateContent>
    </w:r>
    <w:r>
      <w:rPr>
        <w:noProof/>
        <w:sz w:val="21"/>
      </w:rPr>
      <mc:AlternateContent>
        <mc:Choice Requires="wps">
          <w:drawing>
            <wp:anchor distT="0" distB="0" distL="114300" distR="114300" simplePos="0" relativeHeight="251664384" behindDoc="1" locked="0" layoutInCell="1" allowOverlap="1" wp14:anchorId="5638D023" wp14:editId="100606D8">
              <wp:simplePos x="0" y="0"/>
              <wp:positionH relativeFrom="page">
                <wp:posOffset>9761855</wp:posOffset>
              </wp:positionH>
              <wp:positionV relativeFrom="page">
                <wp:posOffset>6982460</wp:posOffset>
              </wp:positionV>
              <wp:extent cx="163830" cy="144780"/>
              <wp:effectExtent l="0" t="635"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C9CD2" w14:textId="77777777" w:rsidR="007331AF" w:rsidRDefault="007331AF">
                          <w:pPr>
                            <w:spacing w:before="20"/>
                            <w:ind w:left="40"/>
                            <w:rPr>
                              <w:rFonts w:ascii="HelveticaNeue LT 65 Medium"/>
                              <w:sz w:val="16"/>
                            </w:rPr>
                          </w:pPr>
                          <w:r>
                            <w:fldChar w:fldCharType="begin"/>
                          </w:r>
                          <w:r>
                            <w:rPr>
                              <w:rFonts w:ascii="HelveticaNeue LT 65 Medium"/>
                              <w:color w:val="231F20"/>
                              <w:sz w:val="16"/>
                            </w:rPr>
                            <w:instrText xml:space="preserve"> PAGE </w:instrText>
                          </w:r>
                          <w:r>
                            <w:fldChar w:fldCharType="separate"/>
                          </w:r>
                          <w:r>
                            <w:rPr>
                              <w:rFonts w:ascii="HelveticaNeue LT 65 Medium"/>
                              <w:noProof/>
                              <w:color w:val="231F20"/>
                              <w:sz w:val="16"/>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8D023" id="Text Box 25" o:spid="_x0000_s1031" type="#_x0000_t202" style="position:absolute;margin-left:768.65pt;margin-top:549.8pt;width:12.9pt;height:1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" filled="f" stroked="f">
              <v:textbox inset="0,0,0,0">
                <w:txbxContent>
                  <w:p w14:paraId="09DC9CD2" w14:textId="77777777" w:rsidR="007331AF" w:rsidRDefault="007331AF">
                    <w:pPr>
                      <w:spacing w:before="20"/>
                      <w:ind w:left="40"/>
                      <w:rPr>
                        <w:rFonts w:ascii="HelveticaNeue LT 65 Medium"/>
                        <w:sz w:val="16"/>
                      </w:rPr>
                    </w:pPr>
                    <w:r>
                      <w:fldChar w:fldCharType="begin"/>
                    </w:r>
                    <w:r>
                      <w:rPr>
                        <w:rFonts w:ascii="HelveticaNeue LT 65 Medium"/>
                        <w:color w:val="231F20"/>
                        <w:sz w:val="16"/>
                      </w:rPr>
                      <w:instrText xml:space="preserve"> PAGE </w:instrText>
                    </w:r>
                    <w:r>
                      <w:fldChar w:fldCharType="separate"/>
                    </w:r>
                    <w:r>
                      <w:rPr>
                        <w:rFonts w:ascii="HelveticaNeue LT 65 Medium"/>
                        <w:noProof/>
                        <w:color w:val="231F20"/>
                        <w:sz w:val="16"/>
                      </w:rPr>
                      <w:t>70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626635"/>
      <w:docPartObj>
        <w:docPartGallery w:val="Page Numbers (Bottom of Page)"/>
        <w:docPartUnique/>
      </w:docPartObj>
    </w:sdtPr>
    <w:sdtEndPr>
      <w:rPr>
        <w:noProof/>
        <w:sz w:val="16"/>
        <w:szCs w:val="16"/>
      </w:rPr>
    </w:sdtEndPr>
    <w:sdtContent>
      <w:p w14:paraId="046ED99A" w14:textId="6359F0CC" w:rsidR="007331AF" w:rsidRPr="004B2767" w:rsidRDefault="007331AF">
        <w:pPr>
          <w:pStyle w:val="Footer"/>
          <w:jc w:val="right"/>
          <w:rPr>
            <w:sz w:val="16"/>
            <w:szCs w:val="16"/>
          </w:rPr>
        </w:pPr>
        <w:r w:rsidRPr="004B2767">
          <w:rPr>
            <w:sz w:val="16"/>
            <w:szCs w:val="16"/>
          </w:rPr>
          <w:fldChar w:fldCharType="begin"/>
        </w:r>
        <w:r w:rsidRPr="004B2767">
          <w:rPr>
            <w:sz w:val="16"/>
            <w:szCs w:val="16"/>
          </w:rPr>
          <w:instrText xml:space="preserve"> PAGE   \* MERGEFORMAT </w:instrText>
        </w:r>
        <w:r w:rsidRPr="004B2767">
          <w:rPr>
            <w:sz w:val="16"/>
            <w:szCs w:val="16"/>
          </w:rPr>
          <w:fldChar w:fldCharType="separate"/>
        </w:r>
        <w:r w:rsidR="000652D9">
          <w:rPr>
            <w:noProof/>
            <w:sz w:val="16"/>
            <w:szCs w:val="16"/>
          </w:rPr>
          <w:t>66</w:t>
        </w:r>
        <w:r w:rsidRPr="004B2767">
          <w:rPr>
            <w:noProof/>
            <w:sz w:val="16"/>
            <w:szCs w:val="16"/>
          </w:rPr>
          <w:fldChar w:fldCharType="end"/>
        </w:r>
      </w:p>
    </w:sdtContent>
  </w:sdt>
  <w:p w14:paraId="61BBBCF1" w14:textId="5B2CA81B" w:rsidR="007331AF" w:rsidRDefault="007331AF">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8AE46" w14:textId="15CC3891" w:rsidR="007331AF" w:rsidRDefault="007331AF">
    <w:pPr>
      <w:pStyle w:val="BodyText"/>
      <w:spacing w:line="14" w:lineRule="auto"/>
      <w:rPr>
        <w:sz w:val="20"/>
      </w:rPr>
    </w:pPr>
    <w:r>
      <w:rPr>
        <w:noProof/>
        <w:sz w:val="21"/>
      </w:rPr>
      <mc:AlternateContent>
        <mc:Choice Requires="wps">
          <w:drawing>
            <wp:anchor distT="0" distB="0" distL="114300" distR="114300" simplePos="0" relativeHeight="251667456" behindDoc="1" locked="0" layoutInCell="1" allowOverlap="1" wp14:anchorId="14352D85" wp14:editId="60A785FE">
              <wp:simplePos x="0" y="0"/>
              <wp:positionH relativeFrom="page">
                <wp:posOffset>5966460</wp:posOffset>
              </wp:positionH>
              <wp:positionV relativeFrom="page">
                <wp:posOffset>6983095</wp:posOffset>
              </wp:positionV>
              <wp:extent cx="3370580" cy="144780"/>
              <wp:effectExtent l="3810" t="127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58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02F14" w14:textId="77777777" w:rsidR="007331AF" w:rsidRDefault="007331AF">
                          <w:pPr>
                            <w:spacing w:before="20"/>
                            <w:ind w:left="20"/>
                            <w:rPr>
                              <w:rFonts w:ascii="HelveticaNeue LT 65 Medium"/>
                              <w:sz w:val="16"/>
                            </w:rPr>
                          </w:pPr>
                          <w:r>
                            <w:rPr>
                              <w:rFonts w:ascii="HelveticaNeue LT 35 Thin"/>
                              <w:color w:val="231F20"/>
                              <w:sz w:val="16"/>
                            </w:rPr>
                            <w:t xml:space="preserve">National Regional, Rural and Remote Tertiary Education Strategy | </w:t>
                          </w:r>
                          <w:r>
                            <w:rPr>
                              <w:rFonts w:ascii="HelveticaNeue LT 65 Medium"/>
                              <w:color w:val="231F20"/>
                              <w:sz w:val="16"/>
                            </w:rPr>
                            <w:t>Final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52D85" id="_x0000_t202" coordsize="21600,21600" o:spt="202" path="m,l,21600r21600,l21600,xe">
              <v:stroke joinstyle="miter"/>
              <v:path gradientshapeok="t" o:connecttype="rect"/>
            </v:shapetype>
            <v:shape id="Text Box 12" o:spid="_x0000_s1032" type="#_x0000_t202" style="position:absolute;margin-left:469.8pt;margin-top:549.85pt;width:265.4pt;height:1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" filled="f" stroked="f">
              <v:textbox inset="0,0,0,0">
                <w:txbxContent>
                  <w:p w14:paraId="37002F14" w14:textId="77777777" w:rsidR="007331AF" w:rsidRDefault="007331AF">
                    <w:pPr>
                      <w:spacing w:before="20"/>
                      <w:ind w:left="20"/>
                      <w:rPr>
                        <w:rFonts w:ascii="HelveticaNeue LT 65 Medium"/>
                        <w:sz w:val="16"/>
                      </w:rPr>
                    </w:pPr>
                    <w:r>
                      <w:rPr>
                        <w:rFonts w:ascii="HelveticaNeue LT 35 Thin"/>
                        <w:color w:val="231F20"/>
                        <w:sz w:val="16"/>
                      </w:rPr>
                      <w:t xml:space="preserve">National Regional, Rural and Remote Tertiary Education Strategy | </w:t>
                    </w:r>
                    <w:r>
                      <w:rPr>
                        <w:rFonts w:ascii="HelveticaNeue LT 65 Medium"/>
                        <w:color w:val="231F20"/>
                        <w:sz w:val="16"/>
                      </w:rPr>
                      <w:t>Final Report</w:t>
                    </w:r>
                  </w:p>
                </w:txbxContent>
              </v:textbox>
              <w10:wrap anchorx="page" anchory="page"/>
            </v:shape>
          </w:pict>
        </mc:Fallback>
      </mc:AlternateContent>
    </w:r>
    <w:r>
      <w:rPr>
        <w:noProof/>
        <w:sz w:val="21"/>
      </w:rPr>
      <mc:AlternateContent>
        <mc:Choice Requires="wps">
          <w:drawing>
            <wp:anchor distT="0" distB="0" distL="114300" distR="114300" simplePos="0" relativeHeight="251668480" behindDoc="1" locked="0" layoutInCell="1" allowOverlap="1" wp14:anchorId="571FF0E7" wp14:editId="725A8128">
              <wp:simplePos x="0" y="0"/>
              <wp:positionH relativeFrom="page">
                <wp:posOffset>9761855</wp:posOffset>
              </wp:positionH>
              <wp:positionV relativeFrom="page">
                <wp:posOffset>6982460</wp:posOffset>
              </wp:positionV>
              <wp:extent cx="163830" cy="144780"/>
              <wp:effectExtent l="0" t="635"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79873" w14:textId="77777777" w:rsidR="007331AF" w:rsidRDefault="007331AF">
                          <w:pPr>
                            <w:spacing w:before="20"/>
                            <w:ind w:left="40"/>
                            <w:rPr>
                              <w:rFonts w:ascii="HelveticaNeue LT 65 Medium"/>
                              <w:sz w:val="16"/>
                            </w:rPr>
                          </w:pPr>
                          <w:r>
                            <w:fldChar w:fldCharType="begin"/>
                          </w:r>
                          <w:r>
                            <w:rPr>
                              <w:rFonts w:ascii="HelveticaNeue LT 65 Medium"/>
                              <w:color w:val="231F20"/>
                              <w:sz w:val="16"/>
                            </w:rPr>
                            <w:instrText xml:space="preserve"> PAGE </w:instrText>
                          </w:r>
                          <w:r>
                            <w:fldChar w:fldCharType="separate"/>
                          </w:r>
                          <w:r>
                            <w:rPr>
                              <w:rFonts w:ascii="HelveticaNeue LT 65 Medium"/>
                              <w:noProof/>
                              <w:color w:val="231F20"/>
                              <w:sz w:val="16"/>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FF0E7" id="Text Box 10" o:spid="_x0000_s1033" type="#_x0000_t202" style="position:absolute;margin-left:768.65pt;margin-top:549.8pt;width:12.9pt;height:11.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" filled="f" stroked="f">
              <v:textbox inset="0,0,0,0">
                <w:txbxContent>
                  <w:p w14:paraId="2CF79873" w14:textId="77777777" w:rsidR="007331AF" w:rsidRDefault="007331AF">
                    <w:pPr>
                      <w:spacing w:before="20"/>
                      <w:ind w:left="40"/>
                      <w:rPr>
                        <w:rFonts w:ascii="HelveticaNeue LT 65 Medium"/>
                        <w:sz w:val="16"/>
                      </w:rPr>
                    </w:pPr>
                    <w:r>
                      <w:fldChar w:fldCharType="begin"/>
                    </w:r>
                    <w:r>
                      <w:rPr>
                        <w:rFonts w:ascii="HelveticaNeue LT 65 Medium"/>
                        <w:color w:val="231F20"/>
                        <w:sz w:val="16"/>
                      </w:rPr>
                      <w:instrText xml:space="preserve"> PAGE </w:instrText>
                    </w:r>
                    <w:r>
                      <w:fldChar w:fldCharType="separate"/>
                    </w:r>
                    <w:r>
                      <w:rPr>
                        <w:rFonts w:ascii="HelveticaNeue LT 65 Medium"/>
                        <w:noProof/>
                        <w:color w:val="231F20"/>
                        <w:sz w:val="16"/>
                      </w:rPr>
                      <w:t>72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102527005"/>
      <w:docPartObj>
        <w:docPartGallery w:val="Page Numbers (Bottom of Page)"/>
        <w:docPartUnique/>
      </w:docPartObj>
    </w:sdtPr>
    <w:sdtEndPr>
      <w:rPr>
        <w:noProof/>
      </w:rPr>
    </w:sdtEndPr>
    <w:sdtContent>
      <w:sdt>
        <w:sdtPr>
          <w:id w:val="-72584462"/>
          <w:docPartObj>
            <w:docPartGallery w:val="Page Numbers (Bottom of Page)"/>
            <w:docPartUnique/>
          </w:docPartObj>
        </w:sdtPr>
        <w:sdtEndPr>
          <w:rPr>
            <w:noProof/>
            <w:sz w:val="16"/>
            <w:szCs w:val="16"/>
          </w:rPr>
        </w:sdtEndPr>
        <w:sdtContent>
          <w:p w14:paraId="35B2D4EA" w14:textId="73405508" w:rsidR="007331AF" w:rsidRPr="00027C4E" w:rsidRDefault="007331AF" w:rsidP="00027C4E">
            <w:pPr>
              <w:pStyle w:val="Footer"/>
              <w:tabs>
                <w:tab w:val="clear" w:pos="9026"/>
                <w:tab w:val="left" w:pos="6379"/>
                <w:tab w:val="left" w:pos="7371"/>
              </w:tabs>
              <w:jc w:val="right"/>
            </w:pPr>
            <w:r w:rsidRPr="00970C85">
              <w:rPr>
                <w:rFonts w:cstheme="minorHAnsi"/>
                <w:sz w:val="16"/>
                <w:szCs w:val="16"/>
              </w:rPr>
              <w:t xml:space="preserve">National Regional, Rural and Remote Tertiary Education Strategy | </w:t>
            </w:r>
            <w:r w:rsidRPr="00970C85">
              <w:rPr>
                <w:rFonts w:cstheme="minorHAnsi"/>
                <w:b/>
                <w:sz w:val="16"/>
                <w:szCs w:val="16"/>
              </w:rPr>
              <w:t>Final Report</w:t>
            </w:r>
            <w:r>
              <w:rPr>
                <w:rFonts w:ascii="HelveticaNeueLT-Medium" w:hAnsi="HelveticaNeueLT-Medium" w:cs="HelveticaNeueLT-Medium"/>
                <w:sz w:val="16"/>
                <w:szCs w:val="16"/>
              </w:rPr>
              <w:tab/>
            </w:r>
            <w:r w:rsidRPr="00BF622D">
              <w:rPr>
                <w:sz w:val="16"/>
                <w:szCs w:val="16"/>
              </w:rPr>
              <w:fldChar w:fldCharType="begin"/>
            </w:r>
            <w:r w:rsidRPr="00BF622D">
              <w:rPr>
                <w:sz w:val="16"/>
                <w:szCs w:val="16"/>
              </w:rPr>
              <w:instrText xml:space="preserve"> PAGE   \* MERGEFORMAT </w:instrText>
            </w:r>
            <w:r w:rsidRPr="00BF622D">
              <w:rPr>
                <w:sz w:val="16"/>
                <w:szCs w:val="16"/>
              </w:rPr>
              <w:fldChar w:fldCharType="separate"/>
            </w:r>
            <w:r w:rsidR="000652D9">
              <w:rPr>
                <w:noProof/>
                <w:sz w:val="16"/>
                <w:szCs w:val="16"/>
              </w:rPr>
              <w:t>99</w:t>
            </w:r>
            <w:r w:rsidRPr="00BF622D">
              <w:rPr>
                <w:noProof/>
                <w:sz w:val="16"/>
                <w:szCs w:val="16"/>
              </w:rPr>
              <w:fldChar w:fldCharType="end"/>
            </w:r>
          </w:p>
        </w:sdtContent>
      </w:sdt>
    </w:sdtContent>
  </w:sdt>
  <w:p w14:paraId="56092F0B" w14:textId="571B0715" w:rsidR="007331AF" w:rsidRDefault="007331A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3B8AD" w14:textId="77777777" w:rsidR="007331AF" w:rsidRDefault="007331AF" w:rsidP="00FF415A">
      <w:pPr>
        <w:spacing w:after="0" w:line="240" w:lineRule="auto"/>
      </w:pPr>
      <w:r>
        <w:separator/>
      </w:r>
    </w:p>
  </w:footnote>
  <w:footnote w:type="continuationSeparator" w:id="0">
    <w:p w14:paraId="1FE9C445" w14:textId="77777777" w:rsidR="007331AF" w:rsidRDefault="007331AF" w:rsidP="00FF415A">
      <w:pPr>
        <w:spacing w:after="0" w:line="240" w:lineRule="auto"/>
      </w:pPr>
      <w:r>
        <w:continuationSeparator/>
      </w:r>
    </w:p>
  </w:footnote>
  <w:footnote w:type="continuationNotice" w:id="1">
    <w:p w14:paraId="3B262FCA" w14:textId="77777777" w:rsidR="007331AF" w:rsidRDefault="007331AF">
      <w:pPr>
        <w:spacing w:after="0" w:line="240" w:lineRule="auto"/>
      </w:pPr>
    </w:p>
  </w:footnote>
  <w:footnote w:id="2">
    <w:p w14:paraId="3AC7E549" w14:textId="73AA351E" w:rsidR="007331AF" w:rsidRPr="00DB6C35" w:rsidRDefault="007331AF">
      <w:pPr>
        <w:pStyle w:val="FootnoteText"/>
        <w:rPr>
          <w:sz w:val="16"/>
          <w:szCs w:val="16"/>
        </w:rPr>
      </w:pPr>
      <w:r w:rsidRPr="00DB6C35">
        <w:rPr>
          <w:rStyle w:val="FootnoteReference"/>
          <w:sz w:val="16"/>
          <w:szCs w:val="16"/>
        </w:rPr>
        <w:footnoteRef/>
      </w:r>
      <w:r w:rsidRPr="00DB6C35">
        <w:rPr>
          <w:sz w:val="16"/>
          <w:szCs w:val="16"/>
        </w:rPr>
        <w:t xml:space="preserve"> ABS (2008).Census of Population and Housing (2006 – 2016)</w:t>
      </w:r>
    </w:p>
  </w:footnote>
  <w:footnote w:id="3">
    <w:p w14:paraId="414EE244" w14:textId="173D69F9" w:rsidR="007331AF" w:rsidRPr="005B1E69" w:rsidRDefault="007331AF">
      <w:pPr>
        <w:pStyle w:val="FootnoteText"/>
        <w:rPr>
          <w:sz w:val="16"/>
          <w:szCs w:val="16"/>
        </w:rPr>
      </w:pPr>
      <w:r w:rsidRPr="005B1E69">
        <w:rPr>
          <w:rStyle w:val="FootnoteReference"/>
          <w:sz w:val="16"/>
          <w:szCs w:val="16"/>
        </w:rPr>
        <w:footnoteRef/>
      </w:r>
      <w:r w:rsidRPr="005B1E69">
        <w:rPr>
          <w:sz w:val="16"/>
          <w:szCs w:val="16"/>
        </w:rPr>
        <w:t xml:space="preserve"> ABS (2016). Census of Population and Housing. Year 12 or equivalent rates are for people aged 19.</w:t>
      </w:r>
    </w:p>
  </w:footnote>
  <w:footnote w:id="4">
    <w:p w14:paraId="37C02DAC" w14:textId="2C9485E0" w:rsidR="007331AF" w:rsidRPr="005B1E69" w:rsidRDefault="007331AF" w:rsidP="005B1E69">
      <w:pPr>
        <w:pStyle w:val="FootnoteText"/>
        <w:rPr>
          <w:sz w:val="16"/>
          <w:szCs w:val="16"/>
        </w:rPr>
      </w:pPr>
      <w:r w:rsidRPr="005B1E69">
        <w:rPr>
          <w:rStyle w:val="FootnoteReference"/>
          <w:sz w:val="16"/>
          <w:szCs w:val="16"/>
        </w:rPr>
        <w:footnoteRef/>
      </w:r>
      <w:r w:rsidRPr="005B1E69">
        <w:rPr>
          <w:sz w:val="16"/>
          <w:szCs w:val="16"/>
        </w:rPr>
        <w:t xml:space="preserve"> Cardak, B., Brett, M., Bowden, M., Vecci, J., Barry, P., Bahtsevanoglou, J. and McAllister, R. (2017) Regional Student Participation and </w:t>
      </w:r>
      <w:r w:rsidRPr="000652D9">
        <w:rPr>
          <w:sz w:val="16"/>
          <w:szCs w:val="16"/>
        </w:rPr>
        <w:t>Migration</w:t>
      </w:r>
      <w:r w:rsidR="002D549B" w:rsidRPr="000652D9">
        <w:rPr>
          <w:sz w:val="16"/>
          <w:szCs w:val="16"/>
        </w:rPr>
        <w:t>: Analysis of factors influencing regional student participation and internal migration in Australian higher education</w:t>
      </w:r>
      <w:r w:rsidRPr="000652D9">
        <w:rPr>
          <w:sz w:val="16"/>
          <w:szCs w:val="16"/>
        </w:rPr>
        <w:t>. National</w:t>
      </w:r>
      <w:r w:rsidRPr="005B1E69">
        <w:rPr>
          <w:sz w:val="16"/>
          <w:szCs w:val="16"/>
        </w:rPr>
        <w:t xml:space="preserve"> Centre for Student Equity in Higher Education. Curtin University, p. v.</w:t>
      </w:r>
    </w:p>
  </w:footnote>
  <w:footnote w:id="5">
    <w:p w14:paraId="7FF902CE" w14:textId="730B22C5" w:rsidR="007331AF" w:rsidRPr="005B1E69" w:rsidRDefault="007331AF" w:rsidP="005B1E69">
      <w:pPr>
        <w:pStyle w:val="FootnoteText"/>
        <w:rPr>
          <w:sz w:val="16"/>
          <w:szCs w:val="16"/>
        </w:rPr>
      </w:pPr>
      <w:r w:rsidRPr="005B1E69">
        <w:rPr>
          <w:rStyle w:val="FootnoteReference"/>
          <w:sz w:val="16"/>
          <w:szCs w:val="16"/>
        </w:rPr>
        <w:footnoteRef/>
      </w:r>
      <w:r w:rsidRPr="005B1E69">
        <w:rPr>
          <w:sz w:val="16"/>
          <w:szCs w:val="16"/>
        </w:rPr>
        <w:t xml:space="preserve"> Australian Government Department of Education and Training (DET) (2018) Undergraduate applications, offers and acceptances, DET, Canberra, p. 34.</w:t>
      </w:r>
    </w:p>
  </w:footnote>
  <w:footnote w:id="6">
    <w:p w14:paraId="2B7900E9" w14:textId="21413C1D" w:rsidR="007331AF" w:rsidRPr="005B1E69" w:rsidRDefault="007331AF">
      <w:pPr>
        <w:pStyle w:val="FootnoteText"/>
        <w:rPr>
          <w:sz w:val="16"/>
          <w:szCs w:val="16"/>
        </w:rPr>
      </w:pPr>
      <w:r w:rsidRPr="005B1E69">
        <w:rPr>
          <w:rStyle w:val="FootnoteReference"/>
          <w:sz w:val="16"/>
          <w:szCs w:val="16"/>
        </w:rPr>
        <w:footnoteRef/>
      </w:r>
      <w:r w:rsidRPr="005B1E69">
        <w:rPr>
          <w:sz w:val="16"/>
          <w:szCs w:val="16"/>
        </w:rPr>
        <w:t xml:space="preserve"> DoE (2018) Higher Education Students Statistics Collection, Australian Government, Canberra.</w:t>
      </w:r>
    </w:p>
  </w:footnote>
  <w:footnote w:id="7">
    <w:p w14:paraId="3DD5C02D" w14:textId="12157B8B" w:rsidR="007331AF" w:rsidRPr="005B1E69" w:rsidRDefault="007331AF" w:rsidP="005B1E69">
      <w:pPr>
        <w:pStyle w:val="Default"/>
        <w:rPr>
          <w:rFonts w:asciiTheme="minorHAnsi" w:hAnsiTheme="minorHAnsi" w:cs="HelveticaNeue LT 45 Light"/>
          <w:sz w:val="16"/>
          <w:szCs w:val="16"/>
        </w:rPr>
      </w:pPr>
      <w:r w:rsidRPr="005B1E69">
        <w:rPr>
          <w:rStyle w:val="FootnoteReference"/>
          <w:rFonts w:asciiTheme="minorHAnsi" w:hAnsiTheme="minorHAnsi"/>
          <w:sz w:val="16"/>
          <w:szCs w:val="16"/>
        </w:rPr>
        <w:footnoteRef/>
      </w:r>
      <w:r w:rsidRPr="005B1E69">
        <w:rPr>
          <w:rFonts w:asciiTheme="minorHAnsi" w:hAnsiTheme="minorHAnsi"/>
          <w:sz w:val="16"/>
          <w:szCs w:val="16"/>
        </w:rPr>
        <w:t xml:space="preserve"> </w:t>
      </w:r>
      <w:r w:rsidRPr="005B1E69">
        <w:rPr>
          <w:rFonts w:asciiTheme="minorHAnsi" w:hAnsiTheme="minorHAnsi" w:cs="HelveticaNeue LT 45 Light"/>
          <w:sz w:val="16"/>
          <w:szCs w:val="16"/>
        </w:rPr>
        <w:t xml:space="preserve">For Certificate I and above VET programs commenced in 2016, the projected completion rates were 41.7 per cent </w:t>
      </w:r>
      <w:bookmarkStart w:id="35" w:name="_GoBack"/>
      <w:bookmarkEnd w:id="35"/>
      <w:r w:rsidRPr="005B1E69">
        <w:rPr>
          <w:rFonts w:asciiTheme="minorHAnsi" w:hAnsiTheme="minorHAnsi" w:cs="HelveticaNeue LT 45 Light"/>
          <w:sz w:val="16"/>
          <w:szCs w:val="16"/>
        </w:rPr>
        <w:t>for inner regional, 41.1 per cent for outer regional, 37.6 per cent for remote and 32.4 per cent for very remote, compared to 47.8 per cent in major cities. NCVER, Total VET Students and Courses Collection.</w:t>
      </w:r>
    </w:p>
    <w:p w14:paraId="339B92F3" w14:textId="1A3823FD" w:rsidR="007331AF" w:rsidRDefault="007331AF">
      <w:pPr>
        <w:pStyle w:val="FootnoteText"/>
      </w:pPr>
    </w:p>
  </w:footnote>
  <w:footnote w:id="8">
    <w:p w14:paraId="35990E8F" w14:textId="5F378882" w:rsidR="007331AF" w:rsidRPr="00C9712D" w:rsidRDefault="007331AF" w:rsidP="00331135">
      <w:pPr>
        <w:pStyle w:val="FootnoteText"/>
        <w:rPr>
          <w:sz w:val="16"/>
          <w:szCs w:val="16"/>
        </w:rPr>
      </w:pPr>
      <w:r w:rsidRPr="00C9712D">
        <w:rPr>
          <w:rStyle w:val="FootnoteReference"/>
          <w:sz w:val="16"/>
          <w:szCs w:val="16"/>
        </w:rPr>
        <w:footnoteRef/>
      </w:r>
      <w:r w:rsidRPr="00C9712D">
        <w:rPr>
          <w:sz w:val="16"/>
          <w:szCs w:val="16"/>
        </w:rPr>
        <w:t xml:space="preserve"> Australian Workforce and Productivity Agency, Human capital and productivity literature review, March 2013. Available at: </w:t>
      </w:r>
      <w:hyperlink r:id="rId1" w:history="1">
        <w:r w:rsidRPr="00D3786E">
          <w:rPr>
            <w:rStyle w:val="Hyperlink"/>
            <w:sz w:val="16"/>
            <w:szCs w:val="16"/>
          </w:rPr>
          <w:t>https://docs.education.gov.au/system/files/doc/other/human-capital-and-productivity-literature-review-march-2013.pdf</w:t>
        </w:r>
      </w:hyperlink>
      <w:r>
        <w:rPr>
          <w:sz w:val="16"/>
          <w:szCs w:val="16"/>
        </w:rPr>
        <w:t xml:space="preserve">  </w:t>
      </w:r>
    </w:p>
  </w:footnote>
  <w:footnote w:id="9">
    <w:p w14:paraId="33C4D8B1" w14:textId="77777777" w:rsidR="007331AF" w:rsidRPr="00C9712D" w:rsidRDefault="007331AF" w:rsidP="00FE64D1">
      <w:pPr>
        <w:pStyle w:val="FootnoteText"/>
        <w:rPr>
          <w:sz w:val="16"/>
          <w:szCs w:val="16"/>
        </w:rPr>
      </w:pPr>
      <w:r w:rsidRPr="00C9712D">
        <w:rPr>
          <w:rStyle w:val="FootnoteReference"/>
          <w:sz w:val="16"/>
          <w:szCs w:val="16"/>
        </w:rPr>
        <w:footnoteRef/>
      </w:r>
      <w:r w:rsidRPr="00C9712D">
        <w:rPr>
          <w:sz w:val="16"/>
          <w:szCs w:val="16"/>
        </w:rPr>
        <w:t xml:space="preserve"> ABS, Australian National Accounts: National Income, Expenditure and Product, December 2018, Table 45</w:t>
      </w:r>
    </w:p>
  </w:footnote>
  <w:footnote w:id="10">
    <w:p w14:paraId="21B9BBE5" w14:textId="77777777" w:rsidR="007331AF" w:rsidRPr="00C9712D" w:rsidRDefault="007331AF" w:rsidP="00FE64D1">
      <w:pPr>
        <w:pStyle w:val="FootnoteText"/>
        <w:rPr>
          <w:sz w:val="16"/>
          <w:szCs w:val="16"/>
        </w:rPr>
      </w:pPr>
      <w:r w:rsidRPr="00C9712D">
        <w:rPr>
          <w:rStyle w:val="FootnoteReference"/>
          <w:sz w:val="16"/>
          <w:szCs w:val="16"/>
        </w:rPr>
        <w:footnoteRef/>
      </w:r>
      <w:r w:rsidRPr="00C9712D">
        <w:rPr>
          <w:sz w:val="16"/>
          <w:szCs w:val="16"/>
        </w:rPr>
        <w:t xml:space="preserve"> ABS, Labour Force Australia – Detailed Quarterly, Feb 2019, Table 04.</w:t>
      </w:r>
    </w:p>
  </w:footnote>
  <w:footnote w:id="11">
    <w:p w14:paraId="6D69FF81" w14:textId="532CD6D7" w:rsidR="007331AF" w:rsidRPr="00C9712D" w:rsidRDefault="007331AF" w:rsidP="00FE64D1">
      <w:pPr>
        <w:pStyle w:val="FootnoteText"/>
        <w:rPr>
          <w:sz w:val="16"/>
          <w:szCs w:val="16"/>
        </w:rPr>
      </w:pPr>
      <w:r w:rsidRPr="00C9712D">
        <w:rPr>
          <w:rStyle w:val="FootnoteReference"/>
          <w:sz w:val="16"/>
          <w:szCs w:val="16"/>
        </w:rPr>
        <w:footnoteRef/>
      </w:r>
      <w:r w:rsidRPr="00C9712D">
        <w:rPr>
          <w:rStyle w:val="Hyperlink"/>
          <w:color w:val="auto"/>
          <w:sz w:val="16"/>
          <w:szCs w:val="16"/>
          <w:u w:val="none"/>
        </w:rPr>
        <w:t xml:space="preserve"> ABS (2017) </w:t>
      </w:r>
      <w:hyperlink r:id="rId2" w:history="1">
        <w:r w:rsidRPr="00C9712D">
          <w:rPr>
            <w:rStyle w:val="Hyperlink"/>
            <w:color w:val="auto"/>
            <w:sz w:val="16"/>
            <w:szCs w:val="16"/>
            <w:u w:val="none"/>
          </w:rPr>
          <w:t>Education Qualifications in Australia – 2016 Census Data Summary</w:t>
        </w:r>
      </w:hyperlink>
      <w:r w:rsidRPr="00C9712D">
        <w:rPr>
          <w:rStyle w:val="Hyperlink"/>
          <w:color w:val="auto"/>
          <w:sz w:val="16"/>
          <w:szCs w:val="16"/>
          <w:u w:val="none"/>
        </w:rPr>
        <w:t xml:space="preserve">, Australian Government, Canberra. </w:t>
      </w:r>
    </w:p>
  </w:footnote>
  <w:footnote w:id="12">
    <w:p w14:paraId="1FC40005" w14:textId="2B061163" w:rsidR="007331AF" w:rsidRPr="00C9712D" w:rsidRDefault="007331AF" w:rsidP="00C9712D">
      <w:pPr>
        <w:pStyle w:val="FootnoteText"/>
        <w:rPr>
          <w:sz w:val="16"/>
          <w:szCs w:val="16"/>
        </w:rPr>
      </w:pPr>
      <w:r w:rsidRPr="00C9712D">
        <w:rPr>
          <w:rStyle w:val="FootnoteReference"/>
          <w:sz w:val="16"/>
          <w:szCs w:val="16"/>
        </w:rPr>
        <w:footnoteRef/>
      </w:r>
      <w:r w:rsidRPr="00C9712D">
        <w:rPr>
          <w:sz w:val="16"/>
          <w:szCs w:val="16"/>
        </w:rPr>
        <w:t xml:space="preserve"> Australian Institute of Health and Welfare (2018) Chapter 5.1 Socioeconomic groups in Australia’s Health 2018, Australian Government, Canberra, pp. 1-3.</w:t>
      </w:r>
    </w:p>
  </w:footnote>
  <w:footnote w:id="13">
    <w:p w14:paraId="68EAF458" w14:textId="77777777" w:rsidR="007331AF" w:rsidRPr="00C9712D" w:rsidRDefault="007331AF" w:rsidP="00C9712D">
      <w:pPr>
        <w:pStyle w:val="FootnoteText"/>
        <w:rPr>
          <w:sz w:val="16"/>
          <w:szCs w:val="16"/>
        </w:rPr>
      </w:pPr>
      <w:r w:rsidRPr="00C9712D">
        <w:rPr>
          <w:rStyle w:val="FootnoteReference"/>
          <w:sz w:val="16"/>
          <w:szCs w:val="16"/>
        </w:rPr>
        <w:footnoteRef/>
      </w:r>
      <w:r w:rsidRPr="00C9712D">
        <w:rPr>
          <w:sz w:val="16"/>
          <w:szCs w:val="16"/>
        </w:rPr>
        <w:t xml:space="preserve"> Luckman, M., &amp; Harvey, A. (2019). The financial and educational outcomes of Bachelor degree non-completers. Journal of Higher</w:t>
      </w:r>
    </w:p>
    <w:p w14:paraId="716A29C1" w14:textId="18ACB8E6" w:rsidR="007331AF" w:rsidRPr="00C9712D" w:rsidRDefault="007331AF" w:rsidP="00C9712D">
      <w:pPr>
        <w:pStyle w:val="FootnoteText"/>
        <w:rPr>
          <w:sz w:val="16"/>
          <w:szCs w:val="16"/>
        </w:rPr>
      </w:pPr>
      <w:r w:rsidRPr="00C9712D">
        <w:rPr>
          <w:sz w:val="16"/>
          <w:szCs w:val="16"/>
        </w:rPr>
        <w:t>Education Policy and Management, 41(1), 3-17.</w:t>
      </w:r>
    </w:p>
  </w:footnote>
  <w:footnote w:id="14">
    <w:p w14:paraId="370B2976" w14:textId="076B970A" w:rsidR="007331AF" w:rsidRPr="00C9712D" w:rsidRDefault="007331AF">
      <w:pPr>
        <w:pStyle w:val="FootnoteText"/>
        <w:rPr>
          <w:sz w:val="16"/>
          <w:szCs w:val="16"/>
        </w:rPr>
      </w:pPr>
      <w:r w:rsidRPr="00C9712D">
        <w:rPr>
          <w:rStyle w:val="FootnoteReference"/>
          <w:sz w:val="16"/>
          <w:szCs w:val="16"/>
        </w:rPr>
        <w:footnoteRef/>
      </w:r>
      <w:r w:rsidRPr="00C9712D">
        <w:rPr>
          <w:sz w:val="16"/>
          <w:szCs w:val="16"/>
        </w:rPr>
        <w:t xml:space="preserve"> Sinning, M., How much is it worth? New estimates of private returns to university education in Australia, 2014.</w:t>
      </w:r>
    </w:p>
  </w:footnote>
  <w:footnote w:id="15">
    <w:p w14:paraId="11C047A7" w14:textId="44966173" w:rsidR="007331AF" w:rsidRDefault="007331AF">
      <w:pPr>
        <w:pStyle w:val="FootnoteText"/>
      </w:pPr>
      <w:r w:rsidRPr="00C9712D">
        <w:rPr>
          <w:rStyle w:val="FootnoteReference"/>
          <w:sz w:val="16"/>
          <w:szCs w:val="16"/>
        </w:rPr>
        <w:footnoteRef/>
      </w:r>
      <w:r w:rsidRPr="00C9712D">
        <w:rPr>
          <w:sz w:val="16"/>
          <w:szCs w:val="16"/>
        </w:rPr>
        <w:t xml:space="preserve"> ABS, Survey of Education and Work [Cat. No. 6227.0], 2018.</w:t>
      </w:r>
    </w:p>
  </w:footnote>
  <w:footnote w:id="16">
    <w:p w14:paraId="10577065" w14:textId="6968A864" w:rsidR="007331AF" w:rsidRPr="00C9712D" w:rsidRDefault="007331AF">
      <w:pPr>
        <w:pStyle w:val="FootnoteText"/>
        <w:rPr>
          <w:sz w:val="16"/>
          <w:szCs w:val="16"/>
        </w:rPr>
      </w:pPr>
      <w:r w:rsidRPr="00C9712D">
        <w:rPr>
          <w:rStyle w:val="FootnoteReference"/>
          <w:sz w:val="16"/>
          <w:szCs w:val="16"/>
        </w:rPr>
        <w:footnoteRef/>
      </w:r>
      <w:r w:rsidRPr="00C9712D">
        <w:rPr>
          <w:sz w:val="16"/>
          <w:szCs w:val="16"/>
        </w:rPr>
        <w:t xml:space="preserve"> OECD Employment Outlook 2019, The future of work. How does Australia Compare?</w:t>
      </w:r>
    </w:p>
  </w:footnote>
  <w:footnote w:id="17">
    <w:p w14:paraId="79364F13" w14:textId="77777777" w:rsidR="007331AF" w:rsidRPr="00C9712D" w:rsidRDefault="007331AF" w:rsidP="00C9712D">
      <w:pPr>
        <w:pStyle w:val="FootnoteText"/>
        <w:rPr>
          <w:sz w:val="16"/>
          <w:szCs w:val="16"/>
        </w:rPr>
      </w:pPr>
      <w:r w:rsidRPr="00C9712D">
        <w:rPr>
          <w:rStyle w:val="FootnoteReference"/>
          <w:sz w:val="16"/>
          <w:szCs w:val="16"/>
        </w:rPr>
        <w:footnoteRef/>
      </w:r>
      <w:r w:rsidRPr="00C9712D">
        <w:rPr>
          <w:sz w:val="16"/>
          <w:szCs w:val="16"/>
        </w:rPr>
        <w:t xml:space="preserve"> Currie, J., &amp; Moretti, E. (2003). Mother’s education and the intergenerational transmission of human capital: Evidence from college</w:t>
      </w:r>
    </w:p>
    <w:p w14:paraId="1C23017B" w14:textId="33847DF2" w:rsidR="007331AF" w:rsidRPr="00C9712D" w:rsidRDefault="007331AF" w:rsidP="00C9712D">
      <w:pPr>
        <w:pStyle w:val="FootnoteText"/>
        <w:rPr>
          <w:sz w:val="16"/>
          <w:szCs w:val="16"/>
        </w:rPr>
      </w:pPr>
      <w:r w:rsidRPr="00C9712D">
        <w:rPr>
          <w:sz w:val="16"/>
          <w:szCs w:val="16"/>
        </w:rPr>
        <w:t>openings. The Quarterly journal of economics, 118(4), 1495-1532.</w:t>
      </w:r>
    </w:p>
  </w:footnote>
  <w:footnote w:id="18">
    <w:p w14:paraId="462652F0" w14:textId="77777777" w:rsidR="007331AF" w:rsidRPr="00C9712D" w:rsidRDefault="007331AF" w:rsidP="00C9712D">
      <w:pPr>
        <w:pStyle w:val="FootnoteText"/>
        <w:rPr>
          <w:sz w:val="16"/>
          <w:szCs w:val="16"/>
        </w:rPr>
      </w:pPr>
      <w:r w:rsidRPr="00C9712D">
        <w:rPr>
          <w:rStyle w:val="FootnoteReference"/>
          <w:sz w:val="16"/>
          <w:szCs w:val="16"/>
        </w:rPr>
        <w:footnoteRef/>
      </w:r>
      <w:r w:rsidRPr="00C9712D">
        <w:rPr>
          <w:sz w:val="16"/>
          <w:szCs w:val="16"/>
        </w:rPr>
        <w:t xml:space="preserve"> Lee, S.Y., Roys, N. &amp; Seshadri, A. (2015). The causal effect of parents’ education on children’s earnings. Available at:</w:t>
      </w:r>
    </w:p>
    <w:p w14:paraId="69528FD7" w14:textId="4D5D4AF7" w:rsidR="007331AF" w:rsidRPr="00C9712D" w:rsidRDefault="000652D9" w:rsidP="00C9712D">
      <w:pPr>
        <w:pStyle w:val="FootnoteText"/>
        <w:rPr>
          <w:sz w:val="16"/>
          <w:szCs w:val="16"/>
        </w:rPr>
      </w:pPr>
      <w:hyperlink r:id="rId3" w:history="1">
        <w:r w:rsidR="007331AF" w:rsidRPr="00D3786E">
          <w:rPr>
            <w:rStyle w:val="Hyperlink"/>
            <w:sz w:val="16"/>
            <w:szCs w:val="16"/>
          </w:rPr>
          <w:t>https://pdfs.semanticscholar.org/fedc/bbb22d2029b99d85646c5b415baf75f06624.pdf</w:t>
        </w:r>
      </w:hyperlink>
      <w:r w:rsidR="007331AF">
        <w:rPr>
          <w:sz w:val="16"/>
          <w:szCs w:val="16"/>
        </w:rPr>
        <w:t xml:space="preserve"> </w:t>
      </w:r>
    </w:p>
  </w:footnote>
  <w:footnote w:id="19">
    <w:p w14:paraId="3AC07041" w14:textId="5D47E660" w:rsidR="007331AF" w:rsidRPr="00662960" w:rsidRDefault="007331AF">
      <w:pPr>
        <w:pStyle w:val="FootnoteText"/>
        <w:rPr>
          <w:sz w:val="16"/>
          <w:szCs w:val="16"/>
        </w:rPr>
      </w:pPr>
      <w:r w:rsidRPr="00C9712D">
        <w:rPr>
          <w:rStyle w:val="FootnoteReference"/>
          <w:sz w:val="16"/>
          <w:szCs w:val="16"/>
        </w:rPr>
        <w:footnoteRef/>
      </w:r>
      <w:r w:rsidRPr="00C9712D">
        <w:rPr>
          <w:sz w:val="16"/>
          <w:szCs w:val="16"/>
        </w:rPr>
        <w:t xml:space="preserve"> Department of Agriculture and Water Resources (2017) Agricultural Commodities – September Quarter 2017, Australian Government, Canberra, p. 9.</w:t>
      </w:r>
    </w:p>
  </w:footnote>
  <w:footnote w:id="20">
    <w:p w14:paraId="617D8034" w14:textId="77777777" w:rsidR="007331AF" w:rsidRPr="00C9712D" w:rsidRDefault="007331AF" w:rsidP="00C9712D">
      <w:pPr>
        <w:pStyle w:val="FootnoteText"/>
        <w:rPr>
          <w:sz w:val="16"/>
          <w:szCs w:val="16"/>
        </w:rPr>
      </w:pPr>
      <w:r w:rsidRPr="00C9712D">
        <w:rPr>
          <w:rStyle w:val="FootnoteReference"/>
          <w:sz w:val="16"/>
          <w:szCs w:val="16"/>
        </w:rPr>
        <w:footnoteRef/>
      </w:r>
      <w:r w:rsidRPr="00C9712D">
        <w:rPr>
          <w:sz w:val="16"/>
          <w:szCs w:val="16"/>
        </w:rPr>
        <w:t xml:space="preserve"> Holden R. &amp; Zhang, J. (2018) The Economic Impact of Improving Regional, Rural and Remote Education in Australia. Gonski</w:t>
      </w:r>
    </w:p>
    <w:p w14:paraId="1930D877" w14:textId="26AC2F72" w:rsidR="007331AF" w:rsidRPr="00C9712D" w:rsidRDefault="007331AF" w:rsidP="00C9712D">
      <w:pPr>
        <w:pStyle w:val="FootnoteText"/>
        <w:rPr>
          <w:sz w:val="16"/>
          <w:szCs w:val="16"/>
        </w:rPr>
      </w:pPr>
      <w:r w:rsidRPr="00C9712D">
        <w:rPr>
          <w:sz w:val="16"/>
          <w:szCs w:val="16"/>
        </w:rPr>
        <w:t>Institute for Education, University of New South Wales, Sydney, pp. 4-5.</w:t>
      </w:r>
    </w:p>
  </w:footnote>
  <w:footnote w:id="21">
    <w:p w14:paraId="332968B4" w14:textId="26B58C0C" w:rsidR="007331AF" w:rsidRPr="00C9712D" w:rsidRDefault="007331AF">
      <w:pPr>
        <w:pStyle w:val="FootnoteText"/>
        <w:rPr>
          <w:sz w:val="16"/>
          <w:szCs w:val="16"/>
        </w:rPr>
      </w:pPr>
      <w:r w:rsidRPr="00C9712D">
        <w:rPr>
          <w:rStyle w:val="FootnoteReference"/>
          <w:sz w:val="16"/>
          <w:szCs w:val="16"/>
        </w:rPr>
        <w:footnoteRef/>
      </w:r>
      <w:r w:rsidRPr="00C9712D">
        <w:rPr>
          <w:sz w:val="16"/>
          <w:szCs w:val="16"/>
        </w:rPr>
        <w:t xml:space="preserve"> The Department of Employment, Skills, Small and Family Business, Employment Outlook to May 2023, 2018.</w:t>
      </w:r>
    </w:p>
  </w:footnote>
  <w:footnote w:id="22">
    <w:p w14:paraId="46807EE1" w14:textId="2783F61D" w:rsidR="007331AF" w:rsidRPr="00C9712D" w:rsidRDefault="007331AF">
      <w:pPr>
        <w:pStyle w:val="FootnoteText"/>
        <w:rPr>
          <w:sz w:val="16"/>
          <w:szCs w:val="16"/>
        </w:rPr>
      </w:pPr>
      <w:r w:rsidRPr="00C9712D">
        <w:rPr>
          <w:rStyle w:val="FootnoteReference"/>
          <w:sz w:val="16"/>
          <w:szCs w:val="16"/>
        </w:rPr>
        <w:footnoteRef/>
      </w:r>
      <w:r w:rsidRPr="00C9712D">
        <w:rPr>
          <w:sz w:val="16"/>
          <w:szCs w:val="16"/>
        </w:rPr>
        <w:t xml:space="preserve"> ABS (2016) Census of Population and Housing.</w:t>
      </w:r>
    </w:p>
  </w:footnote>
  <w:footnote w:id="23">
    <w:p w14:paraId="3A478460" w14:textId="25698B40" w:rsidR="007331AF" w:rsidRDefault="007331AF">
      <w:pPr>
        <w:pStyle w:val="FootnoteText"/>
      </w:pPr>
      <w:r w:rsidRPr="00C9712D">
        <w:rPr>
          <w:rStyle w:val="FootnoteReference"/>
          <w:sz w:val="16"/>
          <w:szCs w:val="16"/>
        </w:rPr>
        <w:footnoteRef/>
      </w:r>
      <w:r w:rsidRPr="00C9712D">
        <w:rPr>
          <w:sz w:val="16"/>
          <w:szCs w:val="16"/>
        </w:rPr>
        <w:t xml:space="preserve"> Australian Financial Review (2014) Country kids are born CEOs, 11 September 2014 edition, Fairfax Media, Melbourne.</w:t>
      </w:r>
    </w:p>
  </w:footnote>
  <w:footnote w:id="24">
    <w:p w14:paraId="0FF5B90D" w14:textId="1753FAD3" w:rsidR="007331AF" w:rsidRPr="009163AD" w:rsidRDefault="007331AF">
      <w:pPr>
        <w:pStyle w:val="FootnoteText"/>
        <w:rPr>
          <w:sz w:val="16"/>
          <w:szCs w:val="16"/>
        </w:rPr>
      </w:pPr>
      <w:r w:rsidRPr="009163AD">
        <w:rPr>
          <w:rStyle w:val="FootnoteReference"/>
          <w:sz w:val="16"/>
          <w:szCs w:val="16"/>
        </w:rPr>
        <w:footnoteRef/>
      </w:r>
      <w:r w:rsidRPr="009163AD">
        <w:rPr>
          <w:sz w:val="16"/>
          <w:szCs w:val="16"/>
        </w:rPr>
        <w:t xml:space="preserve"> Speech by Philip Lowe, Governor, Reserve Bank of Australia “Regional Variation in a National Economy”, 11 April 2018, p. 12.</w:t>
      </w:r>
    </w:p>
  </w:footnote>
  <w:footnote w:id="25">
    <w:p w14:paraId="515C0DEF" w14:textId="4A1C0D20" w:rsidR="007331AF" w:rsidRDefault="007331AF">
      <w:pPr>
        <w:pStyle w:val="FootnoteText"/>
      </w:pPr>
      <w:r w:rsidRPr="009163AD">
        <w:rPr>
          <w:rStyle w:val="FootnoteReference"/>
          <w:sz w:val="16"/>
          <w:szCs w:val="16"/>
        </w:rPr>
        <w:footnoteRef/>
      </w:r>
      <w:r w:rsidRPr="009163AD">
        <w:rPr>
          <w:sz w:val="16"/>
          <w:szCs w:val="16"/>
        </w:rPr>
        <w:t xml:space="preserve"> Norton, A., Cherastidtham, I., Mackey, W. &amp; Lannan, F. (2019), Presentation to the Regional Education Expert Advisory Group. Grattan Institute, Melbourne.</w:t>
      </w:r>
    </w:p>
  </w:footnote>
  <w:footnote w:id="26">
    <w:p w14:paraId="77F7B178" w14:textId="3D7DC44D" w:rsidR="007331AF" w:rsidRPr="00C4631C" w:rsidRDefault="007331AF">
      <w:pPr>
        <w:pStyle w:val="FootnoteText"/>
        <w:rPr>
          <w:sz w:val="16"/>
          <w:szCs w:val="16"/>
        </w:rPr>
      </w:pPr>
      <w:r w:rsidRPr="00C4631C">
        <w:rPr>
          <w:rStyle w:val="FootnoteReference"/>
          <w:sz w:val="16"/>
          <w:szCs w:val="16"/>
        </w:rPr>
        <w:footnoteRef/>
      </w:r>
      <w:r w:rsidRPr="00C4631C">
        <w:rPr>
          <w:sz w:val="16"/>
          <w:szCs w:val="16"/>
        </w:rPr>
        <w:t xml:space="preserve"> There are 10 levels in the AQF. AQF Levels 1-4 corresponds to a Certificates I-IV; Levels 5-6 to a Diploma, Advanced Diplomas and Associate Degree; Levels 7-10 to university qualifications from Bachelor degrees (Level 7) to Doctorates (Level 10). KPMG (2018) Assessment of university support services for regional and remote students on transition. Internal report for DoE. Canberra.</w:t>
      </w:r>
    </w:p>
  </w:footnote>
  <w:footnote w:id="27">
    <w:p w14:paraId="0BEA8195" w14:textId="30655B03" w:rsidR="007331AF" w:rsidRPr="00C4631C" w:rsidRDefault="007331AF">
      <w:pPr>
        <w:pStyle w:val="FootnoteText"/>
        <w:rPr>
          <w:sz w:val="16"/>
          <w:szCs w:val="16"/>
        </w:rPr>
      </w:pPr>
      <w:r w:rsidRPr="00C4631C">
        <w:rPr>
          <w:rStyle w:val="FootnoteReference"/>
          <w:sz w:val="16"/>
          <w:szCs w:val="16"/>
        </w:rPr>
        <w:footnoteRef/>
      </w:r>
      <w:r w:rsidRPr="00C4631C">
        <w:rPr>
          <w:sz w:val="16"/>
          <w:szCs w:val="16"/>
        </w:rPr>
        <w:t xml:space="preserve"> The Twelve Fields of Education are: Natural and Physical Sciences; Information Technology; Engineering and Related Technologies; Architecture and Building; Agriculture, Environmental and Related Studies; Health; Education; Management and Commerce; Society and Culture; Creative Arts; Food, Hospitality and Personal Services, and; Mixed Field Programs. KPMG (2018) Assessment of university support services for regional and remote students on transition. Internal report for DoE. Canberra.</w:t>
      </w:r>
    </w:p>
  </w:footnote>
  <w:footnote w:id="28">
    <w:p w14:paraId="69DEBB9D" w14:textId="081024E7" w:rsidR="007331AF" w:rsidRDefault="007331AF">
      <w:pPr>
        <w:pStyle w:val="FootnoteText"/>
      </w:pPr>
      <w:r w:rsidRPr="00C4631C">
        <w:rPr>
          <w:rStyle w:val="FootnoteReference"/>
          <w:sz w:val="16"/>
          <w:szCs w:val="16"/>
        </w:rPr>
        <w:footnoteRef/>
      </w:r>
      <w:r w:rsidRPr="00C4631C">
        <w:rPr>
          <w:sz w:val="16"/>
          <w:szCs w:val="16"/>
        </w:rPr>
        <w:t xml:space="preserve"> Cherastidtham, I., Norton, A., &amp; Mackey, W. (2018) University attrition: what helps and what hinders university completion? Grattan Institute, Melbourne, p. 9.</w:t>
      </w:r>
    </w:p>
  </w:footnote>
  <w:footnote w:id="29">
    <w:p w14:paraId="644EA648" w14:textId="171CEA51" w:rsidR="007331AF" w:rsidRPr="00C4631C" w:rsidRDefault="007331AF" w:rsidP="00C4631C">
      <w:pPr>
        <w:pStyle w:val="FootnoteText"/>
        <w:rPr>
          <w:sz w:val="16"/>
          <w:szCs w:val="16"/>
        </w:rPr>
      </w:pPr>
      <w:r w:rsidRPr="00C4631C">
        <w:rPr>
          <w:rStyle w:val="FootnoteReference"/>
          <w:sz w:val="16"/>
          <w:szCs w:val="16"/>
        </w:rPr>
        <w:footnoteRef/>
      </w:r>
      <w:r w:rsidRPr="00C4631C">
        <w:rPr>
          <w:sz w:val="16"/>
          <w:szCs w:val="16"/>
        </w:rPr>
        <w:t xml:space="preserve"> In 2016, 22.1 per cent of 15 to 64 year olds living in cities were enrolled in VET, growing to 31.0 per cent in inner regional, 32.4 per cent in outer regional and 36.2 per cent in remote areas. NCVER, Total VET Students and Courses Collection. ABS (2016) Census – Counting Persons, Place of Usual Residence 2016 (TableBuilder).</w:t>
      </w:r>
    </w:p>
  </w:footnote>
  <w:footnote w:id="30">
    <w:p w14:paraId="6965481F" w14:textId="688A35BC" w:rsidR="007331AF" w:rsidRDefault="007331AF">
      <w:pPr>
        <w:pStyle w:val="FootnoteText"/>
      </w:pPr>
      <w:r w:rsidRPr="00C4631C">
        <w:rPr>
          <w:rStyle w:val="FootnoteReference"/>
          <w:sz w:val="16"/>
          <w:szCs w:val="16"/>
        </w:rPr>
        <w:footnoteRef/>
      </w:r>
      <w:r w:rsidRPr="00C4631C">
        <w:rPr>
          <w:sz w:val="16"/>
          <w:szCs w:val="16"/>
        </w:rPr>
        <w:t xml:space="preserve"> Victorian TAFE Association (2019) Submission to the Regional Education Expert Advisory Group, p.6.</w:t>
      </w:r>
    </w:p>
  </w:footnote>
  <w:footnote w:id="31">
    <w:p w14:paraId="3D46F6B6" w14:textId="752A2A9A" w:rsidR="007331AF" w:rsidRPr="00335060" w:rsidRDefault="007331AF">
      <w:pPr>
        <w:pStyle w:val="FootnoteText"/>
        <w:rPr>
          <w:sz w:val="16"/>
          <w:szCs w:val="16"/>
        </w:rPr>
      </w:pPr>
      <w:r w:rsidRPr="00CA4BD4">
        <w:rPr>
          <w:rStyle w:val="FootnoteReference"/>
          <w:sz w:val="16"/>
          <w:szCs w:val="16"/>
        </w:rPr>
        <w:footnoteRef/>
      </w:r>
      <w:r w:rsidRPr="00CA4BD4">
        <w:rPr>
          <w:sz w:val="16"/>
          <w:szCs w:val="16"/>
        </w:rPr>
        <w:t xml:space="preserve"> Joyce, S (2019). </w:t>
      </w:r>
      <w:r w:rsidRPr="00CA4BD4">
        <w:rPr>
          <w:i/>
          <w:sz w:val="16"/>
          <w:szCs w:val="16"/>
        </w:rPr>
        <w:t xml:space="preserve">Strengthening Skills: Expert Review of Australia’s Vocational Education and Training System, </w:t>
      </w:r>
      <w:r w:rsidRPr="00CA4BD4">
        <w:rPr>
          <w:sz w:val="16"/>
          <w:szCs w:val="16"/>
        </w:rPr>
        <w:t xml:space="preserve">Commonwealth of </w:t>
      </w:r>
      <w:r w:rsidRPr="00335060">
        <w:rPr>
          <w:sz w:val="16"/>
          <w:szCs w:val="16"/>
        </w:rPr>
        <w:t xml:space="preserve">Australia, Canberra, p.81. </w:t>
      </w:r>
    </w:p>
  </w:footnote>
  <w:footnote w:id="32">
    <w:p w14:paraId="3BD13D4B" w14:textId="701342C5" w:rsidR="007331AF" w:rsidRPr="003308BE" w:rsidRDefault="007331AF">
      <w:pPr>
        <w:pStyle w:val="FootnoteText"/>
        <w:rPr>
          <w:sz w:val="16"/>
          <w:szCs w:val="16"/>
        </w:rPr>
      </w:pPr>
      <w:r w:rsidRPr="003308BE">
        <w:rPr>
          <w:rStyle w:val="FootnoteReference"/>
          <w:sz w:val="16"/>
          <w:szCs w:val="16"/>
        </w:rPr>
        <w:footnoteRef/>
      </w:r>
      <w:r w:rsidRPr="003308BE">
        <w:rPr>
          <w:sz w:val="16"/>
          <w:szCs w:val="16"/>
        </w:rPr>
        <w:t xml:space="preserve"> DoE (2018) Higher Education Students Statistics Collection, Australian Government, Canberra.</w:t>
      </w:r>
    </w:p>
  </w:footnote>
  <w:footnote w:id="33">
    <w:p w14:paraId="42AF3D90" w14:textId="34DF941F" w:rsidR="007331AF" w:rsidRDefault="007331AF">
      <w:pPr>
        <w:pStyle w:val="FootnoteText"/>
      </w:pPr>
      <w:r w:rsidRPr="003308BE">
        <w:rPr>
          <w:rStyle w:val="FootnoteReference"/>
          <w:sz w:val="16"/>
          <w:szCs w:val="16"/>
        </w:rPr>
        <w:footnoteRef/>
      </w:r>
      <w:r w:rsidRPr="003308BE">
        <w:rPr>
          <w:sz w:val="16"/>
          <w:szCs w:val="16"/>
        </w:rPr>
        <w:t xml:space="preserve"> NCVER (2018), Total VET Students and Courses Collection.</w:t>
      </w:r>
    </w:p>
  </w:footnote>
  <w:footnote w:id="34">
    <w:p w14:paraId="4475BF8D" w14:textId="77777777" w:rsidR="007331AF" w:rsidRPr="00F62F03" w:rsidRDefault="007331AF" w:rsidP="00F62F03">
      <w:pPr>
        <w:pStyle w:val="FootnoteText"/>
        <w:rPr>
          <w:sz w:val="16"/>
          <w:szCs w:val="16"/>
        </w:rPr>
      </w:pPr>
      <w:r w:rsidRPr="00F62F03">
        <w:rPr>
          <w:rStyle w:val="FootnoteReference"/>
          <w:sz w:val="16"/>
          <w:szCs w:val="16"/>
        </w:rPr>
        <w:footnoteRef/>
      </w:r>
      <w:r w:rsidRPr="00F62F03">
        <w:rPr>
          <w:sz w:val="16"/>
          <w:szCs w:val="16"/>
        </w:rPr>
        <w:t xml:space="preserve"> In 2014, 57 per cent of regional students relocated for university studies compared to 27 per cent of metropolitan students. Baik, C.,</w:t>
      </w:r>
    </w:p>
    <w:p w14:paraId="744266FA" w14:textId="77777777" w:rsidR="007331AF" w:rsidRPr="00F62F03" w:rsidRDefault="007331AF" w:rsidP="00F62F03">
      <w:pPr>
        <w:pStyle w:val="FootnoteText"/>
        <w:rPr>
          <w:sz w:val="16"/>
          <w:szCs w:val="16"/>
        </w:rPr>
      </w:pPr>
      <w:r w:rsidRPr="00F62F03">
        <w:rPr>
          <w:sz w:val="16"/>
          <w:szCs w:val="16"/>
        </w:rPr>
        <w:t>Naylor, R. &amp; Arkoudis, S. (2015). The first year experience in Australian universities: Findings from two decades. 1994-2014, Centre</w:t>
      </w:r>
    </w:p>
    <w:p w14:paraId="53E427C8" w14:textId="32756E19" w:rsidR="007331AF" w:rsidRPr="00F62F03" w:rsidRDefault="007331AF" w:rsidP="00F62F03">
      <w:pPr>
        <w:pStyle w:val="FootnoteText"/>
        <w:rPr>
          <w:sz w:val="16"/>
          <w:szCs w:val="16"/>
        </w:rPr>
      </w:pPr>
      <w:r w:rsidRPr="00F62F03">
        <w:rPr>
          <w:sz w:val="16"/>
          <w:szCs w:val="16"/>
        </w:rPr>
        <w:t>for the Study of Higher Education, The University of Melbourne, Melbourne, p. 80.</w:t>
      </w:r>
    </w:p>
  </w:footnote>
  <w:footnote w:id="35">
    <w:p w14:paraId="004804E1" w14:textId="77777777" w:rsidR="007331AF" w:rsidRPr="00F62F03" w:rsidRDefault="007331AF" w:rsidP="00F62F03">
      <w:pPr>
        <w:pStyle w:val="FootnoteText"/>
        <w:rPr>
          <w:sz w:val="16"/>
          <w:szCs w:val="16"/>
        </w:rPr>
      </w:pPr>
      <w:r w:rsidRPr="00F62F03">
        <w:rPr>
          <w:rStyle w:val="FootnoteReference"/>
          <w:sz w:val="16"/>
          <w:szCs w:val="16"/>
        </w:rPr>
        <w:footnoteRef/>
      </w:r>
      <w:r w:rsidRPr="00F62F03">
        <w:rPr>
          <w:sz w:val="16"/>
          <w:szCs w:val="16"/>
        </w:rPr>
        <w:t xml:space="preserve"> Norton, A., Cherastidtham, I., Mackey, W. and Lannan, F. (2019), Presentation to the Regional Education Expert Advisory Group.</w:t>
      </w:r>
    </w:p>
    <w:p w14:paraId="64763999" w14:textId="65EFE1C2" w:rsidR="007331AF" w:rsidRPr="00F62F03" w:rsidRDefault="007331AF" w:rsidP="00F62F03">
      <w:pPr>
        <w:pStyle w:val="FootnoteText"/>
        <w:rPr>
          <w:b/>
          <w:sz w:val="16"/>
          <w:szCs w:val="16"/>
        </w:rPr>
      </w:pPr>
      <w:r w:rsidRPr="00F62F03">
        <w:rPr>
          <w:sz w:val="16"/>
          <w:szCs w:val="16"/>
        </w:rPr>
        <w:t>Grattan Institute, Melbourne.</w:t>
      </w:r>
    </w:p>
  </w:footnote>
  <w:footnote w:id="36">
    <w:p w14:paraId="4E53A791" w14:textId="77777777" w:rsidR="007331AF" w:rsidRPr="00F62F03" w:rsidRDefault="007331AF" w:rsidP="00F62F03">
      <w:pPr>
        <w:pStyle w:val="FootnoteText"/>
        <w:rPr>
          <w:sz w:val="16"/>
          <w:szCs w:val="16"/>
        </w:rPr>
      </w:pPr>
      <w:r w:rsidRPr="00F62F03">
        <w:rPr>
          <w:rStyle w:val="FootnoteReference"/>
          <w:sz w:val="16"/>
          <w:szCs w:val="16"/>
        </w:rPr>
        <w:footnoteRef/>
      </w:r>
      <w:r w:rsidRPr="00F62F03">
        <w:rPr>
          <w:sz w:val="16"/>
          <w:szCs w:val="16"/>
        </w:rPr>
        <w:t xml:space="preserve"> Godden, N. (2007) Regional young people and youth allowance: Access to tertiary education. Centre for Rural Social Research,</w:t>
      </w:r>
    </w:p>
    <w:p w14:paraId="7A503492" w14:textId="77777777" w:rsidR="007331AF" w:rsidRPr="00F62F03" w:rsidRDefault="007331AF" w:rsidP="00F62F03">
      <w:pPr>
        <w:pStyle w:val="FootnoteText"/>
        <w:rPr>
          <w:sz w:val="16"/>
          <w:szCs w:val="16"/>
        </w:rPr>
      </w:pPr>
      <w:r w:rsidRPr="00F62F03">
        <w:rPr>
          <w:sz w:val="16"/>
          <w:szCs w:val="16"/>
        </w:rPr>
        <w:t>Wagga Wagga, cited in Cardak, B., Brett, M., Bowden, M., Vecci, J., Barry, P., Bahtsevanoglou, J. &amp; McAllister, R. (2017) Regional</w:t>
      </w:r>
    </w:p>
    <w:p w14:paraId="71FDCF81" w14:textId="77777777" w:rsidR="007331AF" w:rsidRPr="00F62F03" w:rsidRDefault="007331AF" w:rsidP="00F62F03">
      <w:pPr>
        <w:pStyle w:val="FootnoteText"/>
        <w:rPr>
          <w:sz w:val="16"/>
          <w:szCs w:val="16"/>
        </w:rPr>
      </w:pPr>
      <w:r w:rsidRPr="00F62F03">
        <w:rPr>
          <w:sz w:val="16"/>
          <w:szCs w:val="16"/>
        </w:rPr>
        <w:t>Student Participation and Migration: Analysis of factors influencing regional student participation and internal migration in Australian</w:t>
      </w:r>
    </w:p>
    <w:p w14:paraId="55040C4E" w14:textId="310E7B7B" w:rsidR="007331AF" w:rsidRPr="00F62F03" w:rsidRDefault="007331AF" w:rsidP="00F62F03">
      <w:pPr>
        <w:pStyle w:val="FootnoteText"/>
        <w:rPr>
          <w:sz w:val="16"/>
          <w:szCs w:val="16"/>
        </w:rPr>
      </w:pPr>
      <w:r w:rsidRPr="00F62F03">
        <w:rPr>
          <w:sz w:val="16"/>
          <w:szCs w:val="16"/>
        </w:rPr>
        <w:t>higher education. National Centre for Student Equity in Higher Education. Curtin University, p. 6.</w:t>
      </w:r>
    </w:p>
  </w:footnote>
  <w:footnote w:id="37">
    <w:p w14:paraId="487BBA0E" w14:textId="77777777" w:rsidR="007331AF" w:rsidRPr="00F62F03" w:rsidRDefault="007331AF" w:rsidP="00F62F03">
      <w:pPr>
        <w:pStyle w:val="FootnoteText"/>
        <w:rPr>
          <w:sz w:val="16"/>
          <w:szCs w:val="16"/>
        </w:rPr>
      </w:pPr>
      <w:r w:rsidRPr="00F62F03">
        <w:rPr>
          <w:rStyle w:val="FootnoteReference"/>
          <w:sz w:val="16"/>
          <w:szCs w:val="16"/>
        </w:rPr>
        <w:footnoteRef/>
      </w:r>
      <w:r w:rsidRPr="00F62F03">
        <w:rPr>
          <w:sz w:val="16"/>
          <w:szCs w:val="16"/>
        </w:rPr>
        <w:t xml:space="preserve"> Quin, R., Stone, C., &amp; Trinidad, S. (2017). Low Rates of Transition to University for High Achieving Students in Regional NSW.</w:t>
      </w:r>
    </w:p>
    <w:p w14:paraId="125925E1" w14:textId="4D9D8EE4" w:rsidR="007331AF" w:rsidRPr="00F62F03" w:rsidRDefault="007331AF" w:rsidP="00F62F03">
      <w:pPr>
        <w:pStyle w:val="FootnoteText"/>
        <w:rPr>
          <w:sz w:val="16"/>
          <w:szCs w:val="16"/>
        </w:rPr>
      </w:pPr>
      <w:r w:rsidRPr="00F62F03">
        <w:rPr>
          <w:sz w:val="16"/>
          <w:szCs w:val="16"/>
        </w:rPr>
        <w:t>Report for NSW Department of Education. National Centre for Student Equity in Higher Education: Curtin University, Perth, p. 45.</w:t>
      </w:r>
    </w:p>
  </w:footnote>
  <w:footnote w:id="38">
    <w:p w14:paraId="7E70A1A4" w14:textId="6906B2BA" w:rsidR="007331AF" w:rsidRPr="00F62F03" w:rsidRDefault="007331AF" w:rsidP="00F62F03">
      <w:pPr>
        <w:pStyle w:val="FootnoteText"/>
        <w:rPr>
          <w:sz w:val="16"/>
          <w:szCs w:val="16"/>
        </w:rPr>
      </w:pPr>
      <w:r w:rsidRPr="00F62F03">
        <w:rPr>
          <w:rStyle w:val="FootnoteReference"/>
          <w:sz w:val="16"/>
          <w:szCs w:val="16"/>
        </w:rPr>
        <w:footnoteRef/>
      </w:r>
      <w:r w:rsidRPr="00F62F03">
        <w:rPr>
          <w:sz w:val="16"/>
          <w:szCs w:val="16"/>
        </w:rPr>
        <w:t xml:space="preserve"> 17.7% of RRR students defer their university offers, compared to 8.1% for metropolitan areas. DET (2018) Undergraduate applications, offers and acceptances, p. 25.</w:t>
      </w:r>
    </w:p>
  </w:footnote>
  <w:footnote w:id="39">
    <w:p w14:paraId="2E2EE3A0" w14:textId="482798E5" w:rsidR="007331AF" w:rsidRPr="00F62F03" w:rsidRDefault="007331AF">
      <w:pPr>
        <w:pStyle w:val="FootnoteText"/>
        <w:rPr>
          <w:sz w:val="16"/>
          <w:szCs w:val="16"/>
        </w:rPr>
      </w:pPr>
      <w:r w:rsidRPr="00F62F03">
        <w:rPr>
          <w:rStyle w:val="FootnoteReference"/>
          <w:sz w:val="16"/>
          <w:szCs w:val="16"/>
        </w:rPr>
        <w:footnoteRef/>
      </w:r>
      <w:r w:rsidRPr="00F62F03">
        <w:rPr>
          <w:sz w:val="16"/>
          <w:szCs w:val="16"/>
        </w:rPr>
        <w:t xml:space="preserve"> Quin, R., Stone, C., &amp; Trinidad, S. (2017), pp. 31-2.</w:t>
      </w:r>
    </w:p>
  </w:footnote>
  <w:footnote w:id="40">
    <w:p w14:paraId="670600E0" w14:textId="4CBC84E9" w:rsidR="007331AF" w:rsidRPr="009A14C6" w:rsidRDefault="007331AF" w:rsidP="00F62F03">
      <w:pPr>
        <w:pStyle w:val="FootnoteText"/>
        <w:rPr>
          <w:sz w:val="16"/>
          <w:szCs w:val="16"/>
        </w:rPr>
      </w:pPr>
      <w:r w:rsidRPr="009A14C6">
        <w:rPr>
          <w:rStyle w:val="FootnoteReference"/>
          <w:sz w:val="16"/>
          <w:szCs w:val="16"/>
        </w:rPr>
        <w:footnoteRef/>
      </w:r>
      <w:r w:rsidRPr="009A14C6">
        <w:rPr>
          <w:sz w:val="16"/>
          <w:szCs w:val="16"/>
        </w:rPr>
        <w:t xml:space="preserve"> Cherastidtham, I., Norton, A. &amp; Mackey, W. (2018) University attrition: what helps and what hinders university completion? Grattan Institute, Melbourne, pp. 40-1.</w:t>
      </w:r>
    </w:p>
  </w:footnote>
  <w:footnote w:id="41">
    <w:p w14:paraId="5952D094" w14:textId="43FE368E" w:rsidR="007331AF" w:rsidRDefault="007331AF" w:rsidP="009A14C6">
      <w:pPr>
        <w:pStyle w:val="FootnoteText"/>
      </w:pPr>
      <w:r w:rsidRPr="009A14C6">
        <w:rPr>
          <w:rStyle w:val="FootnoteReference"/>
          <w:sz w:val="16"/>
          <w:szCs w:val="16"/>
        </w:rPr>
        <w:footnoteRef/>
      </w:r>
      <w:r w:rsidRPr="009A14C6">
        <w:rPr>
          <w:sz w:val="16"/>
          <w:szCs w:val="16"/>
        </w:rPr>
        <w:t xml:space="preserve"> QILT (2019), ‘2018 Student Experience Survey: National Report’, </w:t>
      </w:r>
      <w:hyperlink r:id="rId4" w:history="1">
        <w:r w:rsidRPr="00D3786E">
          <w:rPr>
            <w:rStyle w:val="Hyperlink"/>
            <w:sz w:val="16"/>
            <w:szCs w:val="16"/>
          </w:rPr>
          <w:t>https://www.qilt.edu.au/docs/default-source/ses/ses2018/2018-ses-national-report75e58791b1e86477b58fff00006709da.pdf?sfvrsn=d733e33c_4</w:t>
        </w:r>
      </w:hyperlink>
      <w:r>
        <w:rPr>
          <w:sz w:val="16"/>
          <w:szCs w:val="16"/>
        </w:rPr>
        <w:t xml:space="preserve"> </w:t>
      </w:r>
    </w:p>
  </w:footnote>
  <w:footnote w:id="42">
    <w:p w14:paraId="744875FC" w14:textId="77777777" w:rsidR="007331AF" w:rsidRPr="00A50297" w:rsidRDefault="007331AF" w:rsidP="00B7095C">
      <w:pPr>
        <w:pStyle w:val="FootnoteText"/>
        <w:rPr>
          <w:sz w:val="16"/>
          <w:szCs w:val="16"/>
        </w:rPr>
      </w:pPr>
      <w:r w:rsidRPr="00F62F03">
        <w:rPr>
          <w:rStyle w:val="FootnoteReference"/>
          <w:sz w:val="16"/>
          <w:szCs w:val="16"/>
        </w:rPr>
        <w:footnoteRef/>
      </w:r>
      <w:r w:rsidRPr="00F62F03">
        <w:rPr>
          <w:sz w:val="16"/>
          <w:szCs w:val="16"/>
        </w:rPr>
        <w:t xml:space="preserve"> Pollard, L. (2018), ‘Remote student university success’, National Centre for Student Equity in Higher Education and the University of Western Australia, p.42.</w:t>
      </w:r>
      <w:r w:rsidRPr="00A50297">
        <w:rPr>
          <w:sz w:val="16"/>
          <w:szCs w:val="16"/>
        </w:rPr>
        <w:t xml:space="preserve"> </w:t>
      </w:r>
    </w:p>
  </w:footnote>
  <w:footnote w:id="43">
    <w:p w14:paraId="2ABEC4E4" w14:textId="5CCF5DCC" w:rsidR="007331AF" w:rsidRPr="00BE2179" w:rsidRDefault="007331AF" w:rsidP="00C76EC0">
      <w:pPr>
        <w:pStyle w:val="FootnoteText"/>
        <w:rPr>
          <w:sz w:val="16"/>
          <w:szCs w:val="16"/>
        </w:rPr>
      </w:pPr>
      <w:r w:rsidRPr="00BE2179">
        <w:rPr>
          <w:rStyle w:val="FootnoteReference"/>
          <w:sz w:val="16"/>
          <w:szCs w:val="16"/>
        </w:rPr>
        <w:footnoteRef/>
      </w:r>
      <w:r w:rsidRPr="00BE2179">
        <w:rPr>
          <w:sz w:val="16"/>
          <w:szCs w:val="16"/>
        </w:rPr>
        <w:t xml:space="preserve"> </w:t>
      </w:r>
      <w:hyperlink r:id="rId5" w:history="1">
        <w:r w:rsidRPr="00D3786E">
          <w:rPr>
            <w:rStyle w:val="Hyperlink"/>
            <w:sz w:val="16"/>
            <w:szCs w:val="16"/>
          </w:rPr>
          <w:t>https://www.gooduniversitiesguide.com.au/scholarships</w:t>
        </w:r>
      </w:hyperlink>
      <w:r>
        <w:rPr>
          <w:sz w:val="16"/>
          <w:szCs w:val="16"/>
        </w:rPr>
        <w:t xml:space="preserve"> </w:t>
      </w:r>
    </w:p>
  </w:footnote>
  <w:footnote w:id="44">
    <w:p w14:paraId="4575D943" w14:textId="77777777" w:rsidR="007331AF" w:rsidRPr="008067B5" w:rsidRDefault="007331AF" w:rsidP="00C0619F">
      <w:pPr>
        <w:pStyle w:val="FootnoteText"/>
        <w:rPr>
          <w:sz w:val="16"/>
          <w:szCs w:val="16"/>
        </w:rPr>
      </w:pPr>
      <w:r w:rsidRPr="008067B5">
        <w:rPr>
          <w:rStyle w:val="FootnoteReference"/>
          <w:sz w:val="16"/>
          <w:szCs w:val="16"/>
        </w:rPr>
        <w:footnoteRef/>
      </w:r>
      <w:r w:rsidRPr="008067B5">
        <w:rPr>
          <w:sz w:val="16"/>
          <w:szCs w:val="16"/>
        </w:rPr>
        <w:t xml:space="preserve"> Quin, R., Stone, C., &amp; Trinidad, S. (2017), p. 32</w:t>
      </w:r>
    </w:p>
  </w:footnote>
  <w:footnote w:id="45">
    <w:p w14:paraId="0C1B6308" w14:textId="1A7986EC" w:rsidR="007331AF" w:rsidRPr="008067B5" w:rsidRDefault="007331AF" w:rsidP="00BD299F">
      <w:pPr>
        <w:pStyle w:val="FootnoteText"/>
        <w:rPr>
          <w:sz w:val="16"/>
          <w:szCs w:val="16"/>
        </w:rPr>
      </w:pPr>
      <w:r w:rsidRPr="008067B5">
        <w:rPr>
          <w:rStyle w:val="FootnoteReference"/>
          <w:sz w:val="16"/>
          <w:szCs w:val="16"/>
        </w:rPr>
        <w:footnoteRef/>
      </w:r>
      <w:r w:rsidRPr="008067B5">
        <w:rPr>
          <w:sz w:val="16"/>
          <w:szCs w:val="16"/>
        </w:rPr>
        <w:t xml:space="preserve"> QILT (2019), ‘2018 Student Experience Survey: National Report’, </w:t>
      </w:r>
      <w:hyperlink r:id="rId6" w:history="1">
        <w:r w:rsidRPr="00D3786E">
          <w:rPr>
            <w:rStyle w:val="Hyperlink"/>
            <w:sz w:val="16"/>
            <w:szCs w:val="16"/>
          </w:rPr>
          <w:t>https://www.qilt.edu.au/docs/default-source/ses/ses2018/2018-ses-national-report75e58791b1e86477b58fff00006709da.pdf?sfvrsn=d733e33c_4</w:t>
        </w:r>
      </w:hyperlink>
      <w:r>
        <w:rPr>
          <w:sz w:val="16"/>
          <w:szCs w:val="16"/>
        </w:rPr>
        <w:t xml:space="preserve"> </w:t>
      </w:r>
    </w:p>
  </w:footnote>
  <w:footnote w:id="46">
    <w:p w14:paraId="3C5BB70C" w14:textId="13C5512A" w:rsidR="007331AF" w:rsidRPr="008067B5" w:rsidRDefault="007331AF" w:rsidP="00C76EC0">
      <w:pPr>
        <w:pStyle w:val="FootnoteText"/>
        <w:rPr>
          <w:sz w:val="16"/>
          <w:szCs w:val="16"/>
        </w:rPr>
      </w:pPr>
      <w:r w:rsidRPr="008067B5">
        <w:rPr>
          <w:rStyle w:val="FootnoteReference"/>
          <w:sz w:val="16"/>
          <w:szCs w:val="16"/>
        </w:rPr>
        <w:footnoteRef/>
      </w:r>
      <w:r w:rsidRPr="008067B5">
        <w:rPr>
          <w:sz w:val="16"/>
          <w:szCs w:val="16"/>
        </w:rPr>
        <w:t xml:space="preserve"> </w:t>
      </w:r>
      <w:r w:rsidRPr="008067B5">
        <w:rPr>
          <w:rFonts w:cstheme="minorHAnsi"/>
          <w:sz w:val="16"/>
          <w:szCs w:val="16"/>
        </w:rPr>
        <w:t xml:space="preserve">Behrendt, L., Larkin, S., Griew, R., and Kelly, P. (2012). </w:t>
      </w:r>
      <w:r w:rsidRPr="008067B5">
        <w:rPr>
          <w:rFonts w:cstheme="minorHAnsi"/>
          <w:iCs/>
          <w:sz w:val="16"/>
          <w:szCs w:val="16"/>
        </w:rPr>
        <w:t xml:space="preserve">Review of Higher Education Access and Outcomes for Aboriginal and Torres Strait Islander people: Final report. Canberra: </w:t>
      </w:r>
      <w:r w:rsidRPr="008067B5">
        <w:rPr>
          <w:rFonts w:cstheme="minorHAnsi"/>
          <w:sz w:val="16"/>
          <w:szCs w:val="16"/>
        </w:rPr>
        <w:t>Australian Government.</w:t>
      </w:r>
    </w:p>
  </w:footnote>
  <w:footnote w:id="47">
    <w:p w14:paraId="42784A6A" w14:textId="2A77A2F9" w:rsidR="007331AF" w:rsidRPr="008067B5" w:rsidRDefault="007331AF" w:rsidP="00B7095C">
      <w:pPr>
        <w:pStyle w:val="FootnoteText"/>
        <w:rPr>
          <w:rStyle w:val="FootnoteReference"/>
          <w:sz w:val="16"/>
          <w:szCs w:val="16"/>
        </w:rPr>
      </w:pPr>
      <w:r w:rsidRPr="008067B5">
        <w:rPr>
          <w:rStyle w:val="FootnoteReference"/>
          <w:sz w:val="16"/>
          <w:szCs w:val="16"/>
        </w:rPr>
        <w:footnoteRef/>
      </w:r>
      <w:r w:rsidRPr="008067B5">
        <w:rPr>
          <w:sz w:val="16"/>
          <w:szCs w:val="16"/>
        </w:rPr>
        <w:t xml:space="preserve"> DoE (2018) Higher Education Students Statistics Collection.</w:t>
      </w:r>
    </w:p>
  </w:footnote>
  <w:footnote w:id="48">
    <w:p w14:paraId="1BCB9DAD" w14:textId="51C03710" w:rsidR="007331AF" w:rsidRPr="008067B5" w:rsidRDefault="007331AF" w:rsidP="00B7095C">
      <w:pPr>
        <w:pStyle w:val="FootnoteText"/>
        <w:rPr>
          <w:sz w:val="16"/>
          <w:szCs w:val="16"/>
        </w:rPr>
      </w:pPr>
      <w:r w:rsidRPr="008067B5">
        <w:rPr>
          <w:rStyle w:val="FootnoteReference"/>
          <w:sz w:val="16"/>
          <w:szCs w:val="16"/>
        </w:rPr>
        <w:footnoteRef/>
      </w:r>
      <w:r w:rsidRPr="008067B5">
        <w:rPr>
          <w:sz w:val="16"/>
          <w:szCs w:val="16"/>
        </w:rPr>
        <w:t xml:space="preserve"> DoE (2018) Higher Education Students Statistics Collection.</w:t>
      </w:r>
    </w:p>
  </w:footnote>
  <w:footnote w:id="49">
    <w:p w14:paraId="340DE75B" w14:textId="5AB100C4" w:rsidR="007331AF" w:rsidRPr="005D3E1C" w:rsidRDefault="007331AF">
      <w:pPr>
        <w:pStyle w:val="FootnoteText"/>
        <w:rPr>
          <w:sz w:val="16"/>
          <w:szCs w:val="16"/>
        </w:rPr>
      </w:pPr>
      <w:r w:rsidRPr="008067B5">
        <w:rPr>
          <w:rStyle w:val="FootnoteReference"/>
          <w:sz w:val="16"/>
          <w:szCs w:val="16"/>
        </w:rPr>
        <w:footnoteRef/>
      </w:r>
      <w:r w:rsidRPr="008067B5">
        <w:rPr>
          <w:sz w:val="16"/>
          <w:szCs w:val="16"/>
        </w:rPr>
        <w:t xml:space="preserve"> DoE (2018) Higher Education Students Statistics Collection</w:t>
      </w:r>
      <w:r>
        <w:rPr>
          <w:sz w:val="16"/>
          <w:szCs w:val="16"/>
        </w:rPr>
        <w:t>.</w:t>
      </w:r>
    </w:p>
  </w:footnote>
  <w:footnote w:id="50">
    <w:p w14:paraId="5A830786" w14:textId="42D6EA4E" w:rsidR="007331AF" w:rsidRPr="00106B6D" w:rsidRDefault="007331AF" w:rsidP="00BE2179">
      <w:pPr>
        <w:pStyle w:val="FootnoteText"/>
        <w:rPr>
          <w:sz w:val="16"/>
          <w:szCs w:val="16"/>
        </w:rPr>
      </w:pPr>
      <w:r w:rsidRPr="00106B6D">
        <w:rPr>
          <w:rStyle w:val="FootnoteReference"/>
          <w:sz w:val="16"/>
          <w:szCs w:val="16"/>
        </w:rPr>
        <w:footnoteRef/>
      </w:r>
      <w:r w:rsidRPr="00106B6D">
        <w:rPr>
          <w:sz w:val="16"/>
          <w:szCs w:val="16"/>
        </w:rPr>
        <w:t xml:space="preserve"> Nelson, et al. (2017) Understanding the Completion Patterns of Equity Students in Regional Universities</w:t>
      </w:r>
    </w:p>
    <w:p w14:paraId="7D88DCBC" w14:textId="4BA0FD97" w:rsidR="007331AF" w:rsidRPr="00106B6D" w:rsidRDefault="000652D9" w:rsidP="00BE2179">
      <w:pPr>
        <w:pStyle w:val="FootnoteText"/>
        <w:rPr>
          <w:sz w:val="16"/>
          <w:szCs w:val="16"/>
        </w:rPr>
      </w:pPr>
      <w:hyperlink r:id="rId7" w:history="1">
        <w:r w:rsidR="007331AF" w:rsidRPr="00D3786E">
          <w:rPr>
            <w:rStyle w:val="Hyperlink"/>
            <w:sz w:val="16"/>
            <w:szCs w:val="16"/>
          </w:rPr>
          <w:t>https://www.ncsehe.edu.au/publications/completion-patterns-of-equity-students-in-regional-universities</w:t>
        </w:r>
      </w:hyperlink>
      <w:r w:rsidR="007331AF">
        <w:rPr>
          <w:sz w:val="16"/>
          <w:szCs w:val="16"/>
        </w:rPr>
        <w:t xml:space="preserve"> </w:t>
      </w:r>
      <w:r w:rsidR="007331AF" w:rsidRPr="00106B6D" w:rsidDel="00BE2179">
        <w:rPr>
          <w:sz w:val="16"/>
          <w:szCs w:val="16"/>
        </w:rPr>
        <w:t xml:space="preserve"> </w:t>
      </w:r>
    </w:p>
  </w:footnote>
  <w:footnote w:id="51">
    <w:p w14:paraId="07291231" w14:textId="3A038C3F" w:rsidR="007331AF" w:rsidRPr="00106B6D" w:rsidRDefault="007331AF">
      <w:pPr>
        <w:pStyle w:val="FootnoteText"/>
        <w:rPr>
          <w:sz w:val="16"/>
          <w:szCs w:val="16"/>
        </w:rPr>
      </w:pPr>
      <w:r w:rsidRPr="00106B6D">
        <w:rPr>
          <w:rStyle w:val="FootnoteReference"/>
          <w:sz w:val="16"/>
          <w:szCs w:val="16"/>
        </w:rPr>
        <w:footnoteRef/>
      </w:r>
      <w:r w:rsidRPr="00106B6D">
        <w:rPr>
          <w:sz w:val="16"/>
          <w:szCs w:val="16"/>
        </w:rPr>
        <w:t xml:space="preserve"> </w:t>
      </w:r>
      <w:r w:rsidRPr="00106B6D">
        <w:rPr>
          <w:rFonts w:eastAsia="Times New Roman" w:cstheme="minorHAnsi"/>
          <w:color w:val="000000" w:themeColor="text1"/>
          <w:sz w:val="16"/>
          <w:szCs w:val="16"/>
          <w:lang w:val="en" w:eastAsia="en-AU"/>
        </w:rPr>
        <w:t xml:space="preserve">Batchelor Institute </w:t>
      </w:r>
      <w:r w:rsidRPr="00106B6D">
        <w:rPr>
          <w:sz w:val="16"/>
          <w:szCs w:val="16"/>
        </w:rPr>
        <w:t>(2019) Submission to the Regional Education Expert Advisory Group, pp.2-3.</w:t>
      </w:r>
    </w:p>
  </w:footnote>
  <w:footnote w:id="52">
    <w:p w14:paraId="6FAEF61B" w14:textId="77777777" w:rsidR="007331AF" w:rsidRPr="00106B6D" w:rsidRDefault="007331AF" w:rsidP="00F509AA">
      <w:pPr>
        <w:pStyle w:val="FootnoteText"/>
        <w:rPr>
          <w:sz w:val="16"/>
          <w:szCs w:val="16"/>
        </w:rPr>
      </w:pPr>
      <w:r w:rsidRPr="00106B6D">
        <w:rPr>
          <w:rStyle w:val="FootnoteReference"/>
          <w:sz w:val="16"/>
          <w:szCs w:val="16"/>
        </w:rPr>
        <w:footnoteRef/>
      </w:r>
      <w:r w:rsidRPr="00106B6D">
        <w:rPr>
          <w:sz w:val="16"/>
          <w:szCs w:val="16"/>
        </w:rPr>
        <w:t xml:space="preserve"> NCVER (2018), Improving participation and success in VET for disadvantaged learners. Available at:</w:t>
      </w:r>
    </w:p>
    <w:p w14:paraId="3554814E" w14:textId="3B613C89" w:rsidR="007331AF" w:rsidRPr="00106B6D" w:rsidRDefault="000652D9" w:rsidP="00F509AA">
      <w:pPr>
        <w:pStyle w:val="FootnoteText"/>
        <w:rPr>
          <w:sz w:val="16"/>
          <w:szCs w:val="16"/>
        </w:rPr>
      </w:pPr>
      <w:hyperlink r:id="rId8" w:history="1">
        <w:r w:rsidR="007331AF" w:rsidRPr="00D3786E">
          <w:rPr>
            <w:rStyle w:val="Hyperlink"/>
            <w:sz w:val="16"/>
            <w:szCs w:val="16"/>
          </w:rPr>
          <w:t>https://www.ncver.edu.au/research-and-statistics/publications/all-publications/improving-participation-and-success-in-vet-fordisadvantaged-learners</w:t>
        </w:r>
      </w:hyperlink>
    </w:p>
  </w:footnote>
  <w:footnote w:id="53">
    <w:p w14:paraId="43A70447" w14:textId="332728A1" w:rsidR="007331AF" w:rsidRDefault="007331AF">
      <w:pPr>
        <w:pStyle w:val="FootnoteText"/>
      </w:pPr>
      <w:r w:rsidRPr="00106B6D">
        <w:rPr>
          <w:rStyle w:val="FootnoteReference"/>
          <w:sz w:val="16"/>
          <w:szCs w:val="16"/>
        </w:rPr>
        <w:footnoteRef/>
      </w:r>
      <w:r w:rsidRPr="00106B6D">
        <w:rPr>
          <w:sz w:val="16"/>
          <w:szCs w:val="16"/>
        </w:rPr>
        <w:t xml:space="preserve"> NCVER (2018), Improving participation and success in VET for disadvantaged learners.</w:t>
      </w:r>
    </w:p>
  </w:footnote>
  <w:footnote w:id="54">
    <w:p w14:paraId="1E267771" w14:textId="77777777" w:rsidR="007331AF" w:rsidRPr="004F05E8" w:rsidRDefault="007331AF" w:rsidP="00B7095C">
      <w:pPr>
        <w:pStyle w:val="FootnoteText"/>
        <w:rPr>
          <w:rFonts w:cstheme="minorHAnsi"/>
          <w:sz w:val="16"/>
          <w:szCs w:val="16"/>
        </w:rPr>
      </w:pPr>
      <w:r w:rsidRPr="00AA0345">
        <w:rPr>
          <w:rFonts w:cstheme="minorHAnsi"/>
          <w:sz w:val="16"/>
          <w:szCs w:val="16"/>
          <w:vertAlign w:val="superscript"/>
        </w:rPr>
        <w:footnoteRef/>
      </w:r>
      <w:r w:rsidRPr="00AA0345">
        <w:rPr>
          <w:rFonts w:cstheme="minorHAnsi"/>
          <w:sz w:val="16"/>
          <w:szCs w:val="16"/>
        </w:rPr>
        <w:t xml:space="preserve"> For Aboriginal Australians connection to community and traditional lands and sea (known as Country) is profound—being on Country, being from Country, being of Country and caring for Country.</w:t>
      </w:r>
    </w:p>
  </w:footnote>
  <w:footnote w:id="55">
    <w:p w14:paraId="72CE6690" w14:textId="77777777" w:rsidR="007331AF" w:rsidRPr="00EA1091" w:rsidRDefault="007331AF" w:rsidP="00515F2C">
      <w:pPr>
        <w:pStyle w:val="FootnoteText"/>
        <w:rPr>
          <w:sz w:val="16"/>
          <w:szCs w:val="16"/>
        </w:rPr>
      </w:pPr>
      <w:r w:rsidRPr="00EA1091">
        <w:rPr>
          <w:rStyle w:val="FootnoteReference"/>
          <w:sz w:val="16"/>
          <w:szCs w:val="16"/>
        </w:rPr>
        <w:footnoteRef/>
      </w:r>
      <w:r w:rsidRPr="00EA1091">
        <w:rPr>
          <w:sz w:val="16"/>
          <w:szCs w:val="16"/>
        </w:rPr>
        <w:t xml:space="preserve"> Vernon, L., Watson, S. J., &amp; Taggart, A. (2018). University aspirational pathways for metropolitan and regional students: Implications for supporting school-university outreach partnerships. Australian and International Journal of Rural Education, 28(1).</w:t>
      </w:r>
    </w:p>
  </w:footnote>
  <w:footnote w:id="56">
    <w:p w14:paraId="009A59D8" w14:textId="77777777" w:rsidR="007331AF" w:rsidRPr="00EA1091" w:rsidRDefault="007331AF" w:rsidP="000518C1">
      <w:pPr>
        <w:pStyle w:val="FootnoteText"/>
        <w:rPr>
          <w:sz w:val="16"/>
          <w:szCs w:val="16"/>
        </w:rPr>
      </w:pPr>
      <w:r w:rsidRPr="00EA1091">
        <w:rPr>
          <w:rStyle w:val="FootnoteReference"/>
          <w:sz w:val="16"/>
          <w:szCs w:val="16"/>
        </w:rPr>
        <w:footnoteRef/>
      </w:r>
      <w:r w:rsidRPr="00EA1091">
        <w:rPr>
          <w:sz w:val="16"/>
          <w:szCs w:val="16"/>
        </w:rPr>
        <w:t xml:space="preserve"> James, R. (2001). Participation disadvantage in Australian higher education: An analysis of some effects of geographical location and socioeconomic status, </w:t>
      </w:r>
      <w:r w:rsidRPr="00EA1091">
        <w:rPr>
          <w:i/>
          <w:sz w:val="16"/>
          <w:szCs w:val="16"/>
        </w:rPr>
        <w:t xml:space="preserve">Higher Education, </w:t>
      </w:r>
      <w:r w:rsidRPr="00EA1091">
        <w:rPr>
          <w:sz w:val="16"/>
          <w:szCs w:val="16"/>
        </w:rPr>
        <w:t>42(4), p. 471.</w:t>
      </w:r>
    </w:p>
  </w:footnote>
  <w:footnote w:id="57">
    <w:p w14:paraId="0B913173" w14:textId="4553B1DF" w:rsidR="007331AF" w:rsidRPr="00EA1091" w:rsidRDefault="007331AF">
      <w:pPr>
        <w:pStyle w:val="FootnoteText"/>
        <w:rPr>
          <w:sz w:val="16"/>
          <w:szCs w:val="16"/>
        </w:rPr>
      </w:pPr>
      <w:r w:rsidRPr="00EA1091">
        <w:rPr>
          <w:rStyle w:val="FootnoteReference"/>
          <w:sz w:val="16"/>
          <w:szCs w:val="16"/>
        </w:rPr>
        <w:footnoteRef/>
      </w:r>
      <w:r w:rsidRPr="00EA1091">
        <w:rPr>
          <w:sz w:val="16"/>
          <w:szCs w:val="16"/>
        </w:rPr>
        <w:t xml:space="preserve"> ACECQA (2018) National Quality Framework Snapshot Q2.</w:t>
      </w:r>
    </w:p>
  </w:footnote>
  <w:footnote w:id="58">
    <w:p w14:paraId="4CA5A561" w14:textId="7ED121C5" w:rsidR="007331AF" w:rsidRPr="00D53B13" w:rsidRDefault="007331AF" w:rsidP="00567CF7">
      <w:pPr>
        <w:pStyle w:val="FootnoteText"/>
        <w:rPr>
          <w:rFonts w:eastAsiaTheme="minorEastAsia"/>
          <w:sz w:val="16"/>
          <w:szCs w:val="16"/>
        </w:rPr>
      </w:pPr>
      <w:r w:rsidRPr="00EA1091">
        <w:rPr>
          <w:rStyle w:val="FootnoteReference"/>
          <w:sz w:val="16"/>
          <w:szCs w:val="16"/>
        </w:rPr>
        <w:footnoteRef/>
      </w:r>
      <w:r w:rsidRPr="00EA1091">
        <w:rPr>
          <w:sz w:val="16"/>
          <w:szCs w:val="16"/>
        </w:rPr>
        <w:t xml:space="preserve"> </w:t>
      </w:r>
      <w:r w:rsidRPr="00EA1091">
        <w:rPr>
          <w:rFonts w:eastAsiaTheme="minorEastAsia"/>
          <w:sz w:val="16"/>
          <w:szCs w:val="16"/>
        </w:rPr>
        <w:t xml:space="preserve"> </w:t>
      </w:r>
      <w:hyperlink r:id="rId9" w:history="1">
        <w:r w:rsidRPr="00D3786E">
          <w:rPr>
            <w:rStyle w:val="Hyperlink"/>
            <w:rFonts w:eastAsiaTheme="minorEastAsia"/>
            <w:sz w:val="16"/>
            <w:szCs w:val="16"/>
          </w:rPr>
          <w:t>https://www.aedc.gov.au/resources/detail/2018-aedc-national-report</w:t>
        </w:r>
      </w:hyperlink>
      <w:r>
        <w:rPr>
          <w:rFonts w:eastAsiaTheme="minorEastAsia"/>
          <w:sz w:val="16"/>
          <w:szCs w:val="16"/>
        </w:rPr>
        <w:t xml:space="preserve"> </w:t>
      </w:r>
      <w:r w:rsidRPr="00D53B13">
        <w:rPr>
          <w:rFonts w:eastAsiaTheme="minorEastAsia"/>
        </w:rPr>
        <w:t xml:space="preserve"> </w:t>
      </w:r>
    </w:p>
  </w:footnote>
  <w:footnote w:id="59">
    <w:p w14:paraId="70040AE8" w14:textId="682AF147" w:rsidR="007331AF" w:rsidRPr="00082CF8" w:rsidRDefault="007331AF" w:rsidP="00082CF8">
      <w:pPr>
        <w:pStyle w:val="FootnoteText"/>
        <w:rPr>
          <w:sz w:val="16"/>
          <w:szCs w:val="16"/>
        </w:rPr>
      </w:pPr>
      <w:r w:rsidRPr="00082CF8">
        <w:rPr>
          <w:rStyle w:val="FootnoteReference"/>
          <w:sz w:val="16"/>
          <w:szCs w:val="16"/>
        </w:rPr>
        <w:footnoteRef/>
      </w:r>
      <w:r w:rsidRPr="00082CF8">
        <w:rPr>
          <w:sz w:val="16"/>
          <w:szCs w:val="16"/>
        </w:rPr>
        <w:t xml:space="preserve"> Australian Curriculum, Assessment and Reporting Authority 2017, NAPLAN Achievement in reading, Writing, Language Conventions and Numeracy: National Report for 2017, ACARA Sydney.</w:t>
      </w:r>
    </w:p>
  </w:footnote>
  <w:footnote w:id="60">
    <w:p w14:paraId="4FFA5CBA" w14:textId="1577208E" w:rsidR="007331AF" w:rsidRPr="003E6E8A" w:rsidRDefault="007331AF" w:rsidP="00422673">
      <w:pPr>
        <w:pStyle w:val="FootnoteText"/>
        <w:rPr>
          <w:sz w:val="16"/>
          <w:szCs w:val="16"/>
        </w:rPr>
      </w:pPr>
      <w:r w:rsidRPr="003E6E8A">
        <w:rPr>
          <w:rStyle w:val="FootnoteReference"/>
          <w:sz w:val="16"/>
          <w:szCs w:val="16"/>
        </w:rPr>
        <w:footnoteRef/>
      </w:r>
      <w:r w:rsidRPr="003E6E8A">
        <w:rPr>
          <w:sz w:val="16"/>
          <w:szCs w:val="16"/>
        </w:rPr>
        <w:t xml:space="preserve"> Gonski</w:t>
      </w:r>
      <w:r>
        <w:rPr>
          <w:sz w:val="16"/>
          <w:szCs w:val="16"/>
        </w:rPr>
        <w:t>,</w:t>
      </w:r>
      <w:r w:rsidRPr="003E6E8A">
        <w:rPr>
          <w:sz w:val="16"/>
          <w:szCs w:val="16"/>
        </w:rPr>
        <w:t xml:space="preserve"> D</w:t>
      </w:r>
      <w:r>
        <w:rPr>
          <w:sz w:val="16"/>
          <w:szCs w:val="16"/>
        </w:rPr>
        <w:t>.</w:t>
      </w:r>
      <w:r w:rsidRPr="003E6E8A">
        <w:rPr>
          <w:sz w:val="16"/>
          <w:szCs w:val="16"/>
        </w:rPr>
        <w:t xml:space="preserve"> et al</w:t>
      </w:r>
      <w:r>
        <w:rPr>
          <w:sz w:val="16"/>
          <w:szCs w:val="16"/>
        </w:rPr>
        <w:t>..</w:t>
      </w:r>
      <w:r w:rsidRPr="003E6E8A">
        <w:rPr>
          <w:sz w:val="16"/>
          <w:szCs w:val="16"/>
        </w:rPr>
        <w:t xml:space="preserve"> </w:t>
      </w:r>
      <w:r>
        <w:rPr>
          <w:sz w:val="16"/>
          <w:szCs w:val="16"/>
        </w:rPr>
        <w:t>(</w:t>
      </w:r>
      <w:r w:rsidRPr="003E6E8A">
        <w:rPr>
          <w:sz w:val="16"/>
          <w:szCs w:val="16"/>
        </w:rPr>
        <w:t>2018</w:t>
      </w:r>
      <w:r>
        <w:rPr>
          <w:sz w:val="16"/>
          <w:szCs w:val="16"/>
        </w:rPr>
        <w:t>)</w:t>
      </w:r>
      <w:r w:rsidRPr="003E6E8A">
        <w:rPr>
          <w:sz w:val="16"/>
          <w:szCs w:val="16"/>
        </w:rPr>
        <w:t xml:space="preserve">, Review to Achieve Excellence in Australian Schools, </w:t>
      </w:r>
      <w:hyperlink r:id="rId10" w:history="1">
        <w:r w:rsidRPr="00D3786E">
          <w:rPr>
            <w:rStyle w:val="Hyperlink"/>
            <w:sz w:val="16"/>
            <w:szCs w:val="16"/>
          </w:rPr>
          <w:t>https://www.education.gov.au/review-achieve-educational-excellence-australian-schools</w:t>
        </w:r>
      </w:hyperlink>
      <w:r>
        <w:rPr>
          <w:sz w:val="16"/>
          <w:szCs w:val="16"/>
        </w:rPr>
        <w:t xml:space="preserve"> </w:t>
      </w:r>
    </w:p>
  </w:footnote>
  <w:footnote w:id="61">
    <w:p w14:paraId="52C43152" w14:textId="1818AF80" w:rsidR="007331AF" w:rsidRPr="003E6E8A" w:rsidRDefault="007331AF" w:rsidP="00422673">
      <w:pPr>
        <w:pStyle w:val="FootnoteText"/>
        <w:rPr>
          <w:sz w:val="16"/>
          <w:szCs w:val="16"/>
        </w:rPr>
      </w:pPr>
      <w:r w:rsidRPr="003E6E8A">
        <w:rPr>
          <w:rStyle w:val="FootnoteReference"/>
          <w:sz w:val="16"/>
          <w:szCs w:val="16"/>
        </w:rPr>
        <w:footnoteRef/>
      </w:r>
      <w:r w:rsidRPr="003E6E8A">
        <w:rPr>
          <w:sz w:val="16"/>
          <w:szCs w:val="16"/>
        </w:rPr>
        <w:t xml:space="preserve"> </w:t>
      </w:r>
      <w:hyperlink r:id="rId11" w:history="1">
        <w:r w:rsidRPr="00D3786E">
          <w:rPr>
            <w:rStyle w:val="Hyperlink"/>
            <w:sz w:val="16"/>
            <w:szCs w:val="16"/>
          </w:rPr>
          <w:t>https://www.education.gov.au/independent-review-regional-rural-and-remote-education</w:t>
        </w:r>
      </w:hyperlink>
      <w:r>
        <w:rPr>
          <w:sz w:val="16"/>
          <w:szCs w:val="16"/>
        </w:rPr>
        <w:t xml:space="preserve"> </w:t>
      </w:r>
    </w:p>
  </w:footnote>
  <w:footnote w:id="62">
    <w:p w14:paraId="643F27BC" w14:textId="53179B01" w:rsidR="007331AF" w:rsidRDefault="007331AF" w:rsidP="003E6E8A">
      <w:pPr>
        <w:pStyle w:val="FootnoteText"/>
      </w:pPr>
      <w:r w:rsidRPr="003E6E8A">
        <w:rPr>
          <w:rStyle w:val="FootnoteReference"/>
          <w:sz w:val="16"/>
          <w:szCs w:val="16"/>
        </w:rPr>
        <w:footnoteRef/>
      </w:r>
      <w:r w:rsidRPr="003E6E8A">
        <w:rPr>
          <w:sz w:val="16"/>
          <w:szCs w:val="16"/>
        </w:rPr>
        <w:t xml:space="preserve"> DET (2018) Through Growth to Achievement: Report of the Review to Achieve Educational Excellence in Australian Schools, Australian Government, Canberra, p. xvi.</w:t>
      </w:r>
    </w:p>
  </w:footnote>
  <w:footnote w:id="63">
    <w:p w14:paraId="6C7FAE58" w14:textId="6E032BFB" w:rsidR="007331AF" w:rsidRPr="0063552E" w:rsidRDefault="007331AF" w:rsidP="005C3915">
      <w:pPr>
        <w:pStyle w:val="FootnoteText"/>
        <w:rPr>
          <w:sz w:val="16"/>
          <w:szCs w:val="16"/>
        </w:rPr>
      </w:pPr>
      <w:r w:rsidRPr="003E6E8A">
        <w:rPr>
          <w:rStyle w:val="FootnoteReference"/>
          <w:sz w:val="16"/>
          <w:szCs w:val="16"/>
        </w:rPr>
        <w:footnoteRef/>
      </w:r>
      <w:r w:rsidRPr="003E6E8A">
        <w:rPr>
          <w:sz w:val="16"/>
          <w:szCs w:val="16"/>
        </w:rPr>
        <w:t xml:space="preserve"> Zacharias, N., Mitchell, G., Raciti, M., Koshy, P., Li, I., Costello, D., and Trinidad, S. (2018). Widening Regional and Remote Participation: Interrogating the Impact of Outreach Programs Across Queensland. National Centre for Student Equity in Higher Education. Perth: Curtin University.</w:t>
      </w:r>
    </w:p>
  </w:footnote>
  <w:footnote w:id="64">
    <w:p w14:paraId="68F9F118" w14:textId="2F14F34D" w:rsidR="007331AF" w:rsidRPr="00802B97" w:rsidRDefault="007331AF">
      <w:pPr>
        <w:pStyle w:val="FootnoteText"/>
        <w:rPr>
          <w:sz w:val="16"/>
          <w:szCs w:val="16"/>
        </w:rPr>
      </w:pPr>
      <w:r w:rsidRPr="00802B97">
        <w:rPr>
          <w:rStyle w:val="FootnoteReference"/>
          <w:sz w:val="16"/>
          <w:szCs w:val="16"/>
        </w:rPr>
        <w:footnoteRef/>
      </w:r>
      <w:r w:rsidRPr="00802B97">
        <w:rPr>
          <w:sz w:val="16"/>
          <w:szCs w:val="16"/>
        </w:rPr>
        <w:t xml:space="preserve"> Mann, A., Huddleston, P. and Kashefpakdel, E. (eds.) (2019), Essays on Employer Engagement in Education, London, Routledge.</w:t>
      </w:r>
    </w:p>
  </w:footnote>
  <w:footnote w:id="65">
    <w:p w14:paraId="7F9408DB" w14:textId="0D43B5D4" w:rsidR="007331AF" w:rsidRDefault="007331AF" w:rsidP="00802B97">
      <w:pPr>
        <w:pStyle w:val="FootnoteText"/>
      </w:pPr>
      <w:r w:rsidRPr="00802B97">
        <w:rPr>
          <w:rStyle w:val="FootnoteReference"/>
          <w:sz w:val="16"/>
          <w:szCs w:val="16"/>
        </w:rPr>
        <w:footnoteRef/>
      </w:r>
      <w:r w:rsidRPr="00802B97">
        <w:rPr>
          <w:sz w:val="16"/>
          <w:szCs w:val="16"/>
        </w:rPr>
        <w:t xml:space="preserve"> The Economist – Worldwide Education for the Future Index (2018), </w:t>
      </w:r>
      <w:hyperlink r:id="rId12" w:history="1">
        <w:r w:rsidRPr="00D3786E">
          <w:rPr>
            <w:rStyle w:val="Hyperlink"/>
            <w:sz w:val="16"/>
            <w:szCs w:val="16"/>
          </w:rPr>
          <w:t>http://educatingforthefuture.economist.com/EIUYidanPrizeEducatingFortheFuture2018WP.pdf</w:t>
        </w:r>
      </w:hyperlink>
      <w:r>
        <w:rPr>
          <w:sz w:val="16"/>
          <w:szCs w:val="16"/>
        </w:rPr>
        <w:t xml:space="preserve"> </w:t>
      </w:r>
    </w:p>
  </w:footnote>
  <w:footnote w:id="66">
    <w:p w14:paraId="1277B470" w14:textId="77777777" w:rsidR="007331AF" w:rsidRPr="00784227" w:rsidRDefault="007331AF" w:rsidP="002A0DE0">
      <w:pPr>
        <w:pStyle w:val="FootnoteText"/>
        <w:rPr>
          <w:sz w:val="16"/>
          <w:szCs w:val="16"/>
        </w:rPr>
      </w:pPr>
      <w:r w:rsidRPr="0063552E">
        <w:rPr>
          <w:rStyle w:val="FootnoteReference"/>
          <w:sz w:val="16"/>
          <w:szCs w:val="16"/>
        </w:rPr>
        <w:footnoteRef/>
      </w:r>
      <w:r w:rsidRPr="0063552E">
        <w:rPr>
          <w:sz w:val="16"/>
          <w:szCs w:val="16"/>
        </w:rPr>
        <w:t xml:space="preserve"> Country Education Partnership, written Submission 2019</w:t>
      </w:r>
    </w:p>
  </w:footnote>
  <w:footnote w:id="67">
    <w:p w14:paraId="08790E7E" w14:textId="47D6D158" w:rsidR="007331AF" w:rsidRPr="009D08B8" w:rsidRDefault="007331AF">
      <w:pPr>
        <w:pStyle w:val="FootnoteText"/>
        <w:rPr>
          <w:sz w:val="16"/>
          <w:szCs w:val="16"/>
        </w:rPr>
      </w:pPr>
      <w:r w:rsidRPr="009D08B8">
        <w:rPr>
          <w:rStyle w:val="FootnoteReference"/>
          <w:sz w:val="16"/>
          <w:szCs w:val="16"/>
        </w:rPr>
        <w:footnoteRef/>
      </w:r>
      <w:r w:rsidRPr="009D08B8">
        <w:rPr>
          <w:sz w:val="16"/>
          <w:szCs w:val="16"/>
        </w:rPr>
        <w:t xml:space="preserve"> Joyce, S (2019). Strengthening Skills, p.86.</w:t>
      </w:r>
    </w:p>
  </w:footnote>
  <w:footnote w:id="68">
    <w:p w14:paraId="0E004298" w14:textId="2B19C769" w:rsidR="007331AF" w:rsidRPr="009D08B8" w:rsidRDefault="007331AF">
      <w:pPr>
        <w:pStyle w:val="FootnoteText"/>
        <w:rPr>
          <w:sz w:val="16"/>
          <w:szCs w:val="16"/>
        </w:rPr>
      </w:pPr>
      <w:r w:rsidRPr="009D08B8">
        <w:rPr>
          <w:rStyle w:val="FootnoteReference"/>
          <w:sz w:val="16"/>
          <w:szCs w:val="16"/>
        </w:rPr>
        <w:footnoteRef/>
      </w:r>
      <w:r w:rsidRPr="009D08B8">
        <w:rPr>
          <w:sz w:val="16"/>
          <w:szCs w:val="16"/>
        </w:rPr>
        <w:t xml:space="preserve"> Verbal consultation (January 2019), South West Regional TAFE, Western Australia.</w:t>
      </w:r>
    </w:p>
  </w:footnote>
  <w:footnote w:id="69">
    <w:p w14:paraId="6CA6AA85" w14:textId="523291B9" w:rsidR="007331AF" w:rsidRDefault="007331AF">
      <w:pPr>
        <w:pStyle w:val="FootnoteText"/>
      </w:pPr>
      <w:r w:rsidRPr="009D08B8">
        <w:rPr>
          <w:rStyle w:val="FootnoteReference"/>
          <w:sz w:val="16"/>
          <w:szCs w:val="16"/>
        </w:rPr>
        <w:footnoteRef/>
      </w:r>
      <w:r w:rsidRPr="009D08B8">
        <w:rPr>
          <w:sz w:val="16"/>
          <w:szCs w:val="16"/>
        </w:rPr>
        <w:t xml:space="preserve"> Joyce, S (2019). </w:t>
      </w:r>
      <w:r w:rsidRPr="00D23878">
        <w:rPr>
          <w:i/>
          <w:sz w:val="16"/>
        </w:rPr>
        <w:t>Strengthening Skills</w:t>
      </w:r>
      <w:r w:rsidRPr="009D08B8">
        <w:rPr>
          <w:sz w:val="16"/>
          <w:szCs w:val="16"/>
        </w:rPr>
        <w:t>, p.91.</w:t>
      </w:r>
    </w:p>
  </w:footnote>
  <w:footnote w:id="70">
    <w:p w14:paraId="6D329D32" w14:textId="640207D0" w:rsidR="007331AF" w:rsidRPr="008B22BB" w:rsidRDefault="007331AF" w:rsidP="008B22BB">
      <w:pPr>
        <w:pStyle w:val="FootnoteText"/>
        <w:rPr>
          <w:sz w:val="16"/>
          <w:szCs w:val="16"/>
        </w:rPr>
      </w:pPr>
      <w:r w:rsidRPr="008B22BB">
        <w:rPr>
          <w:rStyle w:val="FootnoteReference"/>
          <w:sz w:val="16"/>
          <w:szCs w:val="16"/>
        </w:rPr>
        <w:footnoteRef/>
      </w:r>
      <w:r w:rsidRPr="008B22BB">
        <w:rPr>
          <w:sz w:val="16"/>
          <w:szCs w:val="16"/>
        </w:rPr>
        <w:t xml:space="preserve"> Dawkins, J. (1988). Higher Education: a policy statement. Canberra: Australian Government Publishing Service. Department of Employment Education and Training. (1990). A Fair Chance for All: National and Institutional Planning for Equity in Higher Education: A Discussion Paper. Canberra.</w:t>
      </w:r>
    </w:p>
  </w:footnote>
  <w:footnote w:id="71">
    <w:p w14:paraId="277BB095" w14:textId="24CDA0A0" w:rsidR="007331AF" w:rsidRPr="00743F8E" w:rsidRDefault="007331AF" w:rsidP="00743F8E">
      <w:pPr>
        <w:pStyle w:val="FootnoteText"/>
        <w:rPr>
          <w:sz w:val="16"/>
          <w:szCs w:val="16"/>
        </w:rPr>
      </w:pPr>
      <w:r w:rsidRPr="00743F8E">
        <w:rPr>
          <w:rStyle w:val="FootnoteReference"/>
          <w:sz w:val="16"/>
          <w:szCs w:val="16"/>
        </w:rPr>
        <w:footnoteRef/>
      </w:r>
      <w:r w:rsidRPr="00743F8E">
        <w:rPr>
          <w:sz w:val="16"/>
          <w:szCs w:val="16"/>
        </w:rPr>
        <w:t xml:space="preserve"> Between 2011 and 2016, enrolment by students from low SES backgrounds increased 29.5 per cent, Indigenous Australians enrolments rose by 51.5 per cent and enrolment of people with disability increased by 51.3 per cent. Source: DET: Student Enrolment Time Series: Percentage increases in equity group enrolments, 2011-2016.</w:t>
      </w:r>
    </w:p>
  </w:footnote>
  <w:footnote w:id="72">
    <w:p w14:paraId="4D1E401C" w14:textId="05D8BF3E" w:rsidR="007331AF" w:rsidRPr="00743F8E" w:rsidRDefault="007331AF" w:rsidP="00743F8E">
      <w:pPr>
        <w:pStyle w:val="FootnoteText"/>
        <w:rPr>
          <w:sz w:val="16"/>
          <w:szCs w:val="16"/>
        </w:rPr>
      </w:pPr>
      <w:r w:rsidRPr="00743F8E">
        <w:rPr>
          <w:rStyle w:val="FootnoteReference"/>
          <w:sz w:val="16"/>
          <w:szCs w:val="16"/>
        </w:rPr>
        <w:footnoteRef/>
      </w:r>
      <w:r w:rsidRPr="00743F8E">
        <w:rPr>
          <w:sz w:val="16"/>
          <w:szCs w:val="16"/>
        </w:rPr>
        <w:t xml:space="preserve"> Pollard, L. (2018) Remote Student University Success–An Analysis of Policy and Practice. National Centre for Student Equity in Higher Education, Curtin University, Perth.</w:t>
      </w:r>
    </w:p>
  </w:footnote>
  <w:footnote w:id="73">
    <w:p w14:paraId="75390CBA" w14:textId="2245B694" w:rsidR="007331AF" w:rsidRPr="00743F8E" w:rsidRDefault="007331AF">
      <w:pPr>
        <w:pStyle w:val="FootnoteText"/>
        <w:rPr>
          <w:sz w:val="16"/>
          <w:szCs w:val="16"/>
        </w:rPr>
      </w:pPr>
      <w:r w:rsidRPr="00743F8E">
        <w:rPr>
          <w:rStyle w:val="FootnoteReference"/>
          <w:sz w:val="16"/>
          <w:szCs w:val="16"/>
        </w:rPr>
        <w:footnoteRef/>
      </w:r>
      <w:r w:rsidRPr="00743F8E">
        <w:rPr>
          <w:sz w:val="16"/>
          <w:szCs w:val="16"/>
        </w:rPr>
        <w:t xml:space="preserve"> ACIL Allen Consulting (2017) Evaluation of the HEPPP: Higher Education Participation and Partnerships Program, DET, Canberra.</w:t>
      </w:r>
    </w:p>
  </w:footnote>
  <w:footnote w:id="74">
    <w:p w14:paraId="640A94CF" w14:textId="77777777" w:rsidR="007331AF" w:rsidRPr="00743F8E" w:rsidRDefault="007331AF" w:rsidP="00743F8E">
      <w:pPr>
        <w:pStyle w:val="FootnoteText"/>
        <w:rPr>
          <w:sz w:val="16"/>
          <w:szCs w:val="16"/>
        </w:rPr>
      </w:pPr>
      <w:r w:rsidRPr="00743F8E">
        <w:rPr>
          <w:rStyle w:val="FootnoteReference"/>
          <w:sz w:val="16"/>
          <w:szCs w:val="16"/>
        </w:rPr>
        <w:footnoteRef/>
      </w:r>
      <w:r w:rsidRPr="00743F8E">
        <w:rPr>
          <w:sz w:val="16"/>
          <w:szCs w:val="16"/>
        </w:rPr>
        <w:t xml:space="preserve"> For these results, it is worth bearing in mind that overlap between equity groups makes disaggregating students into groups</w:t>
      </w:r>
    </w:p>
    <w:p w14:paraId="66B1C8BA" w14:textId="04FBBDA4" w:rsidR="007331AF" w:rsidRPr="00743F8E" w:rsidRDefault="007331AF" w:rsidP="00743F8E">
      <w:pPr>
        <w:pStyle w:val="FootnoteText"/>
        <w:rPr>
          <w:sz w:val="16"/>
          <w:szCs w:val="16"/>
        </w:rPr>
      </w:pPr>
      <w:r w:rsidRPr="00743F8E">
        <w:rPr>
          <w:sz w:val="16"/>
          <w:szCs w:val="16"/>
        </w:rPr>
        <w:t>challenging.</w:t>
      </w:r>
    </w:p>
  </w:footnote>
  <w:footnote w:id="75">
    <w:p w14:paraId="74B64101" w14:textId="7A980710" w:rsidR="007331AF" w:rsidRDefault="007331AF">
      <w:pPr>
        <w:pStyle w:val="FootnoteText"/>
      </w:pPr>
      <w:r w:rsidRPr="00743F8E">
        <w:rPr>
          <w:rStyle w:val="FootnoteReference"/>
          <w:sz w:val="16"/>
          <w:szCs w:val="16"/>
        </w:rPr>
        <w:footnoteRef/>
      </w:r>
      <w:r w:rsidRPr="00743F8E">
        <w:rPr>
          <w:sz w:val="16"/>
          <w:szCs w:val="16"/>
        </w:rPr>
        <w:t xml:space="preserve"> ACIL Allen Consulting (2017) Evaluation of the HEPPP: Higher Education Participation and Partnerships Program, DET, Canberra</w:t>
      </w:r>
      <w:r w:rsidRPr="00743F8E">
        <w:t>.</w:t>
      </w:r>
    </w:p>
  </w:footnote>
  <w:footnote w:id="76">
    <w:p w14:paraId="4D1916FD" w14:textId="371CB792" w:rsidR="007331AF" w:rsidRPr="007411CB" w:rsidRDefault="007331AF">
      <w:pPr>
        <w:pStyle w:val="FootnoteText"/>
        <w:rPr>
          <w:sz w:val="16"/>
          <w:szCs w:val="16"/>
        </w:rPr>
      </w:pPr>
      <w:r w:rsidRPr="007411CB">
        <w:rPr>
          <w:rStyle w:val="FootnoteReference"/>
          <w:sz w:val="16"/>
          <w:szCs w:val="16"/>
        </w:rPr>
        <w:footnoteRef/>
      </w:r>
      <w:r w:rsidRPr="007411CB">
        <w:rPr>
          <w:sz w:val="16"/>
          <w:szCs w:val="16"/>
        </w:rPr>
        <w:t xml:space="preserve"> ABS 2018 Estimates of Aboriginal and Torres Strait Islander Australians, June 2016.</w:t>
      </w:r>
    </w:p>
  </w:footnote>
  <w:footnote w:id="77">
    <w:p w14:paraId="77D8CB11" w14:textId="5393B634" w:rsidR="007331AF" w:rsidRPr="007411CB" w:rsidRDefault="007331AF">
      <w:pPr>
        <w:pStyle w:val="FootnoteText"/>
        <w:rPr>
          <w:sz w:val="16"/>
          <w:szCs w:val="16"/>
        </w:rPr>
      </w:pPr>
      <w:r w:rsidRPr="007411CB">
        <w:rPr>
          <w:rStyle w:val="FootnoteReference"/>
          <w:sz w:val="16"/>
          <w:szCs w:val="16"/>
        </w:rPr>
        <w:footnoteRef/>
      </w:r>
      <w:r w:rsidRPr="007411CB">
        <w:rPr>
          <w:sz w:val="16"/>
          <w:szCs w:val="16"/>
        </w:rPr>
        <w:t xml:space="preserve"> NCVER, Total VET Students and Courses Collection.</w:t>
      </w:r>
    </w:p>
  </w:footnote>
  <w:footnote w:id="78">
    <w:p w14:paraId="4638B7DD" w14:textId="6B24F62C" w:rsidR="007331AF" w:rsidRPr="007411CB" w:rsidRDefault="007331AF">
      <w:pPr>
        <w:pStyle w:val="FootnoteText"/>
        <w:rPr>
          <w:sz w:val="16"/>
          <w:szCs w:val="16"/>
        </w:rPr>
      </w:pPr>
      <w:r w:rsidRPr="007411CB">
        <w:rPr>
          <w:rStyle w:val="FootnoteReference"/>
          <w:sz w:val="16"/>
          <w:szCs w:val="16"/>
        </w:rPr>
        <w:footnoteRef/>
      </w:r>
      <w:r w:rsidRPr="007411CB">
        <w:rPr>
          <w:sz w:val="16"/>
          <w:szCs w:val="16"/>
        </w:rPr>
        <w:t xml:space="preserve"> Koshy P. 2018 Equity student participation in Australian higher education: 2012-2017, NCSEHE, Perth: Curtin University.</w:t>
      </w:r>
    </w:p>
  </w:footnote>
  <w:footnote w:id="79">
    <w:p w14:paraId="3B828AAD" w14:textId="77777777" w:rsidR="007331AF" w:rsidRPr="007411CB" w:rsidRDefault="007331AF" w:rsidP="007411CB">
      <w:pPr>
        <w:pStyle w:val="FootnoteText"/>
        <w:rPr>
          <w:sz w:val="16"/>
          <w:szCs w:val="16"/>
        </w:rPr>
      </w:pPr>
      <w:r w:rsidRPr="007411CB">
        <w:rPr>
          <w:rStyle w:val="FootnoteReference"/>
          <w:sz w:val="16"/>
          <w:szCs w:val="16"/>
        </w:rPr>
        <w:footnoteRef/>
      </w:r>
      <w:r w:rsidRPr="007411CB">
        <w:rPr>
          <w:sz w:val="16"/>
          <w:szCs w:val="16"/>
        </w:rPr>
        <w:t xml:space="preserve"> DoE Higher Education Statistics Collection. In 2017 there were 19,237 Indigenous university students of which 8706 had a RRR</w:t>
      </w:r>
    </w:p>
    <w:p w14:paraId="142A6F46" w14:textId="1A0EE491" w:rsidR="007331AF" w:rsidRPr="007411CB" w:rsidRDefault="007331AF" w:rsidP="007411CB">
      <w:pPr>
        <w:pStyle w:val="FootnoteText"/>
        <w:rPr>
          <w:sz w:val="16"/>
          <w:szCs w:val="16"/>
        </w:rPr>
      </w:pPr>
      <w:r w:rsidRPr="007411CB">
        <w:rPr>
          <w:sz w:val="16"/>
          <w:szCs w:val="16"/>
        </w:rPr>
        <w:t>First Address and 8403 had a RRR permanent address postcode.</w:t>
      </w:r>
    </w:p>
  </w:footnote>
  <w:footnote w:id="80">
    <w:p w14:paraId="3832DA76" w14:textId="77777777" w:rsidR="007331AF" w:rsidRPr="007411CB" w:rsidRDefault="007331AF" w:rsidP="007411CB">
      <w:pPr>
        <w:pStyle w:val="FootnoteText"/>
        <w:rPr>
          <w:sz w:val="16"/>
          <w:szCs w:val="16"/>
        </w:rPr>
      </w:pPr>
      <w:r w:rsidRPr="007411CB">
        <w:rPr>
          <w:rStyle w:val="FootnoteReference"/>
          <w:sz w:val="16"/>
          <w:szCs w:val="16"/>
        </w:rPr>
        <w:footnoteRef/>
      </w:r>
      <w:r w:rsidRPr="007411CB">
        <w:rPr>
          <w:sz w:val="16"/>
          <w:szCs w:val="16"/>
        </w:rPr>
        <w:t xml:space="preserve"> For Aboriginal Australians connection to community and traditional lands and sea (known as Country) is profound—being on</w:t>
      </w:r>
    </w:p>
    <w:p w14:paraId="11F3BF0E" w14:textId="77777777" w:rsidR="007331AF" w:rsidRPr="007411CB" w:rsidRDefault="007331AF" w:rsidP="007411CB">
      <w:pPr>
        <w:pStyle w:val="FootnoteText"/>
        <w:rPr>
          <w:sz w:val="16"/>
          <w:szCs w:val="16"/>
        </w:rPr>
      </w:pPr>
      <w:r w:rsidRPr="007411CB">
        <w:rPr>
          <w:sz w:val="16"/>
          <w:szCs w:val="16"/>
        </w:rPr>
        <w:t>Country, being from Country, being of Country and caring for Country. Country is inextricably tied to the Aboriginal body, spirit and</w:t>
      </w:r>
    </w:p>
    <w:p w14:paraId="4EF53BED" w14:textId="77777777" w:rsidR="007331AF" w:rsidRPr="007411CB" w:rsidRDefault="007331AF" w:rsidP="007411CB">
      <w:pPr>
        <w:pStyle w:val="FootnoteText"/>
        <w:rPr>
          <w:sz w:val="16"/>
          <w:szCs w:val="16"/>
        </w:rPr>
      </w:pPr>
      <w:r w:rsidRPr="007411CB">
        <w:rPr>
          <w:sz w:val="16"/>
          <w:szCs w:val="16"/>
        </w:rPr>
        <w:t>mind (Ford, 2010; Bunda, 2015). Country influences Aboriginal students (Bourke, Burden and Moore, 1996; Henderson-Yates et al.,</w:t>
      </w:r>
    </w:p>
    <w:p w14:paraId="6B4A2A73" w14:textId="3108C3A6" w:rsidR="007331AF" w:rsidRPr="007411CB" w:rsidRDefault="007331AF" w:rsidP="007411CB">
      <w:pPr>
        <w:pStyle w:val="FootnoteText"/>
        <w:rPr>
          <w:sz w:val="16"/>
          <w:szCs w:val="16"/>
        </w:rPr>
      </w:pPr>
      <w:r w:rsidRPr="007411CB">
        <w:rPr>
          <w:sz w:val="16"/>
          <w:szCs w:val="16"/>
        </w:rPr>
        <w:t>2014) and is an important consideration within an Indigenous higher education policy landscape (Frawley, Larkin and Smith, 2017).</w:t>
      </w:r>
    </w:p>
  </w:footnote>
  <w:footnote w:id="81">
    <w:p w14:paraId="59C33F8A" w14:textId="77777777" w:rsidR="007331AF" w:rsidRPr="007411CB" w:rsidRDefault="007331AF" w:rsidP="007411CB">
      <w:pPr>
        <w:pStyle w:val="FootnoteText"/>
        <w:rPr>
          <w:sz w:val="16"/>
          <w:szCs w:val="16"/>
        </w:rPr>
      </w:pPr>
      <w:r w:rsidRPr="007411CB">
        <w:rPr>
          <w:rStyle w:val="FootnoteReference"/>
          <w:sz w:val="16"/>
          <w:szCs w:val="16"/>
        </w:rPr>
        <w:footnoteRef/>
      </w:r>
      <w:r w:rsidRPr="007411CB">
        <w:rPr>
          <w:sz w:val="16"/>
          <w:szCs w:val="16"/>
        </w:rPr>
        <w:t xml:space="preserve"> NCVER 2017 enrolment data showed Indigenous VET students engaged in classroom-based delivery to a greater extent than</w:t>
      </w:r>
    </w:p>
    <w:p w14:paraId="667B7737" w14:textId="51F62C6C" w:rsidR="007331AF" w:rsidRPr="007411CB" w:rsidRDefault="007331AF" w:rsidP="007411CB">
      <w:pPr>
        <w:pStyle w:val="FootnoteText"/>
        <w:rPr>
          <w:sz w:val="16"/>
          <w:szCs w:val="16"/>
        </w:rPr>
      </w:pPr>
      <w:r w:rsidRPr="007411CB">
        <w:rPr>
          <w:sz w:val="16"/>
          <w:szCs w:val="16"/>
        </w:rPr>
        <w:t xml:space="preserve">electronic-based, employment based and other modes of delivery. See https://va.ncver.edu.au/. </w:t>
      </w:r>
    </w:p>
  </w:footnote>
  <w:footnote w:id="82">
    <w:p w14:paraId="5B5C5B91" w14:textId="7BB36FEE" w:rsidR="007331AF" w:rsidRPr="007411CB" w:rsidRDefault="007331AF" w:rsidP="007411CB">
      <w:pPr>
        <w:pStyle w:val="FootnoteText"/>
      </w:pPr>
      <w:r w:rsidRPr="007411CB">
        <w:rPr>
          <w:rStyle w:val="FootnoteReference"/>
          <w:sz w:val="16"/>
          <w:szCs w:val="16"/>
        </w:rPr>
        <w:footnoteRef/>
      </w:r>
      <w:r w:rsidRPr="007411CB">
        <w:rPr>
          <w:sz w:val="16"/>
          <w:szCs w:val="16"/>
        </w:rPr>
        <w:t xml:space="preserve"> Edwards, Daniel and McMillan, Julie, “Completing university in a growing sector: Is equity an issue?” (2015). </w:t>
      </w:r>
      <w:hyperlink r:id="rId13" w:history="1">
        <w:r w:rsidRPr="00D3786E">
          <w:rPr>
            <w:rStyle w:val="Hyperlink"/>
            <w:sz w:val="16"/>
            <w:szCs w:val="16"/>
          </w:rPr>
          <w:t>https://research.acer.edu.au/higher_education/43</w:t>
        </w:r>
      </w:hyperlink>
      <w:r>
        <w:rPr>
          <w:sz w:val="16"/>
          <w:szCs w:val="16"/>
        </w:rPr>
        <w:t xml:space="preserve"> </w:t>
      </w:r>
      <w:r w:rsidRPr="007411CB">
        <w:rPr>
          <w:sz w:val="16"/>
          <w:szCs w:val="16"/>
        </w:rPr>
        <w:t>.</w:t>
      </w:r>
      <w:r>
        <w:t xml:space="preserve"> </w:t>
      </w:r>
    </w:p>
  </w:footnote>
  <w:footnote w:id="83">
    <w:p w14:paraId="719768AE" w14:textId="33F5F65C" w:rsidR="007331AF" w:rsidRPr="007411CB" w:rsidRDefault="007331AF" w:rsidP="007411CB">
      <w:pPr>
        <w:pStyle w:val="FootnoteText"/>
        <w:rPr>
          <w:sz w:val="16"/>
          <w:szCs w:val="16"/>
        </w:rPr>
      </w:pPr>
      <w:r w:rsidRPr="007411CB">
        <w:rPr>
          <w:rStyle w:val="FootnoteReference"/>
          <w:sz w:val="16"/>
          <w:szCs w:val="16"/>
        </w:rPr>
        <w:footnoteRef/>
      </w:r>
      <w:r w:rsidRPr="007411CB">
        <w:rPr>
          <w:sz w:val="16"/>
          <w:szCs w:val="16"/>
        </w:rPr>
        <w:t xml:space="preserve"> DET (2018), Undergraduate Applications, Offers and Acceptances 2018.</w:t>
      </w:r>
    </w:p>
  </w:footnote>
  <w:footnote w:id="84">
    <w:p w14:paraId="2C208416" w14:textId="30E09C90" w:rsidR="007331AF" w:rsidRPr="00F65089" w:rsidRDefault="007331AF" w:rsidP="00F65089">
      <w:pPr>
        <w:pStyle w:val="FootnoteText"/>
        <w:rPr>
          <w:sz w:val="16"/>
          <w:szCs w:val="16"/>
        </w:rPr>
      </w:pPr>
      <w:r w:rsidRPr="00F65089">
        <w:rPr>
          <w:rStyle w:val="FootnoteReference"/>
          <w:sz w:val="16"/>
          <w:szCs w:val="16"/>
        </w:rPr>
        <w:footnoteRef/>
      </w:r>
      <w:r w:rsidRPr="00F65089">
        <w:rPr>
          <w:sz w:val="16"/>
          <w:szCs w:val="16"/>
        </w:rPr>
        <w:t xml:space="preserve"> NCSEHE Focus 2017, Successful outcomes for students with disability in Australian higher education, National Centre for Student Equity in Higher Education, Curtin University: Perth.</w:t>
      </w:r>
    </w:p>
  </w:footnote>
  <w:footnote w:id="85">
    <w:p w14:paraId="0CA93625" w14:textId="6E112794" w:rsidR="007331AF" w:rsidRPr="00990491" w:rsidRDefault="007331AF" w:rsidP="00990491">
      <w:pPr>
        <w:pStyle w:val="FootnoteText"/>
        <w:rPr>
          <w:sz w:val="16"/>
          <w:szCs w:val="16"/>
        </w:rPr>
      </w:pPr>
      <w:r w:rsidRPr="00990491">
        <w:rPr>
          <w:rStyle w:val="FootnoteReference"/>
          <w:sz w:val="16"/>
          <w:szCs w:val="16"/>
        </w:rPr>
        <w:footnoteRef/>
      </w:r>
      <w:r w:rsidRPr="00990491">
        <w:rPr>
          <w:sz w:val="16"/>
          <w:szCs w:val="16"/>
        </w:rPr>
        <w:t xml:space="preserve"> ABS 2019, </w:t>
      </w:r>
      <w:r w:rsidRPr="00990491">
        <w:rPr>
          <w:i/>
          <w:iCs/>
          <w:sz w:val="16"/>
          <w:szCs w:val="16"/>
        </w:rPr>
        <w:t>Regional Population Growth, Australia, 2017-18</w:t>
      </w:r>
      <w:r w:rsidRPr="00990491">
        <w:rPr>
          <w:sz w:val="16"/>
          <w:szCs w:val="16"/>
        </w:rPr>
        <w:t xml:space="preserve">, March 2019 update (Cat. No. 3218). Refers to 2018; Employment: ABS 2019, </w:t>
      </w:r>
      <w:r w:rsidRPr="00990491">
        <w:rPr>
          <w:i/>
          <w:iCs/>
          <w:sz w:val="16"/>
          <w:szCs w:val="16"/>
        </w:rPr>
        <w:t xml:space="preserve">Labour Force, Australia, Detailed - Electronic Delivery, Jan 2019 </w:t>
      </w:r>
      <w:r w:rsidRPr="00990491">
        <w:rPr>
          <w:sz w:val="16"/>
          <w:szCs w:val="16"/>
        </w:rPr>
        <w:t>(Cat. No. 6291.0.55.001).</w:t>
      </w:r>
    </w:p>
  </w:footnote>
  <w:footnote w:id="86">
    <w:p w14:paraId="50FD7624" w14:textId="0D690B47" w:rsidR="007331AF" w:rsidRPr="00990491" w:rsidRDefault="007331AF" w:rsidP="00990491">
      <w:pPr>
        <w:pStyle w:val="FootnoteText"/>
        <w:rPr>
          <w:sz w:val="16"/>
          <w:szCs w:val="16"/>
        </w:rPr>
      </w:pPr>
      <w:r w:rsidRPr="00990491">
        <w:rPr>
          <w:rStyle w:val="FootnoteReference"/>
          <w:sz w:val="16"/>
          <w:szCs w:val="16"/>
        </w:rPr>
        <w:footnoteRef/>
      </w:r>
      <w:r w:rsidRPr="00990491">
        <w:rPr>
          <w:sz w:val="16"/>
          <w:szCs w:val="16"/>
        </w:rPr>
        <w:t xml:space="preserve"> House of Representatives Select Committee on Regional Development and Decentralisation (2018) Regions at the ready: </w:t>
      </w:r>
      <w:r>
        <w:rPr>
          <w:sz w:val="16"/>
          <w:szCs w:val="16"/>
        </w:rPr>
        <w:t xml:space="preserve">investing </w:t>
      </w:r>
      <w:r w:rsidRPr="00990491">
        <w:rPr>
          <w:sz w:val="16"/>
          <w:szCs w:val="16"/>
        </w:rPr>
        <w:t>in Australia’s future - final report, Canberra. p. xxv.</w:t>
      </w:r>
    </w:p>
  </w:footnote>
  <w:footnote w:id="87">
    <w:p w14:paraId="5B7F58B5" w14:textId="6408C524" w:rsidR="007331AF" w:rsidRPr="00990491" w:rsidRDefault="007331AF" w:rsidP="00990491">
      <w:pPr>
        <w:pStyle w:val="FootnoteText"/>
        <w:rPr>
          <w:sz w:val="16"/>
          <w:szCs w:val="16"/>
        </w:rPr>
      </w:pPr>
      <w:r w:rsidRPr="00990491">
        <w:rPr>
          <w:rStyle w:val="FootnoteReference"/>
          <w:sz w:val="16"/>
          <w:szCs w:val="16"/>
        </w:rPr>
        <w:footnoteRef/>
      </w:r>
      <w:r w:rsidRPr="00990491">
        <w:rPr>
          <w:sz w:val="16"/>
          <w:szCs w:val="16"/>
        </w:rPr>
        <w:t xml:space="preserve"> House of Representatives Select Committee on Regional Development and Decentralisation (2018) </w:t>
      </w:r>
      <w:r>
        <w:rPr>
          <w:sz w:val="16"/>
          <w:szCs w:val="16"/>
        </w:rPr>
        <w:t xml:space="preserve">Regions at the ready: investing </w:t>
      </w:r>
      <w:r w:rsidRPr="00990491">
        <w:rPr>
          <w:sz w:val="16"/>
          <w:szCs w:val="16"/>
        </w:rPr>
        <w:t>in Australia’s future - final report, Canberra. p. 67.</w:t>
      </w:r>
    </w:p>
  </w:footnote>
  <w:footnote w:id="88">
    <w:p w14:paraId="177712E9" w14:textId="77777777" w:rsidR="007331AF" w:rsidRPr="00990491" w:rsidRDefault="007331AF" w:rsidP="00990491">
      <w:pPr>
        <w:pStyle w:val="FootnoteText"/>
        <w:rPr>
          <w:sz w:val="16"/>
          <w:szCs w:val="16"/>
        </w:rPr>
      </w:pPr>
      <w:r w:rsidRPr="00990491">
        <w:rPr>
          <w:rStyle w:val="FootnoteReference"/>
          <w:sz w:val="16"/>
          <w:szCs w:val="16"/>
        </w:rPr>
        <w:footnoteRef/>
      </w:r>
      <w:r w:rsidRPr="00990491">
        <w:rPr>
          <w:sz w:val="16"/>
          <w:szCs w:val="16"/>
        </w:rPr>
        <w:t xml:space="preserve"> Charles Sturt University (2009). Submission to the Inquiry into Rural and Regional Access to Secondary and Tertiary Education</w:t>
      </w:r>
    </w:p>
    <w:p w14:paraId="7BF31CD5" w14:textId="4E1D2546" w:rsidR="007331AF" w:rsidRPr="00990491" w:rsidRDefault="007331AF" w:rsidP="00990491">
      <w:pPr>
        <w:pStyle w:val="FootnoteText"/>
        <w:rPr>
          <w:sz w:val="16"/>
          <w:szCs w:val="16"/>
        </w:rPr>
      </w:pPr>
      <w:r w:rsidRPr="00990491">
        <w:rPr>
          <w:sz w:val="16"/>
          <w:szCs w:val="16"/>
        </w:rPr>
        <w:t>Opportunities. Bathurst.</w:t>
      </w:r>
    </w:p>
  </w:footnote>
  <w:footnote w:id="89">
    <w:p w14:paraId="4F94881B" w14:textId="33FFB272" w:rsidR="007331AF" w:rsidRPr="001C31F7" w:rsidRDefault="007331AF" w:rsidP="00990491">
      <w:pPr>
        <w:pStyle w:val="FootnoteText"/>
        <w:rPr>
          <w:sz w:val="16"/>
          <w:szCs w:val="16"/>
        </w:rPr>
      </w:pPr>
      <w:r w:rsidRPr="001C31F7">
        <w:rPr>
          <w:rStyle w:val="FootnoteReference"/>
          <w:sz w:val="16"/>
          <w:szCs w:val="16"/>
        </w:rPr>
        <w:footnoteRef/>
      </w:r>
      <w:r w:rsidRPr="001C31F7">
        <w:rPr>
          <w:sz w:val="16"/>
          <w:szCs w:val="16"/>
        </w:rPr>
        <w:t xml:space="preserve"> Nous Group (2018) The economic impact of the Regional Universities Network. Report commissioned by the RUN, Canberra. p. 4.</w:t>
      </w:r>
    </w:p>
  </w:footnote>
  <w:footnote w:id="90">
    <w:p w14:paraId="70A0B160" w14:textId="3E2AB45F" w:rsidR="007331AF" w:rsidRPr="001C31F7" w:rsidRDefault="007331AF" w:rsidP="00990491">
      <w:pPr>
        <w:pStyle w:val="FootnoteText"/>
        <w:rPr>
          <w:sz w:val="16"/>
          <w:szCs w:val="16"/>
        </w:rPr>
      </w:pPr>
      <w:r w:rsidRPr="001C31F7">
        <w:rPr>
          <w:rStyle w:val="FootnoteReference"/>
          <w:sz w:val="16"/>
          <w:szCs w:val="16"/>
        </w:rPr>
        <w:footnoteRef/>
      </w:r>
      <w:r w:rsidRPr="001C31F7">
        <w:rPr>
          <w:sz w:val="16"/>
          <w:szCs w:val="16"/>
        </w:rPr>
        <w:t xml:space="preserve"> Charles Sturt University (2009). Submission to the Inquiry into Rural and Regional Access to Secondary and Tertiary Education Opportunities. Bathurst.</w:t>
      </w:r>
    </w:p>
  </w:footnote>
  <w:footnote w:id="91">
    <w:p w14:paraId="0396B95D" w14:textId="4D3873D1" w:rsidR="007331AF" w:rsidRPr="001C31F7" w:rsidRDefault="007331AF">
      <w:pPr>
        <w:pStyle w:val="FootnoteText"/>
        <w:rPr>
          <w:sz w:val="16"/>
          <w:szCs w:val="16"/>
        </w:rPr>
      </w:pPr>
      <w:r w:rsidRPr="001C31F7">
        <w:rPr>
          <w:rStyle w:val="FootnoteReference"/>
          <w:sz w:val="16"/>
          <w:szCs w:val="16"/>
        </w:rPr>
        <w:footnoteRef/>
      </w:r>
      <w:r w:rsidRPr="001C31F7">
        <w:rPr>
          <w:sz w:val="16"/>
          <w:szCs w:val="16"/>
        </w:rPr>
        <w:t xml:space="preserve"> OECD (2007) </w:t>
      </w:r>
      <w:r w:rsidRPr="00D23878">
        <w:rPr>
          <w:i/>
          <w:sz w:val="16"/>
        </w:rPr>
        <w:t>Higher Education and Regions: Globally Competitive, Locally Engaged</w:t>
      </w:r>
      <w:r w:rsidRPr="001C31F7">
        <w:rPr>
          <w:sz w:val="16"/>
          <w:szCs w:val="16"/>
        </w:rPr>
        <w:t>. OECD, Paris.</w:t>
      </w:r>
    </w:p>
  </w:footnote>
  <w:footnote w:id="92">
    <w:p w14:paraId="7D834C63" w14:textId="305E2838" w:rsidR="007331AF" w:rsidRDefault="007331AF">
      <w:pPr>
        <w:pStyle w:val="FootnoteText"/>
      </w:pPr>
      <w:r w:rsidRPr="001C31F7">
        <w:rPr>
          <w:rStyle w:val="FootnoteReference"/>
          <w:sz w:val="16"/>
          <w:szCs w:val="16"/>
        </w:rPr>
        <w:footnoteRef/>
      </w:r>
      <w:r w:rsidRPr="001C31F7">
        <w:rPr>
          <w:sz w:val="16"/>
          <w:szCs w:val="16"/>
        </w:rPr>
        <w:t xml:space="preserve"> Innovative Research Universities (2016) </w:t>
      </w:r>
      <w:r w:rsidRPr="00D23878">
        <w:rPr>
          <w:i/>
          <w:sz w:val="16"/>
        </w:rPr>
        <w:t>Building Regional Research Systems across Australia</w:t>
      </w:r>
      <w:r w:rsidRPr="001C31F7">
        <w:rPr>
          <w:sz w:val="16"/>
          <w:szCs w:val="16"/>
        </w:rPr>
        <w:t>, Innovative Research Universities, Victoria.</w:t>
      </w:r>
    </w:p>
  </w:footnote>
  <w:footnote w:id="93">
    <w:p w14:paraId="06126901" w14:textId="55E421C3" w:rsidR="007331AF" w:rsidRPr="001D2E01" w:rsidRDefault="007331AF" w:rsidP="00E17584">
      <w:pPr>
        <w:pStyle w:val="FootnoteText"/>
        <w:rPr>
          <w:sz w:val="16"/>
          <w:szCs w:val="16"/>
        </w:rPr>
      </w:pPr>
      <w:r w:rsidRPr="001D2E01">
        <w:rPr>
          <w:rStyle w:val="FootnoteReference"/>
          <w:sz w:val="16"/>
          <w:szCs w:val="16"/>
        </w:rPr>
        <w:footnoteRef/>
      </w:r>
      <w:r w:rsidRPr="001D2E01">
        <w:rPr>
          <w:sz w:val="16"/>
          <w:szCs w:val="16"/>
        </w:rPr>
        <w:t xml:space="preserve"> Central Regional TAFE (2019) Batavia Coast Maritime Institute.</w:t>
      </w:r>
    </w:p>
  </w:footnote>
  <w:footnote w:id="94">
    <w:p w14:paraId="372BC1B1" w14:textId="656917FD" w:rsidR="007331AF" w:rsidRPr="001D2E01" w:rsidRDefault="007331AF" w:rsidP="001D2E01">
      <w:pPr>
        <w:pStyle w:val="FootnoteText"/>
      </w:pPr>
      <w:r w:rsidRPr="001D2E01">
        <w:rPr>
          <w:rStyle w:val="FootnoteReference"/>
          <w:sz w:val="16"/>
          <w:szCs w:val="16"/>
        </w:rPr>
        <w:footnoteRef/>
      </w:r>
      <w:r w:rsidRPr="001D2E01">
        <w:rPr>
          <w:sz w:val="16"/>
          <w:szCs w:val="16"/>
        </w:rPr>
        <w:t xml:space="preserve"> Expert Members of the Council for International Education (2018) Consultation Paper: Growing International Education in Regional Australia, Department of Education and Training, Australian Government Canberra, p. 4.</w:t>
      </w:r>
    </w:p>
  </w:footnote>
  <w:footnote w:id="95">
    <w:p w14:paraId="2613BBE5" w14:textId="150A4C3F" w:rsidR="007331AF" w:rsidRPr="001D2E01" w:rsidRDefault="007331AF" w:rsidP="001D2E01">
      <w:pPr>
        <w:pStyle w:val="FootnoteText"/>
      </w:pPr>
      <w:r w:rsidRPr="001D2E01">
        <w:rPr>
          <w:rStyle w:val="FootnoteReference"/>
          <w:sz w:val="16"/>
          <w:szCs w:val="16"/>
        </w:rPr>
        <w:footnoteRef/>
      </w:r>
      <w:r w:rsidRPr="001D2E01">
        <w:rPr>
          <w:sz w:val="16"/>
          <w:szCs w:val="16"/>
        </w:rPr>
        <w:t xml:space="preserve"> Jackson, D (2013) ‘The contribution of work-integrated learning to undergraduate employability skill outcomes’, Asia-Pacific Journal of Cooperative Education, vol. 14, no. 2, pp. 99</w:t>
      </w:r>
      <w:r w:rsidRPr="001D2E01">
        <w:t>.</w:t>
      </w:r>
    </w:p>
  </w:footnote>
  <w:footnote w:id="96">
    <w:p w14:paraId="64BF3824" w14:textId="632EA1C3" w:rsidR="007331AF" w:rsidRPr="00FA38D7" w:rsidRDefault="007331AF">
      <w:pPr>
        <w:pStyle w:val="FootnoteText"/>
        <w:rPr>
          <w:sz w:val="16"/>
          <w:szCs w:val="16"/>
        </w:rPr>
      </w:pPr>
      <w:r w:rsidRPr="00FA38D7">
        <w:rPr>
          <w:rStyle w:val="FootnoteReference"/>
          <w:sz w:val="16"/>
          <w:szCs w:val="16"/>
        </w:rPr>
        <w:footnoteRef/>
      </w:r>
      <w:r w:rsidRPr="00FA38D7">
        <w:rPr>
          <w:sz w:val="16"/>
          <w:szCs w:val="16"/>
        </w:rPr>
        <w:t xml:space="preserve"> Productivity Commission (2019). The Demand Driven System, A Mixed Report Card pg 23.</w:t>
      </w:r>
    </w:p>
  </w:footnote>
  <w:footnote w:id="97">
    <w:p w14:paraId="71161EA2" w14:textId="6A8D2CD5" w:rsidR="007331AF" w:rsidRDefault="007331AF" w:rsidP="00FA38D7">
      <w:pPr>
        <w:pStyle w:val="FootnoteText"/>
      </w:pPr>
      <w:r w:rsidRPr="00FA38D7">
        <w:rPr>
          <w:rStyle w:val="FootnoteReference"/>
          <w:sz w:val="16"/>
          <w:szCs w:val="16"/>
        </w:rPr>
        <w:footnoteRef/>
      </w:r>
      <w:r w:rsidRPr="00FA38D7">
        <w:rPr>
          <w:sz w:val="16"/>
          <w:szCs w:val="16"/>
        </w:rPr>
        <w:t xml:space="preserve"> Luckman, M., &amp; Harvey, A. (2019). The financial and educational outcomes of Bachelor degree non-completers. Journal of Higher Education Policy and Management, 41(1), 3-17.</w:t>
      </w:r>
    </w:p>
  </w:footnote>
  <w:footnote w:id="98">
    <w:p w14:paraId="653D0A4B" w14:textId="0149ED2B" w:rsidR="007331AF" w:rsidRPr="0034043A" w:rsidRDefault="007331AF" w:rsidP="0034043A">
      <w:pPr>
        <w:pStyle w:val="FootnoteText"/>
        <w:rPr>
          <w:sz w:val="16"/>
          <w:szCs w:val="16"/>
        </w:rPr>
      </w:pPr>
      <w:r w:rsidRPr="0034043A">
        <w:rPr>
          <w:rStyle w:val="FootnoteReference"/>
          <w:sz w:val="16"/>
          <w:szCs w:val="16"/>
        </w:rPr>
        <w:footnoteRef/>
      </w:r>
      <w:r w:rsidRPr="0034043A">
        <w:rPr>
          <w:sz w:val="16"/>
          <w:szCs w:val="16"/>
        </w:rPr>
        <w:t xml:space="preserve"> Cherastidtham, I. et al. (2018) University attrition: what helps and what hinders university completion? Grattan Institute, Melbourne, pp. 40-1.</w:t>
      </w:r>
    </w:p>
  </w:footnote>
  <w:footnote w:id="99">
    <w:p w14:paraId="374BA853" w14:textId="5E374780" w:rsidR="007331AF" w:rsidRPr="0034043A" w:rsidRDefault="007331AF" w:rsidP="0034043A">
      <w:pPr>
        <w:pStyle w:val="FootnoteText"/>
        <w:rPr>
          <w:sz w:val="16"/>
          <w:szCs w:val="16"/>
        </w:rPr>
      </w:pPr>
      <w:r w:rsidRPr="0034043A">
        <w:rPr>
          <w:rStyle w:val="FootnoteReference"/>
          <w:sz w:val="16"/>
          <w:szCs w:val="16"/>
        </w:rPr>
        <w:footnoteRef/>
      </w:r>
      <w:r w:rsidRPr="0034043A">
        <w:rPr>
          <w:sz w:val="16"/>
          <w:szCs w:val="16"/>
        </w:rPr>
        <w:t xml:space="preserve"> DoE analysis of the following source data: Attainment rates - 2016 Census of Population and Housing for age 25-34. Participation rates - NCVER, Total VET Students and Courses Collection; DoE Higher education statistics, ABS 2016 Census data. Participation rates are derived by dividing the number of enrolments by the number of people aged 15-64 years in location categories. VET participation rates for Certificate IV and above are based on program enrolments, which overstate participation by individuals as they may enrol in more than one program. Work is currently underway to improve this data.</w:t>
      </w:r>
    </w:p>
  </w:footnote>
  <w:footnote w:id="100">
    <w:p w14:paraId="7C38B152" w14:textId="31718815" w:rsidR="007331AF" w:rsidRPr="00B814D1" w:rsidRDefault="007331AF" w:rsidP="00566137">
      <w:pPr>
        <w:pStyle w:val="FootnoteText"/>
        <w:rPr>
          <w:rFonts w:cs="Calibri"/>
          <w:sz w:val="16"/>
          <w:szCs w:val="16"/>
        </w:rPr>
      </w:pPr>
      <w:r w:rsidRPr="00F7678A">
        <w:rPr>
          <w:rStyle w:val="FootnoteReference"/>
          <w:rFonts w:cs="Calibri"/>
          <w:sz w:val="16"/>
          <w:szCs w:val="16"/>
        </w:rPr>
        <w:footnoteRef/>
      </w:r>
      <w:r w:rsidRPr="00F7678A">
        <w:rPr>
          <w:rFonts w:cs="Calibri"/>
          <w:sz w:val="16"/>
          <w:szCs w:val="16"/>
        </w:rPr>
        <w:t xml:space="preserve"> </w:t>
      </w:r>
      <w:r w:rsidRPr="00F7678A">
        <w:rPr>
          <w:rFonts w:cs="Calibri"/>
          <w:color w:val="222222"/>
          <w:sz w:val="16"/>
          <w:szCs w:val="16"/>
          <w:shd w:val="clear" w:color="auto" w:fill="FFFFFF"/>
        </w:rPr>
        <w:t>Cooper, G., Strathdee, R.,</w:t>
      </w:r>
      <w:r>
        <w:rPr>
          <w:rFonts w:cs="Calibri"/>
          <w:color w:val="222222"/>
          <w:sz w:val="16"/>
          <w:szCs w:val="16"/>
          <w:shd w:val="clear" w:color="auto" w:fill="FFFFFF"/>
        </w:rPr>
        <w:t xml:space="preserve"> and </w:t>
      </w:r>
      <w:r w:rsidRPr="00F7678A">
        <w:rPr>
          <w:rFonts w:cs="Calibri"/>
          <w:color w:val="222222"/>
          <w:sz w:val="16"/>
          <w:szCs w:val="16"/>
          <w:shd w:val="clear" w:color="auto" w:fill="FFFFFF"/>
        </w:rPr>
        <w:t>Baglin, J. (2018). Examining geography as a predictor of students’ university inte</w:t>
      </w:r>
      <w:r w:rsidRPr="003F6E09">
        <w:rPr>
          <w:rFonts w:cs="Calibri"/>
          <w:color w:val="222222"/>
          <w:sz w:val="16"/>
          <w:szCs w:val="16"/>
          <w:shd w:val="clear" w:color="auto" w:fill="FFFFFF"/>
        </w:rPr>
        <w:t>ntions: a logistic regression analysis. </w:t>
      </w:r>
      <w:r w:rsidRPr="003F6E09">
        <w:rPr>
          <w:rFonts w:cs="Calibri"/>
          <w:iCs/>
          <w:color w:val="222222"/>
          <w:sz w:val="16"/>
          <w:szCs w:val="16"/>
          <w:shd w:val="clear" w:color="auto" w:fill="FFFFFF"/>
        </w:rPr>
        <w:t>Rural Society</w:t>
      </w:r>
      <w:r w:rsidRPr="003F6E09">
        <w:rPr>
          <w:rFonts w:cs="Calibri"/>
          <w:color w:val="222222"/>
          <w:sz w:val="16"/>
          <w:szCs w:val="16"/>
          <w:shd w:val="clear" w:color="auto" w:fill="FFFFFF"/>
        </w:rPr>
        <w:t>, </w:t>
      </w:r>
      <w:r w:rsidRPr="003F6E09">
        <w:rPr>
          <w:rFonts w:cs="Calibri"/>
          <w:iCs/>
          <w:color w:val="222222"/>
          <w:sz w:val="16"/>
          <w:szCs w:val="16"/>
          <w:shd w:val="clear" w:color="auto" w:fill="FFFFFF"/>
        </w:rPr>
        <w:t>27</w:t>
      </w:r>
      <w:r w:rsidRPr="003F6E09">
        <w:rPr>
          <w:rFonts w:cs="Calibri"/>
          <w:color w:val="222222"/>
          <w:sz w:val="16"/>
          <w:szCs w:val="16"/>
          <w:shd w:val="clear" w:color="auto" w:fill="FFFFFF"/>
        </w:rPr>
        <w:t>(2), 83-93</w:t>
      </w:r>
      <w:r>
        <w:rPr>
          <w:rFonts w:cs="Calibri"/>
          <w:color w:val="222222"/>
          <w:sz w:val="16"/>
          <w:szCs w:val="16"/>
          <w:shd w:val="clear" w:color="auto" w:fill="FFFFFF"/>
        </w:rPr>
        <w:t>.</w:t>
      </w:r>
      <w:r w:rsidRPr="003F6E09">
        <w:rPr>
          <w:sz w:val="16"/>
          <w:szCs w:val="16"/>
        </w:rPr>
        <w:t xml:space="preserve"> United Nations (</w:t>
      </w:r>
      <w:r w:rsidRPr="00B814D1">
        <w:rPr>
          <w:sz w:val="16"/>
          <w:szCs w:val="16"/>
        </w:rPr>
        <w:t>2015)</w:t>
      </w:r>
      <w:r>
        <w:rPr>
          <w:sz w:val="16"/>
          <w:szCs w:val="16"/>
        </w:rPr>
        <w:t>.</w:t>
      </w:r>
      <w:r w:rsidRPr="00B814D1">
        <w:rPr>
          <w:sz w:val="16"/>
          <w:szCs w:val="16"/>
        </w:rPr>
        <w:t xml:space="preserve"> 2030 Agenda for Sustainable Development Goal 4 ‘Ensure inclusive and equitable quality education and promote lifelong learning opportunities for all</w:t>
      </w:r>
      <w:r>
        <w:rPr>
          <w:sz w:val="16"/>
          <w:szCs w:val="16"/>
        </w:rPr>
        <w:t>’</w:t>
      </w:r>
      <w:r w:rsidRPr="00B814D1">
        <w:rPr>
          <w:sz w:val="16"/>
          <w:szCs w:val="16"/>
        </w:rPr>
        <w:t>, Indicator 4.5.1</w:t>
      </w:r>
      <w:r>
        <w:rPr>
          <w:sz w:val="16"/>
          <w:szCs w:val="16"/>
        </w:rPr>
        <w:t>. A</w:t>
      </w:r>
      <w:r w:rsidRPr="00B814D1">
        <w:rPr>
          <w:sz w:val="16"/>
          <w:szCs w:val="16"/>
        </w:rPr>
        <w:t xml:space="preserve">vailable at: </w:t>
      </w:r>
      <w:hyperlink r:id="rId14" w:history="1">
        <w:r w:rsidRPr="00D3786E">
          <w:rPr>
            <w:rStyle w:val="Hyperlink"/>
            <w:sz w:val="16"/>
            <w:szCs w:val="16"/>
          </w:rPr>
          <w:t>https://sustainabledevelopment.un.org/sdgs</w:t>
        </w:r>
      </w:hyperlink>
      <w:r>
        <w:rPr>
          <w:sz w:val="16"/>
          <w:szCs w:val="16"/>
        </w:rPr>
        <w:t xml:space="preserve"> </w:t>
      </w:r>
      <w:r>
        <w:rPr>
          <w:rStyle w:val="Hyperlink"/>
          <w:sz w:val="16"/>
          <w:szCs w:val="16"/>
        </w:rPr>
        <w:t>.</w:t>
      </w:r>
      <w:r w:rsidRPr="00B814D1">
        <w:rPr>
          <w:sz w:val="16"/>
          <w:szCs w:val="16"/>
        </w:rPr>
        <w:t xml:space="preserve"> </w:t>
      </w:r>
    </w:p>
  </w:footnote>
  <w:footnote w:id="101">
    <w:p w14:paraId="25F77F9E" w14:textId="77777777" w:rsidR="007331AF" w:rsidRPr="00146B8D" w:rsidRDefault="007331AF" w:rsidP="00566137">
      <w:pPr>
        <w:pStyle w:val="FootnoteText"/>
        <w:rPr>
          <w:rFonts w:cs="Calibri"/>
          <w:sz w:val="16"/>
          <w:szCs w:val="16"/>
        </w:rPr>
      </w:pPr>
      <w:r w:rsidRPr="00B814D1">
        <w:rPr>
          <w:rStyle w:val="FootnoteReference"/>
          <w:rFonts w:cs="Calibri"/>
          <w:sz w:val="16"/>
          <w:szCs w:val="16"/>
        </w:rPr>
        <w:footnoteRef/>
      </w:r>
      <w:r w:rsidRPr="00B814D1">
        <w:rPr>
          <w:rFonts w:cs="Calibri"/>
          <w:sz w:val="16"/>
          <w:szCs w:val="16"/>
        </w:rPr>
        <w:t xml:space="preserve"> Organisation for Economic Cooperation and Development (OECD)</w:t>
      </w:r>
      <w:r>
        <w:rPr>
          <w:rFonts w:cs="Calibri"/>
          <w:sz w:val="16"/>
          <w:szCs w:val="16"/>
        </w:rPr>
        <w:t>.</w:t>
      </w:r>
      <w:r w:rsidRPr="00B814D1">
        <w:rPr>
          <w:rFonts w:cs="Calibri"/>
          <w:sz w:val="16"/>
          <w:szCs w:val="16"/>
        </w:rPr>
        <w:t xml:space="preserve"> (2013). What makes urban schools different? PISA in Focus, 28.</w:t>
      </w:r>
      <w:r>
        <w:rPr>
          <w:rFonts w:cs="Calibri"/>
          <w:sz w:val="16"/>
          <w:szCs w:val="16"/>
        </w:rPr>
        <w:t xml:space="preserve"> </w:t>
      </w:r>
    </w:p>
  </w:footnote>
  <w:footnote w:id="102">
    <w:p w14:paraId="22E7885F" w14:textId="77777777" w:rsidR="007331AF" w:rsidRPr="00146B8D" w:rsidRDefault="007331AF" w:rsidP="00566137">
      <w:pPr>
        <w:pStyle w:val="FootnoteText"/>
        <w:rPr>
          <w:rFonts w:cs="Calibri"/>
          <w:sz w:val="16"/>
          <w:szCs w:val="16"/>
        </w:rPr>
      </w:pPr>
      <w:r w:rsidRPr="00146B8D">
        <w:rPr>
          <w:rStyle w:val="FootnoteReference"/>
          <w:rFonts w:cs="Calibri"/>
          <w:sz w:val="16"/>
          <w:szCs w:val="16"/>
        </w:rPr>
        <w:footnoteRef/>
      </w:r>
      <w:r w:rsidRPr="00146B8D">
        <w:rPr>
          <w:rFonts w:cs="Calibri"/>
          <w:sz w:val="16"/>
          <w:szCs w:val="16"/>
        </w:rPr>
        <w:t xml:space="preserve"> Bradley, D.N.P., Nugent, H.,</w:t>
      </w:r>
      <w:r>
        <w:rPr>
          <w:rFonts w:cs="Calibri"/>
          <w:sz w:val="16"/>
          <w:szCs w:val="16"/>
        </w:rPr>
        <w:t xml:space="preserve"> and </w:t>
      </w:r>
      <w:r w:rsidRPr="00146B8D">
        <w:rPr>
          <w:rFonts w:cs="Calibri"/>
          <w:sz w:val="16"/>
          <w:szCs w:val="16"/>
        </w:rPr>
        <w:t xml:space="preserve">Scales, B. (2008). Review of Australian Higher Education Final Report. </w:t>
      </w:r>
      <w:r>
        <w:rPr>
          <w:rFonts w:cs="Calibri"/>
          <w:sz w:val="16"/>
          <w:szCs w:val="16"/>
        </w:rPr>
        <w:t>Canberra: Australian Government</w:t>
      </w:r>
      <w:r w:rsidRPr="00146B8D">
        <w:rPr>
          <w:rFonts w:cs="Calibri"/>
          <w:sz w:val="16"/>
          <w:szCs w:val="16"/>
        </w:rPr>
        <w:t xml:space="preserve">. </w:t>
      </w:r>
    </w:p>
  </w:footnote>
  <w:footnote w:id="103">
    <w:p w14:paraId="2767724A" w14:textId="77777777" w:rsidR="007331AF" w:rsidRPr="00146B8D" w:rsidRDefault="007331AF" w:rsidP="00566137">
      <w:pPr>
        <w:pStyle w:val="FootnoteText"/>
        <w:rPr>
          <w:rFonts w:cs="Calibri"/>
          <w:sz w:val="16"/>
          <w:szCs w:val="16"/>
        </w:rPr>
      </w:pPr>
      <w:r w:rsidRPr="00146B8D">
        <w:rPr>
          <w:rStyle w:val="FootnoteReference"/>
          <w:rFonts w:cs="Calibri"/>
          <w:sz w:val="16"/>
          <w:szCs w:val="16"/>
        </w:rPr>
        <w:footnoteRef/>
      </w:r>
      <w:r w:rsidRPr="00146B8D">
        <w:rPr>
          <w:rFonts w:cs="Calibri"/>
          <w:sz w:val="16"/>
          <w:szCs w:val="16"/>
        </w:rPr>
        <w:t xml:space="preserve"> Halsey, J. (2018). Independent Review into Regional, Rural and Remote Education: Final Report. </w:t>
      </w:r>
      <w:r>
        <w:rPr>
          <w:rFonts w:cs="Calibri"/>
          <w:sz w:val="16"/>
          <w:szCs w:val="16"/>
        </w:rPr>
        <w:t>Canberra: Australian Government</w:t>
      </w:r>
      <w:r w:rsidRPr="00146B8D">
        <w:rPr>
          <w:rFonts w:cs="Calibri"/>
          <w:sz w:val="16"/>
          <w:szCs w:val="16"/>
        </w:rPr>
        <w:t>.</w:t>
      </w:r>
    </w:p>
  </w:footnote>
  <w:footnote w:id="104">
    <w:p w14:paraId="46984930" w14:textId="77777777" w:rsidR="007331AF" w:rsidRPr="00FB0926" w:rsidRDefault="007331AF" w:rsidP="00566137">
      <w:pPr>
        <w:pStyle w:val="FootnoteText"/>
        <w:rPr>
          <w:rFonts w:cs="Calibri"/>
          <w:sz w:val="16"/>
          <w:szCs w:val="16"/>
        </w:rPr>
      </w:pPr>
      <w:r w:rsidRPr="00146B8D">
        <w:rPr>
          <w:rStyle w:val="FootnoteReference"/>
          <w:rFonts w:cs="Calibri"/>
          <w:sz w:val="16"/>
          <w:szCs w:val="16"/>
        </w:rPr>
        <w:footnoteRef/>
      </w:r>
      <w:r w:rsidRPr="00146B8D">
        <w:rPr>
          <w:rFonts w:cs="Calibri"/>
          <w:sz w:val="16"/>
          <w:szCs w:val="16"/>
        </w:rPr>
        <w:t xml:space="preserve"> Victoria Parliament Rural and Regional Committee. (2010). Inquiry into the </w:t>
      </w:r>
      <w:r>
        <w:rPr>
          <w:rFonts w:cs="Calibri"/>
          <w:sz w:val="16"/>
          <w:szCs w:val="16"/>
        </w:rPr>
        <w:t>E</w:t>
      </w:r>
      <w:r w:rsidRPr="00146B8D">
        <w:rPr>
          <w:rFonts w:cs="Calibri"/>
          <w:sz w:val="16"/>
          <w:szCs w:val="16"/>
        </w:rPr>
        <w:t xml:space="preserve">xtent and </w:t>
      </w:r>
      <w:r>
        <w:rPr>
          <w:rFonts w:cs="Calibri"/>
          <w:sz w:val="16"/>
          <w:szCs w:val="16"/>
        </w:rPr>
        <w:t>N</w:t>
      </w:r>
      <w:r w:rsidRPr="00146B8D">
        <w:rPr>
          <w:rFonts w:cs="Calibri"/>
          <w:sz w:val="16"/>
          <w:szCs w:val="16"/>
        </w:rPr>
        <w:t xml:space="preserve">ature of </w:t>
      </w:r>
      <w:r>
        <w:rPr>
          <w:rFonts w:cs="Calibri"/>
          <w:sz w:val="16"/>
          <w:szCs w:val="16"/>
        </w:rPr>
        <w:t>D</w:t>
      </w:r>
      <w:r w:rsidRPr="00146B8D">
        <w:rPr>
          <w:rFonts w:cs="Calibri"/>
          <w:sz w:val="16"/>
          <w:szCs w:val="16"/>
        </w:rPr>
        <w:t xml:space="preserve">isadvantage and </w:t>
      </w:r>
      <w:r>
        <w:rPr>
          <w:rFonts w:cs="Calibri"/>
          <w:sz w:val="16"/>
          <w:szCs w:val="16"/>
        </w:rPr>
        <w:t>I</w:t>
      </w:r>
      <w:r w:rsidRPr="00146B8D">
        <w:rPr>
          <w:rFonts w:cs="Calibri"/>
          <w:sz w:val="16"/>
          <w:szCs w:val="16"/>
        </w:rPr>
        <w:t xml:space="preserve">nequity in </w:t>
      </w:r>
      <w:r>
        <w:rPr>
          <w:rFonts w:cs="Calibri"/>
          <w:sz w:val="16"/>
          <w:szCs w:val="16"/>
        </w:rPr>
        <w:t>R</w:t>
      </w:r>
      <w:r w:rsidRPr="00146B8D">
        <w:rPr>
          <w:rFonts w:cs="Calibri"/>
          <w:sz w:val="16"/>
          <w:szCs w:val="16"/>
        </w:rPr>
        <w:t xml:space="preserve">ural and </w:t>
      </w:r>
      <w:r>
        <w:rPr>
          <w:rFonts w:cs="Calibri"/>
          <w:sz w:val="16"/>
          <w:szCs w:val="16"/>
        </w:rPr>
        <w:t>R</w:t>
      </w:r>
      <w:r w:rsidRPr="00146B8D">
        <w:rPr>
          <w:rFonts w:cs="Calibri"/>
          <w:sz w:val="16"/>
          <w:szCs w:val="16"/>
        </w:rPr>
        <w:t xml:space="preserve">egional Victoria: Final </w:t>
      </w:r>
      <w:r>
        <w:rPr>
          <w:rFonts w:cs="Calibri"/>
          <w:sz w:val="16"/>
          <w:szCs w:val="16"/>
        </w:rPr>
        <w:t>R</w:t>
      </w:r>
      <w:r w:rsidRPr="00146B8D">
        <w:rPr>
          <w:rFonts w:cs="Calibri"/>
          <w:sz w:val="16"/>
          <w:szCs w:val="16"/>
        </w:rPr>
        <w:t xml:space="preserve">eport. </w:t>
      </w:r>
      <w:r>
        <w:rPr>
          <w:rFonts w:cs="Calibri"/>
          <w:sz w:val="16"/>
          <w:szCs w:val="16"/>
        </w:rPr>
        <w:t xml:space="preserve">Melbourne: </w:t>
      </w:r>
      <w:r w:rsidRPr="00146B8D">
        <w:rPr>
          <w:rFonts w:cs="Calibri"/>
          <w:sz w:val="16"/>
          <w:szCs w:val="16"/>
        </w:rPr>
        <w:t>Government of Victoria.</w:t>
      </w:r>
    </w:p>
  </w:footnote>
  <w:footnote w:id="105">
    <w:p w14:paraId="5B3C9B24" w14:textId="77777777" w:rsidR="007331AF" w:rsidRPr="00FB0926" w:rsidRDefault="007331AF" w:rsidP="00566137">
      <w:pPr>
        <w:pStyle w:val="FootnoteText"/>
        <w:rPr>
          <w:rFonts w:cs="Calibri"/>
          <w:sz w:val="16"/>
          <w:szCs w:val="16"/>
        </w:rPr>
      </w:pPr>
      <w:r w:rsidRPr="00146B8D">
        <w:rPr>
          <w:rStyle w:val="FootnoteReference"/>
          <w:rFonts w:cs="Calibri"/>
          <w:sz w:val="16"/>
          <w:szCs w:val="16"/>
        </w:rPr>
        <w:footnoteRef/>
      </w:r>
      <w:r w:rsidRPr="00146B8D">
        <w:rPr>
          <w:rFonts w:cs="Calibri"/>
          <w:sz w:val="16"/>
          <w:szCs w:val="16"/>
        </w:rPr>
        <w:t xml:space="preserve"> Queensland Department of Education and Training</w:t>
      </w:r>
      <w:r>
        <w:rPr>
          <w:rFonts w:cs="Calibri"/>
          <w:sz w:val="16"/>
          <w:szCs w:val="16"/>
        </w:rPr>
        <w:t>.</w:t>
      </w:r>
      <w:r w:rsidRPr="00146B8D">
        <w:rPr>
          <w:rFonts w:cs="Calibri"/>
          <w:sz w:val="16"/>
          <w:szCs w:val="16"/>
        </w:rPr>
        <w:t xml:space="preserve"> (2017)</w:t>
      </w:r>
      <w:r>
        <w:rPr>
          <w:rFonts w:cs="Calibri"/>
          <w:sz w:val="16"/>
          <w:szCs w:val="16"/>
        </w:rPr>
        <w:t>.</w:t>
      </w:r>
      <w:r w:rsidRPr="00146B8D">
        <w:rPr>
          <w:rFonts w:cs="Calibri"/>
          <w:sz w:val="16"/>
          <w:szCs w:val="16"/>
        </w:rPr>
        <w:t xml:space="preserve"> Advancing </w:t>
      </w:r>
      <w:r>
        <w:rPr>
          <w:rFonts w:cs="Calibri"/>
          <w:sz w:val="16"/>
          <w:szCs w:val="16"/>
        </w:rPr>
        <w:t>R</w:t>
      </w:r>
      <w:r w:rsidRPr="00146B8D">
        <w:rPr>
          <w:rFonts w:cs="Calibri"/>
          <w:sz w:val="16"/>
          <w:szCs w:val="16"/>
        </w:rPr>
        <w:t xml:space="preserve">ural and </w:t>
      </w:r>
      <w:r>
        <w:rPr>
          <w:rFonts w:cs="Calibri"/>
          <w:sz w:val="16"/>
          <w:szCs w:val="16"/>
        </w:rPr>
        <w:t>R</w:t>
      </w:r>
      <w:r w:rsidRPr="00146B8D">
        <w:rPr>
          <w:rFonts w:cs="Calibri"/>
          <w:sz w:val="16"/>
          <w:szCs w:val="16"/>
        </w:rPr>
        <w:t xml:space="preserve">emote </w:t>
      </w:r>
      <w:r>
        <w:rPr>
          <w:rFonts w:cs="Calibri"/>
          <w:sz w:val="16"/>
          <w:szCs w:val="16"/>
        </w:rPr>
        <w:t>E</w:t>
      </w:r>
      <w:r w:rsidRPr="00146B8D">
        <w:rPr>
          <w:rFonts w:cs="Calibri"/>
          <w:sz w:val="16"/>
          <w:szCs w:val="16"/>
        </w:rPr>
        <w:t xml:space="preserve">ducation in Queensland </w:t>
      </w:r>
      <w:r>
        <w:rPr>
          <w:rFonts w:cs="Calibri"/>
          <w:sz w:val="16"/>
          <w:szCs w:val="16"/>
        </w:rPr>
        <w:t>S</w:t>
      </w:r>
      <w:r w:rsidRPr="00146B8D">
        <w:rPr>
          <w:rFonts w:cs="Calibri"/>
          <w:sz w:val="16"/>
          <w:szCs w:val="16"/>
        </w:rPr>
        <w:t xml:space="preserve">tate </w:t>
      </w:r>
      <w:r>
        <w:rPr>
          <w:rFonts w:cs="Calibri"/>
          <w:sz w:val="16"/>
          <w:szCs w:val="16"/>
        </w:rPr>
        <w:t>S</w:t>
      </w:r>
      <w:r w:rsidRPr="00146B8D">
        <w:rPr>
          <w:rFonts w:cs="Calibri"/>
          <w:sz w:val="16"/>
          <w:szCs w:val="16"/>
        </w:rPr>
        <w:t xml:space="preserve">chools: Consultation Report. </w:t>
      </w:r>
      <w:r>
        <w:rPr>
          <w:rFonts w:cs="Calibri"/>
          <w:sz w:val="16"/>
          <w:szCs w:val="16"/>
        </w:rPr>
        <w:t xml:space="preserve">Brisbane: </w:t>
      </w:r>
      <w:r w:rsidRPr="00146B8D">
        <w:rPr>
          <w:rFonts w:cs="Calibri"/>
          <w:sz w:val="16"/>
          <w:szCs w:val="16"/>
        </w:rPr>
        <w:t xml:space="preserve">Queensland Government. </w:t>
      </w:r>
    </w:p>
  </w:footnote>
  <w:footnote w:id="106">
    <w:p w14:paraId="3F1892B7" w14:textId="77777777" w:rsidR="007331AF" w:rsidRPr="00FB0926" w:rsidRDefault="007331AF" w:rsidP="00566137">
      <w:pPr>
        <w:pStyle w:val="FootnoteText"/>
        <w:rPr>
          <w:sz w:val="16"/>
          <w:szCs w:val="16"/>
        </w:rPr>
      </w:pPr>
      <w:r w:rsidRPr="00146B8D">
        <w:rPr>
          <w:rStyle w:val="FootnoteReference"/>
          <w:sz w:val="16"/>
          <w:szCs w:val="16"/>
        </w:rPr>
        <w:footnoteRef/>
      </w:r>
      <w:r w:rsidRPr="00146B8D">
        <w:rPr>
          <w:sz w:val="16"/>
          <w:szCs w:val="16"/>
        </w:rPr>
        <w:t xml:space="preserve"> Department of Foreign Affairs and Trade</w:t>
      </w:r>
      <w:r>
        <w:rPr>
          <w:sz w:val="16"/>
          <w:szCs w:val="16"/>
        </w:rPr>
        <w:t>.</w:t>
      </w:r>
      <w:r w:rsidRPr="00146B8D">
        <w:rPr>
          <w:sz w:val="16"/>
          <w:szCs w:val="16"/>
        </w:rPr>
        <w:t xml:space="preserve"> (2018)</w:t>
      </w:r>
      <w:r>
        <w:rPr>
          <w:sz w:val="16"/>
          <w:szCs w:val="16"/>
        </w:rPr>
        <w:t>.</w:t>
      </w:r>
      <w:r w:rsidRPr="00146B8D">
        <w:rPr>
          <w:sz w:val="16"/>
          <w:szCs w:val="16"/>
        </w:rPr>
        <w:t xml:space="preserve"> Report on the Implementation of the Sustainable Development Goals</w:t>
      </w:r>
      <w:r>
        <w:rPr>
          <w:sz w:val="16"/>
          <w:szCs w:val="16"/>
        </w:rPr>
        <w:t>. Canberra: Australian Government.</w:t>
      </w:r>
    </w:p>
  </w:footnote>
  <w:footnote w:id="107">
    <w:p w14:paraId="2CC139C4" w14:textId="77777777" w:rsidR="007331AF" w:rsidRPr="00FB0926" w:rsidRDefault="007331AF" w:rsidP="00566137">
      <w:pPr>
        <w:pStyle w:val="FootnoteText"/>
        <w:rPr>
          <w:sz w:val="16"/>
          <w:szCs w:val="16"/>
        </w:rPr>
      </w:pPr>
      <w:r w:rsidRPr="00FB0926">
        <w:rPr>
          <w:rStyle w:val="FootnoteReference"/>
          <w:sz w:val="16"/>
          <w:szCs w:val="16"/>
        </w:rPr>
        <w:footnoteRef/>
      </w:r>
      <w:r w:rsidRPr="00FB0926">
        <w:rPr>
          <w:sz w:val="16"/>
          <w:szCs w:val="16"/>
        </w:rPr>
        <w:t xml:space="preserve"> Unite</w:t>
      </w:r>
      <w:r w:rsidRPr="00B814D1">
        <w:rPr>
          <w:sz w:val="16"/>
          <w:szCs w:val="16"/>
        </w:rPr>
        <w:t xml:space="preserve">d Nations. (2000). </w:t>
      </w:r>
      <w:r w:rsidRPr="00B814D1">
        <w:rPr>
          <w:iCs/>
          <w:sz w:val="16"/>
          <w:szCs w:val="16"/>
        </w:rPr>
        <w:t>United Nations Convention on the Rights of the Child</w:t>
      </w:r>
      <w:r w:rsidRPr="00B814D1">
        <w:rPr>
          <w:sz w:val="16"/>
          <w:szCs w:val="16"/>
        </w:rPr>
        <w:t xml:space="preserve">. Office of the United Nations High Commissioner for Human Rights. </w:t>
      </w:r>
    </w:p>
  </w:footnote>
  <w:footnote w:id="108">
    <w:p w14:paraId="0BD1F264" w14:textId="77777777" w:rsidR="007331AF" w:rsidRPr="00FB0926" w:rsidRDefault="007331AF" w:rsidP="00566137">
      <w:pPr>
        <w:pStyle w:val="FootnoteText"/>
        <w:rPr>
          <w:sz w:val="16"/>
          <w:szCs w:val="16"/>
        </w:rPr>
      </w:pPr>
      <w:r w:rsidRPr="00FB0926">
        <w:rPr>
          <w:rStyle w:val="FootnoteReference"/>
          <w:sz w:val="16"/>
          <w:szCs w:val="16"/>
        </w:rPr>
        <w:footnoteRef/>
      </w:r>
      <w:r w:rsidRPr="00FB0926">
        <w:rPr>
          <w:sz w:val="16"/>
          <w:szCs w:val="16"/>
        </w:rPr>
        <w:t xml:space="preserve"> Human Rights and Equal Opportunity Commission</w:t>
      </w:r>
      <w:r>
        <w:rPr>
          <w:sz w:val="16"/>
          <w:szCs w:val="16"/>
        </w:rPr>
        <w:t>.</w:t>
      </w:r>
      <w:r w:rsidRPr="00FB0926">
        <w:rPr>
          <w:sz w:val="16"/>
          <w:szCs w:val="16"/>
        </w:rPr>
        <w:t xml:space="preserve"> (2000)</w:t>
      </w:r>
      <w:r>
        <w:rPr>
          <w:sz w:val="16"/>
          <w:szCs w:val="16"/>
        </w:rPr>
        <w:t>.</w:t>
      </w:r>
      <w:r w:rsidRPr="00FB0926">
        <w:rPr>
          <w:sz w:val="16"/>
          <w:szCs w:val="16"/>
        </w:rPr>
        <w:t xml:space="preserve"> Recommendations: National Inquiry into Rural and Remote Education</w:t>
      </w:r>
      <w:r>
        <w:rPr>
          <w:sz w:val="16"/>
          <w:szCs w:val="16"/>
        </w:rPr>
        <w:t xml:space="preserve">. Sydney. </w:t>
      </w:r>
    </w:p>
  </w:footnote>
  <w:footnote w:id="109">
    <w:p w14:paraId="104CA62C" w14:textId="77777777" w:rsidR="007331AF" w:rsidRPr="00FB0926" w:rsidRDefault="007331AF" w:rsidP="00566137">
      <w:pPr>
        <w:pStyle w:val="FootnoteText"/>
        <w:rPr>
          <w:sz w:val="16"/>
          <w:szCs w:val="16"/>
        </w:rPr>
      </w:pPr>
      <w:r w:rsidRPr="00FB0926">
        <w:rPr>
          <w:rStyle w:val="FootnoteReference"/>
          <w:sz w:val="16"/>
          <w:szCs w:val="16"/>
        </w:rPr>
        <w:footnoteRef/>
      </w:r>
      <w:r w:rsidRPr="00FB0926">
        <w:rPr>
          <w:sz w:val="16"/>
          <w:szCs w:val="16"/>
        </w:rPr>
        <w:t xml:space="preserve"> Long, M., Carpenter, P.,</w:t>
      </w:r>
      <w:r>
        <w:rPr>
          <w:sz w:val="16"/>
          <w:szCs w:val="16"/>
        </w:rPr>
        <w:t xml:space="preserve"> and </w:t>
      </w:r>
      <w:r w:rsidRPr="00FB0926">
        <w:rPr>
          <w:sz w:val="16"/>
          <w:szCs w:val="16"/>
        </w:rPr>
        <w:t>Hayden, M. (1999). Participation in Education and Training, 1980-1994. Longitudinal Surveys of Australian Youth. Research Report. A</w:t>
      </w:r>
      <w:r>
        <w:rPr>
          <w:sz w:val="16"/>
          <w:szCs w:val="16"/>
        </w:rPr>
        <w:t>ustralian Council for Educational Research. V</w:t>
      </w:r>
      <w:r w:rsidRPr="00FB0926">
        <w:rPr>
          <w:sz w:val="16"/>
          <w:szCs w:val="16"/>
        </w:rPr>
        <w:t>ictoria</w:t>
      </w:r>
      <w:r>
        <w:rPr>
          <w:sz w:val="16"/>
          <w:szCs w:val="16"/>
        </w:rPr>
        <w:t>.</w:t>
      </w:r>
    </w:p>
  </w:footnote>
  <w:footnote w:id="110">
    <w:p w14:paraId="678F902B" w14:textId="77777777" w:rsidR="007331AF" w:rsidRDefault="007331AF" w:rsidP="00566137">
      <w:pPr>
        <w:pStyle w:val="FootnoteText"/>
      </w:pPr>
      <w:r w:rsidRPr="00FB0926">
        <w:rPr>
          <w:rStyle w:val="FootnoteReference"/>
          <w:sz w:val="16"/>
          <w:szCs w:val="16"/>
        </w:rPr>
        <w:footnoteRef/>
      </w:r>
      <w:r w:rsidRPr="00FB0926">
        <w:rPr>
          <w:sz w:val="16"/>
          <w:szCs w:val="16"/>
        </w:rPr>
        <w:t xml:space="preserve"> Kilpatrick, S., Katersky Barnes, R., Heath, J., Lovat, A., Kong, W. C., Flittner, N.,</w:t>
      </w:r>
      <w:r>
        <w:rPr>
          <w:sz w:val="16"/>
          <w:szCs w:val="16"/>
        </w:rPr>
        <w:t xml:space="preserve"> and </w:t>
      </w:r>
      <w:r w:rsidRPr="00FB0926">
        <w:rPr>
          <w:sz w:val="16"/>
          <w:szCs w:val="16"/>
        </w:rPr>
        <w:t xml:space="preserve">Avitaia, S. (2019). Disruptions and bridges in rural Australia: </w:t>
      </w:r>
      <w:r>
        <w:rPr>
          <w:sz w:val="16"/>
          <w:szCs w:val="16"/>
        </w:rPr>
        <w:t>H</w:t>
      </w:r>
      <w:r w:rsidRPr="00FB0926">
        <w:rPr>
          <w:sz w:val="16"/>
          <w:szCs w:val="16"/>
        </w:rPr>
        <w:t>igher education aspiration to expectation of participation. Higher Education Research</w:t>
      </w:r>
      <w:r>
        <w:rPr>
          <w:sz w:val="16"/>
          <w:szCs w:val="16"/>
        </w:rPr>
        <w:t xml:space="preserve"> and </w:t>
      </w:r>
      <w:r w:rsidRPr="00FB0926">
        <w:rPr>
          <w:sz w:val="16"/>
          <w:szCs w:val="16"/>
        </w:rPr>
        <w:t>Development, 38(3), 550-564.</w:t>
      </w:r>
    </w:p>
  </w:footnote>
  <w:footnote w:id="111">
    <w:p w14:paraId="099AA594" w14:textId="7CB07508" w:rsidR="007331AF" w:rsidRPr="0048763A" w:rsidRDefault="007331AF" w:rsidP="00566137">
      <w:pPr>
        <w:pStyle w:val="FootnoteText"/>
        <w:rPr>
          <w:rFonts w:cs="Calibri"/>
          <w:sz w:val="16"/>
          <w:szCs w:val="16"/>
        </w:rPr>
      </w:pPr>
      <w:r w:rsidRPr="0048763A">
        <w:rPr>
          <w:rStyle w:val="FootnoteReference"/>
          <w:rFonts w:cs="Calibri"/>
          <w:sz w:val="16"/>
          <w:szCs w:val="16"/>
        </w:rPr>
        <w:footnoteRef/>
      </w:r>
      <w:r w:rsidRPr="0048763A">
        <w:rPr>
          <w:rFonts w:cs="Calibri"/>
          <w:sz w:val="16"/>
          <w:szCs w:val="16"/>
        </w:rPr>
        <w:t xml:space="preserve"> Schleicher A. (2014)</w:t>
      </w:r>
      <w:r>
        <w:rPr>
          <w:rFonts w:cs="Calibri"/>
          <w:sz w:val="16"/>
          <w:szCs w:val="16"/>
        </w:rPr>
        <w:t>.</w:t>
      </w:r>
      <w:r w:rsidRPr="0048763A">
        <w:rPr>
          <w:rFonts w:cs="Calibri"/>
          <w:sz w:val="16"/>
          <w:szCs w:val="16"/>
        </w:rPr>
        <w:t xml:space="preserve"> A plan for education, OECD Forum</w:t>
      </w:r>
      <w:r>
        <w:rPr>
          <w:rFonts w:cs="Calibri"/>
          <w:sz w:val="16"/>
          <w:szCs w:val="16"/>
        </w:rPr>
        <w:t>. Available at</w:t>
      </w:r>
      <w:r w:rsidRPr="0048763A">
        <w:rPr>
          <w:rFonts w:cs="Calibri"/>
          <w:sz w:val="16"/>
          <w:szCs w:val="16"/>
        </w:rPr>
        <w:t xml:space="preserve"> </w:t>
      </w:r>
      <w:hyperlink r:id="rId15" w:history="1">
        <w:r w:rsidRPr="00D3786E">
          <w:rPr>
            <w:rStyle w:val="Hyperlink"/>
            <w:rFonts w:cs="Calibri"/>
            <w:sz w:val="16"/>
            <w:szCs w:val="16"/>
          </w:rPr>
          <w:t>http://www.oecd.org/education/a-plan-for-education.htm</w:t>
        </w:r>
      </w:hyperlink>
      <w:r>
        <w:rPr>
          <w:rFonts w:cs="Calibri"/>
          <w:sz w:val="16"/>
          <w:szCs w:val="16"/>
        </w:rPr>
        <w:t xml:space="preserve"> .</w:t>
      </w:r>
      <w:r w:rsidRPr="0048763A">
        <w:rPr>
          <w:rFonts w:cs="Calibri"/>
          <w:sz w:val="16"/>
          <w:szCs w:val="16"/>
        </w:rPr>
        <w:t xml:space="preserve"> </w:t>
      </w:r>
    </w:p>
  </w:footnote>
  <w:footnote w:id="112">
    <w:p w14:paraId="0CCEDE15" w14:textId="77777777" w:rsidR="007331AF" w:rsidRPr="0048763A" w:rsidRDefault="007331AF" w:rsidP="00566137">
      <w:pPr>
        <w:pStyle w:val="FootnoteText"/>
        <w:rPr>
          <w:rFonts w:cs="Calibri"/>
          <w:sz w:val="16"/>
          <w:szCs w:val="16"/>
        </w:rPr>
      </w:pPr>
      <w:r w:rsidRPr="0048763A">
        <w:rPr>
          <w:rStyle w:val="FootnoteReference"/>
          <w:rFonts w:cs="Calibri"/>
          <w:sz w:val="16"/>
          <w:szCs w:val="16"/>
        </w:rPr>
        <w:footnoteRef/>
      </w:r>
      <w:r w:rsidRPr="0048763A">
        <w:rPr>
          <w:rFonts w:cs="Calibri"/>
          <w:sz w:val="16"/>
          <w:szCs w:val="16"/>
        </w:rPr>
        <w:t xml:space="preserve"> Zacharias N.</w:t>
      </w:r>
      <w:r>
        <w:rPr>
          <w:rFonts w:cs="Calibri"/>
          <w:sz w:val="16"/>
          <w:szCs w:val="16"/>
        </w:rPr>
        <w:t>, and</w:t>
      </w:r>
      <w:r w:rsidRPr="0048763A">
        <w:rPr>
          <w:rFonts w:cs="Calibri"/>
          <w:sz w:val="16"/>
          <w:szCs w:val="16"/>
        </w:rPr>
        <w:t xml:space="preserve"> Brett, M.</w:t>
      </w:r>
      <w:r>
        <w:rPr>
          <w:rFonts w:cs="Calibri"/>
          <w:sz w:val="16"/>
          <w:szCs w:val="16"/>
        </w:rPr>
        <w:t xml:space="preserve"> (</w:t>
      </w:r>
      <w:r w:rsidRPr="0048763A">
        <w:rPr>
          <w:rFonts w:cs="Calibri"/>
          <w:sz w:val="16"/>
          <w:szCs w:val="16"/>
        </w:rPr>
        <w:t>2019</w:t>
      </w:r>
      <w:r>
        <w:rPr>
          <w:rFonts w:cs="Calibri"/>
          <w:sz w:val="16"/>
          <w:szCs w:val="16"/>
        </w:rPr>
        <w:t>).</w:t>
      </w:r>
      <w:r w:rsidRPr="0048763A">
        <w:rPr>
          <w:rFonts w:cs="Calibri"/>
          <w:sz w:val="16"/>
          <w:szCs w:val="16"/>
        </w:rPr>
        <w:t xml:space="preserve"> The Best Chance for All: Student Equity 2030 – A </w:t>
      </w:r>
      <w:r>
        <w:rPr>
          <w:rFonts w:cs="Calibri"/>
          <w:sz w:val="16"/>
          <w:szCs w:val="16"/>
        </w:rPr>
        <w:t>L</w:t>
      </w:r>
      <w:r w:rsidRPr="0048763A">
        <w:rPr>
          <w:rFonts w:cs="Calibri"/>
          <w:sz w:val="16"/>
          <w:szCs w:val="16"/>
        </w:rPr>
        <w:t xml:space="preserve">ong-term </w:t>
      </w:r>
      <w:r>
        <w:rPr>
          <w:rFonts w:cs="Calibri"/>
          <w:sz w:val="16"/>
          <w:szCs w:val="16"/>
        </w:rPr>
        <w:t>S</w:t>
      </w:r>
      <w:r w:rsidRPr="0048763A">
        <w:rPr>
          <w:rFonts w:cs="Calibri"/>
          <w:sz w:val="16"/>
          <w:szCs w:val="16"/>
        </w:rPr>
        <w:t xml:space="preserve">trategic </w:t>
      </w:r>
      <w:r>
        <w:rPr>
          <w:rFonts w:cs="Calibri"/>
          <w:sz w:val="16"/>
          <w:szCs w:val="16"/>
        </w:rPr>
        <w:t>V</w:t>
      </w:r>
      <w:r w:rsidRPr="0048763A">
        <w:rPr>
          <w:rFonts w:cs="Calibri"/>
          <w:sz w:val="16"/>
          <w:szCs w:val="16"/>
        </w:rPr>
        <w:t xml:space="preserve">ision for </w:t>
      </w:r>
      <w:r>
        <w:rPr>
          <w:rFonts w:cs="Calibri"/>
          <w:sz w:val="16"/>
          <w:szCs w:val="16"/>
        </w:rPr>
        <w:t>S</w:t>
      </w:r>
      <w:r w:rsidRPr="0048763A">
        <w:rPr>
          <w:rFonts w:cs="Calibri"/>
          <w:sz w:val="16"/>
          <w:szCs w:val="16"/>
        </w:rPr>
        <w:t xml:space="preserve">tudent </w:t>
      </w:r>
      <w:r>
        <w:rPr>
          <w:rFonts w:cs="Calibri"/>
          <w:sz w:val="16"/>
          <w:szCs w:val="16"/>
        </w:rPr>
        <w:t>E</w:t>
      </w:r>
      <w:r w:rsidRPr="0048763A">
        <w:rPr>
          <w:rFonts w:cs="Calibri"/>
          <w:sz w:val="16"/>
          <w:szCs w:val="16"/>
        </w:rPr>
        <w:t xml:space="preserve">quity in </w:t>
      </w:r>
      <w:r>
        <w:rPr>
          <w:rFonts w:cs="Calibri"/>
          <w:sz w:val="16"/>
          <w:szCs w:val="16"/>
        </w:rPr>
        <w:t>H</w:t>
      </w:r>
      <w:r w:rsidRPr="0048763A">
        <w:rPr>
          <w:rFonts w:cs="Calibri"/>
          <w:sz w:val="16"/>
          <w:szCs w:val="16"/>
        </w:rPr>
        <w:t xml:space="preserve">igher </w:t>
      </w:r>
      <w:r>
        <w:rPr>
          <w:rFonts w:cs="Calibri"/>
          <w:sz w:val="16"/>
          <w:szCs w:val="16"/>
        </w:rPr>
        <w:t>E</w:t>
      </w:r>
      <w:r w:rsidRPr="0048763A">
        <w:rPr>
          <w:rFonts w:cs="Calibri"/>
          <w:sz w:val="16"/>
          <w:szCs w:val="16"/>
        </w:rPr>
        <w:t>ducation, National Centre for Student Equity in Higher Education.</w:t>
      </w:r>
      <w:r>
        <w:rPr>
          <w:rFonts w:cs="Calibri"/>
          <w:sz w:val="16"/>
          <w:szCs w:val="16"/>
        </w:rPr>
        <w:t xml:space="preserve"> Perth: Curtin University.</w:t>
      </w:r>
    </w:p>
  </w:footnote>
  <w:footnote w:id="113">
    <w:p w14:paraId="772A91C2" w14:textId="533E25E8" w:rsidR="007331AF" w:rsidRPr="00825C2A" w:rsidRDefault="007331AF" w:rsidP="00566137">
      <w:pPr>
        <w:pStyle w:val="FootnoteText"/>
        <w:rPr>
          <w:sz w:val="16"/>
          <w:szCs w:val="16"/>
        </w:rPr>
      </w:pPr>
      <w:r w:rsidRPr="00825C2A">
        <w:rPr>
          <w:rStyle w:val="FootnoteReference"/>
          <w:sz w:val="16"/>
          <w:szCs w:val="16"/>
        </w:rPr>
        <w:footnoteRef/>
      </w:r>
      <w:r>
        <w:rPr>
          <w:sz w:val="16"/>
          <w:szCs w:val="16"/>
        </w:rPr>
        <w:t xml:space="preserve"> </w:t>
      </w:r>
      <w:r w:rsidRPr="00825C2A">
        <w:rPr>
          <w:sz w:val="16"/>
          <w:szCs w:val="16"/>
        </w:rPr>
        <w:t xml:space="preserve">See </w:t>
      </w:r>
      <w:hyperlink r:id="rId16" w:history="1">
        <w:r w:rsidRPr="00D3786E">
          <w:rPr>
            <w:rStyle w:val="Hyperlink"/>
            <w:sz w:val="16"/>
            <w:szCs w:val="16"/>
          </w:rPr>
          <w:t>http://www.regionalaustralia.org.au/home/2015/09/foundations-of-regional-australia/</w:t>
        </w:r>
      </w:hyperlink>
      <w:r>
        <w:rPr>
          <w:sz w:val="16"/>
          <w:szCs w:val="16"/>
        </w:rPr>
        <w:t xml:space="preserve"> .</w:t>
      </w:r>
    </w:p>
  </w:footnote>
  <w:footnote w:id="114">
    <w:p w14:paraId="3726C047" w14:textId="77777777" w:rsidR="007331AF" w:rsidRPr="0048763A" w:rsidRDefault="007331AF" w:rsidP="00566137">
      <w:pPr>
        <w:pStyle w:val="FootnoteText"/>
        <w:rPr>
          <w:rFonts w:cs="Calibri"/>
          <w:sz w:val="16"/>
          <w:szCs w:val="16"/>
        </w:rPr>
      </w:pPr>
      <w:r w:rsidRPr="0048763A">
        <w:rPr>
          <w:rStyle w:val="FootnoteReference"/>
          <w:rFonts w:cs="Calibri"/>
          <w:sz w:val="16"/>
          <w:szCs w:val="16"/>
        </w:rPr>
        <w:footnoteRef/>
      </w:r>
      <w:r w:rsidRPr="0048763A">
        <w:rPr>
          <w:rFonts w:cs="Calibri"/>
          <w:sz w:val="16"/>
          <w:szCs w:val="16"/>
        </w:rPr>
        <w:t xml:space="preserve"> Relph, E</w:t>
      </w:r>
      <w:r>
        <w:rPr>
          <w:rFonts w:cs="Calibri"/>
          <w:sz w:val="16"/>
          <w:szCs w:val="16"/>
        </w:rPr>
        <w:t>.</w:t>
      </w:r>
      <w:r w:rsidRPr="0048763A">
        <w:rPr>
          <w:rFonts w:cs="Calibri"/>
          <w:sz w:val="16"/>
          <w:szCs w:val="16"/>
        </w:rPr>
        <w:t xml:space="preserve"> </w:t>
      </w:r>
      <w:r>
        <w:rPr>
          <w:rFonts w:cs="Calibri"/>
          <w:sz w:val="16"/>
          <w:szCs w:val="16"/>
        </w:rPr>
        <w:t>(</w:t>
      </w:r>
      <w:r w:rsidRPr="0048763A">
        <w:rPr>
          <w:rFonts w:cs="Calibri"/>
          <w:sz w:val="16"/>
          <w:szCs w:val="16"/>
        </w:rPr>
        <w:t>1976</w:t>
      </w:r>
      <w:r>
        <w:rPr>
          <w:rFonts w:cs="Calibri"/>
          <w:sz w:val="16"/>
          <w:szCs w:val="16"/>
        </w:rPr>
        <w:t>).</w:t>
      </w:r>
      <w:r w:rsidRPr="0048763A">
        <w:rPr>
          <w:rFonts w:cs="Calibri"/>
          <w:sz w:val="16"/>
          <w:szCs w:val="16"/>
        </w:rPr>
        <w:t xml:space="preserve"> Place and </w:t>
      </w:r>
      <w:r>
        <w:rPr>
          <w:rFonts w:cs="Calibri"/>
          <w:sz w:val="16"/>
          <w:szCs w:val="16"/>
        </w:rPr>
        <w:t>P</w:t>
      </w:r>
      <w:r w:rsidRPr="0048763A">
        <w:rPr>
          <w:rFonts w:cs="Calibri"/>
          <w:sz w:val="16"/>
          <w:szCs w:val="16"/>
        </w:rPr>
        <w:t xml:space="preserve">lacelessness, </w:t>
      </w:r>
      <w:r>
        <w:rPr>
          <w:rFonts w:cs="Calibri"/>
          <w:sz w:val="16"/>
          <w:szCs w:val="16"/>
        </w:rPr>
        <w:t xml:space="preserve">London: </w:t>
      </w:r>
      <w:r w:rsidRPr="0048763A">
        <w:rPr>
          <w:rFonts w:cs="Calibri"/>
          <w:sz w:val="16"/>
          <w:szCs w:val="16"/>
        </w:rPr>
        <w:t>Pion.</w:t>
      </w:r>
    </w:p>
  </w:footnote>
  <w:footnote w:id="115">
    <w:p w14:paraId="64AB46EC" w14:textId="77777777" w:rsidR="007331AF" w:rsidRPr="0048763A" w:rsidRDefault="007331AF" w:rsidP="00566137">
      <w:pPr>
        <w:pStyle w:val="FootnoteText"/>
        <w:rPr>
          <w:rFonts w:cs="Calibri"/>
          <w:sz w:val="16"/>
          <w:szCs w:val="16"/>
        </w:rPr>
      </w:pPr>
      <w:r w:rsidRPr="0048763A">
        <w:rPr>
          <w:rStyle w:val="FootnoteReference"/>
          <w:rFonts w:cs="Calibri"/>
          <w:sz w:val="16"/>
          <w:szCs w:val="16"/>
        </w:rPr>
        <w:footnoteRef/>
      </w:r>
      <w:r w:rsidRPr="0048763A">
        <w:rPr>
          <w:rFonts w:cs="Calibri"/>
          <w:sz w:val="16"/>
          <w:szCs w:val="16"/>
        </w:rPr>
        <w:t xml:space="preserve"> Proshansky, H., Fabian, A.,</w:t>
      </w:r>
      <w:r>
        <w:rPr>
          <w:rFonts w:cs="Calibri"/>
          <w:sz w:val="16"/>
          <w:szCs w:val="16"/>
        </w:rPr>
        <w:t xml:space="preserve"> and </w:t>
      </w:r>
      <w:r w:rsidRPr="0048763A">
        <w:rPr>
          <w:rFonts w:cs="Calibri"/>
          <w:sz w:val="16"/>
          <w:szCs w:val="16"/>
        </w:rPr>
        <w:t>Kaminoff, R. (1983)</w:t>
      </w:r>
      <w:r>
        <w:rPr>
          <w:rFonts w:cs="Calibri"/>
          <w:sz w:val="16"/>
          <w:szCs w:val="16"/>
        </w:rPr>
        <w:t>.</w:t>
      </w:r>
      <w:r w:rsidRPr="0048763A">
        <w:rPr>
          <w:rFonts w:cs="Calibri"/>
          <w:sz w:val="16"/>
          <w:szCs w:val="16"/>
        </w:rPr>
        <w:t xml:space="preserve"> Place identity: Physical world socialization of the self. Journal of Environmental Psychology, 3, 57-83</w:t>
      </w:r>
      <w:r>
        <w:rPr>
          <w:rFonts w:cs="Calibri"/>
          <w:sz w:val="16"/>
          <w:szCs w:val="16"/>
        </w:rPr>
        <w:t>.</w:t>
      </w:r>
    </w:p>
  </w:footnote>
  <w:footnote w:id="116">
    <w:p w14:paraId="19CCB17D" w14:textId="77777777" w:rsidR="007331AF" w:rsidRPr="0048763A" w:rsidRDefault="007331AF" w:rsidP="00566137">
      <w:pPr>
        <w:pStyle w:val="FootnoteText"/>
        <w:rPr>
          <w:rFonts w:cs="Calibri"/>
          <w:sz w:val="16"/>
          <w:szCs w:val="16"/>
        </w:rPr>
      </w:pPr>
      <w:r w:rsidRPr="0048763A">
        <w:rPr>
          <w:rStyle w:val="FootnoteReference"/>
          <w:rFonts w:cs="Calibri"/>
          <w:sz w:val="16"/>
          <w:szCs w:val="16"/>
        </w:rPr>
        <w:footnoteRef/>
      </w:r>
      <w:r w:rsidRPr="0048763A">
        <w:rPr>
          <w:rFonts w:cs="Calibri"/>
          <w:sz w:val="16"/>
          <w:szCs w:val="16"/>
        </w:rPr>
        <w:t xml:space="preserve"> Casey, E. (1997)</w:t>
      </w:r>
      <w:r>
        <w:rPr>
          <w:rFonts w:cs="Calibri"/>
          <w:sz w:val="16"/>
          <w:szCs w:val="16"/>
        </w:rPr>
        <w:t>.</w:t>
      </w:r>
      <w:r w:rsidRPr="0048763A">
        <w:rPr>
          <w:rFonts w:cs="Calibri"/>
          <w:sz w:val="16"/>
          <w:szCs w:val="16"/>
        </w:rPr>
        <w:t xml:space="preserve"> The </w:t>
      </w:r>
      <w:r>
        <w:rPr>
          <w:rFonts w:cs="Calibri"/>
          <w:sz w:val="16"/>
          <w:szCs w:val="16"/>
        </w:rPr>
        <w:t>F</w:t>
      </w:r>
      <w:r w:rsidRPr="0048763A">
        <w:rPr>
          <w:rFonts w:cs="Calibri"/>
          <w:sz w:val="16"/>
          <w:szCs w:val="16"/>
        </w:rPr>
        <w:t xml:space="preserve">ate of </w:t>
      </w:r>
      <w:r>
        <w:rPr>
          <w:rFonts w:cs="Calibri"/>
          <w:sz w:val="16"/>
          <w:szCs w:val="16"/>
        </w:rPr>
        <w:t>P</w:t>
      </w:r>
      <w:r w:rsidRPr="0048763A">
        <w:rPr>
          <w:rFonts w:cs="Calibri"/>
          <w:sz w:val="16"/>
          <w:szCs w:val="16"/>
        </w:rPr>
        <w:t xml:space="preserve">lace: A </w:t>
      </w:r>
      <w:r>
        <w:rPr>
          <w:rFonts w:cs="Calibri"/>
          <w:sz w:val="16"/>
          <w:szCs w:val="16"/>
        </w:rPr>
        <w:t>P</w:t>
      </w:r>
      <w:r w:rsidRPr="0048763A">
        <w:rPr>
          <w:rFonts w:cs="Calibri"/>
          <w:sz w:val="16"/>
          <w:szCs w:val="16"/>
        </w:rPr>
        <w:t xml:space="preserve">hilosophical </w:t>
      </w:r>
      <w:r>
        <w:rPr>
          <w:rFonts w:cs="Calibri"/>
          <w:sz w:val="16"/>
          <w:szCs w:val="16"/>
        </w:rPr>
        <w:t>H</w:t>
      </w:r>
      <w:r w:rsidRPr="0048763A">
        <w:rPr>
          <w:rFonts w:cs="Calibri"/>
          <w:sz w:val="16"/>
          <w:szCs w:val="16"/>
        </w:rPr>
        <w:t xml:space="preserve">istory. </w:t>
      </w:r>
      <w:r>
        <w:rPr>
          <w:rFonts w:cs="Calibri"/>
          <w:sz w:val="16"/>
          <w:szCs w:val="16"/>
        </w:rPr>
        <w:t xml:space="preserve">Berkeley: </w:t>
      </w:r>
      <w:r w:rsidRPr="0048763A">
        <w:rPr>
          <w:rFonts w:cs="Calibri"/>
          <w:sz w:val="16"/>
          <w:szCs w:val="16"/>
        </w:rPr>
        <w:t>University of California Press</w:t>
      </w:r>
      <w:r>
        <w:rPr>
          <w:rFonts w:cs="Calibri"/>
          <w:sz w:val="16"/>
          <w:szCs w:val="16"/>
        </w:rPr>
        <w:t>.</w:t>
      </w:r>
    </w:p>
  </w:footnote>
  <w:footnote w:id="117">
    <w:p w14:paraId="5CC1D583" w14:textId="77777777" w:rsidR="007331AF" w:rsidRPr="0048763A" w:rsidRDefault="007331AF" w:rsidP="00566137">
      <w:pPr>
        <w:pStyle w:val="FootnoteText"/>
        <w:rPr>
          <w:rFonts w:cs="Calibri"/>
          <w:sz w:val="16"/>
          <w:szCs w:val="16"/>
        </w:rPr>
      </w:pPr>
      <w:r w:rsidRPr="0048763A">
        <w:rPr>
          <w:rStyle w:val="FootnoteReference"/>
          <w:rFonts w:cs="Calibri"/>
          <w:sz w:val="16"/>
          <w:szCs w:val="16"/>
        </w:rPr>
        <w:footnoteRef/>
      </w:r>
      <w:r w:rsidRPr="0048763A">
        <w:rPr>
          <w:rFonts w:cs="Calibri"/>
          <w:sz w:val="16"/>
          <w:szCs w:val="16"/>
        </w:rPr>
        <w:t xml:space="preserve"> Kintrea, K., St</w:t>
      </w:r>
      <w:r>
        <w:rPr>
          <w:rFonts w:cs="Calibri"/>
          <w:sz w:val="16"/>
          <w:szCs w:val="16"/>
        </w:rPr>
        <w:t xml:space="preserve"> </w:t>
      </w:r>
      <w:r w:rsidRPr="0048763A">
        <w:rPr>
          <w:rFonts w:cs="Calibri"/>
          <w:sz w:val="16"/>
          <w:szCs w:val="16"/>
        </w:rPr>
        <w:t>Clair, R.</w:t>
      </w:r>
      <w:r>
        <w:rPr>
          <w:rFonts w:cs="Calibri"/>
          <w:sz w:val="16"/>
          <w:szCs w:val="16"/>
        </w:rPr>
        <w:t xml:space="preserve">, and </w:t>
      </w:r>
      <w:r w:rsidRPr="0048763A">
        <w:rPr>
          <w:rFonts w:cs="Calibri"/>
          <w:sz w:val="16"/>
          <w:szCs w:val="16"/>
        </w:rPr>
        <w:t>Houston, M. (2015)</w:t>
      </w:r>
      <w:r>
        <w:rPr>
          <w:rFonts w:cs="Calibri"/>
          <w:sz w:val="16"/>
          <w:szCs w:val="16"/>
        </w:rPr>
        <w:t>.</w:t>
      </w:r>
      <w:r w:rsidRPr="0048763A">
        <w:rPr>
          <w:rFonts w:cs="Calibri"/>
          <w:sz w:val="16"/>
          <w:szCs w:val="16"/>
        </w:rPr>
        <w:t xml:space="preserve"> Shaped by place? Young people's aspirations in disadvantaged neighbourhoods. Journal of Youth Studies, 18(5), 666-</w:t>
      </w:r>
      <w:r>
        <w:rPr>
          <w:rFonts w:cs="Calibri"/>
          <w:sz w:val="16"/>
          <w:szCs w:val="16"/>
        </w:rPr>
        <w:t>6</w:t>
      </w:r>
      <w:r w:rsidRPr="0048763A">
        <w:rPr>
          <w:rFonts w:cs="Calibri"/>
          <w:sz w:val="16"/>
          <w:szCs w:val="16"/>
        </w:rPr>
        <w:t>84.</w:t>
      </w:r>
      <w:r>
        <w:rPr>
          <w:rFonts w:cs="Calibri"/>
          <w:sz w:val="16"/>
          <w:szCs w:val="16"/>
        </w:rPr>
        <w:t xml:space="preserve"> </w:t>
      </w:r>
    </w:p>
  </w:footnote>
  <w:footnote w:id="118">
    <w:p w14:paraId="1328D8E9" w14:textId="5D74F820" w:rsidR="007331AF" w:rsidRPr="00825C2A" w:rsidRDefault="007331AF" w:rsidP="00566137">
      <w:pPr>
        <w:pStyle w:val="FootnoteText"/>
        <w:rPr>
          <w:rFonts w:cs="Calibri"/>
          <w:sz w:val="16"/>
          <w:szCs w:val="16"/>
        </w:rPr>
      </w:pPr>
      <w:r w:rsidRPr="00825C2A">
        <w:rPr>
          <w:rStyle w:val="FootnoteReference"/>
          <w:rFonts w:cs="Calibri"/>
          <w:sz w:val="16"/>
          <w:szCs w:val="16"/>
        </w:rPr>
        <w:footnoteRef/>
      </w:r>
      <w:r w:rsidRPr="00825C2A">
        <w:rPr>
          <w:rFonts w:cs="Calibri"/>
          <w:sz w:val="16"/>
          <w:szCs w:val="16"/>
        </w:rPr>
        <w:t xml:space="preserve"> Vinson, T., Rawsthorne, M., Beavis, A., and Ericson, M. (2015)</w:t>
      </w:r>
      <w:r>
        <w:rPr>
          <w:rFonts w:cs="Calibri"/>
          <w:sz w:val="16"/>
          <w:szCs w:val="16"/>
        </w:rPr>
        <w:t>.</w:t>
      </w:r>
      <w:r w:rsidRPr="00825C2A">
        <w:rPr>
          <w:rFonts w:cs="Calibri"/>
          <w:sz w:val="16"/>
          <w:szCs w:val="16"/>
        </w:rPr>
        <w:t xml:space="preserve"> Dropping Off the Edge 2015. Jesuit Social Services / Catholic Social Services Australia. </w:t>
      </w:r>
      <w:r>
        <w:rPr>
          <w:rFonts w:cs="Calibri"/>
          <w:sz w:val="16"/>
          <w:szCs w:val="16"/>
        </w:rPr>
        <w:t xml:space="preserve">Available at </w:t>
      </w:r>
      <w:hyperlink r:id="rId17" w:history="1">
        <w:r w:rsidRPr="00D3786E">
          <w:rPr>
            <w:rStyle w:val="Hyperlink"/>
            <w:rFonts w:cs="Calibri"/>
            <w:sz w:val="16"/>
            <w:szCs w:val="16"/>
          </w:rPr>
          <w:t>https://aifs.gov.au/cfca/2015/07/21/report-dropping-edge-2015</w:t>
        </w:r>
      </w:hyperlink>
      <w:r>
        <w:rPr>
          <w:rFonts w:cs="Calibri"/>
          <w:sz w:val="16"/>
          <w:szCs w:val="16"/>
        </w:rPr>
        <w:t xml:space="preserve"> .</w:t>
      </w:r>
    </w:p>
  </w:footnote>
  <w:footnote w:id="119">
    <w:p w14:paraId="21161FB7" w14:textId="77777777" w:rsidR="007331AF" w:rsidRPr="00825C2A" w:rsidRDefault="007331AF" w:rsidP="00566137">
      <w:pPr>
        <w:pStyle w:val="FootnoteText"/>
        <w:rPr>
          <w:sz w:val="16"/>
          <w:szCs w:val="16"/>
        </w:rPr>
      </w:pPr>
      <w:r w:rsidRPr="00825C2A">
        <w:rPr>
          <w:rStyle w:val="FootnoteReference"/>
          <w:sz w:val="16"/>
          <w:szCs w:val="16"/>
        </w:rPr>
        <w:footnoteRef/>
      </w:r>
      <w:r w:rsidRPr="00825C2A">
        <w:rPr>
          <w:sz w:val="16"/>
          <w:szCs w:val="16"/>
        </w:rPr>
        <w:t xml:space="preserve"> Committee on the Future of Tertiary Education in Australia (1964)</w:t>
      </w:r>
      <w:r>
        <w:rPr>
          <w:sz w:val="16"/>
          <w:szCs w:val="16"/>
        </w:rPr>
        <w:t>.</w:t>
      </w:r>
      <w:r w:rsidRPr="00825C2A">
        <w:rPr>
          <w:sz w:val="16"/>
          <w:szCs w:val="16"/>
        </w:rPr>
        <w:t xml:space="preserve"> Tertiary</w:t>
      </w:r>
      <w:r>
        <w:rPr>
          <w:sz w:val="16"/>
          <w:szCs w:val="16"/>
        </w:rPr>
        <w:t xml:space="preserve"> E</w:t>
      </w:r>
      <w:r w:rsidRPr="00825C2A">
        <w:rPr>
          <w:sz w:val="16"/>
          <w:szCs w:val="16"/>
        </w:rPr>
        <w:t>ducation in Australia: Report of the Committee on the Future of Tertiary Education in Australia to the Australian Universities Commission</w:t>
      </w:r>
      <w:r>
        <w:rPr>
          <w:sz w:val="16"/>
          <w:szCs w:val="16"/>
        </w:rPr>
        <w:t xml:space="preserve">, </w:t>
      </w:r>
      <w:r w:rsidRPr="00825C2A">
        <w:rPr>
          <w:sz w:val="16"/>
          <w:szCs w:val="16"/>
        </w:rPr>
        <w:t>1, 270. Canberra.</w:t>
      </w:r>
    </w:p>
  </w:footnote>
  <w:footnote w:id="120">
    <w:p w14:paraId="68CB6461" w14:textId="77777777" w:rsidR="007331AF" w:rsidRPr="00825C2A" w:rsidRDefault="007331AF" w:rsidP="00566137">
      <w:pPr>
        <w:pStyle w:val="FootnoteText"/>
        <w:rPr>
          <w:sz w:val="16"/>
          <w:szCs w:val="16"/>
        </w:rPr>
      </w:pPr>
      <w:r w:rsidRPr="00825C2A">
        <w:rPr>
          <w:rStyle w:val="FootnoteReference"/>
          <w:sz w:val="16"/>
          <w:szCs w:val="16"/>
        </w:rPr>
        <w:footnoteRef/>
      </w:r>
      <w:r w:rsidRPr="00825C2A">
        <w:rPr>
          <w:sz w:val="16"/>
          <w:szCs w:val="16"/>
        </w:rPr>
        <w:t xml:space="preserve"> Commonwealth Schools Commission (1987)</w:t>
      </w:r>
      <w:r>
        <w:rPr>
          <w:sz w:val="16"/>
          <w:szCs w:val="16"/>
        </w:rPr>
        <w:t>.</w:t>
      </w:r>
      <w:r w:rsidRPr="00825C2A">
        <w:rPr>
          <w:sz w:val="16"/>
          <w:szCs w:val="16"/>
        </w:rPr>
        <w:t xml:space="preserve"> Schooling in Rural Australia</w:t>
      </w:r>
      <w:r>
        <w:rPr>
          <w:sz w:val="16"/>
          <w:szCs w:val="16"/>
        </w:rPr>
        <w:t>.</w:t>
      </w:r>
      <w:r w:rsidRPr="00825C2A">
        <w:rPr>
          <w:sz w:val="16"/>
          <w:szCs w:val="16"/>
        </w:rPr>
        <w:t xml:space="preserve"> Curriculum Development Centre</w:t>
      </w:r>
      <w:r>
        <w:rPr>
          <w:sz w:val="16"/>
          <w:szCs w:val="16"/>
        </w:rPr>
        <w:t>.</w:t>
      </w:r>
      <w:r w:rsidRPr="00825C2A">
        <w:rPr>
          <w:sz w:val="16"/>
          <w:szCs w:val="16"/>
        </w:rPr>
        <w:t xml:space="preserve"> Canberra.</w:t>
      </w:r>
    </w:p>
  </w:footnote>
  <w:footnote w:id="121">
    <w:p w14:paraId="5DD6C038" w14:textId="77777777" w:rsidR="007331AF" w:rsidRPr="00EF14B2" w:rsidRDefault="007331AF" w:rsidP="00566137">
      <w:pPr>
        <w:pStyle w:val="FootnoteText"/>
        <w:rPr>
          <w:sz w:val="16"/>
          <w:szCs w:val="16"/>
        </w:rPr>
      </w:pPr>
      <w:r w:rsidRPr="00825C2A">
        <w:rPr>
          <w:rStyle w:val="FootnoteReference"/>
          <w:sz w:val="16"/>
          <w:szCs w:val="16"/>
        </w:rPr>
        <w:footnoteRef/>
      </w:r>
      <w:r w:rsidRPr="00825C2A">
        <w:rPr>
          <w:sz w:val="16"/>
          <w:szCs w:val="16"/>
        </w:rPr>
        <w:t xml:space="preserve"> Commonwealth Schools Commission (1987)</w:t>
      </w:r>
      <w:r>
        <w:rPr>
          <w:sz w:val="16"/>
          <w:szCs w:val="16"/>
        </w:rPr>
        <w:t>.</w:t>
      </w:r>
      <w:r w:rsidRPr="00825C2A">
        <w:rPr>
          <w:sz w:val="16"/>
          <w:szCs w:val="16"/>
        </w:rPr>
        <w:t xml:space="preserve"> Schooling in Rural Australia</w:t>
      </w:r>
      <w:r>
        <w:rPr>
          <w:sz w:val="16"/>
          <w:szCs w:val="16"/>
        </w:rPr>
        <w:t>.</w:t>
      </w:r>
      <w:r w:rsidRPr="00825C2A">
        <w:rPr>
          <w:sz w:val="16"/>
          <w:szCs w:val="16"/>
        </w:rPr>
        <w:t xml:space="preserve"> Curriculum Development Centre</w:t>
      </w:r>
      <w:r>
        <w:rPr>
          <w:sz w:val="16"/>
          <w:szCs w:val="16"/>
        </w:rPr>
        <w:t>.</w:t>
      </w:r>
      <w:r w:rsidRPr="00825C2A">
        <w:rPr>
          <w:sz w:val="16"/>
          <w:szCs w:val="16"/>
        </w:rPr>
        <w:t xml:space="preserve"> Canberra.</w:t>
      </w:r>
    </w:p>
  </w:footnote>
  <w:footnote w:id="122">
    <w:p w14:paraId="1298FC2A" w14:textId="77777777" w:rsidR="007331AF" w:rsidRPr="0048763A" w:rsidRDefault="007331AF" w:rsidP="00566137">
      <w:pPr>
        <w:pStyle w:val="FootnoteText"/>
        <w:rPr>
          <w:rFonts w:cs="Calibri"/>
          <w:sz w:val="16"/>
          <w:szCs w:val="16"/>
        </w:rPr>
      </w:pPr>
      <w:r w:rsidRPr="00EF14B2">
        <w:rPr>
          <w:rStyle w:val="FootnoteReference"/>
          <w:rFonts w:cs="Calibri"/>
          <w:sz w:val="16"/>
          <w:szCs w:val="16"/>
        </w:rPr>
        <w:footnoteRef/>
      </w:r>
      <w:r w:rsidRPr="00EF14B2">
        <w:rPr>
          <w:rFonts w:cs="Calibri"/>
          <w:sz w:val="16"/>
          <w:szCs w:val="16"/>
        </w:rPr>
        <w:t xml:space="preserve"> Russell-Bennett, R., Drennan, J.</w:t>
      </w:r>
      <w:r>
        <w:rPr>
          <w:rFonts w:cs="Calibri"/>
          <w:sz w:val="16"/>
          <w:szCs w:val="16"/>
        </w:rPr>
        <w:t xml:space="preserve"> and </w:t>
      </w:r>
      <w:r w:rsidRPr="00EF14B2">
        <w:rPr>
          <w:rFonts w:cs="Calibri"/>
          <w:sz w:val="16"/>
          <w:szCs w:val="16"/>
        </w:rPr>
        <w:t>Raciti, M. (2016)</w:t>
      </w:r>
      <w:r>
        <w:rPr>
          <w:rFonts w:cs="Calibri"/>
          <w:sz w:val="16"/>
          <w:szCs w:val="16"/>
        </w:rPr>
        <w:t>.</w:t>
      </w:r>
      <w:r w:rsidRPr="00EF14B2">
        <w:rPr>
          <w:rFonts w:cs="Calibri"/>
          <w:sz w:val="16"/>
          <w:szCs w:val="16"/>
        </w:rPr>
        <w:t xml:space="preserve"> Social Marketing Strategy for Widening Tertiary Education Participation in Low SES Communities: Field Research. </w:t>
      </w:r>
      <w:r>
        <w:rPr>
          <w:rFonts w:cs="Calibri"/>
          <w:sz w:val="16"/>
          <w:szCs w:val="16"/>
        </w:rPr>
        <w:t xml:space="preserve">Brisbane: </w:t>
      </w:r>
      <w:r w:rsidRPr="00EF14B2">
        <w:rPr>
          <w:rFonts w:cs="Calibri"/>
          <w:sz w:val="16"/>
          <w:szCs w:val="16"/>
        </w:rPr>
        <w:t>Queensland University of Technology</w:t>
      </w:r>
      <w:r>
        <w:rPr>
          <w:rFonts w:cs="Calibri"/>
          <w:sz w:val="16"/>
          <w:szCs w:val="16"/>
        </w:rPr>
        <w:t>.</w:t>
      </w:r>
    </w:p>
  </w:footnote>
  <w:footnote w:id="123">
    <w:p w14:paraId="120E863E" w14:textId="77777777" w:rsidR="007331AF" w:rsidRPr="0048763A" w:rsidRDefault="007331AF" w:rsidP="00566137">
      <w:pPr>
        <w:pStyle w:val="FootnoteText"/>
        <w:rPr>
          <w:rFonts w:cs="Calibri"/>
          <w:sz w:val="16"/>
          <w:szCs w:val="16"/>
        </w:rPr>
      </w:pPr>
      <w:r w:rsidRPr="0048763A">
        <w:rPr>
          <w:rStyle w:val="FootnoteReference"/>
          <w:rFonts w:cs="Calibri"/>
          <w:sz w:val="16"/>
          <w:szCs w:val="16"/>
        </w:rPr>
        <w:footnoteRef/>
      </w:r>
      <w:r w:rsidRPr="0048763A">
        <w:rPr>
          <w:rFonts w:cs="Calibri"/>
          <w:sz w:val="16"/>
          <w:szCs w:val="16"/>
        </w:rPr>
        <w:t xml:space="preserve"> </w:t>
      </w:r>
      <w:r>
        <w:rPr>
          <w:rFonts w:cs="Calibri"/>
          <w:sz w:val="16"/>
          <w:szCs w:val="16"/>
        </w:rPr>
        <w:t xml:space="preserve">For example: </w:t>
      </w:r>
      <w:r w:rsidRPr="0048763A">
        <w:rPr>
          <w:rFonts w:cs="Calibri"/>
          <w:sz w:val="16"/>
          <w:szCs w:val="16"/>
        </w:rPr>
        <w:t>Quin, R., Stone, C.,</w:t>
      </w:r>
      <w:r>
        <w:rPr>
          <w:rFonts w:cs="Calibri"/>
          <w:sz w:val="16"/>
          <w:szCs w:val="16"/>
        </w:rPr>
        <w:t xml:space="preserve"> and </w:t>
      </w:r>
      <w:r w:rsidRPr="0048763A">
        <w:rPr>
          <w:rFonts w:cs="Calibri"/>
          <w:sz w:val="16"/>
          <w:szCs w:val="16"/>
        </w:rPr>
        <w:t>Trinidad, S. (2017)</w:t>
      </w:r>
      <w:r>
        <w:rPr>
          <w:rFonts w:cs="Calibri"/>
          <w:sz w:val="16"/>
          <w:szCs w:val="16"/>
        </w:rPr>
        <w:t>.</w:t>
      </w:r>
      <w:r w:rsidRPr="0048763A">
        <w:rPr>
          <w:rFonts w:cs="Calibri"/>
          <w:sz w:val="16"/>
          <w:szCs w:val="16"/>
        </w:rPr>
        <w:t xml:space="preserve"> Low Rates of Transition to University for High Achieving Students in Regional NSW. Report for NSW Department of Education. National Centre for Student Equity in Higher Education</w:t>
      </w:r>
      <w:r>
        <w:rPr>
          <w:rFonts w:cs="Calibri"/>
          <w:sz w:val="16"/>
          <w:szCs w:val="16"/>
        </w:rPr>
        <w:t>.</w:t>
      </w:r>
      <w:r w:rsidRPr="0048763A">
        <w:rPr>
          <w:rFonts w:cs="Calibri"/>
          <w:sz w:val="16"/>
          <w:szCs w:val="16"/>
        </w:rPr>
        <w:t xml:space="preserve"> </w:t>
      </w:r>
      <w:r>
        <w:rPr>
          <w:rFonts w:cs="Calibri"/>
          <w:sz w:val="16"/>
          <w:szCs w:val="16"/>
        </w:rPr>
        <w:t xml:space="preserve">Perth: </w:t>
      </w:r>
      <w:r w:rsidRPr="0048763A">
        <w:rPr>
          <w:rFonts w:cs="Calibri"/>
          <w:sz w:val="16"/>
          <w:szCs w:val="16"/>
        </w:rPr>
        <w:t>Curtin University.</w:t>
      </w:r>
      <w:r w:rsidRPr="00884FA4">
        <w:rPr>
          <w:rFonts w:cs="Calibri"/>
          <w:sz w:val="16"/>
          <w:szCs w:val="16"/>
        </w:rPr>
        <w:t xml:space="preserve"> </w:t>
      </w:r>
      <w:r w:rsidRPr="0048763A">
        <w:rPr>
          <w:rFonts w:cs="Calibri"/>
          <w:sz w:val="16"/>
          <w:szCs w:val="16"/>
        </w:rPr>
        <w:t>Pollard, L. (2018)</w:t>
      </w:r>
      <w:r>
        <w:rPr>
          <w:rFonts w:cs="Calibri"/>
          <w:sz w:val="16"/>
          <w:szCs w:val="16"/>
        </w:rPr>
        <w:t>.</w:t>
      </w:r>
      <w:r w:rsidRPr="0048763A">
        <w:rPr>
          <w:rFonts w:cs="Calibri"/>
          <w:sz w:val="16"/>
          <w:szCs w:val="16"/>
        </w:rPr>
        <w:t xml:space="preserve"> Remote Student University Success–An Analysis of Policy and Practice. National Centre for Student Equity in Higher Education</w:t>
      </w:r>
      <w:r>
        <w:rPr>
          <w:rFonts w:cs="Calibri"/>
          <w:sz w:val="16"/>
          <w:szCs w:val="16"/>
        </w:rPr>
        <w:t>.</w:t>
      </w:r>
      <w:r w:rsidRPr="0048763A">
        <w:rPr>
          <w:rFonts w:cs="Calibri"/>
          <w:sz w:val="16"/>
          <w:szCs w:val="16"/>
        </w:rPr>
        <w:t xml:space="preserve"> </w:t>
      </w:r>
      <w:r>
        <w:rPr>
          <w:rFonts w:cs="Calibri"/>
          <w:sz w:val="16"/>
          <w:szCs w:val="16"/>
        </w:rPr>
        <w:t>Perth: Curtin University.</w:t>
      </w:r>
      <w:r w:rsidRPr="00884FA4">
        <w:rPr>
          <w:rFonts w:cs="Calibri"/>
          <w:sz w:val="16"/>
          <w:szCs w:val="16"/>
        </w:rPr>
        <w:t xml:space="preserve"> </w:t>
      </w:r>
      <w:r w:rsidRPr="0048763A">
        <w:rPr>
          <w:rFonts w:cs="Calibri"/>
          <w:sz w:val="16"/>
          <w:szCs w:val="16"/>
        </w:rPr>
        <w:t>Harvey, A., Burnheim, C., Joschko, L.,</w:t>
      </w:r>
      <w:r>
        <w:rPr>
          <w:rFonts w:cs="Calibri"/>
          <w:sz w:val="16"/>
          <w:szCs w:val="16"/>
        </w:rPr>
        <w:t xml:space="preserve"> and </w:t>
      </w:r>
      <w:r w:rsidRPr="0048763A">
        <w:rPr>
          <w:rFonts w:cs="Calibri"/>
          <w:sz w:val="16"/>
          <w:szCs w:val="16"/>
        </w:rPr>
        <w:t>Luckman, M. (2012)</w:t>
      </w:r>
      <w:r>
        <w:rPr>
          <w:rFonts w:cs="Calibri"/>
          <w:sz w:val="16"/>
          <w:szCs w:val="16"/>
        </w:rPr>
        <w:t>.</w:t>
      </w:r>
      <w:r w:rsidRPr="0048763A">
        <w:rPr>
          <w:rFonts w:cs="Calibri"/>
          <w:sz w:val="16"/>
          <w:szCs w:val="16"/>
        </w:rPr>
        <w:t xml:space="preserve"> From </w:t>
      </w:r>
      <w:r>
        <w:rPr>
          <w:rFonts w:cs="Calibri"/>
          <w:sz w:val="16"/>
          <w:szCs w:val="16"/>
        </w:rPr>
        <w:t>A</w:t>
      </w:r>
      <w:r w:rsidRPr="0048763A">
        <w:rPr>
          <w:rFonts w:cs="Calibri"/>
          <w:sz w:val="16"/>
          <w:szCs w:val="16"/>
        </w:rPr>
        <w:t xml:space="preserve">spiration to </w:t>
      </w:r>
      <w:r>
        <w:rPr>
          <w:rFonts w:cs="Calibri"/>
          <w:sz w:val="16"/>
          <w:szCs w:val="16"/>
        </w:rPr>
        <w:t>D</w:t>
      </w:r>
      <w:r w:rsidRPr="0048763A">
        <w:rPr>
          <w:rFonts w:cs="Calibri"/>
          <w:sz w:val="16"/>
          <w:szCs w:val="16"/>
        </w:rPr>
        <w:t xml:space="preserve">estination: Understanding the </w:t>
      </w:r>
      <w:r>
        <w:rPr>
          <w:rFonts w:cs="Calibri"/>
          <w:sz w:val="16"/>
          <w:szCs w:val="16"/>
        </w:rPr>
        <w:t>D</w:t>
      </w:r>
      <w:r w:rsidRPr="0048763A">
        <w:rPr>
          <w:rFonts w:cs="Calibri"/>
          <w:sz w:val="16"/>
          <w:szCs w:val="16"/>
        </w:rPr>
        <w:t xml:space="preserve">ecisions of </w:t>
      </w:r>
      <w:r>
        <w:rPr>
          <w:rFonts w:cs="Calibri"/>
          <w:sz w:val="16"/>
          <w:szCs w:val="16"/>
        </w:rPr>
        <w:t>U</w:t>
      </w:r>
      <w:r w:rsidRPr="0048763A">
        <w:rPr>
          <w:rFonts w:cs="Calibri"/>
          <w:sz w:val="16"/>
          <w:szCs w:val="16"/>
        </w:rPr>
        <w:t xml:space="preserve">niversity </w:t>
      </w:r>
      <w:r>
        <w:rPr>
          <w:rFonts w:cs="Calibri"/>
          <w:sz w:val="16"/>
          <w:szCs w:val="16"/>
        </w:rPr>
        <w:t>A</w:t>
      </w:r>
      <w:r w:rsidRPr="0048763A">
        <w:rPr>
          <w:rFonts w:cs="Calibri"/>
          <w:sz w:val="16"/>
          <w:szCs w:val="16"/>
        </w:rPr>
        <w:t xml:space="preserve">pplicants in </w:t>
      </w:r>
      <w:r>
        <w:rPr>
          <w:rFonts w:cs="Calibri"/>
          <w:sz w:val="16"/>
          <w:szCs w:val="16"/>
        </w:rPr>
        <w:t>R</w:t>
      </w:r>
      <w:r w:rsidRPr="0048763A">
        <w:rPr>
          <w:rFonts w:cs="Calibri"/>
          <w:sz w:val="16"/>
          <w:szCs w:val="16"/>
        </w:rPr>
        <w:t xml:space="preserve">egional Victoria. </w:t>
      </w:r>
      <w:r>
        <w:rPr>
          <w:rFonts w:cs="Calibri"/>
          <w:sz w:val="16"/>
          <w:szCs w:val="16"/>
        </w:rPr>
        <w:t xml:space="preserve">Deakin: </w:t>
      </w:r>
      <w:r w:rsidRPr="0048763A">
        <w:rPr>
          <w:rFonts w:cs="Calibri"/>
          <w:sz w:val="16"/>
          <w:szCs w:val="16"/>
        </w:rPr>
        <w:t>Australian Association for Research in Education.</w:t>
      </w:r>
      <w:r w:rsidRPr="00884FA4">
        <w:rPr>
          <w:sz w:val="16"/>
          <w:szCs w:val="16"/>
        </w:rPr>
        <w:t xml:space="preserve"> </w:t>
      </w:r>
    </w:p>
  </w:footnote>
  <w:footnote w:id="124">
    <w:p w14:paraId="5240A7BA" w14:textId="77777777" w:rsidR="007331AF" w:rsidRPr="00B74EBB" w:rsidRDefault="007331AF" w:rsidP="00566137">
      <w:pPr>
        <w:pStyle w:val="FootnoteText"/>
        <w:rPr>
          <w:sz w:val="16"/>
          <w:szCs w:val="16"/>
        </w:rPr>
      </w:pPr>
      <w:r w:rsidRPr="00B74EBB">
        <w:rPr>
          <w:rStyle w:val="FootnoteReference"/>
          <w:sz w:val="16"/>
          <w:szCs w:val="16"/>
        </w:rPr>
        <w:footnoteRef/>
      </w:r>
      <w:r w:rsidRPr="00B74EBB">
        <w:rPr>
          <w:sz w:val="16"/>
          <w:szCs w:val="16"/>
        </w:rPr>
        <w:t xml:space="preserve"> Savickas, M.L., Nota, L., Rossier, J., Dauwalder, J.P., Duarte, M.E., Guichard, J., … van Vianen, A.E.M. (2009)</w:t>
      </w:r>
      <w:r>
        <w:rPr>
          <w:sz w:val="16"/>
          <w:szCs w:val="16"/>
        </w:rPr>
        <w:t>.</w:t>
      </w:r>
      <w:r w:rsidRPr="00B74EBB">
        <w:rPr>
          <w:sz w:val="16"/>
          <w:szCs w:val="16"/>
        </w:rPr>
        <w:t xml:space="preserve"> Life designing: A paradigm for career construction in the 21st century. Journal of Vocational Behavior, 75(3), 239–250. Productivity Commission (2017)</w:t>
      </w:r>
      <w:r>
        <w:rPr>
          <w:sz w:val="16"/>
          <w:szCs w:val="16"/>
        </w:rPr>
        <w:t>.</w:t>
      </w:r>
      <w:r w:rsidRPr="002C2F0A">
        <w:rPr>
          <w:sz w:val="16"/>
          <w:szCs w:val="16"/>
        </w:rPr>
        <w:t xml:space="preserve"> </w:t>
      </w:r>
      <w:r w:rsidRPr="002C2F0A">
        <w:rPr>
          <w:iCs/>
          <w:sz w:val="16"/>
          <w:szCs w:val="16"/>
        </w:rPr>
        <w:t>Shifting the Dial 5 Year Productivity Review</w:t>
      </w:r>
      <w:r w:rsidRPr="002C2F0A">
        <w:rPr>
          <w:sz w:val="16"/>
          <w:szCs w:val="16"/>
        </w:rPr>
        <w:t>.</w:t>
      </w:r>
      <w:r w:rsidRPr="00B74EBB">
        <w:rPr>
          <w:sz w:val="16"/>
          <w:szCs w:val="16"/>
        </w:rPr>
        <w:t xml:space="preserve"> Canberra.</w:t>
      </w:r>
    </w:p>
  </w:footnote>
  <w:footnote w:id="125">
    <w:p w14:paraId="156F750C" w14:textId="77777777" w:rsidR="007331AF" w:rsidRPr="00B74EBB" w:rsidRDefault="007331AF" w:rsidP="00566137">
      <w:pPr>
        <w:pStyle w:val="FootnoteText"/>
        <w:rPr>
          <w:sz w:val="16"/>
          <w:szCs w:val="16"/>
        </w:rPr>
      </w:pPr>
      <w:r w:rsidRPr="00B74EBB">
        <w:rPr>
          <w:rStyle w:val="FootnoteReference"/>
          <w:sz w:val="16"/>
          <w:szCs w:val="16"/>
        </w:rPr>
        <w:footnoteRef/>
      </w:r>
      <w:r w:rsidRPr="00B74EBB">
        <w:rPr>
          <w:sz w:val="16"/>
          <w:szCs w:val="16"/>
        </w:rPr>
        <w:t xml:space="preserve"> Business Council of Australia (2017)</w:t>
      </w:r>
      <w:r>
        <w:rPr>
          <w:sz w:val="16"/>
          <w:szCs w:val="16"/>
        </w:rPr>
        <w:t>.</w:t>
      </w:r>
      <w:r w:rsidRPr="00B74EBB">
        <w:rPr>
          <w:sz w:val="16"/>
          <w:szCs w:val="16"/>
        </w:rPr>
        <w:t xml:space="preserve"> Future-Proof: Protecting Australians </w:t>
      </w:r>
      <w:r>
        <w:rPr>
          <w:sz w:val="16"/>
          <w:szCs w:val="16"/>
        </w:rPr>
        <w:t>T</w:t>
      </w:r>
      <w:r w:rsidRPr="00B74EBB">
        <w:rPr>
          <w:sz w:val="16"/>
          <w:szCs w:val="16"/>
        </w:rPr>
        <w:t>hrough Education and Skills. Melbourne.</w:t>
      </w:r>
    </w:p>
  </w:footnote>
  <w:footnote w:id="126">
    <w:p w14:paraId="6FEA051A" w14:textId="77777777" w:rsidR="007331AF" w:rsidRPr="00B74EBB" w:rsidRDefault="007331AF" w:rsidP="00566137">
      <w:pPr>
        <w:pStyle w:val="FootnoteText"/>
        <w:rPr>
          <w:sz w:val="16"/>
          <w:szCs w:val="16"/>
        </w:rPr>
      </w:pPr>
      <w:r w:rsidRPr="00B74EBB">
        <w:rPr>
          <w:rStyle w:val="FootnoteReference"/>
          <w:sz w:val="16"/>
          <w:szCs w:val="16"/>
        </w:rPr>
        <w:footnoteRef/>
      </w:r>
      <w:r w:rsidRPr="00B74EBB">
        <w:rPr>
          <w:sz w:val="16"/>
          <w:szCs w:val="16"/>
        </w:rPr>
        <w:t xml:space="preserve"> Savickas, M.L., Nota, L., Rossier, J., Dauwalder, J.P., Duarte, M.E., Guichard, J., … van Vianen, A.E.M. (2009)</w:t>
      </w:r>
      <w:r>
        <w:rPr>
          <w:sz w:val="16"/>
          <w:szCs w:val="16"/>
        </w:rPr>
        <w:t>.</w:t>
      </w:r>
      <w:r w:rsidRPr="00B74EBB">
        <w:rPr>
          <w:sz w:val="16"/>
          <w:szCs w:val="16"/>
        </w:rPr>
        <w:t xml:space="preserve"> Life designing: A paradigm for career construction in the 21st century. Journal of Vocational Behavior, 75(3), 239–250. Universities Australia (2018)</w:t>
      </w:r>
      <w:r>
        <w:rPr>
          <w:sz w:val="16"/>
          <w:szCs w:val="16"/>
        </w:rPr>
        <w:t>.</w:t>
      </w:r>
      <w:r w:rsidRPr="00B74EBB">
        <w:rPr>
          <w:sz w:val="16"/>
          <w:szCs w:val="16"/>
        </w:rPr>
        <w:t xml:space="preserve"> Submission in response to ‘future proof.’ Deakin. </w:t>
      </w:r>
    </w:p>
  </w:footnote>
  <w:footnote w:id="127">
    <w:p w14:paraId="7FD2BC0A" w14:textId="77777777" w:rsidR="007331AF" w:rsidRPr="00B74EBB" w:rsidRDefault="007331AF" w:rsidP="00566137">
      <w:pPr>
        <w:pStyle w:val="FootnoteText"/>
        <w:rPr>
          <w:sz w:val="16"/>
          <w:szCs w:val="16"/>
        </w:rPr>
      </w:pPr>
      <w:r w:rsidRPr="00B74EBB">
        <w:rPr>
          <w:rStyle w:val="FootnoteReference"/>
          <w:sz w:val="16"/>
          <w:szCs w:val="16"/>
        </w:rPr>
        <w:footnoteRef/>
      </w:r>
      <w:r w:rsidRPr="00B74EBB">
        <w:rPr>
          <w:sz w:val="16"/>
          <w:szCs w:val="16"/>
        </w:rPr>
        <w:t xml:space="preserve"> The Foundation of Young Australians </w:t>
      </w:r>
      <w:r>
        <w:rPr>
          <w:sz w:val="16"/>
          <w:szCs w:val="16"/>
        </w:rPr>
        <w:t>(</w:t>
      </w:r>
      <w:r w:rsidRPr="00B74EBB">
        <w:rPr>
          <w:sz w:val="16"/>
          <w:szCs w:val="16"/>
        </w:rPr>
        <w:t>2017</w:t>
      </w:r>
      <w:r>
        <w:rPr>
          <w:sz w:val="16"/>
          <w:szCs w:val="16"/>
        </w:rPr>
        <w:t>).</w:t>
      </w:r>
      <w:r w:rsidRPr="00B74EBB">
        <w:rPr>
          <w:sz w:val="16"/>
          <w:szCs w:val="16"/>
        </w:rPr>
        <w:t xml:space="preserve"> The </w:t>
      </w:r>
      <w:r>
        <w:rPr>
          <w:sz w:val="16"/>
          <w:szCs w:val="16"/>
        </w:rPr>
        <w:t>N</w:t>
      </w:r>
      <w:r w:rsidRPr="00B74EBB">
        <w:rPr>
          <w:sz w:val="16"/>
          <w:szCs w:val="16"/>
        </w:rPr>
        <w:t xml:space="preserve">ew </w:t>
      </w:r>
      <w:r>
        <w:rPr>
          <w:sz w:val="16"/>
          <w:szCs w:val="16"/>
        </w:rPr>
        <w:t>W</w:t>
      </w:r>
      <w:r w:rsidRPr="00B74EBB">
        <w:rPr>
          <w:sz w:val="16"/>
          <w:szCs w:val="16"/>
        </w:rPr>
        <w:t xml:space="preserve">ork </w:t>
      </w:r>
      <w:r>
        <w:rPr>
          <w:sz w:val="16"/>
          <w:szCs w:val="16"/>
        </w:rPr>
        <w:t>S</w:t>
      </w:r>
      <w:r w:rsidRPr="00B74EBB">
        <w:rPr>
          <w:sz w:val="16"/>
          <w:szCs w:val="16"/>
        </w:rPr>
        <w:t xml:space="preserve">marts: Thriving in the </w:t>
      </w:r>
      <w:r>
        <w:rPr>
          <w:sz w:val="16"/>
          <w:szCs w:val="16"/>
        </w:rPr>
        <w:t>N</w:t>
      </w:r>
      <w:r w:rsidRPr="00B74EBB">
        <w:rPr>
          <w:sz w:val="16"/>
          <w:szCs w:val="16"/>
        </w:rPr>
        <w:t xml:space="preserve">ew </w:t>
      </w:r>
      <w:r>
        <w:rPr>
          <w:sz w:val="16"/>
          <w:szCs w:val="16"/>
        </w:rPr>
        <w:t>W</w:t>
      </w:r>
      <w:r w:rsidRPr="00B74EBB">
        <w:rPr>
          <w:sz w:val="16"/>
          <w:szCs w:val="16"/>
        </w:rPr>
        <w:t xml:space="preserve">ork </w:t>
      </w:r>
      <w:r>
        <w:rPr>
          <w:sz w:val="16"/>
          <w:szCs w:val="16"/>
        </w:rPr>
        <w:t>O</w:t>
      </w:r>
      <w:r w:rsidRPr="00B74EBB">
        <w:rPr>
          <w:sz w:val="16"/>
          <w:szCs w:val="16"/>
        </w:rPr>
        <w:t xml:space="preserve">rder, </w:t>
      </w:r>
      <w:r>
        <w:rPr>
          <w:sz w:val="16"/>
          <w:szCs w:val="16"/>
        </w:rPr>
        <w:t xml:space="preserve">Sydney. </w:t>
      </w:r>
      <w:r w:rsidRPr="00B74EBB">
        <w:rPr>
          <w:sz w:val="16"/>
          <w:szCs w:val="16"/>
        </w:rPr>
        <w:t>Savickas, M.L., Porfeli, E.J., Hilton, T.L.,</w:t>
      </w:r>
      <w:r>
        <w:rPr>
          <w:sz w:val="16"/>
          <w:szCs w:val="16"/>
        </w:rPr>
        <w:t xml:space="preserve"> and </w:t>
      </w:r>
      <w:r w:rsidRPr="00B74EBB">
        <w:rPr>
          <w:sz w:val="16"/>
          <w:szCs w:val="16"/>
        </w:rPr>
        <w:t>Savickas, S. (2018)</w:t>
      </w:r>
      <w:r>
        <w:rPr>
          <w:sz w:val="16"/>
          <w:szCs w:val="16"/>
        </w:rPr>
        <w:t>.</w:t>
      </w:r>
      <w:r w:rsidRPr="00B74EBB">
        <w:rPr>
          <w:sz w:val="16"/>
          <w:szCs w:val="16"/>
        </w:rPr>
        <w:t xml:space="preserve"> The Student Career Construction Inventory. Journal of Vocational Behavior, 106(June), 138–152.</w:t>
      </w:r>
      <w:r w:rsidRPr="00841EB6">
        <w:rPr>
          <w:sz w:val="16"/>
          <w:szCs w:val="16"/>
        </w:rPr>
        <w:t xml:space="preserve"> </w:t>
      </w:r>
    </w:p>
  </w:footnote>
  <w:footnote w:id="128">
    <w:p w14:paraId="5284C6BD" w14:textId="77777777" w:rsidR="007331AF" w:rsidRPr="00304E3B" w:rsidRDefault="007331AF" w:rsidP="00566137">
      <w:pPr>
        <w:pStyle w:val="FootnoteText"/>
        <w:rPr>
          <w:sz w:val="16"/>
          <w:szCs w:val="16"/>
        </w:rPr>
      </w:pPr>
      <w:r w:rsidRPr="00304E3B">
        <w:rPr>
          <w:rStyle w:val="FootnoteReference"/>
          <w:sz w:val="16"/>
          <w:szCs w:val="16"/>
        </w:rPr>
        <w:footnoteRef/>
      </w:r>
      <w:r w:rsidRPr="00304E3B">
        <w:rPr>
          <w:sz w:val="16"/>
          <w:szCs w:val="16"/>
        </w:rPr>
        <w:t xml:space="preserve"> Houghton K.</w:t>
      </w:r>
      <w:r>
        <w:rPr>
          <w:sz w:val="16"/>
          <w:szCs w:val="16"/>
        </w:rPr>
        <w:t xml:space="preserve"> (</w:t>
      </w:r>
      <w:r w:rsidRPr="00304E3B">
        <w:rPr>
          <w:sz w:val="16"/>
          <w:szCs w:val="16"/>
        </w:rPr>
        <w:t>2019</w:t>
      </w:r>
      <w:r>
        <w:rPr>
          <w:sz w:val="16"/>
          <w:szCs w:val="16"/>
        </w:rPr>
        <w:t>).</w:t>
      </w:r>
      <w:r w:rsidRPr="00304E3B">
        <w:rPr>
          <w:sz w:val="16"/>
          <w:szCs w:val="16"/>
        </w:rPr>
        <w:t xml:space="preserve"> The </w:t>
      </w:r>
      <w:r>
        <w:rPr>
          <w:sz w:val="16"/>
          <w:szCs w:val="16"/>
        </w:rPr>
        <w:t>F</w:t>
      </w:r>
      <w:r w:rsidRPr="00304E3B">
        <w:rPr>
          <w:sz w:val="16"/>
          <w:szCs w:val="16"/>
        </w:rPr>
        <w:t xml:space="preserve">uture of </w:t>
      </w:r>
      <w:r>
        <w:rPr>
          <w:sz w:val="16"/>
          <w:szCs w:val="16"/>
        </w:rPr>
        <w:t>R</w:t>
      </w:r>
      <w:r w:rsidRPr="00304E3B">
        <w:rPr>
          <w:sz w:val="16"/>
          <w:szCs w:val="16"/>
        </w:rPr>
        <w:t xml:space="preserve">egional </w:t>
      </w:r>
      <w:r>
        <w:rPr>
          <w:sz w:val="16"/>
          <w:szCs w:val="16"/>
        </w:rPr>
        <w:t>J</w:t>
      </w:r>
      <w:r w:rsidRPr="00304E3B">
        <w:rPr>
          <w:sz w:val="16"/>
          <w:szCs w:val="16"/>
        </w:rPr>
        <w:t>obs</w:t>
      </w:r>
      <w:r>
        <w:rPr>
          <w:sz w:val="16"/>
          <w:szCs w:val="16"/>
        </w:rPr>
        <w:t>.</w:t>
      </w:r>
      <w:r w:rsidRPr="00304E3B">
        <w:rPr>
          <w:sz w:val="16"/>
          <w:szCs w:val="16"/>
        </w:rPr>
        <w:t xml:space="preserve"> The Regional Australia Institute</w:t>
      </w:r>
      <w:r>
        <w:rPr>
          <w:sz w:val="16"/>
          <w:szCs w:val="16"/>
        </w:rPr>
        <w:t>.</w:t>
      </w:r>
      <w:r w:rsidRPr="00304E3B">
        <w:rPr>
          <w:sz w:val="16"/>
          <w:szCs w:val="16"/>
        </w:rPr>
        <w:t xml:space="preserve"> Canberra</w:t>
      </w:r>
      <w:r>
        <w:rPr>
          <w:sz w:val="16"/>
          <w:szCs w:val="16"/>
        </w:rPr>
        <w:t>.</w:t>
      </w:r>
    </w:p>
  </w:footnote>
  <w:footnote w:id="129">
    <w:p w14:paraId="4AC92B48" w14:textId="71716622" w:rsidR="007331AF" w:rsidRPr="003D158B" w:rsidRDefault="007331AF" w:rsidP="00566137">
      <w:pPr>
        <w:pStyle w:val="FootnoteText"/>
        <w:rPr>
          <w:sz w:val="16"/>
          <w:szCs w:val="16"/>
        </w:rPr>
      </w:pPr>
      <w:r w:rsidRPr="003D158B">
        <w:rPr>
          <w:rStyle w:val="FootnoteReference"/>
          <w:sz w:val="16"/>
          <w:szCs w:val="16"/>
        </w:rPr>
        <w:footnoteRef/>
      </w:r>
      <w:r w:rsidRPr="003D158B">
        <w:rPr>
          <w:sz w:val="16"/>
          <w:szCs w:val="16"/>
        </w:rPr>
        <w:t xml:space="preserve"> See </w:t>
      </w:r>
      <w:hyperlink r:id="rId18" w:history="1">
        <w:r w:rsidRPr="00D3786E">
          <w:rPr>
            <w:rStyle w:val="Hyperlink"/>
            <w:sz w:val="16"/>
            <w:szCs w:val="16"/>
          </w:rPr>
          <w:t>http://www.regionalaustralia.org.au/home/regional-job-automation-pack/</w:t>
        </w:r>
      </w:hyperlink>
      <w:r>
        <w:rPr>
          <w:sz w:val="16"/>
          <w:szCs w:val="16"/>
        </w:rPr>
        <w:t xml:space="preserve"> </w:t>
      </w:r>
    </w:p>
  </w:footnote>
  <w:footnote w:id="130">
    <w:p w14:paraId="228E5534" w14:textId="0A7811F6" w:rsidR="007331AF" w:rsidRPr="00304E3B" w:rsidRDefault="007331AF" w:rsidP="00566137">
      <w:pPr>
        <w:pStyle w:val="FootnoteText"/>
        <w:rPr>
          <w:sz w:val="16"/>
          <w:szCs w:val="16"/>
        </w:rPr>
      </w:pPr>
      <w:r w:rsidRPr="00304E3B">
        <w:rPr>
          <w:rStyle w:val="FootnoteReference"/>
          <w:sz w:val="16"/>
          <w:szCs w:val="16"/>
        </w:rPr>
        <w:footnoteRef/>
      </w:r>
      <w:r w:rsidRPr="00304E3B">
        <w:rPr>
          <w:sz w:val="16"/>
          <w:szCs w:val="16"/>
        </w:rPr>
        <w:t xml:space="preserve"> See </w:t>
      </w:r>
      <w:hyperlink r:id="rId19" w:history="1">
        <w:r w:rsidRPr="00D3786E">
          <w:rPr>
            <w:rStyle w:val="Hyperlink"/>
            <w:sz w:val="16"/>
            <w:szCs w:val="16"/>
          </w:rPr>
          <w:t>http://lmip.gov.au/default.aspx?LMIP/GainInsights/VacancyReport</w:t>
        </w:r>
      </w:hyperlink>
      <w:r>
        <w:rPr>
          <w:sz w:val="16"/>
          <w:szCs w:val="16"/>
        </w:rPr>
        <w:t xml:space="preserve"> .</w:t>
      </w:r>
      <w:r w:rsidRPr="00304E3B">
        <w:rPr>
          <w:sz w:val="16"/>
          <w:szCs w:val="16"/>
        </w:rPr>
        <w:t xml:space="preserve"> </w:t>
      </w:r>
    </w:p>
  </w:footnote>
  <w:footnote w:id="131">
    <w:p w14:paraId="496782E2" w14:textId="40BC317E" w:rsidR="007331AF" w:rsidRPr="00304E3B" w:rsidRDefault="007331AF" w:rsidP="00566137">
      <w:pPr>
        <w:pStyle w:val="FootnoteText"/>
        <w:rPr>
          <w:sz w:val="16"/>
          <w:szCs w:val="16"/>
        </w:rPr>
      </w:pPr>
      <w:r w:rsidRPr="00304E3B">
        <w:rPr>
          <w:rStyle w:val="FootnoteReference"/>
          <w:sz w:val="16"/>
          <w:szCs w:val="16"/>
        </w:rPr>
        <w:footnoteRef/>
      </w:r>
      <w:r w:rsidRPr="00304E3B">
        <w:rPr>
          <w:sz w:val="16"/>
          <w:szCs w:val="16"/>
        </w:rPr>
        <w:t xml:space="preserve"> See </w:t>
      </w:r>
      <w:hyperlink r:id="rId20" w:history="1">
        <w:r w:rsidRPr="00D3786E">
          <w:rPr>
            <w:rStyle w:val="Hyperlink"/>
            <w:sz w:val="16"/>
            <w:szCs w:val="16"/>
          </w:rPr>
          <w:t>http://www.regionalaustralia.org.au/home/regional-jobs-vacancy-map/</w:t>
        </w:r>
      </w:hyperlink>
      <w:r>
        <w:rPr>
          <w:sz w:val="16"/>
          <w:szCs w:val="16"/>
        </w:rPr>
        <w:t xml:space="preserve"> .</w:t>
      </w:r>
    </w:p>
  </w:footnote>
  <w:footnote w:id="132">
    <w:p w14:paraId="2314ED86" w14:textId="77777777" w:rsidR="007331AF" w:rsidRPr="003D158B" w:rsidRDefault="007331AF" w:rsidP="00566137">
      <w:pPr>
        <w:pStyle w:val="FootnoteText"/>
        <w:rPr>
          <w:sz w:val="16"/>
          <w:szCs w:val="16"/>
        </w:rPr>
      </w:pPr>
      <w:r w:rsidRPr="003D158B">
        <w:rPr>
          <w:rStyle w:val="FootnoteReference"/>
          <w:sz w:val="16"/>
          <w:szCs w:val="16"/>
        </w:rPr>
        <w:footnoteRef/>
      </w:r>
      <w:r w:rsidRPr="003D158B">
        <w:rPr>
          <w:sz w:val="16"/>
          <w:szCs w:val="16"/>
        </w:rPr>
        <w:t xml:space="preserve"> James, N.J.</w:t>
      </w:r>
      <w:r>
        <w:rPr>
          <w:sz w:val="16"/>
          <w:szCs w:val="16"/>
        </w:rPr>
        <w:t xml:space="preserve"> (</w:t>
      </w:r>
      <w:r w:rsidRPr="003D158B">
        <w:rPr>
          <w:sz w:val="16"/>
          <w:szCs w:val="16"/>
        </w:rPr>
        <w:t>2017</w:t>
      </w:r>
      <w:r>
        <w:rPr>
          <w:sz w:val="16"/>
          <w:szCs w:val="16"/>
        </w:rPr>
        <w:t>).</w:t>
      </w:r>
      <w:r w:rsidRPr="003D158B">
        <w:rPr>
          <w:sz w:val="16"/>
          <w:szCs w:val="16"/>
        </w:rPr>
        <w:t xml:space="preserve"> More than </w:t>
      </w:r>
      <w:r>
        <w:rPr>
          <w:sz w:val="16"/>
          <w:szCs w:val="16"/>
        </w:rPr>
        <w:t>M</w:t>
      </w:r>
      <w:r w:rsidRPr="003D158B">
        <w:rPr>
          <w:sz w:val="16"/>
          <w:szCs w:val="16"/>
        </w:rPr>
        <w:t xml:space="preserve">erely </w:t>
      </w:r>
      <w:r>
        <w:rPr>
          <w:sz w:val="16"/>
          <w:szCs w:val="16"/>
        </w:rPr>
        <w:t>W</w:t>
      </w:r>
      <w:r w:rsidRPr="003D158B">
        <w:rPr>
          <w:sz w:val="16"/>
          <w:szCs w:val="16"/>
        </w:rPr>
        <w:t xml:space="preserve">ork-ready: Vocationalism versus </w:t>
      </w:r>
      <w:r>
        <w:rPr>
          <w:sz w:val="16"/>
          <w:szCs w:val="16"/>
        </w:rPr>
        <w:t>P</w:t>
      </w:r>
      <w:r w:rsidRPr="003D158B">
        <w:rPr>
          <w:sz w:val="16"/>
          <w:szCs w:val="16"/>
        </w:rPr>
        <w:t xml:space="preserve">rofessionalism in </w:t>
      </w:r>
      <w:r>
        <w:rPr>
          <w:sz w:val="16"/>
          <w:szCs w:val="16"/>
        </w:rPr>
        <w:t>L</w:t>
      </w:r>
      <w:r w:rsidRPr="003D158B">
        <w:rPr>
          <w:sz w:val="16"/>
          <w:szCs w:val="16"/>
        </w:rPr>
        <w:t xml:space="preserve">egal </w:t>
      </w:r>
      <w:r>
        <w:rPr>
          <w:sz w:val="16"/>
          <w:szCs w:val="16"/>
        </w:rPr>
        <w:t>E</w:t>
      </w:r>
      <w:r w:rsidRPr="003D158B">
        <w:rPr>
          <w:sz w:val="16"/>
          <w:szCs w:val="16"/>
        </w:rPr>
        <w:t>ducation. UNSW</w:t>
      </w:r>
      <w:r>
        <w:rPr>
          <w:sz w:val="16"/>
          <w:szCs w:val="16"/>
        </w:rPr>
        <w:t xml:space="preserve"> Law Journal</w:t>
      </w:r>
      <w:r w:rsidRPr="003D158B">
        <w:rPr>
          <w:sz w:val="16"/>
          <w:szCs w:val="16"/>
        </w:rPr>
        <w:t>, 40</w:t>
      </w:r>
      <w:r>
        <w:rPr>
          <w:sz w:val="16"/>
          <w:szCs w:val="16"/>
        </w:rPr>
        <w:t>(1)</w:t>
      </w:r>
      <w:r w:rsidRPr="003D158B">
        <w:rPr>
          <w:sz w:val="16"/>
          <w:szCs w:val="16"/>
        </w:rPr>
        <w:t>, 186</w:t>
      </w:r>
      <w:r>
        <w:rPr>
          <w:sz w:val="16"/>
          <w:szCs w:val="16"/>
        </w:rPr>
        <w:t>-210</w:t>
      </w:r>
      <w:r w:rsidRPr="003D158B">
        <w:rPr>
          <w:sz w:val="16"/>
          <w:szCs w:val="16"/>
        </w:rPr>
        <w:t>.</w:t>
      </w:r>
    </w:p>
  </w:footnote>
  <w:footnote w:id="133">
    <w:p w14:paraId="74E8E3DA" w14:textId="77777777" w:rsidR="007331AF" w:rsidRPr="00FB0926" w:rsidRDefault="007331AF" w:rsidP="00566137">
      <w:pPr>
        <w:pStyle w:val="FootnoteText"/>
        <w:rPr>
          <w:rFonts w:cstheme="minorHAnsi"/>
          <w:sz w:val="16"/>
          <w:szCs w:val="16"/>
        </w:rPr>
      </w:pPr>
      <w:r w:rsidRPr="00FB0926">
        <w:rPr>
          <w:rStyle w:val="FootnoteReference"/>
          <w:rFonts w:cstheme="minorHAnsi"/>
          <w:sz w:val="16"/>
          <w:szCs w:val="16"/>
        </w:rPr>
        <w:footnoteRef/>
      </w:r>
      <w:r w:rsidRPr="00FB0926">
        <w:rPr>
          <w:rFonts w:cstheme="minorHAnsi"/>
          <w:sz w:val="16"/>
          <w:szCs w:val="16"/>
        </w:rPr>
        <w:t xml:space="preserve"> See </w:t>
      </w:r>
      <w:r w:rsidRPr="00FB0926">
        <w:rPr>
          <w:rFonts w:cstheme="minorHAnsi"/>
          <w:color w:val="222222"/>
          <w:sz w:val="16"/>
          <w:szCs w:val="16"/>
          <w:shd w:val="clear" w:color="auto" w:fill="FFFFFF"/>
        </w:rPr>
        <w:t>Hoffmann, A.M.</w:t>
      </w:r>
      <w:r>
        <w:rPr>
          <w:rFonts w:cstheme="minorHAnsi"/>
          <w:color w:val="222222"/>
          <w:sz w:val="16"/>
          <w:szCs w:val="16"/>
          <w:shd w:val="clear" w:color="auto" w:fill="FFFFFF"/>
        </w:rPr>
        <w:t xml:space="preserve">, and </w:t>
      </w:r>
      <w:r w:rsidRPr="00FB0926">
        <w:rPr>
          <w:rFonts w:cstheme="minorHAnsi"/>
          <w:color w:val="222222"/>
          <w:sz w:val="16"/>
          <w:szCs w:val="16"/>
          <w:shd w:val="clear" w:color="auto" w:fill="FFFFFF"/>
        </w:rPr>
        <w:t>Bory-Adams, A. (2005)</w:t>
      </w:r>
      <w:r>
        <w:rPr>
          <w:rFonts w:cstheme="minorHAnsi"/>
          <w:color w:val="222222"/>
          <w:sz w:val="16"/>
          <w:szCs w:val="16"/>
          <w:shd w:val="clear" w:color="auto" w:fill="FFFFFF"/>
        </w:rPr>
        <w:t>.</w:t>
      </w:r>
      <w:r w:rsidRPr="00CC62E8">
        <w:rPr>
          <w:rFonts w:cstheme="minorHAnsi"/>
          <w:color w:val="222222"/>
          <w:sz w:val="16"/>
          <w:szCs w:val="16"/>
          <w:shd w:val="clear" w:color="auto" w:fill="FFFFFF"/>
        </w:rPr>
        <w:t xml:space="preserve"> The human capability approach and education for sustainable development: Making the abstract real. In </w:t>
      </w:r>
      <w:r w:rsidRPr="00CC62E8">
        <w:rPr>
          <w:rFonts w:cstheme="minorHAnsi"/>
          <w:iCs/>
          <w:color w:val="222222"/>
          <w:sz w:val="16"/>
          <w:szCs w:val="16"/>
          <w:shd w:val="clear" w:color="auto" w:fill="FFFFFF"/>
        </w:rPr>
        <w:t>5th Conference on the Capability Approach, Paris</w:t>
      </w:r>
      <w:r w:rsidRPr="00CC62E8">
        <w:rPr>
          <w:rFonts w:cstheme="minorHAnsi"/>
          <w:color w:val="222222"/>
          <w:sz w:val="16"/>
          <w:szCs w:val="16"/>
          <w:shd w:val="clear" w:color="auto" w:fill="FFFFFF"/>
        </w:rPr>
        <w:t>.</w:t>
      </w:r>
    </w:p>
  </w:footnote>
  <w:footnote w:id="134">
    <w:p w14:paraId="257A088D" w14:textId="77777777" w:rsidR="007331AF" w:rsidRPr="00FB0926" w:rsidRDefault="007331AF" w:rsidP="00566137">
      <w:pPr>
        <w:pStyle w:val="FootnoteText"/>
        <w:rPr>
          <w:sz w:val="16"/>
          <w:szCs w:val="16"/>
        </w:rPr>
      </w:pPr>
      <w:r w:rsidRPr="00FB0926">
        <w:rPr>
          <w:rStyle w:val="FootnoteReference"/>
          <w:sz w:val="16"/>
          <w:szCs w:val="16"/>
        </w:rPr>
        <w:footnoteRef/>
      </w:r>
      <w:r w:rsidRPr="00FB0926">
        <w:rPr>
          <w:sz w:val="16"/>
          <w:szCs w:val="16"/>
        </w:rPr>
        <w:t xml:space="preserve"> Smith, M., Bell, K., Bennett, D.,</w:t>
      </w:r>
      <w:r>
        <w:rPr>
          <w:sz w:val="16"/>
          <w:szCs w:val="16"/>
        </w:rPr>
        <w:t xml:space="preserve"> and </w:t>
      </w:r>
      <w:r w:rsidRPr="00FB0926">
        <w:rPr>
          <w:sz w:val="16"/>
          <w:szCs w:val="16"/>
        </w:rPr>
        <w:t>McAlpine, A. (2018)</w:t>
      </w:r>
      <w:r>
        <w:rPr>
          <w:sz w:val="16"/>
          <w:szCs w:val="16"/>
        </w:rPr>
        <w:t>.</w:t>
      </w:r>
      <w:r w:rsidRPr="00FB0926">
        <w:rPr>
          <w:sz w:val="16"/>
          <w:szCs w:val="16"/>
        </w:rPr>
        <w:t xml:space="preserve"> Employability in a </w:t>
      </w:r>
      <w:r>
        <w:rPr>
          <w:sz w:val="16"/>
          <w:szCs w:val="16"/>
        </w:rPr>
        <w:t>G</w:t>
      </w:r>
      <w:r w:rsidRPr="00FB0926">
        <w:rPr>
          <w:sz w:val="16"/>
          <w:szCs w:val="16"/>
        </w:rPr>
        <w:t xml:space="preserve">lobal </w:t>
      </w:r>
      <w:r>
        <w:rPr>
          <w:sz w:val="16"/>
          <w:szCs w:val="16"/>
        </w:rPr>
        <w:t>C</w:t>
      </w:r>
      <w:r w:rsidRPr="00FB0926">
        <w:rPr>
          <w:sz w:val="16"/>
          <w:szCs w:val="16"/>
        </w:rPr>
        <w:t xml:space="preserve">ontext: Evolving </w:t>
      </w:r>
      <w:r>
        <w:rPr>
          <w:sz w:val="16"/>
          <w:szCs w:val="16"/>
        </w:rPr>
        <w:t>P</w:t>
      </w:r>
      <w:r w:rsidRPr="00FB0926">
        <w:rPr>
          <w:sz w:val="16"/>
          <w:szCs w:val="16"/>
        </w:rPr>
        <w:t xml:space="preserve">olicy and </w:t>
      </w:r>
      <w:r>
        <w:rPr>
          <w:sz w:val="16"/>
          <w:szCs w:val="16"/>
        </w:rPr>
        <w:t>P</w:t>
      </w:r>
      <w:r w:rsidRPr="00FB0926">
        <w:rPr>
          <w:sz w:val="16"/>
          <w:szCs w:val="16"/>
        </w:rPr>
        <w:t xml:space="preserve">ractice in </w:t>
      </w:r>
      <w:r>
        <w:rPr>
          <w:sz w:val="16"/>
          <w:szCs w:val="16"/>
        </w:rPr>
        <w:t>E</w:t>
      </w:r>
      <w:r w:rsidRPr="00FB0926">
        <w:rPr>
          <w:sz w:val="16"/>
          <w:szCs w:val="16"/>
        </w:rPr>
        <w:t xml:space="preserve">mployability, </w:t>
      </w:r>
      <w:r>
        <w:rPr>
          <w:sz w:val="16"/>
          <w:szCs w:val="16"/>
        </w:rPr>
        <w:t>W</w:t>
      </w:r>
      <w:r w:rsidRPr="00FB0926">
        <w:rPr>
          <w:sz w:val="16"/>
          <w:szCs w:val="16"/>
        </w:rPr>
        <w:t xml:space="preserve">ork </w:t>
      </w:r>
      <w:r>
        <w:rPr>
          <w:sz w:val="16"/>
          <w:szCs w:val="16"/>
        </w:rPr>
        <w:t>I</w:t>
      </w:r>
      <w:r w:rsidRPr="00FB0926">
        <w:rPr>
          <w:sz w:val="16"/>
          <w:szCs w:val="16"/>
        </w:rPr>
        <w:t xml:space="preserve">ntegrated </w:t>
      </w:r>
      <w:r>
        <w:rPr>
          <w:sz w:val="16"/>
          <w:szCs w:val="16"/>
        </w:rPr>
        <w:t>L</w:t>
      </w:r>
      <w:r w:rsidRPr="00FB0926">
        <w:rPr>
          <w:sz w:val="16"/>
          <w:szCs w:val="16"/>
        </w:rPr>
        <w:t xml:space="preserve">earning, and </w:t>
      </w:r>
      <w:r>
        <w:rPr>
          <w:sz w:val="16"/>
          <w:szCs w:val="16"/>
        </w:rPr>
        <w:t>C</w:t>
      </w:r>
      <w:r w:rsidRPr="00FB0926">
        <w:rPr>
          <w:sz w:val="16"/>
          <w:szCs w:val="16"/>
        </w:rPr>
        <w:t xml:space="preserve">areer </w:t>
      </w:r>
      <w:r>
        <w:rPr>
          <w:sz w:val="16"/>
          <w:szCs w:val="16"/>
        </w:rPr>
        <w:t>D</w:t>
      </w:r>
      <w:r w:rsidRPr="00FB0926">
        <w:rPr>
          <w:sz w:val="16"/>
          <w:szCs w:val="16"/>
        </w:rPr>
        <w:t xml:space="preserve">evelopment </w:t>
      </w:r>
      <w:r>
        <w:rPr>
          <w:sz w:val="16"/>
          <w:szCs w:val="16"/>
        </w:rPr>
        <w:t>L</w:t>
      </w:r>
      <w:r w:rsidRPr="00FB0926">
        <w:rPr>
          <w:sz w:val="16"/>
          <w:szCs w:val="16"/>
        </w:rPr>
        <w:t>earning.</w:t>
      </w:r>
      <w:r>
        <w:rPr>
          <w:sz w:val="16"/>
          <w:szCs w:val="16"/>
        </w:rPr>
        <w:t xml:space="preserve"> Graduate Careers Australia. Wollongong. </w:t>
      </w:r>
    </w:p>
  </w:footnote>
  <w:footnote w:id="135">
    <w:p w14:paraId="55A6C17E" w14:textId="77777777" w:rsidR="007331AF" w:rsidRPr="00FB0926" w:rsidRDefault="007331AF" w:rsidP="00566137">
      <w:pPr>
        <w:pStyle w:val="FootnoteText"/>
        <w:rPr>
          <w:rFonts w:cstheme="minorHAnsi"/>
          <w:sz w:val="16"/>
          <w:szCs w:val="16"/>
        </w:rPr>
      </w:pPr>
      <w:r w:rsidRPr="00FB0926">
        <w:rPr>
          <w:rStyle w:val="FootnoteReference"/>
          <w:rFonts w:cstheme="minorHAnsi"/>
          <w:sz w:val="16"/>
          <w:szCs w:val="16"/>
        </w:rPr>
        <w:footnoteRef/>
      </w:r>
      <w:r w:rsidRPr="00FB0926">
        <w:rPr>
          <w:rFonts w:cstheme="minorHAnsi"/>
          <w:sz w:val="16"/>
          <w:szCs w:val="16"/>
        </w:rPr>
        <w:t xml:space="preserve"> Higgs, J. (2019)</w:t>
      </w:r>
      <w:r>
        <w:rPr>
          <w:rFonts w:cstheme="minorHAnsi"/>
          <w:sz w:val="16"/>
          <w:szCs w:val="16"/>
        </w:rPr>
        <w:t>.</w:t>
      </w:r>
      <w:r w:rsidRPr="00FB0926">
        <w:rPr>
          <w:rFonts w:cstheme="minorHAnsi"/>
          <w:sz w:val="16"/>
          <w:szCs w:val="16"/>
        </w:rPr>
        <w:t xml:space="preserve"> Practice-based </w:t>
      </w:r>
      <w:r>
        <w:rPr>
          <w:rFonts w:cstheme="minorHAnsi"/>
          <w:sz w:val="16"/>
          <w:szCs w:val="16"/>
        </w:rPr>
        <w:t>e</w:t>
      </w:r>
      <w:r w:rsidRPr="00FB0926">
        <w:rPr>
          <w:rFonts w:cstheme="minorHAnsi"/>
          <w:sz w:val="16"/>
          <w:szCs w:val="16"/>
        </w:rPr>
        <w:t xml:space="preserve">ducation: Education for </w:t>
      </w:r>
      <w:r>
        <w:rPr>
          <w:rFonts w:cstheme="minorHAnsi"/>
          <w:sz w:val="16"/>
          <w:szCs w:val="16"/>
        </w:rPr>
        <w:t>p</w:t>
      </w:r>
      <w:r w:rsidRPr="00FB0926">
        <w:rPr>
          <w:rFonts w:cstheme="minorHAnsi"/>
          <w:sz w:val="16"/>
          <w:szCs w:val="16"/>
        </w:rPr>
        <w:t xml:space="preserve">ractice </w:t>
      </w:r>
      <w:r>
        <w:rPr>
          <w:rFonts w:cstheme="minorHAnsi"/>
          <w:sz w:val="16"/>
          <w:szCs w:val="16"/>
        </w:rPr>
        <w:t>e</w:t>
      </w:r>
      <w:r w:rsidRPr="00FB0926">
        <w:rPr>
          <w:rFonts w:cstheme="minorHAnsi"/>
          <w:sz w:val="16"/>
          <w:szCs w:val="16"/>
        </w:rPr>
        <w:t>mployability. In Education for Employability</w:t>
      </w:r>
      <w:r>
        <w:rPr>
          <w:rFonts w:cstheme="minorHAnsi"/>
          <w:sz w:val="16"/>
          <w:szCs w:val="16"/>
        </w:rPr>
        <w:t xml:space="preserve">, </w:t>
      </w:r>
      <w:r w:rsidRPr="00FB0926">
        <w:rPr>
          <w:rFonts w:cstheme="minorHAnsi"/>
          <w:sz w:val="16"/>
          <w:szCs w:val="16"/>
        </w:rPr>
        <w:t>1</w:t>
      </w:r>
      <w:r>
        <w:rPr>
          <w:rFonts w:cstheme="minorHAnsi"/>
          <w:sz w:val="16"/>
          <w:szCs w:val="16"/>
        </w:rPr>
        <w:t xml:space="preserve">, </w:t>
      </w:r>
      <w:r w:rsidRPr="00FB0926">
        <w:rPr>
          <w:rFonts w:cstheme="minorHAnsi"/>
          <w:sz w:val="16"/>
          <w:szCs w:val="16"/>
        </w:rPr>
        <w:t>187-198. Brill Sense.</w:t>
      </w:r>
    </w:p>
  </w:footnote>
  <w:footnote w:id="136">
    <w:p w14:paraId="7959E86B" w14:textId="77777777" w:rsidR="007331AF" w:rsidRPr="005A3787" w:rsidRDefault="007331AF" w:rsidP="00566137">
      <w:pPr>
        <w:pStyle w:val="FootnoteText"/>
        <w:rPr>
          <w:rFonts w:cstheme="minorHAnsi"/>
          <w:sz w:val="16"/>
          <w:szCs w:val="16"/>
        </w:rPr>
      </w:pPr>
      <w:r w:rsidRPr="00FB0926">
        <w:rPr>
          <w:rStyle w:val="FootnoteReference"/>
          <w:rFonts w:cstheme="minorHAnsi"/>
          <w:sz w:val="16"/>
          <w:szCs w:val="16"/>
        </w:rPr>
        <w:footnoteRef/>
      </w:r>
      <w:r w:rsidRPr="00FB0926">
        <w:rPr>
          <w:rFonts w:cstheme="minorHAnsi"/>
          <w:sz w:val="16"/>
          <w:szCs w:val="16"/>
        </w:rPr>
        <w:t xml:space="preserve"> </w:t>
      </w:r>
      <w:r w:rsidRPr="00FB0926">
        <w:rPr>
          <w:rFonts w:cstheme="minorHAnsi"/>
          <w:color w:val="222222"/>
          <w:sz w:val="16"/>
          <w:szCs w:val="16"/>
          <w:shd w:val="clear" w:color="auto" w:fill="FFFFFF"/>
        </w:rPr>
        <w:t>Trede, F. (2012)</w:t>
      </w:r>
      <w:r>
        <w:rPr>
          <w:rFonts w:cstheme="minorHAnsi"/>
          <w:color w:val="222222"/>
          <w:sz w:val="16"/>
          <w:szCs w:val="16"/>
          <w:shd w:val="clear" w:color="auto" w:fill="FFFFFF"/>
        </w:rPr>
        <w:t>.</w:t>
      </w:r>
      <w:r w:rsidRPr="00FB0926">
        <w:rPr>
          <w:rFonts w:cstheme="minorHAnsi"/>
          <w:color w:val="222222"/>
          <w:sz w:val="16"/>
          <w:szCs w:val="16"/>
          <w:shd w:val="clear" w:color="auto" w:fill="FFFFFF"/>
        </w:rPr>
        <w:t xml:space="preserve"> Role of work-integrated learning in developing professionalism and professional identity</w:t>
      </w:r>
      <w:r w:rsidRPr="005A3787">
        <w:rPr>
          <w:rFonts w:cstheme="minorHAnsi"/>
          <w:color w:val="222222"/>
          <w:sz w:val="16"/>
          <w:szCs w:val="16"/>
          <w:shd w:val="clear" w:color="auto" w:fill="FFFFFF"/>
        </w:rPr>
        <w:t>. </w:t>
      </w:r>
      <w:r w:rsidRPr="005A3787">
        <w:rPr>
          <w:rFonts w:cstheme="minorHAnsi"/>
          <w:iCs/>
          <w:color w:val="222222"/>
          <w:sz w:val="16"/>
          <w:szCs w:val="16"/>
          <w:shd w:val="clear" w:color="auto" w:fill="FFFFFF"/>
        </w:rPr>
        <w:t>Asia-Pacific Journal of Cooperative Education</w:t>
      </w:r>
      <w:r w:rsidRPr="005A3787">
        <w:rPr>
          <w:rFonts w:cstheme="minorHAnsi"/>
          <w:color w:val="222222"/>
          <w:sz w:val="16"/>
          <w:szCs w:val="16"/>
          <w:shd w:val="clear" w:color="auto" w:fill="FFFFFF"/>
        </w:rPr>
        <w:t>, </w:t>
      </w:r>
      <w:r w:rsidRPr="005A3787">
        <w:rPr>
          <w:rFonts w:cstheme="minorHAnsi"/>
          <w:iCs/>
          <w:color w:val="222222"/>
          <w:sz w:val="16"/>
          <w:szCs w:val="16"/>
          <w:shd w:val="clear" w:color="auto" w:fill="FFFFFF"/>
        </w:rPr>
        <w:t>13</w:t>
      </w:r>
      <w:r w:rsidRPr="005A3787">
        <w:rPr>
          <w:rFonts w:cstheme="minorHAnsi"/>
          <w:color w:val="222222"/>
          <w:sz w:val="16"/>
          <w:szCs w:val="16"/>
          <w:shd w:val="clear" w:color="auto" w:fill="FFFFFF"/>
        </w:rPr>
        <w:t>(3), 159-167.</w:t>
      </w:r>
    </w:p>
  </w:footnote>
  <w:footnote w:id="137">
    <w:p w14:paraId="0936556C" w14:textId="77777777" w:rsidR="007331AF" w:rsidRDefault="007331AF" w:rsidP="00566137">
      <w:pPr>
        <w:pStyle w:val="FootnoteText"/>
      </w:pPr>
      <w:r w:rsidRPr="00FB0926">
        <w:rPr>
          <w:rStyle w:val="FootnoteReference"/>
          <w:rFonts w:cstheme="minorHAnsi"/>
          <w:sz w:val="16"/>
          <w:szCs w:val="16"/>
        </w:rPr>
        <w:footnoteRef/>
      </w:r>
      <w:r w:rsidRPr="00FB0926">
        <w:rPr>
          <w:rFonts w:cstheme="minorHAnsi"/>
          <w:sz w:val="16"/>
          <w:szCs w:val="16"/>
        </w:rPr>
        <w:t xml:space="preserve"> R.A. Malatest</w:t>
      </w:r>
      <w:r>
        <w:rPr>
          <w:rFonts w:cstheme="minorHAnsi"/>
          <w:sz w:val="16"/>
          <w:szCs w:val="16"/>
        </w:rPr>
        <w:t xml:space="preserve"> and </w:t>
      </w:r>
      <w:r w:rsidRPr="00FB0926">
        <w:rPr>
          <w:rFonts w:cstheme="minorHAnsi"/>
          <w:sz w:val="16"/>
          <w:szCs w:val="16"/>
        </w:rPr>
        <w:t>Associates Ltd. (2018)</w:t>
      </w:r>
      <w:r>
        <w:rPr>
          <w:rFonts w:cstheme="minorHAnsi"/>
          <w:sz w:val="16"/>
          <w:szCs w:val="16"/>
        </w:rPr>
        <w:t>.</w:t>
      </w:r>
      <w:r w:rsidRPr="00FB0926">
        <w:rPr>
          <w:rFonts w:cstheme="minorHAnsi"/>
          <w:sz w:val="16"/>
          <w:szCs w:val="16"/>
        </w:rPr>
        <w:t xml:space="preserve"> Barriers to Work-integrated Learning Opportunities.</w:t>
      </w:r>
      <w:r>
        <w:rPr>
          <w:rFonts w:cstheme="minorHAnsi"/>
          <w:sz w:val="16"/>
          <w:szCs w:val="16"/>
        </w:rPr>
        <w:t xml:space="preserve"> Toronto:</w:t>
      </w:r>
      <w:r w:rsidRPr="00FB0926">
        <w:rPr>
          <w:rFonts w:cstheme="minorHAnsi"/>
          <w:sz w:val="16"/>
          <w:szCs w:val="16"/>
        </w:rPr>
        <w:t xml:space="preserve"> Higher Education Quality Council of Ontario. </w:t>
      </w:r>
    </w:p>
  </w:footnote>
  <w:footnote w:id="138">
    <w:p w14:paraId="0477D027" w14:textId="77777777" w:rsidR="007331AF" w:rsidRPr="00304E3B" w:rsidRDefault="007331AF" w:rsidP="00566137">
      <w:pPr>
        <w:pStyle w:val="FootnoteText"/>
      </w:pPr>
      <w:r w:rsidRPr="003D158B">
        <w:rPr>
          <w:rStyle w:val="FootnoteReference"/>
          <w:sz w:val="16"/>
          <w:szCs w:val="16"/>
        </w:rPr>
        <w:footnoteRef/>
      </w:r>
      <w:r w:rsidRPr="003D158B">
        <w:rPr>
          <w:sz w:val="16"/>
          <w:szCs w:val="16"/>
        </w:rPr>
        <w:t xml:space="preserve"> Zacharias, N., Mitchell, G., Raciti, M., Koshy, P., Li, I., Costello, D.,</w:t>
      </w:r>
      <w:r>
        <w:rPr>
          <w:sz w:val="16"/>
          <w:szCs w:val="16"/>
        </w:rPr>
        <w:t xml:space="preserve"> and </w:t>
      </w:r>
      <w:r w:rsidRPr="003D158B">
        <w:rPr>
          <w:sz w:val="16"/>
          <w:szCs w:val="16"/>
        </w:rPr>
        <w:t>Trinidad, S. (2018)</w:t>
      </w:r>
      <w:r>
        <w:rPr>
          <w:sz w:val="16"/>
          <w:szCs w:val="16"/>
        </w:rPr>
        <w:t>.</w:t>
      </w:r>
      <w:r w:rsidRPr="003D158B">
        <w:rPr>
          <w:sz w:val="16"/>
          <w:szCs w:val="16"/>
        </w:rPr>
        <w:t xml:space="preserve"> Widening Regional and Remote Participation: Interrogating the </w:t>
      </w:r>
      <w:r>
        <w:rPr>
          <w:sz w:val="16"/>
          <w:szCs w:val="16"/>
        </w:rPr>
        <w:t>I</w:t>
      </w:r>
      <w:r w:rsidRPr="003D158B">
        <w:rPr>
          <w:sz w:val="16"/>
          <w:szCs w:val="16"/>
        </w:rPr>
        <w:t xml:space="preserve">mpact of </w:t>
      </w:r>
      <w:r>
        <w:rPr>
          <w:sz w:val="16"/>
          <w:szCs w:val="16"/>
        </w:rPr>
        <w:t>O</w:t>
      </w:r>
      <w:r w:rsidRPr="003D158B">
        <w:rPr>
          <w:sz w:val="16"/>
          <w:szCs w:val="16"/>
        </w:rPr>
        <w:t xml:space="preserve">utreach </w:t>
      </w:r>
      <w:r>
        <w:rPr>
          <w:sz w:val="16"/>
          <w:szCs w:val="16"/>
        </w:rPr>
        <w:t>P</w:t>
      </w:r>
      <w:r w:rsidRPr="003D158B">
        <w:rPr>
          <w:sz w:val="16"/>
          <w:szCs w:val="16"/>
        </w:rPr>
        <w:t xml:space="preserve">rograms </w:t>
      </w:r>
      <w:r>
        <w:rPr>
          <w:sz w:val="16"/>
          <w:szCs w:val="16"/>
        </w:rPr>
        <w:t>A</w:t>
      </w:r>
      <w:r w:rsidRPr="003D158B">
        <w:rPr>
          <w:sz w:val="16"/>
          <w:szCs w:val="16"/>
        </w:rPr>
        <w:t>cross Queensland. National Centre for Student Equity in Higher Education.</w:t>
      </w:r>
      <w:r>
        <w:rPr>
          <w:sz w:val="16"/>
          <w:szCs w:val="16"/>
        </w:rPr>
        <w:t xml:space="preserve"> Perth: Curtin University.</w:t>
      </w:r>
    </w:p>
  </w:footnote>
  <w:footnote w:id="139">
    <w:p w14:paraId="03791953" w14:textId="16924F85"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Career Industry Council of Australia (2017)</w:t>
      </w:r>
      <w:r>
        <w:rPr>
          <w:rFonts w:cstheme="minorHAnsi"/>
          <w:sz w:val="16"/>
          <w:szCs w:val="16"/>
        </w:rPr>
        <w:t>.</w:t>
      </w:r>
      <w:r w:rsidRPr="00304E3B">
        <w:rPr>
          <w:rFonts w:cstheme="minorHAnsi"/>
          <w:sz w:val="16"/>
          <w:szCs w:val="16"/>
        </w:rPr>
        <w:t xml:space="preserve"> As key influencers, school career practitioners need more time to assist students make well-informed decisions, Media Release available at: </w:t>
      </w:r>
      <w:hyperlink r:id="rId21" w:history="1">
        <w:r w:rsidRPr="00D3786E">
          <w:rPr>
            <w:rStyle w:val="Hyperlink"/>
            <w:rFonts w:cstheme="minorHAnsi"/>
            <w:sz w:val="16"/>
            <w:szCs w:val="16"/>
          </w:rPr>
          <w:t>https://cica.org.au/wp-content/uploads/CICA-Media-Release-21-June-2017.pdf</w:t>
        </w:r>
      </w:hyperlink>
      <w:r>
        <w:rPr>
          <w:rFonts w:cstheme="minorHAnsi"/>
          <w:sz w:val="16"/>
          <w:szCs w:val="16"/>
        </w:rPr>
        <w:t xml:space="preserve"> </w:t>
      </w:r>
    </w:p>
  </w:footnote>
  <w:footnote w:id="140">
    <w:p w14:paraId="57CD3E9F" w14:textId="77777777" w:rsidR="007331AF" w:rsidRPr="007B4EA2" w:rsidRDefault="007331AF" w:rsidP="00566137">
      <w:pPr>
        <w:spacing w:after="0" w:line="240" w:lineRule="auto"/>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w:t>
      </w:r>
      <w:r w:rsidRPr="00304E3B">
        <w:rPr>
          <w:rFonts w:cstheme="minorHAnsi"/>
          <w:color w:val="222222"/>
          <w:sz w:val="16"/>
          <w:szCs w:val="16"/>
          <w:shd w:val="clear" w:color="auto" w:fill="FFFFFF"/>
        </w:rPr>
        <w:t>Kinnane, S., Wilks, J., Wilson, K., Hughes, T.,</w:t>
      </w:r>
      <w:r>
        <w:rPr>
          <w:rFonts w:cstheme="minorHAnsi"/>
          <w:color w:val="222222"/>
          <w:sz w:val="16"/>
          <w:szCs w:val="16"/>
          <w:shd w:val="clear" w:color="auto" w:fill="FFFFFF"/>
        </w:rPr>
        <w:t xml:space="preserve"> and </w:t>
      </w:r>
      <w:r w:rsidRPr="00304E3B">
        <w:rPr>
          <w:rFonts w:cstheme="minorHAnsi"/>
          <w:color w:val="222222"/>
          <w:sz w:val="16"/>
          <w:szCs w:val="16"/>
          <w:shd w:val="clear" w:color="auto" w:fill="FFFFFF"/>
        </w:rPr>
        <w:t>Thomas, S. (2014)</w:t>
      </w:r>
      <w:r>
        <w:rPr>
          <w:rFonts w:cstheme="minorHAnsi"/>
          <w:color w:val="222222"/>
          <w:sz w:val="16"/>
          <w:szCs w:val="16"/>
          <w:shd w:val="clear" w:color="auto" w:fill="FFFFFF"/>
        </w:rPr>
        <w:t>.</w:t>
      </w:r>
      <w:r w:rsidRPr="00304E3B">
        <w:rPr>
          <w:rFonts w:cstheme="minorHAnsi"/>
          <w:color w:val="222222"/>
          <w:sz w:val="16"/>
          <w:szCs w:val="16"/>
          <w:shd w:val="clear" w:color="auto" w:fill="FFFFFF"/>
        </w:rPr>
        <w:t xml:space="preserve"> </w:t>
      </w:r>
      <w:r>
        <w:rPr>
          <w:rFonts w:cstheme="minorHAnsi"/>
          <w:color w:val="222222"/>
          <w:sz w:val="16"/>
          <w:szCs w:val="16"/>
          <w:shd w:val="clear" w:color="auto" w:fill="FFFFFF"/>
        </w:rPr>
        <w:t>‘</w:t>
      </w:r>
      <w:r w:rsidRPr="00304E3B">
        <w:rPr>
          <w:rFonts w:cstheme="minorHAnsi"/>
          <w:color w:val="222222"/>
          <w:sz w:val="16"/>
          <w:szCs w:val="16"/>
          <w:shd w:val="clear" w:color="auto" w:fill="FFFFFF"/>
        </w:rPr>
        <w:t>Can’t be what you can’t see’: The transition of Aboriginal and Torres Strait Islander students into higher education. </w:t>
      </w:r>
      <w:r w:rsidRPr="00304E3B">
        <w:rPr>
          <w:rFonts w:cstheme="minorHAnsi"/>
          <w:iCs/>
          <w:color w:val="222222"/>
          <w:sz w:val="16"/>
          <w:szCs w:val="16"/>
          <w:shd w:val="clear" w:color="auto" w:fill="FFFFFF"/>
        </w:rPr>
        <w:t xml:space="preserve">Final </w:t>
      </w:r>
      <w:r>
        <w:rPr>
          <w:rFonts w:cstheme="minorHAnsi"/>
          <w:iCs/>
          <w:color w:val="222222"/>
          <w:sz w:val="16"/>
          <w:szCs w:val="16"/>
          <w:shd w:val="clear" w:color="auto" w:fill="FFFFFF"/>
        </w:rPr>
        <w:t>R</w:t>
      </w:r>
      <w:r w:rsidRPr="00304E3B">
        <w:rPr>
          <w:rFonts w:cstheme="minorHAnsi"/>
          <w:iCs/>
          <w:color w:val="222222"/>
          <w:sz w:val="16"/>
          <w:szCs w:val="16"/>
          <w:shd w:val="clear" w:color="auto" w:fill="FFFFFF"/>
        </w:rPr>
        <w:t xml:space="preserve">eport. </w:t>
      </w:r>
      <w:r>
        <w:rPr>
          <w:rFonts w:cstheme="minorHAnsi"/>
          <w:iCs/>
          <w:color w:val="222222"/>
          <w:sz w:val="16"/>
          <w:szCs w:val="16"/>
          <w:shd w:val="clear" w:color="auto" w:fill="FFFFFF"/>
        </w:rPr>
        <w:t xml:space="preserve">Sydney: </w:t>
      </w:r>
      <w:r w:rsidRPr="00304E3B">
        <w:rPr>
          <w:rFonts w:cstheme="minorHAnsi"/>
          <w:iCs/>
          <w:color w:val="222222"/>
          <w:sz w:val="16"/>
          <w:szCs w:val="16"/>
          <w:shd w:val="clear" w:color="auto" w:fill="FFFFFF"/>
        </w:rPr>
        <w:t>Office for Learning and Teaching</w:t>
      </w:r>
      <w:r w:rsidRPr="00304E3B">
        <w:rPr>
          <w:rFonts w:cstheme="minorHAnsi"/>
          <w:color w:val="222222"/>
          <w:sz w:val="16"/>
          <w:szCs w:val="16"/>
          <w:shd w:val="clear" w:color="auto" w:fill="FFFFFF"/>
        </w:rPr>
        <w:t>.</w:t>
      </w:r>
      <w:r w:rsidRPr="007B4EA2">
        <w:rPr>
          <w:rFonts w:cstheme="minorHAnsi"/>
          <w:sz w:val="16"/>
          <w:szCs w:val="16"/>
        </w:rPr>
        <w:t xml:space="preserve"> </w:t>
      </w:r>
    </w:p>
  </w:footnote>
  <w:footnote w:id="141">
    <w:p w14:paraId="77E83FD0" w14:textId="77777777" w:rsidR="007331AF" w:rsidRPr="00CC1385" w:rsidRDefault="007331AF" w:rsidP="00566137">
      <w:pPr>
        <w:pStyle w:val="FootnoteText"/>
      </w:pPr>
      <w:r w:rsidRPr="00304E3B">
        <w:rPr>
          <w:rStyle w:val="FootnoteReference"/>
          <w:sz w:val="16"/>
          <w:szCs w:val="16"/>
        </w:rPr>
        <w:footnoteRef/>
      </w:r>
      <w:r w:rsidRPr="00304E3B">
        <w:rPr>
          <w:sz w:val="16"/>
          <w:szCs w:val="16"/>
        </w:rPr>
        <w:t xml:space="preserve"> B</w:t>
      </w:r>
      <w:r>
        <w:rPr>
          <w:sz w:val="16"/>
          <w:szCs w:val="16"/>
        </w:rPr>
        <w:t>lanchard</w:t>
      </w:r>
      <w:r w:rsidRPr="00304E3B">
        <w:rPr>
          <w:sz w:val="16"/>
          <w:szCs w:val="16"/>
        </w:rPr>
        <w:t>, C.A. (1987)</w:t>
      </w:r>
      <w:r>
        <w:rPr>
          <w:sz w:val="16"/>
          <w:szCs w:val="16"/>
        </w:rPr>
        <w:t>.</w:t>
      </w:r>
      <w:r w:rsidRPr="00304E3B">
        <w:rPr>
          <w:sz w:val="16"/>
          <w:szCs w:val="16"/>
        </w:rPr>
        <w:t xml:space="preserve"> Return to </w:t>
      </w:r>
      <w:r>
        <w:rPr>
          <w:sz w:val="16"/>
          <w:szCs w:val="16"/>
        </w:rPr>
        <w:t>C</w:t>
      </w:r>
      <w:r w:rsidRPr="00304E3B">
        <w:rPr>
          <w:sz w:val="16"/>
          <w:szCs w:val="16"/>
        </w:rPr>
        <w:t>ountry: The Aboriginal Homelands Movement in Australia,</w:t>
      </w:r>
      <w:r>
        <w:rPr>
          <w:sz w:val="16"/>
          <w:szCs w:val="16"/>
        </w:rPr>
        <w:t xml:space="preserve"> </w:t>
      </w:r>
      <w:r w:rsidRPr="00304E3B">
        <w:rPr>
          <w:sz w:val="16"/>
          <w:szCs w:val="16"/>
        </w:rPr>
        <w:t xml:space="preserve">Report of the House of Representatives Standing Committee on </w:t>
      </w:r>
      <w:r w:rsidRPr="00CC1385">
        <w:rPr>
          <w:sz w:val="16"/>
          <w:szCs w:val="16"/>
        </w:rPr>
        <w:t xml:space="preserve">Aboriginal Affairs. </w:t>
      </w:r>
      <w:r>
        <w:rPr>
          <w:sz w:val="16"/>
          <w:szCs w:val="16"/>
        </w:rPr>
        <w:t xml:space="preserve">Canberra: </w:t>
      </w:r>
      <w:r w:rsidRPr="00CC1385">
        <w:rPr>
          <w:sz w:val="16"/>
          <w:szCs w:val="16"/>
        </w:rPr>
        <w:t>Australian Government Publishing Service.</w:t>
      </w:r>
    </w:p>
  </w:footnote>
  <w:footnote w:id="142">
    <w:p w14:paraId="23E4F78A" w14:textId="77777777" w:rsidR="007331AF" w:rsidRPr="007B4EA2" w:rsidRDefault="007331AF" w:rsidP="00566137">
      <w:pPr>
        <w:pStyle w:val="FootnoteText"/>
        <w:rPr>
          <w:rFonts w:cstheme="minorHAnsi"/>
          <w:sz w:val="16"/>
          <w:szCs w:val="16"/>
        </w:rPr>
      </w:pPr>
      <w:r w:rsidRPr="00CC1385">
        <w:rPr>
          <w:rStyle w:val="FootnoteReference"/>
          <w:rFonts w:cstheme="minorHAnsi"/>
          <w:sz w:val="16"/>
          <w:szCs w:val="16"/>
        </w:rPr>
        <w:footnoteRef/>
      </w:r>
      <w:r w:rsidRPr="00CC1385">
        <w:rPr>
          <w:rFonts w:cstheme="minorHAnsi"/>
          <w:sz w:val="16"/>
          <w:szCs w:val="16"/>
        </w:rPr>
        <w:t xml:space="preserve"> Cupitt, C., Costello, D., Raciti, M.</w:t>
      </w:r>
      <w:r>
        <w:rPr>
          <w:rFonts w:cstheme="minorHAnsi"/>
          <w:sz w:val="16"/>
          <w:szCs w:val="16"/>
        </w:rPr>
        <w:t>,</w:t>
      </w:r>
      <w:r w:rsidRPr="00CC1385">
        <w:rPr>
          <w:rFonts w:cstheme="minorHAnsi"/>
          <w:sz w:val="16"/>
          <w:szCs w:val="16"/>
        </w:rPr>
        <w:t xml:space="preserve"> and Eagle, L. (2016). Social Marketing Strategy for Low SES Communities: Position Paper. National Centre for Student Equity in Higher Education.</w:t>
      </w:r>
      <w:r>
        <w:rPr>
          <w:rFonts w:cstheme="minorHAnsi"/>
          <w:sz w:val="16"/>
          <w:szCs w:val="16"/>
        </w:rPr>
        <w:t xml:space="preserve"> Perth: Curtin University.</w:t>
      </w:r>
    </w:p>
  </w:footnote>
  <w:footnote w:id="143">
    <w:p w14:paraId="21F92F0B" w14:textId="77777777" w:rsidR="007331AF" w:rsidRPr="008E4B9C" w:rsidRDefault="007331AF" w:rsidP="00566137">
      <w:pPr>
        <w:pStyle w:val="FootnoteText"/>
        <w:rPr>
          <w:rFonts w:cs="Calibri"/>
          <w:sz w:val="16"/>
          <w:szCs w:val="16"/>
        </w:rPr>
      </w:pPr>
      <w:r w:rsidRPr="007B4EA2">
        <w:rPr>
          <w:rStyle w:val="FootnoteReference"/>
          <w:rFonts w:cstheme="minorHAnsi"/>
          <w:sz w:val="16"/>
          <w:szCs w:val="16"/>
        </w:rPr>
        <w:footnoteRef/>
      </w:r>
      <w:r w:rsidRPr="007B4EA2">
        <w:rPr>
          <w:rFonts w:cstheme="minorHAnsi"/>
          <w:sz w:val="16"/>
          <w:szCs w:val="16"/>
        </w:rPr>
        <w:t xml:space="preserve"> Deci, E.,</w:t>
      </w:r>
      <w:r>
        <w:rPr>
          <w:rFonts w:cstheme="minorHAnsi"/>
          <w:sz w:val="16"/>
          <w:szCs w:val="16"/>
        </w:rPr>
        <w:t xml:space="preserve"> and </w:t>
      </w:r>
      <w:r w:rsidRPr="007B4EA2">
        <w:rPr>
          <w:rFonts w:cstheme="minorHAnsi"/>
          <w:sz w:val="16"/>
          <w:szCs w:val="16"/>
        </w:rPr>
        <w:t>Ryan, R.</w:t>
      </w:r>
      <w:r>
        <w:rPr>
          <w:rFonts w:cstheme="minorHAnsi"/>
          <w:sz w:val="16"/>
          <w:szCs w:val="16"/>
        </w:rPr>
        <w:t xml:space="preserve"> </w:t>
      </w:r>
      <w:r w:rsidRPr="007B4EA2">
        <w:rPr>
          <w:rFonts w:cstheme="minorHAnsi"/>
          <w:sz w:val="16"/>
          <w:szCs w:val="16"/>
        </w:rPr>
        <w:t>(2008)</w:t>
      </w:r>
      <w:r>
        <w:rPr>
          <w:rFonts w:cstheme="minorHAnsi"/>
          <w:sz w:val="16"/>
          <w:szCs w:val="16"/>
        </w:rPr>
        <w:t>.</w:t>
      </w:r>
      <w:r w:rsidRPr="007B4EA2">
        <w:rPr>
          <w:rFonts w:cstheme="minorHAnsi"/>
          <w:sz w:val="16"/>
          <w:szCs w:val="16"/>
        </w:rPr>
        <w:t xml:space="preserve"> Self</w:t>
      </w:r>
      <w:r w:rsidRPr="008E4B9C">
        <w:rPr>
          <w:rFonts w:cs="Calibri"/>
          <w:sz w:val="16"/>
          <w:szCs w:val="16"/>
        </w:rPr>
        <w:t xml:space="preserve">-determination theory: A macrotheory of human motivation, development and health. Canadian </w:t>
      </w:r>
      <w:r>
        <w:rPr>
          <w:rFonts w:cs="Calibri"/>
          <w:sz w:val="16"/>
          <w:szCs w:val="16"/>
        </w:rPr>
        <w:t>P</w:t>
      </w:r>
      <w:r w:rsidRPr="008E4B9C">
        <w:rPr>
          <w:rFonts w:cs="Calibri"/>
          <w:sz w:val="16"/>
          <w:szCs w:val="16"/>
        </w:rPr>
        <w:t>sychology, 49(3), 182</w:t>
      </w:r>
      <w:r>
        <w:rPr>
          <w:rFonts w:cs="Calibri"/>
          <w:sz w:val="16"/>
          <w:szCs w:val="16"/>
        </w:rPr>
        <w:t>-185</w:t>
      </w:r>
      <w:r w:rsidRPr="008E4B9C">
        <w:rPr>
          <w:rFonts w:cs="Calibri"/>
          <w:sz w:val="16"/>
          <w:szCs w:val="16"/>
        </w:rPr>
        <w:t>.</w:t>
      </w:r>
    </w:p>
  </w:footnote>
  <w:footnote w:id="144">
    <w:p w14:paraId="6F8E7E87" w14:textId="77777777" w:rsidR="007331AF" w:rsidRPr="008E4B9C" w:rsidRDefault="007331AF" w:rsidP="00566137">
      <w:pPr>
        <w:pStyle w:val="FootnoteText"/>
        <w:rPr>
          <w:rFonts w:cs="Calibri"/>
          <w:sz w:val="16"/>
          <w:szCs w:val="16"/>
        </w:rPr>
      </w:pPr>
      <w:r w:rsidRPr="008E4B9C">
        <w:rPr>
          <w:rStyle w:val="FootnoteReference"/>
          <w:rFonts w:cs="Calibri"/>
          <w:sz w:val="16"/>
          <w:szCs w:val="16"/>
        </w:rPr>
        <w:footnoteRef/>
      </w:r>
      <w:r w:rsidRPr="008E4B9C">
        <w:rPr>
          <w:rFonts w:cs="Calibri"/>
          <w:sz w:val="16"/>
          <w:szCs w:val="16"/>
        </w:rPr>
        <w:t xml:space="preserve"> Kintrea, K., St Clair, R.,</w:t>
      </w:r>
      <w:r>
        <w:rPr>
          <w:rFonts w:cs="Calibri"/>
          <w:sz w:val="16"/>
          <w:szCs w:val="16"/>
        </w:rPr>
        <w:t xml:space="preserve"> and </w:t>
      </w:r>
      <w:r w:rsidRPr="008E4B9C">
        <w:rPr>
          <w:rFonts w:cs="Calibri"/>
          <w:sz w:val="16"/>
          <w:szCs w:val="16"/>
        </w:rPr>
        <w:t>Houston, M. (2015)</w:t>
      </w:r>
      <w:r>
        <w:rPr>
          <w:rFonts w:cs="Calibri"/>
          <w:sz w:val="16"/>
          <w:szCs w:val="16"/>
        </w:rPr>
        <w:t>.</w:t>
      </w:r>
      <w:r w:rsidRPr="008E4B9C">
        <w:rPr>
          <w:rFonts w:cs="Calibri"/>
          <w:sz w:val="16"/>
          <w:szCs w:val="16"/>
        </w:rPr>
        <w:t xml:space="preserve"> Shaped by place? Young people's aspirations in disadvantaged neighbourhoods. Journal of Youth Studies, 18(5), 666-684.</w:t>
      </w:r>
      <w:r>
        <w:rPr>
          <w:rFonts w:cs="Calibri"/>
          <w:sz w:val="16"/>
          <w:szCs w:val="16"/>
        </w:rPr>
        <w:t xml:space="preserve"> </w:t>
      </w:r>
    </w:p>
  </w:footnote>
  <w:footnote w:id="145">
    <w:p w14:paraId="4898F076" w14:textId="77777777" w:rsidR="007331AF" w:rsidRPr="008E4B9C" w:rsidRDefault="007331AF" w:rsidP="00566137">
      <w:pPr>
        <w:pStyle w:val="FootnoteText"/>
        <w:rPr>
          <w:rFonts w:cs="Calibri"/>
          <w:sz w:val="16"/>
          <w:szCs w:val="16"/>
        </w:rPr>
      </w:pPr>
      <w:r w:rsidRPr="008E4B9C">
        <w:rPr>
          <w:rStyle w:val="FootnoteReference"/>
          <w:rFonts w:cs="Calibri"/>
          <w:sz w:val="16"/>
          <w:szCs w:val="16"/>
        </w:rPr>
        <w:footnoteRef/>
      </w:r>
      <w:r w:rsidRPr="008E4B9C">
        <w:rPr>
          <w:rFonts w:cs="Calibri"/>
          <w:sz w:val="16"/>
          <w:szCs w:val="16"/>
        </w:rPr>
        <w:t xml:space="preserve"> </w:t>
      </w:r>
      <w:r>
        <w:rPr>
          <w:rFonts w:cs="Calibri"/>
          <w:sz w:val="16"/>
          <w:szCs w:val="16"/>
        </w:rPr>
        <w:t xml:space="preserve">For example: </w:t>
      </w:r>
      <w:r w:rsidRPr="008E4B9C">
        <w:rPr>
          <w:rFonts w:cs="Calibri"/>
          <w:sz w:val="16"/>
          <w:szCs w:val="16"/>
        </w:rPr>
        <w:t>Gemici, S., Bednarz, A., Karmel, T.</w:t>
      </w:r>
      <w:r>
        <w:rPr>
          <w:rFonts w:cs="Calibri"/>
          <w:sz w:val="16"/>
          <w:szCs w:val="16"/>
        </w:rPr>
        <w:t xml:space="preserve">, and </w:t>
      </w:r>
      <w:r w:rsidRPr="008E4B9C">
        <w:rPr>
          <w:rFonts w:cs="Calibri"/>
          <w:sz w:val="16"/>
          <w:szCs w:val="16"/>
        </w:rPr>
        <w:t>Lim, P. (2014)</w:t>
      </w:r>
      <w:r>
        <w:rPr>
          <w:rFonts w:cs="Calibri"/>
          <w:sz w:val="16"/>
          <w:szCs w:val="16"/>
        </w:rPr>
        <w:t>.</w:t>
      </w:r>
      <w:r w:rsidRPr="008E4B9C">
        <w:rPr>
          <w:rFonts w:cs="Calibri"/>
          <w:sz w:val="16"/>
          <w:szCs w:val="16"/>
        </w:rPr>
        <w:t xml:space="preserve"> Factors Affecting the Educational and Occupational Aspirations of Young Australians. </w:t>
      </w:r>
      <w:r>
        <w:rPr>
          <w:rFonts w:cs="Calibri"/>
          <w:sz w:val="16"/>
          <w:szCs w:val="16"/>
        </w:rPr>
        <w:t>Adelaide: National Centre for Vocational Education Research</w:t>
      </w:r>
      <w:r w:rsidRPr="008E4B9C">
        <w:rPr>
          <w:rFonts w:cs="Calibri"/>
          <w:sz w:val="16"/>
          <w:szCs w:val="16"/>
        </w:rPr>
        <w:t>.</w:t>
      </w:r>
      <w:r>
        <w:rPr>
          <w:rFonts w:cs="Calibri"/>
          <w:sz w:val="16"/>
          <w:szCs w:val="16"/>
        </w:rPr>
        <w:t xml:space="preserve"> </w:t>
      </w:r>
      <w:r w:rsidRPr="008E4B9C">
        <w:rPr>
          <w:rFonts w:cs="Calibri"/>
          <w:sz w:val="16"/>
          <w:szCs w:val="16"/>
        </w:rPr>
        <w:t>Gore, J., Holmes, K., Smith, M., Southgate, E.,</w:t>
      </w:r>
      <w:r>
        <w:rPr>
          <w:rFonts w:cs="Calibri"/>
          <w:sz w:val="16"/>
          <w:szCs w:val="16"/>
        </w:rPr>
        <w:t xml:space="preserve"> and </w:t>
      </w:r>
      <w:r w:rsidRPr="008E4B9C">
        <w:rPr>
          <w:rFonts w:cs="Calibri"/>
          <w:sz w:val="16"/>
          <w:szCs w:val="16"/>
        </w:rPr>
        <w:t xml:space="preserve">Albright, J. (2015). Socioeconomic status and the career aspirations of Australian school students: Testing enduring assumptions. The Australian </w:t>
      </w:r>
      <w:r>
        <w:rPr>
          <w:rFonts w:cs="Calibri"/>
          <w:sz w:val="16"/>
          <w:szCs w:val="16"/>
        </w:rPr>
        <w:t>E</w:t>
      </w:r>
      <w:r w:rsidRPr="008E4B9C">
        <w:rPr>
          <w:rFonts w:cs="Calibri"/>
          <w:sz w:val="16"/>
          <w:szCs w:val="16"/>
        </w:rPr>
        <w:t xml:space="preserve">ducational </w:t>
      </w:r>
      <w:r>
        <w:rPr>
          <w:rFonts w:cs="Calibri"/>
          <w:sz w:val="16"/>
          <w:szCs w:val="16"/>
        </w:rPr>
        <w:t>R</w:t>
      </w:r>
      <w:r w:rsidRPr="008E4B9C">
        <w:rPr>
          <w:rFonts w:cs="Calibri"/>
          <w:sz w:val="16"/>
          <w:szCs w:val="16"/>
        </w:rPr>
        <w:t>esearcher, 42(2), 155-177.</w:t>
      </w:r>
      <w:r w:rsidRPr="00841EB6">
        <w:rPr>
          <w:rFonts w:cs="Calibri"/>
          <w:sz w:val="16"/>
          <w:szCs w:val="16"/>
        </w:rPr>
        <w:t xml:space="preserve">  </w:t>
      </w:r>
    </w:p>
  </w:footnote>
  <w:footnote w:id="146">
    <w:p w14:paraId="2E4DBC9B" w14:textId="77777777" w:rsidR="007331AF" w:rsidRPr="008E4B9C" w:rsidRDefault="007331AF" w:rsidP="00566137">
      <w:pPr>
        <w:pStyle w:val="FootnoteText"/>
        <w:rPr>
          <w:rFonts w:cs="Calibri"/>
          <w:sz w:val="16"/>
          <w:szCs w:val="16"/>
        </w:rPr>
      </w:pPr>
      <w:r w:rsidRPr="008E4B9C">
        <w:rPr>
          <w:rStyle w:val="FootnoteReference"/>
          <w:rFonts w:cs="Calibri"/>
          <w:sz w:val="16"/>
          <w:szCs w:val="16"/>
        </w:rPr>
        <w:footnoteRef/>
      </w:r>
      <w:r w:rsidRPr="008E4B9C">
        <w:rPr>
          <w:rFonts w:cs="Calibri"/>
          <w:sz w:val="16"/>
          <w:szCs w:val="16"/>
        </w:rPr>
        <w:t xml:space="preserve"> Haller, A.O.</w:t>
      </w:r>
      <w:r>
        <w:rPr>
          <w:rFonts w:cs="Calibri"/>
          <w:sz w:val="16"/>
          <w:szCs w:val="16"/>
        </w:rPr>
        <w:t>,</w:t>
      </w:r>
      <w:r w:rsidRPr="008E4B9C">
        <w:rPr>
          <w:rFonts w:cs="Calibri"/>
          <w:sz w:val="16"/>
          <w:szCs w:val="16"/>
        </w:rPr>
        <w:t xml:space="preserve"> and Miller, I.W.</w:t>
      </w:r>
      <w:r>
        <w:rPr>
          <w:rFonts w:cs="Calibri"/>
          <w:sz w:val="16"/>
          <w:szCs w:val="16"/>
        </w:rPr>
        <w:t xml:space="preserve"> (</w:t>
      </w:r>
      <w:r w:rsidRPr="008E4B9C">
        <w:rPr>
          <w:rFonts w:cs="Calibri"/>
          <w:sz w:val="16"/>
          <w:szCs w:val="16"/>
        </w:rPr>
        <w:t>1967</w:t>
      </w:r>
      <w:r>
        <w:rPr>
          <w:rFonts w:cs="Calibri"/>
          <w:sz w:val="16"/>
          <w:szCs w:val="16"/>
        </w:rPr>
        <w:t>).</w:t>
      </w:r>
      <w:r w:rsidRPr="008E4B9C">
        <w:rPr>
          <w:rFonts w:cs="Calibri"/>
          <w:sz w:val="16"/>
          <w:szCs w:val="16"/>
        </w:rPr>
        <w:t xml:space="preserve"> The Occupational Aspiration Scale: Theory. Structure and Correlates</w:t>
      </w:r>
      <w:r>
        <w:rPr>
          <w:rFonts w:cs="Calibri"/>
          <w:sz w:val="16"/>
          <w:szCs w:val="16"/>
        </w:rPr>
        <w:t xml:space="preserve">. </w:t>
      </w:r>
      <w:r w:rsidRPr="008E4B9C">
        <w:rPr>
          <w:rFonts w:cs="Calibri"/>
          <w:sz w:val="16"/>
          <w:szCs w:val="16"/>
        </w:rPr>
        <w:t>Department of Rural Sociology</w:t>
      </w:r>
      <w:r>
        <w:rPr>
          <w:rFonts w:cs="Calibri"/>
          <w:sz w:val="16"/>
          <w:szCs w:val="16"/>
        </w:rPr>
        <w:t>.</w:t>
      </w:r>
      <w:r w:rsidRPr="008E4B9C">
        <w:rPr>
          <w:rFonts w:cs="Calibri"/>
          <w:sz w:val="16"/>
          <w:szCs w:val="16"/>
        </w:rPr>
        <w:t xml:space="preserve"> </w:t>
      </w:r>
      <w:r>
        <w:rPr>
          <w:rFonts w:cs="Calibri"/>
          <w:sz w:val="16"/>
          <w:szCs w:val="16"/>
        </w:rPr>
        <w:t xml:space="preserve">Madison: The </w:t>
      </w:r>
      <w:r w:rsidRPr="008E4B9C">
        <w:rPr>
          <w:rFonts w:cs="Calibri"/>
          <w:sz w:val="16"/>
          <w:szCs w:val="16"/>
        </w:rPr>
        <w:t>University of Wisconsin</w:t>
      </w:r>
      <w:r>
        <w:rPr>
          <w:rFonts w:cs="Calibri"/>
          <w:sz w:val="16"/>
          <w:szCs w:val="16"/>
        </w:rPr>
        <w:t>.</w:t>
      </w:r>
      <w:r w:rsidRPr="008E4B9C">
        <w:rPr>
          <w:rFonts w:cs="Calibri"/>
          <w:sz w:val="16"/>
          <w:szCs w:val="16"/>
        </w:rPr>
        <w:t xml:space="preserve"> </w:t>
      </w:r>
    </w:p>
  </w:footnote>
  <w:footnote w:id="147">
    <w:p w14:paraId="774942B3" w14:textId="77777777" w:rsidR="007331AF" w:rsidRPr="005D217F" w:rsidRDefault="007331AF" w:rsidP="00566137">
      <w:pPr>
        <w:pStyle w:val="FootnoteText"/>
        <w:rPr>
          <w:rFonts w:cs="Calibri"/>
          <w:sz w:val="16"/>
          <w:szCs w:val="16"/>
        </w:rPr>
      </w:pPr>
      <w:r w:rsidRPr="005D217F">
        <w:rPr>
          <w:rStyle w:val="FootnoteReference"/>
          <w:rFonts w:cs="Calibri"/>
          <w:sz w:val="16"/>
          <w:szCs w:val="16"/>
        </w:rPr>
        <w:footnoteRef/>
      </w:r>
      <w:r w:rsidRPr="005D217F">
        <w:rPr>
          <w:rFonts w:cs="Calibri"/>
          <w:sz w:val="16"/>
          <w:szCs w:val="16"/>
        </w:rPr>
        <w:t xml:space="preserve"> Sellar, S., Gale, T.,</w:t>
      </w:r>
      <w:r>
        <w:rPr>
          <w:rFonts w:cs="Calibri"/>
          <w:sz w:val="16"/>
          <w:szCs w:val="16"/>
        </w:rPr>
        <w:t xml:space="preserve"> and </w:t>
      </w:r>
      <w:r w:rsidRPr="005D217F">
        <w:rPr>
          <w:rFonts w:cs="Calibri"/>
          <w:sz w:val="16"/>
          <w:szCs w:val="16"/>
        </w:rPr>
        <w:t>Parker, S. (2011)</w:t>
      </w:r>
      <w:r>
        <w:rPr>
          <w:rFonts w:cs="Calibri"/>
          <w:sz w:val="16"/>
          <w:szCs w:val="16"/>
        </w:rPr>
        <w:t>.</w:t>
      </w:r>
      <w:r w:rsidRPr="005D217F">
        <w:rPr>
          <w:rFonts w:cs="Calibri"/>
          <w:sz w:val="16"/>
          <w:szCs w:val="16"/>
        </w:rPr>
        <w:t xml:space="preserve"> Appreciating aspirations in Australian higher education. Cambridge </w:t>
      </w:r>
      <w:r>
        <w:rPr>
          <w:rFonts w:cs="Calibri"/>
          <w:sz w:val="16"/>
          <w:szCs w:val="16"/>
        </w:rPr>
        <w:t>J</w:t>
      </w:r>
      <w:r w:rsidRPr="005D217F">
        <w:rPr>
          <w:rFonts w:cs="Calibri"/>
          <w:sz w:val="16"/>
          <w:szCs w:val="16"/>
        </w:rPr>
        <w:t xml:space="preserve">ournal of </w:t>
      </w:r>
      <w:r>
        <w:rPr>
          <w:rFonts w:cs="Calibri"/>
          <w:sz w:val="16"/>
          <w:szCs w:val="16"/>
        </w:rPr>
        <w:t>E</w:t>
      </w:r>
      <w:r w:rsidRPr="005D217F">
        <w:rPr>
          <w:rFonts w:cs="Calibri"/>
          <w:sz w:val="16"/>
          <w:szCs w:val="16"/>
        </w:rPr>
        <w:t>ducation, 41(1), 37-52.</w:t>
      </w:r>
      <w:r w:rsidRPr="00841EB6">
        <w:rPr>
          <w:rFonts w:cs="Calibri"/>
          <w:sz w:val="16"/>
          <w:szCs w:val="16"/>
        </w:rPr>
        <w:t xml:space="preserve"> </w:t>
      </w:r>
      <w:r w:rsidRPr="005D217F">
        <w:rPr>
          <w:rFonts w:cs="Calibri"/>
          <w:sz w:val="16"/>
          <w:szCs w:val="16"/>
        </w:rPr>
        <w:t>Gale, T., and Parker, S. (2013</w:t>
      </w:r>
      <w:r>
        <w:rPr>
          <w:rFonts w:cs="Calibri"/>
          <w:sz w:val="16"/>
          <w:szCs w:val="16"/>
        </w:rPr>
        <w:t>).</w:t>
      </w:r>
      <w:r w:rsidRPr="005D217F">
        <w:rPr>
          <w:rFonts w:cs="Calibri"/>
          <w:sz w:val="16"/>
          <w:szCs w:val="16"/>
        </w:rPr>
        <w:t xml:space="preserve"> Widening Participation in Australian Higher Education. </w:t>
      </w:r>
      <w:r>
        <w:rPr>
          <w:rFonts w:cs="Calibri"/>
          <w:sz w:val="16"/>
          <w:szCs w:val="16"/>
        </w:rPr>
        <w:t xml:space="preserve">Leicester: </w:t>
      </w:r>
      <w:r w:rsidRPr="005D217F">
        <w:rPr>
          <w:rFonts w:cs="Calibri"/>
          <w:sz w:val="16"/>
          <w:szCs w:val="16"/>
        </w:rPr>
        <w:t xml:space="preserve">CFE </w:t>
      </w:r>
      <w:r>
        <w:rPr>
          <w:rFonts w:cs="Calibri"/>
          <w:sz w:val="16"/>
          <w:szCs w:val="16"/>
        </w:rPr>
        <w:t xml:space="preserve">Consulting and </w:t>
      </w:r>
      <w:r w:rsidRPr="005D217F">
        <w:rPr>
          <w:rFonts w:cs="Calibri"/>
          <w:sz w:val="16"/>
          <w:szCs w:val="16"/>
        </w:rPr>
        <w:t>Research</w:t>
      </w:r>
      <w:r>
        <w:rPr>
          <w:rFonts w:cs="Calibri"/>
          <w:sz w:val="16"/>
          <w:szCs w:val="16"/>
        </w:rPr>
        <w:t>.</w:t>
      </w:r>
      <w:r w:rsidRPr="00366EE2">
        <w:rPr>
          <w:rFonts w:cs="Calibri"/>
          <w:sz w:val="16"/>
          <w:szCs w:val="16"/>
        </w:rPr>
        <w:t xml:space="preserve"> </w:t>
      </w:r>
    </w:p>
  </w:footnote>
  <w:footnote w:id="148">
    <w:p w14:paraId="5090B64D" w14:textId="77777777" w:rsidR="007331AF" w:rsidRPr="005D217F" w:rsidRDefault="007331AF" w:rsidP="00566137">
      <w:pPr>
        <w:pStyle w:val="FootnoteText"/>
        <w:rPr>
          <w:rFonts w:cs="Calibri"/>
          <w:sz w:val="16"/>
          <w:szCs w:val="16"/>
        </w:rPr>
      </w:pPr>
      <w:r w:rsidRPr="005D217F">
        <w:rPr>
          <w:rStyle w:val="FootnoteReference"/>
          <w:rFonts w:cs="Calibri"/>
          <w:sz w:val="16"/>
          <w:szCs w:val="16"/>
        </w:rPr>
        <w:footnoteRef/>
      </w:r>
      <w:r w:rsidRPr="005D217F">
        <w:rPr>
          <w:rFonts w:cs="Calibri"/>
          <w:sz w:val="16"/>
          <w:szCs w:val="16"/>
        </w:rPr>
        <w:t xml:space="preserve"> Sellar, S. (2013)</w:t>
      </w:r>
      <w:r>
        <w:rPr>
          <w:rFonts w:cs="Calibri"/>
          <w:sz w:val="16"/>
          <w:szCs w:val="16"/>
        </w:rPr>
        <w:t>.</w:t>
      </w:r>
      <w:r w:rsidRPr="005D217F">
        <w:rPr>
          <w:rFonts w:cs="Calibri"/>
          <w:sz w:val="16"/>
          <w:szCs w:val="16"/>
        </w:rPr>
        <w:t xml:space="preserve"> Equity, markets and the politics of aspiration in Australian higher education. Discourse, 34(2), 245-58.</w:t>
      </w:r>
    </w:p>
  </w:footnote>
  <w:footnote w:id="149">
    <w:p w14:paraId="5AAE89C1" w14:textId="77777777" w:rsidR="007331AF" w:rsidRPr="005D217F" w:rsidRDefault="007331AF" w:rsidP="00566137">
      <w:pPr>
        <w:pStyle w:val="FootnoteText"/>
        <w:rPr>
          <w:rFonts w:cs="Calibri"/>
          <w:sz w:val="16"/>
          <w:szCs w:val="16"/>
        </w:rPr>
      </w:pPr>
      <w:r w:rsidRPr="005D217F">
        <w:rPr>
          <w:rStyle w:val="FootnoteReference"/>
          <w:rFonts w:cs="Calibri"/>
          <w:sz w:val="16"/>
          <w:szCs w:val="16"/>
        </w:rPr>
        <w:footnoteRef/>
      </w:r>
      <w:r w:rsidRPr="005D217F">
        <w:rPr>
          <w:rFonts w:cs="Calibri"/>
          <w:sz w:val="16"/>
          <w:szCs w:val="16"/>
        </w:rPr>
        <w:t xml:space="preserve"> Gemici, S., Bednarz, A., Karmel, T., and Lim, P. (2014)</w:t>
      </w:r>
      <w:r>
        <w:rPr>
          <w:rFonts w:cs="Calibri"/>
          <w:sz w:val="16"/>
          <w:szCs w:val="16"/>
        </w:rPr>
        <w:t>.</w:t>
      </w:r>
      <w:r w:rsidRPr="005D217F">
        <w:rPr>
          <w:rFonts w:cs="Calibri"/>
          <w:sz w:val="16"/>
          <w:szCs w:val="16"/>
        </w:rPr>
        <w:t xml:space="preserve"> The Factors Affecting the Educational and Occupational Aspirations of Young Australians. </w:t>
      </w:r>
      <w:r>
        <w:rPr>
          <w:rFonts w:cs="Calibri"/>
          <w:sz w:val="16"/>
          <w:szCs w:val="16"/>
        </w:rPr>
        <w:t xml:space="preserve">Adelaide: </w:t>
      </w:r>
      <w:r w:rsidRPr="005D217F">
        <w:rPr>
          <w:rFonts w:cs="Calibri"/>
          <w:sz w:val="16"/>
          <w:szCs w:val="16"/>
        </w:rPr>
        <w:t>N</w:t>
      </w:r>
      <w:r>
        <w:rPr>
          <w:rFonts w:cs="Calibri"/>
          <w:sz w:val="16"/>
          <w:szCs w:val="16"/>
        </w:rPr>
        <w:t>ational Centre for Vocational Education Research.</w:t>
      </w:r>
    </w:p>
  </w:footnote>
  <w:footnote w:id="150">
    <w:p w14:paraId="74E78C86" w14:textId="77777777" w:rsidR="007331AF" w:rsidRPr="005D217F" w:rsidRDefault="007331AF" w:rsidP="00566137">
      <w:pPr>
        <w:pStyle w:val="FootnoteText"/>
        <w:rPr>
          <w:rFonts w:cs="Calibri"/>
          <w:sz w:val="16"/>
          <w:szCs w:val="16"/>
        </w:rPr>
      </w:pPr>
      <w:r w:rsidRPr="005D217F">
        <w:rPr>
          <w:rStyle w:val="FootnoteReference"/>
          <w:rFonts w:cs="Calibri"/>
          <w:sz w:val="16"/>
          <w:szCs w:val="16"/>
        </w:rPr>
        <w:footnoteRef/>
      </w:r>
      <w:r w:rsidRPr="005D217F">
        <w:rPr>
          <w:rFonts w:cs="Calibri"/>
          <w:sz w:val="16"/>
          <w:szCs w:val="16"/>
        </w:rPr>
        <w:t xml:space="preserve"> Gore, J., Holmes, K., Smith, M., Fray, L., McElduff, P., Weaver, N.,</w:t>
      </w:r>
      <w:r>
        <w:rPr>
          <w:rFonts w:cs="Calibri"/>
          <w:sz w:val="16"/>
          <w:szCs w:val="16"/>
        </w:rPr>
        <w:t xml:space="preserve"> and </w:t>
      </w:r>
      <w:r w:rsidRPr="005D217F">
        <w:rPr>
          <w:rFonts w:cs="Calibri"/>
          <w:sz w:val="16"/>
          <w:szCs w:val="16"/>
        </w:rPr>
        <w:t>Wallington, C. (2017)</w:t>
      </w:r>
      <w:r>
        <w:rPr>
          <w:rFonts w:cs="Calibri"/>
          <w:sz w:val="16"/>
          <w:szCs w:val="16"/>
        </w:rPr>
        <w:t>.</w:t>
      </w:r>
      <w:r w:rsidRPr="005D217F">
        <w:rPr>
          <w:rFonts w:cs="Calibri"/>
          <w:sz w:val="16"/>
          <w:szCs w:val="16"/>
        </w:rPr>
        <w:t xml:space="preserve"> Unpacking the career aspirations of Australian school students: towards an evidence base for university equity initiatives in schools. Higher Education Research</w:t>
      </w:r>
      <w:r>
        <w:rPr>
          <w:rFonts w:cs="Calibri"/>
          <w:sz w:val="16"/>
          <w:szCs w:val="16"/>
        </w:rPr>
        <w:t xml:space="preserve"> and </w:t>
      </w:r>
      <w:r w:rsidRPr="005D217F">
        <w:rPr>
          <w:rFonts w:cs="Calibri"/>
          <w:sz w:val="16"/>
          <w:szCs w:val="16"/>
        </w:rPr>
        <w:t>Development, 36(7), 1383-1400.</w:t>
      </w:r>
    </w:p>
  </w:footnote>
  <w:footnote w:id="151">
    <w:p w14:paraId="7206E198" w14:textId="77777777" w:rsidR="007331AF" w:rsidRPr="005D217F" w:rsidRDefault="007331AF" w:rsidP="00566137">
      <w:pPr>
        <w:pStyle w:val="FootnoteText"/>
        <w:rPr>
          <w:rFonts w:cs="Calibri"/>
          <w:sz w:val="16"/>
          <w:szCs w:val="16"/>
        </w:rPr>
      </w:pPr>
      <w:r w:rsidRPr="005D217F">
        <w:rPr>
          <w:rStyle w:val="FootnoteReference"/>
          <w:rFonts w:cs="Calibri"/>
          <w:sz w:val="16"/>
          <w:szCs w:val="16"/>
        </w:rPr>
        <w:footnoteRef/>
      </w:r>
      <w:r w:rsidRPr="005D217F">
        <w:rPr>
          <w:rFonts w:cs="Calibri"/>
          <w:sz w:val="16"/>
          <w:szCs w:val="16"/>
        </w:rPr>
        <w:t xml:space="preserve"> Archer, L., DeWitt, J.,</w:t>
      </w:r>
      <w:r>
        <w:rPr>
          <w:rFonts w:cs="Calibri"/>
          <w:sz w:val="16"/>
          <w:szCs w:val="16"/>
        </w:rPr>
        <w:t xml:space="preserve"> and </w:t>
      </w:r>
      <w:r w:rsidRPr="005D217F">
        <w:rPr>
          <w:rFonts w:cs="Calibri"/>
          <w:sz w:val="16"/>
          <w:szCs w:val="16"/>
        </w:rPr>
        <w:t>Wong, B. (2013)</w:t>
      </w:r>
      <w:r>
        <w:rPr>
          <w:rFonts w:cs="Calibri"/>
          <w:sz w:val="16"/>
          <w:szCs w:val="16"/>
        </w:rPr>
        <w:t>.</w:t>
      </w:r>
      <w:r w:rsidRPr="005D217F">
        <w:rPr>
          <w:rFonts w:cs="Calibri"/>
          <w:sz w:val="16"/>
          <w:szCs w:val="16"/>
        </w:rPr>
        <w:t xml:space="preserve"> Spheres of influence: What shapes young people’s aspirations at age 12/13 and what are the implications for education policy? Journal of Education Policy, 29, 58–85.</w:t>
      </w:r>
    </w:p>
  </w:footnote>
  <w:footnote w:id="152">
    <w:p w14:paraId="0D097A3C" w14:textId="77777777" w:rsidR="007331AF" w:rsidRPr="005D217F" w:rsidRDefault="007331AF" w:rsidP="00566137">
      <w:pPr>
        <w:pStyle w:val="FootnoteText"/>
        <w:rPr>
          <w:rFonts w:cs="Calibri"/>
          <w:sz w:val="16"/>
          <w:szCs w:val="16"/>
        </w:rPr>
      </w:pPr>
      <w:r w:rsidRPr="005D217F">
        <w:rPr>
          <w:rStyle w:val="FootnoteReference"/>
          <w:rFonts w:cs="Calibri"/>
          <w:sz w:val="16"/>
          <w:szCs w:val="16"/>
        </w:rPr>
        <w:footnoteRef/>
      </w:r>
      <w:r w:rsidRPr="005D217F">
        <w:rPr>
          <w:rFonts w:cs="Calibri"/>
          <w:sz w:val="16"/>
          <w:szCs w:val="16"/>
        </w:rPr>
        <w:t xml:space="preserve"> Gemici, S., Bednarz, A., Karmel, T., and Lim, P. (2014)</w:t>
      </w:r>
      <w:r>
        <w:rPr>
          <w:rFonts w:cs="Calibri"/>
          <w:sz w:val="16"/>
          <w:szCs w:val="16"/>
        </w:rPr>
        <w:t>.</w:t>
      </w:r>
      <w:r w:rsidRPr="005D217F">
        <w:rPr>
          <w:rFonts w:cs="Calibri"/>
          <w:sz w:val="16"/>
          <w:szCs w:val="16"/>
        </w:rPr>
        <w:t xml:space="preserve"> The Factors Affecting the Educational and Occupational Aspirations of Young Australians.  </w:t>
      </w:r>
      <w:r>
        <w:rPr>
          <w:rFonts w:cs="Calibri"/>
          <w:sz w:val="16"/>
          <w:szCs w:val="16"/>
        </w:rPr>
        <w:t xml:space="preserve">Adelaide: </w:t>
      </w:r>
      <w:r w:rsidRPr="005D217F">
        <w:rPr>
          <w:rFonts w:cs="Calibri"/>
          <w:sz w:val="16"/>
          <w:szCs w:val="16"/>
        </w:rPr>
        <w:t>N</w:t>
      </w:r>
      <w:r>
        <w:rPr>
          <w:rFonts w:cs="Calibri"/>
          <w:sz w:val="16"/>
          <w:szCs w:val="16"/>
        </w:rPr>
        <w:t xml:space="preserve">ational Centre for Vocational Education Research.  </w:t>
      </w:r>
    </w:p>
  </w:footnote>
  <w:footnote w:id="153">
    <w:p w14:paraId="3FA30692" w14:textId="77777777" w:rsidR="007331AF" w:rsidRPr="005D217F" w:rsidRDefault="007331AF" w:rsidP="00566137">
      <w:pPr>
        <w:pStyle w:val="FootnoteText"/>
        <w:rPr>
          <w:rFonts w:cs="Calibri"/>
          <w:sz w:val="16"/>
          <w:szCs w:val="16"/>
        </w:rPr>
      </w:pPr>
      <w:r w:rsidRPr="005D217F">
        <w:rPr>
          <w:rStyle w:val="FootnoteReference"/>
          <w:rFonts w:cs="Calibri"/>
          <w:sz w:val="16"/>
          <w:szCs w:val="16"/>
        </w:rPr>
        <w:footnoteRef/>
      </w:r>
      <w:r w:rsidRPr="005D217F">
        <w:rPr>
          <w:rFonts w:cs="Calibri"/>
          <w:sz w:val="16"/>
          <w:szCs w:val="16"/>
        </w:rPr>
        <w:t xml:space="preserve"> James, R., Wyn, J., Baldwin, G., Hepworth, G., McInnis, C.,</w:t>
      </w:r>
      <w:r>
        <w:rPr>
          <w:rFonts w:cs="Calibri"/>
          <w:sz w:val="16"/>
          <w:szCs w:val="16"/>
        </w:rPr>
        <w:t xml:space="preserve"> and </w:t>
      </w:r>
      <w:r w:rsidRPr="005D217F">
        <w:rPr>
          <w:rFonts w:cs="Calibri"/>
          <w:sz w:val="16"/>
          <w:szCs w:val="16"/>
        </w:rPr>
        <w:t>Stephanou, A. (1999)</w:t>
      </w:r>
      <w:r>
        <w:rPr>
          <w:rFonts w:cs="Calibri"/>
          <w:sz w:val="16"/>
          <w:szCs w:val="16"/>
        </w:rPr>
        <w:t>.</w:t>
      </w:r>
      <w:r w:rsidRPr="005D217F">
        <w:rPr>
          <w:rFonts w:cs="Calibri"/>
          <w:sz w:val="16"/>
          <w:szCs w:val="16"/>
        </w:rPr>
        <w:t xml:space="preserve"> Rural and Isolated School Students and Their Higher Education Choices: A Re-Examination of Student Location, Socioeconomic Background, and Educational Advantage and Disadvantage. Commissioned Report. </w:t>
      </w:r>
      <w:r>
        <w:rPr>
          <w:rFonts w:cs="Calibri"/>
          <w:sz w:val="16"/>
          <w:szCs w:val="16"/>
        </w:rPr>
        <w:t xml:space="preserve">Canberra: </w:t>
      </w:r>
      <w:r w:rsidRPr="00C27829">
        <w:rPr>
          <w:rFonts w:cs="Calibri"/>
          <w:sz w:val="16"/>
          <w:szCs w:val="16"/>
        </w:rPr>
        <w:t xml:space="preserve">Department of Education, Training and Youth Affairs. </w:t>
      </w:r>
      <w:r w:rsidRPr="005D217F">
        <w:rPr>
          <w:rFonts w:cs="Calibri"/>
          <w:sz w:val="16"/>
          <w:szCs w:val="16"/>
        </w:rPr>
        <w:t>Bradley, D., Noonan, P., Nugent, H., and Scales, B. (2008)</w:t>
      </w:r>
      <w:r>
        <w:rPr>
          <w:rFonts w:cs="Calibri"/>
          <w:sz w:val="16"/>
          <w:szCs w:val="16"/>
        </w:rPr>
        <w:t>.</w:t>
      </w:r>
      <w:r w:rsidRPr="005D217F">
        <w:rPr>
          <w:rFonts w:cs="Calibri"/>
          <w:sz w:val="16"/>
          <w:szCs w:val="16"/>
        </w:rPr>
        <w:t xml:space="preserve"> Review of Australian Higher Education: Final Report. </w:t>
      </w:r>
      <w:r>
        <w:rPr>
          <w:rFonts w:cs="Calibri"/>
          <w:sz w:val="16"/>
          <w:szCs w:val="16"/>
        </w:rPr>
        <w:t xml:space="preserve">Canberra: </w:t>
      </w:r>
      <w:r w:rsidRPr="005D217F">
        <w:rPr>
          <w:rFonts w:cs="Calibri"/>
          <w:sz w:val="16"/>
          <w:szCs w:val="16"/>
        </w:rPr>
        <w:t>Commonwealth of Australia.</w:t>
      </w:r>
      <w:r>
        <w:rPr>
          <w:rFonts w:cs="Calibri"/>
          <w:sz w:val="16"/>
          <w:szCs w:val="16"/>
        </w:rPr>
        <w:t xml:space="preserve"> </w:t>
      </w:r>
    </w:p>
  </w:footnote>
  <w:footnote w:id="154">
    <w:p w14:paraId="6C3FE069" w14:textId="77777777" w:rsidR="007331AF" w:rsidRPr="005D217F" w:rsidRDefault="007331AF" w:rsidP="00566137">
      <w:pPr>
        <w:pStyle w:val="FootnoteText"/>
        <w:rPr>
          <w:rFonts w:cs="Calibri"/>
          <w:sz w:val="16"/>
          <w:szCs w:val="16"/>
        </w:rPr>
      </w:pPr>
      <w:r w:rsidRPr="005D217F">
        <w:rPr>
          <w:rStyle w:val="FootnoteReference"/>
          <w:rFonts w:cs="Calibri"/>
          <w:sz w:val="16"/>
          <w:szCs w:val="16"/>
        </w:rPr>
        <w:footnoteRef/>
      </w:r>
      <w:r w:rsidRPr="005D217F">
        <w:rPr>
          <w:rFonts w:cs="Calibri"/>
          <w:sz w:val="16"/>
          <w:szCs w:val="16"/>
        </w:rPr>
        <w:t xml:space="preserve"> Savickas, M.L. (2002). Career construction: A developmental theory of vocational behavior. In D. Brown (Eds.), Career </w:t>
      </w:r>
      <w:r>
        <w:rPr>
          <w:rFonts w:cs="Calibri"/>
          <w:sz w:val="16"/>
          <w:szCs w:val="16"/>
        </w:rPr>
        <w:t>C</w:t>
      </w:r>
      <w:r w:rsidRPr="005D217F">
        <w:rPr>
          <w:rFonts w:cs="Calibri"/>
          <w:sz w:val="16"/>
          <w:szCs w:val="16"/>
        </w:rPr>
        <w:t xml:space="preserve">hoice and </w:t>
      </w:r>
      <w:r>
        <w:rPr>
          <w:rFonts w:cs="Calibri"/>
          <w:sz w:val="16"/>
          <w:szCs w:val="16"/>
        </w:rPr>
        <w:t>D</w:t>
      </w:r>
      <w:r w:rsidRPr="005D217F">
        <w:rPr>
          <w:rFonts w:cs="Calibri"/>
          <w:sz w:val="16"/>
          <w:szCs w:val="16"/>
        </w:rPr>
        <w:t xml:space="preserve">evelopment (pp. 149–205) (4th ed.). </w:t>
      </w:r>
      <w:r>
        <w:rPr>
          <w:rFonts w:cs="Calibri"/>
          <w:sz w:val="16"/>
          <w:szCs w:val="16"/>
        </w:rPr>
        <w:t xml:space="preserve">San Francisco: </w:t>
      </w:r>
      <w:r w:rsidRPr="005D217F">
        <w:rPr>
          <w:rFonts w:cs="Calibri"/>
          <w:sz w:val="16"/>
          <w:szCs w:val="16"/>
        </w:rPr>
        <w:t>Jossey-Bass.</w:t>
      </w:r>
      <w:r w:rsidRPr="00841EB6">
        <w:rPr>
          <w:rFonts w:cs="Calibri"/>
          <w:sz w:val="16"/>
          <w:szCs w:val="16"/>
        </w:rPr>
        <w:t xml:space="preserve"> </w:t>
      </w:r>
      <w:r w:rsidRPr="00C27829">
        <w:rPr>
          <w:rFonts w:cs="Calibri"/>
          <w:sz w:val="16"/>
          <w:szCs w:val="16"/>
        </w:rPr>
        <w:t>Savickas, M. L., Porfeli, E. J., Hilton, T. L., &amp; Savickas, S. (2018) The student career construction inventory. Journal of Vocational Behavior, 106, 138-152.</w:t>
      </w:r>
    </w:p>
  </w:footnote>
  <w:footnote w:id="155">
    <w:p w14:paraId="69910006" w14:textId="77777777" w:rsidR="007331AF" w:rsidRPr="005D217F" w:rsidRDefault="007331AF" w:rsidP="00566137">
      <w:pPr>
        <w:pStyle w:val="FootnoteText"/>
        <w:rPr>
          <w:rFonts w:cs="Calibri"/>
          <w:sz w:val="16"/>
          <w:szCs w:val="16"/>
        </w:rPr>
      </w:pPr>
      <w:r w:rsidRPr="005D217F">
        <w:rPr>
          <w:rStyle w:val="FootnoteReference"/>
          <w:rFonts w:cs="Calibri"/>
          <w:sz w:val="16"/>
          <w:szCs w:val="16"/>
        </w:rPr>
        <w:footnoteRef/>
      </w:r>
      <w:r w:rsidRPr="005D217F">
        <w:rPr>
          <w:rFonts w:cs="Calibri"/>
          <w:sz w:val="16"/>
          <w:szCs w:val="16"/>
        </w:rPr>
        <w:t xml:space="preserve"> </w:t>
      </w:r>
      <w:r w:rsidRPr="005F246E">
        <w:rPr>
          <w:rFonts w:cs="Calibri"/>
          <w:sz w:val="16"/>
          <w:szCs w:val="16"/>
        </w:rPr>
        <w:t>Gottfredson, L.S. (1981). Circumscription and compromise: A developmental theory of occupational aspirations. </w:t>
      </w:r>
      <w:r w:rsidRPr="005F246E">
        <w:rPr>
          <w:rFonts w:cs="Calibri"/>
          <w:bCs/>
          <w:iCs/>
          <w:sz w:val="16"/>
          <w:szCs w:val="16"/>
        </w:rPr>
        <w:t>Journal of Counseling Psychology, 28</w:t>
      </w:r>
      <w:r w:rsidRPr="005F246E">
        <w:rPr>
          <w:rFonts w:cs="Calibri"/>
          <w:sz w:val="16"/>
          <w:szCs w:val="16"/>
        </w:rPr>
        <w:t>(6), 545-579.</w:t>
      </w:r>
    </w:p>
  </w:footnote>
  <w:footnote w:id="156">
    <w:p w14:paraId="7ABAC4F6" w14:textId="77777777" w:rsidR="007331AF" w:rsidRPr="005D217F" w:rsidRDefault="007331AF" w:rsidP="00566137">
      <w:pPr>
        <w:pStyle w:val="FootnoteText"/>
        <w:rPr>
          <w:rFonts w:cs="Calibri"/>
          <w:sz w:val="16"/>
          <w:szCs w:val="16"/>
        </w:rPr>
      </w:pPr>
      <w:r w:rsidRPr="005D217F">
        <w:rPr>
          <w:rStyle w:val="FootnoteReference"/>
          <w:rFonts w:cs="Calibri"/>
          <w:sz w:val="16"/>
          <w:szCs w:val="16"/>
        </w:rPr>
        <w:footnoteRef/>
      </w:r>
      <w:r w:rsidRPr="005D217F">
        <w:rPr>
          <w:rFonts w:cs="Calibri"/>
          <w:sz w:val="16"/>
          <w:szCs w:val="16"/>
        </w:rPr>
        <w:t xml:space="preserve"> Gottfredson, L.S., (2002). Gottfredson’s theory of circumscription, compromise, and self-creation. Career </w:t>
      </w:r>
      <w:r>
        <w:rPr>
          <w:rFonts w:cs="Calibri"/>
          <w:sz w:val="16"/>
          <w:szCs w:val="16"/>
        </w:rPr>
        <w:t>C</w:t>
      </w:r>
      <w:r w:rsidRPr="005D217F">
        <w:rPr>
          <w:rFonts w:cs="Calibri"/>
          <w:sz w:val="16"/>
          <w:szCs w:val="16"/>
        </w:rPr>
        <w:t xml:space="preserve">hoice and </w:t>
      </w:r>
      <w:r>
        <w:rPr>
          <w:rFonts w:cs="Calibri"/>
          <w:sz w:val="16"/>
          <w:szCs w:val="16"/>
        </w:rPr>
        <w:t>D</w:t>
      </w:r>
      <w:r w:rsidRPr="005D217F">
        <w:rPr>
          <w:rFonts w:cs="Calibri"/>
          <w:sz w:val="16"/>
          <w:szCs w:val="16"/>
        </w:rPr>
        <w:t>evelopment, 4, 85-148.</w:t>
      </w:r>
    </w:p>
  </w:footnote>
  <w:footnote w:id="157">
    <w:p w14:paraId="6A2308F3" w14:textId="77777777" w:rsidR="007331AF" w:rsidRPr="005D217F" w:rsidRDefault="007331AF" w:rsidP="00566137">
      <w:pPr>
        <w:pStyle w:val="FootnoteText"/>
        <w:rPr>
          <w:sz w:val="16"/>
          <w:szCs w:val="16"/>
        </w:rPr>
      </w:pPr>
      <w:r w:rsidRPr="005D217F">
        <w:rPr>
          <w:rStyle w:val="FootnoteReference"/>
          <w:sz w:val="16"/>
          <w:szCs w:val="16"/>
        </w:rPr>
        <w:footnoteRef/>
      </w:r>
      <w:r w:rsidRPr="005D217F">
        <w:rPr>
          <w:sz w:val="16"/>
          <w:szCs w:val="16"/>
        </w:rPr>
        <w:t xml:space="preserve"> Zacharias, N., Mitchell, G., Raciti, M., Koshy, P., Li, I., Costello, D.,</w:t>
      </w:r>
      <w:r>
        <w:rPr>
          <w:sz w:val="16"/>
          <w:szCs w:val="16"/>
        </w:rPr>
        <w:t xml:space="preserve"> and </w:t>
      </w:r>
      <w:r w:rsidRPr="005D217F">
        <w:rPr>
          <w:sz w:val="16"/>
          <w:szCs w:val="16"/>
        </w:rPr>
        <w:t xml:space="preserve">Trinidad, S. (2018). Widening Regional and Remote Participation: Interrogating the </w:t>
      </w:r>
      <w:r>
        <w:rPr>
          <w:sz w:val="16"/>
          <w:szCs w:val="16"/>
        </w:rPr>
        <w:t>I</w:t>
      </w:r>
      <w:r w:rsidRPr="005D217F">
        <w:rPr>
          <w:sz w:val="16"/>
          <w:szCs w:val="16"/>
        </w:rPr>
        <w:t xml:space="preserve">mpact of </w:t>
      </w:r>
      <w:r>
        <w:rPr>
          <w:sz w:val="16"/>
          <w:szCs w:val="16"/>
        </w:rPr>
        <w:t>O</w:t>
      </w:r>
      <w:r w:rsidRPr="005D217F">
        <w:rPr>
          <w:sz w:val="16"/>
          <w:szCs w:val="16"/>
        </w:rPr>
        <w:t xml:space="preserve">utreach </w:t>
      </w:r>
      <w:r>
        <w:rPr>
          <w:sz w:val="16"/>
          <w:szCs w:val="16"/>
        </w:rPr>
        <w:t>P</w:t>
      </w:r>
      <w:r w:rsidRPr="005D217F">
        <w:rPr>
          <w:sz w:val="16"/>
          <w:szCs w:val="16"/>
        </w:rPr>
        <w:t xml:space="preserve">rograms </w:t>
      </w:r>
      <w:r>
        <w:rPr>
          <w:sz w:val="16"/>
          <w:szCs w:val="16"/>
        </w:rPr>
        <w:t>A</w:t>
      </w:r>
      <w:r w:rsidRPr="005D217F">
        <w:rPr>
          <w:sz w:val="16"/>
          <w:szCs w:val="16"/>
        </w:rPr>
        <w:t>cross Queensland. National Centre for Student Equity in Higher Education.</w:t>
      </w:r>
      <w:r>
        <w:rPr>
          <w:sz w:val="16"/>
          <w:szCs w:val="16"/>
        </w:rPr>
        <w:t xml:space="preserve"> Perth: Curtin University.</w:t>
      </w:r>
    </w:p>
  </w:footnote>
  <w:footnote w:id="158">
    <w:p w14:paraId="5D1B4E95" w14:textId="77777777" w:rsidR="007331AF" w:rsidRDefault="007331AF" w:rsidP="00566137">
      <w:pPr>
        <w:pStyle w:val="FootnoteText"/>
      </w:pPr>
      <w:r w:rsidRPr="005D217F">
        <w:rPr>
          <w:rStyle w:val="FootnoteReference"/>
          <w:sz w:val="16"/>
          <w:szCs w:val="16"/>
        </w:rPr>
        <w:footnoteRef/>
      </w:r>
      <w:r w:rsidRPr="005D217F">
        <w:rPr>
          <w:sz w:val="16"/>
          <w:szCs w:val="16"/>
        </w:rPr>
        <w:t xml:space="preserve"> Vernon, L., Watson, S. J.,</w:t>
      </w:r>
      <w:r>
        <w:rPr>
          <w:sz w:val="16"/>
          <w:szCs w:val="16"/>
        </w:rPr>
        <w:t xml:space="preserve"> and </w:t>
      </w:r>
      <w:r w:rsidRPr="005D217F">
        <w:rPr>
          <w:sz w:val="16"/>
          <w:szCs w:val="16"/>
        </w:rPr>
        <w:t>Taggart, A. (2018). University aspirational pathways for metropolitan and regional students: Implications for supporting school-university outreach partnerships. Australian and International Journal of Rural Education, 28(1)</w:t>
      </w:r>
      <w:r>
        <w:rPr>
          <w:sz w:val="16"/>
          <w:szCs w:val="16"/>
        </w:rPr>
        <w:t>, 87-103</w:t>
      </w:r>
      <w:r w:rsidRPr="005D217F">
        <w:rPr>
          <w:sz w:val="16"/>
          <w:szCs w:val="16"/>
        </w:rPr>
        <w:t>.</w:t>
      </w:r>
    </w:p>
  </w:footnote>
  <w:footnote w:id="159">
    <w:p w14:paraId="7BA29114" w14:textId="77777777"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w:t>
      </w:r>
      <w:r>
        <w:rPr>
          <w:rFonts w:cstheme="minorHAnsi"/>
          <w:sz w:val="16"/>
          <w:szCs w:val="16"/>
        </w:rPr>
        <w:t xml:space="preserve">For example: </w:t>
      </w:r>
      <w:r w:rsidRPr="00304E3B">
        <w:rPr>
          <w:rFonts w:cstheme="minorHAnsi"/>
          <w:sz w:val="16"/>
          <w:szCs w:val="16"/>
        </w:rPr>
        <w:t>Quin, R., Stone, C.,</w:t>
      </w:r>
      <w:r>
        <w:rPr>
          <w:rFonts w:cstheme="minorHAnsi"/>
          <w:sz w:val="16"/>
          <w:szCs w:val="16"/>
        </w:rPr>
        <w:t xml:space="preserve"> and </w:t>
      </w:r>
      <w:r w:rsidRPr="00304E3B">
        <w:rPr>
          <w:rFonts w:cstheme="minorHAnsi"/>
          <w:sz w:val="16"/>
          <w:szCs w:val="16"/>
        </w:rPr>
        <w:t>Trinidad, S. (2017). Low Rates of Transition to University for High Achieving Students in Regional NSW. Report for NSW Department of Education. National Centre for Student Equity in Higher Education</w:t>
      </w:r>
      <w:r>
        <w:rPr>
          <w:rFonts w:cstheme="minorHAnsi"/>
          <w:sz w:val="16"/>
          <w:szCs w:val="16"/>
        </w:rPr>
        <w:t>.</w:t>
      </w:r>
      <w:r w:rsidRPr="00304E3B">
        <w:rPr>
          <w:rFonts w:cstheme="minorHAnsi"/>
          <w:sz w:val="16"/>
          <w:szCs w:val="16"/>
        </w:rPr>
        <w:t xml:space="preserve"> </w:t>
      </w:r>
      <w:r>
        <w:rPr>
          <w:rFonts w:cstheme="minorHAnsi"/>
          <w:sz w:val="16"/>
          <w:szCs w:val="16"/>
        </w:rPr>
        <w:t>Perth: Curtin University.</w:t>
      </w:r>
      <w:r w:rsidRPr="00304E3B">
        <w:rPr>
          <w:rFonts w:cstheme="minorHAnsi"/>
          <w:sz w:val="16"/>
          <w:szCs w:val="16"/>
        </w:rPr>
        <w:t xml:space="preserve"> Zacharias, N., Mitchell, G., Raciti, M., Koshy, P., Li, I., Costello, D.,</w:t>
      </w:r>
      <w:r>
        <w:rPr>
          <w:rFonts w:cstheme="minorHAnsi"/>
          <w:sz w:val="16"/>
          <w:szCs w:val="16"/>
        </w:rPr>
        <w:t xml:space="preserve"> and </w:t>
      </w:r>
      <w:r w:rsidRPr="00304E3B">
        <w:rPr>
          <w:rFonts w:cstheme="minorHAnsi"/>
          <w:sz w:val="16"/>
          <w:szCs w:val="16"/>
        </w:rPr>
        <w:t xml:space="preserve">Trinidad, S. (2018). Widening Regional and Remote Participation: Interrogating the </w:t>
      </w:r>
      <w:r>
        <w:rPr>
          <w:rFonts w:cstheme="minorHAnsi"/>
          <w:sz w:val="16"/>
          <w:szCs w:val="16"/>
        </w:rPr>
        <w:t>I</w:t>
      </w:r>
      <w:r w:rsidRPr="00304E3B">
        <w:rPr>
          <w:rFonts w:cstheme="minorHAnsi"/>
          <w:sz w:val="16"/>
          <w:szCs w:val="16"/>
        </w:rPr>
        <w:t xml:space="preserve">mpact of </w:t>
      </w:r>
      <w:r>
        <w:rPr>
          <w:rFonts w:cstheme="minorHAnsi"/>
          <w:sz w:val="16"/>
          <w:szCs w:val="16"/>
        </w:rPr>
        <w:t>O</w:t>
      </w:r>
      <w:r w:rsidRPr="00304E3B">
        <w:rPr>
          <w:rFonts w:cstheme="minorHAnsi"/>
          <w:sz w:val="16"/>
          <w:szCs w:val="16"/>
        </w:rPr>
        <w:t xml:space="preserve">utreach </w:t>
      </w:r>
      <w:r>
        <w:rPr>
          <w:rFonts w:cstheme="minorHAnsi"/>
          <w:sz w:val="16"/>
          <w:szCs w:val="16"/>
        </w:rPr>
        <w:t>P</w:t>
      </w:r>
      <w:r w:rsidRPr="00304E3B">
        <w:rPr>
          <w:rFonts w:cstheme="minorHAnsi"/>
          <w:sz w:val="16"/>
          <w:szCs w:val="16"/>
        </w:rPr>
        <w:t xml:space="preserve">rograms </w:t>
      </w:r>
      <w:r>
        <w:rPr>
          <w:rFonts w:cstheme="minorHAnsi"/>
          <w:sz w:val="16"/>
          <w:szCs w:val="16"/>
        </w:rPr>
        <w:t>A</w:t>
      </w:r>
      <w:r w:rsidRPr="00304E3B">
        <w:rPr>
          <w:rFonts w:cstheme="minorHAnsi"/>
          <w:sz w:val="16"/>
          <w:szCs w:val="16"/>
        </w:rPr>
        <w:t>cross Queensland. National Centre for Student Equity in Higher Education</w:t>
      </w:r>
      <w:r>
        <w:rPr>
          <w:rFonts w:cstheme="minorHAnsi"/>
          <w:sz w:val="16"/>
          <w:szCs w:val="16"/>
        </w:rPr>
        <w:t>. Perth: Curtin University.</w:t>
      </w:r>
      <w:r w:rsidRPr="00304E3B">
        <w:rPr>
          <w:rFonts w:cstheme="minorHAnsi"/>
          <w:sz w:val="16"/>
          <w:szCs w:val="16"/>
        </w:rPr>
        <w:t xml:space="preserve"> Koshy, P., Dockery, A.M.,</w:t>
      </w:r>
      <w:r>
        <w:rPr>
          <w:rFonts w:cstheme="minorHAnsi"/>
          <w:sz w:val="16"/>
          <w:szCs w:val="16"/>
        </w:rPr>
        <w:t xml:space="preserve"> and </w:t>
      </w:r>
      <w:r w:rsidRPr="00304E3B">
        <w:rPr>
          <w:rFonts w:cstheme="minorHAnsi"/>
          <w:sz w:val="16"/>
          <w:szCs w:val="16"/>
        </w:rPr>
        <w:t>Seymour, R. (2019). Parental expectations for young people’s participation in higher education in Australia. Studies in Higher Education, 44(2), 302-317</w:t>
      </w:r>
      <w:r>
        <w:rPr>
          <w:rFonts w:cstheme="minorHAnsi"/>
          <w:sz w:val="16"/>
          <w:szCs w:val="16"/>
        </w:rPr>
        <w:t>.</w:t>
      </w:r>
      <w:r w:rsidRPr="00304E3B">
        <w:rPr>
          <w:rFonts w:cstheme="minorHAnsi"/>
          <w:sz w:val="16"/>
          <w:szCs w:val="16"/>
        </w:rPr>
        <w:t xml:space="preserve"> </w:t>
      </w:r>
    </w:p>
  </w:footnote>
  <w:footnote w:id="160">
    <w:p w14:paraId="26A49C23" w14:textId="77777777" w:rsidR="007331AF" w:rsidRPr="00304E3B" w:rsidRDefault="007331AF" w:rsidP="00566137">
      <w:pPr>
        <w:pStyle w:val="FootnoteText"/>
        <w:rPr>
          <w:rFonts w:cs="Calibri"/>
          <w:sz w:val="16"/>
          <w:szCs w:val="16"/>
        </w:rPr>
      </w:pPr>
      <w:r w:rsidRPr="00304E3B">
        <w:rPr>
          <w:rStyle w:val="FootnoteReference"/>
          <w:rFonts w:cs="Calibri"/>
          <w:sz w:val="16"/>
          <w:szCs w:val="16"/>
        </w:rPr>
        <w:footnoteRef/>
      </w:r>
      <w:r w:rsidRPr="00304E3B">
        <w:rPr>
          <w:rFonts w:cs="Calibri"/>
          <w:sz w:val="16"/>
          <w:szCs w:val="16"/>
        </w:rPr>
        <w:t xml:space="preserve"> Quin, R., Stone, C.,</w:t>
      </w:r>
      <w:r>
        <w:rPr>
          <w:rFonts w:cs="Calibri"/>
          <w:sz w:val="16"/>
          <w:szCs w:val="16"/>
        </w:rPr>
        <w:t xml:space="preserve"> and </w:t>
      </w:r>
      <w:r w:rsidRPr="00304E3B">
        <w:rPr>
          <w:rFonts w:cs="Calibri"/>
          <w:sz w:val="16"/>
          <w:szCs w:val="16"/>
        </w:rPr>
        <w:t>Trinidad, S. (2017). Low Rates of Transition to University for High Achieving Students in Regional NSW. Report for NSW Department of Education. National Centre for Student Equity in Higher Education</w:t>
      </w:r>
      <w:r>
        <w:rPr>
          <w:rFonts w:cs="Calibri"/>
          <w:sz w:val="16"/>
          <w:szCs w:val="16"/>
        </w:rPr>
        <w:t>.</w:t>
      </w:r>
      <w:r w:rsidRPr="00304E3B">
        <w:rPr>
          <w:rFonts w:cs="Calibri"/>
          <w:sz w:val="16"/>
          <w:szCs w:val="16"/>
        </w:rPr>
        <w:t xml:space="preserve"> </w:t>
      </w:r>
      <w:r>
        <w:rPr>
          <w:rFonts w:cs="Calibri"/>
          <w:sz w:val="16"/>
          <w:szCs w:val="16"/>
        </w:rPr>
        <w:t>Perth: Curtin University.</w:t>
      </w:r>
    </w:p>
  </w:footnote>
  <w:footnote w:id="161">
    <w:p w14:paraId="1406A589" w14:textId="77777777" w:rsidR="007331AF" w:rsidRPr="00FB0926" w:rsidRDefault="007331AF" w:rsidP="00566137">
      <w:pPr>
        <w:pStyle w:val="FootnoteText"/>
        <w:rPr>
          <w:rFonts w:cs="Calibri"/>
          <w:sz w:val="16"/>
          <w:szCs w:val="16"/>
        </w:rPr>
      </w:pPr>
      <w:r w:rsidRPr="00304E3B">
        <w:rPr>
          <w:rStyle w:val="FootnoteReference"/>
          <w:rFonts w:cs="Calibri"/>
          <w:sz w:val="16"/>
          <w:szCs w:val="16"/>
        </w:rPr>
        <w:footnoteRef/>
      </w:r>
      <w:r>
        <w:rPr>
          <w:rFonts w:cs="Calibri"/>
          <w:sz w:val="16"/>
          <w:szCs w:val="16"/>
        </w:rPr>
        <w:t xml:space="preserve"> For example: </w:t>
      </w:r>
      <w:r w:rsidRPr="00304E3B">
        <w:rPr>
          <w:rFonts w:cs="Calibri"/>
          <w:sz w:val="16"/>
          <w:szCs w:val="16"/>
        </w:rPr>
        <w:t>Alloway, N.,</w:t>
      </w:r>
      <w:r>
        <w:rPr>
          <w:rFonts w:cs="Calibri"/>
          <w:sz w:val="16"/>
          <w:szCs w:val="16"/>
        </w:rPr>
        <w:t xml:space="preserve"> and </w:t>
      </w:r>
      <w:r w:rsidRPr="00304E3B">
        <w:rPr>
          <w:rFonts w:cs="Calibri"/>
          <w:sz w:val="16"/>
          <w:szCs w:val="16"/>
        </w:rPr>
        <w:t xml:space="preserve">Dalley-Trim, L. (2009). ‘High and dry’ in rural Australia: Obstacles to student aspirations and expectations. Rural Society, 19(1), 49–59. </w:t>
      </w:r>
      <w:r w:rsidRPr="00026D10">
        <w:rPr>
          <w:rFonts w:cs="Calibri"/>
          <w:sz w:val="16"/>
          <w:szCs w:val="16"/>
        </w:rPr>
        <w:t>Cardak, B., Brett, M., Barry, P., McAllister, R., Bowden, M., Bahtsevanoglou, J., and Vecci, J. (2017). Regional Student Participation and Migration: Analysis of Factors Influencing Regional Student Participation and Internal Migration in Australian Higher Education.</w:t>
      </w:r>
      <w:r w:rsidRPr="00026D10">
        <w:rPr>
          <w:rFonts w:cs="Calibri"/>
          <w:sz w:val="16"/>
          <w:szCs w:val="16"/>
          <w:lang w:val="de-DE"/>
        </w:rPr>
        <w:t xml:space="preserve"> National</w:t>
      </w:r>
      <w:r>
        <w:rPr>
          <w:rFonts w:cs="Calibri"/>
          <w:sz w:val="16"/>
          <w:szCs w:val="16"/>
          <w:lang w:val="de-DE"/>
        </w:rPr>
        <w:t xml:space="preserve"> Centre for Student Equity in Higher Education, Perth: Curtin University. </w:t>
      </w:r>
      <w:r w:rsidRPr="00FB0926">
        <w:rPr>
          <w:sz w:val="16"/>
          <w:szCs w:val="16"/>
        </w:rPr>
        <w:t>Joyce</w:t>
      </w:r>
      <w:r>
        <w:rPr>
          <w:sz w:val="16"/>
          <w:szCs w:val="16"/>
        </w:rPr>
        <w:t>, S.</w:t>
      </w:r>
      <w:r w:rsidRPr="00FB0926">
        <w:rPr>
          <w:sz w:val="16"/>
          <w:szCs w:val="16"/>
        </w:rPr>
        <w:t xml:space="preserve"> (2019)</w:t>
      </w:r>
      <w:r>
        <w:rPr>
          <w:sz w:val="16"/>
          <w:szCs w:val="16"/>
        </w:rPr>
        <w:t>.</w:t>
      </w:r>
      <w:r w:rsidRPr="00FB0926">
        <w:rPr>
          <w:sz w:val="16"/>
          <w:szCs w:val="16"/>
        </w:rPr>
        <w:t xml:space="preserve"> Strengthening Skills: Expert Review of Australia’s Vocational Education and Training System, </w:t>
      </w:r>
      <w:r>
        <w:rPr>
          <w:sz w:val="16"/>
          <w:szCs w:val="16"/>
        </w:rPr>
        <w:t xml:space="preserve">Canberra: </w:t>
      </w:r>
      <w:r w:rsidRPr="00FB0926">
        <w:rPr>
          <w:sz w:val="16"/>
          <w:szCs w:val="16"/>
        </w:rPr>
        <w:t>Australian Government.</w:t>
      </w:r>
    </w:p>
  </w:footnote>
  <w:footnote w:id="162">
    <w:p w14:paraId="5E0942CC" w14:textId="77777777" w:rsidR="007331AF" w:rsidRPr="00FB0926" w:rsidRDefault="007331AF" w:rsidP="00566137">
      <w:pPr>
        <w:pStyle w:val="FootnoteText"/>
        <w:rPr>
          <w:sz w:val="16"/>
          <w:szCs w:val="16"/>
        </w:rPr>
      </w:pPr>
      <w:r w:rsidRPr="00FB0926">
        <w:rPr>
          <w:rStyle w:val="FootnoteReference"/>
          <w:sz w:val="16"/>
          <w:szCs w:val="16"/>
        </w:rPr>
        <w:footnoteRef/>
      </w:r>
      <w:r w:rsidRPr="00FB0926">
        <w:rPr>
          <w:sz w:val="16"/>
          <w:szCs w:val="16"/>
        </w:rPr>
        <w:t xml:space="preserve"> Halsey, J. (2018). Independent Review into Regional, Rural and Remote Education: Final Report. Canberra</w:t>
      </w:r>
      <w:r>
        <w:rPr>
          <w:sz w:val="16"/>
          <w:szCs w:val="16"/>
        </w:rPr>
        <w:t>: Australian Government</w:t>
      </w:r>
      <w:r w:rsidRPr="00FB0926">
        <w:rPr>
          <w:sz w:val="16"/>
          <w:szCs w:val="16"/>
        </w:rPr>
        <w:t>.</w:t>
      </w:r>
    </w:p>
  </w:footnote>
  <w:footnote w:id="163">
    <w:p w14:paraId="245477A2" w14:textId="77777777" w:rsidR="007331AF" w:rsidRPr="00FB0926" w:rsidRDefault="007331AF" w:rsidP="00566137">
      <w:pPr>
        <w:pStyle w:val="FootnoteText"/>
        <w:rPr>
          <w:sz w:val="16"/>
          <w:szCs w:val="16"/>
        </w:rPr>
      </w:pPr>
      <w:r w:rsidRPr="00FB0926">
        <w:rPr>
          <w:rStyle w:val="FootnoteReference"/>
          <w:sz w:val="16"/>
          <w:szCs w:val="16"/>
        </w:rPr>
        <w:footnoteRef/>
      </w:r>
      <w:r w:rsidRPr="00FB0926">
        <w:rPr>
          <w:sz w:val="16"/>
          <w:szCs w:val="16"/>
        </w:rPr>
        <w:t xml:space="preserve"> Chapman, B.,</w:t>
      </w:r>
      <w:r>
        <w:rPr>
          <w:sz w:val="16"/>
          <w:szCs w:val="16"/>
        </w:rPr>
        <w:t xml:space="preserve"> and </w:t>
      </w:r>
      <w:r w:rsidRPr="00FB0926">
        <w:rPr>
          <w:sz w:val="16"/>
          <w:szCs w:val="16"/>
        </w:rPr>
        <w:t>Ryan, C. (2005). The access implications of income-contingent charges for higher education: Lessons from Australia. Economics of Education Review, 24(5), 491–512</w:t>
      </w:r>
      <w:r>
        <w:rPr>
          <w:sz w:val="16"/>
          <w:szCs w:val="16"/>
        </w:rPr>
        <w:t>.</w:t>
      </w:r>
    </w:p>
  </w:footnote>
  <w:footnote w:id="164">
    <w:p w14:paraId="577E4E6D" w14:textId="16814A56" w:rsidR="007331AF" w:rsidRDefault="007331AF" w:rsidP="00566137">
      <w:pPr>
        <w:pStyle w:val="FootnoteText"/>
      </w:pPr>
      <w:r w:rsidRPr="00FB0926">
        <w:rPr>
          <w:rStyle w:val="FootnoteReference"/>
          <w:sz w:val="16"/>
          <w:szCs w:val="16"/>
        </w:rPr>
        <w:footnoteRef/>
      </w:r>
      <w:r w:rsidRPr="00FB0926">
        <w:rPr>
          <w:sz w:val="16"/>
          <w:szCs w:val="16"/>
        </w:rPr>
        <w:t xml:space="preserve"> Daniels, D. (2017)</w:t>
      </w:r>
      <w:r>
        <w:rPr>
          <w:sz w:val="16"/>
          <w:szCs w:val="16"/>
        </w:rPr>
        <w:t>.</w:t>
      </w:r>
      <w:r w:rsidRPr="00FB0926">
        <w:rPr>
          <w:sz w:val="16"/>
          <w:szCs w:val="16"/>
        </w:rPr>
        <w:t xml:space="preserve"> Student income support: A Chronology, Parliament of Australia</w:t>
      </w:r>
      <w:r w:rsidRPr="00146B8D">
        <w:rPr>
          <w:sz w:val="16"/>
          <w:szCs w:val="16"/>
        </w:rPr>
        <w:t xml:space="preserve">. </w:t>
      </w:r>
      <w:r>
        <w:rPr>
          <w:sz w:val="16"/>
          <w:szCs w:val="16"/>
        </w:rPr>
        <w:t xml:space="preserve">Available at: </w:t>
      </w:r>
      <w:r w:rsidRPr="00FB0926">
        <w:rPr>
          <w:sz w:val="16"/>
          <w:szCs w:val="16"/>
        </w:rPr>
        <w:t>https://parlinfo.aph.gov.au/parlInfo/download/library/prspub/5428620/</w:t>
      </w:r>
      <w:r w:rsidRPr="00146B8D">
        <w:rPr>
          <w:sz w:val="16"/>
          <w:szCs w:val="16"/>
        </w:rPr>
        <w:t xml:space="preserve"> </w:t>
      </w:r>
      <w:r w:rsidRPr="00FB0926">
        <w:rPr>
          <w:sz w:val="16"/>
          <w:szCs w:val="16"/>
        </w:rPr>
        <w:t>upload_binary/5428620.pdf</w:t>
      </w:r>
      <w:r>
        <w:rPr>
          <w:sz w:val="16"/>
          <w:szCs w:val="16"/>
        </w:rPr>
        <w:t xml:space="preserve">   </w:t>
      </w:r>
    </w:p>
  </w:footnote>
  <w:footnote w:id="165">
    <w:p w14:paraId="23939DDE" w14:textId="77777777"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See Bridges, D. (2006). Adaptive preference, justice and identity in the context of widening participation in higher education. Ethics and Education, 1(1), 15-28.</w:t>
      </w:r>
      <w:r>
        <w:rPr>
          <w:rFonts w:cstheme="minorHAnsi"/>
          <w:sz w:val="16"/>
          <w:szCs w:val="16"/>
        </w:rPr>
        <w:t xml:space="preserve"> </w:t>
      </w:r>
      <w:r w:rsidRPr="00304E3B">
        <w:rPr>
          <w:rFonts w:cstheme="minorHAnsi"/>
          <w:sz w:val="16"/>
          <w:szCs w:val="16"/>
        </w:rPr>
        <w:t>Russell-Bennett, R., Drennan, J.</w:t>
      </w:r>
      <w:r>
        <w:rPr>
          <w:rFonts w:cstheme="minorHAnsi"/>
          <w:sz w:val="16"/>
          <w:szCs w:val="16"/>
        </w:rPr>
        <w:t xml:space="preserve">, and </w:t>
      </w:r>
      <w:r w:rsidRPr="00304E3B">
        <w:rPr>
          <w:rFonts w:cstheme="minorHAnsi"/>
          <w:sz w:val="16"/>
          <w:szCs w:val="16"/>
        </w:rPr>
        <w:t xml:space="preserve">Raciti, M. (2016). Social Marketing Strategy for Widening Tertiary Education Participation in Low SES Communities: Field Research. </w:t>
      </w:r>
      <w:r>
        <w:rPr>
          <w:rFonts w:cstheme="minorHAnsi"/>
          <w:sz w:val="16"/>
          <w:szCs w:val="16"/>
        </w:rPr>
        <w:t xml:space="preserve">Brisbane: </w:t>
      </w:r>
      <w:r w:rsidRPr="00304E3B">
        <w:rPr>
          <w:rFonts w:cstheme="minorHAnsi"/>
          <w:sz w:val="16"/>
          <w:szCs w:val="16"/>
        </w:rPr>
        <w:t xml:space="preserve">Queensland University of Technology. </w:t>
      </w:r>
    </w:p>
  </w:footnote>
  <w:footnote w:id="166">
    <w:p w14:paraId="711C0132" w14:textId="77777777" w:rsidR="007331AF" w:rsidRDefault="007331AF" w:rsidP="00566137">
      <w:pPr>
        <w:pStyle w:val="FootnoteText"/>
      </w:pPr>
      <w:r w:rsidRPr="00304E3B">
        <w:rPr>
          <w:rStyle w:val="FootnoteReference"/>
          <w:rFonts w:cstheme="minorHAnsi"/>
          <w:sz w:val="16"/>
          <w:szCs w:val="16"/>
        </w:rPr>
        <w:footnoteRef/>
      </w:r>
      <w:r w:rsidRPr="00304E3B">
        <w:rPr>
          <w:rFonts w:cstheme="minorHAnsi"/>
          <w:sz w:val="16"/>
          <w:szCs w:val="16"/>
        </w:rPr>
        <w:t xml:space="preserve"> </w:t>
      </w:r>
      <w:r w:rsidRPr="00304E3B">
        <w:rPr>
          <w:rFonts w:cstheme="minorHAnsi"/>
          <w:color w:val="222222"/>
          <w:sz w:val="16"/>
          <w:szCs w:val="16"/>
          <w:shd w:val="clear" w:color="auto" w:fill="FFFFFF"/>
        </w:rPr>
        <w:t>Ottaway, R.N. (1983). The change agent: A taxonomy in relation to the change process. </w:t>
      </w:r>
      <w:r w:rsidRPr="00304E3B">
        <w:rPr>
          <w:rFonts w:cstheme="minorHAnsi"/>
          <w:iCs/>
          <w:color w:val="222222"/>
          <w:sz w:val="16"/>
          <w:szCs w:val="16"/>
          <w:shd w:val="clear" w:color="auto" w:fill="FFFFFF"/>
        </w:rPr>
        <w:t xml:space="preserve">Human </w:t>
      </w:r>
      <w:r>
        <w:rPr>
          <w:rFonts w:cstheme="minorHAnsi"/>
          <w:iCs/>
          <w:color w:val="222222"/>
          <w:sz w:val="16"/>
          <w:szCs w:val="16"/>
          <w:shd w:val="clear" w:color="auto" w:fill="FFFFFF"/>
        </w:rPr>
        <w:t>R</w:t>
      </w:r>
      <w:r w:rsidRPr="00304E3B">
        <w:rPr>
          <w:rFonts w:cstheme="minorHAnsi"/>
          <w:iCs/>
          <w:color w:val="222222"/>
          <w:sz w:val="16"/>
          <w:szCs w:val="16"/>
          <w:shd w:val="clear" w:color="auto" w:fill="FFFFFF"/>
        </w:rPr>
        <w:t>elations</w:t>
      </w:r>
      <w:r w:rsidRPr="00304E3B">
        <w:rPr>
          <w:rFonts w:cstheme="minorHAnsi"/>
          <w:color w:val="222222"/>
          <w:sz w:val="16"/>
          <w:szCs w:val="16"/>
          <w:shd w:val="clear" w:color="auto" w:fill="FFFFFF"/>
        </w:rPr>
        <w:t>, </w:t>
      </w:r>
      <w:r w:rsidRPr="00304E3B">
        <w:rPr>
          <w:rFonts w:cstheme="minorHAnsi"/>
          <w:iCs/>
          <w:color w:val="222222"/>
          <w:sz w:val="16"/>
          <w:szCs w:val="16"/>
          <w:shd w:val="clear" w:color="auto" w:fill="FFFFFF"/>
        </w:rPr>
        <w:t>36</w:t>
      </w:r>
      <w:r w:rsidRPr="00304E3B">
        <w:rPr>
          <w:rFonts w:cstheme="minorHAnsi"/>
          <w:color w:val="222222"/>
          <w:sz w:val="16"/>
          <w:szCs w:val="16"/>
          <w:shd w:val="clear" w:color="auto" w:fill="FFFFFF"/>
        </w:rPr>
        <w:t>(4), 361-392.</w:t>
      </w:r>
    </w:p>
  </w:footnote>
  <w:footnote w:id="167">
    <w:p w14:paraId="5A66DA2B" w14:textId="31597697" w:rsidR="007331AF" w:rsidRPr="00304E3B" w:rsidRDefault="007331AF" w:rsidP="00566137">
      <w:pPr>
        <w:pStyle w:val="FootnoteText"/>
        <w:rPr>
          <w:sz w:val="16"/>
          <w:szCs w:val="16"/>
        </w:rPr>
      </w:pPr>
      <w:r w:rsidRPr="00304E3B">
        <w:rPr>
          <w:rStyle w:val="FootnoteReference"/>
          <w:sz w:val="16"/>
          <w:szCs w:val="16"/>
        </w:rPr>
        <w:footnoteRef/>
      </w:r>
      <w:r w:rsidRPr="00304E3B">
        <w:rPr>
          <w:sz w:val="16"/>
          <w:szCs w:val="16"/>
        </w:rPr>
        <w:t xml:space="preserve"> </w:t>
      </w:r>
      <w:r>
        <w:rPr>
          <w:sz w:val="16"/>
          <w:szCs w:val="16"/>
        </w:rPr>
        <w:t xml:space="preserve">See </w:t>
      </w:r>
      <w:hyperlink r:id="rId22" w:history="1">
        <w:r w:rsidRPr="00D3786E">
          <w:rPr>
            <w:rStyle w:val="Hyperlink"/>
            <w:sz w:val="16"/>
            <w:szCs w:val="16"/>
          </w:rPr>
          <w:t>http://www.health.gov.au/internet/main/publishing.nsf/Content/National-Rural-Health-Commissioner</w:t>
        </w:r>
      </w:hyperlink>
      <w:r>
        <w:rPr>
          <w:sz w:val="16"/>
          <w:szCs w:val="16"/>
        </w:rPr>
        <w:t xml:space="preserve"> .</w:t>
      </w:r>
      <w:r w:rsidRPr="00304E3B">
        <w:rPr>
          <w:sz w:val="16"/>
          <w:szCs w:val="16"/>
        </w:rPr>
        <w:t xml:space="preserve"> </w:t>
      </w:r>
    </w:p>
  </w:footnote>
  <w:footnote w:id="168">
    <w:p w14:paraId="36CC78F7" w14:textId="77777777"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Harvey, A., Cakitaki, B.,</w:t>
      </w:r>
      <w:r>
        <w:rPr>
          <w:rFonts w:cstheme="minorHAnsi"/>
          <w:sz w:val="16"/>
          <w:szCs w:val="16"/>
        </w:rPr>
        <w:t xml:space="preserve"> and </w:t>
      </w:r>
      <w:r w:rsidRPr="00304E3B">
        <w:rPr>
          <w:rFonts w:cstheme="minorHAnsi"/>
          <w:sz w:val="16"/>
          <w:szCs w:val="16"/>
        </w:rPr>
        <w:t xml:space="preserve">Brett, M. (2018). Principles for </w:t>
      </w:r>
      <w:r>
        <w:rPr>
          <w:rFonts w:cstheme="minorHAnsi"/>
          <w:sz w:val="16"/>
          <w:szCs w:val="16"/>
        </w:rPr>
        <w:t>E</w:t>
      </w:r>
      <w:r w:rsidRPr="00304E3B">
        <w:rPr>
          <w:rFonts w:cstheme="minorHAnsi"/>
          <w:sz w:val="16"/>
          <w:szCs w:val="16"/>
        </w:rPr>
        <w:t xml:space="preserve">quity in </w:t>
      </w:r>
      <w:r>
        <w:rPr>
          <w:rFonts w:cstheme="minorHAnsi"/>
          <w:sz w:val="16"/>
          <w:szCs w:val="16"/>
        </w:rPr>
        <w:t>H</w:t>
      </w:r>
      <w:r w:rsidRPr="00304E3B">
        <w:rPr>
          <w:rFonts w:cstheme="minorHAnsi"/>
          <w:sz w:val="16"/>
          <w:szCs w:val="16"/>
        </w:rPr>
        <w:t xml:space="preserve">igher </w:t>
      </w:r>
      <w:r>
        <w:rPr>
          <w:rFonts w:cstheme="minorHAnsi"/>
          <w:sz w:val="16"/>
          <w:szCs w:val="16"/>
        </w:rPr>
        <w:t>E</w:t>
      </w:r>
      <w:r w:rsidRPr="00304E3B">
        <w:rPr>
          <w:rFonts w:cstheme="minorHAnsi"/>
          <w:sz w:val="16"/>
          <w:szCs w:val="16"/>
        </w:rPr>
        <w:t xml:space="preserve">ducation </w:t>
      </w:r>
      <w:r>
        <w:rPr>
          <w:rFonts w:cstheme="minorHAnsi"/>
          <w:sz w:val="16"/>
          <w:szCs w:val="16"/>
        </w:rPr>
        <w:t>P</w:t>
      </w:r>
      <w:r w:rsidRPr="00304E3B">
        <w:rPr>
          <w:rFonts w:cstheme="minorHAnsi"/>
          <w:sz w:val="16"/>
          <w:szCs w:val="16"/>
        </w:rPr>
        <w:t xml:space="preserve">erformance </w:t>
      </w:r>
      <w:r>
        <w:rPr>
          <w:rFonts w:cstheme="minorHAnsi"/>
          <w:sz w:val="16"/>
          <w:szCs w:val="16"/>
        </w:rPr>
        <w:t>F</w:t>
      </w:r>
      <w:r w:rsidRPr="00304E3B">
        <w:rPr>
          <w:rFonts w:cstheme="minorHAnsi"/>
          <w:sz w:val="16"/>
          <w:szCs w:val="16"/>
        </w:rPr>
        <w:t xml:space="preserve">unding, </w:t>
      </w:r>
      <w:r>
        <w:rPr>
          <w:rFonts w:cstheme="minorHAnsi"/>
          <w:sz w:val="16"/>
          <w:szCs w:val="16"/>
        </w:rPr>
        <w:t>R</w:t>
      </w:r>
      <w:r w:rsidRPr="00304E3B">
        <w:rPr>
          <w:rFonts w:cstheme="minorHAnsi"/>
          <w:sz w:val="16"/>
          <w:szCs w:val="16"/>
        </w:rPr>
        <w:t>eport for the National Centre for Student Equity in Higher Education Research. Melbourne: Centre for Higher Education Equity and Diversity Research, La Trobe University.</w:t>
      </w:r>
    </w:p>
  </w:footnote>
  <w:footnote w:id="169">
    <w:p w14:paraId="5D49714C" w14:textId="550084CD"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Dugarova, E.,</w:t>
      </w:r>
      <w:r>
        <w:rPr>
          <w:rFonts w:cstheme="minorHAnsi"/>
          <w:sz w:val="16"/>
          <w:szCs w:val="16"/>
        </w:rPr>
        <w:t xml:space="preserve"> and </w:t>
      </w:r>
      <w:r w:rsidRPr="00304E3B">
        <w:rPr>
          <w:rFonts w:cstheme="minorHAnsi"/>
          <w:sz w:val="16"/>
          <w:szCs w:val="16"/>
        </w:rPr>
        <w:t xml:space="preserve">Lavers, T. (2015). Social Inclusion and the Post-2015 Sustainable Development Agenda 1. Paper prepared for the UNITAR’s Briefing for UN Delegates on Post-2015 Development Agenda: Social Inclusion. Geneva. </w:t>
      </w:r>
      <w:r>
        <w:rPr>
          <w:rFonts w:cstheme="minorHAnsi"/>
          <w:sz w:val="16"/>
          <w:szCs w:val="16"/>
        </w:rPr>
        <w:t>Available at</w:t>
      </w:r>
      <w:r w:rsidRPr="00304E3B">
        <w:rPr>
          <w:rFonts w:cstheme="minorHAnsi"/>
          <w:sz w:val="16"/>
          <w:szCs w:val="16"/>
        </w:rPr>
        <w:t xml:space="preserve"> </w:t>
      </w:r>
      <w:hyperlink r:id="rId23" w:history="1">
        <w:r w:rsidRPr="00D3786E">
          <w:rPr>
            <w:rStyle w:val="Hyperlink"/>
            <w:rFonts w:cstheme="minorHAnsi"/>
            <w:sz w:val="16"/>
            <w:szCs w:val="16"/>
          </w:rPr>
          <w:t>http://www.unrisd.org/unitar-social-inclusion</w:t>
        </w:r>
      </w:hyperlink>
      <w:r>
        <w:rPr>
          <w:rFonts w:cstheme="minorHAnsi"/>
          <w:sz w:val="16"/>
          <w:szCs w:val="16"/>
        </w:rPr>
        <w:t xml:space="preserve"> </w:t>
      </w:r>
    </w:p>
  </w:footnote>
  <w:footnote w:id="170">
    <w:p w14:paraId="658C5B15" w14:textId="76079362"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Department of Employment Education and Training. (1990). A Fair Chance for All: National and Institutional Planning for Equity in Higher Education: A Discussion Paper. Canberra. </w:t>
      </w:r>
      <w:r>
        <w:rPr>
          <w:rFonts w:cstheme="minorHAnsi"/>
          <w:sz w:val="16"/>
          <w:szCs w:val="16"/>
        </w:rPr>
        <w:t>Available at</w:t>
      </w:r>
      <w:r w:rsidRPr="00304E3B">
        <w:rPr>
          <w:rFonts w:cstheme="minorHAnsi"/>
          <w:sz w:val="16"/>
          <w:szCs w:val="16"/>
        </w:rPr>
        <w:t xml:space="preserve"> </w:t>
      </w:r>
      <w:hyperlink r:id="rId24" w:history="1">
        <w:r w:rsidRPr="00D3786E">
          <w:rPr>
            <w:rStyle w:val="Hyperlink"/>
            <w:rFonts w:cstheme="minorHAnsi"/>
            <w:sz w:val="16"/>
            <w:szCs w:val="16"/>
          </w:rPr>
          <w:t>http://www.voced.edu.au/content/ngv%3A2270</w:t>
        </w:r>
      </w:hyperlink>
      <w:r>
        <w:rPr>
          <w:rFonts w:cstheme="minorHAnsi"/>
          <w:sz w:val="16"/>
          <w:szCs w:val="16"/>
        </w:rPr>
        <w:t xml:space="preserve"> .</w:t>
      </w:r>
    </w:p>
  </w:footnote>
  <w:footnote w:id="171">
    <w:p w14:paraId="548F12BD" w14:textId="77777777"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w:t>
      </w:r>
      <w:r w:rsidRPr="00304E3B">
        <w:rPr>
          <w:rFonts w:cstheme="minorHAnsi"/>
          <w:color w:val="222222"/>
          <w:sz w:val="16"/>
          <w:szCs w:val="16"/>
          <w:shd w:val="clear" w:color="auto" w:fill="FFFFFF"/>
        </w:rPr>
        <w:t>Harvey, A., Burnheim, C.,</w:t>
      </w:r>
      <w:r>
        <w:rPr>
          <w:rFonts w:cstheme="minorHAnsi"/>
          <w:color w:val="222222"/>
          <w:sz w:val="16"/>
          <w:szCs w:val="16"/>
          <w:shd w:val="clear" w:color="auto" w:fill="FFFFFF"/>
        </w:rPr>
        <w:t xml:space="preserve"> and </w:t>
      </w:r>
      <w:r w:rsidRPr="00304E3B">
        <w:rPr>
          <w:rFonts w:cstheme="minorHAnsi"/>
          <w:color w:val="222222"/>
          <w:sz w:val="16"/>
          <w:szCs w:val="16"/>
          <w:shd w:val="clear" w:color="auto" w:fill="FFFFFF"/>
        </w:rPr>
        <w:t>Brett, M. (2016). </w:t>
      </w:r>
      <w:r w:rsidRPr="00304E3B">
        <w:rPr>
          <w:rFonts w:cstheme="minorHAnsi"/>
          <w:iCs/>
          <w:color w:val="222222"/>
          <w:sz w:val="16"/>
          <w:szCs w:val="16"/>
          <w:shd w:val="clear" w:color="auto" w:fill="FFFFFF"/>
        </w:rPr>
        <w:t xml:space="preserve">Student </w:t>
      </w:r>
      <w:r>
        <w:rPr>
          <w:rFonts w:cstheme="minorHAnsi"/>
          <w:iCs/>
          <w:color w:val="222222"/>
          <w:sz w:val="16"/>
          <w:szCs w:val="16"/>
          <w:shd w:val="clear" w:color="auto" w:fill="FFFFFF"/>
        </w:rPr>
        <w:t>E</w:t>
      </w:r>
      <w:r w:rsidRPr="00304E3B">
        <w:rPr>
          <w:rFonts w:cstheme="minorHAnsi"/>
          <w:iCs/>
          <w:color w:val="222222"/>
          <w:sz w:val="16"/>
          <w:szCs w:val="16"/>
          <w:shd w:val="clear" w:color="auto" w:fill="FFFFFF"/>
        </w:rPr>
        <w:t xml:space="preserve">quity in </w:t>
      </w:r>
      <w:r>
        <w:rPr>
          <w:rFonts w:cstheme="minorHAnsi"/>
          <w:iCs/>
          <w:color w:val="222222"/>
          <w:sz w:val="16"/>
          <w:szCs w:val="16"/>
          <w:shd w:val="clear" w:color="auto" w:fill="FFFFFF"/>
        </w:rPr>
        <w:t>A</w:t>
      </w:r>
      <w:r w:rsidRPr="00304E3B">
        <w:rPr>
          <w:rFonts w:cstheme="minorHAnsi"/>
          <w:iCs/>
          <w:color w:val="222222"/>
          <w:sz w:val="16"/>
          <w:szCs w:val="16"/>
          <w:shd w:val="clear" w:color="auto" w:fill="FFFFFF"/>
        </w:rPr>
        <w:t xml:space="preserve">ustralian </w:t>
      </w:r>
      <w:r>
        <w:rPr>
          <w:rFonts w:cstheme="minorHAnsi"/>
          <w:iCs/>
          <w:color w:val="222222"/>
          <w:sz w:val="16"/>
          <w:szCs w:val="16"/>
          <w:shd w:val="clear" w:color="auto" w:fill="FFFFFF"/>
        </w:rPr>
        <w:t>H</w:t>
      </w:r>
      <w:r w:rsidRPr="00304E3B">
        <w:rPr>
          <w:rFonts w:cstheme="minorHAnsi"/>
          <w:iCs/>
          <w:color w:val="222222"/>
          <w:sz w:val="16"/>
          <w:szCs w:val="16"/>
          <w:shd w:val="clear" w:color="auto" w:fill="FFFFFF"/>
        </w:rPr>
        <w:t xml:space="preserve">igher </w:t>
      </w:r>
      <w:r>
        <w:rPr>
          <w:rFonts w:cstheme="minorHAnsi"/>
          <w:iCs/>
          <w:color w:val="222222"/>
          <w:sz w:val="16"/>
          <w:szCs w:val="16"/>
          <w:shd w:val="clear" w:color="auto" w:fill="FFFFFF"/>
        </w:rPr>
        <w:t>E</w:t>
      </w:r>
      <w:r w:rsidRPr="00304E3B">
        <w:rPr>
          <w:rFonts w:cstheme="minorHAnsi"/>
          <w:iCs/>
          <w:color w:val="222222"/>
          <w:sz w:val="16"/>
          <w:szCs w:val="16"/>
          <w:shd w:val="clear" w:color="auto" w:fill="FFFFFF"/>
        </w:rPr>
        <w:t>ducation</w:t>
      </w:r>
      <w:r w:rsidRPr="00304E3B">
        <w:rPr>
          <w:rFonts w:cstheme="minorHAnsi"/>
          <w:color w:val="222222"/>
          <w:sz w:val="16"/>
          <w:szCs w:val="16"/>
          <w:shd w:val="clear" w:color="auto" w:fill="FFFFFF"/>
        </w:rPr>
        <w:t xml:space="preserve">. </w:t>
      </w:r>
      <w:r>
        <w:rPr>
          <w:rFonts w:cstheme="minorHAnsi"/>
          <w:color w:val="222222"/>
          <w:sz w:val="16"/>
          <w:szCs w:val="16"/>
          <w:shd w:val="clear" w:color="auto" w:fill="FFFFFF"/>
        </w:rPr>
        <w:t>Singapore: S</w:t>
      </w:r>
      <w:r w:rsidRPr="00304E3B">
        <w:rPr>
          <w:rFonts w:cstheme="minorHAnsi"/>
          <w:color w:val="222222"/>
          <w:sz w:val="16"/>
          <w:szCs w:val="16"/>
          <w:shd w:val="clear" w:color="auto" w:fill="FFFFFF"/>
        </w:rPr>
        <w:t>pringer Science+ Business Media.</w:t>
      </w:r>
    </w:p>
  </w:footnote>
  <w:footnote w:id="172">
    <w:p w14:paraId="0FCEBBE6" w14:textId="77777777" w:rsidR="007331AF" w:rsidRPr="00304E3B" w:rsidRDefault="007331AF" w:rsidP="00566137">
      <w:pPr>
        <w:pStyle w:val="FootnoteText"/>
        <w:rPr>
          <w:rFonts w:cstheme="minorHAnsi"/>
          <w:b/>
          <w:sz w:val="16"/>
          <w:szCs w:val="16"/>
        </w:rPr>
      </w:pPr>
      <w:r w:rsidRPr="00304E3B">
        <w:rPr>
          <w:rStyle w:val="FootnoteReference"/>
          <w:rFonts w:cstheme="minorHAnsi"/>
          <w:sz w:val="16"/>
          <w:szCs w:val="16"/>
        </w:rPr>
        <w:footnoteRef/>
      </w:r>
      <w:r w:rsidRPr="00304E3B">
        <w:rPr>
          <w:rFonts w:cstheme="minorHAnsi"/>
          <w:sz w:val="16"/>
          <w:szCs w:val="16"/>
        </w:rPr>
        <w:t xml:space="preserve"> Bradley, D., N., P., Nugent, H.,</w:t>
      </w:r>
      <w:r>
        <w:rPr>
          <w:rFonts w:cstheme="minorHAnsi"/>
          <w:sz w:val="16"/>
          <w:szCs w:val="16"/>
        </w:rPr>
        <w:t xml:space="preserve"> and </w:t>
      </w:r>
      <w:r w:rsidRPr="00304E3B">
        <w:rPr>
          <w:rFonts w:cstheme="minorHAnsi"/>
          <w:sz w:val="16"/>
          <w:szCs w:val="16"/>
        </w:rPr>
        <w:t>Scales, B. (2008). Review of Australian Higher Education Final Report.</w:t>
      </w:r>
      <w:r>
        <w:rPr>
          <w:rFonts w:cstheme="minorHAnsi"/>
          <w:sz w:val="16"/>
          <w:szCs w:val="16"/>
        </w:rPr>
        <w:t xml:space="preserve"> Canberra:</w:t>
      </w:r>
      <w:r w:rsidRPr="00304E3B">
        <w:rPr>
          <w:rFonts w:cstheme="minorHAnsi"/>
          <w:sz w:val="16"/>
          <w:szCs w:val="16"/>
        </w:rPr>
        <w:t xml:space="preserve"> </w:t>
      </w:r>
      <w:r>
        <w:rPr>
          <w:rFonts w:cstheme="minorHAnsi"/>
          <w:sz w:val="16"/>
          <w:szCs w:val="16"/>
        </w:rPr>
        <w:t>Australian Government DEEWR</w:t>
      </w:r>
      <w:r w:rsidRPr="00304E3B">
        <w:rPr>
          <w:rFonts w:cstheme="minorHAnsi"/>
          <w:sz w:val="16"/>
          <w:szCs w:val="16"/>
        </w:rPr>
        <w:t>.</w:t>
      </w:r>
    </w:p>
  </w:footnote>
  <w:footnote w:id="173">
    <w:p w14:paraId="090B14DD" w14:textId="77777777" w:rsidR="007331AF" w:rsidRPr="0048763A" w:rsidRDefault="007331AF" w:rsidP="00566137">
      <w:pPr>
        <w:autoSpaceDE w:val="0"/>
        <w:autoSpaceDN w:val="0"/>
        <w:adjustRightInd w:val="0"/>
        <w:spacing w:after="0" w:line="240" w:lineRule="auto"/>
        <w:rPr>
          <w:sz w:val="16"/>
          <w:szCs w:val="16"/>
        </w:rPr>
      </w:pPr>
      <w:r w:rsidRPr="00304E3B">
        <w:rPr>
          <w:rStyle w:val="FootnoteReference"/>
          <w:rFonts w:cstheme="minorHAnsi"/>
          <w:sz w:val="16"/>
          <w:szCs w:val="16"/>
        </w:rPr>
        <w:footnoteRef/>
      </w:r>
      <w:r w:rsidRPr="00304E3B">
        <w:rPr>
          <w:rFonts w:cstheme="minorHAnsi"/>
          <w:sz w:val="16"/>
          <w:szCs w:val="16"/>
        </w:rPr>
        <w:t xml:space="preserve"> Behrendt, L., Larkin, S., Griew, R.,</w:t>
      </w:r>
      <w:r>
        <w:rPr>
          <w:rFonts w:cstheme="minorHAnsi"/>
          <w:sz w:val="16"/>
          <w:szCs w:val="16"/>
        </w:rPr>
        <w:t xml:space="preserve"> and </w:t>
      </w:r>
      <w:r w:rsidRPr="00304E3B">
        <w:rPr>
          <w:rFonts w:cstheme="minorHAnsi"/>
          <w:sz w:val="16"/>
          <w:szCs w:val="16"/>
        </w:rPr>
        <w:t xml:space="preserve">Kelly, P. (2012). </w:t>
      </w:r>
      <w:r w:rsidRPr="00304E3B">
        <w:rPr>
          <w:rFonts w:cstheme="minorHAnsi"/>
          <w:iCs/>
          <w:sz w:val="16"/>
          <w:szCs w:val="16"/>
        </w:rPr>
        <w:t xml:space="preserve">Review of Higher Education Access and Outcomes for Aboriginal and Torres Strait Islander people: Final report. </w:t>
      </w:r>
      <w:r>
        <w:rPr>
          <w:rFonts w:cstheme="minorHAnsi"/>
          <w:iCs/>
          <w:sz w:val="16"/>
          <w:szCs w:val="16"/>
        </w:rPr>
        <w:t xml:space="preserve">Canberra: </w:t>
      </w:r>
      <w:r w:rsidRPr="00304E3B">
        <w:rPr>
          <w:rFonts w:cstheme="minorHAnsi"/>
          <w:sz w:val="16"/>
          <w:szCs w:val="16"/>
        </w:rPr>
        <w:t>Australian Government.</w:t>
      </w:r>
    </w:p>
  </w:footnote>
  <w:footnote w:id="174">
    <w:p w14:paraId="092C1F81" w14:textId="77777777" w:rsidR="007331AF" w:rsidRDefault="007331AF" w:rsidP="00566137">
      <w:pPr>
        <w:pStyle w:val="FootnoteText"/>
      </w:pPr>
      <w:r w:rsidRPr="0048763A">
        <w:rPr>
          <w:rStyle w:val="FootnoteReference"/>
          <w:sz w:val="16"/>
          <w:szCs w:val="16"/>
        </w:rPr>
        <w:footnoteRef/>
      </w:r>
      <w:r w:rsidRPr="0048763A">
        <w:rPr>
          <w:sz w:val="16"/>
          <w:szCs w:val="16"/>
        </w:rPr>
        <w:t xml:space="preserve"> Gale, T.,</w:t>
      </w:r>
      <w:r>
        <w:rPr>
          <w:sz w:val="16"/>
          <w:szCs w:val="16"/>
        </w:rPr>
        <w:t xml:space="preserve"> and </w:t>
      </w:r>
      <w:r w:rsidRPr="0048763A">
        <w:rPr>
          <w:sz w:val="16"/>
          <w:szCs w:val="16"/>
        </w:rPr>
        <w:t xml:space="preserve">Parker, S. (2013). Widening Participation in Australian Higher Education: Report submitted to HEFCE and OFFA. Leicester, UK and Edge Hill University. Perth. </w:t>
      </w:r>
    </w:p>
  </w:footnote>
  <w:footnote w:id="175">
    <w:p w14:paraId="7CC15AB2" w14:textId="77777777" w:rsidR="007331AF" w:rsidRPr="00D22094" w:rsidRDefault="007331AF" w:rsidP="00566137">
      <w:pPr>
        <w:pStyle w:val="FootnoteText"/>
        <w:rPr>
          <w:sz w:val="16"/>
          <w:szCs w:val="16"/>
        </w:rPr>
      </w:pPr>
      <w:r w:rsidRPr="00D22094">
        <w:rPr>
          <w:rStyle w:val="FootnoteReference"/>
          <w:sz w:val="16"/>
          <w:szCs w:val="16"/>
        </w:rPr>
        <w:footnoteRef/>
      </w:r>
      <w:r w:rsidRPr="00D22094">
        <w:rPr>
          <w:sz w:val="16"/>
          <w:szCs w:val="16"/>
        </w:rPr>
        <w:t xml:space="preserve"> Sellar, S.,</w:t>
      </w:r>
      <w:r>
        <w:rPr>
          <w:sz w:val="16"/>
          <w:szCs w:val="16"/>
        </w:rPr>
        <w:t xml:space="preserve"> and </w:t>
      </w:r>
      <w:r w:rsidRPr="00D22094">
        <w:rPr>
          <w:sz w:val="16"/>
          <w:szCs w:val="16"/>
        </w:rPr>
        <w:t xml:space="preserve">Gale, T. (2016). Framing Student Equity in Higher Education: National and Global Policy Contexts of A Fair Chance for All. In Student Equity in Australian Higher Education (pp. 39–52). </w:t>
      </w:r>
      <w:r>
        <w:rPr>
          <w:sz w:val="16"/>
          <w:szCs w:val="16"/>
        </w:rPr>
        <w:t xml:space="preserve">Singapore: </w:t>
      </w:r>
      <w:r w:rsidRPr="00D22094">
        <w:rPr>
          <w:sz w:val="16"/>
          <w:szCs w:val="16"/>
        </w:rPr>
        <w:t>Springer.</w:t>
      </w:r>
    </w:p>
  </w:footnote>
  <w:footnote w:id="176">
    <w:p w14:paraId="20C15FC5" w14:textId="77777777" w:rsidR="007331AF" w:rsidRPr="00D22094" w:rsidRDefault="007331AF" w:rsidP="00566137">
      <w:pPr>
        <w:pStyle w:val="FootnoteText"/>
        <w:rPr>
          <w:sz w:val="16"/>
          <w:szCs w:val="16"/>
        </w:rPr>
      </w:pPr>
      <w:r w:rsidRPr="00D22094">
        <w:rPr>
          <w:rStyle w:val="FootnoteReference"/>
          <w:sz w:val="16"/>
          <w:szCs w:val="16"/>
        </w:rPr>
        <w:footnoteRef/>
      </w:r>
      <w:r w:rsidRPr="00D22094">
        <w:rPr>
          <w:sz w:val="16"/>
          <w:szCs w:val="16"/>
        </w:rPr>
        <w:t xml:space="preserve"> Department of Education, Employment and Training. (1990). A </w:t>
      </w:r>
      <w:r>
        <w:rPr>
          <w:sz w:val="16"/>
          <w:szCs w:val="16"/>
        </w:rPr>
        <w:t>F</w:t>
      </w:r>
      <w:r w:rsidRPr="00D22094">
        <w:rPr>
          <w:sz w:val="16"/>
          <w:szCs w:val="16"/>
        </w:rPr>
        <w:t xml:space="preserve">air </w:t>
      </w:r>
      <w:r>
        <w:rPr>
          <w:sz w:val="16"/>
          <w:szCs w:val="16"/>
        </w:rPr>
        <w:t>C</w:t>
      </w:r>
      <w:r w:rsidRPr="00D22094">
        <w:rPr>
          <w:sz w:val="16"/>
          <w:szCs w:val="16"/>
        </w:rPr>
        <w:t xml:space="preserve">hance for </w:t>
      </w:r>
      <w:r>
        <w:rPr>
          <w:sz w:val="16"/>
          <w:szCs w:val="16"/>
        </w:rPr>
        <w:t>A</w:t>
      </w:r>
      <w:r w:rsidRPr="00D22094">
        <w:rPr>
          <w:sz w:val="16"/>
          <w:szCs w:val="16"/>
        </w:rPr>
        <w:t xml:space="preserve">ll: National and </w:t>
      </w:r>
      <w:r>
        <w:rPr>
          <w:sz w:val="16"/>
          <w:szCs w:val="16"/>
        </w:rPr>
        <w:t>I</w:t>
      </w:r>
      <w:r w:rsidRPr="00D22094">
        <w:rPr>
          <w:sz w:val="16"/>
          <w:szCs w:val="16"/>
        </w:rPr>
        <w:t xml:space="preserve">nstitutional </w:t>
      </w:r>
      <w:r>
        <w:rPr>
          <w:sz w:val="16"/>
          <w:szCs w:val="16"/>
        </w:rPr>
        <w:t>P</w:t>
      </w:r>
      <w:r w:rsidRPr="00D22094">
        <w:rPr>
          <w:sz w:val="16"/>
          <w:szCs w:val="16"/>
        </w:rPr>
        <w:t xml:space="preserve">lanning for </w:t>
      </w:r>
      <w:r>
        <w:rPr>
          <w:sz w:val="16"/>
          <w:szCs w:val="16"/>
        </w:rPr>
        <w:t>E</w:t>
      </w:r>
      <w:r w:rsidRPr="00D22094">
        <w:rPr>
          <w:sz w:val="16"/>
          <w:szCs w:val="16"/>
        </w:rPr>
        <w:t xml:space="preserve">quity in </w:t>
      </w:r>
      <w:r>
        <w:rPr>
          <w:sz w:val="16"/>
          <w:szCs w:val="16"/>
        </w:rPr>
        <w:t>H</w:t>
      </w:r>
      <w:r w:rsidRPr="00D22094">
        <w:rPr>
          <w:sz w:val="16"/>
          <w:szCs w:val="16"/>
        </w:rPr>
        <w:t xml:space="preserve">igher </w:t>
      </w:r>
      <w:r>
        <w:rPr>
          <w:sz w:val="16"/>
          <w:szCs w:val="16"/>
        </w:rPr>
        <w:t>E</w:t>
      </w:r>
      <w:r w:rsidRPr="00D22094">
        <w:rPr>
          <w:sz w:val="16"/>
          <w:szCs w:val="16"/>
        </w:rPr>
        <w:t xml:space="preserve">ducation. </w:t>
      </w:r>
      <w:r>
        <w:rPr>
          <w:sz w:val="16"/>
          <w:szCs w:val="16"/>
        </w:rPr>
        <w:t>Canberra: Australian Government.</w:t>
      </w:r>
    </w:p>
  </w:footnote>
  <w:footnote w:id="177">
    <w:p w14:paraId="19A3C5BD" w14:textId="77777777" w:rsidR="007331AF" w:rsidRPr="00D22094" w:rsidRDefault="007331AF" w:rsidP="00566137">
      <w:pPr>
        <w:pStyle w:val="FootnoteText"/>
        <w:rPr>
          <w:sz w:val="16"/>
          <w:szCs w:val="16"/>
        </w:rPr>
      </w:pPr>
      <w:r w:rsidRPr="00D22094">
        <w:rPr>
          <w:rStyle w:val="FootnoteReference"/>
          <w:sz w:val="16"/>
          <w:szCs w:val="16"/>
        </w:rPr>
        <w:footnoteRef/>
      </w:r>
      <w:r w:rsidRPr="00D22094">
        <w:rPr>
          <w:sz w:val="16"/>
          <w:szCs w:val="16"/>
        </w:rPr>
        <w:t xml:space="preserve"> Salmi, J. (2018) All </w:t>
      </w:r>
      <w:r>
        <w:rPr>
          <w:sz w:val="16"/>
          <w:szCs w:val="16"/>
        </w:rPr>
        <w:t>A</w:t>
      </w:r>
      <w:r w:rsidRPr="00D22094">
        <w:rPr>
          <w:sz w:val="16"/>
          <w:szCs w:val="16"/>
        </w:rPr>
        <w:t xml:space="preserve">round the </w:t>
      </w:r>
      <w:r>
        <w:rPr>
          <w:sz w:val="16"/>
          <w:szCs w:val="16"/>
        </w:rPr>
        <w:t>W</w:t>
      </w:r>
      <w:r w:rsidRPr="00D22094">
        <w:rPr>
          <w:sz w:val="16"/>
          <w:szCs w:val="16"/>
        </w:rPr>
        <w:t>orld</w:t>
      </w:r>
      <w:r>
        <w:rPr>
          <w:sz w:val="16"/>
          <w:szCs w:val="16"/>
        </w:rPr>
        <w:t xml:space="preserve">: </w:t>
      </w:r>
      <w:r w:rsidRPr="00D22094">
        <w:rPr>
          <w:sz w:val="16"/>
          <w:szCs w:val="16"/>
        </w:rPr>
        <w:t xml:space="preserve">Higher </w:t>
      </w:r>
      <w:r>
        <w:rPr>
          <w:sz w:val="16"/>
          <w:szCs w:val="16"/>
        </w:rPr>
        <w:t>E</w:t>
      </w:r>
      <w:r w:rsidRPr="00D22094">
        <w:rPr>
          <w:sz w:val="16"/>
          <w:szCs w:val="16"/>
        </w:rPr>
        <w:t xml:space="preserve">ducation </w:t>
      </w:r>
      <w:r>
        <w:rPr>
          <w:sz w:val="16"/>
          <w:szCs w:val="16"/>
        </w:rPr>
        <w:t>E</w:t>
      </w:r>
      <w:r w:rsidRPr="00D22094">
        <w:rPr>
          <w:sz w:val="16"/>
          <w:szCs w:val="16"/>
        </w:rPr>
        <w:t xml:space="preserve">quity </w:t>
      </w:r>
      <w:r>
        <w:rPr>
          <w:sz w:val="16"/>
          <w:szCs w:val="16"/>
        </w:rPr>
        <w:t>P</w:t>
      </w:r>
      <w:r w:rsidRPr="00D22094">
        <w:rPr>
          <w:sz w:val="16"/>
          <w:szCs w:val="16"/>
        </w:rPr>
        <w:t xml:space="preserve">olicies </w:t>
      </w:r>
      <w:r>
        <w:rPr>
          <w:sz w:val="16"/>
          <w:szCs w:val="16"/>
        </w:rPr>
        <w:t>A</w:t>
      </w:r>
      <w:r w:rsidRPr="00D22094">
        <w:rPr>
          <w:sz w:val="16"/>
          <w:szCs w:val="16"/>
        </w:rPr>
        <w:t xml:space="preserve">cross the </w:t>
      </w:r>
      <w:r>
        <w:rPr>
          <w:sz w:val="16"/>
          <w:szCs w:val="16"/>
        </w:rPr>
        <w:t>G</w:t>
      </w:r>
      <w:r w:rsidRPr="00D22094">
        <w:rPr>
          <w:sz w:val="16"/>
          <w:szCs w:val="16"/>
        </w:rPr>
        <w:t xml:space="preserve">lobe, Report for Lumina Foundation and World Access to Higher Education Day, </w:t>
      </w:r>
      <w:r>
        <w:rPr>
          <w:sz w:val="16"/>
          <w:szCs w:val="16"/>
        </w:rPr>
        <w:t xml:space="preserve">Available </w:t>
      </w:r>
      <w:r w:rsidRPr="00D22094">
        <w:rPr>
          <w:sz w:val="16"/>
          <w:szCs w:val="16"/>
        </w:rPr>
        <w:t>at: https://worldaccesshe.com/wp-content/uploads/2018/11/All-around-the-world-Higher-education-equity-policies-across-the-globe-.pdf</w:t>
      </w:r>
    </w:p>
  </w:footnote>
  <w:footnote w:id="178">
    <w:p w14:paraId="3AE5B243" w14:textId="77777777" w:rsidR="007331AF" w:rsidRPr="00075A18" w:rsidRDefault="007331AF" w:rsidP="00566137">
      <w:pPr>
        <w:pStyle w:val="FootnoteText"/>
        <w:rPr>
          <w:sz w:val="16"/>
          <w:szCs w:val="16"/>
        </w:rPr>
      </w:pPr>
      <w:r w:rsidRPr="00075A18">
        <w:rPr>
          <w:rStyle w:val="FootnoteReference"/>
          <w:sz w:val="16"/>
          <w:szCs w:val="16"/>
        </w:rPr>
        <w:footnoteRef/>
      </w:r>
      <w:r w:rsidRPr="00075A18">
        <w:rPr>
          <w:sz w:val="16"/>
          <w:szCs w:val="16"/>
        </w:rPr>
        <w:t xml:space="preserve"> Salmi, J., and Sursock</w:t>
      </w:r>
      <w:r>
        <w:rPr>
          <w:sz w:val="16"/>
          <w:szCs w:val="16"/>
        </w:rPr>
        <w:t>, A.</w:t>
      </w:r>
      <w:r w:rsidRPr="00075A18">
        <w:rPr>
          <w:sz w:val="16"/>
          <w:szCs w:val="16"/>
        </w:rPr>
        <w:t xml:space="preserve"> (2018). Access and Completion for Underserved Students: International Perspectives. </w:t>
      </w:r>
      <w:r>
        <w:rPr>
          <w:sz w:val="16"/>
          <w:szCs w:val="16"/>
        </w:rPr>
        <w:t xml:space="preserve">Washington: </w:t>
      </w:r>
      <w:r w:rsidRPr="00075A18">
        <w:rPr>
          <w:sz w:val="16"/>
          <w:szCs w:val="16"/>
        </w:rPr>
        <w:t>American Council on Education</w:t>
      </w:r>
      <w:r>
        <w:rPr>
          <w:sz w:val="16"/>
          <w:szCs w:val="16"/>
        </w:rPr>
        <w:t>.</w:t>
      </w:r>
    </w:p>
  </w:footnote>
  <w:footnote w:id="179">
    <w:p w14:paraId="18F47C93" w14:textId="77777777" w:rsidR="007331AF" w:rsidRPr="00075A18" w:rsidRDefault="007331AF" w:rsidP="00566137">
      <w:pPr>
        <w:pStyle w:val="FootnoteText"/>
        <w:rPr>
          <w:sz w:val="16"/>
          <w:szCs w:val="16"/>
        </w:rPr>
      </w:pPr>
      <w:r w:rsidRPr="00075A18">
        <w:rPr>
          <w:rStyle w:val="FootnoteReference"/>
          <w:sz w:val="16"/>
          <w:szCs w:val="16"/>
        </w:rPr>
        <w:footnoteRef/>
      </w:r>
      <w:r w:rsidRPr="00075A18">
        <w:rPr>
          <w:sz w:val="16"/>
          <w:szCs w:val="16"/>
        </w:rPr>
        <w:t xml:space="preserve"> Salmi, J., and Sursock</w:t>
      </w:r>
      <w:r>
        <w:rPr>
          <w:sz w:val="16"/>
          <w:szCs w:val="16"/>
        </w:rPr>
        <w:t>, A.</w:t>
      </w:r>
      <w:r w:rsidRPr="00075A18">
        <w:rPr>
          <w:sz w:val="16"/>
          <w:szCs w:val="16"/>
        </w:rPr>
        <w:t xml:space="preserve"> (2018). Access and Completion for Underserved Students: International Perspectives.</w:t>
      </w:r>
      <w:r>
        <w:rPr>
          <w:sz w:val="16"/>
          <w:szCs w:val="16"/>
        </w:rPr>
        <w:t xml:space="preserve"> Washington: </w:t>
      </w:r>
      <w:r w:rsidRPr="00075A18">
        <w:rPr>
          <w:sz w:val="16"/>
          <w:szCs w:val="16"/>
        </w:rPr>
        <w:t>American Council on Education.</w:t>
      </w:r>
    </w:p>
  </w:footnote>
  <w:footnote w:id="180">
    <w:p w14:paraId="765BCAC5" w14:textId="77777777" w:rsidR="007331AF" w:rsidRPr="00075A18" w:rsidRDefault="007331AF" w:rsidP="00566137">
      <w:pPr>
        <w:pStyle w:val="FootnoteText"/>
        <w:rPr>
          <w:sz w:val="16"/>
          <w:szCs w:val="16"/>
        </w:rPr>
      </w:pPr>
      <w:r w:rsidRPr="00075A18">
        <w:rPr>
          <w:rStyle w:val="FootnoteReference"/>
          <w:sz w:val="16"/>
          <w:szCs w:val="16"/>
        </w:rPr>
        <w:footnoteRef/>
      </w:r>
      <w:r w:rsidRPr="00075A18">
        <w:rPr>
          <w:sz w:val="16"/>
          <w:szCs w:val="16"/>
        </w:rPr>
        <w:t xml:space="preserve"> Vlk</w:t>
      </w:r>
      <w:r>
        <w:rPr>
          <w:sz w:val="16"/>
          <w:szCs w:val="16"/>
        </w:rPr>
        <w:t>,</w:t>
      </w:r>
      <w:r w:rsidRPr="00075A18">
        <w:rPr>
          <w:sz w:val="16"/>
          <w:szCs w:val="16"/>
        </w:rPr>
        <w:t xml:space="preserve"> A.</w:t>
      </w:r>
      <w:r>
        <w:rPr>
          <w:sz w:val="16"/>
          <w:szCs w:val="16"/>
        </w:rPr>
        <w:t>,</w:t>
      </w:r>
      <w:r w:rsidRPr="00075A18">
        <w:rPr>
          <w:sz w:val="16"/>
          <w:szCs w:val="16"/>
        </w:rPr>
        <w:t xml:space="preserve"> and Stiburek, S. (2018). Study </w:t>
      </w:r>
      <w:r>
        <w:rPr>
          <w:sz w:val="16"/>
          <w:szCs w:val="16"/>
        </w:rPr>
        <w:t>s</w:t>
      </w:r>
      <w:r w:rsidRPr="00075A18">
        <w:rPr>
          <w:sz w:val="16"/>
          <w:szCs w:val="16"/>
        </w:rPr>
        <w:t xml:space="preserve">uccess at the </w:t>
      </w:r>
      <w:r>
        <w:rPr>
          <w:sz w:val="16"/>
          <w:szCs w:val="16"/>
        </w:rPr>
        <w:t>c</w:t>
      </w:r>
      <w:r w:rsidRPr="00075A18">
        <w:rPr>
          <w:sz w:val="16"/>
          <w:szCs w:val="16"/>
        </w:rPr>
        <w:t xml:space="preserve">lash </w:t>
      </w:r>
      <w:r>
        <w:rPr>
          <w:sz w:val="16"/>
          <w:szCs w:val="16"/>
        </w:rPr>
        <w:t>p</w:t>
      </w:r>
      <w:r w:rsidRPr="00075A18">
        <w:rPr>
          <w:sz w:val="16"/>
          <w:szCs w:val="16"/>
        </w:rPr>
        <w:t xml:space="preserve">oint of </w:t>
      </w:r>
      <w:r>
        <w:rPr>
          <w:sz w:val="16"/>
          <w:szCs w:val="16"/>
        </w:rPr>
        <w:t>e</w:t>
      </w:r>
      <w:r w:rsidRPr="00075A18">
        <w:rPr>
          <w:sz w:val="16"/>
          <w:szCs w:val="16"/>
        </w:rPr>
        <w:t xml:space="preserve">xcellence and </w:t>
      </w:r>
      <w:r>
        <w:rPr>
          <w:sz w:val="16"/>
          <w:szCs w:val="16"/>
        </w:rPr>
        <w:t>s</w:t>
      </w:r>
      <w:r w:rsidRPr="00075A18">
        <w:rPr>
          <w:sz w:val="16"/>
          <w:szCs w:val="16"/>
        </w:rPr>
        <w:t xml:space="preserve">ocial </w:t>
      </w:r>
      <w:r>
        <w:rPr>
          <w:sz w:val="16"/>
          <w:szCs w:val="16"/>
        </w:rPr>
        <w:t>d</w:t>
      </w:r>
      <w:r w:rsidRPr="00075A18">
        <w:rPr>
          <w:sz w:val="16"/>
          <w:szCs w:val="16"/>
        </w:rPr>
        <w:t xml:space="preserve">imension. In Pricopie, R., Deca, L. and Adrian Curaj, Eds. (2018). European Higher Education Area: The Impact of Past and Future Policies. </w:t>
      </w:r>
      <w:r>
        <w:rPr>
          <w:sz w:val="16"/>
          <w:szCs w:val="16"/>
        </w:rPr>
        <w:t xml:space="preserve">Cham: </w:t>
      </w:r>
      <w:r w:rsidRPr="00075A18">
        <w:rPr>
          <w:sz w:val="16"/>
          <w:szCs w:val="16"/>
        </w:rPr>
        <w:t>Springer</w:t>
      </w:r>
      <w:r>
        <w:rPr>
          <w:sz w:val="16"/>
          <w:szCs w:val="16"/>
        </w:rPr>
        <w:t>.</w:t>
      </w:r>
    </w:p>
  </w:footnote>
  <w:footnote w:id="181">
    <w:p w14:paraId="3A7EF0B0" w14:textId="77777777" w:rsidR="007331AF" w:rsidRPr="00075A18" w:rsidRDefault="007331AF" w:rsidP="00566137">
      <w:pPr>
        <w:pStyle w:val="FootnoteText"/>
        <w:rPr>
          <w:rFonts w:cstheme="minorHAnsi"/>
          <w:sz w:val="16"/>
          <w:szCs w:val="16"/>
        </w:rPr>
      </w:pPr>
      <w:r w:rsidRPr="00075A18">
        <w:rPr>
          <w:rStyle w:val="FootnoteReference"/>
          <w:rFonts w:cstheme="minorHAnsi"/>
          <w:sz w:val="16"/>
          <w:szCs w:val="16"/>
        </w:rPr>
        <w:footnoteRef/>
      </w:r>
      <w:r w:rsidRPr="00075A18">
        <w:rPr>
          <w:rFonts w:cstheme="minorHAnsi"/>
          <w:sz w:val="16"/>
          <w:szCs w:val="16"/>
        </w:rPr>
        <w:t xml:space="preserve"> Bennett, A., Naylor, R., Mellor, K., Brett, M., Gore, J., Harvey, A.,</w:t>
      </w:r>
      <w:r>
        <w:rPr>
          <w:rFonts w:cstheme="minorHAnsi"/>
          <w:sz w:val="16"/>
          <w:szCs w:val="16"/>
        </w:rPr>
        <w:t xml:space="preserve"> and </w:t>
      </w:r>
      <w:r w:rsidRPr="00075A18">
        <w:rPr>
          <w:rFonts w:cstheme="minorHAnsi"/>
          <w:sz w:val="16"/>
          <w:szCs w:val="16"/>
        </w:rPr>
        <w:t xml:space="preserve">Whitty, G. (2015). The </w:t>
      </w:r>
      <w:r>
        <w:rPr>
          <w:rFonts w:cstheme="minorHAnsi"/>
          <w:sz w:val="16"/>
          <w:szCs w:val="16"/>
        </w:rPr>
        <w:t>C</w:t>
      </w:r>
      <w:r w:rsidRPr="00075A18">
        <w:rPr>
          <w:rFonts w:cstheme="minorHAnsi"/>
          <w:sz w:val="16"/>
          <w:szCs w:val="16"/>
        </w:rPr>
        <w:t xml:space="preserve">ritical </w:t>
      </w:r>
      <w:r>
        <w:rPr>
          <w:rFonts w:cstheme="minorHAnsi"/>
          <w:sz w:val="16"/>
          <w:szCs w:val="16"/>
        </w:rPr>
        <w:t>I</w:t>
      </w:r>
      <w:r w:rsidRPr="00075A18">
        <w:rPr>
          <w:rFonts w:cstheme="minorHAnsi"/>
          <w:sz w:val="16"/>
          <w:szCs w:val="16"/>
        </w:rPr>
        <w:t xml:space="preserve">nterventions </w:t>
      </w:r>
      <w:r>
        <w:rPr>
          <w:rFonts w:cstheme="minorHAnsi"/>
          <w:sz w:val="16"/>
          <w:szCs w:val="16"/>
        </w:rPr>
        <w:t>F</w:t>
      </w:r>
      <w:r w:rsidRPr="00075A18">
        <w:rPr>
          <w:rFonts w:cstheme="minorHAnsi"/>
          <w:sz w:val="16"/>
          <w:szCs w:val="16"/>
        </w:rPr>
        <w:t xml:space="preserve">ramework </w:t>
      </w:r>
      <w:r>
        <w:rPr>
          <w:rFonts w:cstheme="minorHAnsi"/>
          <w:sz w:val="16"/>
          <w:szCs w:val="16"/>
        </w:rPr>
        <w:t>P</w:t>
      </w:r>
      <w:r w:rsidRPr="00075A18">
        <w:rPr>
          <w:rFonts w:cstheme="minorHAnsi"/>
          <w:sz w:val="16"/>
          <w:szCs w:val="16"/>
        </w:rPr>
        <w:t xml:space="preserve">art 2: Equity </w:t>
      </w:r>
      <w:r>
        <w:rPr>
          <w:rFonts w:cstheme="minorHAnsi"/>
          <w:sz w:val="16"/>
          <w:szCs w:val="16"/>
        </w:rPr>
        <w:t>I</w:t>
      </w:r>
      <w:r w:rsidRPr="00075A18">
        <w:rPr>
          <w:rFonts w:cstheme="minorHAnsi"/>
          <w:sz w:val="16"/>
          <w:szCs w:val="16"/>
        </w:rPr>
        <w:t xml:space="preserve">nitiatives in Australian </w:t>
      </w:r>
      <w:r>
        <w:rPr>
          <w:rFonts w:cstheme="minorHAnsi"/>
          <w:sz w:val="16"/>
          <w:szCs w:val="16"/>
        </w:rPr>
        <w:t>H</w:t>
      </w:r>
      <w:r w:rsidRPr="00075A18">
        <w:rPr>
          <w:rFonts w:cstheme="minorHAnsi"/>
          <w:sz w:val="16"/>
          <w:szCs w:val="16"/>
        </w:rPr>
        <w:t xml:space="preserve">igher </w:t>
      </w:r>
      <w:r>
        <w:rPr>
          <w:rFonts w:cstheme="minorHAnsi"/>
          <w:sz w:val="16"/>
          <w:szCs w:val="16"/>
        </w:rPr>
        <w:t>E</w:t>
      </w:r>
      <w:r w:rsidRPr="00075A18">
        <w:rPr>
          <w:rFonts w:cstheme="minorHAnsi"/>
          <w:sz w:val="16"/>
          <w:szCs w:val="16"/>
        </w:rPr>
        <w:t xml:space="preserve">ducation: A </w:t>
      </w:r>
      <w:r>
        <w:rPr>
          <w:rFonts w:cstheme="minorHAnsi"/>
          <w:sz w:val="16"/>
          <w:szCs w:val="16"/>
        </w:rPr>
        <w:t>R</w:t>
      </w:r>
      <w:r w:rsidRPr="00075A18">
        <w:rPr>
          <w:rFonts w:cstheme="minorHAnsi"/>
          <w:sz w:val="16"/>
          <w:szCs w:val="16"/>
        </w:rPr>
        <w:t xml:space="preserve">eview of </w:t>
      </w:r>
      <w:r>
        <w:rPr>
          <w:rFonts w:cstheme="minorHAnsi"/>
          <w:sz w:val="16"/>
          <w:szCs w:val="16"/>
        </w:rPr>
        <w:t>E</w:t>
      </w:r>
      <w:r w:rsidRPr="00075A18">
        <w:rPr>
          <w:rFonts w:cstheme="minorHAnsi"/>
          <w:sz w:val="16"/>
          <w:szCs w:val="16"/>
        </w:rPr>
        <w:t xml:space="preserve">vidence of </w:t>
      </w:r>
      <w:r>
        <w:rPr>
          <w:rFonts w:cstheme="minorHAnsi"/>
          <w:sz w:val="16"/>
          <w:szCs w:val="16"/>
        </w:rPr>
        <w:t>I</w:t>
      </w:r>
      <w:r w:rsidRPr="00075A18">
        <w:rPr>
          <w:rFonts w:cstheme="minorHAnsi"/>
          <w:sz w:val="16"/>
          <w:szCs w:val="16"/>
        </w:rPr>
        <w:t xml:space="preserve">mpact. </w:t>
      </w:r>
      <w:r>
        <w:rPr>
          <w:rFonts w:cstheme="minorHAnsi"/>
          <w:sz w:val="16"/>
          <w:szCs w:val="16"/>
        </w:rPr>
        <w:t xml:space="preserve">Canberra: Australian Government Department of Education and Training. </w:t>
      </w:r>
    </w:p>
  </w:footnote>
  <w:footnote w:id="182">
    <w:p w14:paraId="32E45300" w14:textId="77777777" w:rsidR="007331AF" w:rsidRPr="00075A18" w:rsidRDefault="007331AF" w:rsidP="00566137">
      <w:pPr>
        <w:pStyle w:val="FootnoteText"/>
        <w:rPr>
          <w:rFonts w:cstheme="minorHAnsi"/>
          <w:sz w:val="16"/>
          <w:szCs w:val="16"/>
        </w:rPr>
      </w:pPr>
      <w:r w:rsidRPr="00075A18">
        <w:rPr>
          <w:rStyle w:val="FootnoteReference"/>
          <w:rFonts w:cstheme="minorHAnsi"/>
          <w:sz w:val="16"/>
          <w:szCs w:val="16"/>
        </w:rPr>
        <w:footnoteRef/>
      </w:r>
      <w:r w:rsidRPr="00075A18">
        <w:rPr>
          <w:rFonts w:cstheme="minorHAnsi"/>
          <w:sz w:val="16"/>
          <w:szCs w:val="16"/>
        </w:rPr>
        <w:t xml:space="preserve"> Martin, B.</w:t>
      </w:r>
      <w:r>
        <w:rPr>
          <w:rFonts w:cstheme="minorHAnsi"/>
          <w:sz w:val="16"/>
          <w:szCs w:val="16"/>
        </w:rPr>
        <w:t>,</w:t>
      </w:r>
      <w:r w:rsidRPr="00075A18">
        <w:rPr>
          <w:rFonts w:cstheme="minorHAnsi"/>
          <w:sz w:val="16"/>
          <w:szCs w:val="16"/>
        </w:rPr>
        <w:t xml:space="preserve"> McLean, G., Noonan, P., Tomaszewski, W</w:t>
      </w:r>
      <w:r>
        <w:rPr>
          <w:rFonts w:cstheme="minorHAnsi"/>
          <w:sz w:val="16"/>
          <w:szCs w:val="16"/>
        </w:rPr>
        <w:t>.,</w:t>
      </w:r>
      <w:r w:rsidRPr="00075A18">
        <w:rPr>
          <w:rFonts w:cstheme="minorHAnsi"/>
          <w:sz w:val="16"/>
          <w:szCs w:val="16"/>
        </w:rPr>
        <w:t xml:space="preserve"> and Western, M., (2016). Scoping the Widening Participation Longitudinal Study, Final Report for the Australian Government of Education and Training. University of Queensland</w:t>
      </w:r>
      <w:r>
        <w:rPr>
          <w:rFonts w:cstheme="minorHAnsi"/>
          <w:sz w:val="16"/>
          <w:szCs w:val="16"/>
        </w:rPr>
        <w:t>, Queensland</w:t>
      </w:r>
      <w:r w:rsidRPr="00075A18">
        <w:rPr>
          <w:rFonts w:cstheme="minorHAnsi"/>
          <w:sz w:val="16"/>
          <w:szCs w:val="16"/>
        </w:rPr>
        <w:t>.</w:t>
      </w:r>
      <w:r w:rsidRPr="00075A18">
        <w:rPr>
          <w:rFonts w:cstheme="minorHAnsi"/>
          <w:color w:val="222222"/>
          <w:sz w:val="16"/>
          <w:szCs w:val="16"/>
          <w:shd w:val="clear" w:color="auto" w:fill="FFFFFF"/>
        </w:rPr>
        <w:t xml:space="preserve"> Burke, P. J., Hayton, A.,</w:t>
      </w:r>
      <w:r>
        <w:rPr>
          <w:rFonts w:cstheme="minorHAnsi"/>
          <w:color w:val="222222"/>
          <w:sz w:val="16"/>
          <w:szCs w:val="16"/>
          <w:shd w:val="clear" w:color="auto" w:fill="FFFFFF"/>
        </w:rPr>
        <w:t xml:space="preserve"> and </w:t>
      </w:r>
      <w:r w:rsidRPr="00075A18">
        <w:rPr>
          <w:rFonts w:cstheme="minorHAnsi"/>
          <w:color w:val="222222"/>
          <w:sz w:val="16"/>
          <w:szCs w:val="16"/>
          <w:shd w:val="clear" w:color="auto" w:fill="FFFFFF"/>
        </w:rPr>
        <w:t>Stevenson, J. (2018). </w:t>
      </w:r>
      <w:r w:rsidRPr="00075A18">
        <w:rPr>
          <w:rFonts w:cstheme="minorHAnsi"/>
          <w:iCs/>
          <w:color w:val="222222"/>
          <w:sz w:val="16"/>
          <w:szCs w:val="16"/>
          <w:shd w:val="clear" w:color="auto" w:fill="FFFFFF"/>
        </w:rPr>
        <w:t>Evaluating Equity and Widening Participation in Higher Education</w:t>
      </w:r>
      <w:r w:rsidRPr="00075A18">
        <w:rPr>
          <w:rFonts w:cstheme="minorHAnsi"/>
          <w:color w:val="222222"/>
          <w:sz w:val="16"/>
          <w:szCs w:val="16"/>
          <w:shd w:val="clear" w:color="auto" w:fill="FFFFFF"/>
        </w:rPr>
        <w:t xml:space="preserve">. </w:t>
      </w:r>
      <w:r>
        <w:rPr>
          <w:rFonts w:cstheme="minorHAnsi"/>
          <w:color w:val="222222"/>
          <w:sz w:val="16"/>
          <w:szCs w:val="16"/>
          <w:shd w:val="clear" w:color="auto" w:fill="FFFFFF"/>
        </w:rPr>
        <w:t xml:space="preserve">London: </w:t>
      </w:r>
      <w:r w:rsidRPr="00075A18">
        <w:rPr>
          <w:rFonts w:cstheme="minorHAnsi"/>
          <w:color w:val="222222"/>
          <w:sz w:val="16"/>
          <w:szCs w:val="16"/>
          <w:shd w:val="clear" w:color="auto" w:fill="FFFFFF"/>
        </w:rPr>
        <w:t>Trentham Books.</w:t>
      </w:r>
    </w:p>
  </w:footnote>
  <w:footnote w:id="183">
    <w:p w14:paraId="7C50F047" w14:textId="77777777" w:rsidR="007331AF" w:rsidRPr="00306B74" w:rsidRDefault="007331AF" w:rsidP="00566137">
      <w:pPr>
        <w:pStyle w:val="FootnoteText"/>
        <w:rPr>
          <w:sz w:val="16"/>
          <w:szCs w:val="16"/>
        </w:rPr>
      </w:pPr>
      <w:r w:rsidRPr="00306B74">
        <w:rPr>
          <w:rStyle w:val="FootnoteReference"/>
          <w:sz w:val="16"/>
          <w:szCs w:val="16"/>
        </w:rPr>
        <w:footnoteRef/>
      </w:r>
      <w:r w:rsidRPr="00306B74">
        <w:rPr>
          <w:sz w:val="16"/>
          <w:szCs w:val="16"/>
        </w:rPr>
        <w:t xml:space="preserve"> For example, </w:t>
      </w:r>
      <w:r w:rsidRPr="00502BD8">
        <w:rPr>
          <w:sz w:val="16"/>
          <w:szCs w:val="16"/>
        </w:rPr>
        <w:t>Naylor, R., Baik, C., and J</w:t>
      </w:r>
      <w:r w:rsidRPr="00C64C9C">
        <w:rPr>
          <w:sz w:val="16"/>
          <w:szCs w:val="16"/>
        </w:rPr>
        <w:t xml:space="preserve">ames, R. (2013). A Critical </w:t>
      </w:r>
      <w:r w:rsidRPr="00E55059">
        <w:rPr>
          <w:sz w:val="16"/>
          <w:szCs w:val="16"/>
        </w:rPr>
        <w:t>I</w:t>
      </w:r>
      <w:r w:rsidRPr="00382CA0">
        <w:rPr>
          <w:sz w:val="16"/>
          <w:szCs w:val="16"/>
        </w:rPr>
        <w:t>nterventions F</w:t>
      </w:r>
      <w:r w:rsidRPr="00A52D4A">
        <w:rPr>
          <w:sz w:val="16"/>
          <w:szCs w:val="16"/>
        </w:rPr>
        <w:t>ramework for Advancing Equity in Australian Higher E</w:t>
      </w:r>
      <w:r w:rsidRPr="00D84EDD">
        <w:rPr>
          <w:sz w:val="16"/>
          <w:szCs w:val="16"/>
        </w:rPr>
        <w:t>ducation. Canberra: Department of Industry, Innovation, Climate Change, Science, Research and Tertiary Education.</w:t>
      </w:r>
      <w:r w:rsidRPr="00D84EDD">
        <w:rPr>
          <w:rFonts w:cstheme="minorHAnsi"/>
          <w:sz w:val="16"/>
          <w:szCs w:val="16"/>
        </w:rPr>
        <w:t xml:space="preserve"> Bennett, A., Naylor, R., Mellor, K., Brett, M., Gore, J., Harvey, A., and Whitty, G. (2015). The Critical Interventions Framework Part 2: Equity Initiatives in Australian Higher Education: A Review of Evidence of Impact. </w:t>
      </w:r>
      <w:r w:rsidRPr="00502BD8">
        <w:rPr>
          <w:rFonts w:cstheme="minorHAnsi"/>
          <w:sz w:val="16"/>
          <w:szCs w:val="16"/>
        </w:rPr>
        <w:t>Canberra: Australian Government Department of Education and Training. Martin, B., McLean, G., Noonan, P., Tomaszewski, W., and Western, M., (2016). Scoping the Widening Participation Longitudinal Study, Final Report for the Australian Government of Education and Training. Brisbane: University of Queensland.</w:t>
      </w:r>
    </w:p>
  </w:footnote>
  <w:footnote w:id="184">
    <w:p w14:paraId="481EC65C" w14:textId="77777777" w:rsidR="007331AF" w:rsidRPr="00F4643E" w:rsidRDefault="007331AF" w:rsidP="00566137">
      <w:pPr>
        <w:pStyle w:val="FootnoteText"/>
        <w:rPr>
          <w:sz w:val="16"/>
          <w:szCs w:val="16"/>
        </w:rPr>
      </w:pPr>
      <w:r w:rsidRPr="00F4643E">
        <w:rPr>
          <w:rStyle w:val="FootnoteReference"/>
          <w:sz w:val="16"/>
          <w:szCs w:val="16"/>
        </w:rPr>
        <w:footnoteRef/>
      </w:r>
      <w:r w:rsidRPr="00F4643E">
        <w:rPr>
          <w:sz w:val="16"/>
          <w:szCs w:val="16"/>
        </w:rPr>
        <w:t xml:space="preserve"> Gale, T., Hattam, R., Comber, B., Tranter, D., Bills, D., Sellar, S.,</w:t>
      </w:r>
      <w:r>
        <w:rPr>
          <w:sz w:val="16"/>
          <w:szCs w:val="16"/>
        </w:rPr>
        <w:t xml:space="preserve"> and </w:t>
      </w:r>
      <w:r w:rsidRPr="00F4643E">
        <w:rPr>
          <w:sz w:val="16"/>
          <w:szCs w:val="16"/>
        </w:rPr>
        <w:t xml:space="preserve">Parker, S. (2010). Interventions </w:t>
      </w:r>
      <w:r>
        <w:rPr>
          <w:sz w:val="16"/>
          <w:szCs w:val="16"/>
        </w:rPr>
        <w:t>E</w:t>
      </w:r>
      <w:r w:rsidRPr="00F4643E">
        <w:rPr>
          <w:sz w:val="16"/>
          <w:szCs w:val="16"/>
        </w:rPr>
        <w:t xml:space="preserve">arly in </w:t>
      </w:r>
      <w:r>
        <w:rPr>
          <w:sz w:val="16"/>
          <w:szCs w:val="16"/>
        </w:rPr>
        <w:t>S</w:t>
      </w:r>
      <w:r w:rsidRPr="00F4643E">
        <w:rPr>
          <w:sz w:val="16"/>
          <w:szCs w:val="16"/>
        </w:rPr>
        <w:t xml:space="preserve">chool as a </w:t>
      </w:r>
      <w:r>
        <w:rPr>
          <w:sz w:val="16"/>
          <w:szCs w:val="16"/>
        </w:rPr>
        <w:t>M</w:t>
      </w:r>
      <w:r w:rsidRPr="00F4643E">
        <w:rPr>
          <w:sz w:val="16"/>
          <w:szCs w:val="16"/>
        </w:rPr>
        <w:t xml:space="preserve">eans to </w:t>
      </w:r>
      <w:r>
        <w:rPr>
          <w:sz w:val="16"/>
          <w:szCs w:val="16"/>
        </w:rPr>
        <w:t>I</w:t>
      </w:r>
      <w:r w:rsidRPr="00F4643E">
        <w:rPr>
          <w:sz w:val="16"/>
          <w:szCs w:val="16"/>
        </w:rPr>
        <w:t xml:space="preserve">mprove </w:t>
      </w:r>
      <w:r>
        <w:rPr>
          <w:sz w:val="16"/>
          <w:szCs w:val="16"/>
        </w:rPr>
        <w:t>H</w:t>
      </w:r>
      <w:r w:rsidRPr="00F4643E">
        <w:rPr>
          <w:sz w:val="16"/>
          <w:szCs w:val="16"/>
        </w:rPr>
        <w:t xml:space="preserve">igher </w:t>
      </w:r>
      <w:r>
        <w:rPr>
          <w:sz w:val="16"/>
          <w:szCs w:val="16"/>
        </w:rPr>
        <w:t>E</w:t>
      </w:r>
      <w:r w:rsidRPr="00F4643E">
        <w:rPr>
          <w:sz w:val="16"/>
          <w:szCs w:val="16"/>
        </w:rPr>
        <w:t xml:space="preserve">ducation </w:t>
      </w:r>
      <w:r>
        <w:rPr>
          <w:sz w:val="16"/>
          <w:szCs w:val="16"/>
        </w:rPr>
        <w:t>O</w:t>
      </w:r>
      <w:r w:rsidRPr="00F4643E">
        <w:rPr>
          <w:sz w:val="16"/>
          <w:szCs w:val="16"/>
        </w:rPr>
        <w:t xml:space="preserve">utcomes for </w:t>
      </w:r>
      <w:r>
        <w:rPr>
          <w:sz w:val="16"/>
          <w:szCs w:val="16"/>
        </w:rPr>
        <w:t>D</w:t>
      </w:r>
      <w:r w:rsidRPr="00F4643E">
        <w:rPr>
          <w:sz w:val="16"/>
          <w:szCs w:val="16"/>
        </w:rPr>
        <w:t xml:space="preserve">isadvantaged </w:t>
      </w:r>
      <w:r>
        <w:rPr>
          <w:sz w:val="16"/>
          <w:szCs w:val="16"/>
        </w:rPr>
        <w:t>S</w:t>
      </w:r>
      <w:r w:rsidRPr="00F4643E">
        <w:rPr>
          <w:sz w:val="16"/>
          <w:szCs w:val="16"/>
        </w:rPr>
        <w:t>tudents. National Centre for Student Equity in Higher Education</w:t>
      </w:r>
      <w:r>
        <w:rPr>
          <w:sz w:val="16"/>
          <w:szCs w:val="16"/>
        </w:rPr>
        <w:t>, Perth: Curtin University.</w:t>
      </w:r>
      <w:r w:rsidRPr="00CE17A2">
        <w:rPr>
          <w:sz w:val="16"/>
          <w:szCs w:val="16"/>
        </w:rPr>
        <w:t xml:space="preserve"> </w:t>
      </w:r>
      <w:r w:rsidRPr="00F4643E">
        <w:rPr>
          <w:sz w:val="16"/>
          <w:szCs w:val="16"/>
        </w:rPr>
        <w:t xml:space="preserve">Edwards, D., Brown, J., Rothman, S., Richardson, S., Friedman, T., and Underwood, C. (2013). Improving the Tertiary Education System, Participation and Results: Project Report. </w:t>
      </w:r>
      <w:r>
        <w:rPr>
          <w:sz w:val="16"/>
          <w:szCs w:val="16"/>
        </w:rPr>
        <w:t xml:space="preserve">Canberra: </w:t>
      </w:r>
      <w:r w:rsidRPr="00F4643E">
        <w:rPr>
          <w:sz w:val="16"/>
          <w:szCs w:val="16"/>
        </w:rPr>
        <w:t>Australian Council for Educational Research</w:t>
      </w:r>
      <w:r>
        <w:rPr>
          <w:sz w:val="16"/>
          <w:szCs w:val="16"/>
        </w:rPr>
        <w:t xml:space="preserve">. </w:t>
      </w:r>
      <w:r w:rsidRPr="00F4643E">
        <w:rPr>
          <w:sz w:val="16"/>
          <w:szCs w:val="16"/>
        </w:rPr>
        <w:t xml:space="preserve">KPMG. (2015). Evaluation of </w:t>
      </w:r>
      <w:r>
        <w:rPr>
          <w:sz w:val="16"/>
          <w:szCs w:val="16"/>
        </w:rPr>
        <w:t>B</w:t>
      </w:r>
      <w:r w:rsidRPr="00F4643E">
        <w:rPr>
          <w:sz w:val="16"/>
          <w:szCs w:val="16"/>
        </w:rPr>
        <w:t xml:space="preserve">ridges to </w:t>
      </w:r>
      <w:r>
        <w:rPr>
          <w:sz w:val="16"/>
          <w:szCs w:val="16"/>
        </w:rPr>
        <w:t>H</w:t>
      </w:r>
      <w:r w:rsidRPr="00F4643E">
        <w:rPr>
          <w:sz w:val="16"/>
          <w:szCs w:val="16"/>
        </w:rPr>
        <w:t xml:space="preserve">igher </w:t>
      </w:r>
      <w:r>
        <w:rPr>
          <w:sz w:val="16"/>
          <w:szCs w:val="16"/>
        </w:rPr>
        <w:t>Ed</w:t>
      </w:r>
      <w:r w:rsidRPr="00F4643E">
        <w:rPr>
          <w:sz w:val="16"/>
          <w:szCs w:val="16"/>
        </w:rPr>
        <w:t xml:space="preserve">ucation, </w:t>
      </w:r>
      <w:r>
        <w:rPr>
          <w:sz w:val="16"/>
          <w:szCs w:val="16"/>
        </w:rPr>
        <w:t>F</w:t>
      </w:r>
      <w:r w:rsidRPr="00F4643E">
        <w:rPr>
          <w:sz w:val="16"/>
          <w:szCs w:val="16"/>
        </w:rPr>
        <w:t xml:space="preserve">inal </w:t>
      </w:r>
      <w:r>
        <w:rPr>
          <w:sz w:val="16"/>
          <w:szCs w:val="16"/>
        </w:rPr>
        <w:t>R</w:t>
      </w:r>
      <w:r w:rsidRPr="00F4643E">
        <w:rPr>
          <w:sz w:val="16"/>
          <w:szCs w:val="16"/>
        </w:rPr>
        <w:t>eport</w:t>
      </w:r>
      <w:r>
        <w:rPr>
          <w:sz w:val="16"/>
          <w:szCs w:val="16"/>
        </w:rPr>
        <w:t xml:space="preserve"> Prepared for the Bridges to Higher Education Management Committee</w:t>
      </w:r>
      <w:r w:rsidRPr="00F4643E">
        <w:rPr>
          <w:sz w:val="16"/>
          <w:szCs w:val="16"/>
        </w:rPr>
        <w:t xml:space="preserve">. </w:t>
      </w:r>
      <w:r>
        <w:rPr>
          <w:sz w:val="16"/>
          <w:szCs w:val="16"/>
        </w:rPr>
        <w:t xml:space="preserve">Available at </w:t>
      </w:r>
      <w:r w:rsidRPr="000C6BD7">
        <w:rPr>
          <w:sz w:val="16"/>
          <w:szCs w:val="16"/>
        </w:rPr>
        <w:t>www.bridges.nsw.edu.au</w:t>
      </w:r>
      <w:r>
        <w:rPr>
          <w:sz w:val="16"/>
          <w:szCs w:val="16"/>
        </w:rPr>
        <w:t>.</w:t>
      </w:r>
      <w:r w:rsidRPr="00CE17A2">
        <w:rPr>
          <w:rFonts w:cstheme="minorHAnsi"/>
          <w:sz w:val="16"/>
          <w:szCs w:val="16"/>
        </w:rPr>
        <w:t xml:space="preserve"> </w:t>
      </w:r>
      <w:r w:rsidRPr="00C248ED">
        <w:rPr>
          <w:rFonts w:cstheme="minorHAnsi"/>
          <w:sz w:val="16"/>
          <w:szCs w:val="16"/>
        </w:rPr>
        <w:t xml:space="preserve">Bennett, A., Naylor, R., Mellor, K., Brett, M., Gore, J., Harvey, A., and Whitty, G. (2015). The Critical Interventions Framework Part 2: Equity Initiatives in Australian Higher Education: A Review of Evidence of Impact. </w:t>
      </w:r>
      <w:r>
        <w:rPr>
          <w:rFonts w:cstheme="minorHAnsi"/>
          <w:sz w:val="16"/>
          <w:szCs w:val="16"/>
        </w:rPr>
        <w:t xml:space="preserve">Canberra: </w:t>
      </w:r>
      <w:r w:rsidRPr="00C248ED">
        <w:rPr>
          <w:rFonts w:cstheme="minorHAnsi"/>
          <w:sz w:val="16"/>
          <w:szCs w:val="16"/>
        </w:rPr>
        <w:t>Australian Government Department of Education and Training.</w:t>
      </w:r>
      <w:r w:rsidRPr="00F4643E">
        <w:rPr>
          <w:sz w:val="16"/>
          <w:szCs w:val="16"/>
        </w:rPr>
        <w:t xml:space="preserve">  </w:t>
      </w:r>
    </w:p>
  </w:footnote>
  <w:footnote w:id="185">
    <w:p w14:paraId="5FAC86EB" w14:textId="0AA1CD42"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National Centre for Student Equity in Higher Education (2017) NCSEHE Focus</w:t>
      </w:r>
      <w:r>
        <w:rPr>
          <w:rFonts w:cstheme="minorHAnsi"/>
          <w:sz w:val="16"/>
          <w:szCs w:val="16"/>
        </w:rPr>
        <w:t>—</w:t>
      </w:r>
      <w:r w:rsidRPr="00304E3B">
        <w:rPr>
          <w:rFonts w:cstheme="minorHAnsi"/>
          <w:sz w:val="16"/>
          <w:szCs w:val="16"/>
        </w:rPr>
        <w:t xml:space="preserve">Successful </w:t>
      </w:r>
      <w:r>
        <w:rPr>
          <w:rFonts w:cstheme="minorHAnsi"/>
          <w:sz w:val="16"/>
          <w:szCs w:val="16"/>
        </w:rPr>
        <w:t>O</w:t>
      </w:r>
      <w:r w:rsidRPr="00304E3B">
        <w:rPr>
          <w:rFonts w:cstheme="minorHAnsi"/>
          <w:sz w:val="16"/>
          <w:szCs w:val="16"/>
        </w:rPr>
        <w:t xml:space="preserve">utcomes for </w:t>
      </w:r>
      <w:r>
        <w:rPr>
          <w:rFonts w:cstheme="minorHAnsi"/>
          <w:sz w:val="16"/>
          <w:szCs w:val="16"/>
        </w:rPr>
        <w:t>R</w:t>
      </w:r>
      <w:r w:rsidRPr="00304E3B">
        <w:rPr>
          <w:rFonts w:cstheme="minorHAnsi"/>
          <w:sz w:val="16"/>
          <w:szCs w:val="16"/>
        </w:rPr>
        <w:t xml:space="preserve">egional and </w:t>
      </w:r>
      <w:r>
        <w:rPr>
          <w:rFonts w:cstheme="minorHAnsi"/>
          <w:sz w:val="16"/>
          <w:szCs w:val="16"/>
        </w:rPr>
        <w:t>R</w:t>
      </w:r>
      <w:r w:rsidRPr="00304E3B">
        <w:rPr>
          <w:rFonts w:cstheme="minorHAnsi"/>
          <w:sz w:val="16"/>
          <w:szCs w:val="16"/>
        </w:rPr>
        <w:t xml:space="preserve">emote students in Australian </w:t>
      </w:r>
      <w:r>
        <w:rPr>
          <w:rFonts w:cstheme="minorHAnsi"/>
          <w:sz w:val="16"/>
          <w:szCs w:val="16"/>
        </w:rPr>
        <w:t>H</w:t>
      </w:r>
      <w:r w:rsidRPr="00304E3B">
        <w:rPr>
          <w:rFonts w:cstheme="minorHAnsi"/>
          <w:sz w:val="16"/>
          <w:szCs w:val="16"/>
        </w:rPr>
        <w:t xml:space="preserve">igher </w:t>
      </w:r>
      <w:r>
        <w:rPr>
          <w:rFonts w:cstheme="minorHAnsi"/>
          <w:sz w:val="16"/>
          <w:szCs w:val="16"/>
        </w:rPr>
        <w:t>E</w:t>
      </w:r>
      <w:r w:rsidRPr="00304E3B">
        <w:rPr>
          <w:rFonts w:cstheme="minorHAnsi"/>
          <w:sz w:val="16"/>
          <w:szCs w:val="16"/>
        </w:rPr>
        <w:t>ducation</w:t>
      </w:r>
      <w:r>
        <w:rPr>
          <w:rFonts w:cstheme="minorHAnsi"/>
          <w:sz w:val="16"/>
          <w:szCs w:val="16"/>
        </w:rPr>
        <w:t>:</w:t>
      </w:r>
      <w:r w:rsidRPr="00304E3B">
        <w:rPr>
          <w:rFonts w:cstheme="minorHAnsi"/>
          <w:sz w:val="16"/>
          <w:szCs w:val="16"/>
        </w:rPr>
        <w:t xml:space="preserve"> Issues, </w:t>
      </w:r>
      <w:r>
        <w:rPr>
          <w:rFonts w:cstheme="minorHAnsi"/>
          <w:sz w:val="16"/>
          <w:szCs w:val="16"/>
        </w:rPr>
        <w:t>C</w:t>
      </w:r>
      <w:r w:rsidRPr="00304E3B">
        <w:rPr>
          <w:rFonts w:cstheme="minorHAnsi"/>
          <w:sz w:val="16"/>
          <w:szCs w:val="16"/>
        </w:rPr>
        <w:t xml:space="preserve">hallenges, </w:t>
      </w:r>
      <w:r>
        <w:rPr>
          <w:rFonts w:cstheme="minorHAnsi"/>
          <w:sz w:val="16"/>
          <w:szCs w:val="16"/>
        </w:rPr>
        <w:t>O</w:t>
      </w:r>
      <w:r w:rsidRPr="00304E3B">
        <w:rPr>
          <w:rFonts w:cstheme="minorHAnsi"/>
          <w:sz w:val="16"/>
          <w:szCs w:val="16"/>
        </w:rPr>
        <w:t xml:space="preserve">pportunities and </w:t>
      </w:r>
      <w:r>
        <w:rPr>
          <w:rFonts w:cstheme="minorHAnsi"/>
          <w:sz w:val="16"/>
          <w:szCs w:val="16"/>
        </w:rPr>
        <w:t>R</w:t>
      </w:r>
      <w:r w:rsidRPr="00304E3B">
        <w:rPr>
          <w:rFonts w:cstheme="minorHAnsi"/>
          <w:sz w:val="16"/>
          <w:szCs w:val="16"/>
        </w:rPr>
        <w:t xml:space="preserve">ecommendations from </w:t>
      </w:r>
      <w:r>
        <w:rPr>
          <w:rFonts w:cstheme="minorHAnsi"/>
          <w:sz w:val="16"/>
          <w:szCs w:val="16"/>
        </w:rPr>
        <w:t>R</w:t>
      </w:r>
      <w:r w:rsidRPr="00304E3B">
        <w:rPr>
          <w:rFonts w:cstheme="minorHAnsi"/>
          <w:sz w:val="16"/>
          <w:szCs w:val="16"/>
        </w:rPr>
        <w:t xml:space="preserve">esearch funded by the National Centre for Student Equity in Higher Education. </w:t>
      </w:r>
      <w:r>
        <w:rPr>
          <w:rFonts w:cstheme="minorHAnsi"/>
          <w:sz w:val="16"/>
          <w:szCs w:val="16"/>
        </w:rPr>
        <w:t>Available a</w:t>
      </w:r>
      <w:r w:rsidRPr="00304E3B">
        <w:rPr>
          <w:rFonts w:cstheme="minorHAnsi"/>
          <w:sz w:val="16"/>
          <w:szCs w:val="16"/>
        </w:rPr>
        <w:t xml:space="preserve">t </w:t>
      </w:r>
      <w:hyperlink r:id="rId25" w:history="1">
        <w:r w:rsidRPr="00D3786E">
          <w:rPr>
            <w:rStyle w:val="Hyperlink"/>
            <w:rFonts w:cstheme="minorHAnsi"/>
            <w:sz w:val="16"/>
            <w:szCs w:val="16"/>
          </w:rPr>
          <w:t>https://www.ncsehe.edu.au/wp-content/uploads/2017/10/Regional-feature-FINAL.pdf</w:t>
        </w:r>
      </w:hyperlink>
      <w:r>
        <w:rPr>
          <w:rFonts w:cstheme="minorHAnsi"/>
          <w:sz w:val="16"/>
          <w:szCs w:val="16"/>
        </w:rPr>
        <w:t xml:space="preserve"> .</w:t>
      </w:r>
      <w:r w:rsidRPr="00304E3B">
        <w:rPr>
          <w:rFonts w:cstheme="minorHAnsi"/>
          <w:sz w:val="16"/>
          <w:szCs w:val="16"/>
        </w:rPr>
        <w:t xml:space="preserve"> </w:t>
      </w:r>
    </w:p>
  </w:footnote>
  <w:footnote w:id="186">
    <w:p w14:paraId="78C0DADB" w14:textId="77777777"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w:t>
      </w:r>
      <w:r w:rsidRPr="0024770F">
        <w:rPr>
          <w:rFonts w:cstheme="minorHAnsi"/>
          <w:color w:val="222222"/>
          <w:sz w:val="16"/>
          <w:szCs w:val="16"/>
          <w:shd w:val="clear" w:color="auto" w:fill="FFFFFF"/>
        </w:rPr>
        <w:t>Etzkowitz, H., and Leydesdorff, L. (1997). Introduction to special issue on science policy dimensions of the Triple Helix of university-industry-government relations, Editorial, Science and Public Policy, 24(1), 2-5.</w:t>
      </w:r>
      <w:r w:rsidRPr="00841EB6">
        <w:rPr>
          <w:rFonts w:cstheme="minorHAnsi"/>
          <w:color w:val="222222"/>
          <w:sz w:val="16"/>
          <w:szCs w:val="16"/>
          <w:shd w:val="clear" w:color="auto" w:fill="FFFFFF"/>
        </w:rPr>
        <w:t xml:space="preserve"> </w:t>
      </w:r>
      <w:r w:rsidRPr="00304E3B">
        <w:rPr>
          <w:rFonts w:cstheme="minorHAnsi"/>
          <w:color w:val="222222"/>
          <w:sz w:val="16"/>
          <w:szCs w:val="16"/>
          <w:shd w:val="clear" w:color="auto" w:fill="FFFFFF"/>
        </w:rPr>
        <w:t>Rodrigues, C.,</w:t>
      </w:r>
      <w:r>
        <w:rPr>
          <w:rFonts w:cstheme="minorHAnsi"/>
          <w:color w:val="222222"/>
          <w:sz w:val="16"/>
          <w:szCs w:val="16"/>
          <w:shd w:val="clear" w:color="auto" w:fill="FFFFFF"/>
        </w:rPr>
        <w:t xml:space="preserve"> and </w:t>
      </w:r>
      <w:r w:rsidRPr="00304E3B">
        <w:rPr>
          <w:rFonts w:cstheme="minorHAnsi"/>
          <w:color w:val="222222"/>
          <w:sz w:val="16"/>
          <w:szCs w:val="16"/>
          <w:shd w:val="clear" w:color="auto" w:fill="FFFFFF"/>
        </w:rPr>
        <w:t xml:space="preserve">Melo, A.I. (2013). The </w:t>
      </w:r>
      <w:r>
        <w:rPr>
          <w:rFonts w:cstheme="minorHAnsi"/>
          <w:color w:val="222222"/>
          <w:sz w:val="16"/>
          <w:szCs w:val="16"/>
          <w:shd w:val="clear" w:color="auto" w:fill="FFFFFF"/>
        </w:rPr>
        <w:t>t</w:t>
      </w:r>
      <w:r w:rsidRPr="00304E3B">
        <w:rPr>
          <w:rFonts w:cstheme="minorHAnsi"/>
          <w:color w:val="222222"/>
          <w:sz w:val="16"/>
          <w:szCs w:val="16"/>
          <w:shd w:val="clear" w:color="auto" w:fill="FFFFFF"/>
        </w:rPr>
        <w:t xml:space="preserve">riple </w:t>
      </w:r>
      <w:r>
        <w:rPr>
          <w:rFonts w:cstheme="minorHAnsi"/>
          <w:color w:val="222222"/>
          <w:sz w:val="16"/>
          <w:szCs w:val="16"/>
          <w:shd w:val="clear" w:color="auto" w:fill="FFFFFF"/>
        </w:rPr>
        <w:t>h</w:t>
      </w:r>
      <w:r w:rsidRPr="00304E3B">
        <w:rPr>
          <w:rFonts w:cstheme="minorHAnsi"/>
          <w:color w:val="222222"/>
          <w:sz w:val="16"/>
          <w:szCs w:val="16"/>
          <w:shd w:val="clear" w:color="auto" w:fill="FFFFFF"/>
        </w:rPr>
        <w:t xml:space="preserve">elix </w:t>
      </w:r>
      <w:r>
        <w:rPr>
          <w:rFonts w:cstheme="minorHAnsi"/>
          <w:color w:val="222222"/>
          <w:sz w:val="16"/>
          <w:szCs w:val="16"/>
          <w:shd w:val="clear" w:color="auto" w:fill="FFFFFF"/>
        </w:rPr>
        <w:t>m</w:t>
      </w:r>
      <w:r w:rsidRPr="00304E3B">
        <w:rPr>
          <w:rFonts w:cstheme="minorHAnsi"/>
          <w:color w:val="222222"/>
          <w:sz w:val="16"/>
          <w:szCs w:val="16"/>
          <w:shd w:val="clear" w:color="auto" w:fill="FFFFFF"/>
        </w:rPr>
        <w:t xml:space="preserve">odel as </w:t>
      </w:r>
      <w:r>
        <w:rPr>
          <w:rFonts w:cstheme="minorHAnsi"/>
          <w:color w:val="222222"/>
          <w:sz w:val="16"/>
          <w:szCs w:val="16"/>
          <w:shd w:val="clear" w:color="auto" w:fill="FFFFFF"/>
        </w:rPr>
        <w:t>i</w:t>
      </w:r>
      <w:r w:rsidRPr="00304E3B">
        <w:rPr>
          <w:rFonts w:cstheme="minorHAnsi"/>
          <w:color w:val="222222"/>
          <w:sz w:val="16"/>
          <w:szCs w:val="16"/>
          <w:shd w:val="clear" w:color="auto" w:fill="FFFFFF"/>
        </w:rPr>
        <w:t xml:space="preserve">nspiration for </w:t>
      </w:r>
      <w:r>
        <w:rPr>
          <w:rFonts w:cstheme="minorHAnsi"/>
          <w:color w:val="222222"/>
          <w:sz w:val="16"/>
          <w:szCs w:val="16"/>
          <w:shd w:val="clear" w:color="auto" w:fill="FFFFFF"/>
        </w:rPr>
        <w:t>l</w:t>
      </w:r>
      <w:r w:rsidRPr="00304E3B">
        <w:rPr>
          <w:rFonts w:cstheme="minorHAnsi"/>
          <w:color w:val="222222"/>
          <w:sz w:val="16"/>
          <w:szCs w:val="16"/>
          <w:shd w:val="clear" w:color="auto" w:fill="FFFFFF"/>
        </w:rPr>
        <w:t xml:space="preserve">ocal </w:t>
      </w:r>
      <w:r>
        <w:rPr>
          <w:rFonts w:cstheme="minorHAnsi"/>
          <w:color w:val="222222"/>
          <w:sz w:val="16"/>
          <w:szCs w:val="16"/>
          <w:shd w:val="clear" w:color="auto" w:fill="FFFFFF"/>
        </w:rPr>
        <w:t>d</w:t>
      </w:r>
      <w:r w:rsidRPr="00304E3B">
        <w:rPr>
          <w:rFonts w:cstheme="minorHAnsi"/>
          <w:color w:val="222222"/>
          <w:sz w:val="16"/>
          <w:szCs w:val="16"/>
          <w:shd w:val="clear" w:color="auto" w:fill="FFFFFF"/>
        </w:rPr>
        <w:t xml:space="preserve">evelopment </w:t>
      </w:r>
      <w:r>
        <w:rPr>
          <w:rFonts w:cstheme="minorHAnsi"/>
          <w:color w:val="222222"/>
          <w:sz w:val="16"/>
          <w:szCs w:val="16"/>
          <w:shd w:val="clear" w:color="auto" w:fill="FFFFFF"/>
        </w:rPr>
        <w:t>p</w:t>
      </w:r>
      <w:r w:rsidRPr="00304E3B">
        <w:rPr>
          <w:rFonts w:cstheme="minorHAnsi"/>
          <w:color w:val="222222"/>
          <w:sz w:val="16"/>
          <w:szCs w:val="16"/>
          <w:shd w:val="clear" w:color="auto" w:fill="FFFFFF"/>
        </w:rPr>
        <w:t xml:space="preserve">olicies: An </w:t>
      </w:r>
      <w:r>
        <w:rPr>
          <w:rFonts w:cstheme="minorHAnsi"/>
          <w:color w:val="222222"/>
          <w:sz w:val="16"/>
          <w:szCs w:val="16"/>
          <w:shd w:val="clear" w:color="auto" w:fill="FFFFFF"/>
        </w:rPr>
        <w:t>e</w:t>
      </w:r>
      <w:r w:rsidRPr="00304E3B">
        <w:rPr>
          <w:rFonts w:cstheme="minorHAnsi"/>
          <w:color w:val="222222"/>
          <w:sz w:val="16"/>
          <w:szCs w:val="16"/>
          <w:shd w:val="clear" w:color="auto" w:fill="FFFFFF"/>
        </w:rPr>
        <w:t>xperience‐</w:t>
      </w:r>
      <w:r>
        <w:rPr>
          <w:rFonts w:cstheme="minorHAnsi"/>
          <w:color w:val="222222"/>
          <w:sz w:val="16"/>
          <w:szCs w:val="16"/>
          <w:shd w:val="clear" w:color="auto" w:fill="FFFFFF"/>
        </w:rPr>
        <w:t>b</w:t>
      </w:r>
      <w:r w:rsidRPr="00304E3B">
        <w:rPr>
          <w:rFonts w:cstheme="minorHAnsi"/>
          <w:color w:val="222222"/>
          <w:sz w:val="16"/>
          <w:szCs w:val="16"/>
          <w:shd w:val="clear" w:color="auto" w:fill="FFFFFF"/>
        </w:rPr>
        <w:t xml:space="preserve">ased </w:t>
      </w:r>
      <w:r>
        <w:rPr>
          <w:rFonts w:cstheme="minorHAnsi"/>
          <w:color w:val="222222"/>
          <w:sz w:val="16"/>
          <w:szCs w:val="16"/>
          <w:shd w:val="clear" w:color="auto" w:fill="FFFFFF"/>
        </w:rPr>
        <w:t>p</w:t>
      </w:r>
      <w:r w:rsidRPr="00304E3B">
        <w:rPr>
          <w:rFonts w:cstheme="minorHAnsi"/>
          <w:color w:val="222222"/>
          <w:sz w:val="16"/>
          <w:szCs w:val="16"/>
          <w:shd w:val="clear" w:color="auto" w:fill="FFFFFF"/>
        </w:rPr>
        <w:t>erspective. </w:t>
      </w:r>
      <w:r w:rsidRPr="0024770F">
        <w:rPr>
          <w:rFonts w:cstheme="minorHAnsi"/>
          <w:iCs/>
          <w:color w:val="222222"/>
          <w:sz w:val="16"/>
          <w:szCs w:val="16"/>
          <w:shd w:val="clear" w:color="auto" w:fill="FFFFFF"/>
        </w:rPr>
        <w:t>International Journal of Urban and Regional Research</w:t>
      </w:r>
      <w:r w:rsidRPr="0024770F">
        <w:rPr>
          <w:rFonts w:cstheme="minorHAnsi"/>
          <w:color w:val="222222"/>
          <w:sz w:val="16"/>
          <w:szCs w:val="16"/>
          <w:shd w:val="clear" w:color="auto" w:fill="FFFFFF"/>
        </w:rPr>
        <w:t>, </w:t>
      </w:r>
      <w:r w:rsidRPr="0024770F">
        <w:rPr>
          <w:rFonts w:cstheme="minorHAnsi"/>
          <w:iCs/>
          <w:color w:val="222222"/>
          <w:sz w:val="16"/>
          <w:szCs w:val="16"/>
          <w:shd w:val="clear" w:color="auto" w:fill="FFFFFF"/>
        </w:rPr>
        <w:t>37</w:t>
      </w:r>
      <w:r w:rsidRPr="0024770F">
        <w:rPr>
          <w:rFonts w:cstheme="minorHAnsi"/>
          <w:color w:val="222222"/>
          <w:sz w:val="16"/>
          <w:szCs w:val="16"/>
          <w:shd w:val="clear" w:color="auto" w:fill="FFFFFF"/>
        </w:rPr>
        <w:t>(</w:t>
      </w:r>
      <w:r w:rsidRPr="00304E3B">
        <w:rPr>
          <w:rFonts w:cstheme="minorHAnsi"/>
          <w:color w:val="222222"/>
          <w:sz w:val="16"/>
          <w:szCs w:val="16"/>
          <w:shd w:val="clear" w:color="auto" w:fill="FFFFFF"/>
        </w:rPr>
        <w:t>5), 1675-1687.</w:t>
      </w:r>
    </w:p>
  </w:footnote>
  <w:footnote w:id="187">
    <w:p w14:paraId="1998FC92" w14:textId="77777777"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w:t>
      </w:r>
      <w:r w:rsidRPr="00304E3B">
        <w:rPr>
          <w:rFonts w:cstheme="minorHAnsi"/>
          <w:color w:val="222222"/>
          <w:sz w:val="16"/>
          <w:szCs w:val="16"/>
          <w:shd w:val="clear" w:color="auto" w:fill="FFFFFF"/>
        </w:rPr>
        <w:t>Liu, Y.</w:t>
      </w:r>
      <w:r>
        <w:rPr>
          <w:rFonts w:cstheme="minorHAnsi"/>
          <w:color w:val="222222"/>
          <w:sz w:val="16"/>
          <w:szCs w:val="16"/>
          <w:shd w:val="clear" w:color="auto" w:fill="FFFFFF"/>
        </w:rPr>
        <w:t>,</w:t>
      </w:r>
      <w:r w:rsidRPr="00304E3B">
        <w:rPr>
          <w:rFonts w:cstheme="minorHAnsi"/>
          <w:color w:val="222222"/>
          <w:sz w:val="16"/>
          <w:szCs w:val="16"/>
          <w:shd w:val="clear" w:color="auto" w:fill="FFFFFF"/>
        </w:rPr>
        <w:t xml:space="preserve"> and Huang, Q.</w:t>
      </w:r>
      <w:r>
        <w:rPr>
          <w:rFonts w:cstheme="minorHAnsi"/>
          <w:color w:val="222222"/>
          <w:sz w:val="16"/>
          <w:szCs w:val="16"/>
          <w:shd w:val="clear" w:color="auto" w:fill="FFFFFF"/>
        </w:rPr>
        <w:t xml:space="preserve"> (</w:t>
      </w:r>
      <w:r w:rsidRPr="00304E3B">
        <w:rPr>
          <w:rFonts w:cstheme="minorHAnsi"/>
          <w:color w:val="222222"/>
          <w:sz w:val="16"/>
          <w:szCs w:val="16"/>
          <w:shd w:val="clear" w:color="auto" w:fill="FFFFFF"/>
        </w:rPr>
        <w:t>2018</w:t>
      </w:r>
      <w:r>
        <w:rPr>
          <w:rFonts w:cstheme="minorHAnsi"/>
          <w:color w:val="222222"/>
          <w:sz w:val="16"/>
          <w:szCs w:val="16"/>
          <w:shd w:val="clear" w:color="auto" w:fill="FFFFFF"/>
        </w:rPr>
        <w:t>)</w:t>
      </w:r>
      <w:r w:rsidRPr="00304E3B">
        <w:rPr>
          <w:rFonts w:cstheme="minorHAnsi"/>
          <w:color w:val="222222"/>
          <w:sz w:val="16"/>
          <w:szCs w:val="16"/>
          <w:shd w:val="clear" w:color="auto" w:fill="FFFFFF"/>
        </w:rPr>
        <w:t xml:space="preserve">. University capability as a micro-foundation for the </w:t>
      </w:r>
      <w:r>
        <w:rPr>
          <w:rFonts w:cstheme="minorHAnsi"/>
          <w:color w:val="222222"/>
          <w:sz w:val="16"/>
          <w:szCs w:val="16"/>
          <w:shd w:val="clear" w:color="auto" w:fill="FFFFFF"/>
        </w:rPr>
        <w:t>t</w:t>
      </w:r>
      <w:r w:rsidRPr="00304E3B">
        <w:rPr>
          <w:rFonts w:cstheme="minorHAnsi"/>
          <w:color w:val="222222"/>
          <w:sz w:val="16"/>
          <w:szCs w:val="16"/>
          <w:shd w:val="clear" w:color="auto" w:fill="FFFFFF"/>
        </w:rPr>
        <w:t xml:space="preserve">riple </w:t>
      </w:r>
      <w:r>
        <w:rPr>
          <w:rFonts w:cstheme="minorHAnsi"/>
          <w:color w:val="222222"/>
          <w:sz w:val="16"/>
          <w:szCs w:val="16"/>
          <w:shd w:val="clear" w:color="auto" w:fill="FFFFFF"/>
        </w:rPr>
        <w:t>h</w:t>
      </w:r>
      <w:r w:rsidRPr="00304E3B">
        <w:rPr>
          <w:rFonts w:cstheme="minorHAnsi"/>
          <w:color w:val="222222"/>
          <w:sz w:val="16"/>
          <w:szCs w:val="16"/>
          <w:shd w:val="clear" w:color="auto" w:fill="FFFFFF"/>
        </w:rPr>
        <w:t>elix model: The case of China</w:t>
      </w:r>
      <w:r w:rsidRPr="0024770F">
        <w:rPr>
          <w:rFonts w:cstheme="minorHAnsi"/>
          <w:color w:val="222222"/>
          <w:sz w:val="16"/>
          <w:szCs w:val="16"/>
          <w:shd w:val="clear" w:color="auto" w:fill="FFFFFF"/>
        </w:rPr>
        <w:t>. </w:t>
      </w:r>
      <w:r w:rsidRPr="0024770F">
        <w:rPr>
          <w:rFonts w:cstheme="minorHAnsi"/>
          <w:iCs/>
          <w:color w:val="222222"/>
          <w:sz w:val="16"/>
          <w:szCs w:val="16"/>
          <w:shd w:val="clear" w:color="auto" w:fill="FFFFFF"/>
        </w:rPr>
        <w:t>Technovation</w:t>
      </w:r>
      <w:r w:rsidRPr="0024770F">
        <w:rPr>
          <w:rFonts w:cstheme="minorHAnsi"/>
          <w:color w:val="222222"/>
          <w:sz w:val="16"/>
          <w:szCs w:val="16"/>
          <w:shd w:val="clear" w:color="auto" w:fill="FFFFFF"/>
        </w:rPr>
        <w:t>, </w:t>
      </w:r>
      <w:r w:rsidRPr="0024770F">
        <w:rPr>
          <w:rFonts w:cstheme="minorHAnsi"/>
          <w:iCs/>
          <w:color w:val="222222"/>
          <w:sz w:val="16"/>
          <w:szCs w:val="16"/>
          <w:shd w:val="clear" w:color="auto" w:fill="FFFFFF"/>
        </w:rPr>
        <w:t>76</w:t>
      </w:r>
      <w:r w:rsidRPr="0024770F">
        <w:rPr>
          <w:rFonts w:cstheme="minorHAnsi"/>
          <w:color w:val="222222"/>
          <w:sz w:val="16"/>
          <w:szCs w:val="16"/>
          <w:shd w:val="clear" w:color="auto" w:fill="FFFFFF"/>
        </w:rPr>
        <w:t>,</w:t>
      </w:r>
      <w:r>
        <w:rPr>
          <w:rFonts w:cstheme="minorHAnsi"/>
          <w:color w:val="222222"/>
          <w:sz w:val="16"/>
          <w:szCs w:val="16"/>
          <w:shd w:val="clear" w:color="auto" w:fill="FFFFFF"/>
        </w:rPr>
        <w:t xml:space="preserve"> </w:t>
      </w:r>
      <w:r w:rsidRPr="00304E3B">
        <w:rPr>
          <w:rFonts w:cstheme="minorHAnsi"/>
          <w:color w:val="222222"/>
          <w:sz w:val="16"/>
          <w:szCs w:val="16"/>
          <w:shd w:val="clear" w:color="auto" w:fill="FFFFFF"/>
        </w:rPr>
        <w:t>40-50.</w:t>
      </w:r>
    </w:p>
  </w:footnote>
  <w:footnote w:id="188">
    <w:p w14:paraId="1D1E2E01" w14:textId="77777777"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w:t>
      </w:r>
      <w:r w:rsidRPr="00304E3B">
        <w:rPr>
          <w:rFonts w:cstheme="minorHAnsi"/>
          <w:color w:val="222222"/>
          <w:sz w:val="16"/>
          <w:szCs w:val="16"/>
          <w:shd w:val="clear" w:color="auto" w:fill="FFFFFF"/>
        </w:rPr>
        <w:t xml:space="preserve">Leydesdorff, L. </w:t>
      </w:r>
      <w:r>
        <w:rPr>
          <w:rFonts w:cstheme="minorHAnsi"/>
          <w:color w:val="222222"/>
          <w:sz w:val="16"/>
          <w:szCs w:val="16"/>
          <w:shd w:val="clear" w:color="auto" w:fill="FFFFFF"/>
        </w:rPr>
        <w:t>(</w:t>
      </w:r>
      <w:r w:rsidRPr="00304E3B">
        <w:rPr>
          <w:rFonts w:cstheme="minorHAnsi"/>
          <w:color w:val="222222"/>
          <w:sz w:val="16"/>
          <w:szCs w:val="16"/>
          <w:shd w:val="clear" w:color="auto" w:fill="FFFFFF"/>
        </w:rPr>
        <w:t>2018</w:t>
      </w:r>
      <w:r>
        <w:rPr>
          <w:rFonts w:cstheme="minorHAnsi"/>
          <w:color w:val="222222"/>
          <w:sz w:val="16"/>
          <w:szCs w:val="16"/>
          <w:shd w:val="clear" w:color="auto" w:fill="FFFFFF"/>
        </w:rPr>
        <w:t>)</w:t>
      </w:r>
      <w:r w:rsidRPr="00304E3B">
        <w:rPr>
          <w:rFonts w:cstheme="minorHAnsi"/>
          <w:color w:val="222222"/>
          <w:sz w:val="16"/>
          <w:szCs w:val="16"/>
          <w:shd w:val="clear" w:color="auto" w:fill="FFFFFF"/>
        </w:rPr>
        <w:t xml:space="preserve">. Synergy in </w:t>
      </w:r>
      <w:r>
        <w:rPr>
          <w:rFonts w:cstheme="minorHAnsi"/>
          <w:color w:val="222222"/>
          <w:sz w:val="16"/>
          <w:szCs w:val="16"/>
          <w:shd w:val="clear" w:color="auto" w:fill="FFFFFF"/>
        </w:rPr>
        <w:t>k</w:t>
      </w:r>
      <w:r w:rsidRPr="00304E3B">
        <w:rPr>
          <w:rFonts w:cstheme="minorHAnsi"/>
          <w:color w:val="222222"/>
          <w:sz w:val="16"/>
          <w:szCs w:val="16"/>
          <w:shd w:val="clear" w:color="auto" w:fill="FFFFFF"/>
        </w:rPr>
        <w:t>nowledge-</w:t>
      </w:r>
      <w:r>
        <w:rPr>
          <w:rFonts w:cstheme="minorHAnsi"/>
          <w:color w:val="222222"/>
          <w:sz w:val="16"/>
          <w:szCs w:val="16"/>
          <w:shd w:val="clear" w:color="auto" w:fill="FFFFFF"/>
        </w:rPr>
        <w:t>b</w:t>
      </w:r>
      <w:r w:rsidRPr="00304E3B">
        <w:rPr>
          <w:rFonts w:cstheme="minorHAnsi"/>
          <w:color w:val="222222"/>
          <w:sz w:val="16"/>
          <w:szCs w:val="16"/>
          <w:shd w:val="clear" w:color="auto" w:fill="FFFFFF"/>
        </w:rPr>
        <w:t xml:space="preserve">ased </w:t>
      </w:r>
      <w:r>
        <w:rPr>
          <w:rFonts w:cstheme="minorHAnsi"/>
          <w:color w:val="222222"/>
          <w:sz w:val="16"/>
          <w:szCs w:val="16"/>
          <w:shd w:val="clear" w:color="auto" w:fill="FFFFFF"/>
        </w:rPr>
        <w:t>i</w:t>
      </w:r>
      <w:r w:rsidRPr="00304E3B">
        <w:rPr>
          <w:rFonts w:cstheme="minorHAnsi"/>
          <w:color w:val="222222"/>
          <w:sz w:val="16"/>
          <w:szCs w:val="16"/>
          <w:shd w:val="clear" w:color="auto" w:fill="FFFFFF"/>
        </w:rPr>
        <w:t xml:space="preserve">nnovation </w:t>
      </w:r>
      <w:r>
        <w:rPr>
          <w:rFonts w:cstheme="minorHAnsi"/>
          <w:color w:val="222222"/>
          <w:sz w:val="16"/>
          <w:szCs w:val="16"/>
          <w:shd w:val="clear" w:color="auto" w:fill="FFFFFF"/>
        </w:rPr>
        <w:t>s</w:t>
      </w:r>
      <w:r w:rsidRPr="00304E3B">
        <w:rPr>
          <w:rFonts w:cstheme="minorHAnsi"/>
          <w:color w:val="222222"/>
          <w:sz w:val="16"/>
          <w:szCs w:val="16"/>
          <w:shd w:val="clear" w:color="auto" w:fill="FFFFFF"/>
        </w:rPr>
        <w:t xml:space="preserve">ystems at </w:t>
      </w:r>
      <w:r>
        <w:rPr>
          <w:rFonts w:cstheme="minorHAnsi"/>
          <w:color w:val="222222"/>
          <w:sz w:val="16"/>
          <w:szCs w:val="16"/>
          <w:shd w:val="clear" w:color="auto" w:fill="FFFFFF"/>
        </w:rPr>
        <w:t>n</w:t>
      </w:r>
      <w:r w:rsidRPr="00304E3B">
        <w:rPr>
          <w:rFonts w:cstheme="minorHAnsi"/>
          <w:color w:val="222222"/>
          <w:sz w:val="16"/>
          <w:szCs w:val="16"/>
          <w:shd w:val="clear" w:color="auto" w:fill="FFFFFF"/>
        </w:rPr>
        <w:t xml:space="preserve">ational and </w:t>
      </w:r>
      <w:r>
        <w:rPr>
          <w:rFonts w:cstheme="minorHAnsi"/>
          <w:color w:val="222222"/>
          <w:sz w:val="16"/>
          <w:szCs w:val="16"/>
          <w:shd w:val="clear" w:color="auto" w:fill="FFFFFF"/>
        </w:rPr>
        <w:t>r</w:t>
      </w:r>
      <w:r w:rsidRPr="00304E3B">
        <w:rPr>
          <w:rFonts w:cstheme="minorHAnsi"/>
          <w:color w:val="222222"/>
          <w:sz w:val="16"/>
          <w:szCs w:val="16"/>
          <w:shd w:val="clear" w:color="auto" w:fill="FFFFFF"/>
        </w:rPr>
        <w:t xml:space="preserve">egional </w:t>
      </w:r>
      <w:r>
        <w:rPr>
          <w:rFonts w:cstheme="minorHAnsi"/>
          <w:color w:val="222222"/>
          <w:sz w:val="16"/>
          <w:szCs w:val="16"/>
          <w:shd w:val="clear" w:color="auto" w:fill="FFFFFF"/>
        </w:rPr>
        <w:t>l</w:t>
      </w:r>
      <w:r w:rsidRPr="00304E3B">
        <w:rPr>
          <w:rFonts w:cstheme="minorHAnsi"/>
          <w:color w:val="222222"/>
          <w:sz w:val="16"/>
          <w:szCs w:val="16"/>
          <w:shd w:val="clear" w:color="auto" w:fill="FFFFFF"/>
        </w:rPr>
        <w:t xml:space="preserve">evels: The </w:t>
      </w:r>
      <w:r>
        <w:rPr>
          <w:rFonts w:cstheme="minorHAnsi"/>
          <w:color w:val="222222"/>
          <w:sz w:val="16"/>
          <w:szCs w:val="16"/>
          <w:shd w:val="clear" w:color="auto" w:fill="FFFFFF"/>
        </w:rPr>
        <w:t>t</w:t>
      </w:r>
      <w:r w:rsidRPr="00304E3B">
        <w:rPr>
          <w:rFonts w:cstheme="minorHAnsi"/>
          <w:color w:val="222222"/>
          <w:sz w:val="16"/>
          <w:szCs w:val="16"/>
          <w:shd w:val="clear" w:color="auto" w:fill="FFFFFF"/>
        </w:rPr>
        <w:t>riple-</w:t>
      </w:r>
      <w:r>
        <w:rPr>
          <w:rFonts w:cstheme="minorHAnsi"/>
          <w:color w:val="222222"/>
          <w:sz w:val="16"/>
          <w:szCs w:val="16"/>
          <w:shd w:val="clear" w:color="auto" w:fill="FFFFFF"/>
        </w:rPr>
        <w:t>h</w:t>
      </w:r>
      <w:r w:rsidRPr="00304E3B">
        <w:rPr>
          <w:rFonts w:cstheme="minorHAnsi"/>
          <w:color w:val="222222"/>
          <w:sz w:val="16"/>
          <w:szCs w:val="16"/>
          <w:shd w:val="clear" w:color="auto" w:fill="FFFFFF"/>
        </w:rPr>
        <w:t xml:space="preserve">elix </w:t>
      </w:r>
      <w:r>
        <w:rPr>
          <w:rFonts w:cstheme="minorHAnsi"/>
          <w:color w:val="222222"/>
          <w:sz w:val="16"/>
          <w:szCs w:val="16"/>
          <w:shd w:val="clear" w:color="auto" w:fill="FFFFFF"/>
        </w:rPr>
        <w:t>m</w:t>
      </w:r>
      <w:r w:rsidRPr="00304E3B">
        <w:rPr>
          <w:rFonts w:cstheme="minorHAnsi"/>
          <w:color w:val="222222"/>
          <w:sz w:val="16"/>
          <w:szCs w:val="16"/>
          <w:shd w:val="clear" w:color="auto" w:fill="FFFFFF"/>
        </w:rPr>
        <w:t xml:space="preserve">odel and the </w:t>
      </w:r>
      <w:r>
        <w:rPr>
          <w:rFonts w:cstheme="minorHAnsi"/>
          <w:color w:val="222222"/>
          <w:sz w:val="16"/>
          <w:szCs w:val="16"/>
          <w:shd w:val="clear" w:color="auto" w:fill="FFFFFF"/>
        </w:rPr>
        <w:t>f</w:t>
      </w:r>
      <w:r w:rsidRPr="00304E3B">
        <w:rPr>
          <w:rFonts w:cstheme="minorHAnsi"/>
          <w:color w:val="222222"/>
          <w:sz w:val="16"/>
          <w:szCs w:val="16"/>
          <w:shd w:val="clear" w:color="auto" w:fill="FFFFFF"/>
        </w:rPr>
        <w:t xml:space="preserve">ourth </w:t>
      </w:r>
      <w:r>
        <w:rPr>
          <w:rFonts w:cstheme="minorHAnsi"/>
          <w:color w:val="222222"/>
          <w:sz w:val="16"/>
          <w:szCs w:val="16"/>
          <w:shd w:val="clear" w:color="auto" w:fill="FFFFFF"/>
        </w:rPr>
        <w:t>i</w:t>
      </w:r>
      <w:r w:rsidRPr="00304E3B">
        <w:rPr>
          <w:rFonts w:cstheme="minorHAnsi"/>
          <w:color w:val="222222"/>
          <w:sz w:val="16"/>
          <w:szCs w:val="16"/>
          <w:shd w:val="clear" w:color="auto" w:fill="FFFFFF"/>
        </w:rPr>
        <w:t xml:space="preserve">ndustrial </w:t>
      </w:r>
      <w:r>
        <w:rPr>
          <w:rFonts w:cstheme="minorHAnsi"/>
          <w:color w:val="222222"/>
          <w:sz w:val="16"/>
          <w:szCs w:val="16"/>
          <w:shd w:val="clear" w:color="auto" w:fill="FFFFFF"/>
        </w:rPr>
        <w:t>r</w:t>
      </w:r>
      <w:r w:rsidRPr="00304E3B">
        <w:rPr>
          <w:rFonts w:cstheme="minorHAnsi"/>
          <w:color w:val="222222"/>
          <w:sz w:val="16"/>
          <w:szCs w:val="16"/>
          <w:shd w:val="clear" w:color="auto" w:fill="FFFFFF"/>
        </w:rPr>
        <w:t>evolution. </w:t>
      </w:r>
      <w:r w:rsidRPr="0024770F">
        <w:rPr>
          <w:rFonts w:cstheme="minorHAnsi"/>
          <w:iCs/>
          <w:color w:val="222222"/>
          <w:sz w:val="16"/>
          <w:szCs w:val="16"/>
          <w:shd w:val="clear" w:color="auto" w:fill="FFFFFF"/>
        </w:rPr>
        <w:t>Journal of Open Innovation: Technology, Market, and Complexity</w:t>
      </w:r>
      <w:r w:rsidRPr="0024770F">
        <w:rPr>
          <w:rFonts w:cstheme="minorHAnsi"/>
          <w:color w:val="222222"/>
          <w:sz w:val="16"/>
          <w:szCs w:val="16"/>
          <w:shd w:val="clear" w:color="auto" w:fill="FFFFFF"/>
        </w:rPr>
        <w:t>, </w:t>
      </w:r>
      <w:r w:rsidRPr="0024770F">
        <w:rPr>
          <w:rFonts w:cstheme="minorHAnsi"/>
          <w:iCs/>
          <w:color w:val="222222"/>
          <w:sz w:val="16"/>
          <w:szCs w:val="16"/>
          <w:shd w:val="clear" w:color="auto" w:fill="FFFFFF"/>
        </w:rPr>
        <w:t>4</w:t>
      </w:r>
      <w:r w:rsidRPr="0024770F">
        <w:rPr>
          <w:rFonts w:cstheme="minorHAnsi"/>
          <w:color w:val="222222"/>
          <w:sz w:val="16"/>
          <w:szCs w:val="16"/>
          <w:shd w:val="clear" w:color="auto" w:fill="FFFFFF"/>
        </w:rPr>
        <w:t>(</w:t>
      </w:r>
      <w:r w:rsidRPr="00304E3B">
        <w:rPr>
          <w:rFonts w:cstheme="minorHAnsi"/>
          <w:color w:val="222222"/>
          <w:sz w:val="16"/>
          <w:szCs w:val="16"/>
          <w:shd w:val="clear" w:color="auto" w:fill="FFFFFF"/>
        </w:rPr>
        <w:t>2), 1</w:t>
      </w:r>
      <w:r>
        <w:rPr>
          <w:rFonts w:cstheme="minorHAnsi"/>
          <w:color w:val="222222"/>
          <w:sz w:val="16"/>
          <w:szCs w:val="16"/>
          <w:shd w:val="clear" w:color="auto" w:fill="FFFFFF"/>
        </w:rPr>
        <w:t>-13.</w:t>
      </w:r>
    </w:p>
  </w:footnote>
  <w:footnote w:id="189">
    <w:p w14:paraId="40163964" w14:textId="77777777" w:rsidR="007331AF" w:rsidRDefault="007331AF"/>
    <w:p w14:paraId="29D7A259" w14:textId="77777777" w:rsidR="007331AF" w:rsidRPr="00304E3B" w:rsidRDefault="007331AF" w:rsidP="00566137">
      <w:pPr>
        <w:pStyle w:val="FootnoteText"/>
        <w:rPr>
          <w:rFonts w:cstheme="minorHAnsi"/>
          <w:sz w:val="16"/>
          <w:szCs w:val="16"/>
        </w:rPr>
      </w:pPr>
    </w:p>
  </w:footnote>
  <w:footnote w:id="190">
    <w:p w14:paraId="2FA4766A" w14:textId="77777777" w:rsidR="007331AF" w:rsidRDefault="007331AF"/>
    <w:p w14:paraId="507BFCD5" w14:textId="77777777" w:rsidR="007331AF" w:rsidRPr="00304E3B" w:rsidRDefault="007331AF" w:rsidP="00566137">
      <w:pPr>
        <w:pStyle w:val="FootnoteText"/>
        <w:rPr>
          <w:sz w:val="16"/>
          <w:szCs w:val="16"/>
        </w:rPr>
      </w:pPr>
    </w:p>
  </w:footnote>
  <w:footnote w:id="191">
    <w:p w14:paraId="3F9F62AD" w14:textId="77777777"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Pollard, L. (2018). Remote Student University Success–An Analysis of Policy and Practice. National Centre for Student Equity in Higher Education, </w:t>
      </w:r>
      <w:r>
        <w:rPr>
          <w:rFonts w:cstheme="minorHAnsi"/>
          <w:sz w:val="16"/>
          <w:szCs w:val="16"/>
        </w:rPr>
        <w:t>Perth: Curtin University.</w:t>
      </w:r>
    </w:p>
  </w:footnote>
  <w:footnote w:id="192">
    <w:p w14:paraId="609964E2" w14:textId="176E36A3" w:rsidR="007331AF" w:rsidRPr="00CA2A2D"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w:t>
      </w:r>
      <w:r>
        <w:rPr>
          <w:rFonts w:cstheme="minorHAnsi"/>
          <w:sz w:val="16"/>
          <w:szCs w:val="16"/>
        </w:rPr>
        <w:t xml:space="preserve">See </w:t>
      </w:r>
      <w:hyperlink r:id="rId26" w:history="1">
        <w:r w:rsidRPr="00D3786E">
          <w:rPr>
            <w:rStyle w:val="Hyperlink"/>
            <w:rFonts w:cstheme="minorHAnsi"/>
            <w:sz w:val="16"/>
            <w:szCs w:val="16"/>
          </w:rPr>
          <w:t>https://womensworkforceparticipation.pmc.gov.au/sites/default/files/towards-2025-strategy.pdf</w:t>
        </w:r>
      </w:hyperlink>
      <w:r>
        <w:rPr>
          <w:rFonts w:cstheme="minorHAnsi"/>
          <w:sz w:val="16"/>
          <w:szCs w:val="16"/>
        </w:rPr>
        <w:t xml:space="preserve">. </w:t>
      </w:r>
    </w:p>
  </w:footnote>
  <w:footnote w:id="193">
    <w:p w14:paraId="77C00A5D" w14:textId="77777777"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w:t>
      </w:r>
      <w:r w:rsidRPr="00304E3B">
        <w:rPr>
          <w:rFonts w:cstheme="minorHAnsi"/>
          <w:color w:val="222222"/>
          <w:sz w:val="16"/>
          <w:szCs w:val="16"/>
          <w:shd w:val="clear" w:color="auto" w:fill="FFFFFF"/>
        </w:rPr>
        <w:t>Garnett, J.,</w:t>
      </w:r>
      <w:r>
        <w:rPr>
          <w:rFonts w:cstheme="minorHAnsi"/>
          <w:color w:val="222222"/>
          <w:sz w:val="16"/>
          <w:szCs w:val="16"/>
          <w:shd w:val="clear" w:color="auto" w:fill="FFFFFF"/>
        </w:rPr>
        <w:t xml:space="preserve"> and </w:t>
      </w:r>
      <w:r w:rsidRPr="00304E3B">
        <w:rPr>
          <w:rFonts w:cstheme="minorHAnsi"/>
          <w:color w:val="222222"/>
          <w:sz w:val="16"/>
          <w:szCs w:val="16"/>
          <w:shd w:val="clear" w:color="auto" w:fill="FFFFFF"/>
        </w:rPr>
        <w:t>Cavaye, A. (2015). Recognition of prior learning: opportunities and challenges for higher education. </w:t>
      </w:r>
      <w:r w:rsidRPr="00304E3B">
        <w:rPr>
          <w:rFonts w:cstheme="minorHAnsi"/>
          <w:iCs/>
          <w:color w:val="222222"/>
          <w:sz w:val="16"/>
          <w:szCs w:val="16"/>
          <w:shd w:val="clear" w:color="auto" w:fill="FFFFFF"/>
        </w:rPr>
        <w:t>Journal of Work-Applied Management</w:t>
      </w:r>
      <w:r w:rsidRPr="00304E3B">
        <w:rPr>
          <w:rFonts w:cstheme="minorHAnsi"/>
          <w:color w:val="222222"/>
          <w:sz w:val="16"/>
          <w:szCs w:val="16"/>
          <w:shd w:val="clear" w:color="auto" w:fill="FFFFFF"/>
        </w:rPr>
        <w:t>, </w:t>
      </w:r>
      <w:r w:rsidRPr="00304E3B">
        <w:rPr>
          <w:rFonts w:cstheme="minorHAnsi"/>
          <w:iCs/>
          <w:color w:val="222222"/>
          <w:sz w:val="16"/>
          <w:szCs w:val="16"/>
          <w:shd w:val="clear" w:color="auto" w:fill="FFFFFF"/>
        </w:rPr>
        <w:t>7</w:t>
      </w:r>
      <w:r w:rsidRPr="00304E3B">
        <w:rPr>
          <w:rFonts w:cstheme="minorHAnsi"/>
          <w:color w:val="222222"/>
          <w:sz w:val="16"/>
          <w:szCs w:val="16"/>
          <w:shd w:val="clear" w:color="auto" w:fill="FFFFFF"/>
        </w:rPr>
        <w:t>(1), 28-37.</w:t>
      </w:r>
      <w:r>
        <w:rPr>
          <w:rFonts w:cstheme="minorHAnsi"/>
          <w:color w:val="222222"/>
          <w:sz w:val="16"/>
          <w:szCs w:val="16"/>
          <w:shd w:val="clear" w:color="auto" w:fill="FFFFFF"/>
        </w:rPr>
        <w:t xml:space="preserve"> </w:t>
      </w:r>
      <w:r w:rsidRPr="00304E3B">
        <w:rPr>
          <w:rFonts w:cstheme="minorHAnsi"/>
          <w:color w:val="222222"/>
          <w:sz w:val="16"/>
          <w:szCs w:val="16"/>
          <w:shd w:val="clear" w:color="auto" w:fill="FFFFFF"/>
        </w:rPr>
        <w:t>Brown, J. (2017). Exploring the transformative potential of recognition of prior informal learning for learners: A case study in Scotland. </w:t>
      </w:r>
      <w:r w:rsidRPr="00304E3B">
        <w:rPr>
          <w:rFonts w:cstheme="minorHAnsi"/>
          <w:iCs/>
          <w:color w:val="222222"/>
          <w:sz w:val="16"/>
          <w:szCs w:val="16"/>
          <w:shd w:val="clear" w:color="auto" w:fill="FFFFFF"/>
        </w:rPr>
        <w:t>Journal of Further and Higher Education</w:t>
      </w:r>
      <w:r w:rsidRPr="00304E3B">
        <w:rPr>
          <w:rFonts w:cstheme="minorHAnsi"/>
          <w:color w:val="222222"/>
          <w:sz w:val="16"/>
          <w:szCs w:val="16"/>
          <w:shd w:val="clear" w:color="auto" w:fill="FFFFFF"/>
        </w:rPr>
        <w:t>, </w:t>
      </w:r>
      <w:r w:rsidRPr="00304E3B">
        <w:rPr>
          <w:rFonts w:cstheme="minorHAnsi"/>
          <w:iCs/>
          <w:color w:val="222222"/>
          <w:sz w:val="16"/>
          <w:szCs w:val="16"/>
          <w:shd w:val="clear" w:color="auto" w:fill="FFFFFF"/>
        </w:rPr>
        <w:t>41</w:t>
      </w:r>
      <w:r w:rsidRPr="00304E3B">
        <w:rPr>
          <w:rFonts w:cstheme="minorHAnsi"/>
          <w:color w:val="222222"/>
          <w:sz w:val="16"/>
          <w:szCs w:val="16"/>
          <w:shd w:val="clear" w:color="auto" w:fill="FFFFFF"/>
        </w:rPr>
        <w:t>(1), 60-78.</w:t>
      </w:r>
      <w:r w:rsidRPr="00841EB6">
        <w:rPr>
          <w:rFonts w:cstheme="minorHAnsi"/>
          <w:color w:val="222222"/>
          <w:sz w:val="16"/>
          <w:szCs w:val="16"/>
          <w:shd w:val="clear" w:color="auto" w:fill="FFFFFF"/>
        </w:rPr>
        <w:t xml:space="preserve"> </w:t>
      </w:r>
    </w:p>
  </w:footnote>
  <w:footnote w:id="194">
    <w:p w14:paraId="1D5A90F1" w14:textId="77777777"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w:t>
      </w:r>
      <w:r w:rsidRPr="00304E3B">
        <w:rPr>
          <w:rFonts w:cstheme="minorHAnsi"/>
          <w:color w:val="222222"/>
          <w:sz w:val="16"/>
          <w:szCs w:val="16"/>
          <w:shd w:val="clear" w:color="auto" w:fill="FFFFFF"/>
        </w:rPr>
        <w:t>Wheelahan, L., Miller, P., Newton, D., Dennis, N., Firth, J., Pascoe, S.,</w:t>
      </w:r>
      <w:r>
        <w:rPr>
          <w:rFonts w:cstheme="minorHAnsi"/>
          <w:color w:val="222222"/>
          <w:sz w:val="16"/>
          <w:szCs w:val="16"/>
          <w:shd w:val="clear" w:color="auto" w:fill="FFFFFF"/>
        </w:rPr>
        <w:t xml:space="preserve"> and </w:t>
      </w:r>
      <w:r w:rsidRPr="00304E3B">
        <w:rPr>
          <w:rFonts w:cstheme="minorHAnsi"/>
          <w:color w:val="222222"/>
          <w:sz w:val="16"/>
          <w:szCs w:val="16"/>
          <w:shd w:val="clear" w:color="auto" w:fill="FFFFFF"/>
        </w:rPr>
        <w:t>Veenker, P. (2003). Recognition of prior learning: policy and practice in Australia.</w:t>
      </w:r>
    </w:p>
  </w:footnote>
  <w:footnote w:id="195">
    <w:p w14:paraId="36772A78" w14:textId="77777777" w:rsidR="007331AF" w:rsidRPr="00304E3B" w:rsidRDefault="007331AF" w:rsidP="00566137">
      <w:pPr>
        <w:pStyle w:val="FootnoteText"/>
        <w:rPr>
          <w:rFonts w:cstheme="minorHAnsi"/>
          <w:sz w:val="16"/>
          <w:szCs w:val="16"/>
        </w:rPr>
      </w:pPr>
      <w:r w:rsidRPr="00304E3B">
        <w:rPr>
          <w:rStyle w:val="FootnoteReference"/>
          <w:rFonts w:cstheme="minorHAnsi"/>
          <w:sz w:val="16"/>
          <w:szCs w:val="16"/>
        </w:rPr>
        <w:footnoteRef/>
      </w:r>
      <w:r w:rsidRPr="00304E3B">
        <w:rPr>
          <w:rFonts w:cstheme="minorHAnsi"/>
          <w:sz w:val="16"/>
          <w:szCs w:val="16"/>
        </w:rPr>
        <w:t xml:space="preserve"> </w:t>
      </w:r>
      <w:r w:rsidRPr="00304E3B">
        <w:rPr>
          <w:rFonts w:cstheme="minorHAnsi"/>
          <w:color w:val="222222"/>
          <w:sz w:val="16"/>
          <w:szCs w:val="16"/>
          <w:shd w:val="clear" w:color="auto" w:fill="FFFFFF"/>
        </w:rPr>
        <w:t>Garnett, J.,</w:t>
      </w:r>
      <w:r>
        <w:rPr>
          <w:rFonts w:cstheme="minorHAnsi"/>
          <w:color w:val="222222"/>
          <w:sz w:val="16"/>
          <w:szCs w:val="16"/>
          <w:shd w:val="clear" w:color="auto" w:fill="FFFFFF"/>
        </w:rPr>
        <w:t xml:space="preserve"> and </w:t>
      </w:r>
      <w:r w:rsidRPr="00304E3B">
        <w:rPr>
          <w:rFonts w:cstheme="minorHAnsi"/>
          <w:color w:val="222222"/>
          <w:sz w:val="16"/>
          <w:szCs w:val="16"/>
          <w:shd w:val="clear" w:color="auto" w:fill="FFFFFF"/>
        </w:rPr>
        <w:t>Cavaye, A. (2015). Recognition of prior learning: opportunities and challenges for higher education. </w:t>
      </w:r>
      <w:r w:rsidRPr="00304E3B">
        <w:rPr>
          <w:rFonts w:cstheme="minorHAnsi"/>
          <w:iCs/>
          <w:color w:val="222222"/>
          <w:sz w:val="16"/>
          <w:szCs w:val="16"/>
          <w:shd w:val="clear" w:color="auto" w:fill="FFFFFF"/>
        </w:rPr>
        <w:t>Journal of Work-Applied Management</w:t>
      </w:r>
      <w:r w:rsidRPr="00304E3B">
        <w:rPr>
          <w:rFonts w:cstheme="minorHAnsi"/>
          <w:color w:val="222222"/>
          <w:sz w:val="16"/>
          <w:szCs w:val="16"/>
          <w:shd w:val="clear" w:color="auto" w:fill="FFFFFF"/>
        </w:rPr>
        <w:t>, </w:t>
      </w:r>
      <w:r w:rsidRPr="00304E3B">
        <w:rPr>
          <w:rFonts w:cstheme="minorHAnsi"/>
          <w:iCs/>
          <w:color w:val="222222"/>
          <w:sz w:val="16"/>
          <w:szCs w:val="16"/>
          <w:shd w:val="clear" w:color="auto" w:fill="FFFFFF"/>
        </w:rPr>
        <w:t>7</w:t>
      </w:r>
      <w:r w:rsidRPr="00304E3B">
        <w:rPr>
          <w:rFonts w:cstheme="minorHAnsi"/>
          <w:color w:val="222222"/>
          <w:sz w:val="16"/>
          <w:szCs w:val="16"/>
          <w:shd w:val="clear" w:color="auto" w:fill="FFFFFF"/>
        </w:rPr>
        <w:t>(1), 28-37.</w:t>
      </w:r>
    </w:p>
  </w:footnote>
  <w:footnote w:id="196">
    <w:p w14:paraId="14A50AEC" w14:textId="77777777" w:rsidR="007331AF" w:rsidRPr="00A2232A" w:rsidRDefault="007331AF" w:rsidP="00566137">
      <w:pPr>
        <w:pStyle w:val="FootnoteText"/>
        <w:rPr>
          <w:rFonts w:cstheme="minorHAnsi"/>
          <w:sz w:val="16"/>
          <w:szCs w:val="16"/>
        </w:rPr>
      </w:pPr>
      <w:r w:rsidRPr="00153635">
        <w:rPr>
          <w:rStyle w:val="FootnoteReference"/>
          <w:rFonts w:cstheme="minorHAnsi"/>
          <w:sz w:val="16"/>
          <w:szCs w:val="16"/>
        </w:rPr>
        <w:footnoteRef/>
      </w:r>
      <w:r w:rsidRPr="00153635">
        <w:rPr>
          <w:rFonts w:cstheme="minorHAnsi"/>
          <w:sz w:val="16"/>
          <w:szCs w:val="16"/>
        </w:rPr>
        <w:t xml:space="preserve"> </w:t>
      </w:r>
      <w:r w:rsidRPr="00153635">
        <w:rPr>
          <w:rFonts w:cstheme="minorHAnsi"/>
          <w:color w:val="222222"/>
          <w:sz w:val="16"/>
          <w:szCs w:val="16"/>
          <w:shd w:val="clear" w:color="auto" w:fill="FFFFFF"/>
        </w:rPr>
        <w:t>Garnett, J., and Cavaye, A. (2015). Recognition of prior learning: opportunities and challenges for higher education. </w:t>
      </w:r>
      <w:r w:rsidRPr="00153635">
        <w:rPr>
          <w:rFonts w:cstheme="minorHAnsi"/>
          <w:iCs/>
          <w:color w:val="222222"/>
          <w:sz w:val="16"/>
          <w:szCs w:val="16"/>
          <w:shd w:val="clear" w:color="auto" w:fill="FFFFFF"/>
        </w:rPr>
        <w:t>Journal of Work-</w:t>
      </w:r>
      <w:r w:rsidRPr="00A2232A">
        <w:rPr>
          <w:rFonts w:cstheme="minorHAnsi"/>
          <w:iCs/>
          <w:color w:val="222222"/>
          <w:sz w:val="16"/>
          <w:szCs w:val="16"/>
          <w:shd w:val="clear" w:color="auto" w:fill="FFFFFF"/>
        </w:rPr>
        <w:t>Applied Management</w:t>
      </w:r>
      <w:r w:rsidRPr="00A2232A">
        <w:rPr>
          <w:rFonts w:cstheme="minorHAnsi"/>
          <w:color w:val="222222"/>
          <w:sz w:val="16"/>
          <w:szCs w:val="16"/>
          <w:shd w:val="clear" w:color="auto" w:fill="FFFFFF"/>
        </w:rPr>
        <w:t>, </w:t>
      </w:r>
      <w:r w:rsidRPr="00A2232A">
        <w:rPr>
          <w:rFonts w:cstheme="minorHAnsi"/>
          <w:iCs/>
          <w:color w:val="222222"/>
          <w:sz w:val="16"/>
          <w:szCs w:val="16"/>
          <w:shd w:val="clear" w:color="auto" w:fill="FFFFFF"/>
        </w:rPr>
        <w:t>7</w:t>
      </w:r>
      <w:r w:rsidRPr="00A2232A">
        <w:rPr>
          <w:rFonts w:cstheme="minorHAnsi"/>
          <w:color w:val="222222"/>
          <w:sz w:val="16"/>
          <w:szCs w:val="16"/>
          <w:shd w:val="clear" w:color="auto" w:fill="FFFFFF"/>
        </w:rPr>
        <w:t>(1), 28-37.</w:t>
      </w:r>
    </w:p>
  </w:footnote>
  <w:footnote w:id="197">
    <w:p w14:paraId="1AA0C499" w14:textId="4197DDCC" w:rsidR="007331AF" w:rsidRPr="00A2232A" w:rsidRDefault="007331AF" w:rsidP="00566137">
      <w:pPr>
        <w:pStyle w:val="FootnoteText"/>
        <w:rPr>
          <w:sz w:val="16"/>
          <w:szCs w:val="16"/>
        </w:rPr>
      </w:pPr>
      <w:r w:rsidRPr="00A2232A">
        <w:rPr>
          <w:rStyle w:val="FootnoteReference"/>
          <w:sz w:val="16"/>
          <w:szCs w:val="16"/>
        </w:rPr>
        <w:footnoteRef/>
      </w:r>
      <w:r w:rsidRPr="00A2232A">
        <w:rPr>
          <w:sz w:val="16"/>
          <w:szCs w:val="16"/>
        </w:rPr>
        <w:t xml:space="preserve"> Australian Qualifications Framework. (2012). Recognition of Prior Learning: An Explanation: </w:t>
      </w:r>
      <w:hyperlink r:id="rId27" w:history="1">
        <w:r w:rsidRPr="00D3786E">
          <w:rPr>
            <w:rStyle w:val="Hyperlink"/>
            <w:sz w:val="16"/>
            <w:szCs w:val="16"/>
          </w:rPr>
          <w:t>https://www.aqf.edu.au/sites/aqf/files/rpl-explanation.pdf</w:t>
        </w:r>
      </w:hyperlink>
      <w:r w:rsidRPr="00A2232A">
        <w:rPr>
          <w:sz w:val="16"/>
          <w:szCs w:val="16"/>
        </w:rPr>
        <w:t>.</w:t>
      </w:r>
      <w:r>
        <w:rPr>
          <w:sz w:val="16"/>
          <w:szCs w:val="16"/>
        </w:rPr>
        <w:t xml:space="preserve"> </w:t>
      </w:r>
    </w:p>
  </w:footnote>
  <w:footnote w:id="198">
    <w:p w14:paraId="24A2D24A" w14:textId="605E71C7" w:rsidR="007331AF" w:rsidRPr="00731032" w:rsidRDefault="007331AF" w:rsidP="00566137">
      <w:pPr>
        <w:pStyle w:val="FootnoteText"/>
        <w:rPr>
          <w:sz w:val="16"/>
          <w:szCs w:val="16"/>
        </w:rPr>
      </w:pPr>
      <w:r w:rsidRPr="00731032">
        <w:rPr>
          <w:rStyle w:val="FootnoteReference"/>
          <w:rFonts w:cstheme="minorHAnsi"/>
          <w:sz w:val="16"/>
          <w:szCs w:val="16"/>
        </w:rPr>
        <w:footnoteRef/>
      </w:r>
      <w:r w:rsidRPr="00731032">
        <w:rPr>
          <w:rFonts w:cstheme="minorHAnsi"/>
          <w:sz w:val="16"/>
          <w:szCs w:val="16"/>
        </w:rPr>
        <w:t xml:space="preserve"> Council of the European Union. (2012). Council recommendation of 20 December 2012 on the validation of non-formal and informal learning. Official Journal of the European Union, (2012/C 398/01). Available at </w:t>
      </w:r>
      <w:hyperlink r:id="rId28" w:history="1">
        <w:r w:rsidRPr="00D3786E">
          <w:rPr>
            <w:rStyle w:val="Hyperlink"/>
            <w:rFonts w:cstheme="minorHAnsi"/>
            <w:sz w:val="16"/>
            <w:szCs w:val="16"/>
          </w:rPr>
          <w:t>http://eurlex.europa.eu/LexUriServ/LexUriServ.do?uri=OJ:C:2012:398:0001:0005:EN:PDF</w:t>
        </w:r>
      </w:hyperlink>
      <w:r w:rsidRPr="00731032">
        <w:rPr>
          <w:rFonts w:cstheme="minorHAnsi"/>
          <w:sz w:val="16"/>
          <w:szCs w:val="16"/>
        </w:rPr>
        <w:t>.</w:t>
      </w:r>
      <w:r>
        <w:rPr>
          <w:rFonts w:cstheme="minorHAnsi"/>
          <w:sz w:val="16"/>
          <w:szCs w:val="16"/>
        </w:rPr>
        <w:t xml:space="preserve"> </w:t>
      </w:r>
    </w:p>
  </w:footnote>
  <w:footnote w:id="199">
    <w:p w14:paraId="156A16E9" w14:textId="5C0B144A" w:rsidR="007331AF" w:rsidRPr="00731032" w:rsidRDefault="007331AF" w:rsidP="00566137">
      <w:pPr>
        <w:pStyle w:val="FootnoteText"/>
        <w:rPr>
          <w:sz w:val="16"/>
          <w:szCs w:val="16"/>
        </w:rPr>
      </w:pPr>
      <w:r w:rsidRPr="00731032">
        <w:rPr>
          <w:rStyle w:val="FootnoteReference"/>
          <w:sz w:val="16"/>
          <w:szCs w:val="16"/>
        </w:rPr>
        <w:footnoteRef/>
      </w:r>
      <w:r w:rsidRPr="00731032">
        <w:rPr>
          <w:sz w:val="16"/>
          <w:szCs w:val="16"/>
        </w:rPr>
        <w:t xml:space="preserve"> European Commission. (2018). 10 years of the European Qualifications Framework. Available at </w:t>
      </w:r>
      <w:hyperlink r:id="rId29" w:history="1">
        <w:r w:rsidRPr="00D3786E">
          <w:rPr>
            <w:rStyle w:val="Hyperlink"/>
            <w:sz w:val="16"/>
            <w:szCs w:val="16"/>
          </w:rPr>
          <w:t>https://ec.europa.eu/ploteus/sites/eac-eqf/files/eqf_infographics_en.pdf</w:t>
        </w:r>
      </w:hyperlink>
      <w:r w:rsidRPr="00731032">
        <w:rPr>
          <w:rStyle w:val="Hyperlink"/>
          <w:sz w:val="16"/>
          <w:szCs w:val="16"/>
        </w:rPr>
        <w:t>.</w:t>
      </w:r>
      <w:r>
        <w:rPr>
          <w:rStyle w:val="Hyperlink"/>
          <w:sz w:val="16"/>
          <w:szCs w:val="16"/>
        </w:rPr>
        <w:t xml:space="preserve"> </w:t>
      </w:r>
    </w:p>
  </w:footnote>
  <w:footnote w:id="200">
    <w:p w14:paraId="21FD9AB3" w14:textId="20154BA7" w:rsidR="007331AF" w:rsidRPr="00731032" w:rsidRDefault="007331AF" w:rsidP="00566137">
      <w:pPr>
        <w:pStyle w:val="FootnoteText"/>
        <w:rPr>
          <w:sz w:val="16"/>
          <w:szCs w:val="16"/>
        </w:rPr>
      </w:pPr>
      <w:r w:rsidRPr="00731032">
        <w:rPr>
          <w:rStyle w:val="FootnoteReference"/>
          <w:sz w:val="16"/>
          <w:szCs w:val="16"/>
        </w:rPr>
        <w:footnoteRef/>
      </w:r>
      <w:hyperlink r:id="rId30" w:history="1">
        <w:r w:rsidRPr="00D3786E">
          <w:rPr>
            <w:rStyle w:val="Hyperlink"/>
            <w:sz w:val="16"/>
            <w:szCs w:val="16"/>
          </w:rPr>
          <w:t>http://skillomatic.theworklab.com.au/</w:t>
        </w:r>
      </w:hyperlink>
      <w:r>
        <w:rPr>
          <w:sz w:val="16"/>
          <w:szCs w:val="16"/>
        </w:rPr>
        <w:t xml:space="preserve"> </w:t>
      </w:r>
    </w:p>
  </w:footnote>
  <w:footnote w:id="201">
    <w:p w14:paraId="19248565" w14:textId="3A68255D" w:rsidR="007331AF" w:rsidRPr="00731032" w:rsidRDefault="007331AF" w:rsidP="00566137">
      <w:pPr>
        <w:pStyle w:val="FootnoteText"/>
        <w:rPr>
          <w:sz w:val="16"/>
          <w:szCs w:val="16"/>
        </w:rPr>
      </w:pPr>
      <w:r w:rsidRPr="00731032">
        <w:rPr>
          <w:rStyle w:val="FootnoteReference"/>
          <w:sz w:val="16"/>
          <w:szCs w:val="16"/>
        </w:rPr>
        <w:footnoteRef/>
      </w:r>
      <w:hyperlink r:id="rId31" w:history="1">
        <w:r w:rsidRPr="00D3786E">
          <w:rPr>
            <w:rStyle w:val="Hyperlink"/>
            <w:sz w:val="16"/>
            <w:szCs w:val="16"/>
          </w:rPr>
          <w:t>https://skillstools.eu/</w:t>
        </w:r>
      </w:hyperlink>
      <w:r>
        <w:rPr>
          <w:sz w:val="16"/>
          <w:szCs w:val="16"/>
        </w:rPr>
        <w:t xml:space="preserve"> </w:t>
      </w:r>
      <w:r w:rsidRPr="00731032">
        <w:rPr>
          <w:rStyle w:val="Hyperlink"/>
          <w:sz w:val="16"/>
          <w:szCs w:val="16"/>
        </w:rPr>
        <w:t xml:space="preserve"> </w:t>
      </w:r>
    </w:p>
  </w:footnote>
  <w:footnote w:id="202">
    <w:p w14:paraId="291E284B" w14:textId="77777777" w:rsidR="007331AF" w:rsidRPr="00731032" w:rsidRDefault="007331AF" w:rsidP="00566137">
      <w:pPr>
        <w:pStyle w:val="FootnoteText"/>
        <w:rPr>
          <w:rFonts w:cstheme="minorHAnsi"/>
          <w:sz w:val="16"/>
          <w:szCs w:val="16"/>
        </w:rPr>
      </w:pPr>
      <w:r w:rsidRPr="00731032">
        <w:rPr>
          <w:rStyle w:val="FootnoteReference"/>
          <w:rFonts w:cstheme="minorHAnsi"/>
          <w:sz w:val="16"/>
          <w:szCs w:val="16"/>
        </w:rPr>
        <w:footnoteRef/>
      </w:r>
      <w:r w:rsidRPr="00731032">
        <w:rPr>
          <w:rFonts w:cstheme="minorHAnsi"/>
          <w:sz w:val="16"/>
          <w:szCs w:val="16"/>
        </w:rPr>
        <w:t xml:space="preserve"> Bennett, A., Naylor, R., Mellor, K., Brett, M., Gore, J., Harvey, A., and Whitty, G. (2015). The Critical Interventions Framework Part 2: Equity Initiatives in Australian Higher Education: A Review of Evidence of Impact. Canberra: Australian Government Department of Education and Training.</w:t>
      </w:r>
      <w:r w:rsidRPr="00731032">
        <w:rPr>
          <w:sz w:val="16"/>
          <w:szCs w:val="16"/>
        </w:rPr>
        <w:t xml:space="preserve">  </w:t>
      </w:r>
    </w:p>
  </w:footnote>
  <w:footnote w:id="203">
    <w:p w14:paraId="04FC8C5B" w14:textId="77777777" w:rsidR="007331AF" w:rsidRPr="00075A18" w:rsidRDefault="007331AF" w:rsidP="00566137">
      <w:pPr>
        <w:pStyle w:val="FootnoteText"/>
        <w:rPr>
          <w:rFonts w:cstheme="minorHAnsi"/>
          <w:sz w:val="16"/>
          <w:szCs w:val="16"/>
        </w:rPr>
      </w:pPr>
      <w:r w:rsidRPr="00731032">
        <w:rPr>
          <w:rStyle w:val="FootnoteReference"/>
          <w:rFonts w:cstheme="minorHAnsi"/>
          <w:sz w:val="16"/>
          <w:szCs w:val="16"/>
        </w:rPr>
        <w:footnoteRef/>
      </w:r>
      <w:r w:rsidRPr="00731032">
        <w:rPr>
          <w:rFonts w:cstheme="minorHAnsi"/>
          <w:sz w:val="16"/>
          <w:szCs w:val="16"/>
        </w:rPr>
        <w:t xml:space="preserve"> Li, I., Mahuteau, S., Dockery, A., and Junankar, P.N. (2017). Equity in higher education and graduate labour market outcomes in Australia, Journal of Higher Education Policy and Management, 39(6), 625-641.</w:t>
      </w:r>
      <w:r w:rsidRPr="00731032">
        <w:rPr>
          <w:sz w:val="16"/>
          <w:szCs w:val="16"/>
        </w:rPr>
        <w:t xml:space="preserve"> </w:t>
      </w:r>
      <w:r w:rsidRPr="00731032">
        <w:rPr>
          <w:rFonts w:cstheme="minorHAnsi"/>
          <w:sz w:val="16"/>
          <w:szCs w:val="16"/>
        </w:rPr>
        <w:t>Harvey, A., Cakitaki, B., and Brett, M. (2018). Principles for Equity in Higher Education Performance Funding, Report for the National Centre for Student Equity in Higher Education Research. Centre for Higher Education Equity and Diversity Research, Melbourne: La Trobe University.</w:t>
      </w:r>
    </w:p>
  </w:footnote>
  <w:footnote w:id="204">
    <w:p w14:paraId="67A140FE" w14:textId="77777777" w:rsidR="007331AF" w:rsidRPr="00075A18" w:rsidRDefault="007331AF" w:rsidP="00566137">
      <w:pPr>
        <w:pStyle w:val="FootnoteText"/>
        <w:rPr>
          <w:rFonts w:cstheme="minorHAnsi"/>
          <w:sz w:val="16"/>
          <w:szCs w:val="16"/>
        </w:rPr>
      </w:pPr>
      <w:r w:rsidRPr="00075A18">
        <w:rPr>
          <w:rStyle w:val="FootnoteReference"/>
          <w:rFonts w:cstheme="minorHAnsi"/>
          <w:sz w:val="16"/>
          <w:szCs w:val="16"/>
        </w:rPr>
        <w:footnoteRef/>
      </w:r>
      <w:r w:rsidRPr="00075A18">
        <w:rPr>
          <w:rFonts w:cstheme="minorHAnsi"/>
          <w:sz w:val="16"/>
          <w:szCs w:val="16"/>
        </w:rPr>
        <w:t xml:space="preserve"> Russell-Bennett, R., Drennan, J.</w:t>
      </w:r>
      <w:r>
        <w:rPr>
          <w:rFonts w:cstheme="minorHAnsi"/>
          <w:sz w:val="16"/>
          <w:szCs w:val="16"/>
        </w:rPr>
        <w:t xml:space="preserve">, and </w:t>
      </w:r>
      <w:r w:rsidRPr="00075A18">
        <w:rPr>
          <w:rFonts w:cstheme="minorHAnsi"/>
          <w:sz w:val="16"/>
          <w:szCs w:val="16"/>
        </w:rPr>
        <w:t xml:space="preserve">Raciti, M. (2016). Social Marketing Strategy for Widening Tertiary Education Participation in Low SES Communities: Field Research. </w:t>
      </w:r>
      <w:r>
        <w:rPr>
          <w:rFonts w:cstheme="minorHAnsi"/>
          <w:sz w:val="16"/>
          <w:szCs w:val="16"/>
        </w:rPr>
        <w:t xml:space="preserve">Brisbane: </w:t>
      </w:r>
      <w:r w:rsidRPr="00075A18">
        <w:rPr>
          <w:rFonts w:cstheme="minorHAnsi"/>
          <w:sz w:val="16"/>
          <w:szCs w:val="16"/>
        </w:rPr>
        <w:t>Queensland University of Technology.</w:t>
      </w:r>
      <w:r w:rsidRPr="00841EB6">
        <w:rPr>
          <w:rFonts w:cstheme="minorHAnsi"/>
          <w:sz w:val="16"/>
          <w:szCs w:val="16"/>
        </w:rPr>
        <w:t xml:space="preserve"> </w:t>
      </w:r>
      <w:r w:rsidRPr="00075A18">
        <w:rPr>
          <w:rFonts w:cstheme="minorHAnsi"/>
          <w:sz w:val="16"/>
          <w:szCs w:val="16"/>
        </w:rPr>
        <w:t>Koshy, P., Dockery, A. M.,</w:t>
      </w:r>
      <w:r>
        <w:rPr>
          <w:rFonts w:cstheme="minorHAnsi"/>
          <w:sz w:val="16"/>
          <w:szCs w:val="16"/>
        </w:rPr>
        <w:t xml:space="preserve"> and </w:t>
      </w:r>
      <w:r w:rsidRPr="00075A18">
        <w:rPr>
          <w:rFonts w:cstheme="minorHAnsi"/>
          <w:sz w:val="16"/>
          <w:szCs w:val="16"/>
        </w:rPr>
        <w:t>Seymour, R. (2019). Parental expectations for young people’s participation in higher education in Australia. Studies in Higher Education, 44(2), 302-317.</w:t>
      </w:r>
    </w:p>
  </w:footnote>
  <w:footnote w:id="205">
    <w:p w14:paraId="30474A7C" w14:textId="77777777" w:rsidR="007331AF" w:rsidRDefault="007331AF" w:rsidP="00566137">
      <w:pPr>
        <w:pStyle w:val="FootnoteText"/>
      </w:pPr>
      <w:r w:rsidRPr="00075A18">
        <w:rPr>
          <w:rStyle w:val="FootnoteReference"/>
          <w:rFonts w:cstheme="minorHAnsi"/>
          <w:sz w:val="16"/>
          <w:szCs w:val="16"/>
        </w:rPr>
        <w:footnoteRef/>
      </w:r>
      <w:r w:rsidRPr="00075A18">
        <w:rPr>
          <w:rFonts w:cstheme="minorHAnsi"/>
          <w:sz w:val="16"/>
          <w:szCs w:val="16"/>
        </w:rPr>
        <w:t xml:space="preserve"> </w:t>
      </w:r>
      <w:r w:rsidRPr="000205EF">
        <w:rPr>
          <w:rFonts w:cstheme="minorHAnsi"/>
          <w:sz w:val="16"/>
          <w:szCs w:val="16"/>
        </w:rPr>
        <w:t>Matthews, D., Milgate,</w:t>
      </w:r>
      <w:r w:rsidRPr="00075A18">
        <w:rPr>
          <w:rFonts w:cstheme="minorHAnsi"/>
          <w:sz w:val="16"/>
          <w:szCs w:val="16"/>
        </w:rPr>
        <w:t xml:space="preserve"> G</w:t>
      </w:r>
      <w:r>
        <w:rPr>
          <w:rFonts w:cstheme="minorHAnsi"/>
          <w:sz w:val="16"/>
          <w:szCs w:val="16"/>
        </w:rPr>
        <w:t>.,</w:t>
      </w:r>
      <w:r w:rsidRPr="00075A18">
        <w:rPr>
          <w:rFonts w:cstheme="minorHAnsi"/>
          <w:sz w:val="16"/>
          <w:szCs w:val="16"/>
        </w:rPr>
        <w:t xml:space="preserve"> and Clarke, L., (2018)</w:t>
      </w:r>
      <w:r>
        <w:rPr>
          <w:rFonts w:cstheme="minorHAnsi"/>
          <w:sz w:val="16"/>
          <w:szCs w:val="16"/>
        </w:rPr>
        <w:t>.</w:t>
      </w:r>
      <w:r w:rsidRPr="00075A18">
        <w:rPr>
          <w:rFonts w:cstheme="minorHAnsi"/>
          <w:sz w:val="16"/>
          <w:szCs w:val="16"/>
        </w:rPr>
        <w:t xml:space="preserve"> Assessment of </w:t>
      </w:r>
      <w:r>
        <w:rPr>
          <w:rFonts w:cstheme="minorHAnsi"/>
          <w:sz w:val="16"/>
          <w:szCs w:val="16"/>
        </w:rPr>
        <w:t>U</w:t>
      </w:r>
      <w:r w:rsidRPr="00075A18">
        <w:rPr>
          <w:rFonts w:cstheme="minorHAnsi"/>
          <w:sz w:val="16"/>
          <w:szCs w:val="16"/>
        </w:rPr>
        <w:t xml:space="preserve">niversity </w:t>
      </w:r>
      <w:r>
        <w:rPr>
          <w:rFonts w:cstheme="minorHAnsi"/>
          <w:sz w:val="16"/>
          <w:szCs w:val="16"/>
        </w:rPr>
        <w:t>S</w:t>
      </w:r>
      <w:r w:rsidRPr="00075A18">
        <w:rPr>
          <w:rFonts w:cstheme="minorHAnsi"/>
          <w:sz w:val="16"/>
          <w:szCs w:val="16"/>
        </w:rPr>
        <w:t xml:space="preserve">upport </w:t>
      </w:r>
      <w:r>
        <w:rPr>
          <w:rFonts w:cstheme="minorHAnsi"/>
          <w:sz w:val="16"/>
          <w:szCs w:val="16"/>
        </w:rPr>
        <w:t>S</w:t>
      </w:r>
      <w:r w:rsidRPr="00075A18">
        <w:rPr>
          <w:rFonts w:cstheme="minorHAnsi"/>
          <w:sz w:val="16"/>
          <w:szCs w:val="16"/>
        </w:rPr>
        <w:t xml:space="preserve">ervices for </w:t>
      </w:r>
      <w:r>
        <w:rPr>
          <w:rFonts w:cstheme="minorHAnsi"/>
          <w:sz w:val="16"/>
          <w:szCs w:val="16"/>
        </w:rPr>
        <w:t>R</w:t>
      </w:r>
      <w:r w:rsidRPr="00075A18">
        <w:rPr>
          <w:rFonts w:cstheme="minorHAnsi"/>
          <w:sz w:val="16"/>
          <w:szCs w:val="16"/>
        </w:rPr>
        <w:t xml:space="preserve">egional and </w:t>
      </w:r>
      <w:r>
        <w:rPr>
          <w:rFonts w:cstheme="minorHAnsi"/>
          <w:sz w:val="16"/>
          <w:szCs w:val="16"/>
        </w:rPr>
        <w:t>R</w:t>
      </w:r>
      <w:r w:rsidRPr="00075A18">
        <w:rPr>
          <w:rFonts w:cstheme="minorHAnsi"/>
          <w:sz w:val="16"/>
          <w:szCs w:val="16"/>
        </w:rPr>
        <w:t xml:space="preserve">emote </w:t>
      </w:r>
      <w:r>
        <w:rPr>
          <w:rFonts w:cstheme="minorHAnsi"/>
          <w:sz w:val="16"/>
          <w:szCs w:val="16"/>
        </w:rPr>
        <w:t>S</w:t>
      </w:r>
      <w:r w:rsidRPr="00075A18">
        <w:rPr>
          <w:rFonts w:cstheme="minorHAnsi"/>
          <w:sz w:val="16"/>
          <w:szCs w:val="16"/>
        </w:rPr>
        <w:t xml:space="preserve">tudents in </w:t>
      </w:r>
      <w:r>
        <w:rPr>
          <w:rFonts w:cstheme="minorHAnsi"/>
          <w:sz w:val="16"/>
          <w:szCs w:val="16"/>
        </w:rPr>
        <w:t>T</w:t>
      </w:r>
      <w:r w:rsidRPr="00075A18">
        <w:rPr>
          <w:rFonts w:cstheme="minorHAnsi"/>
          <w:sz w:val="16"/>
          <w:szCs w:val="16"/>
        </w:rPr>
        <w:t xml:space="preserve">ransition to </w:t>
      </w:r>
      <w:r>
        <w:rPr>
          <w:rFonts w:cstheme="minorHAnsi"/>
          <w:sz w:val="16"/>
          <w:szCs w:val="16"/>
        </w:rPr>
        <w:t>U</w:t>
      </w:r>
      <w:r w:rsidRPr="00075A18">
        <w:rPr>
          <w:rFonts w:cstheme="minorHAnsi"/>
          <w:sz w:val="16"/>
          <w:szCs w:val="16"/>
        </w:rPr>
        <w:t xml:space="preserve">niversity. Final Report for the Commonwealth Department of Education and Training, </w:t>
      </w:r>
      <w:r>
        <w:rPr>
          <w:rFonts w:cstheme="minorHAnsi"/>
          <w:sz w:val="16"/>
          <w:szCs w:val="16"/>
        </w:rPr>
        <w:t xml:space="preserve">Adelaide: </w:t>
      </w:r>
      <w:r w:rsidRPr="00075A18">
        <w:rPr>
          <w:rFonts w:cstheme="minorHAnsi"/>
          <w:sz w:val="16"/>
          <w:szCs w:val="16"/>
        </w:rPr>
        <w:t>Australian Council for Educational Research.</w:t>
      </w:r>
    </w:p>
  </w:footnote>
  <w:footnote w:id="206">
    <w:p w14:paraId="3A013457" w14:textId="77777777" w:rsidR="007331AF" w:rsidRPr="00CA2A2D" w:rsidRDefault="007331AF" w:rsidP="00566137">
      <w:pPr>
        <w:pStyle w:val="FootnoteText"/>
        <w:rPr>
          <w:sz w:val="16"/>
          <w:szCs w:val="16"/>
        </w:rPr>
      </w:pPr>
      <w:r w:rsidRPr="00CA2A2D">
        <w:rPr>
          <w:rStyle w:val="FootnoteReference"/>
          <w:sz w:val="16"/>
          <w:szCs w:val="16"/>
        </w:rPr>
        <w:footnoteRef/>
      </w:r>
      <w:r w:rsidRPr="00CA2A2D">
        <w:rPr>
          <w:sz w:val="16"/>
          <w:szCs w:val="16"/>
        </w:rPr>
        <w:t xml:space="preserve"> Zacharias, N., Mitchell, G., Raciti, M., Koshy, P., Li, I., Costello, D.,</w:t>
      </w:r>
      <w:r>
        <w:rPr>
          <w:sz w:val="16"/>
          <w:szCs w:val="16"/>
        </w:rPr>
        <w:t xml:space="preserve"> and </w:t>
      </w:r>
      <w:r w:rsidRPr="00CA2A2D">
        <w:rPr>
          <w:sz w:val="16"/>
          <w:szCs w:val="16"/>
        </w:rPr>
        <w:t xml:space="preserve">Trinidad, S. (2018). Widening Regional and Remote Participation: Interrogating the </w:t>
      </w:r>
      <w:r>
        <w:rPr>
          <w:sz w:val="16"/>
          <w:szCs w:val="16"/>
        </w:rPr>
        <w:t>I</w:t>
      </w:r>
      <w:r w:rsidRPr="00CA2A2D">
        <w:rPr>
          <w:sz w:val="16"/>
          <w:szCs w:val="16"/>
        </w:rPr>
        <w:t xml:space="preserve">mpact of </w:t>
      </w:r>
      <w:r>
        <w:rPr>
          <w:sz w:val="16"/>
          <w:szCs w:val="16"/>
        </w:rPr>
        <w:t>O</w:t>
      </w:r>
      <w:r w:rsidRPr="00CA2A2D">
        <w:rPr>
          <w:sz w:val="16"/>
          <w:szCs w:val="16"/>
        </w:rPr>
        <w:t xml:space="preserve">utreach </w:t>
      </w:r>
      <w:r>
        <w:rPr>
          <w:sz w:val="16"/>
          <w:szCs w:val="16"/>
        </w:rPr>
        <w:t>P</w:t>
      </w:r>
      <w:r w:rsidRPr="00CA2A2D">
        <w:rPr>
          <w:sz w:val="16"/>
          <w:szCs w:val="16"/>
        </w:rPr>
        <w:t xml:space="preserve">rograms </w:t>
      </w:r>
      <w:r>
        <w:rPr>
          <w:sz w:val="16"/>
          <w:szCs w:val="16"/>
        </w:rPr>
        <w:t>A</w:t>
      </w:r>
      <w:r w:rsidRPr="00CA2A2D">
        <w:rPr>
          <w:sz w:val="16"/>
          <w:szCs w:val="16"/>
        </w:rPr>
        <w:t>cross Queensland. National Centre for Student Equity in Higher Education.</w:t>
      </w:r>
      <w:r>
        <w:rPr>
          <w:sz w:val="16"/>
          <w:szCs w:val="16"/>
        </w:rPr>
        <w:t xml:space="preserve"> Perth: Curtin University.</w:t>
      </w:r>
    </w:p>
  </w:footnote>
  <w:footnote w:id="207">
    <w:p w14:paraId="5B41B769" w14:textId="62818778" w:rsidR="007331AF" w:rsidRPr="000205EF" w:rsidRDefault="007331AF" w:rsidP="00566137">
      <w:pPr>
        <w:pStyle w:val="FootnoteText"/>
        <w:rPr>
          <w:sz w:val="16"/>
          <w:szCs w:val="16"/>
        </w:rPr>
      </w:pPr>
      <w:r w:rsidRPr="000205EF">
        <w:rPr>
          <w:rStyle w:val="FootnoteReference"/>
          <w:sz w:val="16"/>
          <w:szCs w:val="16"/>
        </w:rPr>
        <w:footnoteRef/>
      </w:r>
      <w:r w:rsidRPr="000205EF">
        <w:rPr>
          <w:sz w:val="16"/>
          <w:szCs w:val="16"/>
        </w:rPr>
        <w:t xml:space="preserve"> </w:t>
      </w:r>
      <w:r>
        <w:rPr>
          <w:sz w:val="16"/>
          <w:szCs w:val="16"/>
        </w:rPr>
        <w:t xml:space="preserve">See </w:t>
      </w:r>
      <w:r w:rsidRPr="000205EF">
        <w:rPr>
          <w:sz w:val="16"/>
          <w:szCs w:val="16"/>
        </w:rPr>
        <w:t xml:space="preserve">National Priorities Pool Investment Plan – 2016: </w:t>
      </w:r>
      <w:hyperlink r:id="rId32" w:history="1">
        <w:r w:rsidRPr="00D3786E">
          <w:rPr>
            <w:rStyle w:val="Hyperlink"/>
            <w:sz w:val="16"/>
            <w:szCs w:val="16"/>
          </w:rPr>
          <w:t>https://docs.education.gov.au/documents/national-priorities-pool-investment-plan-2016</w:t>
        </w:r>
      </w:hyperlink>
      <w:r>
        <w:rPr>
          <w:sz w:val="16"/>
          <w:szCs w:val="16"/>
        </w:rPr>
        <w:t xml:space="preserve">. </w:t>
      </w:r>
    </w:p>
  </w:footnote>
  <w:footnote w:id="208">
    <w:p w14:paraId="03260DC4" w14:textId="77777777" w:rsidR="007331AF" w:rsidRPr="00F607EB" w:rsidRDefault="007331AF" w:rsidP="00566137">
      <w:pPr>
        <w:pStyle w:val="FootnoteText"/>
        <w:rPr>
          <w:sz w:val="16"/>
          <w:szCs w:val="16"/>
        </w:rPr>
      </w:pPr>
      <w:r w:rsidRPr="00F607EB">
        <w:rPr>
          <w:rStyle w:val="FootnoteReference"/>
          <w:sz w:val="16"/>
          <w:szCs w:val="16"/>
        </w:rPr>
        <w:footnoteRef/>
      </w:r>
      <w:r w:rsidRPr="00F607EB">
        <w:rPr>
          <w:sz w:val="16"/>
          <w:szCs w:val="16"/>
        </w:rPr>
        <w:t xml:space="preserve"> </w:t>
      </w:r>
      <w:r w:rsidRPr="006344C9">
        <w:rPr>
          <w:rFonts w:cs="Calibri"/>
          <w:sz w:val="16"/>
          <w:szCs w:val="16"/>
        </w:rPr>
        <w:t>Zacharias N., and Brett, M. (2019). The Best Chance for All: Student Equity 2030 – A Long-term Strategic Vision for Student Equity in Higher Education, National Centre for Student Equity in Higher Education. Perth: Curtin University.</w:t>
      </w:r>
    </w:p>
  </w:footnote>
  <w:footnote w:id="209">
    <w:p w14:paraId="65EACAC7" w14:textId="77777777" w:rsidR="007331AF" w:rsidRDefault="007331AF" w:rsidP="00566137">
      <w:pPr>
        <w:pStyle w:val="FootnoteText"/>
      </w:pPr>
      <w:r w:rsidRPr="00F607EB">
        <w:rPr>
          <w:rStyle w:val="FootnoteReference"/>
          <w:sz w:val="16"/>
          <w:szCs w:val="16"/>
        </w:rPr>
        <w:footnoteRef/>
      </w:r>
      <w:r w:rsidRPr="00F607EB">
        <w:rPr>
          <w:sz w:val="16"/>
          <w:szCs w:val="16"/>
        </w:rPr>
        <w:t xml:space="preserve"> Pollard, L. (2018). Remote Student University Success–An Analysis of Policy and Practice. National Centre for Student Equity in Higher Education, Perth: Curtin University.</w:t>
      </w:r>
    </w:p>
  </w:footnote>
  <w:footnote w:id="210">
    <w:p w14:paraId="7B72256F" w14:textId="77777777" w:rsidR="007331AF" w:rsidRPr="00F607EB" w:rsidRDefault="007331AF" w:rsidP="00566137">
      <w:pPr>
        <w:pStyle w:val="FootnoteText"/>
        <w:rPr>
          <w:sz w:val="16"/>
          <w:szCs w:val="16"/>
        </w:rPr>
      </w:pPr>
      <w:r w:rsidRPr="00F607EB">
        <w:rPr>
          <w:rStyle w:val="FootnoteReference"/>
          <w:sz w:val="16"/>
          <w:szCs w:val="16"/>
        </w:rPr>
        <w:footnoteRef/>
      </w:r>
      <w:r w:rsidRPr="00F607EB">
        <w:rPr>
          <w:sz w:val="16"/>
          <w:szCs w:val="16"/>
        </w:rPr>
        <w:t xml:space="preserve"> </w:t>
      </w:r>
      <w:r w:rsidRPr="006344C9">
        <w:rPr>
          <w:sz w:val="16"/>
          <w:szCs w:val="16"/>
        </w:rPr>
        <w:t>Zacharias, N., Mitchell, G., Raciti, M., Koshy, P., Li, I., Costello, D., and Trinidad, S. (2018). Widening Regional and Remote Participation: Interrogating the Impact of Outreach Programs Across Queensland. National Centre for Student Equity in Higher Education. Perth: Curtin University.</w:t>
      </w:r>
    </w:p>
  </w:footnote>
  <w:footnote w:id="211">
    <w:p w14:paraId="65130ECE" w14:textId="77777777" w:rsidR="007331AF" w:rsidRPr="00F607EB" w:rsidRDefault="007331AF" w:rsidP="00566137">
      <w:pPr>
        <w:pStyle w:val="FootnoteText"/>
        <w:rPr>
          <w:sz w:val="16"/>
          <w:szCs w:val="16"/>
        </w:rPr>
      </w:pPr>
      <w:r w:rsidRPr="00F607EB">
        <w:rPr>
          <w:rStyle w:val="FootnoteReference"/>
          <w:sz w:val="16"/>
          <w:szCs w:val="16"/>
        </w:rPr>
        <w:footnoteRef/>
      </w:r>
      <w:r w:rsidRPr="00F607EB">
        <w:rPr>
          <w:sz w:val="16"/>
          <w:szCs w:val="16"/>
        </w:rPr>
        <w:t xml:space="preserve"> Zacharias, N., Mitchell, G., Raciti, M., Koshy, P., Li, I., Costello, D., and Trinidad, S. (2018). Widening Regional and Remote Participation: Interrogating the Impact of Outreach Programs Across Queensland. National Centre for Student Equity in Higher Education. Perth: Curtin University.</w:t>
      </w:r>
    </w:p>
  </w:footnote>
  <w:footnote w:id="212">
    <w:p w14:paraId="272BDBDD" w14:textId="39F57B2B" w:rsidR="007331AF" w:rsidRPr="00F607EB" w:rsidRDefault="007331AF" w:rsidP="00566137">
      <w:pPr>
        <w:pStyle w:val="FootnoteText"/>
        <w:rPr>
          <w:sz w:val="16"/>
          <w:szCs w:val="16"/>
        </w:rPr>
      </w:pPr>
      <w:r w:rsidRPr="00F607EB">
        <w:rPr>
          <w:rStyle w:val="FootnoteReference"/>
          <w:sz w:val="16"/>
          <w:szCs w:val="16"/>
        </w:rPr>
        <w:footnoteRef/>
      </w:r>
      <w:r w:rsidRPr="00F607EB">
        <w:rPr>
          <w:sz w:val="16"/>
          <w:szCs w:val="16"/>
        </w:rPr>
        <w:t xml:space="preserve"> Trinidad, S., Sharplin, E., Lock, G., Ledger, S., Broadley, T., Boyd, D., Terry, E., (2013). Developing Strategies at the Pre-service Level to Address Critical Teacher Attraction and Retention Issues in Australian Rural, Regional and Remote Schools, Final Report for the Office for Learning and Teaching, Australian Government. Available at </w:t>
      </w:r>
      <w:hyperlink r:id="rId33" w:history="1">
        <w:r w:rsidRPr="00D3786E">
          <w:rPr>
            <w:rStyle w:val="Hyperlink"/>
            <w:sz w:val="16"/>
            <w:szCs w:val="16"/>
          </w:rPr>
          <w:t>https://ltr.edu.au/resources/CG10_1541_Trinidad_Report_2013.pdf</w:t>
        </w:r>
      </w:hyperlink>
      <w:r w:rsidRPr="00F607EB">
        <w:rPr>
          <w:sz w:val="16"/>
          <w:szCs w:val="16"/>
        </w:rPr>
        <w:t>.</w:t>
      </w:r>
      <w:r>
        <w:rPr>
          <w:sz w:val="16"/>
          <w:szCs w:val="16"/>
        </w:rPr>
        <w:t xml:space="preserve"> </w:t>
      </w:r>
    </w:p>
  </w:footnote>
  <w:footnote w:id="213">
    <w:p w14:paraId="2C37E8B4" w14:textId="4C77C4A7" w:rsidR="007331AF" w:rsidRPr="00810792" w:rsidRDefault="007331AF" w:rsidP="005B7609">
      <w:pPr>
        <w:pStyle w:val="FootnoteText"/>
        <w:rPr>
          <w:sz w:val="16"/>
          <w:szCs w:val="16"/>
        </w:rPr>
      </w:pPr>
      <w:r w:rsidRPr="00810792">
        <w:rPr>
          <w:rStyle w:val="FootnoteReference"/>
          <w:sz w:val="16"/>
          <w:szCs w:val="16"/>
        </w:rPr>
        <w:footnoteRef/>
      </w:r>
      <w:r w:rsidRPr="00810792">
        <w:rPr>
          <w:sz w:val="16"/>
          <w:szCs w:val="16"/>
        </w:rPr>
        <w:t xml:space="preserve"> Department of Education and Training 2019, “Attrition Rate”. Available at </w:t>
      </w:r>
      <w:hyperlink r:id="rId34" w:history="1">
        <w:r w:rsidRPr="00D3786E">
          <w:rPr>
            <w:rStyle w:val="Hyperlink"/>
            <w:sz w:val="16"/>
            <w:szCs w:val="16"/>
          </w:rPr>
          <w:t>https://heimshelp.education.gov.au/resources/glossary/glossaryterm?title=Attrition%20Rate</w:t>
        </w:r>
      </w:hyperlink>
      <w:r>
        <w:rPr>
          <w:sz w:val="16"/>
          <w:szCs w:val="16"/>
        </w:rPr>
        <w:t xml:space="preserve"> </w:t>
      </w:r>
    </w:p>
  </w:footnote>
  <w:footnote w:id="214">
    <w:p w14:paraId="5B64C507" w14:textId="0B432D76" w:rsidR="007331AF" w:rsidRPr="00810792" w:rsidRDefault="007331AF" w:rsidP="005B7609">
      <w:pPr>
        <w:pStyle w:val="FootnoteText"/>
        <w:rPr>
          <w:sz w:val="16"/>
          <w:szCs w:val="16"/>
        </w:rPr>
      </w:pPr>
      <w:r w:rsidRPr="00810792">
        <w:rPr>
          <w:rStyle w:val="FootnoteReference"/>
          <w:sz w:val="16"/>
          <w:szCs w:val="16"/>
        </w:rPr>
        <w:footnoteRef/>
      </w:r>
      <w:r w:rsidRPr="00810792">
        <w:rPr>
          <w:sz w:val="16"/>
          <w:szCs w:val="16"/>
        </w:rPr>
        <w:t xml:space="preserve"> Department of Education and Training 2019, “School to work transitions”. Available at </w:t>
      </w:r>
      <w:hyperlink r:id="rId35" w:history="1">
        <w:r w:rsidRPr="00D3786E">
          <w:rPr>
            <w:rStyle w:val="Hyperlink"/>
            <w:sz w:val="16"/>
            <w:szCs w:val="16"/>
          </w:rPr>
          <w:t>https://www.education.gov.au/school-work-transitions</w:t>
        </w:r>
      </w:hyperlink>
      <w:r>
        <w:rPr>
          <w:sz w:val="16"/>
          <w:szCs w:val="16"/>
        </w:rPr>
        <w:t xml:space="preserve"> </w:t>
      </w:r>
    </w:p>
  </w:footnote>
  <w:footnote w:id="215">
    <w:p w14:paraId="756336C1" w14:textId="38FDE282" w:rsidR="007331AF" w:rsidRPr="00810792" w:rsidRDefault="007331AF" w:rsidP="0051019D">
      <w:pPr>
        <w:pStyle w:val="FootnoteText"/>
        <w:rPr>
          <w:sz w:val="16"/>
          <w:szCs w:val="16"/>
        </w:rPr>
      </w:pPr>
      <w:r w:rsidRPr="00810792">
        <w:rPr>
          <w:rStyle w:val="FootnoteReference"/>
          <w:sz w:val="16"/>
          <w:szCs w:val="16"/>
        </w:rPr>
        <w:footnoteRef/>
      </w:r>
      <w:r w:rsidRPr="00810792">
        <w:rPr>
          <w:sz w:val="16"/>
          <w:szCs w:val="16"/>
        </w:rPr>
        <w:t xml:space="preserve"> Kambhampati, S 2015, “Attainment, Completion, and the Trouble in Measuring Them Both”, </w:t>
      </w:r>
      <w:r w:rsidRPr="00810792">
        <w:rPr>
          <w:i/>
          <w:sz w:val="16"/>
          <w:szCs w:val="16"/>
        </w:rPr>
        <w:t>The Chronicle of Higher Education.</w:t>
      </w:r>
      <w:r w:rsidRPr="00810792">
        <w:rPr>
          <w:sz w:val="16"/>
          <w:szCs w:val="16"/>
        </w:rPr>
        <w:t xml:space="preserve"> Available at </w:t>
      </w:r>
      <w:hyperlink r:id="rId36" w:history="1">
        <w:r w:rsidRPr="00D3786E">
          <w:rPr>
            <w:rStyle w:val="Hyperlink"/>
            <w:sz w:val="16"/>
            <w:szCs w:val="16"/>
          </w:rPr>
          <w:t>https://www.chronicle.com/blogs/data/2015/05/04/attainment-completion-and-the-trouble-in-measuring-them-both/</w:t>
        </w:r>
      </w:hyperlink>
      <w:r>
        <w:rPr>
          <w:sz w:val="16"/>
          <w:szCs w:val="16"/>
        </w:rPr>
        <w:t xml:space="preserve"> </w:t>
      </w:r>
      <w:r w:rsidRPr="00810792">
        <w:rPr>
          <w:sz w:val="16"/>
          <w:szCs w:val="16"/>
        </w:rPr>
        <w:t xml:space="preserve"> </w:t>
      </w:r>
      <w:r>
        <w:rPr>
          <w:sz w:val="16"/>
          <w:szCs w:val="16"/>
        </w:rPr>
        <w:t xml:space="preserve"> </w:t>
      </w:r>
    </w:p>
  </w:footnote>
  <w:footnote w:id="216">
    <w:p w14:paraId="0DA6FA6C" w14:textId="2406CE7E" w:rsidR="007331AF" w:rsidRPr="00810792" w:rsidRDefault="007331AF" w:rsidP="00810792">
      <w:pPr>
        <w:pStyle w:val="FootnoteText"/>
      </w:pPr>
      <w:r w:rsidRPr="00810792">
        <w:rPr>
          <w:rStyle w:val="FootnoteReference"/>
          <w:sz w:val="16"/>
          <w:szCs w:val="16"/>
        </w:rPr>
        <w:footnoteRef/>
      </w:r>
      <w:r w:rsidRPr="00810792">
        <w:rPr>
          <w:sz w:val="16"/>
          <w:szCs w:val="16"/>
        </w:rPr>
        <w:t xml:space="preserve"> The University of Edinburgh 2016, “What are equality and diversity?” Available at </w:t>
      </w:r>
      <w:hyperlink r:id="rId37" w:history="1">
        <w:r w:rsidRPr="00D3786E">
          <w:rPr>
            <w:rStyle w:val="Hyperlink"/>
            <w:sz w:val="16"/>
            <w:szCs w:val="16"/>
          </w:rPr>
          <w:t>https://www.ed.ac.uk/equality-diversity/about/equality-diversity</w:t>
        </w:r>
      </w:hyperlink>
      <w:r>
        <w:rPr>
          <w:sz w:val="16"/>
          <w:szCs w:val="16"/>
        </w:rPr>
        <w:t xml:space="preserve"> </w:t>
      </w:r>
    </w:p>
  </w:footnote>
  <w:footnote w:id="217">
    <w:p w14:paraId="62F47BA4" w14:textId="477403F6" w:rsidR="007331AF" w:rsidRPr="00810792" w:rsidRDefault="007331AF" w:rsidP="0051019D">
      <w:pPr>
        <w:pStyle w:val="FootnoteText"/>
        <w:rPr>
          <w:sz w:val="16"/>
          <w:szCs w:val="16"/>
        </w:rPr>
      </w:pPr>
      <w:r w:rsidRPr="00810792">
        <w:rPr>
          <w:rStyle w:val="FootnoteReference"/>
          <w:sz w:val="16"/>
          <w:szCs w:val="16"/>
        </w:rPr>
        <w:footnoteRef/>
      </w:r>
      <w:r w:rsidRPr="00810792">
        <w:rPr>
          <w:sz w:val="16"/>
          <w:szCs w:val="16"/>
        </w:rPr>
        <w:t xml:space="preserve"> Brown, I, Willandra Lakes Traditional Tribal Groups Elders Council &amp; NSW National Parks and Wildlife Service (2019) “Aboriginal Culture”, Mungo National Park. Available at </w:t>
      </w:r>
      <w:hyperlink r:id="rId38" w:history="1">
        <w:r w:rsidRPr="00D3786E">
          <w:rPr>
            <w:rStyle w:val="Hyperlink"/>
            <w:sz w:val="16"/>
            <w:szCs w:val="16"/>
          </w:rPr>
          <w:t>http://www.visitmungo.com.au/aboriginal-country</w:t>
        </w:r>
      </w:hyperlink>
      <w:r>
        <w:rPr>
          <w:sz w:val="16"/>
          <w:szCs w:val="16"/>
        </w:rPr>
        <w:t xml:space="preserve"> </w:t>
      </w:r>
    </w:p>
  </w:footnote>
  <w:footnote w:id="218">
    <w:p w14:paraId="58382E40" w14:textId="4F4272E3" w:rsidR="007331AF" w:rsidRPr="00810792" w:rsidRDefault="007331AF" w:rsidP="0051019D">
      <w:pPr>
        <w:pStyle w:val="FootnoteText"/>
        <w:rPr>
          <w:sz w:val="16"/>
          <w:szCs w:val="16"/>
        </w:rPr>
      </w:pPr>
      <w:r w:rsidRPr="00810792">
        <w:rPr>
          <w:rStyle w:val="FootnoteReference"/>
          <w:sz w:val="16"/>
          <w:szCs w:val="16"/>
        </w:rPr>
        <w:footnoteRef/>
      </w:r>
      <w:r w:rsidRPr="00810792">
        <w:rPr>
          <w:sz w:val="16"/>
          <w:szCs w:val="16"/>
        </w:rPr>
        <w:t xml:space="preserve"> Department of Education and Training (2018) “Minister for Education announces 16 Regional Study Hubs”. Available at </w:t>
      </w:r>
      <w:hyperlink r:id="rId39" w:history="1">
        <w:r w:rsidRPr="00D3786E">
          <w:rPr>
            <w:rStyle w:val="Hyperlink"/>
            <w:sz w:val="16"/>
            <w:szCs w:val="16"/>
          </w:rPr>
          <w:t>https://www.education.gov.au/news/minister-education-announces-16-regional-study-hubs</w:t>
        </w:r>
      </w:hyperlink>
      <w:r>
        <w:rPr>
          <w:sz w:val="16"/>
          <w:szCs w:val="16"/>
        </w:rPr>
        <w:t xml:space="preserve"> </w:t>
      </w:r>
      <w:r w:rsidRPr="00810792">
        <w:rPr>
          <w:sz w:val="16"/>
          <w:szCs w:val="16"/>
        </w:rPr>
        <w:t xml:space="preserve"> </w:t>
      </w:r>
      <w:r>
        <w:rPr>
          <w:sz w:val="16"/>
          <w:szCs w:val="16"/>
        </w:rPr>
        <w:t xml:space="preserve"> </w:t>
      </w:r>
    </w:p>
  </w:footnote>
  <w:footnote w:id="219">
    <w:p w14:paraId="7E5327C3" w14:textId="77777777" w:rsidR="007331AF" w:rsidRPr="00810792" w:rsidRDefault="007331AF" w:rsidP="0051019D">
      <w:pPr>
        <w:pStyle w:val="FootnoteText"/>
        <w:rPr>
          <w:sz w:val="16"/>
          <w:szCs w:val="16"/>
        </w:rPr>
      </w:pPr>
      <w:r w:rsidRPr="00810792">
        <w:rPr>
          <w:rStyle w:val="FootnoteReference"/>
          <w:sz w:val="16"/>
          <w:szCs w:val="16"/>
        </w:rPr>
        <w:footnoteRef/>
      </w:r>
      <w:r w:rsidRPr="00810792">
        <w:rPr>
          <w:sz w:val="16"/>
          <w:szCs w:val="16"/>
        </w:rPr>
        <w:t xml:space="preserve"> Australian Bureau of Statistics, 2016 Census</w:t>
      </w:r>
    </w:p>
  </w:footnote>
  <w:footnote w:id="220">
    <w:p w14:paraId="18EB3B96" w14:textId="684D2CBA" w:rsidR="007331AF" w:rsidRDefault="007331AF">
      <w:pPr>
        <w:pStyle w:val="FootnoteText"/>
      </w:pPr>
      <w:r w:rsidRPr="00810792">
        <w:rPr>
          <w:rStyle w:val="FootnoteReference"/>
          <w:sz w:val="16"/>
          <w:szCs w:val="16"/>
        </w:rPr>
        <w:footnoteRef/>
      </w:r>
      <w:r w:rsidRPr="00810792">
        <w:rPr>
          <w:sz w:val="16"/>
          <w:szCs w:val="16"/>
        </w:rPr>
        <w:t xml:space="preserve"> Australian Government, Australian Skills Quality Authority.</w:t>
      </w:r>
    </w:p>
  </w:footnote>
  <w:footnote w:id="221">
    <w:p w14:paraId="57294DDD" w14:textId="02AE7D48" w:rsidR="007331AF" w:rsidRPr="00810792" w:rsidRDefault="007331AF" w:rsidP="0051019D">
      <w:pPr>
        <w:pStyle w:val="FootnoteText"/>
        <w:rPr>
          <w:sz w:val="16"/>
          <w:szCs w:val="16"/>
        </w:rPr>
      </w:pPr>
      <w:r w:rsidRPr="00810792">
        <w:rPr>
          <w:rStyle w:val="FootnoteReference"/>
          <w:sz w:val="16"/>
          <w:szCs w:val="16"/>
        </w:rPr>
        <w:footnoteRef/>
      </w:r>
      <w:r w:rsidRPr="00810792">
        <w:rPr>
          <w:rStyle w:val="FootnoteReference"/>
          <w:sz w:val="16"/>
          <w:szCs w:val="16"/>
        </w:rPr>
        <w:t xml:space="preserve"> </w:t>
      </w:r>
      <w:r w:rsidRPr="00810792">
        <w:rPr>
          <w:sz w:val="16"/>
          <w:szCs w:val="16"/>
        </w:rPr>
        <w:t xml:space="preserve">Australian Government 2016 National Research Infrastructure Roadmap. Available at </w:t>
      </w:r>
      <w:hyperlink r:id="rId40" w:history="1">
        <w:r w:rsidRPr="00D3786E">
          <w:rPr>
            <w:rStyle w:val="Hyperlink"/>
            <w:sz w:val="16"/>
            <w:szCs w:val="16"/>
          </w:rPr>
          <w:t>https://docs.education.gov.au/system/files/doc/other/ed16-0269_national_research_infrastructure_roadmap_report_internals_acc.pdf</w:t>
        </w:r>
      </w:hyperlink>
      <w:r>
        <w:rPr>
          <w:sz w:val="16"/>
          <w:szCs w:val="16"/>
        </w:rPr>
        <w:t xml:space="preserve"> </w:t>
      </w:r>
      <w:r w:rsidRPr="00810792">
        <w:rPr>
          <w:sz w:val="16"/>
          <w:szCs w:val="16"/>
        </w:rPr>
        <w:t xml:space="preserve"> </w:t>
      </w:r>
    </w:p>
  </w:footnote>
  <w:footnote w:id="222">
    <w:p w14:paraId="669CF205" w14:textId="08807C24" w:rsidR="007331AF" w:rsidRPr="00810792" w:rsidRDefault="007331AF" w:rsidP="0051019D">
      <w:pPr>
        <w:pStyle w:val="FootnoteText"/>
        <w:rPr>
          <w:sz w:val="16"/>
          <w:szCs w:val="16"/>
        </w:rPr>
      </w:pPr>
      <w:r w:rsidRPr="00810792">
        <w:rPr>
          <w:rStyle w:val="FootnoteReference"/>
          <w:sz w:val="16"/>
          <w:szCs w:val="16"/>
        </w:rPr>
        <w:footnoteRef/>
      </w:r>
      <w:r w:rsidRPr="00810792">
        <w:rPr>
          <w:rStyle w:val="FootnoteReference"/>
          <w:sz w:val="16"/>
          <w:szCs w:val="16"/>
        </w:rPr>
        <w:t xml:space="preserve"> </w:t>
      </w:r>
      <w:r w:rsidRPr="00810792">
        <w:rPr>
          <w:sz w:val="16"/>
          <w:szCs w:val="16"/>
        </w:rPr>
        <w:t xml:space="preserve">Department of Education and Training (2019) “Retention rate”. Available at </w:t>
      </w:r>
      <w:hyperlink r:id="rId41" w:history="1">
        <w:r w:rsidRPr="00D3786E">
          <w:rPr>
            <w:rStyle w:val="Hyperlink"/>
            <w:sz w:val="16"/>
            <w:szCs w:val="16"/>
          </w:rPr>
          <w:t>https://heimshelp.education.gov.au/resources/glossary/glossaryterm?title=Retention%20Rate</w:t>
        </w:r>
      </w:hyperlink>
      <w:r>
        <w:rPr>
          <w:sz w:val="16"/>
          <w:szCs w:val="16"/>
        </w:rPr>
        <w:t xml:space="preserve"> </w:t>
      </w:r>
      <w:r w:rsidRPr="00810792">
        <w:rPr>
          <w:sz w:val="16"/>
          <w:szCs w:val="16"/>
        </w:rPr>
        <w:t xml:space="preserve"> </w:t>
      </w:r>
    </w:p>
  </w:footnote>
  <w:footnote w:id="223">
    <w:p w14:paraId="2DFDA8BF" w14:textId="77777777" w:rsidR="007331AF" w:rsidRPr="00F61E80" w:rsidRDefault="007331AF" w:rsidP="0051019D">
      <w:pPr>
        <w:pStyle w:val="FootnoteText"/>
        <w:rPr>
          <w:rFonts w:cstheme="minorHAnsi"/>
          <w:sz w:val="16"/>
          <w:szCs w:val="16"/>
        </w:rPr>
      </w:pPr>
      <w:r w:rsidRPr="00810792">
        <w:rPr>
          <w:rStyle w:val="FootnoteReference"/>
          <w:rFonts w:cstheme="minorHAnsi"/>
          <w:sz w:val="16"/>
          <w:szCs w:val="16"/>
        </w:rPr>
        <w:footnoteRef/>
      </w:r>
      <w:r w:rsidRPr="00810792">
        <w:rPr>
          <w:rFonts w:cstheme="minorHAnsi"/>
          <w:sz w:val="16"/>
          <w:szCs w:val="16"/>
        </w:rPr>
        <w:t xml:space="preserve"> Cardak, B., Brett, M., Bowden, M., Vecci, J., Barry, P., Bahtsevanoglou, J., &amp; Mcallister, 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F4801" w14:textId="77777777" w:rsidR="007331AF" w:rsidRDefault="007331A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B09AA" w14:textId="77777777" w:rsidR="007331AF" w:rsidRDefault="007331AF">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A05AD" w14:textId="77777777" w:rsidR="007331AF" w:rsidRDefault="007331AF">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4F8F3" w14:textId="77777777" w:rsidR="007331AF" w:rsidRDefault="007331AF">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10B22" w14:textId="77777777" w:rsidR="007331AF" w:rsidRDefault="007331AF">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114DA" w14:textId="77777777" w:rsidR="007331AF" w:rsidRDefault="007331AF">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7752C" w14:textId="77777777" w:rsidR="007331AF" w:rsidRDefault="007331A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4048E1"/>
    <w:multiLevelType w:val="hybridMultilevel"/>
    <w:tmpl w:val="ACA40A5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112FCF"/>
    <w:multiLevelType w:val="hybridMultilevel"/>
    <w:tmpl w:val="4C2EB89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85B1F"/>
    <w:multiLevelType w:val="hybridMultilevel"/>
    <w:tmpl w:val="F9360F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B267BA"/>
    <w:multiLevelType w:val="hybridMultilevel"/>
    <w:tmpl w:val="626E7A62"/>
    <w:lvl w:ilvl="0" w:tplc="5D285B26">
      <w:start w:val="32"/>
      <w:numFmt w:val="decimal"/>
      <w:lvlText w:val="%1."/>
      <w:lvlJc w:val="left"/>
      <w:pPr>
        <w:ind w:left="415" w:hanging="341"/>
      </w:pPr>
      <w:rPr>
        <w:rFonts w:asciiTheme="minorHAnsi" w:eastAsia="HelveticaNeue LT 45 Light" w:hAnsiTheme="minorHAnsi" w:cs="HelveticaNeue LT 45 Light" w:hint="default"/>
        <w:color w:val="414042"/>
        <w:spacing w:val="-4"/>
        <w:w w:val="100"/>
        <w:sz w:val="19"/>
        <w:szCs w:val="19"/>
        <w:lang w:val="en-GB" w:eastAsia="en-GB" w:bidi="en-GB"/>
      </w:rPr>
    </w:lvl>
    <w:lvl w:ilvl="1" w:tplc="60F8A8A4">
      <w:numFmt w:val="bullet"/>
      <w:lvlText w:val="•"/>
      <w:lvlJc w:val="left"/>
      <w:pPr>
        <w:ind w:left="1129" w:hanging="341"/>
      </w:pPr>
      <w:rPr>
        <w:rFonts w:hint="default"/>
        <w:lang w:val="en-GB" w:eastAsia="en-GB" w:bidi="en-GB"/>
      </w:rPr>
    </w:lvl>
    <w:lvl w:ilvl="2" w:tplc="24D8F802">
      <w:numFmt w:val="bullet"/>
      <w:lvlText w:val="•"/>
      <w:lvlJc w:val="left"/>
      <w:pPr>
        <w:ind w:left="1839" w:hanging="341"/>
      </w:pPr>
      <w:rPr>
        <w:rFonts w:hint="default"/>
        <w:lang w:val="en-GB" w:eastAsia="en-GB" w:bidi="en-GB"/>
      </w:rPr>
    </w:lvl>
    <w:lvl w:ilvl="3" w:tplc="2930688A">
      <w:numFmt w:val="bullet"/>
      <w:lvlText w:val="•"/>
      <w:lvlJc w:val="left"/>
      <w:pPr>
        <w:ind w:left="2548" w:hanging="341"/>
      </w:pPr>
      <w:rPr>
        <w:rFonts w:hint="default"/>
        <w:lang w:val="en-GB" w:eastAsia="en-GB" w:bidi="en-GB"/>
      </w:rPr>
    </w:lvl>
    <w:lvl w:ilvl="4" w:tplc="F1028A74">
      <w:numFmt w:val="bullet"/>
      <w:lvlText w:val="•"/>
      <w:lvlJc w:val="left"/>
      <w:pPr>
        <w:ind w:left="3258" w:hanging="341"/>
      </w:pPr>
      <w:rPr>
        <w:rFonts w:hint="default"/>
        <w:lang w:val="en-GB" w:eastAsia="en-GB" w:bidi="en-GB"/>
      </w:rPr>
    </w:lvl>
    <w:lvl w:ilvl="5" w:tplc="0A387D00">
      <w:numFmt w:val="bullet"/>
      <w:lvlText w:val="•"/>
      <w:lvlJc w:val="left"/>
      <w:pPr>
        <w:ind w:left="3967" w:hanging="341"/>
      </w:pPr>
      <w:rPr>
        <w:rFonts w:hint="default"/>
        <w:lang w:val="en-GB" w:eastAsia="en-GB" w:bidi="en-GB"/>
      </w:rPr>
    </w:lvl>
    <w:lvl w:ilvl="6" w:tplc="E3E0B4B8">
      <w:numFmt w:val="bullet"/>
      <w:lvlText w:val="•"/>
      <w:lvlJc w:val="left"/>
      <w:pPr>
        <w:ind w:left="4677" w:hanging="341"/>
      </w:pPr>
      <w:rPr>
        <w:rFonts w:hint="default"/>
        <w:lang w:val="en-GB" w:eastAsia="en-GB" w:bidi="en-GB"/>
      </w:rPr>
    </w:lvl>
    <w:lvl w:ilvl="7" w:tplc="A140A51A">
      <w:numFmt w:val="bullet"/>
      <w:lvlText w:val="•"/>
      <w:lvlJc w:val="left"/>
      <w:pPr>
        <w:ind w:left="5386" w:hanging="341"/>
      </w:pPr>
      <w:rPr>
        <w:rFonts w:hint="default"/>
        <w:lang w:val="en-GB" w:eastAsia="en-GB" w:bidi="en-GB"/>
      </w:rPr>
    </w:lvl>
    <w:lvl w:ilvl="8" w:tplc="40A44F0E">
      <w:numFmt w:val="bullet"/>
      <w:lvlText w:val="•"/>
      <w:lvlJc w:val="left"/>
      <w:pPr>
        <w:ind w:left="6096" w:hanging="341"/>
      </w:pPr>
      <w:rPr>
        <w:rFonts w:hint="default"/>
        <w:lang w:val="en-GB" w:eastAsia="en-GB" w:bidi="en-GB"/>
      </w:rPr>
    </w:lvl>
  </w:abstractNum>
  <w:abstractNum w:abstractNumId="4" w15:restartNumberingAfterBreak="0">
    <w:nsid w:val="08305602"/>
    <w:multiLevelType w:val="hybridMultilevel"/>
    <w:tmpl w:val="63BA2B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907082A"/>
    <w:multiLevelType w:val="hybridMultilevel"/>
    <w:tmpl w:val="5D02843A"/>
    <w:lvl w:ilvl="0" w:tplc="328A5622">
      <w:start w:val="29"/>
      <w:numFmt w:val="decimal"/>
      <w:lvlText w:val="%1."/>
      <w:lvlJc w:val="left"/>
      <w:pPr>
        <w:ind w:left="415" w:hanging="341"/>
      </w:pPr>
      <w:rPr>
        <w:rFonts w:asciiTheme="minorHAnsi" w:eastAsia="HelveticaNeue LT 45 Light" w:hAnsiTheme="minorHAnsi" w:cs="HelveticaNeue LT 45 Light" w:hint="default"/>
        <w:color w:val="414042"/>
        <w:spacing w:val="-1"/>
        <w:w w:val="100"/>
        <w:sz w:val="19"/>
        <w:szCs w:val="19"/>
        <w:lang w:val="en-GB" w:eastAsia="en-GB" w:bidi="en-GB"/>
      </w:rPr>
    </w:lvl>
    <w:lvl w:ilvl="1" w:tplc="3F669E24">
      <w:numFmt w:val="bullet"/>
      <w:lvlText w:val="•"/>
      <w:lvlJc w:val="left"/>
      <w:pPr>
        <w:ind w:left="699"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2" w:tplc="44C0F4F2">
      <w:numFmt w:val="bullet"/>
      <w:lvlText w:val="•"/>
      <w:lvlJc w:val="left"/>
      <w:pPr>
        <w:ind w:left="1457" w:hanging="284"/>
      </w:pPr>
      <w:rPr>
        <w:rFonts w:hint="default"/>
        <w:lang w:val="en-GB" w:eastAsia="en-GB" w:bidi="en-GB"/>
      </w:rPr>
    </w:lvl>
    <w:lvl w:ilvl="3" w:tplc="94ECA36E">
      <w:numFmt w:val="bullet"/>
      <w:lvlText w:val="•"/>
      <w:lvlJc w:val="left"/>
      <w:pPr>
        <w:ind w:left="2214" w:hanging="284"/>
      </w:pPr>
      <w:rPr>
        <w:rFonts w:hint="default"/>
        <w:lang w:val="en-GB" w:eastAsia="en-GB" w:bidi="en-GB"/>
      </w:rPr>
    </w:lvl>
    <w:lvl w:ilvl="4" w:tplc="1A0ED6AA">
      <w:numFmt w:val="bullet"/>
      <w:lvlText w:val="•"/>
      <w:lvlJc w:val="left"/>
      <w:pPr>
        <w:ind w:left="2971" w:hanging="284"/>
      </w:pPr>
      <w:rPr>
        <w:rFonts w:hint="default"/>
        <w:lang w:val="en-GB" w:eastAsia="en-GB" w:bidi="en-GB"/>
      </w:rPr>
    </w:lvl>
    <w:lvl w:ilvl="5" w:tplc="E3D87A9E">
      <w:numFmt w:val="bullet"/>
      <w:lvlText w:val="•"/>
      <w:lvlJc w:val="left"/>
      <w:pPr>
        <w:ind w:left="3728" w:hanging="284"/>
      </w:pPr>
      <w:rPr>
        <w:rFonts w:hint="default"/>
        <w:lang w:val="en-GB" w:eastAsia="en-GB" w:bidi="en-GB"/>
      </w:rPr>
    </w:lvl>
    <w:lvl w:ilvl="6" w:tplc="82DEE0E0">
      <w:numFmt w:val="bullet"/>
      <w:lvlText w:val="•"/>
      <w:lvlJc w:val="left"/>
      <w:pPr>
        <w:ind w:left="4486" w:hanging="284"/>
      </w:pPr>
      <w:rPr>
        <w:rFonts w:hint="default"/>
        <w:lang w:val="en-GB" w:eastAsia="en-GB" w:bidi="en-GB"/>
      </w:rPr>
    </w:lvl>
    <w:lvl w:ilvl="7" w:tplc="A1560F2C">
      <w:numFmt w:val="bullet"/>
      <w:lvlText w:val="•"/>
      <w:lvlJc w:val="left"/>
      <w:pPr>
        <w:ind w:left="5243" w:hanging="284"/>
      </w:pPr>
      <w:rPr>
        <w:rFonts w:hint="default"/>
        <w:lang w:val="en-GB" w:eastAsia="en-GB" w:bidi="en-GB"/>
      </w:rPr>
    </w:lvl>
    <w:lvl w:ilvl="8" w:tplc="46769F8E">
      <w:numFmt w:val="bullet"/>
      <w:lvlText w:val="•"/>
      <w:lvlJc w:val="left"/>
      <w:pPr>
        <w:ind w:left="6000" w:hanging="284"/>
      </w:pPr>
      <w:rPr>
        <w:rFonts w:hint="default"/>
        <w:lang w:val="en-GB" w:eastAsia="en-GB" w:bidi="en-GB"/>
      </w:rPr>
    </w:lvl>
  </w:abstractNum>
  <w:abstractNum w:abstractNumId="6" w15:restartNumberingAfterBreak="0">
    <w:nsid w:val="0D7C0C3E"/>
    <w:multiLevelType w:val="hybridMultilevel"/>
    <w:tmpl w:val="B706E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6866DC"/>
    <w:multiLevelType w:val="hybridMultilevel"/>
    <w:tmpl w:val="A3241E30"/>
    <w:lvl w:ilvl="0" w:tplc="6DC8E8AC">
      <w:numFmt w:val="bullet"/>
      <w:lvlText w:val="•"/>
      <w:lvlJc w:val="left"/>
      <w:pPr>
        <w:ind w:left="358"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1" w:tplc="96441738">
      <w:numFmt w:val="bullet"/>
      <w:lvlText w:val="•"/>
      <w:lvlJc w:val="left"/>
      <w:pPr>
        <w:ind w:left="593" w:hanging="284"/>
      </w:pPr>
      <w:rPr>
        <w:rFonts w:hint="default"/>
        <w:lang w:val="en-GB" w:eastAsia="en-GB" w:bidi="en-GB"/>
      </w:rPr>
    </w:lvl>
    <w:lvl w:ilvl="2" w:tplc="0E40F33A">
      <w:numFmt w:val="bullet"/>
      <w:lvlText w:val="•"/>
      <w:lvlJc w:val="left"/>
      <w:pPr>
        <w:ind w:left="826" w:hanging="284"/>
      </w:pPr>
      <w:rPr>
        <w:rFonts w:hint="default"/>
        <w:lang w:val="en-GB" w:eastAsia="en-GB" w:bidi="en-GB"/>
      </w:rPr>
    </w:lvl>
    <w:lvl w:ilvl="3" w:tplc="BBC03426">
      <w:numFmt w:val="bullet"/>
      <w:lvlText w:val="•"/>
      <w:lvlJc w:val="left"/>
      <w:pPr>
        <w:ind w:left="1059" w:hanging="284"/>
      </w:pPr>
      <w:rPr>
        <w:rFonts w:hint="default"/>
        <w:lang w:val="en-GB" w:eastAsia="en-GB" w:bidi="en-GB"/>
      </w:rPr>
    </w:lvl>
    <w:lvl w:ilvl="4" w:tplc="0D42EE48">
      <w:numFmt w:val="bullet"/>
      <w:lvlText w:val="•"/>
      <w:lvlJc w:val="left"/>
      <w:pPr>
        <w:ind w:left="1292" w:hanging="284"/>
      </w:pPr>
      <w:rPr>
        <w:rFonts w:hint="default"/>
        <w:lang w:val="en-GB" w:eastAsia="en-GB" w:bidi="en-GB"/>
      </w:rPr>
    </w:lvl>
    <w:lvl w:ilvl="5" w:tplc="D06655B0">
      <w:numFmt w:val="bullet"/>
      <w:lvlText w:val="•"/>
      <w:lvlJc w:val="left"/>
      <w:pPr>
        <w:ind w:left="1526" w:hanging="284"/>
      </w:pPr>
      <w:rPr>
        <w:rFonts w:hint="default"/>
        <w:lang w:val="en-GB" w:eastAsia="en-GB" w:bidi="en-GB"/>
      </w:rPr>
    </w:lvl>
    <w:lvl w:ilvl="6" w:tplc="9336E9E8">
      <w:numFmt w:val="bullet"/>
      <w:lvlText w:val="•"/>
      <w:lvlJc w:val="left"/>
      <w:pPr>
        <w:ind w:left="1759" w:hanging="284"/>
      </w:pPr>
      <w:rPr>
        <w:rFonts w:hint="default"/>
        <w:lang w:val="en-GB" w:eastAsia="en-GB" w:bidi="en-GB"/>
      </w:rPr>
    </w:lvl>
    <w:lvl w:ilvl="7" w:tplc="F3EEB826">
      <w:numFmt w:val="bullet"/>
      <w:lvlText w:val="•"/>
      <w:lvlJc w:val="left"/>
      <w:pPr>
        <w:ind w:left="1992" w:hanging="284"/>
      </w:pPr>
      <w:rPr>
        <w:rFonts w:hint="default"/>
        <w:lang w:val="en-GB" w:eastAsia="en-GB" w:bidi="en-GB"/>
      </w:rPr>
    </w:lvl>
    <w:lvl w:ilvl="8" w:tplc="0DB2B7FC">
      <w:numFmt w:val="bullet"/>
      <w:lvlText w:val="•"/>
      <w:lvlJc w:val="left"/>
      <w:pPr>
        <w:ind w:left="2225" w:hanging="284"/>
      </w:pPr>
      <w:rPr>
        <w:rFonts w:hint="default"/>
        <w:lang w:val="en-GB" w:eastAsia="en-GB" w:bidi="en-GB"/>
      </w:rPr>
    </w:lvl>
  </w:abstractNum>
  <w:abstractNum w:abstractNumId="8" w15:restartNumberingAfterBreak="0">
    <w:nsid w:val="1267C378"/>
    <w:multiLevelType w:val="hybridMultilevel"/>
    <w:tmpl w:val="5E6376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6015CE6"/>
    <w:multiLevelType w:val="hybridMultilevel"/>
    <w:tmpl w:val="CED078E2"/>
    <w:lvl w:ilvl="0" w:tplc="F5B23834">
      <w:start w:val="24"/>
      <w:numFmt w:val="decimal"/>
      <w:lvlText w:val="%1."/>
      <w:lvlJc w:val="left"/>
      <w:pPr>
        <w:ind w:left="415" w:hanging="341"/>
      </w:pPr>
      <w:rPr>
        <w:rFonts w:asciiTheme="minorHAnsi" w:eastAsia="HelveticaNeue LT 45 Light" w:hAnsiTheme="minorHAnsi" w:cs="HelveticaNeue LT 45 Light" w:hint="default"/>
        <w:color w:val="414042"/>
        <w:spacing w:val="-22"/>
        <w:w w:val="100"/>
        <w:sz w:val="19"/>
        <w:szCs w:val="19"/>
        <w:lang w:val="en-GB" w:eastAsia="en-GB" w:bidi="en-GB"/>
      </w:rPr>
    </w:lvl>
    <w:lvl w:ilvl="1" w:tplc="58760020">
      <w:numFmt w:val="bullet"/>
      <w:lvlText w:val="•"/>
      <w:lvlJc w:val="left"/>
      <w:pPr>
        <w:ind w:left="699"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2" w:tplc="16CAA288">
      <w:numFmt w:val="bullet"/>
      <w:lvlText w:val="•"/>
      <w:lvlJc w:val="left"/>
      <w:pPr>
        <w:ind w:left="1457" w:hanging="284"/>
      </w:pPr>
      <w:rPr>
        <w:rFonts w:hint="default"/>
        <w:lang w:val="en-GB" w:eastAsia="en-GB" w:bidi="en-GB"/>
      </w:rPr>
    </w:lvl>
    <w:lvl w:ilvl="3" w:tplc="B7048B9E">
      <w:numFmt w:val="bullet"/>
      <w:lvlText w:val="•"/>
      <w:lvlJc w:val="left"/>
      <w:pPr>
        <w:ind w:left="2214" w:hanging="284"/>
      </w:pPr>
      <w:rPr>
        <w:rFonts w:hint="default"/>
        <w:lang w:val="en-GB" w:eastAsia="en-GB" w:bidi="en-GB"/>
      </w:rPr>
    </w:lvl>
    <w:lvl w:ilvl="4" w:tplc="BD982AA0">
      <w:numFmt w:val="bullet"/>
      <w:lvlText w:val="•"/>
      <w:lvlJc w:val="left"/>
      <w:pPr>
        <w:ind w:left="2971" w:hanging="284"/>
      </w:pPr>
      <w:rPr>
        <w:rFonts w:hint="default"/>
        <w:lang w:val="en-GB" w:eastAsia="en-GB" w:bidi="en-GB"/>
      </w:rPr>
    </w:lvl>
    <w:lvl w:ilvl="5" w:tplc="9162ED52">
      <w:numFmt w:val="bullet"/>
      <w:lvlText w:val="•"/>
      <w:lvlJc w:val="left"/>
      <w:pPr>
        <w:ind w:left="3728" w:hanging="284"/>
      </w:pPr>
      <w:rPr>
        <w:rFonts w:hint="default"/>
        <w:lang w:val="en-GB" w:eastAsia="en-GB" w:bidi="en-GB"/>
      </w:rPr>
    </w:lvl>
    <w:lvl w:ilvl="6" w:tplc="E03CDBDE">
      <w:numFmt w:val="bullet"/>
      <w:lvlText w:val="•"/>
      <w:lvlJc w:val="left"/>
      <w:pPr>
        <w:ind w:left="4486" w:hanging="284"/>
      </w:pPr>
      <w:rPr>
        <w:rFonts w:hint="default"/>
        <w:lang w:val="en-GB" w:eastAsia="en-GB" w:bidi="en-GB"/>
      </w:rPr>
    </w:lvl>
    <w:lvl w:ilvl="7" w:tplc="82EE4252">
      <w:numFmt w:val="bullet"/>
      <w:lvlText w:val="•"/>
      <w:lvlJc w:val="left"/>
      <w:pPr>
        <w:ind w:left="5243" w:hanging="284"/>
      </w:pPr>
      <w:rPr>
        <w:rFonts w:hint="default"/>
        <w:lang w:val="en-GB" w:eastAsia="en-GB" w:bidi="en-GB"/>
      </w:rPr>
    </w:lvl>
    <w:lvl w:ilvl="8" w:tplc="B7ACCE7C">
      <w:numFmt w:val="bullet"/>
      <w:lvlText w:val="•"/>
      <w:lvlJc w:val="left"/>
      <w:pPr>
        <w:ind w:left="6000" w:hanging="284"/>
      </w:pPr>
      <w:rPr>
        <w:rFonts w:hint="default"/>
        <w:lang w:val="en-GB" w:eastAsia="en-GB" w:bidi="en-GB"/>
      </w:rPr>
    </w:lvl>
  </w:abstractNum>
  <w:abstractNum w:abstractNumId="1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15:restartNumberingAfterBreak="0">
    <w:nsid w:val="1C7619B7"/>
    <w:multiLevelType w:val="hybridMultilevel"/>
    <w:tmpl w:val="763072EE"/>
    <w:lvl w:ilvl="0" w:tplc="58AC501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224A2518"/>
    <w:multiLevelType w:val="hybridMultilevel"/>
    <w:tmpl w:val="6DCC9D88"/>
    <w:lvl w:ilvl="0" w:tplc="F99EAAD8">
      <w:numFmt w:val="bullet"/>
      <w:lvlText w:val="•"/>
      <w:lvlJc w:val="left"/>
      <w:pPr>
        <w:ind w:left="358"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1" w:tplc="A7B8E10C">
      <w:numFmt w:val="bullet"/>
      <w:lvlText w:val="•"/>
      <w:lvlJc w:val="left"/>
      <w:pPr>
        <w:ind w:left="593" w:hanging="284"/>
      </w:pPr>
      <w:rPr>
        <w:rFonts w:hint="default"/>
        <w:lang w:val="en-GB" w:eastAsia="en-GB" w:bidi="en-GB"/>
      </w:rPr>
    </w:lvl>
    <w:lvl w:ilvl="2" w:tplc="45568686">
      <w:numFmt w:val="bullet"/>
      <w:lvlText w:val="•"/>
      <w:lvlJc w:val="left"/>
      <w:pPr>
        <w:ind w:left="826" w:hanging="284"/>
      </w:pPr>
      <w:rPr>
        <w:rFonts w:hint="default"/>
        <w:lang w:val="en-GB" w:eastAsia="en-GB" w:bidi="en-GB"/>
      </w:rPr>
    </w:lvl>
    <w:lvl w:ilvl="3" w:tplc="4FC2194E">
      <w:numFmt w:val="bullet"/>
      <w:lvlText w:val="•"/>
      <w:lvlJc w:val="left"/>
      <w:pPr>
        <w:ind w:left="1059" w:hanging="284"/>
      </w:pPr>
      <w:rPr>
        <w:rFonts w:hint="default"/>
        <w:lang w:val="en-GB" w:eastAsia="en-GB" w:bidi="en-GB"/>
      </w:rPr>
    </w:lvl>
    <w:lvl w:ilvl="4" w:tplc="39D4C6E8">
      <w:numFmt w:val="bullet"/>
      <w:lvlText w:val="•"/>
      <w:lvlJc w:val="left"/>
      <w:pPr>
        <w:ind w:left="1292" w:hanging="284"/>
      </w:pPr>
      <w:rPr>
        <w:rFonts w:hint="default"/>
        <w:lang w:val="en-GB" w:eastAsia="en-GB" w:bidi="en-GB"/>
      </w:rPr>
    </w:lvl>
    <w:lvl w:ilvl="5" w:tplc="55D2C2FC">
      <w:numFmt w:val="bullet"/>
      <w:lvlText w:val="•"/>
      <w:lvlJc w:val="left"/>
      <w:pPr>
        <w:ind w:left="1526" w:hanging="284"/>
      </w:pPr>
      <w:rPr>
        <w:rFonts w:hint="default"/>
        <w:lang w:val="en-GB" w:eastAsia="en-GB" w:bidi="en-GB"/>
      </w:rPr>
    </w:lvl>
    <w:lvl w:ilvl="6" w:tplc="ED381F3A">
      <w:numFmt w:val="bullet"/>
      <w:lvlText w:val="•"/>
      <w:lvlJc w:val="left"/>
      <w:pPr>
        <w:ind w:left="1759" w:hanging="284"/>
      </w:pPr>
      <w:rPr>
        <w:rFonts w:hint="default"/>
        <w:lang w:val="en-GB" w:eastAsia="en-GB" w:bidi="en-GB"/>
      </w:rPr>
    </w:lvl>
    <w:lvl w:ilvl="7" w:tplc="58366BC6">
      <w:numFmt w:val="bullet"/>
      <w:lvlText w:val="•"/>
      <w:lvlJc w:val="left"/>
      <w:pPr>
        <w:ind w:left="1992" w:hanging="284"/>
      </w:pPr>
      <w:rPr>
        <w:rFonts w:hint="default"/>
        <w:lang w:val="en-GB" w:eastAsia="en-GB" w:bidi="en-GB"/>
      </w:rPr>
    </w:lvl>
    <w:lvl w:ilvl="8" w:tplc="F7FAFBDE">
      <w:numFmt w:val="bullet"/>
      <w:lvlText w:val="•"/>
      <w:lvlJc w:val="left"/>
      <w:pPr>
        <w:ind w:left="2225" w:hanging="284"/>
      </w:pPr>
      <w:rPr>
        <w:rFonts w:hint="default"/>
        <w:lang w:val="en-GB" w:eastAsia="en-GB" w:bidi="en-GB"/>
      </w:rPr>
    </w:lvl>
  </w:abstractNum>
  <w:abstractNum w:abstractNumId="14" w15:restartNumberingAfterBreak="0">
    <w:nsid w:val="249103A9"/>
    <w:multiLevelType w:val="hybridMultilevel"/>
    <w:tmpl w:val="4E14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5711A81"/>
    <w:multiLevelType w:val="hybridMultilevel"/>
    <w:tmpl w:val="1F4858AC"/>
    <w:lvl w:ilvl="0" w:tplc="2298A0A0">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7105019"/>
    <w:multiLevelType w:val="hybridMultilevel"/>
    <w:tmpl w:val="207A49D4"/>
    <w:lvl w:ilvl="0" w:tplc="DA68806E">
      <w:numFmt w:val="bullet"/>
      <w:lvlText w:val="•"/>
      <w:lvlJc w:val="left"/>
      <w:pPr>
        <w:ind w:left="358"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1" w:tplc="698C7B08">
      <w:numFmt w:val="bullet"/>
      <w:lvlText w:val="•"/>
      <w:lvlJc w:val="left"/>
      <w:pPr>
        <w:ind w:left="593" w:hanging="284"/>
      </w:pPr>
      <w:rPr>
        <w:rFonts w:hint="default"/>
        <w:lang w:val="en-GB" w:eastAsia="en-GB" w:bidi="en-GB"/>
      </w:rPr>
    </w:lvl>
    <w:lvl w:ilvl="2" w:tplc="52529C9C">
      <w:numFmt w:val="bullet"/>
      <w:lvlText w:val="•"/>
      <w:lvlJc w:val="left"/>
      <w:pPr>
        <w:ind w:left="826" w:hanging="284"/>
      </w:pPr>
      <w:rPr>
        <w:rFonts w:hint="default"/>
        <w:lang w:val="en-GB" w:eastAsia="en-GB" w:bidi="en-GB"/>
      </w:rPr>
    </w:lvl>
    <w:lvl w:ilvl="3" w:tplc="7666A8F4">
      <w:numFmt w:val="bullet"/>
      <w:lvlText w:val="•"/>
      <w:lvlJc w:val="left"/>
      <w:pPr>
        <w:ind w:left="1059" w:hanging="284"/>
      </w:pPr>
      <w:rPr>
        <w:rFonts w:hint="default"/>
        <w:lang w:val="en-GB" w:eastAsia="en-GB" w:bidi="en-GB"/>
      </w:rPr>
    </w:lvl>
    <w:lvl w:ilvl="4" w:tplc="1DD005B6">
      <w:numFmt w:val="bullet"/>
      <w:lvlText w:val="•"/>
      <w:lvlJc w:val="left"/>
      <w:pPr>
        <w:ind w:left="1292" w:hanging="284"/>
      </w:pPr>
      <w:rPr>
        <w:rFonts w:hint="default"/>
        <w:lang w:val="en-GB" w:eastAsia="en-GB" w:bidi="en-GB"/>
      </w:rPr>
    </w:lvl>
    <w:lvl w:ilvl="5" w:tplc="702E2EF8">
      <w:numFmt w:val="bullet"/>
      <w:lvlText w:val="•"/>
      <w:lvlJc w:val="left"/>
      <w:pPr>
        <w:ind w:left="1526" w:hanging="284"/>
      </w:pPr>
      <w:rPr>
        <w:rFonts w:hint="default"/>
        <w:lang w:val="en-GB" w:eastAsia="en-GB" w:bidi="en-GB"/>
      </w:rPr>
    </w:lvl>
    <w:lvl w:ilvl="6" w:tplc="3EE8D8BE">
      <w:numFmt w:val="bullet"/>
      <w:lvlText w:val="•"/>
      <w:lvlJc w:val="left"/>
      <w:pPr>
        <w:ind w:left="1759" w:hanging="284"/>
      </w:pPr>
      <w:rPr>
        <w:rFonts w:hint="default"/>
        <w:lang w:val="en-GB" w:eastAsia="en-GB" w:bidi="en-GB"/>
      </w:rPr>
    </w:lvl>
    <w:lvl w:ilvl="7" w:tplc="B42A2CF0">
      <w:numFmt w:val="bullet"/>
      <w:lvlText w:val="•"/>
      <w:lvlJc w:val="left"/>
      <w:pPr>
        <w:ind w:left="1992" w:hanging="284"/>
      </w:pPr>
      <w:rPr>
        <w:rFonts w:hint="default"/>
        <w:lang w:val="en-GB" w:eastAsia="en-GB" w:bidi="en-GB"/>
      </w:rPr>
    </w:lvl>
    <w:lvl w:ilvl="8" w:tplc="61A8DBA2">
      <w:numFmt w:val="bullet"/>
      <w:lvlText w:val="•"/>
      <w:lvlJc w:val="left"/>
      <w:pPr>
        <w:ind w:left="2225" w:hanging="284"/>
      </w:pPr>
      <w:rPr>
        <w:rFonts w:hint="default"/>
        <w:lang w:val="en-GB" w:eastAsia="en-GB" w:bidi="en-GB"/>
      </w:rPr>
    </w:lvl>
  </w:abstractNum>
  <w:abstractNum w:abstractNumId="17" w15:restartNumberingAfterBreak="0">
    <w:nsid w:val="2AE84F79"/>
    <w:multiLevelType w:val="hybridMultilevel"/>
    <w:tmpl w:val="454CF7A2"/>
    <w:lvl w:ilvl="0" w:tplc="9DEAA038">
      <w:numFmt w:val="bullet"/>
      <w:lvlText w:val="•"/>
      <w:lvlJc w:val="left"/>
      <w:pPr>
        <w:ind w:left="358"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1" w:tplc="FB5A4546">
      <w:numFmt w:val="bullet"/>
      <w:lvlText w:val="•"/>
      <w:lvlJc w:val="left"/>
      <w:pPr>
        <w:ind w:left="593" w:hanging="284"/>
      </w:pPr>
      <w:rPr>
        <w:rFonts w:hint="default"/>
        <w:lang w:val="en-GB" w:eastAsia="en-GB" w:bidi="en-GB"/>
      </w:rPr>
    </w:lvl>
    <w:lvl w:ilvl="2" w:tplc="0BF4D1DE">
      <w:numFmt w:val="bullet"/>
      <w:lvlText w:val="•"/>
      <w:lvlJc w:val="left"/>
      <w:pPr>
        <w:ind w:left="826" w:hanging="284"/>
      </w:pPr>
      <w:rPr>
        <w:rFonts w:hint="default"/>
        <w:lang w:val="en-GB" w:eastAsia="en-GB" w:bidi="en-GB"/>
      </w:rPr>
    </w:lvl>
    <w:lvl w:ilvl="3" w:tplc="B798E752">
      <w:numFmt w:val="bullet"/>
      <w:lvlText w:val="•"/>
      <w:lvlJc w:val="left"/>
      <w:pPr>
        <w:ind w:left="1059" w:hanging="284"/>
      </w:pPr>
      <w:rPr>
        <w:rFonts w:hint="default"/>
        <w:lang w:val="en-GB" w:eastAsia="en-GB" w:bidi="en-GB"/>
      </w:rPr>
    </w:lvl>
    <w:lvl w:ilvl="4" w:tplc="B34860DA">
      <w:numFmt w:val="bullet"/>
      <w:lvlText w:val="•"/>
      <w:lvlJc w:val="left"/>
      <w:pPr>
        <w:ind w:left="1292" w:hanging="284"/>
      </w:pPr>
      <w:rPr>
        <w:rFonts w:hint="default"/>
        <w:lang w:val="en-GB" w:eastAsia="en-GB" w:bidi="en-GB"/>
      </w:rPr>
    </w:lvl>
    <w:lvl w:ilvl="5" w:tplc="FCC0EC6C">
      <w:numFmt w:val="bullet"/>
      <w:lvlText w:val="•"/>
      <w:lvlJc w:val="left"/>
      <w:pPr>
        <w:ind w:left="1526" w:hanging="284"/>
      </w:pPr>
      <w:rPr>
        <w:rFonts w:hint="default"/>
        <w:lang w:val="en-GB" w:eastAsia="en-GB" w:bidi="en-GB"/>
      </w:rPr>
    </w:lvl>
    <w:lvl w:ilvl="6" w:tplc="B32C2912">
      <w:numFmt w:val="bullet"/>
      <w:lvlText w:val="•"/>
      <w:lvlJc w:val="left"/>
      <w:pPr>
        <w:ind w:left="1759" w:hanging="284"/>
      </w:pPr>
      <w:rPr>
        <w:rFonts w:hint="default"/>
        <w:lang w:val="en-GB" w:eastAsia="en-GB" w:bidi="en-GB"/>
      </w:rPr>
    </w:lvl>
    <w:lvl w:ilvl="7" w:tplc="F94EDC62">
      <w:numFmt w:val="bullet"/>
      <w:lvlText w:val="•"/>
      <w:lvlJc w:val="left"/>
      <w:pPr>
        <w:ind w:left="1992" w:hanging="284"/>
      </w:pPr>
      <w:rPr>
        <w:rFonts w:hint="default"/>
        <w:lang w:val="en-GB" w:eastAsia="en-GB" w:bidi="en-GB"/>
      </w:rPr>
    </w:lvl>
    <w:lvl w:ilvl="8" w:tplc="318A09CE">
      <w:numFmt w:val="bullet"/>
      <w:lvlText w:val="•"/>
      <w:lvlJc w:val="left"/>
      <w:pPr>
        <w:ind w:left="2225" w:hanging="284"/>
      </w:pPr>
      <w:rPr>
        <w:rFonts w:hint="default"/>
        <w:lang w:val="en-GB" w:eastAsia="en-GB" w:bidi="en-GB"/>
      </w:rPr>
    </w:lvl>
  </w:abstractNum>
  <w:abstractNum w:abstractNumId="18" w15:restartNumberingAfterBreak="0">
    <w:nsid w:val="302F2BE9"/>
    <w:multiLevelType w:val="hybridMultilevel"/>
    <w:tmpl w:val="5AC817D4"/>
    <w:lvl w:ilvl="0" w:tplc="0ECC0BDC">
      <w:start w:val="1"/>
      <w:numFmt w:val="bullet"/>
      <w:lvlText w:val=""/>
      <w:lvlJc w:val="left"/>
      <w:pPr>
        <w:ind w:left="720" w:hanging="360"/>
      </w:pPr>
      <w:rPr>
        <w:rFonts w:ascii="Symbol" w:hAnsi="Symbol" w:hint="default"/>
        <w:color w:val="000000" w:themeColor="text1"/>
      </w:rPr>
    </w:lvl>
    <w:lvl w:ilvl="1" w:tplc="7A20AAEE">
      <w:start w:val="1"/>
      <w:numFmt w:val="bullet"/>
      <w:lvlText w:val="o"/>
      <w:lvlJc w:val="left"/>
      <w:pPr>
        <w:ind w:left="1440" w:hanging="360"/>
      </w:pPr>
      <w:rPr>
        <w:rFonts w:ascii="Courier New" w:hAnsi="Courier New" w:cs="Courier New" w:hint="default"/>
        <w:color w:val="000000" w:themeColor="text1"/>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F21113"/>
    <w:multiLevelType w:val="hybridMultilevel"/>
    <w:tmpl w:val="8998FA6A"/>
    <w:lvl w:ilvl="0" w:tplc="49385628">
      <w:start w:val="17"/>
      <w:numFmt w:val="decimal"/>
      <w:lvlText w:val="%1."/>
      <w:lvlJc w:val="left"/>
      <w:pPr>
        <w:ind w:left="415" w:hanging="341"/>
      </w:pPr>
      <w:rPr>
        <w:rFonts w:asciiTheme="minorHAnsi" w:eastAsia="HelveticaNeue LT 45 Light" w:hAnsiTheme="minorHAnsi" w:cs="HelveticaNeue LT 45 Light" w:hint="default"/>
        <w:color w:val="414042"/>
        <w:spacing w:val="-22"/>
        <w:w w:val="100"/>
        <w:sz w:val="19"/>
        <w:szCs w:val="19"/>
        <w:lang w:val="en-GB" w:eastAsia="en-GB" w:bidi="en-GB"/>
      </w:rPr>
    </w:lvl>
    <w:lvl w:ilvl="1" w:tplc="9AD8EFB2">
      <w:numFmt w:val="bullet"/>
      <w:lvlText w:val="•"/>
      <w:lvlJc w:val="left"/>
      <w:pPr>
        <w:ind w:left="1129" w:hanging="341"/>
      </w:pPr>
      <w:rPr>
        <w:rFonts w:hint="default"/>
        <w:lang w:val="en-GB" w:eastAsia="en-GB" w:bidi="en-GB"/>
      </w:rPr>
    </w:lvl>
    <w:lvl w:ilvl="2" w:tplc="243C822E">
      <w:numFmt w:val="bullet"/>
      <w:lvlText w:val="•"/>
      <w:lvlJc w:val="left"/>
      <w:pPr>
        <w:ind w:left="1839" w:hanging="341"/>
      </w:pPr>
      <w:rPr>
        <w:rFonts w:hint="default"/>
        <w:lang w:val="en-GB" w:eastAsia="en-GB" w:bidi="en-GB"/>
      </w:rPr>
    </w:lvl>
    <w:lvl w:ilvl="3" w:tplc="C636A61A">
      <w:numFmt w:val="bullet"/>
      <w:lvlText w:val="•"/>
      <w:lvlJc w:val="left"/>
      <w:pPr>
        <w:ind w:left="2548" w:hanging="341"/>
      </w:pPr>
      <w:rPr>
        <w:rFonts w:hint="default"/>
        <w:lang w:val="en-GB" w:eastAsia="en-GB" w:bidi="en-GB"/>
      </w:rPr>
    </w:lvl>
    <w:lvl w:ilvl="4" w:tplc="CB2C031C">
      <w:numFmt w:val="bullet"/>
      <w:lvlText w:val="•"/>
      <w:lvlJc w:val="left"/>
      <w:pPr>
        <w:ind w:left="3258" w:hanging="341"/>
      </w:pPr>
      <w:rPr>
        <w:rFonts w:hint="default"/>
        <w:lang w:val="en-GB" w:eastAsia="en-GB" w:bidi="en-GB"/>
      </w:rPr>
    </w:lvl>
    <w:lvl w:ilvl="5" w:tplc="A91C0B72">
      <w:numFmt w:val="bullet"/>
      <w:lvlText w:val="•"/>
      <w:lvlJc w:val="left"/>
      <w:pPr>
        <w:ind w:left="3967" w:hanging="341"/>
      </w:pPr>
      <w:rPr>
        <w:rFonts w:hint="default"/>
        <w:lang w:val="en-GB" w:eastAsia="en-GB" w:bidi="en-GB"/>
      </w:rPr>
    </w:lvl>
    <w:lvl w:ilvl="6" w:tplc="8E5AA1DA">
      <w:numFmt w:val="bullet"/>
      <w:lvlText w:val="•"/>
      <w:lvlJc w:val="left"/>
      <w:pPr>
        <w:ind w:left="4677" w:hanging="341"/>
      </w:pPr>
      <w:rPr>
        <w:rFonts w:hint="default"/>
        <w:lang w:val="en-GB" w:eastAsia="en-GB" w:bidi="en-GB"/>
      </w:rPr>
    </w:lvl>
    <w:lvl w:ilvl="7" w:tplc="9B104AD4">
      <w:numFmt w:val="bullet"/>
      <w:lvlText w:val="•"/>
      <w:lvlJc w:val="left"/>
      <w:pPr>
        <w:ind w:left="5386" w:hanging="341"/>
      </w:pPr>
      <w:rPr>
        <w:rFonts w:hint="default"/>
        <w:lang w:val="en-GB" w:eastAsia="en-GB" w:bidi="en-GB"/>
      </w:rPr>
    </w:lvl>
    <w:lvl w:ilvl="8" w:tplc="FCD87EE6">
      <w:numFmt w:val="bullet"/>
      <w:lvlText w:val="•"/>
      <w:lvlJc w:val="left"/>
      <w:pPr>
        <w:ind w:left="6096" w:hanging="341"/>
      </w:pPr>
      <w:rPr>
        <w:rFonts w:hint="default"/>
        <w:lang w:val="en-GB" w:eastAsia="en-GB" w:bidi="en-GB"/>
      </w:rPr>
    </w:lvl>
  </w:abstractNum>
  <w:abstractNum w:abstractNumId="20" w15:restartNumberingAfterBreak="0">
    <w:nsid w:val="37631034"/>
    <w:multiLevelType w:val="hybridMultilevel"/>
    <w:tmpl w:val="D9B6C11C"/>
    <w:lvl w:ilvl="0" w:tplc="03B0F514">
      <w:start w:val="1"/>
      <w:numFmt w:val="decimal"/>
      <w:lvlText w:val="%1."/>
      <w:lvlJc w:val="left"/>
      <w:pPr>
        <w:ind w:left="720" w:hanging="360"/>
      </w:pPr>
      <w:rPr>
        <w:rFonts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BA1F68"/>
    <w:multiLevelType w:val="hybridMultilevel"/>
    <w:tmpl w:val="3C9A4D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C3B72D6"/>
    <w:multiLevelType w:val="hybridMultilevel"/>
    <w:tmpl w:val="1324A7FA"/>
    <w:lvl w:ilvl="0" w:tplc="0C090001">
      <w:start w:val="1"/>
      <w:numFmt w:val="bullet"/>
      <w:lvlText w:val=""/>
      <w:lvlJc w:val="left"/>
      <w:pPr>
        <w:ind w:left="360" w:hanging="360"/>
      </w:pPr>
      <w:rPr>
        <w:rFonts w:ascii="Symbol" w:hAnsi="Symbol" w:hint="default"/>
      </w:rPr>
    </w:lvl>
    <w:lvl w:ilvl="1" w:tplc="58AC501A">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DC9E1C6"/>
    <w:multiLevelType w:val="hybridMultilevel"/>
    <w:tmpl w:val="B9725B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E45181F"/>
    <w:multiLevelType w:val="hybridMultilevel"/>
    <w:tmpl w:val="12FA8470"/>
    <w:lvl w:ilvl="0" w:tplc="1C6CAC3E">
      <w:numFmt w:val="bullet"/>
      <w:lvlText w:val="•"/>
      <w:lvlJc w:val="left"/>
      <w:pPr>
        <w:ind w:left="358"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1" w:tplc="3A44AA8A">
      <w:numFmt w:val="bullet"/>
      <w:lvlText w:val="•"/>
      <w:lvlJc w:val="left"/>
      <w:pPr>
        <w:ind w:left="593" w:hanging="284"/>
      </w:pPr>
      <w:rPr>
        <w:rFonts w:hint="default"/>
        <w:lang w:val="en-GB" w:eastAsia="en-GB" w:bidi="en-GB"/>
      </w:rPr>
    </w:lvl>
    <w:lvl w:ilvl="2" w:tplc="E0FEFB20">
      <w:numFmt w:val="bullet"/>
      <w:lvlText w:val="•"/>
      <w:lvlJc w:val="left"/>
      <w:pPr>
        <w:ind w:left="826" w:hanging="284"/>
      </w:pPr>
      <w:rPr>
        <w:rFonts w:hint="default"/>
        <w:lang w:val="en-GB" w:eastAsia="en-GB" w:bidi="en-GB"/>
      </w:rPr>
    </w:lvl>
    <w:lvl w:ilvl="3" w:tplc="AD0AFF74">
      <w:numFmt w:val="bullet"/>
      <w:lvlText w:val="•"/>
      <w:lvlJc w:val="left"/>
      <w:pPr>
        <w:ind w:left="1059" w:hanging="284"/>
      </w:pPr>
      <w:rPr>
        <w:rFonts w:hint="default"/>
        <w:lang w:val="en-GB" w:eastAsia="en-GB" w:bidi="en-GB"/>
      </w:rPr>
    </w:lvl>
    <w:lvl w:ilvl="4" w:tplc="C48E071C">
      <w:numFmt w:val="bullet"/>
      <w:lvlText w:val="•"/>
      <w:lvlJc w:val="left"/>
      <w:pPr>
        <w:ind w:left="1292" w:hanging="284"/>
      </w:pPr>
      <w:rPr>
        <w:rFonts w:hint="default"/>
        <w:lang w:val="en-GB" w:eastAsia="en-GB" w:bidi="en-GB"/>
      </w:rPr>
    </w:lvl>
    <w:lvl w:ilvl="5" w:tplc="1786E06E">
      <w:numFmt w:val="bullet"/>
      <w:lvlText w:val="•"/>
      <w:lvlJc w:val="left"/>
      <w:pPr>
        <w:ind w:left="1526" w:hanging="284"/>
      </w:pPr>
      <w:rPr>
        <w:rFonts w:hint="default"/>
        <w:lang w:val="en-GB" w:eastAsia="en-GB" w:bidi="en-GB"/>
      </w:rPr>
    </w:lvl>
    <w:lvl w:ilvl="6" w:tplc="75CEE830">
      <w:numFmt w:val="bullet"/>
      <w:lvlText w:val="•"/>
      <w:lvlJc w:val="left"/>
      <w:pPr>
        <w:ind w:left="1759" w:hanging="284"/>
      </w:pPr>
      <w:rPr>
        <w:rFonts w:hint="default"/>
        <w:lang w:val="en-GB" w:eastAsia="en-GB" w:bidi="en-GB"/>
      </w:rPr>
    </w:lvl>
    <w:lvl w:ilvl="7" w:tplc="17847F0A">
      <w:numFmt w:val="bullet"/>
      <w:lvlText w:val="•"/>
      <w:lvlJc w:val="left"/>
      <w:pPr>
        <w:ind w:left="1992" w:hanging="284"/>
      </w:pPr>
      <w:rPr>
        <w:rFonts w:hint="default"/>
        <w:lang w:val="en-GB" w:eastAsia="en-GB" w:bidi="en-GB"/>
      </w:rPr>
    </w:lvl>
    <w:lvl w:ilvl="8" w:tplc="07B4F554">
      <w:numFmt w:val="bullet"/>
      <w:lvlText w:val="•"/>
      <w:lvlJc w:val="left"/>
      <w:pPr>
        <w:ind w:left="2225" w:hanging="284"/>
      </w:pPr>
      <w:rPr>
        <w:rFonts w:hint="default"/>
        <w:lang w:val="en-GB" w:eastAsia="en-GB" w:bidi="en-GB"/>
      </w:rPr>
    </w:lvl>
  </w:abstractNum>
  <w:abstractNum w:abstractNumId="25" w15:restartNumberingAfterBreak="0">
    <w:nsid w:val="40E840A9"/>
    <w:multiLevelType w:val="hybridMultilevel"/>
    <w:tmpl w:val="C518B2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3735D7C"/>
    <w:multiLevelType w:val="hybridMultilevel"/>
    <w:tmpl w:val="5360F308"/>
    <w:lvl w:ilvl="0" w:tplc="3556A5D6">
      <w:start w:val="1"/>
      <w:numFmt w:val="decimal"/>
      <w:lvlText w:val="%1."/>
      <w:lvlJc w:val="left"/>
      <w:pPr>
        <w:ind w:left="415" w:hanging="341"/>
      </w:pPr>
      <w:rPr>
        <w:rFonts w:asciiTheme="minorHAnsi" w:eastAsia="HelveticaNeue LT 45 Light" w:hAnsiTheme="minorHAnsi" w:cs="HelveticaNeue LT 45 Light" w:hint="default"/>
        <w:color w:val="414042"/>
        <w:spacing w:val="-11"/>
        <w:w w:val="98"/>
        <w:sz w:val="19"/>
        <w:szCs w:val="19"/>
        <w:lang w:val="en-GB" w:eastAsia="en-GB" w:bidi="en-GB"/>
      </w:rPr>
    </w:lvl>
    <w:lvl w:ilvl="1" w:tplc="E2124C84">
      <w:numFmt w:val="bullet"/>
      <w:lvlText w:val="•"/>
      <w:lvlJc w:val="left"/>
      <w:pPr>
        <w:ind w:left="699"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2" w:tplc="E118EBF6">
      <w:numFmt w:val="bullet"/>
      <w:lvlText w:val="•"/>
      <w:lvlJc w:val="left"/>
      <w:pPr>
        <w:ind w:left="1457" w:hanging="284"/>
      </w:pPr>
      <w:rPr>
        <w:rFonts w:hint="default"/>
        <w:lang w:val="en-GB" w:eastAsia="en-GB" w:bidi="en-GB"/>
      </w:rPr>
    </w:lvl>
    <w:lvl w:ilvl="3" w:tplc="F6C48616">
      <w:numFmt w:val="bullet"/>
      <w:lvlText w:val="•"/>
      <w:lvlJc w:val="left"/>
      <w:pPr>
        <w:ind w:left="2214" w:hanging="284"/>
      </w:pPr>
      <w:rPr>
        <w:rFonts w:hint="default"/>
        <w:lang w:val="en-GB" w:eastAsia="en-GB" w:bidi="en-GB"/>
      </w:rPr>
    </w:lvl>
    <w:lvl w:ilvl="4" w:tplc="6DF60A2A">
      <w:numFmt w:val="bullet"/>
      <w:lvlText w:val="•"/>
      <w:lvlJc w:val="left"/>
      <w:pPr>
        <w:ind w:left="2971" w:hanging="284"/>
      </w:pPr>
      <w:rPr>
        <w:rFonts w:hint="default"/>
        <w:lang w:val="en-GB" w:eastAsia="en-GB" w:bidi="en-GB"/>
      </w:rPr>
    </w:lvl>
    <w:lvl w:ilvl="5" w:tplc="646E25B0">
      <w:numFmt w:val="bullet"/>
      <w:lvlText w:val="•"/>
      <w:lvlJc w:val="left"/>
      <w:pPr>
        <w:ind w:left="3728" w:hanging="284"/>
      </w:pPr>
      <w:rPr>
        <w:rFonts w:hint="default"/>
        <w:lang w:val="en-GB" w:eastAsia="en-GB" w:bidi="en-GB"/>
      </w:rPr>
    </w:lvl>
    <w:lvl w:ilvl="6" w:tplc="20D8874A">
      <w:numFmt w:val="bullet"/>
      <w:lvlText w:val="•"/>
      <w:lvlJc w:val="left"/>
      <w:pPr>
        <w:ind w:left="4486" w:hanging="284"/>
      </w:pPr>
      <w:rPr>
        <w:rFonts w:hint="default"/>
        <w:lang w:val="en-GB" w:eastAsia="en-GB" w:bidi="en-GB"/>
      </w:rPr>
    </w:lvl>
    <w:lvl w:ilvl="7" w:tplc="948C4484">
      <w:numFmt w:val="bullet"/>
      <w:lvlText w:val="•"/>
      <w:lvlJc w:val="left"/>
      <w:pPr>
        <w:ind w:left="5243" w:hanging="284"/>
      </w:pPr>
      <w:rPr>
        <w:rFonts w:hint="default"/>
        <w:lang w:val="en-GB" w:eastAsia="en-GB" w:bidi="en-GB"/>
      </w:rPr>
    </w:lvl>
    <w:lvl w:ilvl="8" w:tplc="E47E3BE2">
      <w:numFmt w:val="bullet"/>
      <w:lvlText w:val="•"/>
      <w:lvlJc w:val="left"/>
      <w:pPr>
        <w:ind w:left="6000" w:hanging="284"/>
      </w:pPr>
      <w:rPr>
        <w:rFonts w:hint="default"/>
        <w:lang w:val="en-GB" w:eastAsia="en-GB" w:bidi="en-GB"/>
      </w:rPr>
    </w:lvl>
  </w:abstractNum>
  <w:abstractNum w:abstractNumId="27" w15:restartNumberingAfterBreak="0">
    <w:nsid w:val="48E71323"/>
    <w:multiLevelType w:val="hybridMultilevel"/>
    <w:tmpl w:val="A93040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C9E1743"/>
    <w:multiLevelType w:val="hybridMultilevel"/>
    <w:tmpl w:val="4F060756"/>
    <w:lvl w:ilvl="0" w:tplc="B830B486">
      <w:numFmt w:val="bullet"/>
      <w:lvlText w:val="•"/>
      <w:lvlJc w:val="left"/>
      <w:pPr>
        <w:ind w:left="358"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1" w:tplc="1E420D9A">
      <w:numFmt w:val="bullet"/>
      <w:lvlText w:val="•"/>
      <w:lvlJc w:val="left"/>
      <w:pPr>
        <w:ind w:left="593" w:hanging="284"/>
      </w:pPr>
      <w:rPr>
        <w:rFonts w:hint="default"/>
        <w:lang w:val="en-GB" w:eastAsia="en-GB" w:bidi="en-GB"/>
      </w:rPr>
    </w:lvl>
    <w:lvl w:ilvl="2" w:tplc="1C7ABB22">
      <w:numFmt w:val="bullet"/>
      <w:lvlText w:val="•"/>
      <w:lvlJc w:val="left"/>
      <w:pPr>
        <w:ind w:left="826" w:hanging="284"/>
      </w:pPr>
      <w:rPr>
        <w:rFonts w:hint="default"/>
        <w:lang w:val="en-GB" w:eastAsia="en-GB" w:bidi="en-GB"/>
      </w:rPr>
    </w:lvl>
    <w:lvl w:ilvl="3" w:tplc="938869B6">
      <w:numFmt w:val="bullet"/>
      <w:lvlText w:val="•"/>
      <w:lvlJc w:val="left"/>
      <w:pPr>
        <w:ind w:left="1059" w:hanging="284"/>
      </w:pPr>
      <w:rPr>
        <w:rFonts w:hint="default"/>
        <w:lang w:val="en-GB" w:eastAsia="en-GB" w:bidi="en-GB"/>
      </w:rPr>
    </w:lvl>
    <w:lvl w:ilvl="4" w:tplc="E8EE89C0">
      <w:numFmt w:val="bullet"/>
      <w:lvlText w:val="•"/>
      <w:lvlJc w:val="left"/>
      <w:pPr>
        <w:ind w:left="1292" w:hanging="284"/>
      </w:pPr>
      <w:rPr>
        <w:rFonts w:hint="default"/>
        <w:lang w:val="en-GB" w:eastAsia="en-GB" w:bidi="en-GB"/>
      </w:rPr>
    </w:lvl>
    <w:lvl w:ilvl="5" w:tplc="0EC28CEC">
      <w:numFmt w:val="bullet"/>
      <w:lvlText w:val="•"/>
      <w:lvlJc w:val="left"/>
      <w:pPr>
        <w:ind w:left="1526" w:hanging="284"/>
      </w:pPr>
      <w:rPr>
        <w:rFonts w:hint="default"/>
        <w:lang w:val="en-GB" w:eastAsia="en-GB" w:bidi="en-GB"/>
      </w:rPr>
    </w:lvl>
    <w:lvl w:ilvl="6" w:tplc="B854F18C">
      <w:numFmt w:val="bullet"/>
      <w:lvlText w:val="•"/>
      <w:lvlJc w:val="left"/>
      <w:pPr>
        <w:ind w:left="1759" w:hanging="284"/>
      </w:pPr>
      <w:rPr>
        <w:rFonts w:hint="default"/>
        <w:lang w:val="en-GB" w:eastAsia="en-GB" w:bidi="en-GB"/>
      </w:rPr>
    </w:lvl>
    <w:lvl w:ilvl="7" w:tplc="14042110">
      <w:numFmt w:val="bullet"/>
      <w:lvlText w:val="•"/>
      <w:lvlJc w:val="left"/>
      <w:pPr>
        <w:ind w:left="1992" w:hanging="284"/>
      </w:pPr>
      <w:rPr>
        <w:rFonts w:hint="default"/>
        <w:lang w:val="en-GB" w:eastAsia="en-GB" w:bidi="en-GB"/>
      </w:rPr>
    </w:lvl>
    <w:lvl w:ilvl="8" w:tplc="E362DE7A">
      <w:numFmt w:val="bullet"/>
      <w:lvlText w:val="•"/>
      <w:lvlJc w:val="left"/>
      <w:pPr>
        <w:ind w:left="2225" w:hanging="284"/>
      </w:pPr>
      <w:rPr>
        <w:rFonts w:hint="default"/>
        <w:lang w:val="en-GB" w:eastAsia="en-GB" w:bidi="en-GB"/>
      </w:rPr>
    </w:lvl>
  </w:abstractNum>
  <w:abstractNum w:abstractNumId="29" w15:restartNumberingAfterBreak="0">
    <w:nsid w:val="4CAC23F6"/>
    <w:multiLevelType w:val="hybridMultilevel"/>
    <w:tmpl w:val="3FA85D6E"/>
    <w:lvl w:ilvl="0" w:tplc="C4405B5E">
      <w:start w:val="7"/>
      <w:numFmt w:val="decimal"/>
      <w:lvlText w:val="%1."/>
      <w:lvlJc w:val="left"/>
      <w:pPr>
        <w:ind w:left="415" w:hanging="341"/>
      </w:pPr>
      <w:rPr>
        <w:rFonts w:asciiTheme="minorHAnsi" w:eastAsia="HelveticaNeue LT 45 Light" w:hAnsiTheme="minorHAnsi" w:cs="HelveticaNeue LT 45 Light" w:hint="default"/>
        <w:color w:val="414042"/>
        <w:spacing w:val="-21"/>
        <w:w w:val="97"/>
        <w:sz w:val="19"/>
        <w:szCs w:val="19"/>
        <w:lang w:val="en-GB" w:eastAsia="en-GB" w:bidi="en-GB"/>
      </w:rPr>
    </w:lvl>
    <w:lvl w:ilvl="1" w:tplc="C8528CCE">
      <w:numFmt w:val="bullet"/>
      <w:lvlText w:val="•"/>
      <w:lvlJc w:val="left"/>
      <w:pPr>
        <w:ind w:left="1129" w:hanging="341"/>
      </w:pPr>
      <w:rPr>
        <w:rFonts w:hint="default"/>
        <w:lang w:val="en-GB" w:eastAsia="en-GB" w:bidi="en-GB"/>
      </w:rPr>
    </w:lvl>
    <w:lvl w:ilvl="2" w:tplc="2A4AACFE">
      <w:numFmt w:val="bullet"/>
      <w:lvlText w:val="•"/>
      <w:lvlJc w:val="left"/>
      <w:pPr>
        <w:ind w:left="1839" w:hanging="341"/>
      </w:pPr>
      <w:rPr>
        <w:rFonts w:hint="default"/>
        <w:lang w:val="en-GB" w:eastAsia="en-GB" w:bidi="en-GB"/>
      </w:rPr>
    </w:lvl>
    <w:lvl w:ilvl="3" w:tplc="FE4C3D10">
      <w:numFmt w:val="bullet"/>
      <w:lvlText w:val="•"/>
      <w:lvlJc w:val="left"/>
      <w:pPr>
        <w:ind w:left="2548" w:hanging="341"/>
      </w:pPr>
      <w:rPr>
        <w:rFonts w:hint="default"/>
        <w:lang w:val="en-GB" w:eastAsia="en-GB" w:bidi="en-GB"/>
      </w:rPr>
    </w:lvl>
    <w:lvl w:ilvl="4" w:tplc="D860849A">
      <w:numFmt w:val="bullet"/>
      <w:lvlText w:val="•"/>
      <w:lvlJc w:val="left"/>
      <w:pPr>
        <w:ind w:left="3258" w:hanging="341"/>
      </w:pPr>
      <w:rPr>
        <w:rFonts w:hint="default"/>
        <w:lang w:val="en-GB" w:eastAsia="en-GB" w:bidi="en-GB"/>
      </w:rPr>
    </w:lvl>
    <w:lvl w:ilvl="5" w:tplc="A2588CDA">
      <w:numFmt w:val="bullet"/>
      <w:lvlText w:val="•"/>
      <w:lvlJc w:val="left"/>
      <w:pPr>
        <w:ind w:left="3967" w:hanging="341"/>
      </w:pPr>
      <w:rPr>
        <w:rFonts w:hint="default"/>
        <w:lang w:val="en-GB" w:eastAsia="en-GB" w:bidi="en-GB"/>
      </w:rPr>
    </w:lvl>
    <w:lvl w:ilvl="6" w:tplc="0E705480">
      <w:numFmt w:val="bullet"/>
      <w:lvlText w:val="•"/>
      <w:lvlJc w:val="left"/>
      <w:pPr>
        <w:ind w:left="4677" w:hanging="341"/>
      </w:pPr>
      <w:rPr>
        <w:rFonts w:hint="default"/>
        <w:lang w:val="en-GB" w:eastAsia="en-GB" w:bidi="en-GB"/>
      </w:rPr>
    </w:lvl>
    <w:lvl w:ilvl="7" w:tplc="47E6BA08">
      <w:numFmt w:val="bullet"/>
      <w:lvlText w:val="•"/>
      <w:lvlJc w:val="left"/>
      <w:pPr>
        <w:ind w:left="5386" w:hanging="341"/>
      </w:pPr>
      <w:rPr>
        <w:rFonts w:hint="default"/>
        <w:lang w:val="en-GB" w:eastAsia="en-GB" w:bidi="en-GB"/>
      </w:rPr>
    </w:lvl>
    <w:lvl w:ilvl="8" w:tplc="6A581672">
      <w:numFmt w:val="bullet"/>
      <w:lvlText w:val="•"/>
      <w:lvlJc w:val="left"/>
      <w:pPr>
        <w:ind w:left="6096" w:hanging="341"/>
      </w:pPr>
      <w:rPr>
        <w:rFonts w:hint="default"/>
        <w:lang w:val="en-GB" w:eastAsia="en-GB" w:bidi="en-GB"/>
      </w:rPr>
    </w:lvl>
  </w:abstractNum>
  <w:abstractNum w:abstractNumId="30"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51CC46C7"/>
    <w:multiLevelType w:val="hybridMultilevel"/>
    <w:tmpl w:val="069E4A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1F6082B"/>
    <w:multiLevelType w:val="hybridMultilevel"/>
    <w:tmpl w:val="5532F5CE"/>
    <w:lvl w:ilvl="0" w:tplc="0C090001">
      <w:start w:val="1"/>
      <w:numFmt w:val="bullet"/>
      <w:lvlText w:val=""/>
      <w:lvlJc w:val="left"/>
      <w:pPr>
        <w:ind w:left="360" w:hanging="360"/>
      </w:pPr>
      <w:rPr>
        <w:rFonts w:ascii="Symbol" w:hAnsi="Symbol" w:hint="default"/>
      </w:rPr>
    </w:lvl>
    <w:lvl w:ilvl="1" w:tplc="6638E668">
      <w:numFmt w:val="bullet"/>
      <w:lvlText w:val="•"/>
      <w:lvlJc w:val="left"/>
      <w:pPr>
        <w:ind w:left="1440" w:hanging="720"/>
      </w:pPr>
      <w:rPr>
        <w:rFonts w:ascii="Calibri" w:eastAsia="Calibri" w:hAnsi="Calibri" w:cs="Calibri" w:hint="default"/>
        <w:b/>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3F0BB76"/>
    <w:multiLevelType w:val="hybridMultilevel"/>
    <w:tmpl w:val="3832879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59862CA"/>
    <w:multiLevelType w:val="hybridMultilevel"/>
    <w:tmpl w:val="33C6A3D4"/>
    <w:lvl w:ilvl="0" w:tplc="97D41804">
      <w:numFmt w:val="bullet"/>
      <w:lvlText w:val="•"/>
      <w:lvlJc w:val="left"/>
      <w:pPr>
        <w:ind w:left="358"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1" w:tplc="CC64BB44">
      <w:numFmt w:val="bullet"/>
      <w:lvlText w:val="•"/>
      <w:lvlJc w:val="left"/>
      <w:pPr>
        <w:ind w:left="593" w:hanging="284"/>
      </w:pPr>
      <w:rPr>
        <w:rFonts w:hint="default"/>
        <w:lang w:val="en-GB" w:eastAsia="en-GB" w:bidi="en-GB"/>
      </w:rPr>
    </w:lvl>
    <w:lvl w:ilvl="2" w:tplc="D5E44962">
      <w:numFmt w:val="bullet"/>
      <w:lvlText w:val="•"/>
      <w:lvlJc w:val="left"/>
      <w:pPr>
        <w:ind w:left="826" w:hanging="284"/>
      </w:pPr>
      <w:rPr>
        <w:rFonts w:hint="default"/>
        <w:lang w:val="en-GB" w:eastAsia="en-GB" w:bidi="en-GB"/>
      </w:rPr>
    </w:lvl>
    <w:lvl w:ilvl="3" w:tplc="ADA2C358">
      <w:numFmt w:val="bullet"/>
      <w:lvlText w:val="•"/>
      <w:lvlJc w:val="left"/>
      <w:pPr>
        <w:ind w:left="1059" w:hanging="284"/>
      </w:pPr>
      <w:rPr>
        <w:rFonts w:hint="default"/>
        <w:lang w:val="en-GB" w:eastAsia="en-GB" w:bidi="en-GB"/>
      </w:rPr>
    </w:lvl>
    <w:lvl w:ilvl="4" w:tplc="8DA0DF4E">
      <w:numFmt w:val="bullet"/>
      <w:lvlText w:val="•"/>
      <w:lvlJc w:val="left"/>
      <w:pPr>
        <w:ind w:left="1292" w:hanging="284"/>
      </w:pPr>
      <w:rPr>
        <w:rFonts w:hint="default"/>
        <w:lang w:val="en-GB" w:eastAsia="en-GB" w:bidi="en-GB"/>
      </w:rPr>
    </w:lvl>
    <w:lvl w:ilvl="5" w:tplc="5A1EC7A4">
      <w:numFmt w:val="bullet"/>
      <w:lvlText w:val="•"/>
      <w:lvlJc w:val="left"/>
      <w:pPr>
        <w:ind w:left="1526" w:hanging="284"/>
      </w:pPr>
      <w:rPr>
        <w:rFonts w:hint="default"/>
        <w:lang w:val="en-GB" w:eastAsia="en-GB" w:bidi="en-GB"/>
      </w:rPr>
    </w:lvl>
    <w:lvl w:ilvl="6" w:tplc="80BE8508">
      <w:numFmt w:val="bullet"/>
      <w:lvlText w:val="•"/>
      <w:lvlJc w:val="left"/>
      <w:pPr>
        <w:ind w:left="1759" w:hanging="284"/>
      </w:pPr>
      <w:rPr>
        <w:rFonts w:hint="default"/>
        <w:lang w:val="en-GB" w:eastAsia="en-GB" w:bidi="en-GB"/>
      </w:rPr>
    </w:lvl>
    <w:lvl w:ilvl="7" w:tplc="FA4CD4F8">
      <w:numFmt w:val="bullet"/>
      <w:lvlText w:val="•"/>
      <w:lvlJc w:val="left"/>
      <w:pPr>
        <w:ind w:left="1992" w:hanging="284"/>
      </w:pPr>
      <w:rPr>
        <w:rFonts w:hint="default"/>
        <w:lang w:val="en-GB" w:eastAsia="en-GB" w:bidi="en-GB"/>
      </w:rPr>
    </w:lvl>
    <w:lvl w:ilvl="8" w:tplc="A9964C9E">
      <w:numFmt w:val="bullet"/>
      <w:lvlText w:val="•"/>
      <w:lvlJc w:val="left"/>
      <w:pPr>
        <w:ind w:left="2225" w:hanging="284"/>
      </w:pPr>
      <w:rPr>
        <w:rFonts w:hint="default"/>
        <w:lang w:val="en-GB" w:eastAsia="en-GB" w:bidi="en-GB"/>
      </w:rPr>
    </w:lvl>
  </w:abstractNum>
  <w:abstractNum w:abstractNumId="35" w15:restartNumberingAfterBreak="0">
    <w:nsid w:val="562C2C42"/>
    <w:multiLevelType w:val="hybridMultilevel"/>
    <w:tmpl w:val="6DE67870"/>
    <w:lvl w:ilvl="0" w:tplc="04A0E56A">
      <w:start w:val="13"/>
      <w:numFmt w:val="decimal"/>
      <w:lvlText w:val="%1."/>
      <w:lvlJc w:val="left"/>
      <w:pPr>
        <w:ind w:left="415" w:hanging="341"/>
      </w:pPr>
      <w:rPr>
        <w:rFonts w:asciiTheme="minorHAnsi" w:eastAsia="HelveticaNeue LT 45 Light" w:hAnsiTheme="minorHAnsi" w:cs="HelveticaNeue LT 45 Light" w:hint="default"/>
        <w:color w:val="414042"/>
        <w:spacing w:val="-23"/>
        <w:w w:val="100"/>
        <w:sz w:val="19"/>
        <w:szCs w:val="19"/>
        <w:lang w:val="en-GB" w:eastAsia="en-GB" w:bidi="en-GB"/>
      </w:rPr>
    </w:lvl>
    <w:lvl w:ilvl="1" w:tplc="6DEC9946">
      <w:numFmt w:val="bullet"/>
      <w:lvlText w:val="•"/>
      <w:lvlJc w:val="left"/>
      <w:pPr>
        <w:ind w:left="699"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2" w:tplc="91922652">
      <w:numFmt w:val="bullet"/>
      <w:lvlText w:val="•"/>
      <w:lvlJc w:val="left"/>
      <w:pPr>
        <w:ind w:left="1457" w:hanging="284"/>
      </w:pPr>
      <w:rPr>
        <w:rFonts w:hint="default"/>
        <w:lang w:val="en-GB" w:eastAsia="en-GB" w:bidi="en-GB"/>
      </w:rPr>
    </w:lvl>
    <w:lvl w:ilvl="3" w:tplc="66BE245A">
      <w:numFmt w:val="bullet"/>
      <w:lvlText w:val="•"/>
      <w:lvlJc w:val="left"/>
      <w:pPr>
        <w:ind w:left="2214" w:hanging="284"/>
      </w:pPr>
      <w:rPr>
        <w:rFonts w:hint="default"/>
        <w:lang w:val="en-GB" w:eastAsia="en-GB" w:bidi="en-GB"/>
      </w:rPr>
    </w:lvl>
    <w:lvl w:ilvl="4" w:tplc="0BD0690A">
      <w:numFmt w:val="bullet"/>
      <w:lvlText w:val="•"/>
      <w:lvlJc w:val="left"/>
      <w:pPr>
        <w:ind w:left="2971" w:hanging="284"/>
      </w:pPr>
      <w:rPr>
        <w:rFonts w:hint="default"/>
        <w:lang w:val="en-GB" w:eastAsia="en-GB" w:bidi="en-GB"/>
      </w:rPr>
    </w:lvl>
    <w:lvl w:ilvl="5" w:tplc="12E0749A">
      <w:numFmt w:val="bullet"/>
      <w:lvlText w:val="•"/>
      <w:lvlJc w:val="left"/>
      <w:pPr>
        <w:ind w:left="3728" w:hanging="284"/>
      </w:pPr>
      <w:rPr>
        <w:rFonts w:hint="default"/>
        <w:lang w:val="en-GB" w:eastAsia="en-GB" w:bidi="en-GB"/>
      </w:rPr>
    </w:lvl>
    <w:lvl w:ilvl="6" w:tplc="D354DDD2">
      <w:numFmt w:val="bullet"/>
      <w:lvlText w:val="•"/>
      <w:lvlJc w:val="left"/>
      <w:pPr>
        <w:ind w:left="4486" w:hanging="284"/>
      </w:pPr>
      <w:rPr>
        <w:rFonts w:hint="default"/>
        <w:lang w:val="en-GB" w:eastAsia="en-GB" w:bidi="en-GB"/>
      </w:rPr>
    </w:lvl>
    <w:lvl w:ilvl="7" w:tplc="77883FD2">
      <w:numFmt w:val="bullet"/>
      <w:lvlText w:val="•"/>
      <w:lvlJc w:val="left"/>
      <w:pPr>
        <w:ind w:left="5243" w:hanging="284"/>
      </w:pPr>
      <w:rPr>
        <w:rFonts w:hint="default"/>
        <w:lang w:val="en-GB" w:eastAsia="en-GB" w:bidi="en-GB"/>
      </w:rPr>
    </w:lvl>
    <w:lvl w:ilvl="8" w:tplc="AE743478">
      <w:numFmt w:val="bullet"/>
      <w:lvlText w:val="•"/>
      <w:lvlJc w:val="left"/>
      <w:pPr>
        <w:ind w:left="6000" w:hanging="284"/>
      </w:pPr>
      <w:rPr>
        <w:rFonts w:hint="default"/>
        <w:lang w:val="en-GB" w:eastAsia="en-GB" w:bidi="en-GB"/>
      </w:rPr>
    </w:lvl>
  </w:abstractNum>
  <w:abstractNum w:abstractNumId="36" w15:restartNumberingAfterBreak="0">
    <w:nsid w:val="57F80134"/>
    <w:multiLevelType w:val="hybridMultilevel"/>
    <w:tmpl w:val="B1AA4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CF01C75"/>
    <w:multiLevelType w:val="hybridMultilevel"/>
    <w:tmpl w:val="71BA75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8E1CCF"/>
    <w:multiLevelType w:val="hybridMultilevel"/>
    <w:tmpl w:val="F18E7F38"/>
    <w:lvl w:ilvl="0" w:tplc="F28C6F8C">
      <w:start w:val="1"/>
      <w:numFmt w:val="decimal"/>
      <w:lvlText w:val="%1."/>
      <w:lvlJc w:val="left"/>
      <w:pPr>
        <w:ind w:left="720" w:hanging="360"/>
      </w:pPr>
      <w:rPr>
        <w:rFonts w:asciiTheme="minorHAnsi" w:hAnsiTheme="minorHAnsi"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FC4894"/>
    <w:multiLevelType w:val="hybridMultilevel"/>
    <w:tmpl w:val="89B0869A"/>
    <w:lvl w:ilvl="0" w:tplc="5DE813AC">
      <w:start w:val="22"/>
      <w:numFmt w:val="decimal"/>
      <w:lvlText w:val="%1."/>
      <w:lvlJc w:val="left"/>
      <w:pPr>
        <w:ind w:left="415" w:hanging="341"/>
      </w:pPr>
      <w:rPr>
        <w:rFonts w:asciiTheme="minorHAnsi" w:eastAsia="HelveticaNeue LT 45 Light" w:hAnsiTheme="minorHAnsi" w:cs="HelveticaNeue LT 45 Light" w:hint="default"/>
        <w:color w:val="414042"/>
        <w:spacing w:val="-4"/>
        <w:w w:val="100"/>
        <w:sz w:val="19"/>
        <w:szCs w:val="19"/>
        <w:lang w:val="en-GB" w:eastAsia="en-GB" w:bidi="en-GB"/>
      </w:rPr>
    </w:lvl>
    <w:lvl w:ilvl="1" w:tplc="981837B0">
      <w:numFmt w:val="bullet"/>
      <w:lvlText w:val="•"/>
      <w:lvlJc w:val="left"/>
      <w:pPr>
        <w:ind w:left="699" w:hanging="284"/>
      </w:pPr>
      <w:rPr>
        <w:rFonts w:ascii="HelveticaNeue LT 45 Light" w:eastAsia="HelveticaNeue LT 45 Light" w:hAnsi="HelveticaNeue LT 45 Light" w:cs="HelveticaNeue LT 45 Light" w:hint="default"/>
        <w:color w:val="414042"/>
        <w:spacing w:val="-23"/>
        <w:w w:val="100"/>
        <w:sz w:val="19"/>
        <w:szCs w:val="19"/>
        <w:lang w:val="en-GB" w:eastAsia="en-GB" w:bidi="en-GB"/>
      </w:rPr>
    </w:lvl>
    <w:lvl w:ilvl="2" w:tplc="EA320D12">
      <w:numFmt w:val="bullet"/>
      <w:lvlText w:val="•"/>
      <w:lvlJc w:val="left"/>
      <w:pPr>
        <w:ind w:left="1457" w:hanging="284"/>
      </w:pPr>
      <w:rPr>
        <w:rFonts w:hint="default"/>
        <w:lang w:val="en-GB" w:eastAsia="en-GB" w:bidi="en-GB"/>
      </w:rPr>
    </w:lvl>
    <w:lvl w:ilvl="3" w:tplc="BC9C23C4">
      <w:numFmt w:val="bullet"/>
      <w:lvlText w:val="•"/>
      <w:lvlJc w:val="left"/>
      <w:pPr>
        <w:ind w:left="2214" w:hanging="284"/>
      </w:pPr>
      <w:rPr>
        <w:rFonts w:hint="default"/>
        <w:lang w:val="en-GB" w:eastAsia="en-GB" w:bidi="en-GB"/>
      </w:rPr>
    </w:lvl>
    <w:lvl w:ilvl="4" w:tplc="73CE3F38">
      <w:numFmt w:val="bullet"/>
      <w:lvlText w:val="•"/>
      <w:lvlJc w:val="left"/>
      <w:pPr>
        <w:ind w:left="2971" w:hanging="284"/>
      </w:pPr>
      <w:rPr>
        <w:rFonts w:hint="default"/>
        <w:lang w:val="en-GB" w:eastAsia="en-GB" w:bidi="en-GB"/>
      </w:rPr>
    </w:lvl>
    <w:lvl w:ilvl="5" w:tplc="C9F07116">
      <w:numFmt w:val="bullet"/>
      <w:lvlText w:val="•"/>
      <w:lvlJc w:val="left"/>
      <w:pPr>
        <w:ind w:left="3728" w:hanging="284"/>
      </w:pPr>
      <w:rPr>
        <w:rFonts w:hint="default"/>
        <w:lang w:val="en-GB" w:eastAsia="en-GB" w:bidi="en-GB"/>
      </w:rPr>
    </w:lvl>
    <w:lvl w:ilvl="6" w:tplc="DA4631F6">
      <w:numFmt w:val="bullet"/>
      <w:lvlText w:val="•"/>
      <w:lvlJc w:val="left"/>
      <w:pPr>
        <w:ind w:left="4486" w:hanging="284"/>
      </w:pPr>
      <w:rPr>
        <w:rFonts w:hint="default"/>
        <w:lang w:val="en-GB" w:eastAsia="en-GB" w:bidi="en-GB"/>
      </w:rPr>
    </w:lvl>
    <w:lvl w:ilvl="7" w:tplc="FE6C3D3C">
      <w:numFmt w:val="bullet"/>
      <w:lvlText w:val="•"/>
      <w:lvlJc w:val="left"/>
      <w:pPr>
        <w:ind w:left="5243" w:hanging="284"/>
      </w:pPr>
      <w:rPr>
        <w:rFonts w:hint="default"/>
        <w:lang w:val="en-GB" w:eastAsia="en-GB" w:bidi="en-GB"/>
      </w:rPr>
    </w:lvl>
    <w:lvl w:ilvl="8" w:tplc="78E0B76E">
      <w:numFmt w:val="bullet"/>
      <w:lvlText w:val="•"/>
      <w:lvlJc w:val="left"/>
      <w:pPr>
        <w:ind w:left="6000" w:hanging="284"/>
      </w:pPr>
      <w:rPr>
        <w:rFonts w:hint="default"/>
        <w:lang w:val="en-GB" w:eastAsia="en-GB" w:bidi="en-GB"/>
      </w:rPr>
    </w:lvl>
  </w:abstractNum>
  <w:abstractNum w:abstractNumId="40" w15:restartNumberingAfterBreak="0">
    <w:nsid w:val="6C8B5509"/>
    <w:multiLevelType w:val="hybridMultilevel"/>
    <w:tmpl w:val="EB500D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D576A55"/>
    <w:multiLevelType w:val="hybridMultilevel"/>
    <w:tmpl w:val="327AEDCA"/>
    <w:lvl w:ilvl="0" w:tplc="FDCC1C52">
      <w:start w:val="7"/>
      <w:numFmt w:val="decimal"/>
      <w:lvlText w:val="%1."/>
      <w:lvlJc w:val="left"/>
      <w:pPr>
        <w:ind w:left="720" w:hanging="360"/>
      </w:pPr>
      <w:rPr>
        <w:rFonts w:asciiTheme="minorHAnsi" w:hAnsiTheme="minorHAnsi"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240486C"/>
    <w:multiLevelType w:val="hybridMultilevel"/>
    <w:tmpl w:val="48704E96"/>
    <w:lvl w:ilvl="0" w:tplc="3B6862C4">
      <w:start w:val="1"/>
      <w:numFmt w:val="decimal"/>
      <w:lvlText w:val="%1."/>
      <w:lvlJc w:val="left"/>
      <w:pPr>
        <w:ind w:left="720" w:hanging="360"/>
      </w:pPr>
      <w:rPr>
        <w:rFonts w:asciiTheme="minorHAnsi" w:hAnsiTheme="minorHAnsi"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D7B1B80"/>
    <w:multiLevelType w:val="hybridMultilevel"/>
    <w:tmpl w:val="86B653AC"/>
    <w:lvl w:ilvl="0" w:tplc="F9946EBE">
      <w:start w:val="1"/>
      <w:numFmt w:val="bullet"/>
      <w:pStyle w:val="bulletnormal"/>
      <w:lvlText w:val=""/>
      <w:lvlJc w:val="left"/>
      <w:pPr>
        <w:tabs>
          <w:tab w:val="num" w:pos="284"/>
        </w:tabs>
        <w:ind w:left="284" w:hanging="284"/>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6"/>
  </w:num>
  <w:num w:numId="3">
    <w:abstractNumId w:val="18"/>
  </w:num>
  <w:num w:numId="4">
    <w:abstractNumId w:val="12"/>
  </w:num>
  <w:num w:numId="5">
    <w:abstractNumId w:val="3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21"/>
  </w:num>
  <w:num w:numId="9">
    <w:abstractNumId w:val="25"/>
  </w:num>
  <w:num w:numId="10">
    <w:abstractNumId w:val="15"/>
  </w:num>
  <w:num w:numId="11">
    <w:abstractNumId w:val="40"/>
  </w:num>
  <w:num w:numId="12">
    <w:abstractNumId w:val="32"/>
  </w:num>
  <w:num w:numId="13">
    <w:abstractNumId w:val="20"/>
  </w:num>
  <w:num w:numId="14">
    <w:abstractNumId w:val="27"/>
  </w:num>
  <w:num w:numId="15">
    <w:abstractNumId w:val="36"/>
  </w:num>
  <w:num w:numId="16">
    <w:abstractNumId w:val="37"/>
  </w:num>
  <w:num w:numId="17">
    <w:abstractNumId w:val="4"/>
  </w:num>
  <w:num w:numId="18">
    <w:abstractNumId w:val="31"/>
  </w:num>
  <w:num w:numId="19">
    <w:abstractNumId w:val="42"/>
  </w:num>
  <w:num w:numId="20">
    <w:abstractNumId w:val="2"/>
  </w:num>
  <w:num w:numId="21">
    <w:abstractNumId w:val="33"/>
  </w:num>
  <w:num w:numId="22">
    <w:abstractNumId w:val="11"/>
  </w:num>
  <w:num w:numId="23">
    <w:abstractNumId w:val="14"/>
  </w:num>
  <w:num w:numId="24">
    <w:abstractNumId w:val="41"/>
  </w:num>
  <w:num w:numId="25">
    <w:abstractNumId w:val="8"/>
  </w:num>
  <w:num w:numId="26">
    <w:abstractNumId w:val="0"/>
  </w:num>
  <w:num w:numId="27">
    <w:abstractNumId w:val="1"/>
  </w:num>
  <w:num w:numId="28">
    <w:abstractNumId w:val="23"/>
  </w:num>
  <w:num w:numId="29">
    <w:abstractNumId w:val="3"/>
  </w:num>
  <w:num w:numId="30">
    <w:abstractNumId w:val="13"/>
  </w:num>
  <w:num w:numId="31">
    <w:abstractNumId w:val="5"/>
  </w:num>
  <w:num w:numId="32">
    <w:abstractNumId w:val="24"/>
  </w:num>
  <w:num w:numId="33">
    <w:abstractNumId w:val="9"/>
  </w:num>
  <w:num w:numId="34">
    <w:abstractNumId w:val="7"/>
  </w:num>
  <w:num w:numId="35">
    <w:abstractNumId w:val="39"/>
  </w:num>
  <w:num w:numId="36">
    <w:abstractNumId w:val="19"/>
  </w:num>
  <w:num w:numId="37">
    <w:abstractNumId w:val="34"/>
  </w:num>
  <w:num w:numId="38">
    <w:abstractNumId w:val="35"/>
  </w:num>
  <w:num w:numId="39">
    <w:abstractNumId w:val="16"/>
  </w:num>
  <w:num w:numId="40">
    <w:abstractNumId w:val="29"/>
  </w:num>
  <w:num w:numId="41">
    <w:abstractNumId w:val="17"/>
  </w:num>
  <w:num w:numId="42">
    <w:abstractNumId w:val="26"/>
  </w:num>
  <w:num w:numId="43">
    <w:abstractNumId w:val="28"/>
  </w:num>
  <w:num w:numId="44">
    <w:abstractNumId w:val="10"/>
  </w:num>
  <w:num w:numId="45">
    <w:abstractNumId w:val="3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9153"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ztjQzNDUxMzM3MDBS0lEKTi0uzszPAykwrAUAbdHvxiwAAAA="/>
  </w:docVars>
  <w:rsids>
    <w:rsidRoot w:val="00FF415A"/>
    <w:rsid w:val="00003EB8"/>
    <w:rsid w:val="0000660B"/>
    <w:rsid w:val="0000699C"/>
    <w:rsid w:val="00006FA6"/>
    <w:rsid w:val="000075D0"/>
    <w:rsid w:val="00010A9B"/>
    <w:rsid w:val="000126B2"/>
    <w:rsid w:val="00013F6B"/>
    <w:rsid w:val="00014741"/>
    <w:rsid w:val="000157AC"/>
    <w:rsid w:val="00015BFC"/>
    <w:rsid w:val="000206D5"/>
    <w:rsid w:val="00021C1C"/>
    <w:rsid w:val="0002572C"/>
    <w:rsid w:val="000259E0"/>
    <w:rsid w:val="00025A15"/>
    <w:rsid w:val="00026777"/>
    <w:rsid w:val="00027C4E"/>
    <w:rsid w:val="00031A5A"/>
    <w:rsid w:val="00032196"/>
    <w:rsid w:val="00032870"/>
    <w:rsid w:val="00034557"/>
    <w:rsid w:val="00035DF2"/>
    <w:rsid w:val="00036164"/>
    <w:rsid w:val="00036270"/>
    <w:rsid w:val="00036383"/>
    <w:rsid w:val="00041563"/>
    <w:rsid w:val="00041655"/>
    <w:rsid w:val="00041DA2"/>
    <w:rsid w:val="00041E6D"/>
    <w:rsid w:val="000438E7"/>
    <w:rsid w:val="00043ED1"/>
    <w:rsid w:val="000456CA"/>
    <w:rsid w:val="00046E33"/>
    <w:rsid w:val="00050912"/>
    <w:rsid w:val="000509FC"/>
    <w:rsid w:val="000518C1"/>
    <w:rsid w:val="000539BC"/>
    <w:rsid w:val="00055629"/>
    <w:rsid w:val="000558D0"/>
    <w:rsid w:val="000569AA"/>
    <w:rsid w:val="000570A4"/>
    <w:rsid w:val="00062F0F"/>
    <w:rsid w:val="00064D3D"/>
    <w:rsid w:val="000652D9"/>
    <w:rsid w:val="0006557B"/>
    <w:rsid w:val="0006609E"/>
    <w:rsid w:val="0007373A"/>
    <w:rsid w:val="00074192"/>
    <w:rsid w:val="00074B7A"/>
    <w:rsid w:val="00075DD8"/>
    <w:rsid w:val="00076193"/>
    <w:rsid w:val="00082CF8"/>
    <w:rsid w:val="00083879"/>
    <w:rsid w:val="000839C6"/>
    <w:rsid w:val="000845F7"/>
    <w:rsid w:val="000851FA"/>
    <w:rsid w:val="00086A48"/>
    <w:rsid w:val="00090106"/>
    <w:rsid w:val="00093C0A"/>
    <w:rsid w:val="00095512"/>
    <w:rsid w:val="000960B2"/>
    <w:rsid w:val="00097716"/>
    <w:rsid w:val="00097D1B"/>
    <w:rsid w:val="000A0540"/>
    <w:rsid w:val="000A1972"/>
    <w:rsid w:val="000A1CE0"/>
    <w:rsid w:val="000A1E06"/>
    <w:rsid w:val="000A3731"/>
    <w:rsid w:val="000A40D6"/>
    <w:rsid w:val="000A52B2"/>
    <w:rsid w:val="000A569F"/>
    <w:rsid w:val="000A5A5F"/>
    <w:rsid w:val="000A7A04"/>
    <w:rsid w:val="000A7F88"/>
    <w:rsid w:val="000B0518"/>
    <w:rsid w:val="000B14C0"/>
    <w:rsid w:val="000B291C"/>
    <w:rsid w:val="000B356D"/>
    <w:rsid w:val="000B3831"/>
    <w:rsid w:val="000B787D"/>
    <w:rsid w:val="000C0C8D"/>
    <w:rsid w:val="000C33D9"/>
    <w:rsid w:val="000C5F90"/>
    <w:rsid w:val="000C7428"/>
    <w:rsid w:val="000C75FA"/>
    <w:rsid w:val="000D0D1D"/>
    <w:rsid w:val="000D3910"/>
    <w:rsid w:val="000D4AD7"/>
    <w:rsid w:val="000D5598"/>
    <w:rsid w:val="000D58D4"/>
    <w:rsid w:val="000D7B12"/>
    <w:rsid w:val="000E2A7E"/>
    <w:rsid w:val="000E314B"/>
    <w:rsid w:val="000E512C"/>
    <w:rsid w:val="000E58BD"/>
    <w:rsid w:val="000E7B51"/>
    <w:rsid w:val="000F0E81"/>
    <w:rsid w:val="000F2DCD"/>
    <w:rsid w:val="000F378A"/>
    <w:rsid w:val="000F44D4"/>
    <w:rsid w:val="000F4E98"/>
    <w:rsid w:val="000F70FA"/>
    <w:rsid w:val="000F7DC9"/>
    <w:rsid w:val="0010225E"/>
    <w:rsid w:val="001022F9"/>
    <w:rsid w:val="0010286F"/>
    <w:rsid w:val="001031E4"/>
    <w:rsid w:val="00104DBE"/>
    <w:rsid w:val="001063A9"/>
    <w:rsid w:val="00106B6D"/>
    <w:rsid w:val="00107A40"/>
    <w:rsid w:val="001124A4"/>
    <w:rsid w:val="00112D55"/>
    <w:rsid w:val="001135AA"/>
    <w:rsid w:val="0011549E"/>
    <w:rsid w:val="001160E4"/>
    <w:rsid w:val="001219EF"/>
    <w:rsid w:val="001242F3"/>
    <w:rsid w:val="001259A9"/>
    <w:rsid w:val="00126279"/>
    <w:rsid w:val="0012710C"/>
    <w:rsid w:val="00130A9E"/>
    <w:rsid w:val="001311F7"/>
    <w:rsid w:val="00133471"/>
    <w:rsid w:val="00133D7B"/>
    <w:rsid w:val="00137C6D"/>
    <w:rsid w:val="001404DD"/>
    <w:rsid w:val="00141325"/>
    <w:rsid w:val="00141CAF"/>
    <w:rsid w:val="001420AF"/>
    <w:rsid w:val="001429B4"/>
    <w:rsid w:val="00143E86"/>
    <w:rsid w:val="00144715"/>
    <w:rsid w:val="001466D1"/>
    <w:rsid w:val="00150188"/>
    <w:rsid w:val="0015194A"/>
    <w:rsid w:val="0015216E"/>
    <w:rsid w:val="00153013"/>
    <w:rsid w:val="00153635"/>
    <w:rsid w:val="0015554C"/>
    <w:rsid w:val="00155571"/>
    <w:rsid w:val="0015566A"/>
    <w:rsid w:val="00156EA5"/>
    <w:rsid w:val="00157F28"/>
    <w:rsid w:val="0016115A"/>
    <w:rsid w:val="00161F6C"/>
    <w:rsid w:val="001632A1"/>
    <w:rsid w:val="001637F5"/>
    <w:rsid w:val="00163ED1"/>
    <w:rsid w:val="00164D52"/>
    <w:rsid w:val="00164D5F"/>
    <w:rsid w:val="00166F42"/>
    <w:rsid w:val="001726E5"/>
    <w:rsid w:val="0017391B"/>
    <w:rsid w:val="001753E2"/>
    <w:rsid w:val="001753E3"/>
    <w:rsid w:val="00175489"/>
    <w:rsid w:val="00175FB2"/>
    <w:rsid w:val="0017675B"/>
    <w:rsid w:val="0018032B"/>
    <w:rsid w:val="00180449"/>
    <w:rsid w:val="00181931"/>
    <w:rsid w:val="001822BE"/>
    <w:rsid w:val="00182A01"/>
    <w:rsid w:val="00183D07"/>
    <w:rsid w:val="00183E57"/>
    <w:rsid w:val="00185528"/>
    <w:rsid w:val="00186C5B"/>
    <w:rsid w:val="00187735"/>
    <w:rsid w:val="0018779F"/>
    <w:rsid w:val="0019062B"/>
    <w:rsid w:val="001907DA"/>
    <w:rsid w:val="00190E57"/>
    <w:rsid w:val="00191478"/>
    <w:rsid w:val="00191569"/>
    <w:rsid w:val="00192DF2"/>
    <w:rsid w:val="001945FF"/>
    <w:rsid w:val="00194EE4"/>
    <w:rsid w:val="001969AC"/>
    <w:rsid w:val="001A1903"/>
    <w:rsid w:val="001A1DD0"/>
    <w:rsid w:val="001A5186"/>
    <w:rsid w:val="001A702D"/>
    <w:rsid w:val="001A7A20"/>
    <w:rsid w:val="001B304D"/>
    <w:rsid w:val="001B534F"/>
    <w:rsid w:val="001B5D37"/>
    <w:rsid w:val="001B663A"/>
    <w:rsid w:val="001C1765"/>
    <w:rsid w:val="001C29AD"/>
    <w:rsid w:val="001C31F7"/>
    <w:rsid w:val="001C3B67"/>
    <w:rsid w:val="001C5701"/>
    <w:rsid w:val="001C72C0"/>
    <w:rsid w:val="001D1670"/>
    <w:rsid w:val="001D2E01"/>
    <w:rsid w:val="001D52C7"/>
    <w:rsid w:val="001D594E"/>
    <w:rsid w:val="001D5C8D"/>
    <w:rsid w:val="001D5DB8"/>
    <w:rsid w:val="001D6152"/>
    <w:rsid w:val="001D7D3C"/>
    <w:rsid w:val="001E3D22"/>
    <w:rsid w:val="001E56AA"/>
    <w:rsid w:val="001E6771"/>
    <w:rsid w:val="001E748E"/>
    <w:rsid w:val="001F3D88"/>
    <w:rsid w:val="001F5A16"/>
    <w:rsid w:val="001F5FAF"/>
    <w:rsid w:val="001F6685"/>
    <w:rsid w:val="002005AC"/>
    <w:rsid w:val="00200DA1"/>
    <w:rsid w:val="0020181E"/>
    <w:rsid w:val="00201BE8"/>
    <w:rsid w:val="002039EC"/>
    <w:rsid w:val="00203B74"/>
    <w:rsid w:val="00204770"/>
    <w:rsid w:val="0020590B"/>
    <w:rsid w:val="002061F0"/>
    <w:rsid w:val="002100E0"/>
    <w:rsid w:val="0021065F"/>
    <w:rsid w:val="00210B9F"/>
    <w:rsid w:val="00212D64"/>
    <w:rsid w:val="00213DF1"/>
    <w:rsid w:val="00214817"/>
    <w:rsid w:val="00214E7A"/>
    <w:rsid w:val="002168D8"/>
    <w:rsid w:val="002171F4"/>
    <w:rsid w:val="002201FC"/>
    <w:rsid w:val="002217B3"/>
    <w:rsid w:val="00221DA5"/>
    <w:rsid w:val="00224EDD"/>
    <w:rsid w:val="00226F41"/>
    <w:rsid w:val="0023084F"/>
    <w:rsid w:val="002327ED"/>
    <w:rsid w:val="00232D0F"/>
    <w:rsid w:val="00235E3D"/>
    <w:rsid w:val="00236665"/>
    <w:rsid w:val="00237ADC"/>
    <w:rsid w:val="00237C7B"/>
    <w:rsid w:val="0024049D"/>
    <w:rsid w:val="00240A9E"/>
    <w:rsid w:val="002430C9"/>
    <w:rsid w:val="00243746"/>
    <w:rsid w:val="00243AE6"/>
    <w:rsid w:val="00243DA2"/>
    <w:rsid w:val="002478F7"/>
    <w:rsid w:val="00250893"/>
    <w:rsid w:val="00250F2B"/>
    <w:rsid w:val="00250FC0"/>
    <w:rsid w:val="002527F2"/>
    <w:rsid w:val="00254106"/>
    <w:rsid w:val="00254325"/>
    <w:rsid w:val="00255095"/>
    <w:rsid w:val="002556CF"/>
    <w:rsid w:val="00256A88"/>
    <w:rsid w:val="002575C8"/>
    <w:rsid w:val="00261A08"/>
    <w:rsid w:val="00262B03"/>
    <w:rsid w:val="00263747"/>
    <w:rsid w:val="00263861"/>
    <w:rsid w:val="00264B33"/>
    <w:rsid w:val="00264F32"/>
    <w:rsid w:val="00265F84"/>
    <w:rsid w:val="002706EF"/>
    <w:rsid w:val="00274702"/>
    <w:rsid w:val="00274F6D"/>
    <w:rsid w:val="00275E90"/>
    <w:rsid w:val="00277A0A"/>
    <w:rsid w:val="00281FBC"/>
    <w:rsid w:val="002821C5"/>
    <w:rsid w:val="00282C5A"/>
    <w:rsid w:val="00282DFE"/>
    <w:rsid w:val="0028397A"/>
    <w:rsid w:val="002839BE"/>
    <w:rsid w:val="00283A70"/>
    <w:rsid w:val="00285BA5"/>
    <w:rsid w:val="00286D0C"/>
    <w:rsid w:val="00286F20"/>
    <w:rsid w:val="00291216"/>
    <w:rsid w:val="002946B7"/>
    <w:rsid w:val="002A0DE0"/>
    <w:rsid w:val="002A1A17"/>
    <w:rsid w:val="002A301F"/>
    <w:rsid w:val="002A3B2A"/>
    <w:rsid w:val="002A40B3"/>
    <w:rsid w:val="002A4214"/>
    <w:rsid w:val="002A4DF1"/>
    <w:rsid w:val="002A65C1"/>
    <w:rsid w:val="002A6DED"/>
    <w:rsid w:val="002B0A5C"/>
    <w:rsid w:val="002B1734"/>
    <w:rsid w:val="002B1F86"/>
    <w:rsid w:val="002B3C91"/>
    <w:rsid w:val="002B40AF"/>
    <w:rsid w:val="002B4941"/>
    <w:rsid w:val="002B50F1"/>
    <w:rsid w:val="002C1F46"/>
    <w:rsid w:val="002C2FB2"/>
    <w:rsid w:val="002C4038"/>
    <w:rsid w:val="002C5A6F"/>
    <w:rsid w:val="002D075F"/>
    <w:rsid w:val="002D3D09"/>
    <w:rsid w:val="002D3D8E"/>
    <w:rsid w:val="002D549B"/>
    <w:rsid w:val="002D5E28"/>
    <w:rsid w:val="002D71C5"/>
    <w:rsid w:val="002E1461"/>
    <w:rsid w:val="002E1FD5"/>
    <w:rsid w:val="002E55E8"/>
    <w:rsid w:val="002E5DC1"/>
    <w:rsid w:val="002E7007"/>
    <w:rsid w:val="002E77EC"/>
    <w:rsid w:val="002F1731"/>
    <w:rsid w:val="002F3F8A"/>
    <w:rsid w:val="00300401"/>
    <w:rsid w:val="003008D7"/>
    <w:rsid w:val="00300A7F"/>
    <w:rsid w:val="0030303F"/>
    <w:rsid w:val="00305EF6"/>
    <w:rsid w:val="00306207"/>
    <w:rsid w:val="003076FA"/>
    <w:rsid w:val="0031016D"/>
    <w:rsid w:val="0031359F"/>
    <w:rsid w:val="00314169"/>
    <w:rsid w:val="00314A95"/>
    <w:rsid w:val="0031567A"/>
    <w:rsid w:val="0031772D"/>
    <w:rsid w:val="00320344"/>
    <w:rsid w:val="003217A9"/>
    <w:rsid w:val="0032284D"/>
    <w:rsid w:val="0032391E"/>
    <w:rsid w:val="00324FCB"/>
    <w:rsid w:val="003308BE"/>
    <w:rsid w:val="0033098D"/>
    <w:rsid w:val="00331135"/>
    <w:rsid w:val="00333FEB"/>
    <w:rsid w:val="00334ABB"/>
    <w:rsid w:val="00335060"/>
    <w:rsid w:val="003352E8"/>
    <w:rsid w:val="00335496"/>
    <w:rsid w:val="00336034"/>
    <w:rsid w:val="003365B0"/>
    <w:rsid w:val="0034043A"/>
    <w:rsid w:val="00340CC7"/>
    <w:rsid w:val="003411D1"/>
    <w:rsid w:val="00342BE9"/>
    <w:rsid w:val="00343B2F"/>
    <w:rsid w:val="00343EC8"/>
    <w:rsid w:val="00344A8D"/>
    <w:rsid w:val="00346295"/>
    <w:rsid w:val="00346F0F"/>
    <w:rsid w:val="00347235"/>
    <w:rsid w:val="00354646"/>
    <w:rsid w:val="00356E0A"/>
    <w:rsid w:val="00356F92"/>
    <w:rsid w:val="003601CB"/>
    <w:rsid w:val="003622F5"/>
    <w:rsid w:val="00362365"/>
    <w:rsid w:val="003626DF"/>
    <w:rsid w:val="00364C69"/>
    <w:rsid w:val="00370292"/>
    <w:rsid w:val="003735E4"/>
    <w:rsid w:val="0037406D"/>
    <w:rsid w:val="003745D3"/>
    <w:rsid w:val="00375B25"/>
    <w:rsid w:val="003764B2"/>
    <w:rsid w:val="003830B7"/>
    <w:rsid w:val="00383A3B"/>
    <w:rsid w:val="003866DA"/>
    <w:rsid w:val="00386A35"/>
    <w:rsid w:val="00387760"/>
    <w:rsid w:val="00387D5D"/>
    <w:rsid w:val="003903F5"/>
    <w:rsid w:val="00391367"/>
    <w:rsid w:val="00392BB2"/>
    <w:rsid w:val="00392E8E"/>
    <w:rsid w:val="003951A4"/>
    <w:rsid w:val="003968E2"/>
    <w:rsid w:val="00397244"/>
    <w:rsid w:val="003A131F"/>
    <w:rsid w:val="003A1BC2"/>
    <w:rsid w:val="003A2A4B"/>
    <w:rsid w:val="003A3042"/>
    <w:rsid w:val="003A43DD"/>
    <w:rsid w:val="003A4AD0"/>
    <w:rsid w:val="003A4C3A"/>
    <w:rsid w:val="003A550A"/>
    <w:rsid w:val="003B0DA1"/>
    <w:rsid w:val="003B0DA6"/>
    <w:rsid w:val="003B0FC5"/>
    <w:rsid w:val="003B1322"/>
    <w:rsid w:val="003B43E7"/>
    <w:rsid w:val="003B62C3"/>
    <w:rsid w:val="003B6BF3"/>
    <w:rsid w:val="003B70DA"/>
    <w:rsid w:val="003B71D4"/>
    <w:rsid w:val="003B7FF9"/>
    <w:rsid w:val="003C095F"/>
    <w:rsid w:val="003C2251"/>
    <w:rsid w:val="003C34A7"/>
    <w:rsid w:val="003C4214"/>
    <w:rsid w:val="003C4495"/>
    <w:rsid w:val="003C55B5"/>
    <w:rsid w:val="003C5E6C"/>
    <w:rsid w:val="003D1002"/>
    <w:rsid w:val="003D1C2F"/>
    <w:rsid w:val="003D1CD9"/>
    <w:rsid w:val="003D281E"/>
    <w:rsid w:val="003D5905"/>
    <w:rsid w:val="003D645D"/>
    <w:rsid w:val="003E12D8"/>
    <w:rsid w:val="003E3615"/>
    <w:rsid w:val="003E56B8"/>
    <w:rsid w:val="003E6E8A"/>
    <w:rsid w:val="003E7BA2"/>
    <w:rsid w:val="003F04B6"/>
    <w:rsid w:val="003F1027"/>
    <w:rsid w:val="003F3208"/>
    <w:rsid w:val="003F4234"/>
    <w:rsid w:val="003F520B"/>
    <w:rsid w:val="00400ECD"/>
    <w:rsid w:val="004019DC"/>
    <w:rsid w:val="0040515A"/>
    <w:rsid w:val="00410C7A"/>
    <w:rsid w:val="0041139A"/>
    <w:rsid w:val="004125D8"/>
    <w:rsid w:val="004147F5"/>
    <w:rsid w:val="00416E9E"/>
    <w:rsid w:val="00417DA9"/>
    <w:rsid w:val="00421C0A"/>
    <w:rsid w:val="00422673"/>
    <w:rsid w:val="00423584"/>
    <w:rsid w:val="004247ED"/>
    <w:rsid w:val="00425308"/>
    <w:rsid w:val="00426E8F"/>
    <w:rsid w:val="0043038B"/>
    <w:rsid w:val="00432090"/>
    <w:rsid w:val="004326FB"/>
    <w:rsid w:val="00432746"/>
    <w:rsid w:val="004328D5"/>
    <w:rsid w:val="00432B96"/>
    <w:rsid w:val="004365F4"/>
    <w:rsid w:val="0043663F"/>
    <w:rsid w:val="00442DD1"/>
    <w:rsid w:val="00443070"/>
    <w:rsid w:val="00443C67"/>
    <w:rsid w:val="00444C81"/>
    <w:rsid w:val="00444D64"/>
    <w:rsid w:val="00446F55"/>
    <w:rsid w:val="004502C0"/>
    <w:rsid w:val="00450904"/>
    <w:rsid w:val="00451C72"/>
    <w:rsid w:val="00452499"/>
    <w:rsid w:val="004528F9"/>
    <w:rsid w:val="0045322C"/>
    <w:rsid w:val="0045362C"/>
    <w:rsid w:val="00454B59"/>
    <w:rsid w:val="00455950"/>
    <w:rsid w:val="0045669F"/>
    <w:rsid w:val="00456EB7"/>
    <w:rsid w:val="0045704C"/>
    <w:rsid w:val="0046053A"/>
    <w:rsid w:val="004605F9"/>
    <w:rsid w:val="00463118"/>
    <w:rsid w:val="00463C2E"/>
    <w:rsid w:val="00465318"/>
    <w:rsid w:val="004679CF"/>
    <w:rsid w:val="00471101"/>
    <w:rsid w:val="004720D0"/>
    <w:rsid w:val="004721EB"/>
    <w:rsid w:val="00472732"/>
    <w:rsid w:val="00472CE2"/>
    <w:rsid w:val="004734ED"/>
    <w:rsid w:val="00474209"/>
    <w:rsid w:val="00480894"/>
    <w:rsid w:val="004826E7"/>
    <w:rsid w:val="00483C35"/>
    <w:rsid w:val="00484A8F"/>
    <w:rsid w:val="00487D99"/>
    <w:rsid w:val="00487F24"/>
    <w:rsid w:val="004923BB"/>
    <w:rsid w:val="00495CAA"/>
    <w:rsid w:val="004A1778"/>
    <w:rsid w:val="004A18E3"/>
    <w:rsid w:val="004A1CB4"/>
    <w:rsid w:val="004A27C1"/>
    <w:rsid w:val="004A469C"/>
    <w:rsid w:val="004A4E78"/>
    <w:rsid w:val="004A5235"/>
    <w:rsid w:val="004A6604"/>
    <w:rsid w:val="004B02BE"/>
    <w:rsid w:val="004B09B3"/>
    <w:rsid w:val="004B09D6"/>
    <w:rsid w:val="004B2767"/>
    <w:rsid w:val="004B3583"/>
    <w:rsid w:val="004B38AF"/>
    <w:rsid w:val="004B43AF"/>
    <w:rsid w:val="004B5B04"/>
    <w:rsid w:val="004C081C"/>
    <w:rsid w:val="004C0863"/>
    <w:rsid w:val="004C1273"/>
    <w:rsid w:val="004C1B13"/>
    <w:rsid w:val="004C1C4E"/>
    <w:rsid w:val="004C1EF6"/>
    <w:rsid w:val="004C3E8A"/>
    <w:rsid w:val="004C540A"/>
    <w:rsid w:val="004C5A99"/>
    <w:rsid w:val="004C7131"/>
    <w:rsid w:val="004C7485"/>
    <w:rsid w:val="004D1C98"/>
    <w:rsid w:val="004D2203"/>
    <w:rsid w:val="004D26BE"/>
    <w:rsid w:val="004D4054"/>
    <w:rsid w:val="004E1CC3"/>
    <w:rsid w:val="004E204A"/>
    <w:rsid w:val="004E2658"/>
    <w:rsid w:val="004E38E5"/>
    <w:rsid w:val="004E3D46"/>
    <w:rsid w:val="004E4202"/>
    <w:rsid w:val="004F2115"/>
    <w:rsid w:val="004F2686"/>
    <w:rsid w:val="004F31E4"/>
    <w:rsid w:val="004F6C2B"/>
    <w:rsid w:val="004F7EE2"/>
    <w:rsid w:val="00501702"/>
    <w:rsid w:val="00501A72"/>
    <w:rsid w:val="00502A5D"/>
    <w:rsid w:val="00504AEE"/>
    <w:rsid w:val="00505678"/>
    <w:rsid w:val="0051019D"/>
    <w:rsid w:val="00511135"/>
    <w:rsid w:val="00512BC4"/>
    <w:rsid w:val="00513113"/>
    <w:rsid w:val="0051549D"/>
    <w:rsid w:val="005157F1"/>
    <w:rsid w:val="00515F2C"/>
    <w:rsid w:val="00520921"/>
    <w:rsid w:val="00520DB6"/>
    <w:rsid w:val="005244E3"/>
    <w:rsid w:val="00526505"/>
    <w:rsid w:val="005265D8"/>
    <w:rsid w:val="00526ABD"/>
    <w:rsid w:val="00527578"/>
    <w:rsid w:val="00530B81"/>
    <w:rsid w:val="00531999"/>
    <w:rsid w:val="005332AA"/>
    <w:rsid w:val="005347DC"/>
    <w:rsid w:val="00534E6F"/>
    <w:rsid w:val="00536905"/>
    <w:rsid w:val="00537250"/>
    <w:rsid w:val="00542780"/>
    <w:rsid w:val="00542A86"/>
    <w:rsid w:val="00544DCA"/>
    <w:rsid w:val="00545983"/>
    <w:rsid w:val="00545B2D"/>
    <w:rsid w:val="00547E1C"/>
    <w:rsid w:val="0055049F"/>
    <w:rsid w:val="00550A8E"/>
    <w:rsid w:val="00554DE5"/>
    <w:rsid w:val="00555AD6"/>
    <w:rsid w:val="00555B39"/>
    <w:rsid w:val="00557275"/>
    <w:rsid w:val="005578FA"/>
    <w:rsid w:val="00564400"/>
    <w:rsid w:val="00564C5F"/>
    <w:rsid w:val="00565289"/>
    <w:rsid w:val="00566137"/>
    <w:rsid w:val="0056729F"/>
    <w:rsid w:val="00567CF7"/>
    <w:rsid w:val="005722AC"/>
    <w:rsid w:val="00572A20"/>
    <w:rsid w:val="00572C1B"/>
    <w:rsid w:val="00574885"/>
    <w:rsid w:val="005765B6"/>
    <w:rsid w:val="00577013"/>
    <w:rsid w:val="00581BEB"/>
    <w:rsid w:val="005834BF"/>
    <w:rsid w:val="00583F56"/>
    <w:rsid w:val="00585ACE"/>
    <w:rsid w:val="00587770"/>
    <w:rsid w:val="00590562"/>
    <w:rsid w:val="00590F15"/>
    <w:rsid w:val="0059413F"/>
    <w:rsid w:val="00595316"/>
    <w:rsid w:val="0059653C"/>
    <w:rsid w:val="005A0245"/>
    <w:rsid w:val="005A2222"/>
    <w:rsid w:val="005A2309"/>
    <w:rsid w:val="005A3D66"/>
    <w:rsid w:val="005A599D"/>
    <w:rsid w:val="005A6B82"/>
    <w:rsid w:val="005A7848"/>
    <w:rsid w:val="005A7C56"/>
    <w:rsid w:val="005A7C9F"/>
    <w:rsid w:val="005A7FDF"/>
    <w:rsid w:val="005B1E69"/>
    <w:rsid w:val="005B35F2"/>
    <w:rsid w:val="005B4408"/>
    <w:rsid w:val="005B52CB"/>
    <w:rsid w:val="005B65AC"/>
    <w:rsid w:val="005B7609"/>
    <w:rsid w:val="005C0349"/>
    <w:rsid w:val="005C1DCA"/>
    <w:rsid w:val="005C3915"/>
    <w:rsid w:val="005C3E5C"/>
    <w:rsid w:val="005C6A03"/>
    <w:rsid w:val="005C7AFB"/>
    <w:rsid w:val="005C7DB6"/>
    <w:rsid w:val="005D0596"/>
    <w:rsid w:val="005D0A71"/>
    <w:rsid w:val="005D0EE4"/>
    <w:rsid w:val="005D14C2"/>
    <w:rsid w:val="005D1836"/>
    <w:rsid w:val="005D203A"/>
    <w:rsid w:val="005D3E1C"/>
    <w:rsid w:val="005D4680"/>
    <w:rsid w:val="005D46C3"/>
    <w:rsid w:val="005D5572"/>
    <w:rsid w:val="005E038C"/>
    <w:rsid w:val="005E0BE0"/>
    <w:rsid w:val="005E2909"/>
    <w:rsid w:val="005E377D"/>
    <w:rsid w:val="005E3BF3"/>
    <w:rsid w:val="005E3DD1"/>
    <w:rsid w:val="005E4057"/>
    <w:rsid w:val="005E5168"/>
    <w:rsid w:val="005E5660"/>
    <w:rsid w:val="005E69E7"/>
    <w:rsid w:val="005F2E5A"/>
    <w:rsid w:val="005F3095"/>
    <w:rsid w:val="00600962"/>
    <w:rsid w:val="006013C0"/>
    <w:rsid w:val="00604077"/>
    <w:rsid w:val="0060603C"/>
    <w:rsid w:val="00606432"/>
    <w:rsid w:val="00607296"/>
    <w:rsid w:val="006121C7"/>
    <w:rsid w:val="00614DBA"/>
    <w:rsid w:val="0061576C"/>
    <w:rsid w:val="0061682A"/>
    <w:rsid w:val="006171FE"/>
    <w:rsid w:val="006179C6"/>
    <w:rsid w:val="0062008E"/>
    <w:rsid w:val="00624C58"/>
    <w:rsid w:val="0062506B"/>
    <w:rsid w:val="00625F61"/>
    <w:rsid w:val="00627A28"/>
    <w:rsid w:val="00631F04"/>
    <w:rsid w:val="00632D9D"/>
    <w:rsid w:val="0063363D"/>
    <w:rsid w:val="006339D1"/>
    <w:rsid w:val="0063552E"/>
    <w:rsid w:val="00635DEF"/>
    <w:rsid w:val="006367A4"/>
    <w:rsid w:val="00637E1B"/>
    <w:rsid w:val="00646286"/>
    <w:rsid w:val="00646704"/>
    <w:rsid w:val="0064773E"/>
    <w:rsid w:val="00647F0F"/>
    <w:rsid w:val="00650036"/>
    <w:rsid w:val="0065041D"/>
    <w:rsid w:val="0065108C"/>
    <w:rsid w:val="00652AD6"/>
    <w:rsid w:val="0065328C"/>
    <w:rsid w:val="00654963"/>
    <w:rsid w:val="00655BEA"/>
    <w:rsid w:val="0065701F"/>
    <w:rsid w:val="006606B7"/>
    <w:rsid w:val="00662960"/>
    <w:rsid w:val="00662BBE"/>
    <w:rsid w:val="00664043"/>
    <w:rsid w:val="00665720"/>
    <w:rsid w:val="00667A7A"/>
    <w:rsid w:val="00667F6C"/>
    <w:rsid w:val="00670C38"/>
    <w:rsid w:val="006719C9"/>
    <w:rsid w:val="006722C2"/>
    <w:rsid w:val="00672817"/>
    <w:rsid w:val="00673597"/>
    <w:rsid w:val="006754D0"/>
    <w:rsid w:val="00675D81"/>
    <w:rsid w:val="006760EF"/>
    <w:rsid w:val="0068026B"/>
    <w:rsid w:val="00681726"/>
    <w:rsid w:val="00682B77"/>
    <w:rsid w:val="006834A3"/>
    <w:rsid w:val="006844D8"/>
    <w:rsid w:val="00684665"/>
    <w:rsid w:val="00687653"/>
    <w:rsid w:val="00691754"/>
    <w:rsid w:val="00692725"/>
    <w:rsid w:val="006927DF"/>
    <w:rsid w:val="006941BF"/>
    <w:rsid w:val="0069630D"/>
    <w:rsid w:val="00696DE5"/>
    <w:rsid w:val="00697F0D"/>
    <w:rsid w:val="006A02F8"/>
    <w:rsid w:val="006A21F9"/>
    <w:rsid w:val="006A2D67"/>
    <w:rsid w:val="006A3998"/>
    <w:rsid w:val="006A3B09"/>
    <w:rsid w:val="006A4E4E"/>
    <w:rsid w:val="006A515B"/>
    <w:rsid w:val="006A61DF"/>
    <w:rsid w:val="006A63E1"/>
    <w:rsid w:val="006A6FBA"/>
    <w:rsid w:val="006B0AEE"/>
    <w:rsid w:val="006B2068"/>
    <w:rsid w:val="006B33A8"/>
    <w:rsid w:val="006B4063"/>
    <w:rsid w:val="006B4DC7"/>
    <w:rsid w:val="006B5798"/>
    <w:rsid w:val="006B64D7"/>
    <w:rsid w:val="006B6F2F"/>
    <w:rsid w:val="006C03BB"/>
    <w:rsid w:val="006C1355"/>
    <w:rsid w:val="006C22D3"/>
    <w:rsid w:val="006C2BDE"/>
    <w:rsid w:val="006C371C"/>
    <w:rsid w:val="006C42EF"/>
    <w:rsid w:val="006C4799"/>
    <w:rsid w:val="006C6F58"/>
    <w:rsid w:val="006C7690"/>
    <w:rsid w:val="006D28EE"/>
    <w:rsid w:val="006D407F"/>
    <w:rsid w:val="006D52E1"/>
    <w:rsid w:val="006D5AC9"/>
    <w:rsid w:val="006E3EFC"/>
    <w:rsid w:val="006E4AB2"/>
    <w:rsid w:val="006E4DAF"/>
    <w:rsid w:val="006E50D2"/>
    <w:rsid w:val="006E5B6C"/>
    <w:rsid w:val="006E5E79"/>
    <w:rsid w:val="006E69C7"/>
    <w:rsid w:val="006E7C01"/>
    <w:rsid w:val="006F31B7"/>
    <w:rsid w:val="006F4426"/>
    <w:rsid w:val="006F651D"/>
    <w:rsid w:val="00700F38"/>
    <w:rsid w:val="007026FA"/>
    <w:rsid w:val="00704DF9"/>
    <w:rsid w:val="00706F6D"/>
    <w:rsid w:val="007077B1"/>
    <w:rsid w:val="007101C5"/>
    <w:rsid w:val="007135BA"/>
    <w:rsid w:val="007136E3"/>
    <w:rsid w:val="00713B89"/>
    <w:rsid w:val="00714A97"/>
    <w:rsid w:val="00714F56"/>
    <w:rsid w:val="007178A2"/>
    <w:rsid w:val="0072028A"/>
    <w:rsid w:val="00720F35"/>
    <w:rsid w:val="00721F1A"/>
    <w:rsid w:val="007227EB"/>
    <w:rsid w:val="0072346F"/>
    <w:rsid w:val="00726804"/>
    <w:rsid w:val="00726AAE"/>
    <w:rsid w:val="00727FFE"/>
    <w:rsid w:val="00731032"/>
    <w:rsid w:val="00731756"/>
    <w:rsid w:val="00732B10"/>
    <w:rsid w:val="00732F40"/>
    <w:rsid w:val="007331AF"/>
    <w:rsid w:val="0073416E"/>
    <w:rsid w:val="00736C96"/>
    <w:rsid w:val="00737A14"/>
    <w:rsid w:val="007411CB"/>
    <w:rsid w:val="00743F8E"/>
    <w:rsid w:val="00746008"/>
    <w:rsid w:val="00746686"/>
    <w:rsid w:val="00747905"/>
    <w:rsid w:val="00747E26"/>
    <w:rsid w:val="00750E82"/>
    <w:rsid w:val="0075159E"/>
    <w:rsid w:val="00751882"/>
    <w:rsid w:val="007519D6"/>
    <w:rsid w:val="007538EA"/>
    <w:rsid w:val="00754499"/>
    <w:rsid w:val="007547EE"/>
    <w:rsid w:val="0075637D"/>
    <w:rsid w:val="0075734B"/>
    <w:rsid w:val="00757466"/>
    <w:rsid w:val="007579E0"/>
    <w:rsid w:val="00757D47"/>
    <w:rsid w:val="00760838"/>
    <w:rsid w:val="00762225"/>
    <w:rsid w:val="00762ED3"/>
    <w:rsid w:val="00767CE9"/>
    <w:rsid w:val="00767F72"/>
    <w:rsid w:val="00770F57"/>
    <w:rsid w:val="00772506"/>
    <w:rsid w:val="00772FA1"/>
    <w:rsid w:val="0077324D"/>
    <w:rsid w:val="00775A04"/>
    <w:rsid w:val="00775CDC"/>
    <w:rsid w:val="00775FED"/>
    <w:rsid w:val="0077759E"/>
    <w:rsid w:val="00780CEA"/>
    <w:rsid w:val="007822D9"/>
    <w:rsid w:val="007824B5"/>
    <w:rsid w:val="00786432"/>
    <w:rsid w:val="00786665"/>
    <w:rsid w:val="00786B9E"/>
    <w:rsid w:val="00787CC9"/>
    <w:rsid w:val="007908E9"/>
    <w:rsid w:val="00790C88"/>
    <w:rsid w:val="007924C4"/>
    <w:rsid w:val="00793407"/>
    <w:rsid w:val="007934DF"/>
    <w:rsid w:val="00797E79"/>
    <w:rsid w:val="007A1688"/>
    <w:rsid w:val="007A2017"/>
    <w:rsid w:val="007A401F"/>
    <w:rsid w:val="007A51AB"/>
    <w:rsid w:val="007B0351"/>
    <w:rsid w:val="007B16DD"/>
    <w:rsid w:val="007B42C1"/>
    <w:rsid w:val="007B5CCD"/>
    <w:rsid w:val="007B7AA5"/>
    <w:rsid w:val="007C38CA"/>
    <w:rsid w:val="007C4249"/>
    <w:rsid w:val="007C441D"/>
    <w:rsid w:val="007C5956"/>
    <w:rsid w:val="007C7CB8"/>
    <w:rsid w:val="007D2014"/>
    <w:rsid w:val="007D2342"/>
    <w:rsid w:val="007D2E03"/>
    <w:rsid w:val="007D2E8B"/>
    <w:rsid w:val="007D3F3C"/>
    <w:rsid w:val="007D62A9"/>
    <w:rsid w:val="007D631B"/>
    <w:rsid w:val="007D6BDB"/>
    <w:rsid w:val="007D6F8B"/>
    <w:rsid w:val="007D7184"/>
    <w:rsid w:val="007D791F"/>
    <w:rsid w:val="007E1648"/>
    <w:rsid w:val="007E1819"/>
    <w:rsid w:val="007E24FB"/>
    <w:rsid w:val="007E43B7"/>
    <w:rsid w:val="007E7C75"/>
    <w:rsid w:val="007F0131"/>
    <w:rsid w:val="007F1491"/>
    <w:rsid w:val="007F3A06"/>
    <w:rsid w:val="007F4B88"/>
    <w:rsid w:val="007F4E1A"/>
    <w:rsid w:val="00800331"/>
    <w:rsid w:val="00800B26"/>
    <w:rsid w:val="00802B97"/>
    <w:rsid w:val="00803670"/>
    <w:rsid w:val="008067B5"/>
    <w:rsid w:val="00807D53"/>
    <w:rsid w:val="00810792"/>
    <w:rsid w:val="00811126"/>
    <w:rsid w:val="00811AE0"/>
    <w:rsid w:val="00811BFF"/>
    <w:rsid w:val="00811CE0"/>
    <w:rsid w:val="00812D85"/>
    <w:rsid w:val="00813433"/>
    <w:rsid w:val="00813506"/>
    <w:rsid w:val="008136A6"/>
    <w:rsid w:val="00813714"/>
    <w:rsid w:val="00813771"/>
    <w:rsid w:val="00814BA7"/>
    <w:rsid w:val="00817B3A"/>
    <w:rsid w:val="0082044D"/>
    <w:rsid w:val="00820B0E"/>
    <w:rsid w:val="008238D4"/>
    <w:rsid w:val="00824512"/>
    <w:rsid w:val="00824D78"/>
    <w:rsid w:val="0082723C"/>
    <w:rsid w:val="008278D8"/>
    <w:rsid w:val="00827B30"/>
    <w:rsid w:val="00831679"/>
    <w:rsid w:val="00835F56"/>
    <w:rsid w:val="008408D4"/>
    <w:rsid w:val="00841518"/>
    <w:rsid w:val="008419ED"/>
    <w:rsid w:val="008422EE"/>
    <w:rsid w:val="008426EA"/>
    <w:rsid w:val="00844A1B"/>
    <w:rsid w:val="00850D2A"/>
    <w:rsid w:val="008512DD"/>
    <w:rsid w:val="00855EF8"/>
    <w:rsid w:val="00856CF4"/>
    <w:rsid w:val="0085700B"/>
    <w:rsid w:val="00857526"/>
    <w:rsid w:val="00863F57"/>
    <w:rsid w:val="00864785"/>
    <w:rsid w:val="00866F74"/>
    <w:rsid w:val="0087057E"/>
    <w:rsid w:val="00872153"/>
    <w:rsid w:val="00876222"/>
    <w:rsid w:val="00876229"/>
    <w:rsid w:val="00877348"/>
    <w:rsid w:val="00877789"/>
    <w:rsid w:val="00877C76"/>
    <w:rsid w:val="0088114E"/>
    <w:rsid w:val="0088286A"/>
    <w:rsid w:val="008831B2"/>
    <w:rsid w:val="00883340"/>
    <w:rsid w:val="008848BA"/>
    <w:rsid w:val="00884A6C"/>
    <w:rsid w:val="00884E37"/>
    <w:rsid w:val="0089098B"/>
    <w:rsid w:val="00891C08"/>
    <w:rsid w:val="00892A61"/>
    <w:rsid w:val="00893106"/>
    <w:rsid w:val="00893596"/>
    <w:rsid w:val="00896CBA"/>
    <w:rsid w:val="008A114D"/>
    <w:rsid w:val="008A328B"/>
    <w:rsid w:val="008A3BA5"/>
    <w:rsid w:val="008A3EED"/>
    <w:rsid w:val="008A55E3"/>
    <w:rsid w:val="008A718A"/>
    <w:rsid w:val="008A72BD"/>
    <w:rsid w:val="008B07A5"/>
    <w:rsid w:val="008B12BE"/>
    <w:rsid w:val="008B160B"/>
    <w:rsid w:val="008B22BB"/>
    <w:rsid w:val="008B2654"/>
    <w:rsid w:val="008B3EE0"/>
    <w:rsid w:val="008B720B"/>
    <w:rsid w:val="008B78C3"/>
    <w:rsid w:val="008C0C04"/>
    <w:rsid w:val="008C0C3B"/>
    <w:rsid w:val="008C26CF"/>
    <w:rsid w:val="008C2978"/>
    <w:rsid w:val="008C5B7E"/>
    <w:rsid w:val="008C5E41"/>
    <w:rsid w:val="008C62B3"/>
    <w:rsid w:val="008D0ACC"/>
    <w:rsid w:val="008D0BB6"/>
    <w:rsid w:val="008D14B6"/>
    <w:rsid w:val="008D1BAF"/>
    <w:rsid w:val="008D257A"/>
    <w:rsid w:val="008D2C2B"/>
    <w:rsid w:val="008D374B"/>
    <w:rsid w:val="008D54F3"/>
    <w:rsid w:val="008D6A0E"/>
    <w:rsid w:val="008D781A"/>
    <w:rsid w:val="008D794E"/>
    <w:rsid w:val="008E0964"/>
    <w:rsid w:val="008E1163"/>
    <w:rsid w:val="008E2747"/>
    <w:rsid w:val="008E2F68"/>
    <w:rsid w:val="008E5161"/>
    <w:rsid w:val="008E55AF"/>
    <w:rsid w:val="008E6FC6"/>
    <w:rsid w:val="008F0D93"/>
    <w:rsid w:val="008F123C"/>
    <w:rsid w:val="008F15DE"/>
    <w:rsid w:val="008F17DA"/>
    <w:rsid w:val="008F1E3E"/>
    <w:rsid w:val="008F28F0"/>
    <w:rsid w:val="008F29BC"/>
    <w:rsid w:val="008F571A"/>
    <w:rsid w:val="008F6D98"/>
    <w:rsid w:val="008F74F2"/>
    <w:rsid w:val="00900097"/>
    <w:rsid w:val="009004F7"/>
    <w:rsid w:val="009006FC"/>
    <w:rsid w:val="00900CC6"/>
    <w:rsid w:val="009027E3"/>
    <w:rsid w:val="00904613"/>
    <w:rsid w:val="00904D4C"/>
    <w:rsid w:val="00904F39"/>
    <w:rsid w:val="00911091"/>
    <w:rsid w:val="009123C8"/>
    <w:rsid w:val="009126B4"/>
    <w:rsid w:val="0091303F"/>
    <w:rsid w:val="00913171"/>
    <w:rsid w:val="00913A00"/>
    <w:rsid w:val="00914E43"/>
    <w:rsid w:val="009163AD"/>
    <w:rsid w:val="0091666D"/>
    <w:rsid w:val="0091692B"/>
    <w:rsid w:val="00916934"/>
    <w:rsid w:val="0092108F"/>
    <w:rsid w:val="00922440"/>
    <w:rsid w:val="009227F3"/>
    <w:rsid w:val="009227F9"/>
    <w:rsid w:val="009243D1"/>
    <w:rsid w:val="00924801"/>
    <w:rsid w:val="00925927"/>
    <w:rsid w:val="00925E78"/>
    <w:rsid w:val="0092757E"/>
    <w:rsid w:val="00931D4B"/>
    <w:rsid w:val="0093232B"/>
    <w:rsid w:val="0093279A"/>
    <w:rsid w:val="00932D2E"/>
    <w:rsid w:val="00932DFC"/>
    <w:rsid w:val="009355F7"/>
    <w:rsid w:val="00936E7B"/>
    <w:rsid w:val="009373DE"/>
    <w:rsid w:val="009423CC"/>
    <w:rsid w:val="00942ECD"/>
    <w:rsid w:val="00942FDE"/>
    <w:rsid w:val="009432E8"/>
    <w:rsid w:val="0094556E"/>
    <w:rsid w:val="00950BF4"/>
    <w:rsid w:val="009510BA"/>
    <w:rsid w:val="009512FA"/>
    <w:rsid w:val="009520A7"/>
    <w:rsid w:val="009521AE"/>
    <w:rsid w:val="00953124"/>
    <w:rsid w:val="00955131"/>
    <w:rsid w:val="009575FB"/>
    <w:rsid w:val="00960328"/>
    <w:rsid w:val="009613E5"/>
    <w:rsid w:val="00961AFA"/>
    <w:rsid w:val="00962159"/>
    <w:rsid w:val="00964DC7"/>
    <w:rsid w:val="00965B9E"/>
    <w:rsid w:val="0096621F"/>
    <w:rsid w:val="00970C85"/>
    <w:rsid w:val="009721EF"/>
    <w:rsid w:val="0097307D"/>
    <w:rsid w:val="00974774"/>
    <w:rsid w:val="0097646A"/>
    <w:rsid w:val="00977861"/>
    <w:rsid w:val="0098139B"/>
    <w:rsid w:val="009819BB"/>
    <w:rsid w:val="00981B34"/>
    <w:rsid w:val="009832BF"/>
    <w:rsid w:val="00983F06"/>
    <w:rsid w:val="0098497C"/>
    <w:rsid w:val="00985B21"/>
    <w:rsid w:val="009866FB"/>
    <w:rsid w:val="009869ED"/>
    <w:rsid w:val="00990491"/>
    <w:rsid w:val="009920E9"/>
    <w:rsid w:val="009927A9"/>
    <w:rsid w:val="0099517E"/>
    <w:rsid w:val="009956E1"/>
    <w:rsid w:val="009960DD"/>
    <w:rsid w:val="0099757F"/>
    <w:rsid w:val="009A0605"/>
    <w:rsid w:val="009A14C6"/>
    <w:rsid w:val="009A2321"/>
    <w:rsid w:val="009A38EE"/>
    <w:rsid w:val="009A3E8D"/>
    <w:rsid w:val="009A4643"/>
    <w:rsid w:val="009A4652"/>
    <w:rsid w:val="009A51BE"/>
    <w:rsid w:val="009A5EF0"/>
    <w:rsid w:val="009A6A69"/>
    <w:rsid w:val="009B1261"/>
    <w:rsid w:val="009B2C18"/>
    <w:rsid w:val="009B422F"/>
    <w:rsid w:val="009B56DB"/>
    <w:rsid w:val="009B7711"/>
    <w:rsid w:val="009C0868"/>
    <w:rsid w:val="009C38DE"/>
    <w:rsid w:val="009C3DC8"/>
    <w:rsid w:val="009C4A58"/>
    <w:rsid w:val="009C5F5B"/>
    <w:rsid w:val="009C7867"/>
    <w:rsid w:val="009C7F21"/>
    <w:rsid w:val="009D08B8"/>
    <w:rsid w:val="009D2B80"/>
    <w:rsid w:val="009D4626"/>
    <w:rsid w:val="009D5405"/>
    <w:rsid w:val="009D5928"/>
    <w:rsid w:val="009D5A8F"/>
    <w:rsid w:val="009D6179"/>
    <w:rsid w:val="009E0E8D"/>
    <w:rsid w:val="009E3747"/>
    <w:rsid w:val="009E3B04"/>
    <w:rsid w:val="009E5501"/>
    <w:rsid w:val="009E5BF7"/>
    <w:rsid w:val="009E5ED6"/>
    <w:rsid w:val="009E6348"/>
    <w:rsid w:val="009F04E4"/>
    <w:rsid w:val="009F0658"/>
    <w:rsid w:val="009F5F64"/>
    <w:rsid w:val="009F608C"/>
    <w:rsid w:val="009F6734"/>
    <w:rsid w:val="009F71AA"/>
    <w:rsid w:val="009F7819"/>
    <w:rsid w:val="00A00D4F"/>
    <w:rsid w:val="00A011D2"/>
    <w:rsid w:val="00A01A71"/>
    <w:rsid w:val="00A02BFD"/>
    <w:rsid w:val="00A031E4"/>
    <w:rsid w:val="00A03BC5"/>
    <w:rsid w:val="00A11203"/>
    <w:rsid w:val="00A14B93"/>
    <w:rsid w:val="00A1562B"/>
    <w:rsid w:val="00A16A26"/>
    <w:rsid w:val="00A200DF"/>
    <w:rsid w:val="00A219E6"/>
    <w:rsid w:val="00A2232A"/>
    <w:rsid w:val="00A25477"/>
    <w:rsid w:val="00A25C21"/>
    <w:rsid w:val="00A30904"/>
    <w:rsid w:val="00A30D8F"/>
    <w:rsid w:val="00A31496"/>
    <w:rsid w:val="00A3205E"/>
    <w:rsid w:val="00A32112"/>
    <w:rsid w:val="00A33A40"/>
    <w:rsid w:val="00A34C90"/>
    <w:rsid w:val="00A350C8"/>
    <w:rsid w:val="00A368CF"/>
    <w:rsid w:val="00A40C16"/>
    <w:rsid w:val="00A40F04"/>
    <w:rsid w:val="00A414C0"/>
    <w:rsid w:val="00A43224"/>
    <w:rsid w:val="00A44093"/>
    <w:rsid w:val="00A44AA1"/>
    <w:rsid w:val="00A456C5"/>
    <w:rsid w:val="00A46C00"/>
    <w:rsid w:val="00A47839"/>
    <w:rsid w:val="00A50297"/>
    <w:rsid w:val="00A51763"/>
    <w:rsid w:val="00A52A04"/>
    <w:rsid w:val="00A52ACD"/>
    <w:rsid w:val="00A52CE7"/>
    <w:rsid w:val="00A531A6"/>
    <w:rsid w:val="00A57B87"/>
    <w:rsid w:val="00A61075"/>
    <w:rsid w:val="00A61BDE"/>
    <w:rsid w:val="00A644E0"/>
    <w:rsid w:val="00A64AE1"/>
    <w:rsid w:val="00A64B56"/>
    <w:rsid w:val="00A64BF7"/>
    <w:rsid w:val="00A67679"/>
    <w:rsid w:val="00A718FD"/>
    <w:rsid w:val="00A72598"/>
    <w:rsid w:val="00A72D09"/>
    <w:rsid w:val="00A74A46"/>
    <w:rsid w:val="00A779D8"/>
    <w:rsid w:val="00A80AD7"/>
    <w:rsid w:val="00A85483"/>
    <w:rsid w:val="00A85532"/>
    <w:rsid w:val="00A8753C"/>
    <w:rsid w:val="00A904C0"/>
    <w:rsid w:val="00A90F4E"/>
    <w:rsid w:val="00A91BF6"/>
    <w:rsid w:val="00A91EAB"/>
    <w:rsid w:val="00A9334A"/>
    <w:rsid w:val="00A9412E"/>
    <w:rsid w:val="00A95C9D"/>
    <w:rsid w:val="00AA012B"/>
    <w:rsid w:val="00AA0345"/>
    <w:rsid w:val="00AA061E"/>
    <w:rsid w:val="00AA1881"/>
    <w:rsid w:val="00AA195B"/>
    <w:rsid w:val="00AA3586"/>
    <w:rsid w:val="00AA38E5"/>
    <w:rsid w:val="00AA54DA"/>
    <w:rsid w:val="00AA62E5"/>
    <w:rsid w:val="00AA6DC0"/>
    <w:rsid w:val="00AA7F73"/>
    <w:rsid w:val="00AB19CE"/>
    <w:rsid w:val="00AB4D7D"/>
    <w:rsid w:val="00AB5C40"/>
    <w:rsid w:val="00AB6373"/>
    <w:rsid w:val="00AB6A6E"/>
    <w:rsid w:val="00AC0546"/>
    <w:rsid w:val="00AC11A5"/>
    <w:rsid w:val="00AC1DC1"/>
    <w:rsid w:val="00AC3F66"/>
    <w:rsid w:val="00AC4039"/>
    <w:rsid w:val="00AC4983"/>
    <w:rsid w:val="00AC56E5"/>
    <w:rsid w:val="00AC6390"/>
    <w:rsid w:val="00AC7EBA"/>
    <w:rsid w:val="00AD1771"/>
    <w:rsid w:val="00AD30D9"/>
    <w:rsid w:val="00AD4B03"/>
    <w:rsid w:val="00AD6F07"/>
    <w:rsid w:val="00AE07F1"/>
    <w:rsid w:val="00AE1295"/>
    <w:rsid w:val="00AE3C2F"/>
    <w:rsid w:val="00AE4055"/>
    <w:rsid w:val="00AE4951"/>
    <w:rsid w:val="00AF0BE1"/>
    <w:rsid w:val="00AF6859"/>
    <w:rsid w:val="00AF7C26"/>
    <w:rsid w:val="00B00E89"/>
    <w:rsid w:val="00B019B2"/>
    <w:rsid w:val="00B0232D"/>
    <w:rsid w:val="00B03BEC"/>
    <w:rsid w:val="00B03CD1"/>
    <w:rsid w:val="00B041B2"/>
    <w:rsid w:val="00B054D5"/>
    <w:rsid w:val="00B06327"/>
    <w:rsid w:val="00B06E67"/>
    <w:rsid w:val="00B06EC7"/>
    <w:rsid w:val="00B10BE3"/>
    <w:rsid w:val="00B121BC"/>
    <w:rsid w:val="00B152BC"/>
    <w:rsid w:val="00B17051"/>
    <w:rsid w:val="00B22908"/>
    <w:rsid w:val="00B25C49"/>
    <w:rsid w:val="00B30367"/>
    <w:rsid w:val="00B33366"/>
    <w:rsid w:val="00B369C8"/>
    <w:rsid w:val="00B371E4"/>
    <w:rsid w:val="00B37A86"/>
    <w:rsid w:val="00B40D94"/>
    <w:rsid w:val="00B43BBB"/>
    <w:rsid w:val="00B43DFD"/>
    <w:rsid w:val="00B46FA3"/>
    <w:rsid w:val="00B503E8"/>
    <w:rsid w:val="00B507DC"/>
    <w:rsid w:val="00B50D48"/>
    <w:rsid w:val="00B5290C"/>
    <w:rsid w:val="00B53784"/>
    <w:rsid w:val="00B53933"/>
    <w:rsid w:val="00B54D97"/>
    <w:rsid w:val="00B62774"/>
    <w:rsid w:val="00B7095C"/>
    <w:rsid w:val="00B71040"/>
    <w:rsid w:val="00B71514"/>
    <w:rsid w:val="00B716C5"/>
    <w:rsid w:val="00B7237B"/>
    <w:rsid w:val="00B740DC"/>
    <w:rsid w:val="00B758AF"/>
    <w:rsid w:val="00B769CF"/>
    <w:rsid w:val="00B80A18"/>
    <w:rsid w:val="00B81E44"/>
    <w:rsid w:val="00B824F7"/>
    <w:rsid w:val="00B82A1B"/>
    <w:rsid w:val="00B84E61"/>
    <w:rsid w:val="00B85F77"/>
    <w:rsid w:val="00B92766"/>
    <w:rsid w:val="00B92E9D"/>
    <w:rsid w:val="00B9323D"/>
    <w:rsid w:val="00B94EA1"/>
    <w:rsid w:val="00B961E5"/>
    <w:rsid w:val="00B9620D"/>
    <w:rsid w:val="00B96961"/>
    <w:rsid w:val="00B9750B"/>
    <w:rsid w:val="00BA6762"/>
    <w:rsid w:val="00BB1122"/>
    <w:rsid w:val="00BB12A3"/>
    <w:rsid w:val="00BB2D80"/>
    <w:rsid w:val="00BB4421"/>
    <w:rsid w:val="00BB48EB"/>
    <w:rsid w:val="00BB5C01"/>
    <w:rsid w:val="00BB75AE"/>
    <w:rsid w:val="00BC02B9"/>
    <w:rsid w:val="00BC1879"/>
    <w:rsid w:val="00BC1A8F"/>
    <w:rsid w:val="00BC3DB2"/>
    <w:rsid w:val="00BC498F"/>
    <w:rsid w:val="00BC5AEF"/>
    <w:rsid w:val="00BC68BE"/>
    <w:rsid w:val="00BC7E84"/>
    <w:rsid w:val="00BD299F"/>
    <w:rsid w:val="00BD4613"/>
    <w:rsid w:val="00BD4A3F"/>
    <w:rsid w:val="00BD6405"/>
    <w:rsid w:val="00BD7F7C"/>
    <w:rsid w:val="00BE2179"/>
    <w:rsid w:val="00BE484E"/>
    <w:rsid w:val="00BE5D4F"/>
    <w:rsid w:val="00BE64A7"/>
    <w:rsid w:val="00BE68E3"/>
    <w:rsid w:val="00BE787E"/>
    <w:rsid w:val="00BE78C8"/>
    <w:rsid w:val="00BF3392"/>
    <w:rsid w:val="00BF5499"/>
    <w:rsid w:val="00BF622D"/>
    <w:rsid w:val="00BF631F"/>
    <w:rsid w:val="00BF6343"/>
    <w:rsid w:val="00C00A1C"/>
    <w:rsid w:val="00C00D14"/>
    <w:rsid w:val="00C01CC5"/>
    <w:rsid w:val="00C02C54"/>
    <w:rsid w:val="00C03148"/>
    <w:rsid w:val="00C0318C"/>
    <w:rsid w:val="00C04694"/>
    <w:rsid w:val="00C04EA5"/>
    <w:rsid w:val="00C04F00"/>
    <w:rsid w:val="00C0619F"/>
    <w:rsid w:val="00C06683"/>
    <w:rsid w:val="00C071F4"/>
    <w:rsid w:val="00C0794B"/>
    <w:rsid w:val="00C07CB8"/>
    <w:rsid w:val="00C10836"/>
    <w:rsid w:val="00C11F7B"/>
    <w:rsid w:val="00C120DB"/>
    <w:rsid w:val="00C133AB"/>
    <w:rsid w:val="00C14E14"/>
    <w:rsid w:val="00C1599F"/>
    <w:rsid w:val="00C162AF"/>
    <w:rsid w:val="00C2360C"/>
    <w:rsid w:val="00C24313"/>
    <w:rsid w:val="00C25373"/>
    <w:rsid w:val="00C34C79"/>
    <w:rsid w:val="00C40518"/>
    <w:rsid w:val="00C41318"/>
    <w:rsid w:val="00C42231"/>
    <w:rsid w:val="00C42443"/>
    <w:rsid w:val="00C44780"/>
    <w:rsid w:val="00C4631C"/>
    <w:rsid w:val="00C50532"/>
    <w:rsid w:val="00C51CEF"/>
    <w:rsid w:val="00C5278F"/>
    <w:rsid w:val="00C54C7A"/>
    <w:rsid w:val="00C55532"/>
    <w:rsid w:val="00C5669C"/>
    <w:rsid w:val="00C619B8"/>
    <w:rsid w:val="00C62014"/>
    <w:rsid w:val="00C62128"/>
    <w:rsid w:val="00C62208"/>
    <w:rsid w:val="00C62FB9"/>
    <w:rsid w:val="00C65B45"/>
    <w:rsid w:val="00C67A6D"/>
    <w:rsid w:val="00C70091"/>
    <w:rsid w:val="00C71BFE"/>
    <w:rsid w:val="00C73907"/>
    <w:rsid w:val="00C76EC0"/>
    <w:rsid w:val="00C82C74"/>
    <w:rsid w:val="00C850AA"/>
    <w:rsid w:val="00C86A97"/>
    <w:rsid w:val="00C8756B"/>
    <w:rsid w:val="00C924C4"/>
    <w:rsid w:val="00C925A7"/>
    <w:rsid w:val="00C92CA3"/>
    <w:rsid w:val="00C93A0E"/>
    <w:rsid w:val="00C9486C"/>
    <w:rsid w:val="00C96A32"/>
    <w:rsid w:val="00C9712D"/>
    <w:rsid w:val="00C973BC"/>
    <w:rsid w:val="00CA01C6"/>
    <w:rsid w:val="00CA0B17"/>
    <w:rsid w:val="00CA22B0"/>
    <w:rsid w:val="00CA23DF"/>
    <w:rsid w:val="00CA24D3"/>
    <w:rsid w:val="00CA4BD4"/>
    <w:rsid w:val="00CA5639"/>
    <w:rsid w:val="00CA7321"/>
    <w:rsid w:val="00CA77DB"/>
    <w:rsid w:val="00CB1D28"/>
    <w:rsid w:val="00CB2B7C"/>
    <w:rsid w:val="00CB2CAB"/>
    <w:rsid w:val="00CB3214"/>
    <w:rsid w:val="00CB3FF1"/>
    <w:rsid w:val="00CB43FA"/>
    <w:rsid w:val="00CB62B5"/>
    <w:rsid w:val="00CB78AA"/>
    <w:rsid w:val="00CC0CAA"/>
    <w:rsid w:val="00CC1883"/>
    <w:rsid w:val="00CC1FF1"/>
    <w:rsid w:val="00CC32DD"/>
    <w:rsid w:val="00CC375D"/>
    <w:rsid w:val="00CC3ACF"/>
    <w:rsid w:val="00CC6BC8"/>
    <w:rsid w:val="00CD1BAA"/>
    <w:rsid w:val="00CD20B7"/>
    <w:rsid w:val="00CD5B5F"/>
    <w:rsid w:val="00CD729F"/>
    <w:rsid w:val="00CE276F"/>
    <w:rsid w:val="00CE3221"/>
    <w:rsid w:val="00CE4B4D"/>
    <w:rsid w:val="00CE5B15"/>
    <w:rsid w:val="00CE6FBE"/>
    <w:rsid w:val="00CF045B"/>
    <w:rsid w:val="00CF0A05"/>
    <w:rsid w:val="00CF154C"/>
    <w:rsid w:val="00CF3939"/>
    <w:rsid w:val="00CF456B"/>
    <w:rsid w:val="00CF5A7B"/>
    <w:rsid w:val="00D00EF6"/>
    <w:rsid w:val="00D00F94"/>
    <w:rsid w:val="00D01BAD"/>
    <w:rsid w:val="00D02E0E"/>
    <w:rsid w:val="00D03F38"/>
    <w:rsid w:val="00D04B9B"/>
    <w:rsid w:val="00D051E8"/>
    <w:rsid w:val="00D06017"/>
    <w:rsid w:val="00D1025E"/>
    <w:rsid w:val="00D110CD"/>
    <w:rsid w:val="00D13CC0"/>
    <w:rsid w:val="00D14BB0"/>
    <w:rsid w:val="00D16513"/>
    <w:rsid w:val="00D1674F"/>
    <w:rsid w:val="00D20AE1"/>
    <w:rsid w:val="00D2285A"/>
    <w:rsid w:val="00D22DB9"/>
    <w:rsid w:val="00D23878"/>
    <w:rsid w:val="00D25407"/>
    <w:rsid w:val="00D2543C"/>
    <w:rsid w:val="00D27750"/>
    <w:rsid w:val="00D31D95"/>
    <w:rsid w:val="00D31F85"/>
    <w:rsid w:val="00D3221D"/>
    <w:rsid w:val="00D33628"/>
    <w:rsid w:val="00D34169"/>
    <w:rsid w:val="00D34878"/>
    <w:rsid w:val="00D352D7"/>
    <w:rsid w:val="00D356DC"/>
    <w:rsid w:val="00D35C0C"/>
    <w:rsid w:val="00D35D22"/>
    <w:rsid w:val="00D361C1"/>
    <w:rsid w:val="00D373B4"/>
    <w:rsid w:val="00D37D70"/>
    <w:rsid w:val="00D408D8"/>
    <w:rsid w:val="00D42081"/>
    <w:rsid w:val="00D436E1"/>
    <w:rsid w:val="00D43AAD"/>
    <w:rsid w:val="00D46033"/>
    <w:rsid w:val="00D46839"/>
    <w:rsid w:val="00D47C63"/>
    <w:rsid w:val="00D50FCE"/>
    <w:rsid w:val="00D51394"/>
    <w:rsid w:val="00D52774"/>
    <w:rsid w:val="00D53B13"/>
    <w:rsid w:val="00D53BEF"/>
    <w:rsid w:val="00D54A12"/>
    <w:rsid w:val="00D565D9"/>
    <w:rsid w:val="00D61777"/>
    <w:rsid w:val="00D645F4"/>
    <w:rsid w:val="00D646BA"/>
    <w:rsid w:val="00D652AB"/>
    <w:rsid w:val="00D65E10"/>
    <w:rsid w:val="00D66584"/>
    <w:rsid w:val="00D70038"/>
    <w:rsid w:val="00D7077B"/>
    <w:rsid w:val="00D7343B"/>
    <w:rsid w:val="00D734AA"/>
    <w:rsid w:val="00D7463A"/>
    <w:rsid w:val="00D76D93"/>
    <w:rsid w:val="00D77427"/>
    <w:rsid w:val="00D80B08"/>
    <w:rsid w:val="00D85656"/>
    <w:rsid w:val="00D87F1A"/>
    <w:rsid w:val="00D90A9E"/>
    <w:rsid w:val="00D91202"/>
    <w:rsid w:val="00D92391"/>
    <w:rsid w:val="00D92DB1"/>
    <w:rsid w:val="00D94B5D"/>
    <w:rsid w:val="00D968E2"/>
    <w:rsid w:val="00DA04F8"/>
    <w:rsid w:val="00DA0A4E"/>
    <w:rsid w:val="00DA1494"/>
    <w:rsid w:val="00DA3F4D"/>
    <w:rsid w:val="00DA5CDE"/>
    <w:rsid w:val="00DB6C35"/>
    <w:rsid w:val="00DC11C6"/>
    <w:rsid w:val="00DC21E9"/>
    <w:rsid w:val="00DC26A9"/>
    <w:rsid w:val="00DC634F"/>
    <w:rsid w:val="00DD05E4"/>
    <w:rsid w:val="00DD072C"/>
    <w:rsid w:val="00DD0DCA"/>
    <w:rsid w:val="00DD1C5F"/>
    <w:rsid w:val="00DD2C4C"/>
    <w:rsid w:val="00DD39F6"/>
    <w:rsid w:val="00DD4908"/>
    <w:rsid w:val="00DD7397"/>
    <w:rsid w:val="00DE084D"/>
    <w:rsid w:val="00DE16C1"/>
    <w:rsid w:val="00DE1E4A"/>
    <w:rsid w:val="00DE2723"/>
    <w:rsid w:val="00DE438E"/>
    <w:rsid w:val="00DE460C"/>
    <w:rsid w:val="00DE5644"/>
    <w:rsid w:val="00DE6726"/>
    <w:rsid w:val="00DE7B82"/>
    <w:rsid w:val="00DF7CBB"/>
    <w:rsid w:val="00E001B5"/>
    <w:rsid w:val="00E01880"/>
    <w:rsid w:val="00E02CE2"/>
    <w:rsid w:val="00E03A17"/>
    <w:rsid w:val="00E03D1E"/>
    <w:rsid w:val="00E041A8"/>
    <w:rsid w:val="00E103D1"/>
    <w:rsid w:val="00E117F3"/>
    <w:rsid w:val="00E11BB7"/>
    <w:rsid w:val="00E12228"/>
    <w:rsid w:val="00E13C0F"/>
    <w:rsid w:val="00E13FEC"/>
    <w:rsid w:val="00E14273"/>
    <w:rsid w:val="00E14B59"/>
    <w:rsid w:val="00E14D7F"/>
    <w:rsid w:val="00E1567A"/>
    <w:rsid w:val="00E15B03"/>
    <w:rsid w:val="00E1609F"/>
    <w:rsid w:val="00E16124"/>
    <w:rsid w:val="00E17177"/>
    <w:rsid w:val="00E17584"/>
    <w:rsid w:val="00E247AA"/>
    <w:rsid w:val="00E25572"/>
    <w:rsid w:val="00E25ED0"/>
    <w:rsid w:val="00E26BD3"/>
    <w:rsid w:val="00E30B17"/>
    <w:rsid w:val="00E30C49"/>
    <w:rsid w:val="00E314C3"/>
    <w:rsid w:val="00E3174B"/>
    <w:rsid w:val="00E35CB1"/>
    <w:rsid w:val="00E403A4"/>
    <w:rsid w:val="00E42238"/>
    <w:rsid w:val="00E42639"/>
    <w:rsid w:val="00E440E8"/>
    <w:rsid w:val="00E501C1"/>
    <w:rsid w:val="00E51E3E"/>
    <w:rsid w:val="00E53D15"/>
    <w:rsid w:val="00E54CC3"/>
    <w:rsid w:val="00E56A87"/>
    <w:rsid w:val="00E63EBF"/>
    <w:rsid w:val="00E649EB"/>
    <w:rsid w:val="00E652AD"/>
    <w:rsid w:val="00E66379"/>
    <w:rsid w:val="00E67105"/>
    <w:rsid w:val="00E67887"/>
    <w:rsid w:val="00E67BAF"/>
    <w:rsid w:val="00E721E5"/>
    <w:rsid w:val="00E7307F"/>
    <w:rsid w:val="00E73F10"/>
    <w:rsid w:val="00E740CF"/>
    <w:rsid w:val="00E7741B"/>
    <w:rsid w:val="00E77895"/>
    <w:rsid w:val="00E83B63"/>
    <w:rsid w:val="00E84ACC"/>
    <w:rsid w:val="00E84EB3"/>
    <w:rsid w:val="00E85190"/>
    <w:rsid w:val="00E91425"/>
    <w:rsid w:val="00E92753"/>
    <w:rsid w:val="00E9494C"/>
    <w:rsid w:val="00E976C3"/>
    <w:rsid w:val="00EA0AC7"/>
    <w:rsid w:val="00EA1091"/>
    <w:rsid w:val="00EA11F8"/>
    <w:rsid w:val="00EA508D"/>
    <w:rsid w:val="00EA63B0"/>
    <w:rsid w:val="00EB42A9"/>
    <w:rsid w:val="00EB5B5A"/>
    <w:rsid w:val="00EC0DBF"/>
    <w:rsid w:val="00EC17ED"/>
    <w:rsid w:val="00EC38DE"/>
    <w:rsid w:val="00EC4616"/>
    <w:rsid w:val="00EC48B4"/>
    <w:rsid w:val="00EC4F47"/>
    <w:rsid w:val="00EC52BD"/>
    <w:rsid w:val="00EC63B0"/>
    <w:rsid w:val="00EC6A57"/>
    <w:rsid w:val="00EC7FED"/>
    <w:rsid w:val="00ED1C74"/>
    <w:rsid w:val="00ED2EB7"/>
    <w:rsid w:val="00ED2F3F"/>
    <w:rsid w:val="00ED7418"/>
    <w:rsid w:val="00EE12A7"/>
    <w:rsid w:val="00EE1669"/>
    <w:rsid w:val="00EE1C50"/>
    <w:rsid w:val="00EE341D"/>
    <w:rsid w:val="00EE35EA"/>
    <w:rsid w:val="00EE3937"/>
    <w:rsid w:val="00EE3FEC"/>
    <w:rsid w:val="00EE50EA"/>
    <w:rsid w:val="00EE55B0"/>
    <w:rsid w:val="00EE59E5"/>
    <w:rsid w:val="00EE7A82"/>
    <w:rsid w:val="00EF0897"/>
    <w:rsid w:val="00EF2425"/>
    <w:rsid w:val="00F0130D"/>
    <w:rsid w:val="00F03EFF"/>
    <w:rsid w:val="00F05FF2"/>
    <w:rsid w:val="00F10940"/>
    <w:rsid w:val="00F13241"/>
    <w:rsid w:val="00F135EF"/>
    <w:rsid w:val="00F14609"/>
    <w:rsid w:val="00F14E21"/>
    <w:rsid w:val="00F15D11"/>
    <w:rsid w:val="00F166F0"/>
    <w:rsid w:val="00F20410"/>
    <w:rsid w:val="00F21AB2"/>
    <w:rsid w:val="00F226E7"/>
    <w:rsid w:val="00F22DEA"/>
    <w:rsid w:val="00F24485"/>
    <w:rsid w:val="00F2526C"/>
    <w:rsid w:val="00F25FDA"/>
    <w:rsid w:val="00F279EC"/>
    <w:rsid w:val="00F303D6"/>
    <w:rsid w:val="00F33AA3"/>
    <w:rsid w:val="00F33E5C"/>
    <w:rsid w:val="00F35EF1"/>
    <w:rsid w:val="00F37260"/>
    <w:rsid w:val="00F406D0"/>
    <w:rsid w:val="00F41439"/>
    <w:rsid w:val="00F43163"/>
    <w:rsid w:val="00F4440C"/>
    <w:rsid w:val="00F462D5"/>
    <w:rsid w:val="00F46487"/>
    <w:rsid w:val="00F46B33"/>
    <w:rsid w:val="00F47017"/>
    <w:rsid w:val="00F479DA"/>
    <w:rsid w:val="00F505F1"/>
    <w:rsid w:val="00F509AA"/>
    <w:rsid w:val="00F537DC"/>
    <w:rsid w:val="00F53E1D"/>
    <w:rsid w:val="00F5505B"/>
    <w:rsid w:val="00F5750F"/>
    <w:rsid w:val="00F60DF6"/>
    <w:rsid w:val="00F611B5"/>
    <w:rsid w:val="00F61560"/>
    <w:rsid w:val="00F61E3B"/>
    <w:rsid w:val="00F62B3E"/>
    <w:rsid w:val="00F62F03"/>
    <w:rsid w:val="00F65089"/>
    <w:rsid w:val="00F67D31"/>
    <w:rsid w:val="00F72408"/>
    <w:rsid w:val="00F72663"/>
    <w:rsid w:val="00F73335"/>
    <w:rsid w:val="00F74C6A"/>
    <w:rsid w:val="00F7545A"/>
    <w:rsid w:val="00F7573D"/>
    <w:rsid w:val="00F76E56"/>
    <w:rsid w:val="00F76FFC"/>
    <w:rsid w:val="00F8220D"/>
    <w:rsid w:val="00F82408"/>
    <w:rsid w:val="00F82E5F"/>
    <w:rsid w:val="00F83324"/>
    <w:rsid w:val="00F83747"/>
    <w:rsid w:val="00F84644"/>
    <w:rsid w:val="00F8556A"/>
    <w:rsid w:val="00F865B8"/>
    <w:rsid w:val="00F91012"/>
    <w:rsid w:val="00F94345"/>
    <w:rsid w:val="00F9574C"/>
    <w:rsid w:val="00F95788"/>
    <w:rsid w:val="00F95937"/>
    <w:rsid w:val="00FA05C2"/>
    <w:rsid w:val="00FA0F14"/>
    <w:rsid w:val="00FA20B6"/>
    <w:rsid w:val="00FA3140"/>
    <w:rsid w:val="00FA38D7"/>
    <w:rsid w:val="00FA3AF4"/>
    <w:rsid w:val="00FA6120"/>
    <w:rsid w:val="00FA7685"/>
    <w:rsid w:val="00FB1372"/>
    <w:rsid w:val="00FB23A3"/>
    <w:rsid w:val="00FB62AA"/>
    <w:rsid w:val="00FC094C"/>
    <w:rsid w:val="00FC1903"/>
    <w:rsid w:val="00FC2F2D"/>
    <w:rsid w:val="00FC5A86"/>
    <w:rsid w:val="00FC5D6D"/>
    <w:rsid w:val="00FD05A5"/>
    <w:rsid w:val="00FD0AB3"/>
    <w:rsid w:val="00FD1E01"/>
    <w:rsid w:val="00FD41B6"/>
    <w:rsid w:val="00FD4800"/>
    <w:rsid w:val="00FD52AB"/>
    <w:rsid w:val="00FD65B9"/>
    <w:rsid w:val="00FD724B"/>
    <w:rsid w:val="00FD7AE4"/>
    <w:rsid w:val="00FE1715"/>
    <w:rsid w:val="00FE1BE0"/>
    <w:rsid w:val="00FE2C5D"/>
    <w:rsid w:val="00FE3791"/>
    <w:rsid w:val="00FE550B"/>
    <w:rsid w:val="00FE577E"/>
    <w:rsid w:val="00FE64D1"/>
    <w:rsid w:val="00FE6AAE"/>
    <w:rsid w:val="00FE7015"/>
    <w:rsid w:val="00FE79A7"/>
    <w:rsid w:val="00FF0258"/>
    <w:rsid w:val="00FF0447"/>
    <w:rsid w:val="00FF0506"/>
    <w:rsid w:val="00FF2218"/>
    <w:rsid w:val="00FF32A5"/>
    <w:rsid w:val="00FF366C"/>
    <w:rsid w:val="00FF36A5"/>
    <w:rsid w:val="00FF415A"/>
    <w:rsid w:val="00FF4923"/>
    <w:rsid w:val="00FF51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fill="f" fillcolor="white" stroke="f">
      <v:fill color="white" on="f"/>
      <v:stroke on="f"/>
    </o:shapedefaults>
    <o:shapelayout v:ext="edit">
      <o:idmap v:ext="edit" data="1"/>
    </o:shapelayout>
  </w:shapeDefaults>
  <w:decimalSymbol w:val="."/>
  <w:listSeparator w:val=","/>
  <w14:docId w14:val="08CE5FC6"/>
  <w15:chartTrackingRefBased/>
  <w15:docId w15:val="{13DAB6F7-5D8E-4C02-9EC3-230C6D08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5BA"/>
  </w:style>
  <w:style w:type="paragraph" w:styleId="Heading1">
    <w:name w:val="heading 1"/>
    <w:basedOn w:val="Normal"/>
    <w:next w:val="Normal"/>
    <w:link w:val="Heading1Char"/>
    <w:uiPriority w:val="1"/>
    <w:qFormat/>
    <w:rsid w:val="00A368CF"/>
    <w:pPr>
      <w:keepNext/>
      <w:keepLines/>
      <w:spacing w:before="240" w:after="0"/>
      <w:outlineLvl w:val="0"/>
    </w:pPr>
    <w:rPr>
      <w:rFonts w:eastAsiaTheme="majorEastAsia" w:cstheme="minorHAnsi"/>
      <w:color w:val="3A4952"/>
      <w:sz w:val="48"/>
      <w:szCs w:val="48"/>
    </w:rPr>
  </w:style>
  <w:style w:type="paragraph" w:styleId="Heading2">
    <w:name w:val="heading 2"/>
    <w:basedOn w:val="Normal"/>
    <w:next w:val="Normal"/>
    <w:link w:val="Heading2Char"/>
    <w:uiPriority w:val="1"/>
    <w:unhideWhenUsed/>
    <w:qFormat/>
    <w:rsid w:val="00726804"/>
    <w:pPr>
      <w:keepNext/>
      <w:keepLines/>
      <w:spacing w:before="40" w:after="0"/>
      <w:outlineLvl w:val="1"/>
    </w:pPr>
    <w:rPr>
      <w:rFonts w:eastAsiaTheme="majorEastAsia" w:cstheme="minorHAnsi"/>
      <w:color w:val="5B796D"/>
      <w:sz w:val="36"/>
      <w:szCs w:val="36"/>
    </w:rPr>
  </w:style>
  <w:style w:type="paragraph" w:styleId="Heading3">
    <w:name w:val="heading 3"/>
    <w:basedOn w:val="Normal"/>
    <w:next w:val="Normal"/>
    <w:link w:val="Heading3Char"/>
    <w:uiPriority w:val="1"/>
    <w:unhideWhenUsed/>
    <w:qFormat/>
    <w:rsid w:val="00726804"/>
    <w:pPr>
      <w:keepNext/>
      <w:keepLines/>
      <w:spacing w:before="40" w:after="0"/>
      <w:outlineLvl w:val="2"/>
    </w:pPr>
    <w:rPr>
      <w:rFonts w:asciiTheme="majorHAnsi" w:eastAsiaTheme="majorEastAsia" w:hAnsiTheme="majorHAnsi" w:cstheme="majorBidi"/>
      <w:b/>
      <w:color w:val="3A4952"/>
      <w:sz w:val="28"/>
      <w:szCs w:val="28"/>
    </w:rPr>
  </w:style>
  <w:style w:type="paragraph" w:styleId="Heading4">
    <w:name w:val="heading 4"/>
    <w:basedOn w:val="Normal"/>
    <w:next w:val="Normal"/>
    <w:link w:val="Heading4Char"/>
    <w:uiPriority w:val="1"/>
    <w:unhideWhenUsed/>
    <w:qFormat/>
    <w:rsid w:val="00E84ACC"/>
    <w:pPr>
      <w:keepNext/>
      <w:keepLines/>
      <w:spacing w:before="40" w:after="0"/>
      <w:outlineLvl w:val="3"/>
    </w:pPr>
    <w:rPr>
      <w:rFonts w:asciiTheme="majorHAnsi" w:eastAsiaTheme="majorEastAsia" w:hAnsiTheme="majorHAnsi" w:cstheme="majorBidi"/>
      <w:b/>
      <w:iCs/>
      <w:color w:val="3A4952" w:themeColor="accent1"/>
      <w:sz w:val="24"/>
      <w:szCs w:val="24"/>
    </w:rPr>
  </w:style>
  <w:style w:type="paragraph" w:styleId="Heading5">
    <w:name w:val="heading 5"/>
    <w:basedOn w:val="Normal"/>
    <w:next w:val="Normal"/>
    <w:link w:val="Heading5Char"/>
    <w:uiPriority w:val="9"/>
    <w:unhideWhenUsed/>
    <w:qFormat/>
    <w:rsid w:val="001A1DD0"/>
    <w:pPr>
      <w:spacing w:before="200" w:after="0" w:line="276" w:lineRule="auto"/>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1A1DD0"/>
    <w:pPr>
      <w:spacing w:before="200" w:after="0" w:line="276" w:lineRule="auto"/>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1A1DD0"/>
    <w:pPr>
      <w:spacing w:after="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A1DD0"/>
    <w:pPr>
      <w:spacing w:after="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A1DD0"/>
    <w:pPr>
      <w:spacing w:after="0" w:line="276" w:lineRule="auto"/>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8CF"/>
    <w:rPr>
      <w:rFonts w:eastAsiaTheme="majorEastAsia" w:cstheme="minorHAnsi"/>
      <w:color w:val="3A4952"/>
      <w:sz w:val="48"/>
      <w:szCs w:val="48"/>
    </w:rPr>
  </w:style>
  <w:style w:type="character" w:customStyle="1" w:styleId="Heading2Char">
    <w:name w:val="Heading 2 Char"/>
    <w:basedOn w:val="DefaultParagraphFont"/>
    <w:link w:val="Heading2"/>
    <w:uiPriority w:val="9"/>
    <w:rsid w:val="00726804"/>
    <w:rPr>
      <w:rFonts w:eastAsiaTheme="majorEastAsia" w:cstheme="minorHAnsi"/>
      <w:color w:val="5B796D"/>
      <w:sz w:val="36"/>
      <w:szCs w:val="36"/>
    </w:rPr>
  </w:style>
  <w:style w:type="character" w:customStyle="1" w:styleId="Heading3Char">
    <w:name w:val="Heading 3 Char"/>
    <w:basedOn w:val="DefaultParagraphFont"/>
    <w:link w:val="Heading3"/>
    <w:uiPriority w:val="9"/>
    <w:rsid w:val="00726804"/>
    <w:rPr>
      <w:rFonts w:asciiTheme="majorHAnsi" w:eastAsiaTheme="majorEastAsia" w:hAnsiTheme="majorHAnsi" w:cstheme="majorBidi"/>
      <w:b/>
      <w:color w:val="3A4952"/>
      <w:sz w:val="28"/>
      <w:szCs w:val="28"/>
    </w:rPr>
  </w:style>
  <w:style w:type="character" w:customStyle="1" w:styleId="Hyperlink1">
    <w:name w:val="Hyperlink1"/>
    <w:basedOn w:val="DefaultParagraphFont"/>
    <w:uiPriority w:val="99"/>
    <w:unhideWhenUsed/>
    <w:rsid w:val="00FF415A"/>
    <w:rPr>
      <w:color w:val="165788"/>
      <w:u w:val="single"/>
    </w:rPr>
  </w:style>
  <w:style w:type="paragraph" w:customStyle="1" w:styleId="FootnoteTextCharChar1">
    <w:name w:val="Footnote Text Char Char1"/>
    <w:basedOn w:val="Normal"/>
    <w:next w:val="FootnoteText"/>
    <w:link w:val="FootnoteTextChar"/>
    <w:uiPriority w:val="99"/>
    <w:unhideWhenUsed/>
    <w:rsid w:val="00FF415A"/>
    <w:pPr>
      <w:spacing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 Char Char1 Char,Footnote Text Char Char1 Char Char,Footnote Text Char1 Char Char,Footnote Text Char Char Char1"/>
    <w:basedOn w:val="DefaultParagraphFont"/>
    <w:link w:val="FootnoteTextCharChar1"/>
    <w:uiPriority w:val="99"/>
    <w:rsid w:val="00FF415A"/>
    <w:rPr>
      <w:sz w:val="20"/>
      <w:szCs w:val="20"/>
    </w:rPr>
  </w:style>
  <w:style w:type="character" w:styleId="FootnoteReference">
    <w:name w:val="footnote reference"/>
    <w:aliases w:val="(NECG) Footnote Reference,AFPC Footnote Reference"/>
    <w:basedOn w:val="DefaultParagraphFont"/>
    <w:uiPriority w:val="99"/>
    <w:unhideWhenUsed/>
    <w:rsid w:val="00FF415A"/>
    <w:rPr>
      <w:vertAlign w:val="superscript"/>
    </w:rPr>
  </w:style>
  <w:style w:type="table" w:customStyle="1" w:styleId="ListTable4-Accent21">
    <w:name w:val="List Table 4 - Accent 21"/>
    <w:basedOn w:val="TableNormal"/>
    <w:next w:val="ListTable4-Accent2"/>
    <w:uiPriority w:val="49"/>
    <w:rsid w:val="00FF415A"/>
    <w:pPr>
      <w:spacing w:after="0" w:line="240" w:lineRule="auto"/>
    </w:pPr>
    <w:rPr>
      <w:rFonts w:eastAsia="Times New Roman"/>
    </w:rPr>
    <w:tblPr>
      <w:tblStyleRowBandSize w:val="1"/>
      <w:tblStyleColBandSize w:val="1"/>
      <w:tblBorders>
        <w:top w:val="single" w:sz="4" w:space="0" w:color="9D73BE"/>
        <w:left w:val="single" w:sz="4" w:space="0" w:color="9D73BE"/>
        <w:bottom w:val="single" w:sz="4" w:space="0" w:color="9D73BE"/>
        <w:right w:val="single" w:sz="4" w:space="0" w:color="9D73BE"/>
        <w:insideH w:val="single" w:sz="4" w:space="0" w:color="9D73BE"/>
      </w:tblBorders>
    </w:tblPr>
    <w:tblStylePr w:type="firstRow">
      <w:rPr>
        <w:b/>
        <w:bCs/>
        <w:color w:val="7F7F7F"/>
      </w:rPr>
      <w:tblPr/>
      <w:tcPr>
        <w:tcBorders>
          <w:top w:val="single" w:sz="4" w:space="0" w:color="593674"/>
          <w:left w:val="single" w:sz="4" w:space="0" w:color="593674"/>
          <w:bottom w:val="single" w:sz="4" w:space="0" w:color="593674"/>
          <w:right w:val="single" w:sz="4" w:space="0" w:color="593674"/>
          <w:insideH w:val="nil"/>
        </w:tcBorders>
        <w:shd w:val="clear" w:color="auto" w:fill="593674"/>
      </w:tcPr>
    </w:tblStylePr>
    <w:tblStylePr w:type="lastRow">
      <w:rPr>
        <w:b/>
        <w:bCs/>
      </w:rPr>
      <w:tblPr/>
      <w:tcPr>
        <w:tcBorders>
          <w:top w:val="double" w:sz="4" w:space="0" w:color="9D73BE"/>
        </w:tcBorders>
      </w:tcPr>
    </w:tblStylePr>
    <w:tblStylePr w:type="firstCol">
      <w:rPr>
        <w:b/>
        <w:bCs/>
      </w:rPr>
    </w:tblStylePr>
    <w:tblStylePr w:type="lastCol">
      <w:rPr>
        <w:b/>
        <w:bCs/>
      </w:rPr>
    </w:tblStylePr>
    <w:tblStylePr w:type="band1Vert">
      <w:tblPr/>
      <w:tcPr>
        <w:shd w:val="clear" w:color="auto" w:fill="DED0E9"/>
      </w:tcPr>
    </w:tblStylePr>
    <w:tblStylePr w:type="band1Horz">
      <w:tblPr/>
      <w:tcPr>
        <w:shd w:val="clear" w:color="auto" w:fill="DED0E9"/>
      </w:tcPr>
    </w:tblStylePr>
  </w:style>
  <w:style w:type="character" w:styleId="Hyperlink">
    <w:name w:val="Hyperlink"/>
    <w:basedOn w:val="DefaultParagraphFont"/>
    <w:uiPriority w:val="99"/>
    <w:unhideWhenUsed/>
    <w:rsid w:val="00FF415A"/>
    <w:rPr>
      <w:color w:val="F6A060" w:themeColor="hyperlink"/>
      <w:u w:val="single"/>
    </w:rPr>
  </w:style>
  <w:style w:type="paragraph" w:styleId="FootnoteText">
    <w:name w:val="footnote text"/>
    <w:aliases w:val="Footnote Text Char Char Char,Footnote Text Char Char Char Char,Footnote Text Char Char Char Char Char1,Footnote Text Char Char1 Char,Footnote Text Char1 Char,Footnote Text Char Char"/>
    <w:basedOn w:val="Normal"/>
    <w:link w:val="FootnoteTextChar1"/>
    <w:uiPriority w:val="99"/>
    <w:unhideWhenUsed/>
    <w:rsid w:val="00FF415A"/>
    <w:pPr>
      <w:spacing w:after="0" w:line="240" w:lineRule="auto"/>
    </w:pPr>
    <w:rPr>
      <w:sz w:val="20"/>
      <w:szCs w:val="20"/>
    </w:rPr>
  </w:style>
  <w:style w:type="character" w:customStyle="1" w:styleId="FootnoteTextChar1">
    <w:name w:val="Footnote Text Char1"/>
    <w:aliases w:val="Footnote Text Char Char Char Char2,Footnote Text Char Char Char Char Char2,Footnote Text Char Char Char Char Char1 Char1,Footnote Text Char Char1 Char Char1,Footnote Text Char1 Char Char1,Footnote Text Char Char Char2"/>
    <w:basedOn w:val="DefaultParagraphFont"/>
    <w:link w:val="FootnoteText"/>
    <w:uiPriority w:val="99"/>
    <w:rsid w:val="00FF415A"/>
    <w:rPr>
      <w:sz w:val="20"/>
      <w:szCs w:val="20"/>
    </w:rPr>
  </w:style>
  <w:style w:type="table" w:styleId="ListTable4-Accent2">
    <w:name w:val="List Table 4 Accent 2"/>
    <w:basedOn w:val="TableNormal"/>
    <w:uiPriority w:val="49"/>
    <w:rsid w:val="00FF415A"/>
    <w:pPr>
      <w:spacing w:after="0" w:line="240" w:lineRule="auto"/>
    </w:pPr>
    <w:tblPr>
      <w:tblStyleRowBandSize w:val="1"/>
      <w:tblStyleColBandSize w:val="1"/>
      <w:tblBorders>
        <w:top w:val="single" w:sz="4" w:space="0" w:color="F8F8FA" w:themeColor="accent2" w:themeTint="99"/>
        <w:left w:val="single" w:sz="4" w:space="0" w:color="F8F8FA" w:themeColor="accent2" w:themeTint="99"/>
        <w:bottom w:val="single" w:sz="4" w:space="0" w:color="F8F8FA" w:themeColor="accent2" w:themeTint="99"/>
        <w:right w:val="single" w:sz="4" w:space="0" w:color="F8F8FA" w:themeColor="accent2" w:themeTint="99"/>
        <w:insideH w:val="single" w:sz="4" w:space="0" w:color="F8F8FA" w:themeColor="accent2" w:themeTint="99"/>
      </w:tblBorders>
    </w:tblPr>
    <w:tblStylePr w:type="firstRow">
      <w:rPr>
        <w:b/>
        <w:bCs/>
        <w:color w:val="FFFFFF" w:themeColor="background1"/>
      </w:rPr>
      <w:tblPr/>
      <w:tcPr>
        <w:tcBorders>
          <w:top w:val="single" w:sz="4" w:space="0" w:color="F4F5F7" w:themeColor="accent2"/>
          <w:left w:val="single" w:sz="4" w:space="0" w:color="F4F5F7" w:themeColor="accent2"/>
          <w:bottom w:val="single" w:sz="4" w:space="0" w:color="F4F5F7" w:themeColor="accent2"/>
          <w:right w:val="single" w:sz="4" w:space="0" w:color="F4F5F7" w:themeColor="accent2"/>
          <w:insideH w:val="nil"/>
        </w:tcBorders>
        <w:shd w:val="clear" w:color="auto" w:fill="F4F5F7" w:themeFill="accent2"/>
      </w:tcPr>
    </w:tblStylePr>
    <w:tblStylePr w:type="lastRow">
      <w:rPr>
        <w:b/>
        <w:bCs/>
      </w:rPr>
      <w:tblPr/>
      <w:tcPr>
        <w:tcBorders>
          <w:top w:val="double" w:sz="4" w:space="0" w:color="F8F8FA" w:themeColor="accent2" w:themeTint="99"/>
        </w:tcBorders>
      </w:tcPr>
    </w:tblStylePr>
    <w:tblStylePr w:type="firstCol">
      <w:rPr>
        <w:b/>
        <w:bCs/>
      </w:rPr>
    </w:tblStylePr>
    <w:tblStylePr w:type="lastCol">
      <w:rPr>
        <w:b/>
        <w:bCs/>
      </w:rPr>
    </w:tblStylePr>
    <w:tblStylePr w:type="band1Vert">
      <w:tblPr/>
      <w:tcPr>
        <w:shd w:val="clear" w:color="auto" w:fill="FCFCFD" w:themeFill="accent2" w:themeFillTint="33"/>
      </w:tcPr>
    </w:tblStylePr>
    <w:tblStylePr w:type="band1Horz">
      <w:tblPr/>
      <w:tcPr>
        <w:shd w:val="clear" w:color="auto" w:fill="FCFCFD" w:themeFill="accent2" w:themeFillTint="33"/>
      </w:tcPr>
    </w:tblStylePr>
  </w:style>
  <w:style w:type="paragraph" w:styleId="CommentText">
    <w:name w:val="annotation text"/>
    <w:basedOn w:val="Normal"/>
    <w:link w:val="CommentTextChar"/>
    <w:uiPriority w:val="99"/>
    <w:unhideWhenUsed/>
    <w:rsid w:val="00FF4923"/>
    <w:pPr>
      <w:spacing w:after="200" w:line="240" w:lineRule="auto"/>
    </w:pPr>
    <w:rPr>
      <w:sz w:val="20"/>
      <w:szCs w:val="20"/>
    </w:rPr>
  </w:style>
  <w:style w:type="character" w:customStyle="1" w:styleId="CommentTextChar">
    <w:name w:val="Comment Text Char"/>
    <w:basedOn w:val="DefaultParagraphFont"/>
    <w:link w:val="CommentText"/>
    <w:uiPriority w:val="99"/>
    <w:rsid w:val="00FF4923"/>
    <w:rPr>
      <w:sz w:val="20"/>
      <w:szCs w:val="20"/>
    </w:rPr>
  </w:style>
  <w:style w:type="paragraph" w:styleId="ListParagraph">
    <w:name w:val="List Paragraph"/>
    <w:aliases w:val="Bullet point,DDM Gen Text,L,List Paragraph - bullets,List Paragraph1,List Paragraph11,NFP GP Bulleted List,Recommendation,bullet point list,List Paragraph Number,List Paragraph2,Indented bullet,0Bullet,F5 List Paragraph,Dot pt,CV text"/>
    <w:basedOn w:val="Normal"/>
    <w:link w:val="ListParagraphChar"/>
    <w:uiPriority w:val="1"/>
    <w:qFormat/>
    <w:rsid w:val="005F3095"/>
    <w:pPr>
      <w:ind w:left="720"/>
      <w:contextualSpacing/>
    </w:pPr>
  </w:style>
  <w:style w:type="character" w:styleId="CommentReference">
    <w:name w:val="annotation reference"/>
    <w:basedOn w:val="DefaultParagraphFont"/>
    <w:uiPriority w:val="99"/>
    <w:semiHidden/>
    <w:unhideWhenUsed/>
    <w:rsid w:val="00900097"/>
    <w:rPr>
      <w:sz w:val="16"/>
      <w:szCs w:val="16"/>
    </w:rPr>
  </w:style>
  <w:style w:type="paragraph" w:styleId="CommentSubject">
    <w:name w:val="annotation subject"/>
    <w:basedOn w:val="CommentText"/>
    <w:next w:val="CommentText"/>
    <w:link w:val="CommentSubjectChar"/>
    <w:uiPriority w:val="99"/>
    <w:semiHidden/>
    <w:unhideWhenUsed/>
    <w:rsid w:val="00900097"/>
    <w:pPr>
      <w:spacing w:after="160"/>
    </w:pPr>
    <w:rPr>
      <w:b/>
      <w:bCs/>
    </w:rPr>
  </w:style>
  <w:style w:type="character" w:customStyle="1" w:styleId="CommentSubjectChar">
    <w:name w:val="Comment Subject Char"/>
    <w:basedOn w:val="CommentTextChar"/>
    <w:link w:val="CommentSubject"/>
    <w:uiPriority w:val="99"/>
    <w:semiHidden/>
    <w:rsid w:val="00900097"/>
    <w:rPr>
      <w:b/>
      <w:bCs/>
      <w:sz w:val="20"/>
      <w:szCs w:val="20"/>
    </w:rPr>
  </w:style>
  <w:style w:type="paragraph" w:styleId="BalloonText">
    <w:name w:val="Balloon Text"/>
    <w:basedOn w:val="Normal"/>
    <w:link w:val="BalloonTextChar"/>
    <w:uiPriority w:val="99"/>
    <w:semiHidden/>
    <w:unhideWhenUsed/>
    <w:rsid w:val="009000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097"/>
    <w:rPr>
      <w:rFonts w:ascii="Segoe UI" w:hAnsi="Segoe UI" w:cs="Segoe UI"/>
      <w:sz w:val="18"/>
      <w:szCs w:val="18"/>
    </w:rPr>
  </w:style>
  <w:style w:type="paragraph" w:styleId="EndnoteText">
    <w:name w:val="endnote text"/>
    <w:basedOn w:val="Normal"/>
    <w:link w:val="EndnoteTextChar"/>
    <w:uiPriority w:val="99"/>
    <w:semiHidden/>
    <w:unhideWhenUsed/>
    <w:rsid w:val="005157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157F1"/>
    <w:rPr>
      <w:sz w:val="20"/>
      <w:szCs w:val="20"/>
    </w:rPr>
  </w:style>
  <w:style w:type="character" w:styleId="EndnoteReference">
    <w:name w:val="endnote reference"/>
    <w:basedOn w:val="DefaultParagraphFont"/>
    <w:uiPriority w:val="99"/>
    <w:semiHidden/>
    <w:unhideWhenUsed/>
    <w:rsid w:val="005157F1"/>
    <w:rPr>
      <w:vertAlign w:val="superscript"/>
    </w:rPr>
  </w:style>
  <w:style w:type="table" w:customStyle="1" w:styleId="GridTable4-Accent21">
    <w:name w:val="Grid Table 4 - Accent 21"/>
    <w:basedOn w:val="TableNormal"/>
    <w:next w:val="GridTable4-Accent2"/>
    <w:uiPriority w:val="49"/>
    <w:rsid w:val="00664043"/>
    <w:pPr>
      <w:spacing w:after="0" w:line="240" w:lineRule="auto"/>
    </w:pPr>
    <w:rPr>
      <w:rFonts w:eastAsia="Times New Roman"/>
    </w:rPr>
    <w:tblPr>
      <w:tblStyleRowBandSize w:val="1"/>
      <w:tblStyleColBandSize w:val="1"/>
      <w:tblBorders>
        <w:top w:val="single" w:sz="4" w:space="0" w:color="9D73BE"/>
        <w:left w:val="single" w:sz="4" w:space="0" w:color="9D73BE"/>
        <w:bottom w:val="single" w:sz="4" w:space="0" w:color="9D73BE"/>
        <w:right w:val="single" w:sz="4" w:space="0" w:color="9D73BE"/>
        <w:insideH w:val="single" w:sz="4" w:space="0" w:color="9D73BE"/>
        <w:insideV w:val="single" w:sz="4" w:space="0" w:color="9D73BE"/>
      </w:tblBorders>
    </w:tblPr>
    <w:tblStylePr w:type="firstRow">
      <w:rPr>
        <w:b/>
        <w:bCs/>
        <w:color w:val="7F7F7F"/>
      </w:rPr>
      <w:tblPr/>
      <w:tcPr>
        <w:tcBorders>
          <w:top w:val="single" w:sz="4" w:space="0" w:color="593674"/>
          <w:left w:val="single" w:sz="4" w:space="0" w:color="593674"/>
          <w:bottom w:val="single" w:sz="4" w:space="0" w:color="593674"/>
          <w:right w:val="single" w:sz="4" w:space="0" w:color="593674"/>
          <w:insideH w:val="nil"/>
          <w:insideV w:val="nil"/>
        </w:tcBorders>
        <w:shd w:val="clear" w:color="auto" w:fill="593674"/>
      </w:tcPr>
    </w:tblStylePr>
    <w:tblStylePr w:type="lastRow">
      <w:rPr>
        <w:b/>
        <w:bCs/>
      </w:rPr>
      <w:tblPr/>
      <w:tcPr>
        <w:tcBorders>
          <w:top w:val="double" w:sz="4" w:space="0" w:color="593674"/>
        </w:tcBorders>
      </w:tcPr>
    </w:tblStylePr>
    <w:tblStylePr w:type="firstCol">
      <w:rPr>
        <w:b/>
        <w:bCs/>
      </w:rPr>
    </w:tblStylePr>
    <w:tblStylePr w:type="lastCol">
      <w:rPr>
        <w:b/>
        <w:bCs/>
      </w:rPr>
    </w:tblStylePr>
    <w:tblStylePr w:type="band1Vert">
      <w:tblPr/>
      <w:tcPr>
        <w:shd w:val="clear" w:color="auto" w:fill="DED0E9"/>
      </w:tcPr>
    </w:tblStylePr>
    <w:tblStylePr w:type="band1Horz">
      <w:tblPr/>
      <w:tcPr>
        <w:shd w:val="clear" w:color="auto" w:fill="DED0E9"/>
      </w:tcPr>
    </w:tblStylePr>
  </w:style>
  <w:style w:type="table" w:styleId="GridTable4-Accent2">
    <w:name w:val="Grid Table 4 Accent 2"/>
    <w:basedOn w:val="TableNormal"/>
    <w:uiPriority w:val="49"/>
    <w:rsid w:val="00664043"/>
    <w:pPr>
      <w:spacing w:after="0" w:line="240" w:lineRule="auto"/>
    </w:pPr>
    <w:tblPr>
      <w:tblStyleRowBandSize w:val="1"/>
      <w:tblStyleColBandSize w:val="1"/>
      <w:tblBorders>
        <w:top w:val="single" w:sz="4" w:space="0" w:color="F8F8FA" w:themeColor="accent2" w:themeTint="99"/>
        <w:left w:val="single" w:sz="4" w:space="0" w:color="F8F8FA" w:themeColor="accent2" w:themeTint="99"/>
        <w:bottom w:val="single" w:sz="4" w:space="0" w:color="F8F8FA" w:themeColor="accent2" w:themeTint="99"/>
        <w:right w:val="single" w:sz="4" w:space="0" w:color="F8F8FA" w:themeColor="accent2" w:themeTint="99"/>
        <w:insideH w:val="single" w:sz="4" w:space="0" w:color="F8F8FA" w:themeColor="accent2" w:themeTint="99"/>
        <w:insideV w:val="single" w:sz="4" w:space="0" w:color="F8F8FA" w:themeColor="accent2" w:themeTint="99"/>
      </w:tblBorders>
    </w:tblPr>
    <w:tblStylePr w:type="firstRow">
      <w:rPr>
        <w:b/>
        <w:bCs/>
        <w:color w:val="FFFFFF" w:themeColor="background1"/>
      </w:rPr>
      <w:tblPr/>
      <w:tcPr>
        <w:tcBorders>
          <w:top w:val="single" w:sz="4" w:space="0" w:color="F4F5F7" w:themeColor="accent2"/>
          <w:left w:val="single" w:sz="4" w:space="0" w:color="F4F5F7" w:themeColor="accent2"/>
          <w:bottom w:val="single" w:sz="4" w:space="0" w:color="F4F5F7" w:themeColor="accent2"/>
          <w:right w:val="single" w:sz="4" w:space="0" w:color="F4F5F7" w:themeColor="accent2"/>
          <w:insideH w:val="nil"/>
          <w:insideV w:val="nil"/>
        </w:tcBorders>
        <w:shd w:val="clear" w:color="auto" w:fill="F4F5F7" w:themeFill="accent2"/>
      </w:tcPr>
    </w:tblStylePr>
    <w:tblStylePr w:type="lastRow">
      <w:rPr>
        <w:b/>
        <w:bCs/>
      </w:rPr>
      <w:tblPr/>
      <w:tcPr>
        <w:tcBorders>
          <w:top w:val="double" w:sz="4" w:space="0" w:color="F4F5F7" w:themeColor="accent2"/>
        </w:tcBorders>
      </w:tcPr>
    </w:tblStylePr>
    <w:tblStylePr w:type="firstCol">
      <w:rPr>
        <w:b/>
        <w:bCs/>
      </w:rPr>
    </w:tblStylePr>
    <w:tblStylePr w:type="lastCol">
      <w:rPr>
        <w:b/>
        <w:bCs/>
      </w:rPr>
    </w:tblStylePr>
    <w:tblStylePr w:type="band1Vert">
      <w:tblPr/>
      <w:tcPr>
        <w:shd w:val="clear" w:color="auto" w:fill="FCFCFD" w:themeFill="accent2" w:themeFillTint="33"/>
      </w:tcPr>
    </w:tblStylePr>
    <w:tblStylePr w:type="band1Horz">
      <w:tblPr/>
      <w:tcPr>
        <w:shd w:val="clear" w:color="auto" w:fill="FCFCFD" w:themeFill="accent2" w:themeFillTint="33"/>
      </w:tcPr>
    </w:tblStylePr>
  </w:style>
  <w:style w:type="paragraph" w:customStyle="1" w:styleId="Default">
    <w:name w:val="Default"/>
    <w:rsid w:val="00BE64A7"/>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unhideWhenUsed/>
    <w:rsid w:val="00364C6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64C69"/>
    <w:rPr>
      <w:rFonts w:ascii="Calibri" w:hAnsi="Calibri"/>
      <w:szCs w:val="21"/>
    </w:rPr>
  </w:style>
  <w:style w:type="character" w:customStyle="1" w:styleId="ListParagraphChar">
    <w:name w:val="List Paragraph Char"/>
    <w:aliases w:val="Bullet point Char,DDM Gen Text Char,L Char,List Paragraph - bullets Char,List Paragraph1 Char,List Paragraph11 Char,NFP GP Bulleted List Char,Recommendation Char,bullet point list Char,List Paragraph Number Char,List Paragraph2 Char"/>
    <w:link w:val="ListParagraph"/>
    <w:uiPriority w:val="34"/>
    <w:qFormat/>
    <w:locked/>
    <w:rsid w:val="000A5A5F"/>
  </w:style>
  <w:style w:type="paragraph" w:styleId="Title">
    <w:name w:val="Title"/>
    <w:basedOn w:val="Normal"/>
    <w:next w:val="Normal"/>
    <w:link w:val="TitleChar"/>
    <w:uiPriority w:val="10"/>
    <w:qFormat/>
    <w:rsid w:val="001A1903"/>
    <w:pPr>
      <w:spacing w:before="4560" w:after="0" w:line="800" w:lineRule="exact"/>
      <w:ind w:left="737"/>
      <w:contextualSpacing/>
    </w:pPr>
    <w:rPr>
      <w:rFonts w:ascii="Calibri" w:eastAsiaTheme="majorEastAsia" w:hAnsi="Calibri" w:cstheme="majorBidi"/>
      <w:b/>
      <w:color w:val="F6A060"/>
      <w:w w:val="95"/>
      <w:kern w:val="28"/>
      <w:sz w:val="84"/>
      <w:szCs w:val="56"/>
    </w:rPr>
  </w:style>
  <w:style w:type="character" w:customStyle="1" w:styleId="TitleChar">
    <w:name w:val="Title Char"/>
    <w:basedOn w:val="DefaultParagraphFont"/>
    <w:link w:val="Title"/>
    <w:uiPriority w:val="10"/>
    <w:rsid w:val="001A1903"/>
    <w:rPr>
      <w:rFonts w:ascii="Calibri" w:eastAsiaTheme="majorEastAsia" w:hAnsi="Calibri" w:cstheme="majorBidi"/>
      <w:b/>
      <w:color w:val="F6A060"/>
      <w:w w:val="95"/>
      <w:kern w:val="28"/>
      <w:sz w:val="84"/>
      <w:szCs w:val="56"/>
    </w:rPr>
  </w:style>
  <w:style w:type="paragraph" w:styleId="TOC1">
    <w:name w:val="toc 1"/>
    <w:basedOn w:val="Normal"/>
    <w:next w:val="Normal"/>
    <w:autoRedefine/>
    <w:uiPriority w:val="39"/>
    <w:unhideWhenUsed/>
    <w:qFormat/>
    <w:rsid w:val="00D16513"/>
    <w:pPr>
      <w:tabs>
        <w:tab w:val="right" w:pos="8364"/>
      </w:tabs>
      <w:spacing w:before="120" w:after="120"/>
    </w:pPr>
    <w:rPr>
      <w:rFonts w:cstheme="minorHAnsi"/>
      <w:b/>
      <w:bCs/>
      <w:caps/>
      <w:sz w:val="20"/>
      <w:szCs w:val="20"/>
    </w:rPr>
  </w:style>
  <w:style w:type="paragraph" w:styleId="TOC2">
    <w:name w:val="toc 2"/>
    <w:basedOn w:val="Normal"/>
    <w:next w:val="Normal"/>
    <w:autoRedefine/>
    <w:uiPriority w:val="39"/>
    <w:unhideWhenUsed/>
    <w:qFormat/>
    <w:rsid w:val="008136A6"/>
    <w:pPr>
      <w:spacing w:after="0"/>
      <w:ind w:left="220"/>
    </w:pPr>
    <w:rPr>
      <w:rFonts w:cstheme="minorHAnsi"/>
      <w:smallCaps/>
      <w:sz w:val="20"/>
      <w:szCs w:val="20"/>
    </w:rPr>
  </w:style>
  <w:style w:type="table" w:styleId="PlainTable1">
    <w:name w:val="Plain Table 1"/>
    <w:basedOn w:val="TableNormal"/>
    <w:uiPriority w:val="41"/>
    <w:rsid w:val="008136A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240A9E"/>
    <w:pPr>
      <w:spacing w:after="0" w:line="240" w:lineRule="auto"/>
    </w:pPr>
  </w:style>
  <w:style w:type="paragraph" w:styleId="Header">
    <w:name w:val="header"/>
    <w:basedOn w:val="Normal"/>
    <w:link w:val="HeaderChar"/>
    <w:uiPriority w:val="99"/>
    <w:unhideWhenUsed/>
    <w:rsid w:val="00884A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A6C"/>
  </w:style>
  <w:style w:type="paragraph" w:styleId="Footer">
    <w:name w:val="footer"/>
    <w:basedOn w:val="Normal"/>
    <w:link w:val="FooterChar"/>
    <w:uiPriority w:val="99"/>
    <w:unhideWhenUsed/>
    <w:rsid w:val="00884A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A6C"/>
  </w:style>
  <w:style w:type="paragraph" w:customStyle="1" w:styleId="BasicParagraph">
    <w:name w:val="[Basic Paragraph]"/>
    <w:basedOn w:val="Normal"/>
    <w:uiPriority w:val="99"/>
    <w:rsid w:val="00CB3214"/>
    <w:pPr>
      <w:autoSpaceDE w:val="0"/>
      <w:autoSpaceDN w:val="0"/>
      <w:adjustRightInd w:val="0"/>
      <w:spacing w:after="0" w:line="288" w:lineRule="auto"/>
    </w:pPr>
    <w:rPr>
      <w:rFonts w:ascii="Minion Pro" w:hAnsi="Minion Pro" w:cs="Minion Pro"/>
      <w:color w:val="000000"/>
      <w:sz w:val="24"/>
      <w:szCs w:val="24"/>
      <w:lang w:val="en-GB"/>
    </w:rPr>
  </w:style>
  <w:style w:type="table" w:styleId="GridTable4-Accent3">
    <w:name w:val="Grid Table 4 Accent 3"/>
    <w:basedOn w:val="TableNormal"/>
    <w:uiPriority w:val="49"/>
    <w:rsid w:val="00CB3214"/>
    <w:pPr>
      <w:spacing w:after="0" w:line="240" w:lineRule="auto"/>
    </w:pPr>
    <w:tblPr>
      <w:tblStyleRowBandSize w:val="1"/>
      <w:tblStyleColBandSize w:val="1"/>
      <w:tblBorders>
        <w:top w:val="single" w:sz="4" w:space="0" w:color="EBEDF0" w:themeColor="accent3" w:themeTint="99"/>
        <w:left w:val="single" w:sz="4" w:space="0" w:color="EBEDF0" w:themeColor="accent3" w:themeTint="99"/>
        <w:bottom w:val="single" w:sz="4" w:space="0" w:color="EBEDF0" w:themeColor="accent3" w:themeTint="99"/>
        <w:right w:val="single" w:sz="4" w:space="0" w:color="EBEDF0" w:themeColor="accent3" w:themeTint="99"/>
        <w:insideH w:val="single" w:sz="4" w:space="0" w:color="EBEDF0" w:themeColor="accent3" w:themeTint="99"/>
        <w:insideV w:val="single" w:sz="4" w:space="0" w:color="EBEDF0" w:themeColor="accent3" w:themeTint="99"/>
      </w:tblBorders>
    </w:tblPr>
    <w:tblStylePr w:type="firstRow">
      <w:rPr>
        <w:b/>
        <w:bCs/>
        <w:color w:val="FFFFFF" w:themeColor="background1"/>
      </w:rPr>
      <w:tblPr/>
      <w:tcPr>
        <w:tcBorders>
          <w:top w:val="single" w:sz="4" w:space="0" w:color="DEE2E6" w:themeColor="accent3"/>
          <w:left w:val="single" w:sz="4" w:space="0" w:color="DEE2E6" w:themeColor="accent3"/>
          <w:bottom w:val="single" w:sz="4" w:space="0" w:color="DEE2E6" w:themeColor="accent3"/>
          <w:right w:val="single" w:sz="4" w:space="0" w:color="DEE2E6" w:themeColor="accent3"/>
          <w:insideH w:val="nil"/>
          <w:insideV w:val="nil"/>
        </w:tcBorders>
        <w:shd w:val="clear" w:color="auto" w:fill="DEE2E6" w:themeFill="accent3"/>
      </w:tcPr>
    </w:tblStylePr>
    <w:tblStylePr w:type="lastRow">
      <w:rPr>
        <w:b/>
        <w:bCs/>
      </w:rPr>
      <w:tblPr/>
      <w:tcPr>
        <w:tcBorders>
          <w:top w:val="double" w:sz="4" w:space="0" w:color="DEE2E6" w:themeColor="accent3"/>
        </w:tcBorders>
      </w:tcPr>
    </w:tblStylePr>
    <w:tblStylePr w:type="firstCol">
      <w:rPr>
        <w:b/>
        <w:bCs/>
      </w:rPr>
    </w:tblStylePr>
    <w:tblStylePr w:type="lastCol">
      <w:rPr>
        <w:b/>
        <w:bCs/>
      </w:rPr>
    </w:tblStylePr>
    <w:tblStylePr w:type="band1Vert">
      <w:tblPr/>
      <w:tcPr>
        <w:shd w:val="clear" w:color="auto" w:fill="F8F9FA" w:themeFill="accent3" w:themeFillTint="33"/>
      </w:tcPr>
    </w:tblStylePr>
    <w:tblStylePr w:type="band1Horz">
      <w:tblPr/>
      <w:tcPr>
        <w:shd w:val="clear" w:color="auto" w:fill="F8F9FA" w:themeFill="accent3" w:themeFillTint="33"/>
      </w:tcPr>
    </w:tblStylePr>
  </w:style>
  <w:style w:type="character" w:styleId="Strong">
    <w:name w:val="Strong"/>
    <w:basedOn w:val="DefaultParagraphFont"/>
    <w:uiPriority w:val="22"/>
    <w:qFormat/>
    <w:rsid w:val="00530B81"/>
    <w:rPr>
      <w:b/>
      <w:bCs/>
      <w:color w:val="5B796D" w:themeColor="accent5"/>
      <w:sz w:val="24"/>
    </w:rPr>
  </w:style>
  <w:style w:type="table" w:styleId="TableGrid">
    <w:name w:val="Table Grid"/>
    <w:basedOn w:val="TableNormal"/>
    <w:uiPriority w:val="39"/>
    <w:rsid w:val="00CB3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84ACC"/>
    <w:rPr>
      <w:rFonts w:asciiTheme="majorHAnsi" w:eastAsiaTheme="majorEastAsia" w:hAnsiTheme="majorHAnsi" w:cstheme="majorBidi"/>
      <w:b/>
      <w:iCs/>
      <w:color w:val="3A4952" w:themeColor="accent1"/>
      <w:sz w:val="24"/>
      <w:szCs w:val="24"/>
    </w:rPr>
  </w:style>
  <w:style w:type="table" w:customStyle="1" w:styleId="TableGrid1">
    <w:name w:val="Table Grid1"/>
    <w:basedOn w:val="TableNormal"/>
    <w:next w:val="TableGrid"/>
    <w:uiPriority w:val="59"/>
    <w:rsid w:val="00DA0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1A1DD0"/>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1A1DD0"/>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1A1DD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A1DD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A1DD0"/>
    <w:rPr>
      <w:rFonts w:asciiTheme="majorHAnsi" w:eastAsiaTheme="majorEastAsia" w:hAnsiTheme="majorHAnsi" w:cstheme="majorBidi"/>
      <w:i/>
      <w:iCs/>
      <w:spacing w:val="5"/>
      <w:sz w:val="20"/>
      <w:szCs w:val="20"/>
    </w:rPr>
  </w:style>
  <w:style w:type="character" w:styleId="Emphasis">
    <w:name w:val="Emphasis"/>
    <w:uiPriority w:val="20"/>
    <w:qFormat/>
    <w:rsid w:val="000558D0"/>
    <w:rPr>
      <w:rFonts w:asciiTheme="minorHAnsi" w:hAnsiTheme="minorHAnsi"/>
      <w:bCs/>
      <w:i/>
      <w:iCs/>
      <w:spacing w:val="10"/>
      <w:sz w:val="22"/>
      <w:szCs w:val="22"/>
    </w:rPr>
  </w:style>
  <w:style w:type="character" w:styleId="BookTitle">
    <w:name w:val="Book Title"/>
    <w:uiPriority w:val="33"/>
    <w:qFormat/>
    <w:rsid w:val="001A1DD0"/>
    <w:rPr>
      <w:i/>
      <w:iCs/>
      <w:caps w:val="0"/>
      <w:smallCaps w:val="0"/>
      <w:spacing w:val="5"/>
    </w:rPr>
  </w:style>
  <w:style w:type="paragraph" w:styleId="Quote">
    <w:name w:val="Quote"/>
    <w:basedOn w:val="Normal"/>
    <w:next w:val="Normal"/>
    <w:link w:val="QuoteChar"/>
    <w:uiPriority w:val="29"/>
    <w:qFormat/>
    <w:rsid w:val="001A1DD0"/>
    <w:pPr>
      <w:pBdr>
        <w:top w:val="single" w:sz="4" w:space="1" w:color="auto"/>
        <w:bottom w:val="single" w:sz="4" w:space="1" w:color="auto"/>
      </w:pBdr>
      <w:spacing w:after="120" w:line="276" w:lineRule="auto"/>
      <w:ind w:left="369" w:right="369"/>
    </w:pPr>
    <w:rPr>
      <w:rFonts w:eastAsiaTheme="minorEastAsia"/>
      <w:i/>
      <w:iCs/>
    </w:rPr>
  </w:style>
  <w:style w:type="character" w:customStyle="1" w:styleId="QuoteChar">
    <w:name w:val="Quote Char"/>
    <w:basedOn w:val="DefaultParagraphFont"/>
    <w:link w:val="Quote"/>
    <w:uiPriority w:val="29"/>
    <w:rsid w:val="001A1DD0"/>
    <w:rPr>
      <w:rFonts w:eastAsiaTheme="minorEastAsia"/>
      <w:i/>
      <w:iCs/>
    </w:rPr>
  </w:style>
  <w:style w:type="paragraph" w:styleId="Subtitle">
    <w:name w:val="Subtitle"/>
    <w:basedOn w:val="Normal"/>
    <w:next w:val="Normal"/>
    <w:link w:val="SubtitleChar"/>
    <w:uiPriority w:val="11"/>
    <w:qFormat/>
    <w:rsid w:val="001A1903"/>
    <w:pPr>
      <w:spacing w:before="360" w:after="240" w:line="276" w:lineRule="auto"/>
      <w:ind w:left="737"/>
    </w:pPr>
    <w:rPr>
      <w:rFonts w:ascii="Calibri" w:eastAsiaTheme="majorEastAsia" w:hAnsi="Calibri" w:cstheme="majorBidi"/>
      <w:b/>
      <w:iCs/>
      <w:color w:val="FFFFFF" w:themeColor="background1"/>
      <w:spacing w:val="13"/>
      <w:sz w:val="48"/>
      <w:szCs w:val="24"/>
    </w:rPr>
  </w:style>
  <w:style w:type="character" w:customStyle="1" w:styleId="SubtitleChar">
    <w:name w:val="Subtitle Char"/>
    <w:basedOn w:val="DefaultParagraphFont"/>
    <w:link w:val="Subtitle"/>
    <w:uiPriority w:val="11"/>
    <w:rsid w:val="001A1903"/>
    <w:rPr>
      <w:rFonts w:ascii="Calibri" w:eastAsiaTheme="majorEastAsia" w:hAnsi="Calibri" w:cstheme="majorBidi"/>
      <w:b/>
      <w:iCs/>
      <w:color w:val="FFFFFF" w:themeColor="background1"/>
      <w:spacing w:val="13"/>
      <w:sz w:val="48"/>
      <w:szCs w:val="24"/>
    </w:rPr>
  </w:style>
  <w:style w:type="paragraph" w:styleId="NoSpacing">
    <w:name w:val="No Spacing"/>
    <w:basedOn w:val="Normal"/>
    <w:link w:val="NoSpacingChar"/>
    <w:uiPriority w:val="1"/>
    <w:qFormat/>
    <w:rsid w:val="001A1DD0"/>
    <w:pPr>
      <w:spacing w:after="0" w:line="240" w:lineRule="auto"/>
    </w:pPr>
    <w:rPr>
      <w:rFonts w:eastAsiaTheme="minorEastAsia"/>
    </w:rPr>
  </w:style>
  <w:style w:type="paragraph" w:styleId="IntenseQuote">
    <w:name w:val="Intense Quote"/>
    <w:basedOn w:val="Normal"/>
    <w:next w:val="Normal"/>
    <w:link w:val="IntenseQuoteChar"/>
    <w:uiPriority w:val="30"/>
    <w:qFormat/>
    <w:rsid w:val="001A1DD0"/>
    <w:pPr>
      <w:pBdr>
        <w:bottom w:val="single" w:sz="4" w:space="1" w:color="auto"/>
      </w:pBdr>
      <w:spacing w:before="200" w:after="280" w:line="276" w:lineRule="auto"/>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1A1DD0"/>
    <w:rPr>
      <w:rFonts w:eastAsiaTheme="minorEastAsia"/>
      <w:b/>
      <w:bCs/>
      <w:i/>
      <w:iCs/>
    </w:rPr>
  </w:style>
  <w:style w:type="character" w:styleId="SubtleEmphasis">
    <w:name w:val="Subtle Emphasis"/>
    <w:uiPriority w:val="19"/>
    <w:qFormat/>
    <w:rsid w:val="001A1DD0"/>
    <w:rPr>
      <w:i/>
      <w:iCs/>
    </w:rPr>
  </w:style>
  <w:style w:type="character" w:styleId="IntenseEmphasis">
    <w:name w:val="Intense Emphasis"/>
    <w:uiPriority w:val="21"/>
    <w:qFormat/>
    <w:rsid w:val="001A1DD0"/>
    <w:rPr>
      <w:b/>
      <w:bCs/>
    </w:rPr>
  </w:style>
  <w:style w:type="character" w:styleId="SubtleReference">
    <w:name w:val="Subtle Reference"/>
    <w:uiPriority w:val="31"/>
    <w:qFormat/>
    <w:rsid w:val="001A1DD0"/>
    <w:rPr>
      <w:smallCaps/>
    </w:rPr>
  </w:style>
  <w:style w:type="character" w:styleId="IntenseReference">
    <w:name w:val="Intense Reference"/>
    <w:uiPriority w:val="32"/>
    <w:qFormat/>
    <w:rsid w:val="001A1DD0"/>
    <w:rPr>
      <w:smallCaps/>
      <w:spacing w:val="5"/>
      <w:u w:val="single"/>
    </w:rPr>
  </w:style>
  <w:style w:type="paragraph" w:styleId="TOCHeading">
    <w:name w:val="TOC Heading"/>
    <w:basedOn w:val="Heading1"/>
    <w:next w:val="Normal"/>
    <w:uiPriority w:val="39"/>
    <w:unhideWhenUsed/>
    <w:qFormat/>
    <w:rsid w:val="001A1DD0"/>
    <w:pPr>
      <w:keepNext w:val="0"/>
      <w:keepLines w:val="0"/>
      <w:spacing w:before="0" w:after="240" w:line="240" w:lineRule="auto"/>
      <w:contextualSpacing/>
      <w:outlineLvl w:val="9"/>
    </w:pPr>
    <w:rPr>
      <w:rFonts w:ascii="Calibri" w:hAnsi="Calibri"/>
      <w:b/>
      <w:bCs/>
      <w:color w:val="522761"/>
      <w:sz w:val="36"/>
      <w:szCs w:val="28"/>
      <w:lang w:bidi="en-US"/>
    </w:rPr>
  </w:style>
  <w:style w:type="paragraph" w:styleId="ListNumber">
    <w:name w:val="List Number"/>
    <w:basedOn w:val="Normal"/>
    <w:uiPriority w:val="99"/>
    <w:unhideWhenUsed/>
    <w:rsid w:val="001A1DD0"/>
    <w:pPr>
      <w:numPr>
        <w:numId w:val="4"/>
      </w:numPr>
      <w:spacing w:after="120" w:line="276" w:lineRule="auto"/>
      <w:ind w:left="369" w:hanging="369"/>
      <w:contextualSpacing/>
    </w:pPr>
    <w:rPr>
      <w:rFonts w:eastAsiaTheme="minorEastAsia"/>
    </w:rPr>
  </w:style>
  <w:style w:type="paragraph" w:styleId="ListNumber2">
    <w:name w:val="List Number 2"/>
    <w:basedOn w:val="Normal"/>
    <w:uiPriority w:val="99"/>
    <w:unhideWhenUsed/>
    <w:rsid w:val="001A1DD0"/>
    <w:pPr>
      <w:numPr>
        <w:ilvl w:val="1"/>
        <w:numId w:val="4"/>
      </w:numPr>
      <w:tabs>
        <w:tab w:val="left" w:pos="1134"/>
      </w:tabs>
      <w:spacing w:after="120" w:line="276" w:lineRule="auto"/>
      <w:ind w:left="936" w:hanging="567"/>
      <w:contextualSpacing/>
    </w:pPr>
    <w:rPr>
      <w:rFonts w:eastAsiaTheme="minorEastAsia"/>
    </w:rPr>
  </w:style>
  <w:style w:type="paragraph" w:styleId="ListNumber3">
    <w:name w:val="List Number 3"/>
    <w:basedOn w:val="Normal"/>
    <w:uiPriority w:val="99"/>
    <w:unhideWhenUsed/>
    <w:rsid w:val="001A1DD0"/>
    <w:pPr>
      <w:numPr>
        <w:ilvl w:val="2"/>
        <w:numId w:val="4"/>
      </w:numPr>
      <w:spacing w:after="120" w:line="276" w:lineRule="auto"/>
      <w:ind w:left="1701" w:hanging="765"/>
      <w:contextualSpacing/>
    </w:pPr>
    <w:rPr>
      <w:rFonts w:eastAsiaTheme="minorEastAsia"/>
    </w:rPr>
  </w:style>
  <w:style w:type="paragraph" w:styleId="ListNumber4">
    <w:name w:val="List Number 4"/>
    <w:basedOn w:val="Normal"/>
    <w:uiPriority w:val="99"/>
    <w:unhideWhenUsed/>
    <w:rsid w:val="001A1DD0"/>
    <w:pPr>
      <w:numPr>
        <w:ilvl w:val="3"/>
        <w:numId w:val="4"/>
      </w:numPr>
      <w:spacing w:after="120" w:line="276" w:lineRule="auto"/>
      <w:ind w:left="2637" w:hanging="936"/>
      <w:contextualSpacing/>
    </w:pPr>
    <w:rPr>
      <w:rFonts w:eastAsiaTheme="minorEastAsia"/>
    </w:rPr>
  </w:style>
  <w:style w:type="paragraph" w:styleId="ListBullet">
    <w:name w:val="List Bullet"/>
    <w:basedOn w:val="Normal"/>
    <w:uiPriority w:val="99"/>
    <w:unhideWhenUsed/>
    <w:rsid w:val="001A1DD0"/>
    <w:pPr>
      <w:numPr>
        <w:numId w:val="5"/>
      </w:numPr>
      <w:spacing w:after="120" w:line="276" w:lineRule="auto"/>
      <w:ind w:left="369" w:hanging="369"/>
      <w:contextualSpacing/>
    </w:pPr>
    <w:rPr>
      <w:rFonts w:eastAsiaTheme="minorEastAsia"/>
    </w:rPr>
  </w:style>
  <w:style w:type="paragraph" w:styleId="ListBullet2">
    <w:name w:val="List Bullet 2"/>
    <w:basedOn w:val="Normal"/>
    <w:uiPriority w:val="99"/>
    <w:unhideWhenUsed/>
    <w:rsid w:val="001A1DD0"/>
    <w:pPr>
      <w:numPr>
        <w:ilvl w:val="1"/>
        <w:numId w:val="5"/>
      </w:numPr>
      <w:spacing w:after="120" w:line="276" w:lineRule="auto"/>
      <w:ind w:left="766" w:hanging="369"/>
      <w:contextualSpacing/>
    </w:pPr>
    <w:rPr>
      <w:rFonts w:eastAsiaTheme="minorEastAsia"/>
    </w:rPr>
  </w:style>
  <w:style w:type="paragraph" w:styleId="ListBullet3">
    <w:name w:val="List Bullet 3"/>
    <w:basedOn w:val="Normal"/>
    <w:uiPriority w:val="99"/>
    <w:unhideWhenUsed/>
    <w:rsid w:val="001A1DD0"/>
    <w:pPr>
      <w:numPr>
        <w:ilvl w:val="2"/>
        <w:numId w:val="5"/>
      </w:numPr>
      <w:spacing w:after="120" w:line="276" w:lineRule="auto"/>
      <w:ind w:left="1163" w:hanging="369"/>
      <w:contextualSpacing/>
    </w:pPr>
    <w:rPr>
      <w:rFonts w:eastAsiaTheme="minorEastAsia"/>
    </w:rPr>
  </w:style>
  <w:style w:type="paragraph" w:styleId="ListBullet4">
    <w:name w:val="List Bullet 4"/>
    <w:basedOn w:val="Normal"/>
    <w:uiPriority w:val="99"/>
    <w:unhideWhenUsed/>
    <w:rsid w:val="001A1DD0"/>
    <w:pPr>
      <w:numPr>
        <w:ilvl w:val="3"/>
        <w:numId w:val="5"/>
      </w:numPr>
      <w:spacing w:after="120" w:line="276" w:lineRule="auto"/>
      <w:ind w:left="1503" w:hanging="369"/>
      <w:contextualSpacing/>
    </w:pPr>
    <w:rPr>
      <w:rFonts w:eastAsiaTheme="minorEastAsia"/>
    </w:rPr>
  </w:style>
  <w:style w:type="table" w:customStyle="1" w:styleId="DEEWRTable">
    <w:name w:val="DEEWR Table"/>
    <w:basedOn w:val="TableNormal"/>
    <w:uiPriority w:val="99"/>
    <w:rsid w:val="001A1DD0"/>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cPr>
        <w:shd w:val="clear" w:color="auto" w:fill="522761"/>
      </w:tcPr>
    </w:tblStylePr>
    <w:tblStylePr w:type="firstCol">
      <w:pPr>
        <w:jc w:val="left"/>
      </w:pPr>
      <w:rPr>
        <w:b/>
      </w:rPr>
    </w:tblStylePr>
  </w:style>
  <w:style w:type="paragraph" w:styleId="BodyText">
    <w:name w:val="Body Text"/>
    <w:basedOn w:val="Normal"/>
    <w:link w:val="BodyTextChar"/>
    <w:uiPriority w:val="1"/>
    <w:qFormat/>
    <w:rsid w:val="001A1DD0"/>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uiPriority w:val="99"/>
    <w:rsid w:val="001A1DD0"/>
    <w:rPr>
      <w:rFonts w:eastAsia="Times New Roman" w:cs="Times New Roman"/>
      <w:szCs w:val="24"/>
      <w:lang w:eastAsia="en-AU"/>
    </w:rPr>
  </w:style>
  <w:style w:type="paragraph" w:customStyle="1" w:styleId="numberedpara">
    <w:name w:val="numbered para"/>
    <w:basedOn w:val="Normal"/>
    <w:rsid w:val="001A1DD0"/>
    <w:pPr>
      <w:numPr>
        <w:numId w:val="6"/>
      </w:numPr>
      <w:spacing w:after="0" w:line="240" w:lineRule="auto"/>
    </w:pPr>
    <w:rPr>
      <w:rFonts w:ascii="Calibri" w:hAnsi="Calibri" w:cs="Calibri"/>
      <w:lang w:eastAsia="en-AU"/>
    </w:rPr>
  </w:style>
  <w:style w:type="character" w:customStyle="1" w:styleId="NoSpacingChar">
    <w:name w:val="No Spacing Char"/>
    <w:basedOn w:val="DefaultParagraphFont"/>
    <w:link w:val="NoSpacing"/>
    <w:uiPriority w:val="1"/>
    <w:rsid w:val="001A1DD0"/>
    <w:rPr>
      <w:rFonts w:eastAsiaTheme="minorEastAsia"/>
    </w:rPr>
  </w:style>
  <w:style w:type="paragraph" w:styleId="TOC3">
    <w:name w:val="toc 3"/>
    <w:basedOn w:val="Normal"/>
    <w:next w:val="Normal"/>
    <w:autoRedefine/>
    <w:uiPriority w:val="39"/>
    <w:unhideWhenUsed/>
    <w:qFormat/>
    <w:rsid w:val="001A1DD0"/>
    <w:pPr>
      <w:spacing w:after="0"/>
      <w:ind w:left="440"/>
    </w:pPr>
    <w:rPr>
      <w:rFonts w:cstheme="minorHAnsi"/>
      <w:i/>
      <w:iCs/>
      <w:sz w:val="20"/>
      <w:szCs w:val="20"/>
    </w:rPr>
  </w:style>
  <w:style w:type="paragraph" w:styleId="Caption">
    <w:name w:val="caption"/>
    <w:basedOn w:val="Normal"/>
    <w:next w:val="Normal"/>
    <w:uiPriority w:val="35"/>
    <w:unhideWhenUsed/>
    <w:rsid w:val="001A1DD0"/>
    <w:pPr>
      <w:spacing w:after="200" w:line="276" w:lineRule="auto"/>
    </w:pPr>
    <w:rPr>
      <w:rFonts w:eastAsiaTheme="minorEastAsia"/>
    </w:rPr>
  </w:style>
  <w:style w:type="paragraph" w:customStyle="1" w:styleId="Source">
    <w:name w:val="Source"/>
    <w:basedOn w:val="Normal"/>
    <w:qFormat/>
    <w:rsid w:val="001A1DD0"/>
    <w:pPr>
      <w:spacing w:after="200" w:line="276" w:lineRule="auto"/>
    </w:pPr>
    <w:rPr>
      <w:rFonts w:eastAsiaTheme="minorEastAsia" w:cstheme="minorHAnsi"/>
      <w:b/>
      <w:sz w:val="20"/>
      <w:szCs w:val="20"/>
    </w:rPr>
  </w:style>
  <w:style w:type="character" w:styleId="PlaceholderText">
    <w:name w:val="Placeholder Text"/>
    <w:basedOn w:val="DefaultParagraphFont"/>
    <w:uiPriority w:val="99"/>
    <w:semiHidden/>
    <w:rsid w:val="001A1DD0"/>
    <w:rPr>
      <w:color w:val="808080"/>
    </w:rPr>
  </w:style>
  <w:style w:type="paragraph" w:customStyle="1" w:styleId="DeleteText">
    <w:name w:val="Delete Text"/>
    <w:basedOn w:val="Normal"/>
    <w:qFormat/>
    <w:rsid w:val="001A1DD0"/>
    <w:pPr>
      <w:spacing w:after="200" w:line="276" w:lineRule="auto"/>
    </w:pPr>
    <w:rPr>
      <w:rFonts w:eastAsiaTheme="minorEastAsia"/>
      <w:color w:val="7030A0"/>
    </w:rPr>
  </w:style>
  <w:style w:type="table" w:styleId="LightShading-Accent5">
    <w:name w:val="Light Shading Accent 5"/>
    <w:basedOn w:val="TableNormal"/>
    <w:uiPriority w:val="60"/>
    <w:rsid w:val="001A1DD0"/>
    <w:pPr>
      <w:spacing w:after="0" w:line="240" w:lineRule="auto"/>
    </w:pPr>
    <w:rPr>
      <w:rFonts w:eastAsiaTheme="minorEastAsia"/>
      <w:color w:val="445A51" w:themeColor="accent5" w:themeShade="BF"/>
    </w:rPr>
    <w:tblPr>
      <w:tblStyleRowBandSize w:val="1"/>
      <w:tblStyleColBandSize w:val="1"/>
      <w:tblBorders>
        <w:top w:val="single" w:sz="8" w:space="0" w:color="5B796D" w:themeColor="accent5"/>
        <w:bottom w:val="single" w:sz="8" w:space="0" w:color="5B796D" w:themeColor="accent5"/>
      </w:tblBorders>
    </w:tblPr>
    <w:tblStylePr w:type="firstRow">
      <w:pPr>
        <w:spacing w:before="0" w:after="0" w:line="240" w:lineRule="auto"/>
      </w:pPr>
      <w:rPr>
        <w:b/>
        <w:bCs/>
      </w:rPr>
      <w:tblPr/>
      <w:tcPr>
        <w:tcBorders>
          <w:top w:val="single" w:sz="8" w:space="0" w:color="5B796D" w:themeColor="accent5"/>
          <w:left w:val="nil"/>
          <w:bottom w:val="single" w:sz="8" w:space="0" w:color="5B796D" w:themeColor="accent5"/>
          <w:right w:val="nil"/>
          <w:insideH w:val="nil"/>
          <w:insideV w:val="nil"/>
        </w:tcBorders>
      </w:tcPr>
    </w:tblStylePr>
    <w:tblStylePr w:type="lastRow">
      <w:pPr>
        <w:spacing w:before="0" w:after="0" w:line="240" w:lineRule="auto"/>
      </w:pPr>
      <w:rPr>
        <w:b/>
        <w:bCs/>
      </w:rPr>
      <w:tblPr/>
      <w:tcPr>
        <w:tcBorders>
          <w:top w:val="single" w:sz="8" w:space="0" w:color="5B796D" w:themeColor="accent5"/>
          <w:left w:val="nil"/>
          <w:bottom w:val="single" w:sz="8" w:space="0" w:color="5B796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FDB" w:themeFill="accent5" w:themeFillTint="3F"/>
      </w:tcPr>
    </w:tblStylePr>
    <w:tblStylePr w:type="band1Horz">
      <w:tblPr/>
      <w:tcPr>
        <w:tcBorders>
          <w:left w:val="nil"/>
          <w:right w:val="nil"/>
          <w:insideH w:val="nil"/>
          <w:insideV w:val="nil"/>
        </w:tcBorders>
        <w:shd w:val="clear" w:color="auto" w:fill="D4DFDB" w:themeFill="accent5" w:themeFillTint="3F"/>
      </w:tcPr>
    </w:tblStylePr>
  </w:style>
  <w:style w:type="table" w:customStyle="1" w:styleId="LightShading-Accent51">
    <w:name w:val="Light Shading - Accent 51"/>
    <w:basedOn w:val="TableNormal"/>
    <w:next w:val="LightShading-Accent5"/>
    <w:uiPriority w:val="60"/>
    <w:rsid w:val="001A1DD0"/>
    <w:pPr>
      <w:spacing w:after="0" w:line="240" w:lineRule="auto"/>
    </w:pPr>
    <w:rPr>
      <w:rFonts w:eastAsiaTheme="minorEastAsia"/>
      <w:color w:val="445A51" w:themeColor="accent5" w:themeShade="BF"/>
    </w:rPr>
    <w:tblPr>
      <w:tblStyleRowBandSize w:val="1"/>
      <w:tblStyleColBandSize w:val="1"/>
      <w:tblBorders>
        <w:top w:val="single" w:sz="8" w:space="0" w:color="5B796D" w:themeColor="accent5"/>
        <w:bottom w:val="single" w:sz="8" w:space="0" w:color="5B796D" w:themeColor="accent5"/>
      </w:tblBorders>
    </w:tblPr>
    <w:tblStylePr w:type="firstRow">
      <w:pPr>
        <w:spacing w:before="0" w:after="0" w:line="240" w:lineRule="auto"/>
      </w:pPr>
      <w:rPr>
        <w:b/>
        <w:bCs/>
      </w:rPr>
      <w:tblPr/>
      <w:tcPr>
        <w:tcBorders>
          <w:top w:val="single" w:sz="8" w:space="0" w:color="5B796D" w:themeColor="accent5"/>
          <w:left w:val="nil"/>
          <w:bottom w:val="single" w:sz="8" w:space="0" w:color="5B796D" w:themeColor="accent5"/>
          <w:right w:val="nil"/>
          <w:insideH w:val="nil"/>
          <w:insideV w:val="nil"/>
        </w:tcBorders>
      </w:tcPr>
    </w:tblStylePr>
    <w:tblStylePr w:type="lastRow">
      <w:pPr>
        <w:spacing w:before="0" w:after="0" w:line="240" w:lineRule="auto"/>
      </w:pPr>
      <w:rPr>
        <w:b/>
        <w:bCs/>
      </w:rPr>
      <w:tblPr/>
      <w:tcPr>
        <w:tcBorders>
          <w:top w:val="single" w:sz="8" w:space="0" w:color="5B796D" w:themeColor="accent5"/>
          <w:left w:val="nil"/>
          <w:bottom w:val="single" w:sz="8" w:space="0" w:color="5B796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FDB" w:themeFill="accent5" w:themeFillTint="3F"/>
      </w:tcPr>
    </w:tblStylePr>
    <w:tblStylePr w:type="band1Horz">
      <w:tblPr/>
      <w:tcPr>
        <w:tcBorders>
          <w:left w:val="nil"/>
          <w:right w:val="nil"/>
          <w:insideH w:val="nil"/>
          <w:insideV w:val="nil"/>
        </w:tcBorders>
        <w:shd w:val="clear" w:color="auto" w:fill="D4DFDB" w:themeFill="accent5" w:themeFillTint="3F"/>
      </w:tcPr>
    </w:tblStylePr>
  </w:style>
  <w:style w:type="numbering" w:customStyle="1" w:styleId="NoList1">
    <w:name w:val="No List1"/>
    <w:next w:val="NoList"/>
    <w:uiPriority w:val="99"/>
    <w:semiHidden/>
    <w:unhideWhenUsed/>
    <w:rsid w:val="001A1DD0"/>
  </w:style>
  <w:style w:type="table" w:styleId="LightShading-Accent2">
    <w:name w:val="Light Shading Accent 2"/>
    <w:basedOn w:val="TableNormal"/>
    <w:uiPriority w:val="60"/>
    <w:rsid w:val="001A1DD0"/>
    <w:pPr>
      <w:spacing w:after="0" w:line="240" w:lineRule="auto"/>
    </w:pPr>
    <w:rPr>
      <w:rFonts w:eastAsiaTheme="minorEastAsia"/>
      <w:color w:val="ACB4C3" w:themeColor="accent2" w:themeShade="BF"/>
    </w:rPr>
    <w:tblPr>
      <w:tblStyleRowBandSize w:val="1"/>
      <w:tblStyleColBandSize w:val="1"/>
      <w:tblBorders>
        <w:top w:val="single" w:sz="8" w:space="0" w:color="F4F5F7" w:themeColor="accent2"/>
        <w:bottom w:val="single" w:sz="8" w:space="0" w:color="F4F5F7" w:themeColor="accent2"/>
      </w:tblBorders>
    </w:tblPr>
    <w:tblStylePr w:type="firstRow">
      <w:pPr>
        <w:spacing w:before="0" w:after="0" w:line="240" w:lineRule="auto"/>
      </w:pPr>
      <w:rPr>
        <w:b/>
        <w:bCs/>
      </w:rPr>
      <w:tblPr/>
      <w:tcPr>
        <w:tcBorders>
          <w:top w:val="single" w:sz="8" w:space="0" w:color="F4F5F7" w:themeColor="accent2"/>
          <w:left w:val="nil"/>
          <w:bottom w:val="single" w:sz="8" w:space="0" w:color="F4F5F7" w:themeColor="accent2"/>
          <w:right w:val="nil"/>
          <w:insideH w:val="nil"/>
          <w:insideV w:val="nil"/>
        </w:tcBorders>
      </w:tcPr>
    </w:tblStylePr>
    <w:tblStylePr w:type="lastRow">
      <w:pPr>
        <w:spacing w:before="0" w:after="0" w:line="240" w:lineRule="auto"/>
      </w:pPr>
      <w:rPr>
        <w:b/>
        <w:bCs/>
      </w:rPr>
      <w:tblPr/>
      <w:tcPr>
        <w:tcBorders>
          <w:top w:val="single" w:sz="8" w:space="0" w:color="F4F5F7" w:themeColor="accent2"/>
          <w:left w:val="nil"/>
          <w:bottom w:val="single" w:sz="8" w:space="0" w:color="F4F5F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CFD" w:themeFill="accent2" w:themeFillTint="3F"/>
      </w:tcPr>
    </w:tblStylePr>
    <w:tblStylePr w:type="band1Horz">
      <w:tblPr/>
      <w:tcPr>
        <w:tcBorders>
          <w:left w:val="nil"/>
          <w:right w:val="nil"/>
          <w:insideH w:val="nil"/>
          <w:insideV w:val="nil"/>
        </w:tcBorders>
        <w:shd w:val="clear" w:color="auto" w:fill="FCFCFD" w:themeFill="accent2" w:themeFillTint="3F"/>
      </w:tcPr>
    </w:tblStylePr>
  </w:style>
  <w:style w:type="table" w:styleId="LightShading-Accent3">
    <w:name w:val="Light Shading Accent 3"/>
    <w:basedOn w:val="TableNormal"/>
    <w:uiPriority w:val="60"/>
    <w:rsid w:val="001A1DD0"/>
    <w:pPr>
      <w:spacing w:after="0" w:line="240" w:lineRule="auto"/>
    </w:pPr>
    <w:rPr>
      <w:rFonts w:eastAsiaTheme="minorEastAsia"/>
      <w:color w:val="9DA9B5" w:themeColor="accent3" w:themeShade="BF"/>
    </w:rPr>
    <w:tblPr>
      <w:tblStyleRowBandSize w:val="1"/>
      <w:tblStyleColBandSize w:val="1"/>
      <w:tblBorders>
        <w:top w:val="single" w:sz="8" w:space="0" w:color="DEE2E6" w:themeColor="accent3"/>
        <w:bottom w:val="single" w:sz="8" w:space="0" w:color="DEE2E6" w:themeColor="accent3"/>
      </w:tblBorders>
    </w:tblPr>
    <w:tblStylePr w:type="firstRow">
      <w:pPr>
        <w:spacing w:before="0" w:after="0" w:line="240" w:lineRule="auto"/>
      </w:pPr>
      <w:rPr>
        <w:b/>
        <w:bCs/>
      </w:rPr>
      <w:tblPr/>
      <w:tcPr>
        <w:tcBorders>
          <w:top w:val="single" w:sz="8" w:space="0" w:color="DEE2E6" w:themeColor="accent3"/>
          <w:left w:val="nil"/>
          <w:bottom w:val="single" w:sz="8" w:space="0" w:color="DEE2E6" w:themeColor="accent3"/>
          <w:right w:val="nil"/>
          <w:insideH w:val="nil"/>
          <w:insideV w:val="nil"/>
        </w:tcBorders>
      </w:tcPr>
    </w:tblStylePr>
    <w:tblStylePr w:type="lastRow">
      <w:pPr>
        <w:spacing w:before="0" w:after="0" w:line="240" w:lineRule="auto"/>
      </w:pPr>
      <w:rPr>
        <w:b/>
        <w:bCs/>
      </w:rPr>
      <w:tblPr/>
      <w:tcPr>
        <w:tcBorders>
          <w:top w:val="single" w:sz="8" w:space="0" w:color="DEE2E6" w:themeColor="accent3"/>
          <w:left w:val="nil"/>
          <w:bottom w:val="single" w:sz="8" w:space="0" w:color="DEE2E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7F8" w:themeFill="accent3" w:themeFillTint="3F"/>
      </w:tcPr>
    </w:tblStylePr>
    <w:tblStylePr w:type="band1Horz">
      <w:tblPr/>
      <w:tcPr>
        <w:tcBorders>
          <w:left w:val="nil"/>
          <w:right w:val="nil"/>
          <w:insideH w:val="nil"/>
          <w:insideV w:val="nil"/>
        </w:tcBorders>
        <w:shd w:val="clear" w:color="auto" w:fill="F6F7F8" w:themeFill="accent3" w:themeFillTint="3F"/>
      </w:tcPr>
    </w:tblStylePr>
  </w:style>
  <w:style w:type="character" w:styleId="FollowedHyperlink">
    <w:name w:val="FollowedHyperlink"/>
    <w:basedOn w:val="DefaultParagraphFont"/>
    <w:uiPriority w:val="99"/>
    <w:semiHidden/>
    <w:unhideWhenUsed/>
    <w:rsid w:val="001A1DD0"/>
    <w:rPr>
      <w:color w:val="800080"/>
      <w:u w:val="single"/>
    </w:rPr>
  </w:style>
  <w:style w:type="paragraph" w:customStyle="1" w:styleId="font5">
    <w:name w:val="font5"/>
    <w:basedOn w:val="Normal"/>
    <w:rsid w:val="001A1DD0"/>
    <w:pPr>
      <w:spacing w:before="100" w:beforeAutospacing="1" w:after="100" w:afterAutospacing="1" w:line="240" w:lineRule="auto"/>
    </w:pPr>
    <w:rPr>
      <w:rFonts w:ascii="Arial" w:eastAsia="Times New Roman" w:hAnsi="Arial" w:cs="Arial"/>
      <w:b/>
      <w:bCs/>
      <w:sz w:val="20"/>
      <w:szCs w:val="20"/>
      <w:lang w:eastAsia="en-AU"/>
    </w:rPr>
  </w:style>
  <w:style w:type="paragraph" w:customStyle="1" w:styleId="font6">
    <w:name w:val="font6"/>
    <w:basedOn w:val="Normal"/>
    <w:rsid w:val="001A1DD0"/>
    <w:pPr>
      <w:spacing w:before="100" w:beforeAutospacing="1" w:after="100" w:afterAutospacing="1" w:line="240" w:lineRule="auto"/>
    </w:pPr>
    <w:rPr>
      <w:rFonts w:ascii="Arial" w:eastAsia="Times New Roman" w:hAnsi="Arial" w:cs="Arial"/>
      <w:sz w:val="20"/>
      <w:szCs w:val="20"/>
      <w:lang w:eastAsia="en-AU"/>
    </w:rPr>
  </w:style>
  <w:style w:type="paragraph" w:customStyle="1" w:styleId="xl95">
    <w:name w:val="xl95"/>
    <w:basedOn w:val="Normal"/>
    <w:rsid w:val="001A1DD0"/>
    <w:pPr>
      <w:spacing w:before="100" w:beforeAutospacing="1" w:after="100" w:afterAutospacing="1" w:line="240" w:lineRule="auto"/>
      <w:jc w:val="right"/>
    </w:pPr>
    <w:rPr>
      <w:rFonts w:ascii="Arial" w:eastAsia="Times New Roman" w:hAnsi="Arial" w:cs="Arial"/>
      <w:sz w:val="24"/>
      <w:szCs w:val="24"/>
      <w:lang w:eastAsia="en-AU"/>
    </w:rPr>
  </w:style>
  <w:style w:type="paragraph" w:customStyle="1" w:styleId="xl96">
    <w:name w:val="xl96"/>
    <w:basedOn w:val="Normal"/>
    <w:rsid w:val="001A1DD0"/>
    <w:pP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97">
    <w:name w:val="xl97"/>
    <w:basedOn w:val="Normal"/>
    <w:rsid w:val="001A1DD0"/>
    <w:pP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98">
    <w:name w:val="xl98"/>
    <w:basedOn w:val="Normal"/>
    <w:rsid w:val="001A1DD0"/>
    <w:pPr>
      <w:pBdr>
        <w:bottom w:val="single" w:sz="4" w:space="0" w:color="auto"/>
      </w:pBdr>
      <w:spacing w:before="100" w:beforeAutospacing="1" w:after="100" w:afterAutospacing="1" w:line="240" w:lineRule="auto"/>
      <w:jc w:val="right"/>
    </w:pPr>
    <w:rPr>
      <w:rFonts w:ascii="Arial" w:eastAsia="Times New Roman" w:hAnsi="Arial" w:cs="Arial"/>
      <w:b/>
      <w:bCs/>
      <w:sz w:val="24"/>
      <w:szCs w:val="24"/>
      <w:lang w:eastAsia="en-AU"/>
    </w:rPr>
  </w:style>
  <w:style w:type="paragraph" w:customStyle="1" w:styleId="xl99">
    <w:name w:val="xl99"/>
    <w:basedOn w:val="Normal"/>
    <w:rsid w:val="001A1DD0"/>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en-AU"/>
    </w:rPr>
  </w:style>
  <w:style w:type="paragraph" w:customStyle="1" w:styleId="xl100">
    <w:name w:val="xl100"/>
    <w:basedOn w:val="Normal"/>
    <w:rsid w:val="001A1DD0"/>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en-AU"/>
    </w:rPr>
  </w:style>
  <w:style w:type="paragraph" w:customStyle="1" w:styleId="xl101">
    <w:name w:val="xl101"/>
    <w:basedOn w:val="Normal"/>
    <w:rsid w:val="001A1DD0"/>
    <w:pPr>
      <w:shd w:val="clear" w:color="000000" w:fill="99CC00"/>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02">
    <w:name w:val="xl102"/>
    <w:basedOn w:val="Normal"/>
    <w:rsid w:val="001A1DD0"/>
    <w:pPr>
      <w:shd w:val="clear" w:color="000000" w:fill="99CC00"/>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03">
    <w:name w:val="xl103"/>
    <w:basedOn w:val="Normal"/>
    <w:rsid w:val="001A1DD0"/>
    <w:pPr>
      <w:spacing w:before="100" w:beforeAutospacing="1" w:after="100" w:afterAutospacing="1" w:line="240" w:lineRule="auto"/>
    </w:pPr>
    <w:rPr>
      <w:rFonts w:ascii="Arial" w:eastAsia="Times New Roman" w:hAnsi="Arial" w:cs="Arial"/>
      <w:sz w:val="24"/>
      <w:szCs w:val="24"/>
      <w:lang w:eastAsia="en-AU"/>
    </w:rPr>
  </w:style>
  <w:style w:type="paragraph" w:customStyle="1" w:styleId="xl104">
    <w:name w:val="xl104"/>
    <w:basedOn w:val="Normal"/>
    <w:rsid w:val="001A1DD0"/>
    <w:pPr>
      <w:spacing w:before="100" w:beforeAutospacing="1" w:after="100" w:afterAutospacing="1" w:line="240" w:lineRule="auto"/>
    </w:pPr>
    <w:rPr>
      <w:rFonts w:ascii="Arial" w:eastAsia="Times New Roman" w:hAnsi="Arial" w:cs="Arial"/>
      <w:sz w:val="24"/>
      <w:szCs w:val="24"/>
      <w:lang w:eastAsia="en-AU"/>
    </w:rPr>
  </w:style>
  <w:style w:type="paragraph" w:customStyle="1" w:styleId="xl105">
    <w:name w:val="xl105"/>
    <w:basedOn w:val="Normal"/>
    <w:rsid w:val="001A1DD0"/>
    <w:pPr>
      <w:spacing w:before="100" w:beforeAutospacing="1" w:after="100" w:afterAutospacing="1" w:line="240" w:lineRule="auto"/>
    </w:pPr>
    <w:rPr>
      <w:rFonts w:ascii="Arial" w:eastAsia="Times New Roman" w:hAnsi="Arial" w:cs="Arial"/>
      <w:sz w:val="24"/>
      <w:szCs w:val="24"/>
      <w:lang w:eastAsia="en-AU"/>
    </w:rPr>
  </w:style>
  <w:style w:type="paragraph" w:customStyle="1" w:styleId="xl106">
    <w:name w:val="xl106"/>
    <w:basedOn w:val="Normal"/>
    <w:rsid w:val="001A1D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107">
    <w:name w:val="xl107"/>
    <w:basedOn w:val="Normal"/>
    <w:rsid w:val="001A1DD0"/>
    <w:pPr>
      <w:spacing w:before="100" w:beforeAutospacing="1" w:after="100" w:afterAutospacing="1" w:line="240" w:lineRule="auto"/>
    </w:pPr>
    <w:rPr>
      <w:rFonts w:ascii="Arial" w:eastAsia="Times New Roman" w:hAnsi="Arial" w:cs="Arial"/>
      <w:color w:val="000000"/>
      <w:sz w:val="24"/>
      <w:szCs w:val="24"/>
      <w:lang w:eastAsia="en-AU"/>
    </w:rPr>
  </w:style>
  <w:style w:type="paragraph" w:customStyle="1" w:styleId="xl109">
    <w:name w:val="xl109"/>
    <w:basedOn w:val="Normal"/>
    <w:rsid w:val="001A1DD0"/>
    <w:pP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10">
    <w:name w:val="xl110"/>
    <w:basedOn w:val="Normal"/>
    <w:rsid w:val="001A1DD0"/>
    <w:pPr>
      <w:spacing w:before="100" w:beforeAutospacing="1" w:after="100" w:afterAutospacing="1" w:line="240" w:lineRule="auto"/>
    </w:pPr>
    <w:rPr>
      <w:rFonts w:ascii="Arial" w:eastAsia="Times New Roman" w:hAnsi="Arial" w:cs="Arial"/>
      <w:b/>
      <w:bCs/>
      <w:color w:val="000000"/>
      <w:sz w:val="24"/>
      <w:szCs w:val="24"/>
      <w:lang w:eastAsia="en-AU"/>
    </w:rPr>
  </w:style>
  <w:style w:type="paragraph" w:customStyle="1" w:styleId="xl111">
    <w:name w:val="xl111"/>
    <w:basedOn w:val="Normal"/>
    <w:rsid w:val="001A1DD0"/>
    <w:pP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12">
    <w:name w:val="xl112"/>
    <w:basedOn w:val="Normal"/>
    <w:rsid w:val="001A1DD0"/>
    <w:pPr>
      <w:shd w:val="clear" w:color="000000" w:fill="99CC00"/>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13">
    <w:name w:val="xl113"/>
    <w:basedOn w:val="Normal"/>
    <w:rsid w:val="001A1DD0"/>
    <w:pPr>
      <w:pBdr>
        <w:bottom w:val="single" w:sz="4" w:space="0" w:color="auto"/>
      </w:pBd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14">
    <w:name w:val="xl114"/>
    <w:basedOn w:val="Normal"/>
    <w:rsid w:val="001A1DD0"/>
    <w:pPr>
      <w:pBdr>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en-AU"/>
    </w:rPr>
  </w:style>
  <w:style w:type="paragraph" w:customStyle="1" w:styleId="xl115">
    <w:name w:val="xl115"/>
    <w:basedOn w:val="Normal"/>
    <w:rsid w:val="001A1DD0"/>
    <w:pPr>
      <w:pBdr>
        <w:bottom w:val="single" w:sz="4" w:space="0" w:color="auto"/>
      </w:pBd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16">
    <w:name w:val="xl116"/>
    <w:basedOn w:val="Normal"/>
    <w:rsid w:val="001A1DD0"/>
    <w:pPr>
      <w:spacing w:before="100" w:beforeAutospacing="1" w:after="100" w:afterAutospacing="1" w:line="240" w:lineRule="auto"/>
    </w:pPr>
    <w:rPr>
      <w:rFonts w:ascii="Arial" w:eastAsia="Times New Roman" w:hAnsi="Arial" w:cs="Arial"/>
      <w:sz w:val="24"/>
      <w:szCs w:val="24"/>
      <w:lang w:eastAsia="en-AU"/>
    </w:rPr>
  </w:style>
  <w:style w:type="paragraph" w:customStyle="1" w:styleId="xl117">
    <w:name w:val="xl117"/>
    <w:basedOn w:val="Normal"/>
    <w:rsid w:val="001A1DD0"/>
    <w:pPr>
      <w:spacing w:before="100" w:beforeAutospacing="1" w:after="100" w:afterAutospacing="1" w:line="240" w:lineRule="auto"/>
      <w:jc w:val="right"/>
    </w:pPr>
    <w:rPr>
      <w:rFonts w:ascii="Arial" w:eastAsia="Times New Roman" w:hAnsi="Arial" w:cs="Arial"/>
      <w:sz w:val="24"/>
      <w:szCs w:val="24"/>
      <w:lang w:eastAsia="en-AU"/>
    </w:rPr>
  </w:style>
  <w:style w:type="paragraph" w:customStyle="1" w:styleId="xl118">
    <w:name w:val="xl118"/>
    <w:basedOn w:val="Normal"/>
    <w:rsid w:val="001A1DD0"/>
    <w:pPr>
      <w:pBdr>
        <w:bottom w:val="single" w:sz="4" w:space="0" w:color="auto"/>
      </w:pBd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19">
    <w:name w:val="xl119"/>
    <w:basedOn w:val="Normal"/>
    <w:rsid w:val="001A1DD0"/>
    <w:pPr>
      <w:spacing w:before="100" w:beforeAutospacing="1" w:after="100" w:afterAutospacing="1" w:line="240" w:lineRule="auto"/>
      <w:jc w:val="right"/>
    </w:pPr>
    <w:rPr>
      <w:rFonts w:ascii="Arial" w:eastAsia="Times New Roman" w:hAnsi="Arial" w:cs="Arial"/>
      <w:b/>
      <w:bCs/>
      <w:sz w:val="24"/>
      <w:szCs w:val="24"/>
      <w:lang w:eastAsia="en-AU"/>
    </w:rPr>
  </w:style>
  <w:style w:type="paragraph" w:customStyle="1" w:styleId="xl120">
    <w:name w:val="xl120"/>
    <w:basedOn w:val="Normal"/>
    <w:rsid w:val="001A1DD0"/>
    <w:pPr>
      <w:spacing w:before="100" w:beforeAutospacing="1" w:after="100" w:afterAutospacing="1" w:line="240" w:lineRule="auto"/>
      <w:jc w:val="right"/>
    </w:pPr>
    <w:rPr>
      <w:rFonts w:ascii="Arial" w:eastAsia="Times New Roman" w:hAnsi="Arial" w:cs="Arial"/>
      <w:b/>
      <w:bCs/>
      <w:sz w:val="24"/>
      <w:szCs w:val="24"/>
      <w:lang w:eastAsia="en-AU"/>
    </w:rPr>
  </w:style>
  <w:style w:type="paragraph" w:customStyle="1" w:styleId="xl121">
    <w:name w:val="xl121"/>
    <w:basedOn w:val="Normal"/>
    <w:rsid w:val="001A1DD0"/>
    <w:pPr>
      <w:pBdr>
        <w:top w:val="single" w:sz="4" w:space="0" w:color="auto"/>
      </w:pBd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22">
    <w:name w:val="xl122"/>
    <w:basedOn w:val="Normal"/>
    <w:rsid w:val="001A1DD0"/>
    <w:pPr>
      <w:pBdr>
        <w:bottom w:val="single" w:sz="4" w:space="0" w:color="auto"/>
      </w:pBd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23">
    <w:name w:val="xl123"/>
    <w:basedOn w:val="Normal"/>
    <w:rsid w:val="001A1DD0"/>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n-AU"/>
    </w:rPr>
  </w:style>
  <w:style w:type="paragraph" w:customStyle="1" w:styleId="xl124">
    <w:name w:val="xl124"/>
    <w:basedOn w:val="Normal"/>
    <w:rsid w:val="001A1DD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08">
    <w:name w:val="xl108"/>
    <w:basedOn w:val="Normal"/>
    <w:rsid w:val="001A1DD0"/>
    <w:pP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25">
    <w:name w:val="xl125"/>
    <w:basedOn w:val="Normal"/>
    <w:rsid w:val="001A1DD0"/>
    <w:pPr>
      <w:shd w:val="clear" w:color="000000" w:fill="FFFFFF"/>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26">
    <w:name w:val="xl126"/>
    <w:basedOn w:val="Normal"/>
    <w:rsid w:val="001A1DD0"/>
    <w:pPr>
      <w:shd w:val="clear" w:color="000000" w:fill="FFFFFF"/>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27">
    <w:name w:val="xl127"/>
    <w:basedOn w:val="Normal"/>
    <w:rsid w:val="001A1DD0"/>
    <w:pPr>
      <w:shd w:val="clear" w:color="000000" w:fill="FFFFFF"/>
      <w:spacing w:before="100" w:beforeAutospacing="1" w:after="100" w:afterAutospacing="1" w:line="240" w:lineRule="auto"/>
    </w:pPr>
    <w:rPr>
      <w:rFonts w:ascii="Arial" w:eastAsia="Times New Roman" w:hAnsi="Arial" w:cs="Arial"/>
      <w:b/>
      <w:bCs/>
      <w:color w:val="000000"/>
      <w:sz w:val="24"/>
      <w:szCs w:val="24"/>
      <w:lang w:eastAsia="en-AU"/>
    </w:rPr>
  </w:style>
  <w:style w:type="paragraph" w:customStyle="1" w:styleId="xl128">
    <w:name w:val="xl128"/>
    <w:basedOn w:val="Normal"/>
    <w:rsid w:val="001A1DD0"/>
    <w:pPr>
      <w:pBdr>
        <w:top w:val="single" w:sz="4" w:space="0" w:color="auto"/>
      </w:pBd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29">
    <w:name w:val="xl129"/>
    <w:basedOn w:val="Normal"/>
    <w:rsid w:val="001A1DD0"/>
    <w:pPr>
      <w:pBdr>
        <w:bottom w:val="single" w:sz="4" w:space="0" w:color="auto"/>
      </w:pBdr>
      <w:spacing w:before="100" w:beforeAutospacing="1" w:after="100" w:afterAutospacing="1" w:line="240" w:lineRule="auto"/>
    </w:pPr>
    <w:rPr>
      <w:rFonts w:ascii="Arial" w:eastAsia="Times New Roman" w:hAnsi="Arial" w:cs="Arial"/>
      <w:b/>
      <w:bCs/>
      <w:sz w:val="24"/>
      <w:szCs w:val="24"/>
      <w:lang w:eastAsia="en-AU"/>
    </w:rPr>
  </w:style>
  <w:style w:type="paragraph" w:customStyle="1" w:styleId="xl130">
    <w:name w:val="xl130"/>
    <w:basedOn w:val="Normal"/>
    <w:rsid w:val="001A1DD0"/>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n-AU"/>
    </w:rPr>
  </w:style>
  <w:style w:type="paragraph" w:customStyle="1" w:styleId="xl131">
    <w:name w:val="xl131"/>
    <w:basedOn w:val="Normal"/>
    <w:rsid w:val="001A1DD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table" w:styleId="LightList-Accent5">
    <w:name w:val="Light List Accent 5"/>
    <w:basedOn w:val="TableNormal"/>
    <w:uiPriority w:val="61"/>
    <w:rsid w:val="001A1DD0"/>
    <w:pPr>
      <w:spacing w:after="0" w:line="240" w:lineRule="auto"/>
    </w:pPr>
    <w:rPr>
      <w:rFonts w:eastAsiaTheme="minorEastAsia"/>
    </w:rPr>
    <w:tblPr>
      <w:tblStyleRowBandSize w:val="1"/>
      <w:tblStyleColBandSize w:val="1"/>
      <w:tblBorders>
        <w:top w:val="single" w:sz="8" w:space="0" w:color="5B796D" w:themeColor="accent5"/>
        <w:left w:val="single" w:sz="8" w:space="0" w:color="5B796D" w:themeColor="accent5"/>
        <w:bottom w:val="single" w:sz="8" w:space="0" w:color="5B796D" w:themeColor="accent5"/>
        <w:right w:val="single" w:sz="8" w:space="0" w:color="5B796D" w:themeColor="accent5"/>
      </w:tblBorders>
    </w:tblPr>
    <w:tblStylePr w:type="firstRow">
      <w:pPr>
        <w:spacing w:before="0" w:after="0" w:line="240" w:lineRule="auto"/>
      </w:pPr>
      <w:rPr>
        <w:b/>
        <w:bCs/>
        <w:color w:val="FFFFFF" w:themeColor="background1"/>
      </w:rPr>
      <w:tblPr/>
      <w:tcPr>
        <w:shd w:val="clear" w:color="auto" w:fill="5B796D" w:themeFill="accent5"/>
      </w:tcPr>
    </w:tblStylePr>
    <w:tblStylePr w:type="lastRow">
      <w:pPr>
        <w:spacing w:before="0" w:after="0" w:line="240" w:lineRule="auto"/>
      </w:pPr>
      <w:rPr>
        <w:b/>
        <w:bCs/>
      </w:rPr>
      <w:tblPr/>
      <w:tcPr>
        <w:tcBorders>
          <w:top w:val="double" w:sz="6" w:space="0" w:color="5B796D" w:themeColor="accent5"/>
          <w:left w:val="single" w:sz="8" w:space="0" w:color="5B796D" w:themeColor="accent5"/>
          <w:bottom w:val="single" w:sz="8" w:space="0" w:color="5B796D" w:themeColor="accent5"/>
          <w:right w:val="single" w:sz="8" w:space="0" w:color="5B796D" w:themeColor="accent5"/>
        </w:tcBorders>
      </w:tcPr>
    </w:tblStylePr>
    <w:tblStylePr w:type="firstCol">
      <w:rPr>
        <w:b/>
        <w:bCs/>
      </w:rPr>
    </w:tblStylePr>
    <w:tblStylePr w:type="lastCol">
      <w:rPr>
        <w:b/>
        <w:bCs/>
      </w:rPr>
    </w:tblStylePr>
    <w:tblStylePr w:type="band1Vert">
      <w:tblPr/>
      <w:tcPr>
        <w:tcBorders>
          <w:top w:val="single" w:sz="8" w:space="0" w:color="5B796D" w:themeColor="accent5"/>
          <w:left w:val="single" w:sz="8" w:space="0" w:color="5B796D" w:themeColor="accent5"/>
          <w:bottom w:val="single" w:sz="8" w:space="0" w:color="5B796D" w:themeColor="accent5"/>
          <w:right w:val="single" w:sz="8" w:space="0" w:color="5B796D" w:themeColor="accent5"/>
        </w:tcBorders>
      </w:tcPr>
    </w:tblStylePr>
    <w:tblStylePr w:type="band1Horz">
      <w:tblPr/>
      <w:tcPr>
        <w:tcBorders>
          <w:top w:val="single" w:sz="8" w:space="0" w:color="5B796D" w:themeColor="accent5"/>
          <w:left w:val="single" w:sz="8" w:space="0" w:color="5B796D" w:themeColor="accent5"/>
          <w:bottom w:val="single" w:sz="8" w:space="0" w:color="5B796D" w:themeColor="accent5"/>
          <w:right w:val="single" w:sz="8" w:space="0" w:color="5B796D" w:themeColor="accent5"/>
        </w:tcBorders>
      </w:tcPr>
    </w:tblStylePr>
  </w:style>
  <w:style w:type="numbering" w:customStyle="1" w:styleId="NoList2">
    <w:name w:val="No List2"/>
    <w:next w:val="NoList"/>
    <w:uiPriority w:val="99"/>
    <w:semiHidden/>
    <w:unhideWhenUsed/>
    <w:rsid w:val="001A1DD0"/>
  </w:style>
  <w:style w:type="paragraph" w:customStyle="1" w:styleId="ListNumber1">
    <w:name w:val="List Number1"/>
    <w:basedOn w:val="Normal"/>
    <w:next w:val="ListNumber"/>
    <w:uiPriority w:val="99"/>
    <w:unhideWhenUsed/>
    <w:rsid w:val="001A1DD0"/>
    <w:pPr>
      <w:tabs>
        <w:tab w:val="num" w:pos="926"/>
      </w:tabs>
      <w:spacing w:after="120" w:line="276" w:lineRule="auto"/>
      <w:ind w:left="369" w:hanging="369"/>
      <w:contextualSpacing/>
    </w:pPr>
    <w:rPr>
      <w:rFonts w:eastAsia="Times New Roman"/>
    </w:rPr>
  </w:style>
  <w:style w:type="paragraph" w:customStyle="1" w:styleId="ListNumber21">
    <w:name w:val="List Number 21"/>
    <w:basedOn w:val="Normal"/>
    <w:next w:val="ListNumber2"/>
    <w:uiPriority w:val="99"/>
    <w:unhideWhenUsed/>
    <w:rsid w:val="001A1DD0"/>
    <w:pPr>
      <w:tabs>
        <w:tab w:val="num" w:pos="926"/>
        <w:tab w:val="left" w:pos="1134"/>
      </w:tabs>
      <w:spacing w:after="120" w:line="276" w:lineRule="auto"/>
      <w:ind w:left="936" w:hanging="567"/>
      <w:contextualSpacing/>
    </w:pPr>
    <w:rPr>
      <w:rFonts w:eastAsia="Times New Roman"/>
    </w:rPr>
  </w:style>
  <w:style w:type="paragraph" w:customStyle="1" w:styleId="ListNumber31">
    <w:name w:val="List Number 31"/>
    <w:basedOn w:val="Normal"/>
    <w:next w:val="ListNumber3"/>
    <w:uiPriority w:val="99"/>
    <w:unhideWhenUsed/>
    <w:rsid w:val="001A1DD0"/>
    <w:pPr>
      <w:tabs>
        <w:tab w:val="num" w:pos="926"/>
      </w:tabs>
      <w:spacing w:after="120" w:line="276" w:lineRule="auto"/>
      <w:ind w:left="1701" w:hanging="765"/>
      <w:contextualSpacing/>
    </w:pPr>
    <w:rPr>
      <w:rFonts w:eastAsia="Times New Roman"/>
    </w:rPr>
  </w:style>
  <w:style w:type="paragraph" w:customStyle="1" w:styleId="ListNumber41">
    <w:name w:val="List Number 41"/>
    <w:basedOn w:val="Normal"/>
    <w:next w:val="ListNumber4"/>
    <w:uiPriority w:val="99"/>
    <w:unhideWhenUsed/>
    <w:rsid w:val="001A1DD0"/>
    <w:pPr>
      <w:tabs>
        <w:tab w:val="num" w:pos="926"/>
      </w:tabs>
      <w:spacing w:after="120" w:line="276" w:lineRule="auto"/>
      <w:ind w:left="2637" w:hanging="936"/>
      <w:contextualSpacing/>
    </w:pPr>
    <w:rPr>
      <w:rFonts w:eastAsia="Times New Roman"/>
    </w:rPr>
  </w:style>
  <w:style w:type="paragraph" w:customStyle="1" w:styleId="ListBullet1">
    <w:name w:val="List Bullet1"/>
    <w:basedOn w:val="Normal"/>
    <w:next w:val="ListBullet"/>
    <w:uiPriority w:val="99"/>
    <w:unhideWhenUsed/>
    <w:rsid w:val="001A1DD0"/>
    <w:pPr>
      <w:spacing w:after="120" w:line="276" w:lineRule="auto"/>
      <w:ind w:left="369" w:hanging="369"/>
      <w:contextualSpacing/>
    </w:pPr>
    <w:rPr>
      <w:rFonts w:eastAsia="Times New Roman"/>
    </w:rPr>
  </w:style>
  <w:style w:type="paragraph" w:customStyle="1" w:styleId="ListBullet21">
    <w:name w:val="List Bullet 21"/>
    <w:basedOn w:val="Normal"/>
    <w:next w:val="ListBullet2"/>
    <w:uiPriority w:val="99"/>
    <w:unhideWhenUsed/>
    <w:rsid w:val="001A1DD0"/>
    <w:pPr>
      <w:spacing w:after="120" w:line="276" w:lineRule="auto"/>
      <w:ind w:left="766" w:hanging="369"/>
      <w:contextualSpacing/>
    </w:pPr>
    <w:rPr>
      <w:rFonts w:eastAsia="Times New Roman"/>
    </w:rPr>
  </w:style>
  <w:style w:type="paragraph" w:customStyle="1" w:styleId="ListBullet31">
    <w:name w:val="List Bullet 31"/>
    <w:basedOn w:val="Normal"/>
    <w:next w:val="ListBullet3"/>
    <w:uiPriority w:val="99"/>
    <w:unhideWhenUsed/>
    <w:rsid w:val="001A1DD0"/>
    <w:pPr>
      <w:spacing w:after="120" w:line="276" w:lineRule="auto"/>
      <w:ind w:left="1163" w:hanging="369"/>
      <w:contextualSpacing/>
    </w:pPr>
    <w:rPr>
      <w:rFonts w:eastAsia="Times New Roman"/>
    </w:rPr>
  </w:style>
  <w:style w:type="paragraph" w:customStyle="1" w:styleId="ListBullet41">
    <w:name w:val="List Bullet 41"/>
    <w:basedOn w:val="Normal"/>
    <w:next w:val="ListBullet4"/>
    <w:uiPriority w:val="99"/>
    <w:unhideWhenUsed/>
    <w:rsid w:val="001A1DD0"/>
    <w:pPr>
      <w:spacing w:after="120" w:line="276" w:lineRule="auto"/>
      <w:ind w:left="1503" w:hanging="369"/>
      <w:contextualSpacing/>
    </w:pPr>
    <w:rPr>
      <w:rFonts w:eastAsia="Times New Roman"/>
    </w:rPr>
  </w:style>
  <w:style w:type="paragraph" w:customStyle="1" w:styleId="BodyText1">
    <w:name w:val="Body Text1"/>
    <w:basedOn w:val="Normal"/>
    <w:next w:val="BodyText"/>
    <w:rsid w:val="001A1DD0"/>
    <w:pPr>
      <w:spacing w:after="120" w:line="240" w:lineRule="auto"/>
    </w:pPr>
    <w:rPr>
      <w:rFonts w:eastAsia="Times New Roman" w:cs="Times New Roman"/>
      <w:szCs w:val="24"/>
      <w:lang w:eastAsia="en-AU"/>
    </w:rPr>
  </w:style>
  <w:style w:type="paragraph" w:customStyle="1" w:styleId="TOC31">
    <w:name w:val="TOC 31"/>
    <w:basedOn w:val="Normal"/>
    <w:next w:val="Normal"/>
    <w:autoRedefine/>
    <w:uiPriority w:val="39"/>
    <w:unhideWhenUsed/>
    <w:rsid w:val="001A1DD0"/>
    <w:pPr>
      <w:spacing w:after="100" w:line="276" w:lineRule="auto"/>
      <w:ind w:left="440"/>
    </w:pPr>
    <w:rPr>
      <w:rFonts w:eastAsia="Times New Roman"/>
    </w:rPr>
  </w:style>
  <w:style w:type="paragraph" w:customStyle="1" w:styleId="Caption1">
    <w:name w:val="Caption1"/>
    <w:basedOn w:val="Normal"/>
    <w:next w:val="Normal"/>
    <w:uiPriority w:val="35"/>
    <w:unhideWhenUsed/>
    <w:rsid w:val="001A1DD0"/>
    <w:pPr>
      <w:spacing w:before="200" w:after="0" w:line="276" w:lineRule="auto"/>
    </w:pPr>
    <w:rPr>
      <w:rFonts w:ascii="Calibri" w:eastAsia="Times New Roman" w:hAnsi="Calibri"/>
      <w:b/>
    </w:rPr>
  </w:style>
  <w:style w:type="paragraph" w:customStyle="1" w:styleId="bulletnormal">
    <w:name w:val="bullet normal"/>
    <w:basedOn w:val="Normal"/>
    <w:rsid w:val="001A1DD0"/>
    <w:pPr>
      <w:numPr>
        <w:numId w:val="7"/>
      </w:numPr>
      <w:spacing w:after="60" w:line="240" w:lineRule="auto"/>
    </w:pPr>
    <w:rPr>
      <w:rFonts w:ascii="Book Antiqua" w:eastAsia="Times New Roman" w:hAnsi="Book Antiqua" w:cs="Times New Roman"/>
      <w:szCs w:val="20"/>
    </w:rPr>
  </w:style>
  <w:style w:type="paragraph" w:customStyle="1" w:styleId="EndnoteText1">
    <w:name w:val="Endnote Text1"/>
    <w:basedOn w:val="Normal"/>
    <w:next w:val="EndnoteText"/>
    <w:uiPriority w:val="99"/>
    <w:semiHidden/>
    <w:unhideWhenUsed/>
    <w:rsid w:val="001A1DD0"/>
    <w:pPr>
      <w:spacing w:after="0" w:line="240" w:lineRule="auto"/>
    </w:pPr>
    <w:rPr>
      <w:sz w:val="20"/>
      <w:szCs w:val="20"/>
    </w:rPr>
  </w:style>
  <w:style w:type="paragraph" w:customStyle="1" w:styleId="Text">
    <w:name w:val="Text"/>
    <w:basedOn w:val="Normal"/>
    <w:link w:val="TextChar"/>
    <w:autoRedefine/>
    <w:rsid w:val="001A1DD0"/>
    <w:pPr>
      <w:spacing w:before="60" w:after="60" w:line="240" w:lineRule="auto"/>
    </w:pPr>
    <w:rPr>
      <w:rFonts w:eastAsia="Times New Roman" w:cs="Calibri"/>
      <w:kern w:val="28"/>
      <w:szCs w:val="20"/>
    </w:rPr>
  </w:style>
  <w:style w:type="character" w:customStyle="1" w:styleId="TextChar">
    <w:name w:val="Text Char"/>
    <w:basedOn w:val="DefaultParagraphFont"/>
    <w:link w:val="Text"/>
    <w:rsid w:val="001A1DD0"/>
    <w:rPr>
      <w:rFonts w:eastAsia="Times New Roman" w:cs="Calibri"/>
      <w:kern w:val="28"/>
      <w:szCs w:val="20"/>
    </w:rPr>
  </w:style>
  <w:style w:type="character" w:customStyle="1" w:styleId="BodyTextChar1">
    <w:name w:val="Body Text Char1"/>
    <w:basedOn w:val="DefaultParagraphFont"/>
    <w:uiPriority w:val="99"/>
    <w:semiHidden/>
    <w:rsid w:val="001A1DD0"/>
  </w:style>
  <w:style w:type="character" w:customStyle="1" w:styleId="EndnoteTextChar1">
    <w:name w:val="Endnote Text Char1"/>
    <w:basedOn w:val="DefaultParagraphFont"/>
    <w:uiPriority w:val="99"/>
    <w:semiHidden/>
    <w:rsid w:val="001A1DD0"/>
    <w:rPr>
      <w:rFonts w:eastAsiaTheme="minorHAnsi"/>
      <w:sz w:val="20"/>
      <w:szCs w:val="20"/>
    </w:rPr>
  </w:style>
  <w:style w:type="table" w:customStyle="1" w:styleId="TableGrid2">
    <w:name w:val="Table Grid2"/>
    <w:basedOn w:val="TableNormal"/>
    <w:next w:val="TableGrid"/>
    <w:uiPriority w:val="59"/>
    <w:rsid w:val="001A1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A1DD0"/>
    <w:pPr>
      <w:spacing w:before="100" w:beforeAutospacing="1" w:after="100" w:afterAutospacing="1" w:line="240" w:lineRule="auto"/>
    </w:pPr>
    <w:rPr>
      <w:rFonts w:ascii="Times New Roman" w:hAnsi="Times New Roman" w:cs="Times New Roman"/>
      <w:sz w:val="24"/>
      <w:szCs w:val="24"/>
      <w:lang w:eastAsia="en-AU"/>
    </w:rPr>
  </w:style>
  <w:style w:type="paragraph" w:customStyle="1" w:styleId="HERNormal">
    <w:name w:val="HER_Normal"/>
    <w:basedOn w:val="Normal"/>
    <w:qFormat/>
    <w:rsid w:val="001A1DD0"/>
    <w:pPr>
      <w:spacing w:after="200" w:line="276" w:lineRule="auto"/>
    </w:pPr>
    <w:rPr>
      <w:rFonts w:eastAsiaTheme="minorEastAsia"/>
      <w:noProof/>
    </w:rPr>
  </w:style>
  <w:style w:type="paragraph" w:customStyle="1" w:styleId="QTBDot">
    <w:name w:val="QTBDot"/>
    <w:basedOn w:val="Normal"/>
    <w:uiPriority w:val="99"/>
    <w:rsid w:val="001A1DD0"/>
    <w:pPr>
      <w:spacing w:after="120" w:line="360" w:lineRule="auto"/>
    </w:pPr>
    <w:rPr>
      <w:rFonts w:ascii="Times New Roman" w:hAnsi="Times New Roman" w:cs="Times New Roman"/>
      <w:sz w:val="28"/>
      <w:szCs w:val="28"/>
      <w:lang w:eastAsia="en-AU"/>
    </w:rPr>
  </w:style>
  <w:style w:type="paragraph" w:customStyle="1" w:styleId="Pa3">
    <w:name w:val="Pa3"/>
    <w:basedOn w:val="Default"/>
    <w:next w:val="Default"/>
    <w:uiPriority w:val="99"/>
    <w:rsid w:val="001A1DD0"/>
    <w:pPr>
      <w:spacing w:line="641" w:lineRule="atLeast"/>
    </w:pPr>
    <w:rPr>
      <w:rFonts w:ascii="Sansa Soft Pro" w:hAnsi="Sansa Soft Pro" w:cstheme="minorBidi"/>
      <w:color w:val="auto"/>
    </w:rPr>
  </w:style>
  <w:style w:type="table" w:customStyle="1" w:styleId="TableGrid3">
    <w:name w:val="Table Grid3"/>
    <w:basedOn w:val="TableNormal"/>
    <w:next w:val="TableGrid"/>
    <w:rsid w:val="001A1DD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ionshareable">
    <w:name w:val="selectionshareable"/>
    <w:basedOn w:val="Normal"/>
    <w:rsid w:val="001A1DD0"/>
    <w:pPr>
      <w:spacing w:before="240" w:after="240" w:line="240" w:lineRule="auto"/>
    </w:pPr>
    <w:rPr>
      <w:rFonts w:ascii="Times New Roman" w:eastAsia="Times New Roman" w:hAnsi="Times New Roman" w:cs="Times New Roman"/>
      <w:sz w:val="24"/>
      <w:szCs w:val="24"/>
      <w:lang w:eastAsia="en-AU"/>
    </w:rPr>
  </w:style>
  <w:style w:type="paragraph" w:customStyle="1" w:styleId="first">
    <w:name w:val="first"/>
    <w:basedOn w:val="Normal"/>
    <w:rsid w:val="001A1DD0"/>
    <w:pPr>
      <w:spacing w:after="240" w:line="240" w:lineRule="auto"/>
    </w:pPr>
    <w:rPr>
      <w:rFonts w:ascii="Times New Roman" w:eastAsia="Times New Roman" w:hAnsi="Times New Roman" w:cs="Times New Roman"/>
      <w:sz w:val="24"/>
      <w:szCs w:val="24"/>
      <w:lang w:eastAsia="en-AU"/>
    </w:rPr>
  </w:style>
  <w:style w:type="table" w:customStyle="1" w:styleId="LightShading-Accent52">
    <w:name w:val="Light Shading - Accent 52"/>
    <w:basedOn w:val="TableNormal"/>
    <w:next w:val="LightShading-Accent5"/>
    <w:uiPriority w:val="60"/>
    <w:rsid w:val="001A1DD0"/>
    <w:pPr>
      <w:spacing w:after="0" w:line="240" w:lineRule="auto"/>
    </w:pPr>
    <w:rPr>
      <w:rFonts w:eastAsiaTheme="minorEastAsia"/>
      <w:color w:val="445A51" w:themeColor="accent5" w:themeShade="BF"/>
    </w:rPr>
    <w:tblPr>
      <w:tblStyleRowBandSize w:val="1"/>
      <w:tblStyleColBandSize w:val="1"/>
      <w:tblBorders>
        <w:top w:val="single" w:sz="8" w:space="0" w:color="5B796D" w:themeColor="accent5"/>
        <w:bottom w:val="single" w:sz="8" w:space="0" w:color="5B796D" w:themeColor="accent5"/>
      </w:tblBorders>
    </w:tblPr>
    <w:tblStylePr w:type="firstRow">
      <w:pPr>
        <w:spacing w:before="0" w:after="0" w:line="240" w:lineRule="auto"/>
      </w:pPr>
      <w:rPr>
        <w:b/>
        <w:bCs/>
      </w:rPr>
      <w:tblPr/>
      <w:tcPr>
        <w:tcBorders>
          <w:top w:val="single" w:sz="8" w:space="0" w:color="5B796D" w:themeColor="accent5"/>
          <w:left w:val="nil"/>
          <w:bottom w:val="single" w:sz="8" w:space="0" w:color="5B796D" w:themeColor="accent5"/>
          <w:right w:val="nil"/>
          <w:insideH w:val="nil"/>
          <w:insideV w:val="nil"/>
        </w:tcBorders>
      </w:tcPr>
    </w:tblStylePr>
    <w:tblStylePr w:type="lastRow">
      <w:pPr>
        <w:spacing w:before="0" w:after="0" w:line="240" w:lineRule="auto"/>
      </w:pPr>
      <w:rPr>
        <w:b/>
        <w:bCs/>
      </w:rPr>
      <w:tblPr/>
      <w:tcPr>
        <w:tcBorders>
          <w:top w:val="single" w:sz="8" w:space="0" w:color="5B796D" w:themeColor="accent5"/>
          <w:left w:val="nil"/>
          <w:bottom w:val="single" w:sz="8" w:space="0" w:color="5B796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FDB" w:themeFill="accent5" w:themeFillTint="3F"/>
      </w:tcPr>
    </w:tblStylePr>
    <w:tblStylePr w:type="band1Horz">
      <w:tblPr/>
      <w:tcPr>
        <w:tcBorders>
          <w:left w:val="nil"/>
          <w:right w:val="nil"/>
          <w:insideH w:val="nil"/>
          <w:insideV w:val="nil"/>
        </w:tcBorders>
        <w:shd w:val="clear" w:color="auto" w:fill="D4DFDB" w:themeFill="accent5" w:themeFillTint="3F"/>
      </w:tcPr>
    </w:tblStylePr>
  </w:style>
  <w:style w:type="table" w:customStyle="1" w:styleId="TableGrid4">
    <w:name w:val="Table Grid4"/>
    <w:basedOn w:val="TableNormal"/>
    <w:next w:val="TableGrid"/>
    <w:rsid w:val="001A1DD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A1DD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1A1DD0"/>
    <w:rPr>
      <w:rFonts w:cs="Futura Std Book"/>
      <w:color w:val="000000"/>
      <w:sz w:val="20"/>
      <w:szCs w:val="20"/>
    </w:rPr>
  </w:style>
  <w:style w:type="character" w:customStyle="1" w:styleId="A7">
    <w:name w:val="A7"/>
    <w:uiPriority w:val="99"/>
    <w:rsid w:val="001A1DD0"/>
    <w:rPr>
      <w:rFonts w:cs="Futura Std Book"/>
      <w:color w:val="000000"/>
      <w:sz w:val="11"/>
      <w:szCs w:val="11"/>
    </w:rPr>
  </w:style>
  <w:style w:type="table" w:customStyle="1" w:styleId="TableGrid5">
    <w:name w:val="Table Grid5"/>
    <w:basedOn w:val="TableNormal"/>
    <w:next w:val="TableGrid"/>
    <w:uiPriority w:val="59"/>
    <w:rsid w:val="001A1DD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1A1DD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
    <w:name w:val="Grid Table 6 Colorful - Accent 11"/>
    <w:basedOn w:val="TableNormal"/>
    <w:uiPriority w:val="51"/>
    <w:rsid w:val="001A1DD0"/>
    <w:pPr>
      <w:spacing w:after="0" w:line="240" w:lineRule="auto"/>
    </w:pPr>
    <w:rPr>
      <w:color w:val="2B363D" w:themeColor="accent1" w:themeShade="BF"/>
    </w:rPr>
    <w:tblPr>
      <w:tblStyleRowBandSize w:val="1"/>
      <w:tblStyleColBandSize w:val="1"/>
      <w:tblBorders>
        <w:top w:val="single" w:sz="4" w:space="0" w:color="7C94A3" w:themeColor="accent1" w:themeTint="99"/>
        <w:left w:val="single" w:sz="4" w:space="0" w:color="7C94A3" w:themeColor="accent1" w:themeTint="99"/>
        <w:bottom w:val="single" w:sz="4" w:space="0" w:color="7C94A3" w:themeColor="accent1" w:themeTint="99"/>
        <w:right w:val="single" w:sz="4" w:space="0" w:color="7C94A3" w:themeColor="accent1" w:themeTint="99"/>
        <w:insideH w:val="single" w:sz="4" w:space="0" w:color="7C94A3" w:themeColor="accent1" w:themeTint="99"/>
        <w:insideV w:val="single" w:sz="4" w:space="0" w:color="7C94A3" w:themeColor="accent1" w:themeTint="99"/>
      </w:tblBorders>
    </w:tblPr>
    <w:tblStylePr w:type="firstRow">
      <w:rPr>
        <w:b/>
        <w:bCs/>
      </w:rPr>
      <w:tblPr/>
      <w:tcPr>
        <w:tcBorders>
          <w:bottom w:val="single" w:sz="12" w:space="0" w:color="7C94A3" w:themeColor="accent1" w:themeTint="99"/>
        </w:tcBorders>
      </w:tcPr>
    </w:tblStylePr>
    <w:tblStylePr w:type="lastRow">
      <w:rPr>
        <w:b/>
        <w:bCs/>
      </w:rPr>
      <w:tblPr/>
      <w:tcPr>
        <w:tcBorders>
          <w:top w:val="double" w:sz="4" w:space="0" w:color="7C94A3" w:themeColor="accent1" w:themeTint="99"/>
        </w:tcBorders>
      </w:tcPr>
    </w:tblStylePr>
    <w:tblStylePr w:type="firstCol">
      <w:rPr>
        <w:b/>
        <w:bCs/>
      </w:rPr>
    </w:tblStylePr>
    <w:tblStylePr w:type="lastCol">
      <w:rPr>
        <w:b/>
        <w:bCs/>
      </w:rPr>
    </w:tblStylePr>
    <w:tblStylePr w:type="band1Vert">
      <w:tblPr/>
      <w:tcPr>
        <w:shd w:val="clear" w:color="auto" w:fill="D3DBE0" w:themeFill="accent1" w:themeFillTint="33"/>
      </w:tcPr>
    </w:tblStylePr>
    <w:tblStylePr w:type="band1Horz">
      <w:tblPr/>
      <w:tcPr>
        <w:shd w:val="clear" w:color="auto" w:fill="D3DBE0" w:themeFill="accent1" w:themeFillTint="33"/>
      </w:tcPr>
    </w:tblStylePr>
  </w:style>
  <w:style w:type="table" w:styleId="GridTable6Colorful-Accent1">
    <w:name w:val="Grid Table 6 Colorful Accent 1"/>
    <w:basedOn w:val="TableNormal"/>
    <w:uiPriority w:val="51"/>
    <w:rsid w:val="001A1DD0"/>
    <w:pPr>
      <w:spacing w:after="0" w:line="240" w:lineRule="auto"/>
    </w:pPr>
    <w:rPr>
      <w:color w:val="2B363D" w:themeColor="accent1" w:themeShade="BF"/>
    </w:rPr>
    <w:tblPr>
      <w:tblStyleRowBandSize w:val="1"/>
      <w:tblStyleColBandSize w:val="1"/>
      <w:tblBorders>
        <w:top w:val="single" w:sz="4" w:space="0" w:color="7C94A3" w:themeColor="accent1" w:themeTint="99"/>
        <w:left w:val="single" w:sz="4" w:space="0" w:color="7C94A3" w:themeColor="accent1" w:themeTint="99"/>
        <w:bottom w:val="single" w:sz="4" w:space="0" w:color="7C94A3" w:themeColor="accent1" w:themeTint="99"/>
        <w:right w:val="single" w:sz="4" w:space="0" w:color="7C94A3" w:themeColor="accent1" w:themeTint="99"/>
        <w:insideH w:val="single" w:sz="4" w:space="0" w:color="7C94A3" w:themeColor="accent1" w:themeTint="99"/>
        <w:insideV w:val="single" w:sz="4" w:space="0" w:color="7C94A3" w:themeColor="accent1" w:themeTint="99"/>
      </w:tblBorders>
    </w:tblPr>
    <w:tblStylePr w:type="firstRow">
      <w:rPr>
        <w:b/>
        <w:bCs/>
      </w:rPr>
      <w:tblPr/>
      <w:tcPr>
        <w:tcBorders>
          <w:bottom w:val="single" w:sz="12" w:space="0" w:color="7C94A3" w:themeColor="accent1" w:themeTint="99"/>
        </w:tcBorders>
      </w:tcPr>
    </w:tblStylePr>
    <w:tblStylePr w:type="lastRow">
      <w:rPr>
        <w:b/>
        <w:bCs/>
      </w:rPr>
      <w:tblPr/>
      <w:tcPr>
        <w:tcBorders>
          <w:top w:val="double" w:sz="4" w:space="0" w:color="7C94A3" w:themeColor="accent1" w:themeTint="99"/>
        </w:tcBorders>
      </w:tcPr>
    </w:tblStylePr>
    <w:tblStylePr w:type="firstCol">
      <w:rPr>
        <w:b/>
        <w:bCs/>
      </w:rPr>
    </w:tblStylePr>
    <w:tblStylePr w:type="lastCol">
      <w:rPr>
        <w:b/>
        <w:bCs/>
      </w:rPr>
    </w:tblStylePr>
    <w:tblStylePr w:type="band1Vert">
      <w:tblPr/>
      <w:tcPr>
        <w:shd w:val="clear" w:color="auto" w:fill="D3DBE0" w:themeFill="accent1" w:themeFillTint="33"/>
      </w:tcPr>
    </w:tblStylePr>
    <w:tblStylePr w:type="band1Horz">
      <w:tblPr/>
      <w:tcPr>
        <w:shd w:val="clear" w:color="auto" w:fill="D3DBE0" w:themeFill="accent1" w:themeFillTint="33"/>
      </w:tcPr>
    </w:tblStylePr>
  </w:style>
  <w:style w:type="character" w:customStyle="1" w:styleId="UnresolvedMention1">
    <w:name w:val="Unresolved Mention1"/>
    <w:basedOn w:val="DefaultParagraphFont"/>
    <w:uiPriority w:val="99"/>
    <w:semiHidden/>
    <w:unhideWhenUsed/>
    <w:rsid w:val="001A1DD0"/>
    <w:rPr>
      <w:color w:val="605E5C"/>
      <w:shd w:val="clear" w:color="auto" w:fill="E1DFDD"/>
    </w:rPr>
  </w:style>
  <w:style w:type="character" w:customStyle="1" w:styleId="FellowBodyChar">
    <w:name w:val="Fellow#Body Char"/>
    <w:basedOn w:val="DefaultParagraphFont"/>
    <w:link w:val="FellowBody"/>
    <w:locked/>
    <w:rsid w:val="001A1DD0"/>
    <w:rPr>
      <w:rFonts w:ascii="Leelawadee UI" w:hAnsi="Leelawadee UI" w:cs="Leelawadee UI"/>
      <w:noProof/>
      <w:szCs w:val="24"/>
    </w:rPr>
  </w:style>
  <w:style w:type="paragraph" w:customStyle="1" w:styleId="FellowBody">
    <w:name w:val="Fellow#Body"/>
    <w:basedOn w:val="Normal"/>
    <w:link w:val="FellowBodyChar"/>
    <w:autoRedefine/>
    <w:qFormat/>
    <w:rsid w:val="001A1DD0"/>
    <w:pPr>
      <w:spacing w:after="0" w:line="276" w:lineRule="auto"/>
    </w:pPr>
    <w:rPr>
      <w:rFonts w:ascii="Leelawadee UI" w:hAnsi="Leelawadee UI" w:cs="Leelawadee UI"/>
      <w:noProof/>
      <w:szCs w:val="24"/>
    </w:rPr>
  </w:style>
  <w:style w:type="paragraph" w:customStyle="1" w:styleId="Style5">
    <w:name w:val="Style5"/>
    <w:basedOn w:val="Normal"/>
    <w:link w:val="Style5Char"/>
    <w:qFormat/>
    <w:rsid w:val="001A1DD0"/>
    <w:pPr>
      <w:spacing w:after="0" w:line="360" w:lineRule="auto"/>
    </w:pPr>
    <w:rPr>
      <w:rFonts w:ascii="Times New Roman" w:eastAsia="Calibri" w:hAnsi="Times New Roman" w:cs="Times New Roman"/>
      <w:b/>
      <w:sz w:val="24"/>
      <w:lang w:eastAsia="en-AU"/>
    </w:rPr>
  </w:style>
  <w:style w:type="character" w:customStyle="1" w:styleId="Style5Char">
    <w:name w:val="Style5 Char"/>
    <w:basedOn w:val="DefaultParagraphFont"/>
    <w:link w:val="Style5"/>
    <w:rsid w:val="001A1DD0"/>
    <w:rPr>
      <w:rFonts w:ascii="Times New Roman" w:eastAsia="Calibri" w:hAnsi="Times New Roman" w:cs="Times New Roman"/>
      <w:b/>
      <w:sz w:val="24"/>
      <w:lang w:eastAsia="en-AU"/>
    </w:rPr>
  </w:style>
  <w:style w:type="character" w:customStyle="1" w:styleId="UnresolvedMention2">
    <w:name w:val="Unresolved Mention2"/>
    <w:basedOn w:val="DefaultParagraphFont"/>
    <w:uiPriority w:val="99"/>
    <w:semiHidden/>
    <w:unhideWhenUsed/>
    <w:rsid w:val="001A1DD0"/>
    <w:rPr>
      <w:color w:val="605E5C"/>
      <w:shd w:val="clear" w:color="auto" w:fill="E1DFDD"/>
    </w:rPr>
  </w:style>
  <w:style w:type="table" w:styleId="GridTable4-Accent1">
    <w:name w:val="Grid Table 4 Accent 1"/>
    <w:basedOn w:val="TableNormal"/>
    <w:uiPriority w:val="49"/>
    <w:rsid w:val="005E038C"/>
    <w:pPr>
      <w:spacing w:after="0" w:line="240" w:lineRule="auto"/>
    </w:pPr>
    <w:tblPr>
      <w:tblStyleRowBandSize w:val="1"/>
      <w:tblStyleColBandSize w:val="1"/>
      <w:tblBorders>
        <w:top w:val="single" w:sz="4" w:space="0" w:color="7C94A3" w:themeColor="accent1" w:themeTint="99"/>
        <w:left w:val="single" w:sz="4" w:space="0" w:color="7C94A3" w:themeColor="accent1" w:themeTint="99"/>
        <w:bottom w:val="single" w:sz="4" w:space="0" w:color="7C94A3" w:themeColor="accent1" w:themeTint="99"/>
        <w:right w:val="single" w:sz="4" w:space="0" w:color="7C94A3" w:themeColor="accent1" w:themeTint="99"/>
        <w:insideH w:val="single" w:sz="4" w:space="0" w:color="7C94A3" w:themeColor="accent1" w:themeTint="99"/>
        <w:insideV w:val="single" w:sz="4" w:space="0" w:color="7C94A3" w:themeColor="accent1" w:themeTint="99"/>
      </w:tblBorders>
    </w:tblPr>
    <w:tblStylePr w:type="firstRow">
      <w:rPr>
        <w:b/>
        <w:bCs/>
        <w:color w:val="FFFFFF" w:themeColor="background1"/>
      </w:rPr>
      <w:tblPr/>
      <w:tcPr>
        <w:tcBorders>
          <w:top w:val="single" w:sz="4" w:space="0" w:color="3A4952" w:themeColor="accent1"/>
          <w:left w:val="single" w:sz="4" w:space="0" w:color="3A4952" w:themeColor="accent1"/>
          <w:bottom w:val="single" w:sz="4" w:space="0" w:color="3A4952" w:themeColor="accent1"/>
          <w:right w:val="single" w:sz="4" w:space="0" w:color="3A4952" w:themeColor="accent1"/>
          <w:insideH w:val="nil"/>
          <w:insideV w:val="nil"/>
        </w:tcBorders>
        <w:shd w:val="clear" w:color="auto" w:fill="3A4952" w:themeFill="accent1"/>
      </w:tcPr>
    </w:tblStylePr>
    <w:tblStylePr w:type="lastRow">
      <w:rPr>
        <w:b/>
        <w:bCs/>
      </w:rPr>
      <w:tblPr/>
      <w:tcPr>
        <w:tcBorders>
          <w:top w:val="double" w:sz="4" w:space="0" w:color="3A4952" w:themeColor="accent1"/>
        </w:tcBorders>
      </w:tcPr>
    </w:tblStylePr>
    <w:tblStylePr w:type="firstCol">
      <w:rPr>
        <w:b/>
        <w:bCs/>
      </w:rPr>
    </w:tblStylePr>
    <w:tblStylePr w:type="lastCol">
      <w:rPr>
        <w:b/>
        <w:bCs/>
      </w:rPr>
    </w:tblStylePr>
    <w:tblStylePr w:type="band1Vert">
      <w:tblPr/>
      <w:tcPr>
        <w:shd w:val="clear" w:color="auto" w:fill="D3DBE0" w:themeFill="accent1" w:themeFillTint="33"/>
      </w:tcPr>
    </w:tblStylePr>
    <w:tblStylePr w:type="band1Horz">
      <w:tblPr/>
      <w:tcPr>
        <w:shd w:val="clear" w:color="auto" w:fill="D3DBE0" w:themeFill="accent1" w:themeFillTint="33"/>
      </w:tcPr>
    </w:tblStylePr>
  </w:style>
  <w:style w:type="table" w:styleId="ListTable4-Accent1">
    <w:name w:val="List Table 4 Accent 1"/>
    <w:basedOn w:val="TableNormal"/>
    <w:uiPriority w:val="49"/>
    <w:rsid w:val="005E038C"/>
    <w:pPr>
      <w:spacing w:after="0" w:line="240" w:lineRule="auto"/>
    </w:pPr>
    <w:tblPr>
      <w:tblStyleRowBandSize w:val="1"/>
      <w:tblStyleColBandSize w:val="1"/>
      <w:tblBorders>
        <w:top w:val="single" w:sz="4" w:space="0" w:color="7C94A3" w:themeColor="accent1" w:themeTint="99"/>
        <w:left w:val="single" w:sz="4" w:space="0" w:color="7C94A3" w:themeColor="accent1" w:themeTint="99"/>
        <w:bottom w:val="single" w:sz="4" w:space="0" w:color="7C94A3" w:themeColor="accent1" w:themeTint="99"/>
        <w:right w:val="single" w:sz="4" w:space="0" w:color="7C94A3" w:themeColor="accent1" w:themeTint="99"/>
        <w:insideH w:val="single" w:sz="4" w:space="0" w:color="7C94A3" w:themeColor="accent1" w:themeTint="99"/>
      </w:tblBorders>
    </w:tblPr>
    <w:tblStylePr w:type="firstRow">
      <w:rPr>
        <w:b/>
        <w:bCs/>
        <w:color w:val="FFFFFF" w:themeColor="background1"/>
      </w:rPr>
      <w:tblPr/>
      <w:tcPr>
        <w:tcBorders>
          <w:top w:val="single" w:sz="4" w:space="0" w:color="3A4952" w:themeColor="accent1"/>
          <w:left w:val="single" w:sz="4" w:space="0" w:color="3A4952" w:themeColor="accent1"/>
          <w:bottom w:val="single" w:sz="4" w:space="0" w:color="3A4952" w:themeColor="accent1"/>
          <w:right w:val="single" w:sz="4" w:space="0" w:color="3A4952" w:themeColor="accent1"/>
          <w:insideH w:val="nil"/>
        </w:tcBorders>
        <w:shd w:val="clear" w:color="auto" w:fill="3A4952" w:themeFill="accent1"/>
      </w:tcPr>
    </w:tblStylePr>
    <w:tblStylePr w:type="lastRow">
      <w:rPr>
        <w:b/>
        <w:bCs/>
      </w:rPr>
      <w:tblPr/>
      <w:tcPr>
        <w:tcBorders>
          <w:top w:val="double" w:sz="4" w:space="0" w:color="7C94A3" w:themeColor="accent1" w:themeTint="99"/>
        </w:tcBorders>
      </w:tcPr>
    </w:tblStylePr>
    <w:tblStylePr w:type="firstCol">
      <w:rPr>
        <w:b/>
        <w:bCs/>
      </w:rPr>
    </w:tblStylePr>
    <w:tblStylePr w:type="lastCol">
      <w:rPr>
        <w:b/>
        <w:bCs/>
      </w:rPr>
    </w:tblStylePr>
    <w:tblStylePr w:type="band1Vert">
      <w:tblPr/>
      <w:tcPr>
        <w:shd w:val="clear" w:color="auto" w:fill="D3DBE0" w:themeFill="accent1" w:themeFillTint="33"/>
      </w:tcPr>
    </w:tblStylePr>
    <w:tblStylePr w:type="band1Horz">
      <w:tblPr/>
      <w:tcPr>
        <w:shd w:val="clear" w:color="auto" w:fill="D3DBE0" w:themeFill="accent1" w:themeFillTint="33"/>
      </w:tcPr>
    </w:tblStylePr>
  </w:style>
  <w:style w:type="table" w:styleId="GridTable4-Accent5">
    <w:name w:val="Grid Table 4 Accent 5"/>
    <w:basedOn w:val="TableNormal"/>
    <w:uiPriority w:val="49"/>
    <w:rsid w:val="005E038C"/>
    <w:pPr>
      <w:spacing w:after="0" w:line="240" w:lineRule="auto"/>
    </w:pPr>
    <w:tblPr>
      <w:tblStyleRowBandSize w:val="1"/>
      <w:tblStyleColBandSize w:val="1"/>
      <w:tblBorders>
        <w:top w:val="single" w:sz="4" w:space="0" w:color="98B2A8" w:themeColor="accent5" w:themeTint="99"/>
        <w:left w:val="single" w:sz="4" w:space="0" w:color="98B2A8" w:themeColor="accent5" w:themeTint="99"/>
        <w:bottom w:val="single" w:sz="4" w:space="0" w:color="98B2A8" w:themeColor="accent5" w:themeTint="99"/>
        <w:right w:val="single" w:sz="4" w:space="0" w:color="98B2A8" w:themeColor="accent5" w:themeTint="99"/>
        <w:insideH w:val="single" w:sz="4" w:space="0" w:color="98B2A8" w:themeColor="accent5" w:themeTint="99"/>
        <w:insideV w:val="single" w:sz="4" w:space="0" w:color="98B2A8" w:themeColor="accent5" w:themeTint="99"/>
      </w:tblBorders>
    </w:tblPr>
    <w:tblStylePr w:type="firstRow">
      <w:rPr>
        <w:b/>
        <w:bCs/>
        <w:color w:val="FFFFFF" w:themeColor="background1"/>
      </w:rPr>
      <w:tblPr/>
      <w:tcPr>
        <w:tcBorders>
          <w:top w:val="single" w:sz="4" w:space="0" w:color="5B796D" w:themeColor="accent5"/>
          <w:left w:val="single" w:sz="4" w:space="0" w:color="5B796D" w:themeColor="accent5"/>
          <w:bottom w:val="single" w:sz="4" w:space="0" w:color="5B796D" w:themeColor="accent5"/>
          <w:right w:val="single" w:sz="4" w:space="0" w:color="5B796D" w:themeColor="accent5"/>
          <w:insideH w:val="nil"/>
          <w:insideV w:val="nil"/>
        </w:tcBorders>
        <w:shd w:val="clear" w:color="auto" w:fill="5B796D" w:themeFill="accent5"/>
      </w:tcPr>
    </w:tblStylePr>
    <w:tblStylePr w:type="lastRow">
      <w:rPr>
        <w:b/>
        <w:bCs/>
      </w:rPr>
      <w:tblPr/>
      <w:tcPr>
        <w:tcBorders>
          <w:top w:val="double" w:sz="4" w:space="0" w:color="5B796D" w:themeColor="accent5"/>
        </w:tcBorders>
      </w:tcPr>
    </w:tblStylePr>
    <w:tblStylePr w:type="firstCol">
      <w:rPr>
        <w:b/>
        <w:bCs/>
      </w:rPr>
    </w:tblStylePr>
    <w:tblStylePr w:type="lastCol">
      <w:rPr>
        <w:b/>
        <w:bCs/>
      </w:rPr>
    </w:tblStylePr>
    <w:tblStylePr w:type="band1Vert">
      <w:tblPr/>
      <w:tcPr>
        <w:shd w:val="clear" w:color="auto" w:fill="DCE5E2" w:themeFill="accent5" w:themeFillTint="33"/>
      </w:tcPr>
    </w:tblStylePr>
    <w:tblStylePr w:type="band1Horz">
      <w:tblPr/>
      <w:tcPr>
        <w:shd w:val="clear" w:color="auto" w:fill="DCE5E2" w:themeFill="accent5" w:themeFillTint="33"/>
      </w:tcPr>
    </w:tblStylePr>
  </w:style>
  <w:style w:type="paragraph" w:styleId="TOC4">
    <w:name w:val="toc 4"/>
    <w:basedOn w:val="Normal"/>
    <w:next w:val="Normal"/>
    <w:autoRedefine/>
    <w:uiPriority w:val="39"/>
    <w:unhideWhenUsed/>
    <w:rsid w:val="00046E33"/>
    <w:pPr>
      <w:spacing w:after="0"/>
      <w:ind w:left="660"/>
    </w:pPr>
    <w:rPr>
      <w:rFonts w:cstheme="minorHAnsi"/>
      <w:sz w:val="18"/>
      <w:szCs w:val="18"/>
    </w:rPr>
  </w:style>
  <w:style w:type="paragraph" w:styleId="TOC5">
    <w:name w:val="toc 5"/>
    <w:basedOn w:val="Normal"/>
    <w:next w:val="Normal"/>
    <w:autoRedefine/>
    <w:uiPriority w:val="39"/>
    <w:unhideWhenUsed/>
    <w:rsid w:val="00046E33"/>
    <w:pPr>
      <w:spacing w:after="0"/>
      <w:ind w:left="880"/>
    </w:pPr>
    <w:rPr>
      <w:rFonts w:cstheme="minorHAnsi"/>
      <w:sz w:val="18"/>
      <w:szCs w:val="18"/>
    </w:rPr>
  </w:style>
  <w:style w:type="paragraph" w:styleId="TOC6">
    <w:name w:val="toc 6"/>
    <w:basedOn w:val="Normal"/>
    <w:next w:val="Normal"/>
    <w:autoRedefine/>
    <w:uiPriority w:val="39"/>
    <w:unhideWhenUsed/>
    <w:rsid w:val="00046E33"/>
    <w:pPr>
      <w:spacing w:after="0"/>
      <w:ind w:left="1100"/>
    </w:pPr>
    <w:rPr>
      <w:rFonts w:cstheme="minorHAnsi"/>
      <w:sz w:val="18"/>
      <w:szCs w:val="18"/>
    </w:rPr>
  </w:style>
  <w:style w:type="paragraph" w:styleId="TOC7">
    <w:name w:val="toc 7"/>
    <w:basedOn w:val="Normal"/>
    <w:next w:val="Normal"/>
    <w:autoRedefine/>
    <w:uiPriority w:val="39"/>
    <w:unhideWhenUsed/>
    <w:rsid w:val="00046E33"/>
    <w:pPr>
      <w:spacing w:after="0"/>
      <w:ind w:left="1320"/>
    </w:pPr>
    <w:rPr>
      <w:rFonts w:cstheme="minorHAnsi"/>
      <w:sz w:val="18"/>
      <w:szCs w:val="18"/>
    </w:rPr>
  </w:style>
  <w:style w:type="paragraph" w:styleId="TOC8">
    <w:name w:val="toc 8"/>
    <w:basedOn w:val="Normal"/>
    <w:next w:val="Normal"/>
    <w:autoRedefine/>
    <w:uiPriority w:val="39"/>
    <w:unhideWhenUsed/>
    <w:rsid w:val="00046E33"/>
    <w:pPr>
      <w:spacing w:after="0"/>
      <w:ind w:left="1540"/>
    </w:pPr>
    <w:rPr>
      <w:rFonts w:cstheme="minorHAnsi"/>
      <w:sz w:val="18"/>
      <w:szCs w:val="18"/>
    </w:rPr>
  </w:style>
  <w:style w:type="paragraph" w:styleId="TOC9">
    <w:name w:val="toc 9"/>
    <w:basedOn w:val="Normal"/>
    <w:next w:val="Normal"/>
    <w:autoRedefine/>
    <w:uiPriority w:val="39"/>
    <w:unhideWhenUsed/>
    <w:rsid w:val="00046E33"/>
    <w:pPr>
      <w:spacing w:after="0"/>
      <w:ind w:left="1760"/>
    </w:pPr>
    <w:rPr>
      <w:rFonts w:cstheme="minorHAnsi"/>
      <w:sz w:val="18"/>
      <w:szCs w:val="18"/>
    </w:rPr>
  </w:style>
  <w:style w:type="table" w:customStyle="1" w:styleId="TableGrid7">
    <w:name w:val="Table Grid7"/>
    <w:basedOn w:val="TableNormal"/>
    <w:next w:val="TableGrid"/>
    <w:rsid w:val="007C3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1666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9E5B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BE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A495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A495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A495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A4952" w:themeFill="accent1"/>
      </w:tcPr>
    </w:tblStylePr>
    <w:tblStylePr w:type="band1Vert">
      <w:tblPr/>
      <w:tcPr>
        <w:shd w:val="clear" w:color="auto" w:fill="A8B8C1" w:themeFill="accent1" w:themeFillTint="66"/>
      </w:tcPr>
    </w:tblStylePr>
    <w:tblStylePr w:type="band1Horz">
      <w:tblPr/>
      <w:tcPr>
        <w:shd w:val="clear" w:color="auto" w:fill="A8B8C1" w:themeFill="accent1" w:themeFillTint="66"/>
      </w:tcPr>
    </w:tblStylePr>
  </w:style>
  <w:style w:type="character" w:customStyle="1" w:styleId="SecondTitle">
    <w:name w:val="Second Title"/>
    <w:basedOn w:val="DefaultParagraphFont"/>
    <w:uiPriority w:val="1"/>
    <w:qFormat/>
    <w:rsid w:val="001A1903"/>
    <w:rPr>
      <w:rFonts w:ascii="Calibri" w:hAnsi="Calibri"/>
      <w:b w:val="0"/>
      <w:color w:val="FFFFFF" w:themeColor="background1"/>
      <w:sz w:val="84"/>
    </w:rPr>
  </w:style>
  <w:style w:type="character" w:customStyle="1" w:styleId="A2">
    <w:name w:val="A2"/>
    <w:uiPriority w:val="99"/>
    <w:rsid w:val="00F46487"/>
    <w:rPr>
      <w:rFonts w:cs="HelveticaNeue LT 45 Light"/>
      <w:color w:val="000000"/>
      <w:sz w:val="19"/>
      <w:szCs w:val="19"/>
    </w:rPr>
  </w:style>
  <w:style w:type="character" w:customStyle="1" w:styleId="A4">
    <w:name w:val="A4"/>
    <w:uiPriority w:val="99"/>
    <w:rsid w:val="00F46487"/>
    <w:rPr>
      <w:rFonts w:cs="HelveticaNeue LT 45 Light"/>
      <w:color w:val="000000"/>
      <w:sz w:val="19"/>
      <w:szCs w:val="19"/>
      <w:u w:val="single"/>
    </w:rPr>
  </w:style>
  <w:style w:type="paragraph" w:customStyle="1" w:styleId="Pa21">
    <w:name w:val="Pa2_1"/>
    <w:basedOn w:val="Default"/>
    <w:next w:val="Default"/>
    <w:uiPriority w:val="99"/>
    <w:rsid w:val="00BF622D"/>
    <w:pPr>
      <w:spacing w:line="211" w:lineRule="atLeast"/>
    </w:pPr>
    <w:rPr>
      <w:rFonts w:ascii="HelveticaNeue LT 45 Light" w:hAnsi="HelveticaNeue LT 45 Light" w:cstheme="minorBidi"/>
      <w:color w:val="auto"/>
    </w:rPr>
  </w:style>
  <w:style w:type="paragraph" w:customStyle="1" w:styleId="Pa11">
    <w:name w:val="Pa1_1"/>
    <w:basedOn w:val="Default"/>
    <w:next w:val="Default"/>
    <w:uiPriority w:val="99"/>
    <w:rsid w:val="00A85532"/>
    <w:pPr>
      <w:spacing w:line="211" w:lineRule="atLeast"/>
    </w:pPr>
    <w:rPr>
      <w:rFonts w:ascii="HelveticaNeue LT 45 Light" w:hAnsi="HelveticaNeue LT 45 Light" w:cstheme="minorBidi"/>
      <w:color w:val="auto"/>
    </w:rPr>
  </w:style>
  <w:style w:type="character" w:customStyle="1" w:styleId="A101">
    <w:name w:val="A10_1"/>
    <w:uiPriority w:val="99"/>
    <w:rsid w:val="00DB6C35"/>
    <w:rPr>
      <w:rFonts w:cs="HelveticaNeue LT 45 Light"/>
      <w:color w:val="000000"/>
      <w:sz w:val="12"/>
      <w:szCs w:val="12"/>
    </w:rPr>
  </w:style>
  <w:style w:type="paragraph" w:customStyle="1" w:styleId="TableParagraph">
    <w:name w:val="Table Paragraph"/>
    <w:basedOn w:val="Normal"/>
    <w:uiPriority w:val="1"/>
    <w:qFormat/>
    <w:rsid w:val="00C4631C"/>
    <w:pPr>
      <w:widowControl w:val="0"/>
      <w:autoSpaceDE w:val="0"/>
      <w:autoSpaceDN w:val="0"/>
      <w:spacing w:before="40" w:after="0" w:line="240" w:lineRule="auto"/>
    </w:pPr>
    <w:rPr>
      <w:rFonts w:ascii="HelveticaNeue LT 45 Light" w:eastAsia="HelveticaNeue LT 45 Light" w:hAnsi="HelveticaNeue LT 45 Light" w:cs="HelveticaNeue LT 45 Light"/>
      <w:lang w:val="en-GB" w:eastAsia="en-GB" w:bidi="en-GB"/>
    </w:rPr>
  </w:style>
  <w:style w:type="character" w:customStyle="1" w:styleId="A22">
    <w:name w:val="A2_2"/>
    <w:uiPriority w:val="99"/>
    <w:rsid w:val="00263747"/>
    <w:rPr>
      <w:rFonts w:cs="HelveticaNeue LT 45 Light"/>
      <w:color w:val="000000"/>
      <w:sz w:val="21"/>
      <w:szCs w:val="21"/>
    </w:rPr>
  </w:style>
  <w:style w:type="paragraph" w:styleId="TableofFigures">
    <w:name w:val="table of figures"/>
    <w:basedOn w:val="Normal"/>
    <w:next w:val="Normal"/>
    <w:uiPriority w:val="99"/>
    <w:unhideWhenUsed/>
    <w:rsid w:val="00F74C6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2487">
      <w:bodyDiv w:val="1"/>
      <w:marLeft w:val="0"/>
      <w:marRight w:val="0"/>
      <w:marTop w:val="0"/>
      <w:marBottom w:val="0"/>
      <w:divBdr>
        <w:top w:val="none" w:sz="0" w:space="0" w:color="auto"/>
        <w:left w:val="none" w:sz="0" w:space="0" w:color="auto"/>
        <w:bottom w:val="none" w:sz="0" w:space="0" w:color="auto"/>
        <w:right w:val="none" w:sz="0" w:space="0" w:color="auto"/>
      </w:divBdr>
    </w:div>
    <w:div w:id="31852813">
      <w:bodyDiv w:val="1"/>
      <w:marLeft w:val="0"/>
      <w:marRight w:val="0"/>
      <w:marTop w:val="0"/>
      <w:marBottom w:val="0"/>
      <w:divBdr>
        <w:top w:val="none" w:sz="0" w:space="0" w:color="auto"/>
        <w:left w:val="none" w:sz="0" w:space="0" w:color="auto"/>
        <w:bottom w:val="none" w:sz="0" w:space="0" w:color="auto"/>
        <w:right w:val="none" w:sz="0" w:space="0" w:color="auto"/>
      </w:divBdr>
    </w:div>
    <w:div w:id="32199939">
      <w:bodyDiv w:val="1"/>
      <w:marLeft w:val="0"/>
      <w:marRight w:val="0"/>
      <w:marTop w:val="0"/>
      <w:marBottom w:val="0"/>
      <w:divBdr>
        <w:top w:val="none" w:sz="0" w:space="0" w:color="auto"/>
        <w:left w:val="none" w:sz="0" w:space="0" w:color="auto"/>
        <w:bottom w:val="none" w:sz="0" w:space="0" w:color="auto"/>
        <w:right w:val="none" w:sz="0" w:space="0" w:color="auto"/>
      </w:divBdr>
    </w:div>
    <w:div w:id="62609788">
      <w:bodyDiv w:val="1"/>
      <w:marLeft w:val="0"/>
      <w:marRight w:val="0"/>
      <w:marTop w:val="0"/>
      <w:marBottom w:val="0"/>
      <w:divBdr>
        <w:top w:val="none" w:sz="0" w:space="0" w:color="auto"/>
        <w:left w:val="none" w:sz="0" w:space="0" w:color="auto"/>
        <w:bottom w:val="none" w:sz="0" w:space="0" w:color="auto"/>
        <w:right w:val="none" w:sz="0" w:space="0" w:color="auto"/>
      </w:divBdr>
    </w:div>
    <w:div w:id="88547531">
      <w:bodyDiv w:val="1"/>
      <w:marLeft w:val="0"/>
      <w:marRight w:val="0"/>
      <w:marTop w:val="0"/>
      <w:marBottom w:val="0"/>
      <w:divBdr>
        <w:top w:val="none" w:sz="0" w:space="0" w:color="auto"/>
        <w:left w:val="none" w:sz="0" w:space="0" w:color="auto"/>
        <w:bottom w:val="none" w:sz="0" w:space="0" w:color="auto"/>
        <w:right w:val="none" w:sz="0" w:space="0" w:color="auto"/>
      </w:divBdr>
    </w:div>
    <w:div w:id="98180884">
      <w:bodyDiv w:val="1"/>
      <w:marLeft w:val="0"/>
      <w:marRight w:val="0"/>
      <w:marTop w:val="0"/>
      <w:marBottom w:val="0"/>
      <w:divBdr>
        <w:top w:val="none" w:sz="0" w:space="0" w:color="auto"/>
        <w:left w:val="none" w:sz="0" w:space="0" w:color="auto"/>
        <w:bottom w:val="none" w:sz="0" w:space="0" w:color="auto"/>
        <w:right w:val="none" w:sz="0" w:space="0" w:color="auto"/>
      </w:divBdr>
    </w:div>
    <w:div w:id="115293656">
      <w:bodyDiv w:val="1"/>
      <w:marLeft w:val="0"/>
      <w:marRight w:val="0"/>
      <w:marTop w:val="0"/>
      <w:marBottom w:val="0"/>
      <w:divBdr>
        <w:top w:val="none" w:sz="0" w:space="0" w:color="auto"/>
        <w:left w:val="none" w:sz="0" w:space="0" w:color="auto"/>
        <w:bottom w:val="none" w:sz="0" w:space="0" w:color="auto"/>
        <w:right w:val="none" w:sz="0" w:space="0" w:color="auto"/>
      </w:divBdr>
    </w:div>
    <w:div w:id="133372899">
      <w:bodyDiv w:val="1"/>
      <w:marLeft w:val="0"/>
      <w:marRight w:val="0"/>
      <w:marTop w:val="0"/>
      <w:marBottom w:val="0"/>
      <w:divBdr>
        <w:top w:val="none" w:sz="0" w:space="0" w:color="auto"/>
        <w:left w:val="none" w:sz="0" w:space="0" w:color="auto"/>
        <w:bottom w:val="none" w:sz="0" w:space="0" w:color="auto"/>
        <w:right w:val="none" w:sz="0" w:space="0" w:color="auto"/>
      </w:divBdr>
    </w:div>
    <w:div w:id="152767810">
      <w:bodyDiv w:val="1"/>
      <w:marLeft w:val="0"/>
      <w:marRight w:val="0"/>
      <w:marTop w:val="0"/>
      <w:marBottom w:val="0"/>
      <w:divBdr>
        <w:top w:val="none" w:sz="0" w:space="0" w:color="auto"/>
        <w:left w:val="none" w:sz="0" w:space="0" w:color="auto"/>
        <w:bottom w:val="none" w:sz="0" w:space="0" w:color="auto"/>
        <w:right w:val="none" w:sz="0" w:space="0" w:color="auto"/>
      </w:divBdr>
    </w:div>
    <w:div w:id="184944144">
      <w:bodyDiv w:val="1"/>
      <w:marLeft w:val="0"/>
      <w:marRight w:val="0"/>
      <w:marTop w:val="0"/>
      <w:marBottom w:val="0"/>
      <w:divBdr>
        <w:top w:val="none" w:sz="0" w:space="0" w:color="auto"/>
        <w:left w:val="none" w:sz="0" w:space="0" w:color="auto"/>
        <w:bottom w:val="none" w:sz="0" w:space="0" w:color="auto"/>
        <w:right w:val="none" w:sz="0" w:space="0" w:color="auto"/>
      </w:divBdr>
    </w:div>
    <w:div w:id="188880242">
      <w:bodyDiv w:val="1"/>
      <w:marLeft w:val="0"/>
      <w:marRight w:val="0"/>
      <w:marTop w:val="0"/>
      <w:marBottom w:val="0"/>
      <w:divBdr>
        <w:top w:val="none" w:sz="0" w:space="0" w:color="auto"/>
        <w:left w:val="none" w:sz="0" w:space="0" w:color="auto"/>
        <w:bottom w:val="none" w:sz="0" w:space="0" w:color="auto"/>
        <w:right w:val="none" w:sz="0" w:space="0" w:color="auto"/>
      </w:divBdr>
    </w:div>
    <w:div w:id="194344763">
      <w:bodyDiv w:val="1"/>
      <w:marLeft w:val="0"/>
      <w:marRight w:val="0"/>
      <w:marTop w:val="0"/>
      <w:marBottom w:val="0"/>
      <w:divBdr>
        <w:top w:val="none" w:sz="0" w:space="0" w:color="auto"/>
        <w:left w:val="none" w:sz="0" w:space="0" w:color="auto"/>
        <w:bottom w:val="none" w:sz="0" w:space="0" w:color="auto"/>
        <w:right w:val="none" w:sz="0" w:space="0" w:color="auto"/>
      </w:divBdr>
    </w:div>
    <w:div w:id="228268086">
      <w:bodyDiv w:val="1"/>
      <w:marLeft w:val="0"/>
      <w:marRight w:val="0"/>
      <w:marTop w:val="0"/>
      <w:marBottom w:val="0"/>
      <w:divBdr>
        <w:top w:val="none" w:sz="0" w:space="0" w:color="auto"/>
        <w:left w:val="none" w:sz="0" w:space="0" w:color="auto"/>
        <w:bottom w:val="none" w:sz="0" w:space="0" w:color="auto"/>
        <w:right w:val="none" w:sz="0" w:space="0" w:color="auto"/>
      </w:divBdr>
    </w:div>
    <w:div w:id="300160575">
      <w:bodyDiv w:val="1"/>
      <w:marLeft w:val="0"/>
      <w:marRight w:val="0"/>
      <w:marTop w:val="0"/>
      <w:marBottom w:val="0"/>
      <w:divBdr>
        <w:top w:val="none" w:sz="0" w:space="0" w:color="auto"/>
        <w:left w:val="none" w:sz="0" w:space="0" w:color="auto"/>
        <w:bottom w:val="none" w:sz="0" w:space="0" w:color="auto"/>
        <w:right w:val="none" w:sz="0" w:space="0" w:color="auto"/>
      </w:divBdr>
    </w:div>
    <w:div w:id="309336257">
      <w:bodyDiv w:val="1"/>
      <w:marLeft w:val="0"/>
      <w:marRight w:val="0"/>
      <w:marTop w:val="0"/>
      <w:marBottom w:val="0"/>
      <w:divBdr>
        <w:top w:val="none" w:sz="0" w:space="0" w:color="auto"/>
        <w:left w:val="none" w:sz="0" w:space="0" w:color="auto"/>
        <w:bottom w:val="none" w:sz="0" w:space="0" w:color="auto"/>
        <w:right w:val="none" w:sz="0" w:space="0" w:color="auto"/>
      </w:divBdr>
    </w:div>
    <w:div w:id="309600987">
      <w:bodyDiv w:val="1"/>
      <w:marLeft w:val="0"/>
      <w:marRight w:val="0"/>
      <w:marTop w:val="0"/>
      <w:marBottom w:val="0"/>
      <w:divBdr>
        <w:top w:val="none" w:sz="0" w:space="0" w:color="auto"/>
        <w:left w:val="none" w:sz="0" w:space="0" w:color="auto"/>
        <w:bottom w:val="none" w:sz="0" w:space="0" w:color="auto"/>
        <w:right w:val="none" w:sz="0" w:space="0" w:color="auto"/>
      </w:divBdr>
    </w:div>
    <w:div w:id="311180799">
      <w:bodyDiv w:val="1"/>
      <w:marLeft w:val="0"/>
      <w:marRight w:val="0"/>
      <w:marTop w:val="0"/>
      <w:marBottom w:val="0"/>
      <w:divBdr>
        <w:top w:val="none" w:sz="0" w:space="0" w:color="auto"/>
        <w:left w:val="none" w:sz="0" w:space="0" w:color="auto"/>
        <w:bottom w:val="none" w:sz="0" w:space="0" w:color="auto"/>
        <w:right w:val="none" w:sz="0" w:space="0" w:color="auto"/>
      </w:divBdr>
    </w:div>
    <w:div w:id="334037706">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73261146">
      <w:bodyDiv w:val="1"/>
      <w:marLeft w:val="0"/>
      <w:marRight w:val="0"/>
      <w:marTop w:val="0"/>
      <w:marBottom w:val="0"/>
      <w:divBdr>
        <w:top w:val="none" w:sz="0" w:space="0" w:color="auto"/>
        <w:left w:val="none" w:sz="0" w:space="0" w:color="auto"/>
        <w:bottom w:val="none" w:sz="0" w:space="0" w:color="auto"/>
        <w:right w:val="none" w:sz="0" w:space="0" w:color="auto"/>
      </w:divBdr>
    </w:div>
    <w:div w:id="501623602">
      <w:bodyDiv w:val="1"/>
      <w:marLeft w:val="0"/>
      <w:marRight w:val="0"/>
      <w:marTop w:val="0"/>
      <w:marBottom w:val="0"/>
      <w:divBdr>
        <w:top w:val="none" w:sz="0" w:space="0" w:color="auto"/>
        <w:left w:val="none" w:sz="0" w:space="0" w:color="auto"/>
        <w:bottom w:val="none" w:sz="0" w:space="0" w:color="auto"/>
        <w:right w:val="none" w:sz="0" w:space="0" w:color="auto"/>
      </w:divBdr>
    </w:div>
    <w:div w:id="510293500">
      <w:bodyDiv w:val="1"/>
      <w:marLeft w:val="0"/>
      <w:marRight w:val="0"/>
      <w:marTop w:val="0"/>
      <w:marBottom w:val="0"/>
      <w:divBdr>
        <w:top w:val="none" w:sz="0" w:space="0" w:color="auto"/>
        <w:left w:val="none" w:sz="0" w:space="0" w:color="auto"/>
        <w:bottom w:val="none" w:sz="0" w:space="0" w:color="auto"/>
        <w:right w:val="none" w:sz="0" w:space="0" w:color="auto"/>
      </w:divBdr>
    </w:div>
    <w:div w:id="541208071">
      <w:bodyDiv w:val="1"/>
      <w:marLeft w:val="0"/>
      <w:marRight w:val="0"/>
      <w:marTop w:val="0"/>
      <w:marBottom w:val="0"/>
      <w:divBdr>
        <w:top w:val="none" w:sz="0" w:space="0" w:color="auto"/>
        <w:left w:val="none" w:sz="0" w:space="0" w:color="auto"/>
        <w:bottom w:val="none" w:sz="0" w:space="0" w:color="auto"/>
        <w:right w:val="none" w:sz="0" w:space="0" w:color="auto"/>
      </w:divBdr>
    </w:div>
    <w:div w:id="599872717">
      <w:bodyDiv w:val="1"/>
      <w:marLeft w:val="0"/>
      <w:marRight w:val="0"/>
      <w:marTop w:val="0"/>
      <w:marBottom w:val="0"/>
      <w:divBdr>
        <w:top w:val="none" w:sz="0" w:space="0" w:color="auto"/>
        <w:left w:val="none" w:sz="0" w:space="0" w:color="auto"/>
        <w:bottom w:val="none" w:sz="0" w:space="0" w:color="auto"/>
        <w:right w:val="none" w:sz="0" w:space="0" w:color="auto"/>
      </w:divBdr>
    </w:div>
    <w:div w:id="611596727">
      <w:bodyDiv w:val="1"/>
      <w:marLeft w:val="0"/>
      <w:marRight w:val="0"/>
      <w:marTop w:val="0"/>
      <w:marBottom w:val="0"/>
      <w:divBdr>
        <w:top w:val="none" w:sz="0" w:space="0" w:color="auto"/>
        <w:left w:val="none" w:sz="0" w:space="0" w:color="auto"/>
        <w:bottom w:val="none" w:sz="0" w:space="0" w:color="auto"/>
        <w:right w:val="none" w:sz="0" w:space="0" w:color="auto"/>
      </w:divBdr>
    </w:div>
    <w:div w:id="642809214">
      <w:bodyDiv w:val="1"/>
      <w:marLeft w:val="0"/>
      <w:marRight w:val="0"/>
      <w:marTop w:val="0"/>
      <w:marBottom w:val="0"/>
      <w:divBdr>
        <w:top w:val="none" w:sz="0" w:space="0" w:color="auto"/>
        <w:left w:val="none" w:sz="0" w:space="0" w:color="auto"/>
        <w:bottom w:val="none" w:sz="0" w:space="0" w:color="auto"/>
        <w:right w:val="none" w:sz="0" w:space="0" w:color="auto"/>
      </w:divBdr>
    </w:div>
    <w:div w:id="654719583">
      <w:bodyDiv w:val="1"/>
      <w:marLeft w:val="0"/>
      <w:marRight w:val="0"/>
      <w:marTop w:val="0"/>
      <w:marBottom w:val="0"/>
      <w:divBdr>
        <w:top w:val="none" w:sz="0" w:space="0" w:color="auto"/>
        <w:left w:val="none" w:sz="0" w:space="0" w:color="auto"/>
        <w:bottom w:val="none" w:sz="0" w:space="0" w:color="auto"/>
        <w:right w:val="none" w:sz="0" w:space="0" w:color="auto"/>
      </w:divBdr>
    </w:div>
    <w:div w:id="668021917">
      <w:bodyDiv w:val="1"/>
      <w:marLeft w:val="0"/>
      <w:marRight w:val="0"/>
      <w:marTop w:val="0"/>
      <w:marBottom w:val="0"/>
      <w:divBdr>
        <w:top w:val="none" w:sz="0" w:space="0" w:color="auto"/>
        <w:left w:val="none" w:sz="0" w:space="0" w:color="auto"/>
        <w:bottom w:val="none" w:sz="0" w:space="0" w:color="auto"/>
        <w:right w:val="none" w:sz="0" w:space="0" w:color="auto"/>
      </w:divBdr>
    </w:div>
    <w:div w:id="696320074">
      <w:bodyDiv w:val="1"/>
      <w:marLeft w:val="0"/>
      <w:marRight w:val="0"/>
      <w:marTop w:val="0"/>
      <w:marBottom w:val="0"/>
      <w:divBdr>
        <w:top w:val="none" w:sz="0" w:space="0" w:color="auto"/>
        <w:left w:val="none" w:sz="0" w:space="0" w:color="auto"/>
        <w:bottom w:val="none" w:sz="0" w:space="0" w:color="auto"/>
        <w:right w:val="none" w:sz="0" w:space="0" w:color="auto"/>
      </w:divBdr>
    </w:div>
    <w:div w:id="811823880">
      <w:bodyDiv w:val="1"/>
      <w:marLeft w:val="0"/>
      <w:marRight w:val="0"/>
      <w:marTop w:val="0"/>
      <w:marBottom w:val="0"/>
      <w:divBdr>
        <w:top w:val="none" w:sz="0" w:space="0" w:color="auto"/>
        <w:left w:val="none" w:sz="0" w:space="0" w:color="auto"/>
        <w:bottom w:val="none" w:sz="0" w:space="0" w:color="auto"/>
        <w:right w:val="none" w:sz="0" w:space="0" w:color="auto"/>
      </w:divBdr>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913393005">
      <w:bodyDiv w:val="1"/>
      <w:marLeft w:val="0"/>
      <w:marRight w:val="0"/>
      <w:marTop w:val="0"/>
      <w:marBottom w:val="0"/>
      <w:divBdr>
        <w:top w:val="none" w:sz="0" w:space="0" w:color="auto"/>
        <w:left w:val="none" w:sz="0" w:space="0" w:color="auto"/>
        <w:bottom w:val="none" w:sz="0" w:space="0" w:color="auto"/>
        <w:right w:val="none" w:sz="0" w:space="0" w:color="auto"/>
      </w:divBdr>
    </w:div>
    <w:div w:id="917177751">
      <w:bodyDiv w:val="1"/>
      <w:marLeft w:val="0"/>
      <w:marRight w:val="0"/>
      <w:marTop w:val="0"/>
      <w:marBottom w:val="0"/>
      <w:divBdr>
        <w:top w:val="none" w:sz="0" w:space="0" w:color="auto"/>
        <w:left w:val="none" w:sz="0" w:space="0" w:color="auto"/>
        <w:bottom w:val="none" w:sz="0" w:space="0" w:color="auto"/>
        <w:right w:val="none" w:sz="0" w:space="0" w:color="auto"/>
      </w:divBdr>
    </w:div>
    <w:div w:id="933519099">
      <w:bodyDiv w:val="1"/>
      <w:marLeft w:val="0"/>
      <w:marRight w:val="0"/>
      <w:marTop w:val="0"/>
      <w:marBottom w:val="0"/>
      <w:divBdr>
        <w:top w:val="none" w:sz="0" w:space="0" w:color="auto"/>
        <w:left w:val="none" w:sz="0" w:space="0" w:color="auto"/>
        <w:bottom w:val="none" w:sz="0" w:space="0" w:color="auto"/>
        <w:right w:val="none" w:sz="0" w:space="0" w:color="auto"/>
      </w:divBdr>
    </w:div>
    <w:div w:id="938760538">
      <w:bodyDiv w:val="1"/>
      <w:marLeft w:val="0"/>
      <w:marRight w:val="0"/>
      <w:marTop w:val="0"/>
      <w:marBottom w:val="0"/>
      <w:divBdr>
        <w:top w:val="none" w:sz="0" w:space="0" w:color="auto"/>
        <w:left w:val="none" w:sz="0" w:space="0" w:color="auto"/>
        <w:bottom w:val="none" w:sz="0" w:space="0" w:color="auto"/>
        <w:right w:val="none" w:sz="0" w:space="0" w:color="auto"/>
      </w:divBdr>
    </w:div>
    <w:div w:id="944113635">
      <w:bodyDiv w:val="1"/>
      <w:marLeft w:val="0"/>
      <w:marRight w:val="0"/>
      <w:marTop w:val="0"/>
      <w:marBottom w:val="0"/>
      <w:divBdr>
        <w:top w:val="none" w:sz="0" w:space="0" w:color="auto"/>
        <w:left w:val="none" w:sz="0" w:space="0" w:color="auto"/>
        <w:bottom w:val="none" w:sz="0" w:space="0" w:color="auto"/>
        <w:right w:val="none" w:sz="0" w:space="0" w:color="auto"/>
      </w:divBdr>
    </w:div>
    <w:div w:id="962420740">
      <w:bodyDiv w:val="1"/>
      <w:marLeft w:val="0"/>
      <w:marRight w:val="0"/>
      <w:marTop w:val="0"/>
      <w:marBottom w:val="0"/>
      <w:divBdr>
        <w:top w:val="none" w:sz="0" w:space="0" w:color="auto"/>
        <w:left w:val="none" w:sz="0" w:space="0" w:color="auto"/>
        <w:bottom w:val="none" w:sz="0" w:space="0" w:color="auto"/>
        <w:right w:val="none" w:sz="0" w:space="0" w:color="auto"/>
      </w:divBdr>
    </w:div>
    <w:div w:id="994993675">
      <w:bodyDiv w:val="1"/>
      <w:marLeft w:val="0"/>
      <w:marRight w:val="0"/>
      <w:marTop w:val="0"/>
      <w:marBottom w:val="0"/>
      <w:divBdr>
        <w:top w:val="none" w:sz="0" w:space="0" w:color="auto"/>
        <w:left w:val="none" w:sz="0" w:space="0" w:color="auto"/>
        <w:bottom w:val="none" w:sz="0" w:space="0" w:color="auto"/>
        <w:right w:val="none" w:sz="0" w:space="0" w:color="auto"/>
      </w:divBdr>
    </w:div>
    <w:div w:id="1002463833">
      <w:bodyDiv w:val="1"/>
      <w:marLeft w:val="0"/>
      <w:marRight w:val="0"/>
      <w:marTop w:val="0"/>
      <w:marBottom w:val="0"/>
      <w:divBdr>
        <w:top w:val="none" w:sz="0" w:space="0" w:color="auto"/>
        <w:left w:val="none" w:sz="0" w:space="0" w:color="auto"/>
        <w:bottom w:val="none" w:sz="0" w:space="0" w:color="auto"/>
        <w:right w:val="none" w:sz="0" w:space="0" w:color="auto"/>
      </w:divBdr>
    </w:div>
    <w:div w:id="1016922746">
      <w:bodyDiv w:val="1"/>
      <w:marLeft w:val="0"/>
      <w:marRight w:val="0"/>
      <w:marTop w:val="0"/>
      <w:marBottom w:val="0"/>
      <w:divBdr>
        <w:top w:val="none" w:sz="0" w:space="0" w:color="auto"/>
        <w:left w:val="none" w:sz="0" w:space="0" w:color="auto"/>
        <w:bottom w:val="none" w:sz="0" w:space="0" w:color="auto"/>
        <w:right w:val="none" w:sz="0" w:space="0" w:color="auto"/>
      </w:divBdr>
    </w:div>
    <w:div w:id="1026716542">
      <w:bodyDiv w:val="1"/>
      <w:marLeft w:val="0"/>
      <w:marRight w:val="0"/>
      <w:marTop w:val="0"/>
      <w:marBottom w:val="0"/>
      <w:divBdr>
        <w:top w:val="none" w:sz="0" w:space="0" w:color="auto"/>
        <w:left w:val="none" w:sz="0" w:space="0" w:color="auto"/>
        <w:bottom w:val="none" w:sz="0" w:space="0" w:color="auto"/>
        <w:right w:val="none" w:sz="0" w:space="0" w:color="auto"/>
      </w:divBdr>
      <w:divsChild>
        <w:div w:id="1258709170">
          <w:marLeft w:val="994"/>
          <w:marRight w:val="0"/>
          <w:marTop w:val="240"/>
          <w:marBottom w:val="120"/>
          <w:divBdr>
            <w:top w:val="none" w:sz="0" w:space="0" w:color="auto"/>
            <w:left w:val="none" w:sz="0" w:space="0" w:color="auto"/>
            <w:bottom w:val="none" w:sz="0" w:space="0" w:color="auto"/>
            <w:right w:val="none" w:sz="0" w:space="0" w:color="auto"/>
          </w:divBdr>
        </w:div>
        <w:div w:id="1679194666">
          <w:marLeft w:val="994"/>
          <w:marRight w:val="0"/>
          <w:marTop w:val="240"/>
          <w:marBottom w:val="120"/>
          <w:divBdr>
            <w:top w:val="none" w:sz="0" w:space="0" w:color="auto"/>
            <w:left w:val="none" w:sz="0" w:space="0" w:color="auto"/>
            <w:bottom w:val="none" w:sz="0" w:space="0" w:color="auto"/>
            <w:right w:val="none" w:sz="0" w:space="0" w:color="auto"/>
          </w:divBdr>
        </w:div>
      </w:divsChild>
    </w:div>
    <w:div w:id="1037269498">
      <w:bodyDiv w:val="1"/>
      <w:marLeft w:val="0"/>
      <w:marRight w:val="0"/>
      <w:marTop w:val="0"/>
      <w:marBottom w:val="0"/>
      <w:divBdr>
        <w:top w:val="none" w:sz="0" w:space="0" w:color="auto"/>
        <w:left w:val="none" w:sz="0" w:space="0" w:color="auto"/>
        <w:bottom w:val="none" w:sz="0" w:space="0" w:color="auto"/>
        <w:right w:val="none" w:sz="0" w:space="0" w:color="auto"/>
      </w:divBdr>
    </w:div>
    <w:div w:id="1060641639">
      <w:bodyDiv w:val="1"/>
      <w:marLeft w:val="0"/>
      <w:marRight w:val="0"/>
      <w:marTop w:val="0"/>
      <w:marBottom w:val="0"/>
      <w:divBdr>
        <w:top w:val="none" w:sz="0" w:space="0" w:color="auto"/>
        <w:left w:val="none" w:sz="0" w:space="0" w:color="auto"/>
        <w:bottom w:val="none" w:sz="0" w:space="0" w:color="auto"/>
        <w:right w:val="none" w:sz="0" w:space="0" w:color="auto"/>
      </w:divBdr>
    </w:div>
    <w:div w:id="1132022799">
      <w:bodyDiv w:val="1"/>
      <w:marLeft w:val="0"/>
      <w:marRight w:val="0"/>
      <w:marTop w:val="0"/>
      <w:marBottom w:val="0"/>
      <w:divBdr>
        <w:top w:val="none" w:sz="0" w:space="0" w:color="auto"/>
        <w:left w:val="none" w:sz="0" w:space="0" w:color="auto"/>
        <w:bottom w:val="none" w:sz="0" w:space="0" w:color="auto"/>
        <w:right w:val="none" w:sz="0" w:space="0" w:color="auto"/>
      </w:divBdr>
    </w:div>
    <w:div w:id="1146622947">
      <w:bodyDiv w:val="1"/>
      <w:marLeft w:val="0"/>
      <w:marRight w:val="0"/>
      <w:marTop w:val="0"/>
      <w:marBottom w:val="0"/>
      <w:divBdr>
        <w:top w:val="none" w:sz="0" w:space="0" w:color="auto"/>
        <w:left w:val="none" w:sz="0" w:space="0" w:color="auto"/>
        <w:bottom w:val="none" w:sz="0" w:space="0" w:color="auto"/>
        <w:right w:val="none" w:sz="0" w:space="0" w:color="auto"/>
      </w:divBdr>
    </w:div>
    <w:div w:id="1156453305">
      <w:bodyDiv w:val="1"/>
      <w:marLeft w:val="0"/>
      <w:marRight w:val="0"/>
      <w:marTop w:val="0"/>
      <w:marBottom w:val="0"/>
      <w:divBdr>
        <w:top w:val="none" w:sz="0" w:space="0" w:color="auto"/>
        <w:left w:val="none" w:sz="0" w:space="0" w:color="auto"/>
        <w:bottom w:val="none" w:sz="0" w:space="0" w:color="auto"/>
        <w:right w:val="none" w:sz="0" w:space="0" w:color="auto"/>
      </w:divBdr>
    </w:div>
    <w:div w:id="1177189426">
      <w:bodyDiv w:val="1"/>
      <w:marLeft w:val="0"/>
      <w:marRight w:val="0"/>
      <w:marTop w:val="0"/>
      <w:marBottom w:val="0"/>
      <w:divBdr>
        <w:top w:val="none" w:sz="0" w:space="0" w:color="auto"/>
        <w:left w:val="none" w:sz="0" w:space="0" w:color="auto"/>
        <w:bottom w:val="none" w:sz="0" w:space="0" w:color="auto"/>
        <w:right w:val="none" w:sz="0" w:space="0" w:color="auto"/>
      </w:divBdr>
      <w:divsChild>
        <w:div w:id="374811336">
          <w:marLeft w:val="994"/>
          <w:marRight w:val="0"/>
          <w:marTop w:val="240"/>
          <w:marBottom w:val="120"/>
          <w:divBdr>
            <w:top w:val="none" w:sz="0" w:space="0" w:color="auto"/>
            <w:left w:val="none" w:sz="0" w:space="0" w:color="auto"/>
            <w:bottom w:val="none" w:sz="0" w:space="0" w:color="auto"/>
            <w:right w:val="none" w:sz="0" w:space="0" w:color="auto"/>
          </w:divBdr>
        </w:div>
        <w:div w:id="1092553227">
          <w:marLeft w:val="994"/>
          <w:marRight w:val="0"/>
          <w:marTop w:val="240"/>
          <w:marBottom w:val="120"/>
          <w:divBdr>
            <w:top w:val="none" w:sz="0" w:space="0" w:color="auto"/>
            <w:left w:val="none" w:sz="0" w:space="0" w:color="auto"/>
            <w:bottom w:val="none" w:sz="0" w:space="0" w:color="auto"/>
            <w:right w:val="none" w:sz="0" w:space="0" w:color="auto"/>
          </w:divBdr>
        </w:div>
      </w:divsChild>
    </w:div>
    <w:div w:id="1264262323">
      <w:bodyDiv w:val="1"/>
      <w:marLeft w:val="0"/>
      <w:marRight w:val="0"/>
      <w:marTop w:val="0"/>
      <w:marBottom w:val="0"/>
      <w:divBdr>
        <w:top w:val="none" w:sz="0" w:space="0" w:color="auto"/>
        <w:left w:val="none" w:sz="0" w:space="0" w:color="auto"/>
        <w:bottom w:val="none" w:sz="0" w:space="0" w:color="auto"/>
        <w:right w:val="none" w:sz="0" w:space="0" w:color="auto"/>
      </w:divBdr>
    </w:div>
    <w:div w:id="1268460575">
      <w:bodyDiv w:val="1"/>
      <w:marLeft w:val="0"/>
      <w:marRight w:val="0"/>
      <w:marTop w:val="0"/>
      <w:marBottom w:val="0"/>
      <w:divBdr>
        <w:top w:val="none" w:sz="0" w:space="0" w:color="auto"/>
        <w:left w:val="none" w:sz="0" w:space="0" w:color="auto"/>
        <w:bottom w:val="none" w:sz="0" w:space="0" w:color="auto"/>
        <w:right w:val="none" w:sz="0" w:space="0" w:color="auto"/>
      </w:divBdr>
    </w:div>
    <w:div w:id="1302150394">
      <w:bodyDiv w:val="1"/>
      <w:marLeft w:val="0"/>
      <w:marRight w:val="0"/>
      <w:marTop w:val="0"/>
      <w:marBottom w:val="0"/>
      <w:divBdr>
        <w:top w:val="none" w:sz="0" w:space="0" w:color="auto"/>
        <w:left w:val="none" w:sz="0" w:space="0" w:color="auto"/>
        <w:bottom w:val="none" w:sz="0" w:space="0" w:color="auto"/>
        <w:right w:val="none" w:sz="0" w:space="0" w:color="auto"/>
      </w:divBdr>
    </w:div>
    <w:div w:id="1318416583">
      <w:bodyDiv w:val="1"/>
      <w:marLeft w:val="0"/>
      <w:marRight w:val="0"/>
      <w:marTop w:val="0"/>
      <w:marBottom w:val="0"/>
      <w:divBdr>
        <w:top w:val="none" w:sz="0" w:space="0" w:color="auto"/>
        <w:left w:val="none" w:sz="0" w:space="0" w:color="auto"/>
        <w:bottom w:val="none" w:sz="0" w:space="0" w:color="auto"/>
        <w:right w:val="none" w:sz="0" w:space="0" w:color="auto"/>
      </w:divBdr>
    </w:div>
    <w:div w:id="1333409050">
      <w:bodyDiv w:val="1"/>
      <w:marLeft w:val="0"/>
      <w:marRight w:val="0"/>
      <w:marTop w:val="0"/>
      <w:marBottom w:val="0"/>
      <w:divBdr>
        <w:top w:val="none" w:sz="0" w:space="0" w:color="auto"/>
        <w:left w:val="none" w:sz="0" w:space="0" w:color="auto"/>
        <w:bottom w:val="none" w:sz="0" w:space="0" w:color="auto"/>
        <w:right w:val="none" w:sz="0" w:space="0" w:color="auto"/>
      </w:divBdr>
    </w:div>
    <w:div w:id="1334838105">
      <w:bodyDiv w:val="1"/>
      <w:marLeft w:val="0"/>
      <w:marRight w:val="0"/>
      <w:marTop w:val="0"/>
      <w:marBottom w:val="0"/>
      <w:divBdr>
        <w:top w:val="none" w:sz="0" w:space="0" w:color="auto"/>
        <w:left w:val="none" w:sz="0" w:space="0" w:color="auto"/>
        <w:bottom w:val="none" w:sz="0" w:space="0" w:color="auto"/>
        <w:right w:val="none" w:sz="0" w:space="0" w:color="auto"/>
      </w:divBdr>
    </w:div>
    <w:div w:id="1336541792">
      <w:bodyDiv w:val="1"/>
      <w:marLeft w:val="0"/>
      <w:marRight w:val="0"/>
      <w:marTop w:val="0"/>
      <w:marBottom w:val="0"/>
      <w:divBdr>
        <w:top w:val="none" w:sz="0" w:space="0" w:color="auto"/>
        <w:left w:val="none" w:sz="0" w:space="0" w:color="auto"/>
        <w:bottom w:val="none" w:sz="0" w:space="0" w:color="auto"/>
        <w:right w:val="none" w:sz="0" w:space="0" w:color="auto"/>
      </w:divBdr>
    </w:div>
    <w:div w:id="1377848032">
      <w:bodyDiv w:val="1"/>
      <w:marLeft w:val="0"/>
      <w:marRight w:val="0"/>
      <w:marTop w:val="0"/>
      <w:marBottom w:val="0"/>
      <w:divBdr>
        <w:top w:val="none" w:sz="0" w:space="0" w:color="auto"/>
        <w:left w:val="none" w:sz="0" w:space="0" w:color="auto"/>
        <w:bottom w:val="none" w:sz="0" w:space="0" w:color="auto"/>
        <w:right w:val="none" w:sz="0" w:space="0" w:color="auto"/>
      </w:divBdr>
    </w:div>
    <w:div w:id="1378819392">
      <w:bodyDiv w:val="1"/>
      <w:marLeft w:val="0"/>
      <w:marRight w:val="0"/>
      <w:marTop w:val="0"/>
      <w:marBottom w:val="0"/>
      <w:divBdr>
        <w:top w:val="none" w:sz="0" w:space="0" w:color="auto"/>
        <w:left w:val="none" w:sz="0" w:space="0" w:color="auto"/>
        <w:bottom w:val="none" w:sz="0" w:space="0" w:color="auto"/>
        <w:right w:val="none" w:sz="0" w:space="0" w:color="auto"/>
      </w:divBdr>
    </w:div>
    <w:div w:id="1432966073">
      <w:bodyDiv w:val="1"/>
      <w:marLeft w:val="0"/>
      <w:marRight w:val="0"/>
      <w:marTop w:val="0"/>
      <w:marBottom w:val="0"/>
      <w:divBdr>
        <w:top w:val="none" w:sz="0" w:space="0" w:color="auto"/>
        <w:left w:val="none" w:sz="0" w:space="0" w:color="auto"/>
        <w:bottom w:val="none" w:sz="0" w:space="0" w:color="auto"/>
        <w:right w:val="none" w:sz="0" w:space="0" w:color="auto"/>
      </w:divBdr>
    </w:div>
    <w:div w:id="1439258622">
      <w:bodyDiv w:val="1"/>
      <w:marLeft w:val="0"/>
      <w:marRight w:val="0"/>
      <w:marTop w:val="0"/>
      <w:marBottom w:val="0"/>
      <w:divBdr>
        <w:top w:val="none" w:sz="0" w:space="0" w:color="auto"/>
        <w:left w:val="none" w:sz="0" w:space="0" w:color="auto"/>
        <w:bottom w:val="none" w:sz="0" w:space="0" w:color="auto"/>
        <w:right w:val="none" w:sz="0" w:space="0" w:color="auto"/>
      </w:divBdr>
    </w:div>
    <w:div w:id="1450321456">
      <w:bodyDiv w:val="1"/>
      <w:marLeft w:val="0"/>
      <w:marRight w:val="0"/>
      <w:marTop w:val="0"/>
      <w:marBottom w:val="0"/>
      <w:divBdr>
        <w:top w:val="none" w:sz="0" w:space="0" w:color="auto"/>
        <w:left w:val="none" w:sz="0" w:space="0" w:color="auto"/>
        <w:bottom w:val="none" w:sz="0" w:space="0" w:color="auto"/>
        <w:right w:val="none" w:sz="0" w:space="0" w:color="auto"/>
      </w:divBdr>
    </w:div>
    <w:div w:id="1450854431">
      <w:bodyDiv w:val="1"/>
      <w:marLeft w:val="0"/>
      <w:marRight w:val="0"/>
      <w:marTop w:val="0"/>
      <w:marBottom w:val="0"/>
      <w:divBdr>
        <w:top w:val="none" w:sz="0" w:space="0" w:color="auto"/>
        <w:left w:val="none" w:sz="0" w:space="0" w:color="auto"/>
        <w:bottom w:val="none" w:sz="0" w:space="0" w:color="auto"/>
        <w:right w:val="none" w:sz="0" w:space="0" w:color="auto"/>
      </w:divBdr>
    </w:div>
    <w:div w:id="1502967473">
      <w:bodyDiv w:val="1"/>
      <w:marLeft w:val="0"/>
      <w:marRight w:val="0"/>
      <w:marTop w:val="0"/>
      <w:marBottom w:val="0"/>
      <w:divBdr>
        <w:top w:val="none" w:sz="0" w:space="0" w:color="auto"/>
        <w:left w:val="none" w:sz="0" w:space="0" w:color="auto"/>
        <w:bottom w:val="none" w:sz="0" w:space="0" w:color="auto"/>
        <w:right w:val="none" w:sz="0" w:space="0" w:color="auto"/>
      </w:divBdr>
    </w:div>
    <w:div w:id="1532525779">
      <w:bodyDiv w:val="1"/>
      <w:marLeft w:val="0"/>
      <w:marRight w:val="0"/>
      <w:marTop w:val="0"/>
      <w:marBottom w:val="0"/>
      <w:divBdr>
        <w:top w:val="none" w:sz="0" w:space="0" w:color="auto"/>
        <w:left w:val="none" w:sz="0" w:space="0" w:color="auto"/>
        <w:bottom w:val="none" w:sz="0" w:space="0" w:color="auto"/>
        <w:right w:val="none" w:sz="0" w:space="0" w:color="auto"/>
      </w:divBdr>
    </w:div>
    <w:div w:id="1535650497">
      <w:bodyDiv w:val="1"/>
      <w:marLeft w:val="0"/>
      <w:marRight w:val="0"/>
      <w:marTop w:val="0"/>
      <w:marBottom w:val="0"/>
      <w:divBdr>
        <w:top w:val="none" w:sz="0" w:space="0" w:color="auto"/>
        <w:left w:val="none" w:sz="0" w:space="0" w:color="auto"/>
        <w:bottom w:val="none" w:sz="0" w:space="0" w:color="auto"/>
        <w:right w:val="none" w:sz="0" w:space="0" w:color="auto"/>
      </w:divBdr>
    </w:div>
    <w:div w:id="1554808557">
      <w:bodyDiv w:val="1"/>
      <w:marLeft w:val="0"/>
      <w:marRight w:val="0"/>
      <w:marTop w:val="0"/>
      <w:marBottom w:val="0"/>
      <w:divBdr>
        <w:top w:val="none" w:sz="0" w:space="0" w:color="auto"/>
        <w:left w:val="none" w:sz="0" w:space="0" w:color="auto"/>
        <w:bottom w:val="none" w:sz="0" w:space="0" w:color="auto"/>
        <w:right w:val="none" w:sz="0" w:space="0" w:color="auto"/>
      </w:divBdr>
    </w:div>
    <w:div w:id="1580364167">
      <w:bodyDiv w:val="1"/>
      <w:marLeft w:val="0"/>
      <w:marRight w:val="0"/>
      <w:marTop w:val="0"/>
      <w:marBottom w:val="0"/>
      <w:divBdr>
        <w:top w:val="none" w:sz="0" w:space="0" w:color="auto"/>
        <w:left w:val="none" w:sz="0" w:space="0" w:color="auto"/>
        <w:bottom w:val="none" w:sz="0" w:space="0" w:color="auto"/>
        <w:right w:val="none" w:sz="0" w:space="0" w:color="auto"/>
      </w:divBdr>
    </w:div>
    <w:div w:id="1582636485">
      <w:bodyDiv w:val="1"/>
      <w:marLeft w:val="0"/>
      <w:marRight w:val="0"/>
      <w:marTop w:val="0"/>
      <w:marBottom w:val="0"/>
      <w:divBdr>
        <w:top w:val="none" w:sz="0" w:space="0" w:color="auto"/>
        <w:left w:val="none" w:sz="0" w:space="0" w:color="auto"/>
        <w:bottom w:val="none" w:sz="0" w:space="0" w:color="auto"/>
        <w:right w:val="none" w:sz="0" w:space="0" w:color="auto"/>
      </w:divBdr>
    </w:div>
    <w:div w:id="1671330157">
      <w:bodyDiv w:val="1"/>
      <w:marLeft w:val="0"/>
      <w:marRight w:val="0"/>
      <w:marTop w:val="0"/>
      <w:marBottom w:val="0"/>
      <w:divBdr>
        <w:top w:val="none" w:sz="0" w:space="0" w:color="auto"/>
        <w:left w:val="none" w:sz="0" w:space="0" w:color="auto"/>
        <w:bottom w:val="none" w:sz="0" w:space="0" w:color="auto"/>
        <w:right w:val="none" w:sz="0" w:space="0" w:color="auto"/>
      </w:divBdr>
    </w:div>
    <w:div w:id="1745179297">
      <w:bodyDiv w:val="1"/>
      <w:marLeft w:val="0"/>
      <w:marRight w:val="0"/>
      <w:marTop w:val="0"/>
      <w:marBottom w:val="0"/>
      <w:divBdr>
        <w:top w:val="none" w:sz="0" w:space="0" w:color="auto"/>
        <w:left w:val="none" w:sz="0" w:space="0" w:color="auto"/>
        <w:bottom w:val="none" w:sz="0" w:space="0" w:color="auto"/>
        <w:right w:val="none" w:sz="0" w:space="0" w:color="auto"/>
      </w:divBdr>
    </w:div>
    <w:div w:id="1747222490">
      <w:bodyDiv w:val="1"/>
      <w:marLeft w:val="0"/>
      <w:marRight w:val="0"/>
      <w:marTop w:val="0"/>
      <w:marBottom w:val="0"/>
      <w:divBdr>
        <w:top w:val="none" w:sz="0" w:space="0" w:color="auto"/>
        <w:left w:val="none" w:sz="0" w:space="0" w:color="auto"/>
        <w:bottom w:val="none" w:sz="0" w:space="0" w:color="auto"/>
        <w:right w:val="none" w:sz="0" w:space="0" w:color="auto"/>
      </w:divBdr>
    </w:div>
    <w:div w:id="1753044135">
      <w:bodyDiv w:val="1"/>
      <w:marLeft w:val="0"/>
      <w:marRight w:val="0"/>
      <w:marTop w:val="0"/>
      <w:marBottom w:val="0"/>
      <w:divBdr>
        <w:top w:val="none" w:sz="0" w:space="0" w:color="auto"/>
        <w:left w:val="none" w:sz="0" w:space="0" w:color="auto"/>
        <w:bottom w:val="none" w:sz="0" w:space="0" w:color="auto"/>
        <w:right w:val="none" w:sz="0" w:space="0" w:color="auto"/>
      </w:divBdr>
    </w:div>
    <w:div w:id="1779369610">
      <w:bodyDiv w:val="1"/>
      <w:marLeft w:val="0"/>
      <w:marRight w:val="0"/>
      <w:marTop w:val="0"/>
      <w:marBottom w:val="0"/>
      <w:divBdr>
        <w:top w:val="none" w:sz="0" w:space="0" w:color="auto"/>
        <w:left w:val="none" w:sz="0" w:space="0" w:color="auto"/>
        <w:bottom w:val="none" w:sz="0" w:space="0" w:color="auto"/>
        <w:right w:val="none" w:sz="0" w:space="0" w:color="auto"/>
      </w:divBdr>
    </w:div>
    <w:div w:id="1793208982">
      <w:bodyDiv w:val="1"/>
      <w:marLeft w:val="0"/>
      <w:marRight w:val="0"/>
      <w:marTop w:val="0"/>
      <w:marBottom w:val="0"/>
      <w:divBdr>
        <w:top w:val="none" w:sz="0" w:space="0" w:color="auto"/>
        <w:left w:val="none" w:sz="0" w:space="0" w:color="auto"/>
        <w:bottom w:val="none" w:sz="0" w:space="0" w:color="auto"/>
        <w:right w:val="none" w:sz="0" w:space="0" w:color="auto"/>
      </w:divBdr>
    </w:div>
    <w:div w:id="1810702129">
      <w:bodyDiv w:val="1"/>
      <w:marLeft w:val="0"/>
      <w:marRight w:val="0"/>
      <w:marTop w:val="0"/>
      <w:marBottom w:val="0"/>
      <w:divBdr>
        <w:top w:val="none" w:sz="0" w:space="0" w:color="auto"/>
        <w:left w:val="none" w:sz="0" w:space="0" w:color="auto"/>
        <w:bottom w:val="none" w:sz="0" w:space="0" w:color="auto"/>
        <w:right w:val="none" w:sz="0" w:space="0" w:color="auto"/>
      </w:divBdr>
    </w:div>
    <w:div w:id="1848670437">
      <w:bodyDiv w:val="1"/>
      <w:marLeft w:val="0"/>
      <w:marRight w:val="0"/>
      <w:marTop w:val="0"/>
      <w:marBottom w:val="0"/>
      <w:divBdr>
        <w:top w:val="none" w:sz="0" w:space="0" w:color="auto"/>
        <w:left w:val="none" w:sz="0" w:space="0" w:color="auto"/>
        <w:bottom w:val="none" w:sz="0" w:space="0" w:color="auto"/>
        <w:right w:val="none" w:sz="0" w:space="0" w:color="auto"/>
      </w:divBdr>
    </w:div>
    <w:div w:id="1852600072">
      <w:bodyDiv w:val="1"/>
      <w:marLeft w:val="0"/>
      <w:marRight w:val="0"/>
      <w:marTop w:val="0"/>
      <w:marBottom w:val="0"/>
      <w:divBdr>
        <w:top w:val="none" w:sz="0" w:space="0" w:color="auto"/>
        <w:left w:val="none" w:sz="0" w:space="0" w:color="auto"/>
        <w:bottom w:val="none" w:sz="0" w:space="0" w:color="auto"/>
        <w:right w:val="none" w:sz="0" w:space="0" w:color="auto"/>
      </w:divBdr>
    </w:div>
    <w:div w:id="1948198770">
      <w:bodyDiv w:val="1"/>
      <w:marLeft w:val="0"/>
      <w:marRight w:val="0"/>
      <w:marTop w:val="0"/>
      <w:marBottom w:val="0"/>
      <w:divBdr>
        <w:top w:val="none" w:sz="0" w:space="0" w:color="auto"/>
        <w:left w:val="none" w:sz="0" w:space="0" w:color="auto"/>
        <w:bottom w:val="none" w:sz="0" w:space="0" w:color="auto"/>
        <w:right w:val="none" w:sz="0" w:space="0" w:color="auto"/>
      </w:divBdr>
    </w:div>
    <w:div w:id="1962572771">
      <w:bodyDiv w:val="1"/>
      <w:marLeft w:val="0"/>
      <w:marRight w:val="0"/>
      <w:marTop w:val="0"/>
      <w:marBottom w:val="0"/>
      <w:divBdr>
        <w:top w:val="none" w:sz="0" w:space="0" w:color="auto"/>
        <w:left w:val="none" w:sz="0" w:space="0" w:color="auto"/>
        <w:bottom w:val="none" w:sz="0" w:space="0" w:color="auto"/>
        <w:right w:val="none" w:sz="0" w:space="0" w:color="auto"/>
      </w:divBdr>
    </w:div>
    <w:div w:id="1983806765">
      <w:bodyDiv w:val="1"/>
      <w:marLeft w:val="0"/>
      <w:marRight w:val="0"/>
      <w:marTop w:val="0"/>
      <w:marBottom w:val="0"/>
      <w:divBdr>
        <w:top w:val="none" w:sz="0" w:space="0" w:color="auto"/>
        <w:left w:val="none" w:sz="0" w:space="0" w:color="auto"/>
        <w:bottom w:val="none" w:sz="0" w:space="0" w:color="auto"/>
        <w:right w:val="none" w:sz="0" w:space="0" w:color="auto"/>
      </w:divBdr>
    </w:div>
    <w:div w:id="2003118452">
      <w:bodyDiv w:val="1"/>
      <w:marLeft w:val="0"/>
      <w:marRight w:val="0"/>
      <w:marTop w:val="0"/>
      <w:marBottom w:val="0"/>
      <w:divBdr>
        <w:top w:val="none" w:sz="0" w:space="0" w:color="auto"/>
        <w:left w:val="none" w:sz="0" w:space="0" w:color="auto"/>
        <w:bottom w:val="none" w:sz="0" w:space="0" w:color="auto"/>
        <w:right w:val="none" w:sz="0" w:space="0" w:color="auto"/>
      </w:divBdr>
    </w:div>
    <w:div w:id="201183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image" Target="media/image10.jpeg"/><Relationship Id="rId39" Type="http://schemas.openxmlformats.org/officeDocument/2006/relationships/footer" Target="footer8.xml"/><Relationship Id="rId21" Type="http://schemas.openxmlformats.org/officeDocument/2006/relationships/image" Target="media/image6.jpeg"/><Relationship Id="rId34" Type="http://schemas.openxmlformats.org/officeDocument/2006/relationships/header" Target="header4.xml"/><Relationship Id="rId42" Type="http://schemas.openxmlformats.org/officeDocument/2006/relationships/image" Target="media/image13.jpeg"/><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O:\RRR%20Taskforce\Final%20Report\RRR%20final%20report%20-%204%20July%20-%20accessible.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 TargetMode="External"/><Relationship Id="rId24" Type="http://schemas.openxmlformats.org/officeDocument/2006/relationships/hyperlink" Target="https://www.education.gov.au/news/minister-education-announces-16-regional-study-hubs" TargetMode="External"/><Relationship Id="rId32" Type="http://schemas.openxmlformats.org/officeDocument/2006/relationships/footer" Target="footer5.xml"/><Relationship Id="rId37" Type="http://schemas.openxmlformats.org/officeDocument/2006/relationships/header" Target="header5.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file:///O:\RRR%20Taskforce\Final%20Report\RRR%20final%20report%20-%204%20July%20-%20accessible.docx" TargetMode="External"/><Relationship Id="rId23" Type="http://schemas.openxmlformats.org/officeDocument/2006/relationships/image" Target="media/image8.jpeg"/><Relationship Id="rId28" Type="http://schemas.openxmlformats.org/officeDocument/2006/relationships/image" Target="media/image12.jpeg"/><Relationship Id="rId36" Type="http://schemas.openxmlformats.org/officeDocument/2006/relationships/footer" Target="footer7.xml"/><Relationship Id="rId49" Type="http://schemas.microsoft.com/office/2016/09/relationships/commentsIds" Target="commentsIds.xml"/><Relationship Id="rId10" Type="http://schemas.openxmlformats.org/officeDocument/2006/relationships/image" Target="cid:image001.png@01D5277C.CA5406B0" TargetMode="External"/><Relationship Id="rId19" Type="http://schemas.openxmlformats.org/officeDocument/2006/relationships/image" Target="media/image4.jpeg"/><Relationship Id="rId31" Type="http://schemas.openxmlformats.org/officeDocument/2006/relationships/footer" Target="footer4.xml"/><Relationship Id="rId44" Type="http://schemas.openxmlformats.org/officeDocument/2006/relationships/theme" Target="theme/theme1.xml"/><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header" Target="header2.xml"/><Relationship Id="rId35" Type="http://schemas.openxmlformats.org/officeDocument/2006/relationships/footer" Target="footer6.xml"/><Relationship Id="rId43"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mailto:copyright@education.gov.au" TargetMode="External"/><Relationship Id="rId17" Type="http://schemas.openxmlformats.org/officeDocument/2006/relationships/footer" Target="footer3.xml"/><Relationship Id="rId25" Type="http://schemas.openxmlformats.org/officeDocument/2006/relationships/image" Target="media/image9.jpeg"/><Relationship Id="rId33" Type="http://schemas.openxmlformats.org/officeDocument/2006/relationships/header" Target="header3.xml"/><Relationship Id="rId38" Type="http://schemas.openxmlformats.org/officeDocument/2006/relationships/header" Target="header6.xml"/><Relationship Id="rId20" Type="http://schemas.openxmlformats.org/officeDocument/2006/relationships/image" Target="media/image5.jpeg"/><Relationship Id="rId41" Type="http://schemas.openxmlformats.org/officeDocument/2006/relationships/header" Target="header7.xml"/></Relationships>
</file>

<file path=word/_rels/footnotes.xml.rels><?xml version="1.0" encoding="UTF-8" standalone="yes"?>
<Relationships xmlns="http://schemas.openxmlformats.org/package/2006/relationships"><Relationship Id="rId8" Type="http://schemas.openxmlformats.org/officeDocument/2006/relationships/hyperlink" Target="https://www.ncver.edu.au/research-and-statistics/publications/all-publications/improving-participation-and-success-in-vet-fordisadvantaged-learners" TargetMode="External"/><Relationship Id="rId13" Type="http://schemas.openxmlformats.org/officeDocument/2006/relationships/hyperlink" Target="https://research.acer.edu.au/higher_education/43" TargetMode="External"/><Relationship Id="rId18" Type="http://schemas.openxmlformats.org/officeDocument/2006/relationships/hyperlink" Target="http://www.regionalaustralia.org.au/home/regional-job-automation-pack/" TargetMode="External"/><Relationship Id="rId26" Type="http://schemas.openxmlformats.org/officeDocument/2006/relationships/hyperlink" Target="https://womensworkforceparticipation.pmc.gov.au/sites/default/files/towards-2025-strategy.pdf" TargetMode="External"/><Relationship Id="rId39" Type="http://schemas.openxmlformats.org/officeDocument/2006/relationships/hyperlink" Target="https://www.education.gov.au/news/minister-education-announces-16-regional-study-hubs" TargetMode="External"/><Relationship Id="rId3" Type="http://schemas.openxmlformats.org/officeDocument/2006/relationships/hyperlink" Target="https://pdfs.semanticscholar.org/fedc/bbb22d2029b99d85646c5b415baf75f06624.pdf" TargetMode="External"/><Relationship Id="rId21" Type="http://schemas.openxmlformats.org/officeDocument/2006/relationships/hyperlink" Target="https://cica.org.au/wp-content/uploads/CICA-Media-Release-21-June-2017.pdf" TargetMode="External"/><Relationship Id="rId34" Type="http://schemas.openxmlformats.org/officeDocument/2006/relationships/hyperlink" Target="https://heimshelp.education.gov.au/resources/glossary/glossaryterm?title=Attrition%20Rate" TargetMode="External"/><Relationship Id="rId7" Type="http://schemas.openxmlformats.org/officeDocument/2006/relationships/hyperlink" Target="https://www.ncsehe.edu.au/publications/completion-patterns-of-equity-students-in-regional-universities" TargetMode="External"/><Relationship Id="rId12" Type="http://schemas.openxmlformats.org/officeDocument/2006/relationships/hyperlink" Target="http://educatingforthefuture.economist.com/EIUYidanPrizeEducatingFortheFuture2018WP.pdf" TargetMode="External"/><Relationship Id="rId17" Type="http://schemas.openxmlformats.org/officeDocument/2006/relationships/hyperlink" Target="https://aifs.gov.au/cfca/2015/07/21/report-dropping-edge-2015" TargetMode="External"/><Relationship Id="rId25" Type="http://schemas.openxmlformats.org/officeDocument/2006/relationships/hyperlink" Target="https://www.ncsehe.edu.au/wp-content/uploads/2017/10/Regional-feature-FINAL.pdf" TargetMode="External"/><Relationship Id="rId33" Type="http://schemas.openxmlformats.org/officeDocument/2006/relationships/hyperlink" Target="https://ltr.edu.au/resources/CG10_1541_Trinidad_Report_2013.pdf" TargetMode="External"/><Relationship Id="rId38" Type="http://schemas.openxmlformats.org/officeDocument/2006/relationships/hyperlink" Target="http://www.visitmungo.com.au/aboriginal-country" TargetMode="External"/><Relationship Id="rId2" Type="http://schemas.openxmlformats.org/officeDocument/2006/relationships/hyperlink" Target="https://www.abs.gov.au/ausstats/abs@.nsf/Lookup/by%20Subject/2071.0~2016~Main%20Features~Educational%20Qualifications%20Data%20Summary%20~65" TargetMode="External"/><Relationship Id="rId16" Type="http://schemas.openxmlformats.org/officeDocument/2006/relationships/hyperlink" Target="http://www.regionalaustralia.org.au/home/2015/09/foundations-of-regional-australia/" TargetMode="External"/><Relationship Id="rId20" Type="http://schemas.openxmlformats.org/officeDocument/2006/relationships/hyperlink" Target="http://www.regionalaustralia.org.au/home/regional-jobs-vacancy-map/" TargetMode="External"/><Relationship Id="rId29" Type="http://schemas.openxmlformats.org/officeDocument/2006/relationships/hyperlink" Target="https://ec.europa.eu/ploteus/sites/eac-eqf/files/eqf_infographics_en.pdf" TargetMode="External"/><Relationship Id="rId41" Type="http://schemas.openxmlformats.org/officeDocument/2006/relationships/hyperlink" Target="https://heimshelp.education.gov.au/resources/glossary/glossaryterm?title=Retention%20Rate" TargetMode="External"/><Relationship Id="rId1" Type="http://schemas.openxmlformats.org/officeDocument/2006/relationships/hyperlink" Target="https://docs.education.gov.au/system/files/doc/other/human-capital-and-productivity-literature-review-march-2013.pdf" TargetMode="External"/><Relationship Id="rId6" Type="http://schemas.openxmlformats.org/officeDocument/2006/relationships/hyperlink" Target="https://www.qilt.edu.au/docs/default-source/ses/ses2018/2018-ses-national-report75e58791b1e86477b58fff00006709da.pdf?sfvrsn=d733e33c_4" TargetMode="External"/><Relationship Id="rId11" Type="http://schemas.openxmlformats.org/officeDocument/2006/relationships/hyperlink" Target="https://www.education.gov.au/independent-review-regional-rural-and-remote-education" TargetMode="External"/><Relationship Id="rId24" Type="http://schemas.openxmlformats.org/officeDocument/2006/relationships/hyperlink" Target="http://www.voced.edu.au/content/ngv%3A2270" TargetMode="External"/><Relationship Id="rId32" Type="http://schemas.openxmlformats.org/officeDocument/2006/relationships/hyperlink" Target="https://docs.education.gov.au/documents/national-priorities-pool-investment-plan-2016" TargetMode="External"/><Relationship Id="rId37" Type="http://schemas.openxmlformats.org/officeDocument/2006/relationships/hyperlink" Target="https://www.ed.ac.uk/equality-diversity/about/equality-diversity" TargetMode="External"/><Relationship Id="rId40" Type="http://schemas.openxmlformats.org/officeDocument/2006/relationships/hyperlink" Target="https://docs.education.gov.au/system/files/doc/other/ed16-0269_national_research_infrastructure_roadmap_report_internals_acc.pdf" TargetMode="External"/><Relationship Id="rId5" Type="http://schemas.openxmlformats.org/officeDocument/2006/relationships/hyperlink" Target="https://www.gooduniversitiesguide.com.au/scholarships" TargetMode="External"/><Relationship Id="rId15" Type="http://schemas.openxmlformats.org/officeDocument/2006/relationships/hyperlink" Target="http://www.oecd.org/education/a-plan-for-education.htm" TargetMode="External"/><Relationship Id="rId23" Type="http://schemas.openxmlformats.org/officeDocument/2006/relationships/hyperlink" Target="http://www.unrisd.org/unitar-social-inclusion" TargetMode="External"/><Relationship Id="rId28" Type="http://schemas.openxmlformats.org/officeDocument/2006/relationships/hyperlink" Target="http://eurlex.europa.eu/LexUriServ/LexUriServ.do?uri=OJ:C:2012:398:0001:0005:EN:PDF" TargetMode="External"/><Relationship Id="rId36" Type="http://schemas.openxmlformats.org/officeDocument/2006/relationships/hyperlink" Target="https://www.chronicle.com/blogs/data/2015/05/04/attainment-completion-and-the-trouble-in-measuring-them-both/" TargetMode="External"/><Relationship Id="rId10" Type="http://schemas.openxmlformats.org/officeDocument/2006/relationships/hyperlink" Target="https://www.education.gov.au/review-achieve-educational-excellence-australian-schools" TargetMode="External"/><Relationship Id="rId19" Type="http://schemas.openxmlformats.org/officeDocument/2006/relationships/hyperlink" Target="http://lmip.gov.au/default.aspx?LMIP/GainInsights/VacancyReport" TargetMode="External"/><Relationship Id="rId31" Type="http://schemas.openxmlformats.org/officeDocument/2006/relationships/hyperlink" Target="https://skillstools.eu/" TargetMode="External"/><Relationship Id="rId4" Type="http://schemas.openxmlformats.org/officeDocument/2006/relationships/hyperlink" Target="https://www.qilt.edu.au/docs/default-source/ses/ses2018/2018-ses-national-report75e58791b1e86477b58fff00006709da.pdf?sfvrsn=d733e33c_4" TargetMode="External"/><Relationship Id="rId9" Type="http://schemas.openxmlformats.org/officeDocument/2006/relationships/hyperlink" Target="https://www.aedc.gov.au/resources/detail/2018-aedc-national-report" TargetMode="External"/><Relationship Id="rId14" Type="http://schemas.openxmlformats.org/officeDocument/2006/relationships/hyperlink" Target="https://sustainabledevelopment.un.org/sdgs" TargetMode="External"/><Relationship Id="rId22" Type="http://schemas.openxmlformats.org/officeDocument/2006/relationships/hyperlink" Target="http://www.health.gov.au/internet/main/publishing.nsf/Content/National-Rural-Health-Commissioner" TargetMode="External"/><Relationship Id="rId27" Type="http://schemas.openxmlformats.org/officeDocument/2006/relationships/hyperlink" Target="https://www.aqf.edu.au/sites/aqf/files/rpl-explanation.pdf" TargetMode="External"/><Relationship Id="rId30" Type="http://schemas.openxmlformats.org/officeDocument/2006/relationships/hyperlink" Target="http://skillomatic.theworklab.com.au/" TargetMode="External"/><Relationship Id="rId35" Type="http://schemas.openxmlformats.org/officeDocument/2006/relationships/hyperlink" Target="https://www.education.gov.au/school-work-transitions"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3A4952"/>
      </a:accent1>
      <a:accent2>
        <a:srgbClr val="F4F5F7"/>
      </a:accent2>
      <a:accent3>
        <a:srgbClr val="DEE2E6"/>
      </a:accent3>
      <a:accent4>
        <a:srgbClr val="E2E6E4"/>
      </a:accent4>
      <a:accent5>
        <a:srgbClr val="5B796D"/>
      </a:accent5>
      <a:accent6>
        <a:srgbClr val="FDE8D9"/>
      </a:accent6>
      <a:hlink>
        <a:srgbClr val="F6A06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84B3F-109A-4AF2-B62D-EC1DF8EC1538}"/>
</file>

<file path=customXml/itemProps2.xml><?xml version="1.0" encoding="utf-8"?>
<ds:datastoreItem xmlns:ds="http://schemas.openxmlformats.org/officeDocument/2006/customXml" ds:itemID="{0FE0B769-CEF7-475A-869C-2366FD131779}"/>
</file>

<file path=customXml/itemProps3.xml><?xml version="1.0" encoding="utf-8"?>
<ds:datastoreItem xmlns:ds="http://schemas.openxmlformats.org/officeDocument/2006/customXml" ds:itemID="{CDC9D1B9-A923-48B5-BB7A-0028E6A154E4}"/>
</file>

<file path=customXml/itemProps4.xml><?xml version="1.0" encoding="utf-8"?>
<ds:datastoreItem xmlns:ds="http://schemas.openxmlformats.org/officeDocument/2006/customXml" ds:itemID="{48EF8BA0-B1A4-4046-BE8D-1D511A7A1909}"/>
</file>

<file path=docProps/app.xml><?xml version="1.0" encoding="utf-8"?>
<Properties xmlns="http://schemas.openxmlformats.org/officeDocument/2006/extended-properties" xmlns:vt="http://schemas.openxmlformats.org/officeDocument/2006/docPropsVTypes">
  <Template>A6BCA8B0.dotm</Template>
  <TotalTime>24</TotalTime>
  <Pages>101</Pages>
  <Words>38427</Words>
  <Characters>219038</Characters>
  <Application>Microsoft Office Word</Application>
  <DocSecurity>0</DocSecurity>
  <Lines>1825</Lines>
  <Paragraphs>513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HANRAHAN,Daniel</dc:creator>
  <cp:keywords/>
  <dc:description/>
  <cp:lastModifiedBy>SIVER,Chris</cp:lastModifiedBy>
  <cp:revision>8</cp:revision>
  <cp:lastPrinted>2019-06-19T06:13:00Z</cp:lastPrinted>
  <dcterms:created xsi:type="dcterms:W3CDTF">2019-08-15T20:57:00Z</dcterms:created>
  <dcterms:modified xsi:type="dcterms:W3CDTF">2019-08-26T23:58:00Z</dcterms:modified>
</cp:coreProperties>
</file>