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40302" w14:textId="7020964B" w:rsidR="00EB7B6B" w:rsidRDefault="004B7C6D" w:rsidP="00EB7B6B">
      <w:pPr>
        <w:pStyle w:val="NoSpacing"/>
        <w:spacing w:before="0"/>
        <w:ind w:left="-1134"/>
        <w:sectPr w:rsidR="00EB7B6B" w:rsidSect="007930A6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0" w:right="1134" w:bottom="1134" w:left="1134" w:header="0" w:footer="567" w:gutter="0"/>
          <w:cols w:space="708"/>
          <w:titlePg/>
          <w:docGrid w:linePitch="360"/>
        </w:sectPr>
      </w:pPr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58240" behindDoc="1" locked="1" layoutInCell="1" allowOverlap="1" wp14:anchorId="0B14B37E" wp14:editId="584BAF3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218000" cy="230760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nal 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8000" cy="23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E2CAD5" w14:textId="77777777" w:rsidR="007930A6" w:rsidRDefault="007930A6" w:rsidP="00AA15F2">
      <w:pPr>
        <w:pStyle w:val="Title"/>
        <w:spacing w:before="120"/>
        <w:ind w:right="-23"/>
        <w:rPr>
          <w:rFonts w:cs="Calibri"/>
        </w:rPr>
      </w:pPr>
    </w:p>
    <w:p w14:paraId="76B6A95E" w14:textId="77777777" w:rsidR="007930A6" w:rsidRDefault="007930A6" w:rsidP="00AA15F2">
      <w:pPr>
        <w:pStyle w:val="Title"/>
        <w:spacing w:before="120"/>
        <w:ind w:right="-23"/>
        <w:rPr>
          <w:rFonts w:cs="Calibri"/>
        </w:rPr>
      </w:pPr>
    </w:p>
    <w:p w14:paraId="62B29158" w14:textId="77777777" w:rsidR="007930A6" w:rsidRDefault="007930A6" w:rsidP="00AA15F2">
      <w:pPr>
        <w:pStyle w:val="Title"/>
        <w:spacing w:before="120"/>
        <w:ind w:right="-23"/>
        <w:rPr>
          <w:rFonts w:cs="Calibri"/>
        </w:rPr>
      </w:pPr>
    </w:p>
    <w:p w14:paraId="2A3F5418" w14:textId="77777777" w:rsidR="007930A6" w:rsidRDefault="007930A6" w:rsidP="00AA15F2">
      <w:pPr>
        <w:pStyle w:val="Title"/>
        <w:spacing w:before="120"/>
        <w:ind w:right="-23"/>
        <w:rPr>
          <w:rFonts w:cs="Calibri"/>
        </w:rPr>
      </w:pPr>
    </w:p>
    <w:sdt>
      <w:sdtPr>
        <w:rPr>
          <w:rFonts w:cs="Calibri"/>
        </w:rPr>
        <w:alias w:val="Title"/>
        <w:tag w:val=""/>
        <w:id w:val="-19171197"/>
        <w:placeholder>
          <w:docPart w:val="5885BB0FF17440BC9E9237FEC82FA54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EC42FC7" w14:textId="6B36A405" w:rsidR="00EB7B6B" w:rsidRPr="00D27C2D" w:rsidRDefault="00AC1E6A" w:rsidP="001D6DC5">
          <w:pPr>
            <w:pStyle w:val="Title"/>
            <w:spacing w:before="240"/>
            <w:ind w:right="-23"/>
          </w:pPr>
          <w:r w:rsidRPr="003311FD">
            <w:rPr>
              <w:rFonts w:cs="Calibri"/>
            </w:rPr>
            <w:t xml:space="preserve">Direct </w:t>
          </w:r>
          <w:r>
            <w:rPr>
              <w:rFonts w:cs="Calibri"/>
            </w:rPr>
            <w:t xml:space="preserve">Income </w:t>
          </w:r>
          <w:r w:rsidRPr="003311FD">
            <w:rPr>
              <w:rFonts w:cs="Calibri"/>
            </w:rPr>
            <w:t xml:space="preserve">Measure of Capacity to Contribute </w:t>
          </w:r>
          <w:r>
            <w:rPr>
              <w:rFonts w:cs="Calibri"/>
            </w:rPr>
            <w:t xml:space="preserve">Technical </w:t>
          </w:r>
          <w:r w:rsidRPr="003311FD">
            <w:rPr>
              <w:rFonts w:cs="Calibri"/>
            </w:rPr>
            <w:t>Working Group</w:t>
          </w:r>
        </w:p>
      </w:sdtContent>
    </w:sdt>
    <w:p w14:paraId="5769CD24" w14:textId="00817D16" w:rsidR="0003327F" w:rsidRDefault="006E0D7A" w:rsidP="006E0D7A">
      <w:r>
        <w:t xml:space="preserve">The </w:t>
      </w:r>
      <w:r w:rsidR="00650756">
        <w:t>Department</w:t>
      </w:r>
      <w:r>
        <w:t xml:space="preserve"> of Education </w:t>
      </w:r>
      <w:r w:rsidR="0074728D">
        <w:t xml:space="preserve">has </w:t>
      </w:r>
      <w:r>
        <w:t xml:space="preserve">established the </w:t>
      </w:r>
      <w:r w:rsidR="00AC5096">
        <w:t xml:space="preserve">Technical </w:t>
      </w:r>
      <w:r>
        <w:t xml:space="preserve">Working Group to undertake further work on the implementation of the direct </w:t>
      </w:r>
      <w:r w:rsidR="00C33F68">
        <w:t xml:space="preserve">income </w:t>
      </w:r>
      <w:r>
        <w:t xml:space="preserve">measure of capacity </w:t>
      </w:r>
      <w:r w:rsidR="0074728D">
        <w:t xml:space="preserve">of a school community </w:t>
      </w:r>
      <w:r>
        <w:t>to contribute</w:t>
      </w:r>
      <w:r w:rsidR="0074728D">
        <w:t xml:space="preserve"> to the cost of schooling</w:t>
      </w:r>
      <w:r>
        <w:t xml:space="preserve">. The </w:t>
      </w:r>
      <w:r w:rsidR="003F399F">
        <w:t xml:space="preserve">Technical </w:t>
      </w:r>
      <w:r>
        <w:t xml:space="preserve">Working Group will </w:t>
      </w:r>
      <w:r w:rsidR="003F399F">
        <w:t xml:space="preserve">also </w:t>
      </w:r>
      <w:r>
        <w:t>provide advice on refinement</w:t>
      </w:r>
      <w:r w:rsidR="0074728D">
        <w:t xml:space="preserve">s </w:t>
      </w:r>
      <w:r w:rsidR="00E24466">
        <w:t xml:space="preserve">to </w:t>
      </w:r>
      <w:r w:rsidR="003F399F">
        <w:t xml:space="preserve">the measure for further </w:t>
      </w:r>
      <w:r w:rsidR="0074728D">
        <w:t>consultation</w:t>
      </w:r>
      <w:r>
        <w:t xml:space="preserve"> and </w:t>
      </w:r>
      <w:r w:rsidR="0074728D">
        <w:t>feedback</w:t>
      </w:r>
      <w:r w:rsidR="003F399F">
        <w:t>,</w:t>
      </w:r>
      <w:r w:rsidR="0074728D">
        <w:t xml:space="preserve"> </w:t>
      </w:r>
      <w:r>
        <w:t xml:space="preserve">to support the development of a high quality, reliable and robust methodology for use in the Schooling Resource Standard funding model. </w:t>
      </w:r>
    </w:p>
    <w:p w14:paraId="10EFD4D8" w14:textId="5DE50A10" w:rsidR="006E0D7A" w:rsidRDefault="006E0D7A" w:rsidP="006E0D7A">
      <w:r>
        <w:t xml:space="preserve">The </w:t>
      </w:r>
      <w:r w:rsidR="00043A3B">
        <w:t xml:space="preserve">Technical </w:t>
      </w:r>
      <w:r>
        <w:t xml:space="preserve">Working Group will meet on a regular basis and consists of representatives from the </w:t>
      </w:r>
      <w:r w:rsidR="00043A3B">
        <w:t>non</w:t>
      </w:r>
      <w:r w:rsidR="00043A3B">
        <w:noBreakHyphen/>
      </w:r>
      <w:r w:rsidR="00AC5096">
        <w:t xml:space="preserve">government schools sector, the </w:t>
      </w:r>
      <w:r>
        <w:t>Australian Government, state and territory governments.</w:t>
      </w:r>
    </w:p>
    <w:p w14:paraId="5BC5121F" w14:textId="0487228A" w:rsidR="00D27FE4" w:rsidRDefault="009E6618" w:rsidP="00043A3B">
      <w:pPr>
        <w:pStyle w:val="Subtitle"/>
        <w:spacing w:after="120"/>
      </w:pPr>
      <w:r>
        <w:t>M</w:t>
      </w:r>
      <w:r w:rsidR="002F254F">
        <w:t>eeting 6</w:t>
      </w:r>
      <w:r w:rsidR="00D27FE4">
        <w:t xml:space="preserve"> – </w:t>
      </w:r>
      <w:r w:rsidR="002F254F">
        <w:t>28 May</w:t>
      </w:r>
      <w:r>
        <w:t xml:space="preserve"> 2019</w:t>
      </w:r>
      <w:r w:rsidR="00D27FE4">
        <w:t xml:space="preserve"> | </w:t>
      </w:r>
      <w:r w:rsidR="006D6820">
        <w:t>Communiqué</w:t>
      </w:r>
    </w:p>
    <w:p w14:paraId="411CBC8C" w14:textId="63D10200" w:rsidR="00505AC3" w:rsidRDefault="00505AC3" w:rsidP="00505AC3">
      <w:r>
        <w:t>The Techni</w:t>
      </w:r>
      <w:r w:rsidR="002F254F">
        <w:t>cal Working Group held its sixth</w:t>
      </w:r>
      <w:r>
        <w:t xml:space="preserve"> meeting in Canberra on </w:t>
      </w:r>
      <w:r w:rsidR="002F254F">
        <w:t>Tuesday 28 May 2019</w:t>
      </w:r>
      <w:r>
        <w:t xml:space="preserve">. </w:t>
      </w:r>
      <w:r w:rsidR="002F254F">
        <w:t>The Technical Working Group</w:t>
      </w:r>
      <w:r>
        <w:t xml:space="preserve"> discussed a range of issues including:</w:t>
      </w:r>
    </w:p>
    <w:p w14:paraId="351DC36F" w14:textId="7FE63071" w:rsidR="00917FA5" w:rsidRDefault="002F254F" w:rsidP="00505AC3">
      <w:pPr>
        <w:pStyle w:val="ListParagraph"/>
        <w:numPr>
          <w:ilvl w:val="0"/>
          <w:numId w:val="6"/>
        </w:numPr>
        <w:rPr>
          <w:rFonts w:eastAsiaTheme="majorEastAsia"/>
        </w:rPr>
      </w:pPr>
      <w:r>
        <w:rPr>
          <w:rFonts w:eastAsiaTheme="majorEastAsia"/>
        </w:rPr>
        <w:t xml:space="preserve">Options for linking address collections with tax years to create a rolling </w:t>
      </w:r>
      <w:r w:rsidR="00245C28">
        <w:rPr>
          <w:rFonts w:eastAsiaTheme="majorEastAsia"/>
        </w:rPr>
        <w:t xml:space="preserve">(moving) </w:t>
      </w:r>
      <w:r>
        <w:rPr>
          <w:rFonts w:eastAsiaTheme="majorEastAsia"/>
        </w:rPr>
        <w:t>average</w:t>
      </w:r>
    </w:p>
    <w:p w14:paraId="067A2EA4" w14:textId="3CDD63D3" w:rsidR="00505AC3" w:rsidRPr="00FE7D4F" w:rsidRDefault="002F254F" w:rsidP="00505AC3">
      <w:pPr>
        <w:pStyle w:val="ListParagraph"/>
        <w:numPr>
          <w:ilvl w:val="0"/>
          <w:numId w:val="6"/>
        </w:numPr>
        <w:rPr>
          <w:rFonts w:eastAsiaTheme="majorEastAsia"/>
        </w:rPr>
      </w:pPr>
      <w:r>
        <w:rPr>
          <w:rFonts w:eastAsiaTheme="majorEastAsia"/>
        </w:rPr>
        <w:t xml:space="preserve">Options when a </w:t>
      </w:r>
      <w:r w:rsidR="007E6146">
        <w:rPr>
          <w:rFonts w:eastAsiaTheme="majorEastAsia"/>
        </w:rPr>
        <w:t>direct income measure</w:t>
      </w:r>
      <w:r>
        <w:rPr>
          <w:rFonts w:eastAsiaTheme="majorEastAsia"/>
        </w:rPr>
        <w:t xml:space="preserve"> score cannot be calculated</w:t>
      </w:r>
    </w:p>
    <w:p w14:paraId="1D16FCD0" w14:textId="144B6A66" w:rsidR="00505AC3" w:rsidRPr="002F254F" w:rsidRDefault="002F254F" w:rsidP="00505AC3">
      <w:pPr>
        <w:pStyle w:val="ListParagraph"/>
        <w:numPr>
          <w:ilvl w:val="0"/>
          <w:numId w:val="6"/>
        </w:numPr>
        <w:rPr>
          <w:rFonts w:eastAsiaTheme="majorEastAsia"/>
          <w:b/>
        </w:rPr>
      </w:pPr>
      <w:r>
        <w:rPr>
          <w:rFonts w:eastAsiaTheme="majorEastAsia"/>
        </w:rPr>
        <w:t>Treatment of missing data – characteristic</w:t>
      </w:r>
      <w:r w:rsidR="00F0276B">
        <w:rPr>
          <w:rFonts w:eastAsiaTheme="majorEastAsia"/>
        </w:rPr>
        <w:t>s of schools with low linkage rates</w:t>
      </w:r>
    </w:p>
    <w:p w14:paraId="71482186" w14:textId="485E45F8" w:rsidR="002F254F" w:rsidRPr="002F254F" w:rsidRDefault="003F5472" w:rsidP="00505AC3">
      <w:pPr>
        <w:pStyle w:val="ListParagraph"/>
        <w:numPr>
          <w:ilvl w:val="0"/>
          <w:numId w:val="6"/>
        </w:numPr>
        <w:rPr>
          <w:rFonts w:eastAsiaTheme="majorEastAsia"/>
          <w:b/>
        </w:rPr>
      </w:pPr>
      <w:r>
        <w:rPr>
          <w:rFonts w:eastAsiaTheme="majorEastAsia"/>
        </w:rPr>
        <w:t xml:space="preserve">Family characteristics – adjustment for family size. </w:t>
      </w:r>
    </w:p>
    <w:p w14:paraId="02F4CFE3" w14:textId="34D59D62" w:rsidR="000F2525" w:rsidRPr="005756C8" w:rsidRDefault="00A11FD7" w:rsidP="000F2525">
      <w:pPr>
        <w:pStyle w:val="Heading2"/>
      </w:pPr>
      <w:r>
        <w:t>L</w:t>
      </w:r>
      <w:r w:rsidR="002F254F">
        <w:t>inking address collections with tax years to create a rolling average</w:t>
      </w:r>
    </w:p>
    <w:p w14:paraId="75987C08" w14:textId="63AF286A" w:rsidR="001D6DC5" w:rsidRDefault="00A11FD7" w:rsidP="006B36CC">
      <w:r>
        <w:t xml:space="preserve">The Department presented </w:t>
      </w:r>
      <w:r w:rsidR="002F254F">
        <w:t xml:space="preserve">options for linking the annual </w:t>
      </w:r>
      <w:r w:rsidR="00B43EE0">
        <w:rPr>
          <w:i/>
        </w:rPr>
        <w:t>S</w:t>
      </w:r>
      <w:r w:rsidR="00E71ED1">
        <w:rPr>
          <w:i/>
        </w:rPr>
        <w:t>tudent Residential Address and Other I</w:t>
      </w:r>
      <w:r w:rsidR="002F254F">
        <w:rPr>
          <w:i/>
        </w:rPr>
        <w:t xml:space="preserve">nformation </w:t>
      </w:r>
      <w:r w:rsidR="00E71ED1">
        <w:rPr>
          <w:i/>
        </w:rPr>
        <w:t>C</w:t>
      </w:r>
      <w:r w:rsidR="002F254F">
        <w:rPr>
          <w:i/>
        </w:rPr>
        <w:t>ollection</w:t>
      </w:r>
      <w:r w:rsidR="00B43EE0">
        <w:t xml:space="preserve"> with different</w:t>
      </w:r>
      <w:r w:rsidR="002F254F">
        <w:t xml:space="preserve"> tax years to crea</w:t>
      </w:r>
      <w:r w:rsidR="007E6146">
        <w:t xml:space="preserve">te a rolling (moving) average. </w:t>
      </w:r>
      <w:r w:rsidR="006B36CC">
        <w:t xml:space="preserve">The Department noted that </w:t>
      </w:r>
      <w:r w:rsidR="001C69E3">
        <w:t>address data are available in the calendar yea</w:t>
      </w:r>
      <w:r w:rsidR="00867ED7">
        <w:t>r in which the data are collected</w:t>
      </w:r>
      <w:r w:rsidR="00FC7CC9">
        <w:t>. I</w:t>
      </w:r>
      <w:r w:rsidR="001C69E3">
        <w:t>ncome</w:t>
      </w:r>
      <w:r w:rsidR="006B36CC">
        <w:t xml:space="preserve"> data </w:t>
      </w:r>
      <w:r w:rsidR="00867ED7">
        <w:t>sourced through the security of the Multi-Agency Data Integration Project (MADIP)</w:t>
      </w:r>
      <w:r w:rsidR="006C2EC3">
        <w:t xml:space="preserve"> are available</w:t>
      </w:r>
      <w:r w:rsidR="00867ED7">
        <w:t xml:space="preserve"> </w:t>
      </w:r>
      <w:r w:rsidR="001D6DC5">
        <w:t>18 </w:t>
      </w:r>
      <w:r w:rsidR="006B36CC">
        <w:t xml:space="preserve">months after the end of the </w:t>
      </w:r>
      <w:r w:rsidR="001C69E3">
        <w:t xml:space="preserve">relevant </w:t>
      </w:r>
      <w:r w:rsidR="006B36CC">
        <w:t xml:space="preserve">financial year. </w:t>
      </w:r>
    </w:p>
    <w:p w14:paraId="185EA661" w14:textId="7E2C6BBE" w:rsidR="00F976E0" w:rsidRDefault="001D6DC5" w:rsidP="006B36CC">
      <w:r>
        <w:t xml:space="preserve">Technical Working Group members discussed options for linking the data under the direct measure and the principles that should be used to evaluate the options. </w:t>
      </w:r>
      <w:r w:rsidR="00E839EF">
        <w:rPr>
          <w:color w:val="000000" w:themeColor="text1"/>
          <w:lang w:eastAsia="en-AU"/>
        </w:rPr>
        <w:t>M</w:t>
      </w:r>
      <w:r w:rsidR="00F976E0">
        <w:rPr>
          <w:color w:val="000000" w:themeColor="text1"/>
          <w:lang w:eastAsia="en-AU"/>
        </w:rPr>
        <w:t xml:space="preserve">embers </w:t>
      </w:r>
      <w:r w:rsidR="00E839EF">
        <w:rPr>
          <w:color w:val="000000" w:themeColor="text1"/>
          <w:lang w:eastAsia="en-AU"/>
        </w:rPr>
        <w:t>expressed</w:t>
      </w:r>
      <w:r w:rsidR="00F976E0">
        <w:rPr>
          <w:color w:val="000000" w:themeColor="text1"/>
          <w:lang w:eastAsia="en-AU"/>
        </w:rPr>
        <w:t xml:space="preserve"> a preference for linking the most recent</w:t>
      </w:r>
      <w:r>
        <w:rPr>
          <w:color w:val="000000" w:themeColor="text1"/>
          <w:lang w:eastAsia="en-AU"/>
        </w:rPr>
        <w:t>ly</w:t>
      </w:r>
      <w:r w:rsidR="00F976E0">
        <w:rPr>
          <w:color w:val="000000" w:themeColor="text1"/>
          <w:lang w:eastAsia="en-AU"/>
        </w:rPr>
        <w:t xml:space="preserve"> available income data </w:t>
      </w:r>
      <w:r w:rsidR="00867ED7">
        <w:rPr>
          <w:color w:val="000000" w:themeColor="text1"/>
          <w:lang w:eastAsia="en-AU"/>
        </w:rPr>
        <w:t xml:space="preserve">in MADIP </w:t>
      </w:r>
      <w:r w:rsidR="00F976E0">
        <w:rPr>
          <w:color w:val="000000" w:themeColor="text1"/>
          <w:lang w:eastAsia="en-AU"/>
        </w:rPr>
        <w:t>to the most recent</w:t>
      </w:r>
      <w:r>
        <w:rPr>
          <w:color w:val="000000" w:themeColor="text1"/>
          <w:lang w:eastAsia="en-AU"/>
        </w:rPr>
        <w:t>ly</w:t>
      </w:r>
      <w:r w:rsidR="00F976E0">
        <w:rPr>
          <w:color w:val="000000" w:themeColor="text1"/>
          <w:lang w:eastAsia="en-AU"/>
        </w:rPr>
        <w:t xml:space="preserve"> available address data </w:t>
      </w:r>
      <w:r w:rsidR="00FC7CC9">
        <w:rPr>
          <w:color w:val="000000" w:themeColor="text1"/>
          <w:lang w:eastAsia="en-AU"/>
        </w:rPr>
        <w:t>to</w:t>
      </w:r>
      <w:r w:rsidR="00F976E0">
        <w:rPr>
          <w:color w:val="000000" w:themeColor="text1"/>
          <w:lang w:eastAsia="en-AU"/>
        </w:rPr>
        <w:t xml:space="preserve"> balance stability, transparency and the need for the measure to reflect the current parent and guardian co</w:t>
      </w:r>
      <w:r w:rsidR="00ED1F7C">
        <w:rPr>
          <w:color w:val="000000" w:themeColor="text1"/>
          <w:lang w:eastAsia="en-AU"/>
        </w:rPr>
        <w:t xml:space="preserve">mmunity </w:t>
      </w:r>
      <w:r w:rsidR="00F976E0">
        <w:rPr>
          <w:color w:val="000000" w:themeColor="text1"/>
          <w:lang w:eastAsia="en-AU"/>
        </w:rPr>
        <w:t>of a school.</w:t>
      </w:r>
      <w:r w:rsidR="00F976E0">
        <w:t xml:space="preserve"> </w:t>
      </w:r>
      <w:r w:rsidR="00DF5777">
        <w:t xml:space="preserve">Members </w:t>
      </w:r>
      <w:r w:rsidR="007E6146">
        <w:t>agreed</w:t>
      </w:r>
      <w:r w:rsidR="00DF5777">
        <w:t xml:space="preserve"> </w:t>
      </w:r>
      <w:r w:rsidR="006B36CC">
        <w:t xml:space="preserve">that </w:t>
      </w:r>
      <w:r w:rsidR="00F976E0">
        <w:t xml:space="preserve">the </w:t>
      </w:r>
      <w:r w:rsidR="007E6146">
        <w:t xml:space="preserve">options should be </w:t>
      </w:r>
      <w:r w:rsidR="00F976E0">
        <w:t xml:space="preserve">revisited when an additional year of linked data are available. </w:t>
      </w:r>
    </w:p>
    <w:p w14:paraId="31C1F9EE" w14:textId="0D35151E" w:rsidR="006A67FE" w:rsidRDefault="002F254F" w:rsidP="001D6DC5">
      <w:pPr>
        <w:pStyle w:val="Heading2"/>
        <w:keepNext/>
        <w:keepLines/>
      </w:pPr>
      <w:r>
        <w:lastRenderedPageBreak/>
        <w:t xml:space="preserve">Options when a </w:t>
      </w:r>
      <w:r w:rsidR="007E6146">
        <w:t xml:space="preserve">direct income </w:t>
      </w:r>
      <w:r>
        <w:t>score cannot be calculated</w:t>
      </w:r>
    </w:p>
    <w:p w14:paraId="792B10AF" w14:textId="609D101A" w:rsidR="002F254F" w:rsidRPr="00A11FD7" w:rsidRDefault="00A11FD7" w:rsidP="001D6DC5">
      <w:pPr>
        <w:keepNext/>
        <w:keepLines/>
      </w:pPr>
      <w:r w:rsidRPr="007930A6">
        <w:t xml:space="preserve">The Department presented a paper on options to calculate a </w:t>
      </w:r>
      <w:r w:rsidR="00FC7CC9">
        <w:t>capacity to contribute</w:t>
      </w:r>
      <w:r w:rsidRPr="007930A6">
        <w:t xml:space="preserve"> score for schools where data could not be released due to privacy concerns or </w:t>
      </w:r>
      <w:r w:rsidR="002D01E9" w:rsidRPr="007930A6">
        <w:t>s</w:t>
      </w:r>
      <w:r w:rsidRPr="007930A6">
        <w:t xml:space="preserve">chools </w:t>
      </w:r>
      <w:r w:rsidR="00E71ED1" w:rsidRPr="007930A6">
        <w:t>with</w:t>
      </w:r>
      <w:r w:rsidRPr="007930A6">
        <w:t xml:space="preserve"> </w:t>
      </w:r>
      <w:r w:rsidR="002D01E9" w:rsidRPr="007930A6">
        <w:t xml:space="preserve">an </w:t>
      </w:r>
      <w:r w:rsidRPr="007930A6">
        <w:t>insufficient</w:t>
      </w:r>
      <w:r w:rsidR="002D01E9" w:rsidRPr="007930A6">
        <w:t xml:space="preserve"> number of</w:t>
      </w:r>
      <w:r w:rsidRPr="007930A6">
        <w:t xml:space="preserve"> </w:t>
      </w:r>
      <w:r w:rsidR="002D01E9" w:rsidRPr="007930A6">
        <w:t>linked students</w:t>
      </w:r>
      <w:r w:rsidRPr="007930A6">
        <w:t xml:space="preserve">. Members </w:t>
      </w:r>
      <w:r w:rsidR="007930A6" w:rsidRPr="007930A6">
        <w:t xml:space="preserve">discussed </w:t>
      </w:r>
      <w:r w:rsidRPr="007930A6">
        <w:t>bias</w:t>
      </w:r>
      <w:r w:rsidR="007930A6" w:rsidRPr="007930A6">
        <w:t xml:space="preserve"> in missing data and how</w:t>
      </w:r>
      <w:r w:rsidRPr="007930A6">
        <w:t xml:space="preserve"> this would need to be taken into account</w:t>
      </w:r>
      <w:r w:rsidR="00FC7CC9">
        <w:t xml:space="preserve"> when calculating a school’s capacity to contribute</w:t>
      </w:r>
      <w:r w:rsidR="00FC7CC9" w:rsidRPr="007930A6">
        <w:t xml:space="preserve"> score</w:t>
      </w:r>
      <w:r w:rsidR="001D6DC5">
        <w:t xml:space="preserve">. There was </w:t>
      </w:r>
      <w:r w:rsidR="007930A6" w:rsidRPr="007930A6">
        <w:t xml:space="preserve">agreement that </w:t>
      </w:r>
      <w:r w:rsidR="007E6146">
        <w:t>in considering options to remove bias</w:t>
      </w:r>
      <w:r w:rsidR="00FC7CC9">
        <w:t xml:space="preserve">, </w:t>
      </w:r>
      <w:r w:rsidRPr="007930A6">
        <w:t xml:space="preserve">accuracy </w:t>
      </w:r>
      <w:r w:rsidR="007930A6" w:rsidRPr="007930A6">
        <w:t xml:space="preserve">of the measure </w:t>
      </w:r>
      <w:r w:rsidRPr="007930A6">
        <w:t>outweighed simplicity. The Department agreed to further investigate options</w:t>
      </w:r>
      <w:r w:rsidR="007E6146">
        <w:t xml:space="preserve"> with this guidance</w:t>
      </w:r>
      <w:r w:rsidR="00FC7CC9">
        <w:t>.</w:t>
      </w:r>
    </w:p>
    <w:p w14:paraId="3EC6F11A" w14:textId="35A5BFB9" w:rsidR="000F2525" w:rsidRDefault="00A11FD7" w:rsidP="000F2525">
      <w:pPr>
        <w:pStyle w:val="Heading2"/>
      </w:pPr>
      <w:r>
        <w:t>Treatment of missing data</w:t>
      </w:r>
    </w:p>
    <w:p w14:paraId="6E0923E5" w14:textId="3E123622" w:rsidR="002F254F" w:rsidRDefault="00361605" w:rsidP="00FC7CC9">
      <w:r>
        <w:t>The</w:t>
      </w:r>
      <w:r w:rsidR="00A11FD7">
        <w:t xml:space="preserve"> Department presented </w:t>
      </w:r>
      <w:r w:rsidR="00FC515D">
        <w:t>a</w:t>
      </w:r>
      <w:r>
        <w:t>n</w:t>
      </w:r>
      <w:r w:rsidR="00A11FD7">
        <w:t xml:space="preserve"> analysis o</w:t>
      </w:r>
      <w:r w:rsidR="00B942E0">
        <w:t>f</w:t>
      </w:r>
      <w:r w:rsidR="00A11FD7">
        <w:t xml:space="preserve"> the characteristics of families of unlinked students</w:t>
      </w:r>
      <w:r w:rsidR="00A332DD">
        <w:t xml:space="preserve"> and schools with lower linkage rates</w:t>
      </w:r>
      <w:r w:rsidR="00A11FD7">
        <w:t xml:space="preserve">. </w:t>
      </w:r>
      <w:r>
        <w:t xml:space="preserve">The Technical Working Group noted </w:t>
      </w:r>
      <w:r w:rsidR="00F976E0">
        <w:t xml:space="preserve">the </w:t>
      </w:r>
      <w:r w:rsidR="00ED1F7C">
        <w:t xml:space="preserve">data driven approach taken to date and the </w:t>
      </w:r>
      <w:r w:rsidR="00F976E0">
        <w:t xml:space="preserve">alternative data sources </w:t>
      </w:r>
      <w:r w:rsidR="00ED1F7C">
        <w:t xml:space="preserve">that could be </w:t>
      </w:r>
      <w:r w:rsidR="00F976E0">
        <w:t xml:space="preserve">used to </w:t>
      </w:r>
      <w:r w:rsidR="00ED1F7C">
        <w:t xml:space="preserve">adjust for the majority of unlinked students. </w:t>
      </w:r>
      <w:r w:rsidR="001C69E3">
        <w:rPr>
          <w:rFonts w:ascii="Calibri" w:eastAsia="Calibri" w:hAnsi="Calibri" w:cs="Calibri"/>
          <w:bCs/>
          <w:color w:val="000000" w:themeColor="text1"/>
        </w:rPr>
        <w:t xml:space="preserve">Members were supportive of the broad approach and made suggestions </w:t>
      </w:r>
      <w:r w:rsidR="003F5472">
        <w:rPr>
          <w:rFonts w:ascii="Calibri" w:eastAsia="Calibri" w:hAnsi="Calibri" w:cs="Calibri"/>
          <w:bCs/>
          <w:color w:val="000000" w:themeColor="text1"/>
        </w:rPr>
        <w:t>for further refinement.</w:t>
      </w:r>
      <w:r w:rsidR="001C69E3">
        <w:rPr>
          <w:rFonts w:ascii="Calibri" w:eastAsia="Calibri" w:hAnsi="Calibri" w:cs="Calibri"/>
          <w:bCs/>
          <w:color w:val="000000" w:themeColor="text1"/>
        </w:rPr>
        <w:t xml:space="preserve"> </w:t>
      </w:r>
      <w:r w:rsidR="00E03CC2">
        <w:t xml:space="preserve">With their detailed knowledge of </w:t>
      </w:r>
      <w:r w:rsidR="00ED1F7C">
        <w:t xml:space="preserve">unique circumstances of </w:t>
      </w:r>
      <w:r w:rsidR="00E03CC2">
        <w:t xml:space="preserve">specific schools, </w:t>
      </w:r>
      <w:r w:rsidR="003F5472">
        <w:t xml:space="preserve">Technical </w:t>
      </w:r>
      <w:r w:rsidR="00E03CC2">
        <w:t xml:space="preserve">Working Group </w:t>
      </w:r>
      <w:r w:rsidR="003F5472">
        <w:t>m</w:t>
      </w:r>
      <w:r w:rsidR="00E03CC2">
        <w:t xml:space="preserve">embers agreed to assist the Department </w:t>
      </w:r>
      <w:r w:rsidR="00FC7CC9">
        <w:t xml:space="preserve">to </w:t>
      </w:r>
      <w:r w:rsidR="00E03CC2">
        <w:t>investigat</w:t>
      </w:r>
      <w:r w:rsidR="00FC7CC9">
        <w:t>e</w:t>
      </w:r>
      <w:r w:rsidR="00E03CC2">
        <w:t xml:space="preserve"> reasons for low linkage rates on a case-by-case basis.</w:t>
      </w:r>
      <w:r w:rsidR="00E03CC2" w:rsidRPr="00E03CC2">
        <w:t xml:space="preserve"> </w:t>
      </w:r>
      <w:r w:rsidR="00E03CC2" w:rsidRPr="00A11FD7">
        <w:t xml:space="preserve">Technical Working </w:t>
      </w:r>
      <w:r w:rsidR="00E03CC2" w:rsidRPr="003F5472">
        <w:t xml:space="preserve">Group </w:t>
      </w:r>
      <w:r w:rsidR="00AC7A03" w:rsidRPr="003F5472">
        <w:t xml:space="preserve">members </w:t>
      </w:r>
      <w:r w:rsidRPr="003F5472">
        <w:t>requested</w:t>
      </w:r>
      <w:r w:rsidR="00E03CC2" w:rsidRPr="00A11FD7">
        <w:t xml:space="preserve"> that</w:t>
      </w:r>
      <w:r w:rsidR="00E03CC2">
        <w:t xml:space="preserve"> </w:t>
      </w:r>
      <w:r w:rsidR="00B942E0">
        <w:t xml:space="preserve">further </w:t>
      </w:r>
      <w:r w:rsidR="00E03CC2">
        <w:t xml:space="preserve">work </w:t>
      </w:r>
      <w:r w:rsidR="00E03CC2" w:rsidRPr="00A11FD7">
        <w:t xml:space="preserve">be undertaken to investigate whether </w:t>
      </w:r>
      <w:r w:rsidR="00E03CC2">
        <w:t>l</w:t>
      </w:r>
      <w:r w:rsidR="00E03CC2" w:rsidRPr="00A11FD7">
        <w:t xml:space="preserve">inkage rates improve </w:t>
      </w:r>
      <w:r w:rsidR="00E03CC2">
        <w:t>over time</w:t>
      </w:r>
      <w:r w:rsidR="00E41F05">
        <w:t xml:space="preserve"> and between collections</w:t>
      </w:r>
      <w:r w:rsidR="00FC7CC9">
        <w:t>.</w:t>
      </w:r>
    </w:p>
    <w:p w14:paraId="094DD602" w14:textId="75757E53" w:rsidR="002F254F" w:rsidRDefault="00E953D5" w:rsidP="002F254F">
      <w:pPr>
        <w:pStyle w:val="Heading2"/>
      </w:pPr>
      <w:r>
        <w:t>Family characteristics</w:t>
      </w:r>
    </w:p>
    <w:p w14:paraId="42763CCB" w14:textId="7D96CD55" w:rsidR="00E15AC7" w:rsidRPr="00006ACB" w:rsidRDefault="00A11FD7" w:rsidP="00E15AC7">
      <w:pPr>
        <w:rPr>
          <w:rFonts w:ascii="Calibri" w:eastAsia="Calibri" w:hAnsi="Calibri" w:cs="Calibri"/>
          <w:bCs/>
          <w:color w:val="000000" w:themeColor="text1"/>
        </w:rPr>
      </w:pPr>
      <w:r w:rsidRPr="00006ACB">
        <w:rPr>
          <w:rFonts w:eastAsia="Calibri" w:cs="Calibri"/>
          <w:color w:val="000000" w:themeColor="text1"/>
        </w:rPr>
        <w:t>The</w:t>
      </w:r>
      <w:r w:rsidR="00E71ED1" w:rsidRPr="00006ACB">
        <w:rPr>
          <w:rFonts w:eastAsia="Calibri" w:cs="Calibri"/>
          <w:color w:val="000000" w:themeColor="text1"/>
        </w:rPr>
        <w:t xml:space="preserve"> Department presented</w:t>
      </w:r>
      <w:r w:rsidR="00E953D5" w:rsidRPr="00006ACB">
        <w:rPr>
          <w:rFonts w:eastAsia="Calibri" w:cs="Calibri"/>
          <w:color w:val="000000" w:themeColor="text1"/>
        </w:rPr>
        <w:t xml:space="preserve"> follow up</w:t>
      </w:r>
      <w:r w:rsidR="008E5371" w:rsidRPr="00006ACB">
        <w:rPr>
          <w:rFonts w:eastAsia="Calibri" w:cs="Calibri"/>
          <w:color w:val="000000" w:themeColor="text1"/>
        </w:rPr>
        <w:t xml:space="preserve"> </w:t>
      </w:r>
      <w:r w:rsidR="00E71ED1" w:rsidRPr="00006ACB">
        <w:rPr>
          <w:rFonts w:eastAsia="Calibri" w:cs="Calibri"/>
          <w:color w:val="000000" w:themeColor="text1"/>
        </w:rPr>
        <w:t>analysis</w:t>
      </w:r>
      <w:r w:rsidR="008E5371" w:rsidRPr="00006ACB">
        <w:rPr>
          <w:rFonts w:eastAsia="Calibri" w:cs="Calibri"/>
          <w:color w:val="000000" w:themeColor="text1"/>
        </w:rPr>
        <w:t xml:space="preserve"> of potential methodology </w:t>
      </w:r>
      <w:r w:rsidR="00361605" w:rsidRPr="00006ACB">
        <w:rPr>
          <w:rFonts w:eastAsia="Calibri" w:cs="Calibri"/>
          <w:color w:val="000000" w:themeColor="text1"/>
        </w:rPr>
        <w:t xml:space="preserve">options to adjust for the impact of </w:t>
      </w:r>
      <w:r w:rsidR="008E5371" w:rsidRPr="00006ACB">
        <w:rPr>
          <w:rFonts w:eastAsia="Calibri" w:cs="Calibri"/>
          <w:color w:val="000000" w:themeColor="text1"/>
        </w:rPr>
        <w:t xml:space="preserve">family size and family circumstances </w:t>
      </w:r>
      <w:r w:rsidR="00361605" w:rsidRPr="00006ACB">
        <w:rPr>
          <w:rFonts w:eastAsia="Calibri" w:cs="Calibri"/>
          <w:color w:val="000000" w:themeColor="text1"/>
        </w:rPr>
        <w:t xml:space="preserve">on </w:t>
      </w:r>
      <w:r w:rsidR="00B942E0" w:rsidRPr="00006ACB">
        <w:rPr>
          <w:rFonts w:eastAsia="Calibri" w:cs="Calibri"/>
          <w:color w:val="000000" w:themeColor="text1"/>
        </w:rPr>
        <w:t xml:space="preserve">the direct income measure of </w:t>
      </w:r>
      <w:r w:rsidR="00361605" w:rsidRPr="00006ACB">
        <w:rPr>
          <w:rFonts w:eastAsia="Calibri" w:cs="Calibri"/>
          <w:color w:val="000000" w:themeColor="text1"/>
        </w:rPr>
        <w:t xml:space="preserve">capacity to contribute. </w:t>
      </w:r>
      <w:r w:rsidR="008E5371" w:rsidRPr="00006ACB">
        <w:rPr>
          <w:rFonts w:eastAsia="Calibri" w:cs="Calibri"/>
          <w:color w:val="000000" w:themeColor="text1"/>
        </w:rPr>
        <w:t xml:space="preserve">Whilst members agreed there was merit for the inclusion of </w:t>
      </w:r>
      <w:r w:rsidR="00361605" w:rsidRPr="00006ACB">
        <w:rPr>
          <w:rFonts w:eastAsia="Calibri" w:cs="Calibri"/>
          <w:color w:val="000000" w:themeColor="text1"/>
        </w:rPr>
        <w:t xml:space="preserve">an adjustment to account for </w:t>
      </w:r>
      <w:r w:rsidR="008E5371" w:rsidRPr="00006ACB">
        <w:rPr>
          <w:rFonts w:eastAsia="Calibri" w:cs="Calibri"/>
          <w:color w:val="000000" w:themeColor="text1"/>
        </w:rPr>
        <w:t xml:space="preserve">family size in the methodology, it was </w:t>
      </w:r>
      <w:r w:rsidR="00361605" w:rsidRPr="00006ACB">
        <w:rPr>
          <w:rFonts w:eastAsia="Calibri" w:cs="Calibri"/>
          <w:color w:val="000000" w:themeColor="text1"/>
        </w:rPr>
        <w:t xml:space="preserve">noted </w:t>
      </w:r>
      <w:r w:rsidR="00A332DD" w:rsidRPr="00006ACB">
        <w:rPr>
          <w:rFonts w:eastAsia="Calibri" w:cs="Calibri"/>
          <w:color w:val="000000" w:themeColor="text1"/>
        </w:rPr>
        <w:t xml:space="preserve">that further </w:t>
      </w:r>
      <w:r w:rsidR="00E953D5" w:rsidRPr="00006ACB">
        <w:rPr>
          <w:rFonts w:eastAsia="Calibri" w:cs="Calibri"/>
          <w:color w:val="000000" w:themeColor="text1"/>
        </w:rPr>
        <w:t xml:space="preserve">investigation </w:t>
      </w:r>
      <w:r w:rsidR="00A332DD" w:rsidRPr="00006ACB">
        <w:rPr>
          <w:rFonts w:eastAsia="Calibri" w:cs="Calibri"/>
          <w:color w:val="000000" w:themeColor="text1"/>
        </w:rPr>
        <w:t xml:space="preserve">is </w:t>
      </w:r>
      <w:r w:rsidR="00E953D5" w:rsidRPr="00006ACB">
        <w:rPr>
          <w:rFonts w:eastAsia="Calibri" w:cs="Calibri"/>
          <w:color w:val="000000" w:themeColor="text1"/>
        </w:rPr>
        <w:t>required</w:t>
      </w:r>
      <w:r w:rsidR="00A332DD" w:rsidRPr="00006ACB">
        <w:rPr>
          <w:rFonts w:eastAsia="Calibri" w:cs="Calibri"/>
          <w:color w:val="000000" w:themeColor="text1"/>
        </w:rPr>
        <w:t xml:space="preserve"> on </w:t>
      </w:r>
      <w:r w:rsidR="00E953D5" w:rsidRPr="00006ACB">
        <w:rPr>
          <w:rFonts w:eastAsia="Calibri" w:cs="Calibri"/>
          <w:color w:val="000000" w:themeColor="text1"/>
        </w:rPr>
        <w:t xml:space="preserve">the </w:t>
      </w:r>
      <w:r w:rsidR="002E0A06" w:rsidRPr="00006ACB">
        <w:rPr>
          <w:rFonts w:eastAsia="Calibri" w:cs="Calibri"/>
          <w:color w:val="000000" w:themeColor="text1"/>
        </w:rPr>
        <w:t xml:space="preserve">best way to adjust income data for family size, the </w:t>
      </w:r>
      <w:r w:rsidR="00E953D5" w:rsidRPr="00006ACB">
        <w:rPr>
          <w:rFonts w:eastAsia="Calibri" w:cs="Calibri"/>
          <w:color w:val="000000" w:themeColor="text1"/>
        </w:rPr>
        <w:t xml:space="preserve">availability of data sources </w:t>
      </w:r>
      <w:r w:rsidR="00DF5777" w:rsidRPr="00006ACB">
        <w:rPr>
          <w:rFonts w:eastAsia="Calibri" w:cs="Calibri"/>
          <w:color w:val="000000" w:themeColor="text1"/>
        </w:rPr>
        <w:t>to</w:t>
      </w:r>
      <w:r w:rsidR="00E953D5" w:rsidRPr="00006ACB">
        <w:rPr>
          <w:rFonts w:eastAsia="Calibri" w:cs="Calibri"/>
          <w:color w:val="000000" w:themeColor="text1"/>
        </w:rPr>
        <w:t xml:space="preserve"> determin</w:t>
      </w:r>
      <w:r w:rsidR="00DF5777" w:rsidRPr="00006ACB">
        <w:rPr>
          <w:rFonts w:eastAsia="Calibri" w:cs="Calibri"/>
          <w:color w:val="000000" w:themeColor="text1"/>
        </w:rPr>
        <w:t>e family size consistently</w:t>
      </w:r>
      <w:r w:rsidR="00361605" w:rsidRPr="00006ACB">
        <w:rPr>
          <w:rFonts w:eastAsia="Calibri" w:cs="Calibri"/>
          <w:color w:val="000000" w:themeColor="text1"/>
        </w:rPr>
        <w:t xml:space="preserve"> and accurately</w:t>
      </w:r>
      <w:r w:rsidR="00717F8E" w:rsidRPr="00006ACB">
        <w:rPr>
          <w:rFonts w:eastAsia="Calibri" w:cs="Calibri"/>
          <w:color w:val="000000" w:themeColor="text1"/>
        </w:rPr>
        <w:t>, and volatility</w:t>
      </w:r>
      <w:r w:rsidR="00DF5777" w:rsidRPr="00006ACB">
        <w:rPr>
          <w:rFonts w:eastAsia="Calibri" w:cs="Calibri"/>
          <w:color w:val="000000" w:themeColor="text1"/>
        </w:rPr>
        <w:t>.</w:t>
      </w:r>
      <w:r w:rsidR="00E15AC7" w:rsidRPr="00006ACB">
        <w:rPr>
          <w:rFonts w:eastAsia="Calibri" w:cs="Calibri"/>
          <w:color w:val="000000" w:themeColor="text1"/>
        </w:rPr>
        <w:t xml:space="preserve"> </w:t>
      </w:r>
      <w:r w:rsidR="00717F8E" w:rsidRPr="00006ACB">
        <w:rPr>
          <w:rFonts w:eastAsia="Calibri" w:cs="Calibri"/>
          <w:color w:val="000000" w:themeColor="text1"/>
        </w:rPr>
        <w:t>If</w:t>
      </w:r>
      <w:r w:rsidR="00072B71" w:rsidRPr="00006ACB">
        <w:rPr>
          <w:rFonts w:eastAsia="Calibri" w:cs="Calibri"/>
          <w:color w:val="000000" w:themeColor="text1"/>
        </w:rPr>
        <w:t xml:space="preserve"> reliable </w:t>
      </w:r>
      <w:r w:rsidR="00FB564F" w:rsidRPr="00006ACB">
        <w:rPr>
          <w:rFonts w:eastAsia="Calibri" w:cs="Calibri"/>
          <w:color w:val="000000" w:themeColor="text1"/>
        </w:rPr>
        <w:t xml:space="preserve">data </w:t>
      </w:r>
      <w:r w:rsidR="00072B71" w:rsidRPr="00006ACB">
        <w:rPr>
          <w:rFonts w:eastAsia="Calibri" w:cs="Calibri"/>
          <w:color w:val="000000" w:themeColor="text1"/>
        </w:rPr>
        <w:t>are not available</w:t>
      </w:r>
      <w:r w:rsidR="00E15AC7" w:rsidRPr="00006ACB">
        <w:rPr>
          <w:rFonts w:eastAsia="Calibri" w:cs="Calibri"/>
          <w:color w:val="000000" w:themeColor="text1"/>
        </w:rPr>
        <w:t xml:space="preserve"> by 2020</w:t>
      </w:r>
      <w:r w:rsidR="00072B71" w:rsidRPr="00006ACB">
        <w:rPr>
          <w:rFonts w:eastAsia="Calibri" w:cs="Calibri"/>
          <w:color w:val="000000" w:themeColor="text1"/>
        </w:rPr>
        <w:t xml:space="preserve"> to inform an adjustment </w:t>
      </w:r>
      <w:r w:rsidR="00E15AC7">
        <w:rPr>
          <w:rFonts w:eastAsia="Calibri" w:cs="Calibri"/>
          <w:color w:val="000000" w:themeColor="text1"/>
        </w:rPr>
        <w:t>for</w:t>
      </w:r>
      <w:r w:rsidR="00072B71" w:rsidRPr="00006ACB">
        <w:rPr>
          <w:rFonts w:eastAsia="Calibri" w:cs="Calibri"/>
          <w:color w:val="000000" w:themeColor="text1"/>
        </w:rPr>
        <w:t xml:space="preserve"> family size </w:t>
      </w:r>
      <w:r w:rsidR="00717F8E" w:rsidRPr="00006ACB">
        <w:rPr>
          <w:rFonts w:eastAsia="Calibri" w:cs="Calibri"/>
          <w:color w:val="000000" w:themeColor="text1"/>
        </w:rPr>
        <w:t xml:space="preserve">some members suggested that it </w:t>
      </w:r>
      <w:r w:rsidR="00072B71">
        <w:rPr>
          <w:rFonts w:eastAsia="Calibri" w:cs="Calibri"/>
          <w:color w:val="000000" w:themeColor="text1"/>
        </w:rPr>
        <w:t>be included in a robust appeals process</w:t>
      </w:r>
      <w:r w:rsidR="00717F8E">
        <w:rPr>
          <w:rFonts w:eastAsia="Calibri" w:cs="Calibri"/>
          <w:color w:val="000000" w:themeColor="text1"/>
        </w:rPr>
        <w:t xml:space="preserve"> </w:t>
      </w:r>
      <w:r w:rsidR="00E15AC7">
        <w:rPr>
          <w:rFonts w:eastAsia="Calibri" w:cs="Calibri"/>
          <w:color w:val="000000" w:themeColor="text1"/>
        </w:rPr>
        <w:t xml:space="preserve">until such time that reliable data are available.  Other </w:t>
      </w:r>
      <w:r w:rsidR="00717F8E">
        <w:rPr>
          <w:rFonts w:eastAsia="Calibri" w:cs="Calibri"/>
          <w:color w:val="000000" w:themeColor="text1"/>
        </w:rPr>
        <w:t xml:space="preserve">members </w:t>
      </w:r>
      <w:r w:rsidR="00E15AC7">
        <w:rPr>
          <w:rFonts w:eastAsia="Calibri" w:cs="Calibri"/>
          <w:color w:val="000000" w:themeColor="text1"/>
        </w:rPr>
        <w:t>suggested that data on family size could be included from 2020 and improved over time.</w:t>
      </w:r>
    </w:p>
    <w:p w14:paraId="726B43C4" w14:textId="33F0B3C9" w:rsidR="006E0D7A" w:rsidRDefault="006E0D7A" w:rsidP="006E0D7A">
      <w:pPr>
        <w:pStyle w:val="Heading2"/>
      </w:pPr>
      <w:r>
        <w:t>Background</w:t>
      </w:r>
    </w:p>
    <w:p w14:paraId="181399A3" w14:textId="77777777" w:rsidR="006E0D7A" w:rsidRDefault="006E0D7A" w:rsidP="006E0D7A">
      <w:r>
        <w:t xml:space="preserve">The National School Resourcing Board (the Board) </w:t>
      </w:r>
      <w:r w:rsidRPr="00AE5B58">
        <w:t xml:space="preserve">undertook an independent review of the methodology used to calculate capacity </w:t>
      </w:r>
      <w:r w:rsidR="0074728D">
        <w:t xml:space="preserve">of a non-government school community </w:t>
      </w:r>
      <w:r w:rsidRPr="00AE5B58">
        <w:t xml:space="preserve">to contribute </w:t>
      </w:r>
      <w:r w:rsidR="0074728D">
        <w:t>to the cost of schooling</w:t>
      </w:r>
      <w:r w:rsidRPr="00AE5B58">
        <w:t xml:space="preserve"> to ensure it is the fairest, most effective, accurate and transparent model available. The Board’s final report made six recommendations, including that the capacity to contribute for a school be determined based on a direct measure of income of parents and/or guardians of the students at the school.</w:t>
      </w:r>
    </w:p>
    <w:p w14:paraId="4E30DE4A" w14:textId="4248A27D" w:rsidR="00F328E7" w:rsidRDefault="006E0D7A">
      <w:r w:rsidRPr="00AE5B58">
        <w:t xml:space="preserve">The Government has accepted all of the Board’s recommendations and will use a direct income measure </w:t>
      </w:r>
      <w:r w:rsidR="0003327F">
        <w:t xml:space="preserve">of capacity to contribute </w:t>
      </w:r>
      <w:r w:rsidRPr="00AE5B58">
        <w:t>from 2020</w:t>
      </w:r>
      <w:r w:rsidR="0003327F">
        <w:t xml:space="preserve"> </w:t>
      </w:r>
      <w:r w:rsidRPr="00AE5B58">
        <w:t>based on the income of parents and/or guardians of students at a school. This more targeted, more accurate measure will ensure funding flows to the schools that need it the most.</w:t>
      </w:r>
    </w:p>
    <w:sectPr w:rsidR="00F328E7" w:rsidSect="003311FD">
      <w:type w:val="continuous"/>
      <w:pgSz w:w="11906" w:h="16838"/>
      <w:pgMar w:top="1134" w:right="1134" w:bottom="1134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9C816" w14:textId="77777777" w:rsidR="00232F9B" w:rsidRDefault="00232F9B" w:rsidP="003311FD">
      <w:pPr>
        <w:spacing w:before="0" w:after="0" w:line="240" w:lineRule="auto"/>
      </w:pPr>
      <w:r>
        <w:separator/>
      </w:r>
    </w:p>
  </w:endnote>
  <w:endnote w:type="continuationSeparator" w:id="0">
    <w:p w14:paraId="59B04CED" w14:textId="77777777" w:rsidR="00232F9B" w:rsidRDefault="00232F9B" w:rsidP="003311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BCE9F" w14:textId="4D9AAD96" w:rsidR="00782F1B" w:rsidRDefault="00A444DC" w:rsidP="00A73406">
    <w:pPr>
      <w:pStyle w:val="Footer"/>
      <w:tabs>
        <w:tab w:val="clear" w:pos="9026"/>
        <w:tab w:val="right" w:pos="8647"/>
      </w:tabs>
      <w:ind w:firstLine="720"/>
      <w:jc w:val="right"/>
    </w:pPr>
    <w:sdt>
      <w:sdtPr>
        <w:id w:val="6758506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104DA">
          <w:fldChar w:fldCharType="begin"/>
        </w:r>
        <w:r w:rsidR="009104DA">
          <w:instrText xml:space="preserve"> PAGE   \* MERGEFORMAT </w:instrText>
        </w:r>
        <w:r w:rsidR="009104DA">
          <w:fldChar w:fldCharType="separate"/>
        </w:r>
        <w:r>
          <w:rPr>
            <w:noProof/>
          </w:rPr>
          <w:t>2</w:t>
        </w:r>
        <w:r w:rsidR="009104DA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62670" w14:textId="77777777" w:rsidR="00782F1B" w:rsidRDefault="009104DA" w:rsidP="00E02515">
    <w:pPr>
      <w:spacing w:after="0"/>
      <w:ind w:left="1418"/>
      <w:rPr>
        <w:rStyle w:val="Emphasis"/>
      </w:rPr>
    </w:pPr>
    <w:r w:rsidRPr="00F80DCB">
      <w:rPr>
        <w:rStyle w:val="Emphasis"/>
      </w:rPr>
      <w:t>Opportunity through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C5137" w14:textId="77777777" w:rsidR="00232F9B" w:rsidRDefault="00232F9B" w:rsidP="003311FD">
      <w:pPr>
        <w:spacing w:before="0" w:after="0" w:line="240" w:lineRule="auto"/>
      </w:pPr>
      <w:r>
        <w:separator/>
      </w:r>
    </w:p>
  </w:footnote>
  <w:footnote w:type="continuationSeparator" w:id="0">
    <w:p w14:paraId="676B23FB" w14:textId="77777777" w:rsidR="00232F9B" w:rsidRDefault="00232F9B" w:rsidP="003311F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6D623" w14:textId="33338803" w:rsidR="00545D8A" w:rsidRDefault="00545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914D8" w14:textId="5AF5A125" w:rsidR="00AE5B58" w:rsidRDefault="009104DA" w:rsidP="00AE5B58">
    <w:pPr>
      <w:pStyle w:val="Header"/>
      <w:spacing w:after="480"/>
      <w:jc w:val="right"/>
    </w:pPr>
    <w:r>
      <w:t xml:space="preserve">Direct </w:t>
    </w:r>
    <w:r w:rsidR="00AC1E6A">
      <w:t xml:space="preserve">Income </w:t>
    </w:r>
    <w:r>
      <w:t xml:space="preserve">Measure of Capacity to Contribute </w:t>
    </w:r>
    <w:r w:rsidR="0016732B">
      <w:t>Tec</w:t>
    </w:r>
    <w:r w:rsidR="00581AE1">
      <w:t xml:space="preserve">hnical Working Group – Meeting </w:t>
    </w:r>
    <w:r w:rsidR="002F254F">
      <w:t>6</w:t>
    </w:r>
    <w:r>
      <w:t xml:space="preserve"> | Communiqu</w:t>
    </w:r>
    <w:r w:rsidR="00B43EE0" w:rsidRPr="00B43EE0">
      <w:t>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C72EF" w14:textId="0FA7CB6B" w:rsidR="00545D8A" w:rsidRDefault="00545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FE6642F"/>
    <w:multiLevelType w:val="hybridMultilevel"/>
    <w:tmpl w:val="6C0ECE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EB140D"/>
    <w:multiLevelType w:val="hybridMultilevel"/>
    <w:tmpl w:val="BAD4CF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028"/>
    <w:multiLevelType w:val="hybridMultilevel"/>
    <w:tmpl w:val="BB16ED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DE39C4"/>
    <w:multiLevelType w:val="hybridMultilevel"/>
    <w:tmpl w:val="886612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6B"/>
    <w:rsid w:val="0000507F"/>
    <w:rsid w:val="00006ACB"/>
    <w:rsid w:val="00027B49"/>
    <w:rsid w:val="00031E56"/>
    <w:rsid w:val="0003327F"/>
    <w:rsid w:val="0004146D"/>
    <w:rsid w:val="00043A3B"/>
    <w:rsid w:val="00063600"/>
    <w:rsid w:val="000678C7"/>
    <w:rsid w:val="00072B71"/>
    <w:rsid w:val="00080CA5"/>
    <w:rsid w:val="00093765"/>
    <w:rsid w:val="000A12AA"/>
    <w:rsid w:val="000B7F0C"/>
    <w:rsid w:val="000E1274"/>
    <w:rsid w:val="000F2525"/>
    <w:rsid w:val="001036CF"/>
    <w:rsid w:val="001064BE"/>
    <w:rsid w:val="0010746A"/>
    <w:rsid w:val="001140F7"/>
    <w:rsid w:val="00146536"/>
    <w:rsid w:val="0016732B"/>
    <w:rsid w:val="001C69E3"/>
    <w:rsid w:val="001D6DC5"/>
    <w:rsid w:val="00214692"/>
    <w:rsid w:val="00220D08"/>
    <w:rsid w:val="00232F9B"/>
    <w:rsid w:val="002418AD"/>
    <w:rsid w:val="00245C28"/>
    <w:rsid w:val="00265C9F"/>
    <w:rsid w:val="00267CF5"/>
    <w:rsid w:val="00271302"/>
    <w:rsid w:val="0028168A"/>
    <w:rsid w:val="00284D3E"/>
    <w:rsid w:val="002C5A3D"/>
    <w:rsid w:val="002D01E9"/>
    <w:rsid w:val="002D08CB"/>
    <w:rsid w:val="002E0A06"/>
    <w:rsid w:val="002F254F"/>
    <w:rsid w:val="00304A6B"/>
    <w:rsid w:val="00330CCF"/>
    <w:rsid w:val="003311FD"/>
    <w:rsid w:val="00361605"/>
    <w:rsid w:val="00371AD8"/>
    <w:rsid w:val="00382499"/>
    <w:rsid w:val="003F399F"/>
    <w:rsid w:val="003F5472"/>
    <w:rsid w:val="003F5D41"/>
    <w:rsid w:val="004A0613"/>
    <w:rsid w:val="004A289D"/>
    <w:rsid w:val="004A7474"/>
    <w:rsid w:val="004B7C6D"/>
    <w:rsid w:val="00500977"/>
    <w:rsid w:val="00505AC3"/>
    <w:rsid w:val="00524BA4"/>
    <w:rsid w:val="00536839"/>
    <w:rsid w:val="00545D8A"/>
    <w:rsid w:val="00550261"/>
    <w:rsid w:val="00561BC8"/>
    <w:rsid w:val="00581AE1"/>
    <w:rsid w:val="005D6721"/>
    <w:rsid w:val="00604933"/>
    <w:rsid w:val="00612EC9"/>
    <w:rsid w:val="00650756"/>
    <w:rsid w:val="006A1432"/>
    <w:rsid w:val="006A1FA5"/>
    <w:rsid w:val="006A67FE"/>
    <w:rsid w:val="006B36CC"/>
    <w:rsid w:val="006C2EC3"/>
    <w:rsid w:val="006D6820"/>
    <w:rsid w:val="006E0D7A"/>
    <w:rsid w:val="00705302"/>
    <w:rsid w:val="00717F8E"/>
    <w:rsid w:val="0074728D"/>
    <w:rsid w:val="00790E9B"/>
    <w:rsid w:val="007930A6"/>
    <w:rsid w:val="007A0851"/>
    <w:rsid w:val="007C59EF"/>
    <w:rsid w:val="007E6146"/>
    <w:rsid w:val="00867ED7"/>
    <w:rsid w:val="008727B2"/>
    <w:rsid w:val="0089209B"/>
    <w:rsid w:val="008A1858"/>
    <w:rsid w:val="008E5371"/>
    <w:rsid w:val="009104DA"/>
    <w:rsid w:val="00910A41"/>
    <w:rsid w:val="00917FA5"/>
    <w:rsid w:val="009312D7"/>
    <w:rsid w:val="009A41FF"/>
    <w:rsid w:val="009B2E87"/>
    <w:rsid w:val="009E4FB7"/>
    <w:rsid w:val="009E6618"/>
    <w:rsid w:val="009F5840"/>
    <w:rsid w:val="00A11FD7"/>
    <w:rsid w:val="00A25F27"/>
    <w:rsid w:val="00A332DD"/>
    <w:rsid w:val="00A444DC"/>
    <w:rsid w:val="00A64F4B"/>
    <w:rsid w:val="00AA15F2"/>
    <w:rsid w:val="00AA3D38"/>
    <w:rsid w:val="00AC1E6A"/>
    <w:rsid w:val="00AC5096"/>
    <w:rsid w:val="00AC7A03"/>
    <w:rsid w:val="00AF3283"/>
    <w:rsid w:val="00AF6DF9"/>
    <w:rsid w:val="00B43EE0"/>
    <w:rsid w:val="00B4622E"/>
    <w:rsid w:val="00B46AC5"/>
    <w:rsid w:val="00B5238C"/>
    <w:rsid w:val="00B942E0"/>
    <w:rsid w:val="00BA257D"/>
    <w:rsid w:val="00C03FD6"/>
    <w:rsid w:val="00C10AEC"/>
    <w:rsid w:val="00C33F68"/>
    <w:rsid w:val="00C550AC"/>
    <w:rsid w:val="00CA1A3F"/>
    <w:rsid w:val="00CE208C"/>
    <w:rsid w:val="00CE65AF"/>
    <w:rsid w:val="00D27FE4"/>
    <w:rsid w:val="00D35502"/>
    <w:rsid w:val="00D35B2D"/>
    <w:rsid w:val="00D44428"/>
    <w:rsid w:val="00D628E0"/>
    <w:rsid w:val="00DB266C"/>
    <w:rsid w:val="00DD5798"/>
    <w:rsid w:val="00DF5777"/>
    <w:rsid w:val="00E03AB9"/>
    <w:rsid w:val="00E03CC2"/>
    <w:rsid w:val="00E15AC7"/>
    <w:rsid w:val="00E24466"/>
    <w:rsid w:val="00E41F05"/>
    <w:rsid w:val="00E5470B"/>
    <w:rsid w:val="00E65FB5"/>
    <w:rsid w:val="00E71ED1"/>
    <w:rsid w:val="00E839EF"/>
    <w:rsid w:val="00E953D5"/>
    <w:rsid w:val="00EB7B6B"/>
    <w:rsid w:val="00ED1F7C"/>
    <w:rsid w:val="00EE4F43"/>
    <w:rsid w:val="00F0276B"/>
    <w:rsid w:val="00F24542"/>
    <w:rsid w:val="00F328E7"/>
    <w:rsid w:val="00F64A81"/>
    <w:rsid w:val="00F976E0"/>
    <w:rsid w:val="00FB52B3"/>
    <w:rsid w:val="00FB564F"/>
    <w:rsid w:val="00FC515D"/>
    <w:rsid w:val="00FC7CC9"/>
    <w:rsid w:val="00FF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988B04C"/>
  <w15:chartTrackingRefBased/>
  <w15:docId w15:val="{004442AA-59A8-48E6-A1A2-13D12145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B6B"/>
    <w:pPr>
      <w:spacing w:before="120" w:after="12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7B6B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7B6B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B6B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7B6B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B7B6B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B7B6B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B6B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7B6B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7B6B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EB7B6B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EB7B6B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EB7B6B"/>
    <w:rPr>
      <w:rFonts w:ascii="Calibri" w:eastAsiaTheme="majorEastAsia" w:hAnsi="Calibri" w:cstheme="majorBidi"/>
      <w:b/>
      <w:bCs/>
      <w:i/>
      <w:iCs/>
      <w:color w:val="757575"/>
    </w:rPr>
  </w:style>
  <w:style w:type="character" w:styleId="Strong">
    <w:name w:val="Strong"/>
    <w:uiPriority w:val="22"/>
    <w:qFormat/>
    <w:rsid w:val="00EB7B6B"/>
    <w:rPr>
      <w:b/>
      <w:bCs/>
    </w:rPr>
  </w:style>
  <w:style w:type="character" w:styleId="Emphasis">
    <w:name w:val="Emphasis"/>
    <w:uiPriority w:val="20"/>
    <w:qFormat/>
    <w:rsid w:val="00EB7B6B"/>
    <w:rPr>
      <w:b w:val="0"/>
      <w:bCs/>
      <w:i/>
      <w:iCs/>
      <w:spacing w:val="10"/>
      <w:bdr w:val="none" w:sz="0" w:space="0" w:color="auto"/>
      <w:shd w:val="clear" w:color="auto" w:fill="auto"/>
    </w:rPr>
  </w:style>
  <w:style w:type="character" w:styleId="Hyperlink">
    <w:name w:val="Hyperlink"/>
    <w:basedOn w:val="DefaultParagraphFont"/>
    <w:uiPriority w:val="99"/>
    <w:unhideWhenUsed/>
    <w:rsid w:val="00EB7B6B"/>
    <w:rPr>
      <w:color w:val="44546A" w:themeColor="text2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EB7B6B"/>
    <w:pPr>
      <w:spacing w:before="48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7B6B"/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EB7B6B"/>
    <w:pPr>
      <w:spacing w:after="240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7B6B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EB7B6B"/>
    <w:pPr>
      <w:spacing w:after="0" w:line="240" w:lineRule="auto"/>
    </w:pPr>
  </w:style>
  <w:style w:type="paragraph" w:styleId="ListNumber">
    <w:name w:val="List Number"/>
    <w:basedOn w:val="Normal"/>
    <w:uiPriority w:val="99"/>
    <w:unhideWhenUsed/>
    <w:qFormat/>
    <w:rsid w:val="00EB7B6B"/>
    <w:pPr>
      <w:numPr>
        <w:numId w:val="1"/>
      </w:numPr>
      <w:ind w:left="369" w:hanging="369"/>
      <w:contextualSpacing/>
    </w:pPr>
  </w:style>
  <w:style w:type="paragraph" w:styleId="ListNumber2">
    <w:name w:val="List Number 2"/>
    <w:basedOn w:val="Normal"/>
    <w:uiPriority w:val="99"/>
    <w:unhideWhenUsed/>
    <w:rsid w:val="00EB7B6B"/>
    <w:pPr>
      <w:numPr>
        <w:ilvl w:val="1"/>
        <w:numId w:val="1"/>
      </w:numPr>
      <w:tabs>
        <w:tab w:val="left" w:pos="1134"/>
      </w:tabs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EB7B6B"/>
    <w:pPr>
      <w:numPr>
        <w:ilvl w:val="2"/>
        <w:numId w:val="1"/>
      </w:numPr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EB7B6B"/>
    <w:pPr>
      <w:numPr>
        <w:ilvl w:val="3"/>
        <w:numId w:val="1"/>
      </w:numPr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qFormat/>
    <w:rsid w:val="00EB7B6B"/>
    <w:pPr>
      <w:numPr>
        <w:numId w:val="2"/>
      </w:numPr>
      <w:ind w:left="369" w:hanging="369"/>
      <w:contextualSpacing/>
    </w:pPr>
  </w:style>
  <w:style w:type="paragraph" w:styleId="ListBullet2">
    <w:name w:val="List Bullet 2"/>
    <w:basedOn w:val="Normal"/>
    <w:uiPriority w:val="99"/>
    <w:unhideWhenUsed/>
    <w:rsid w:val="00EB7B6B"/>
    <w:pPr>
      <w:numPr>
        <w:ilvl w:val="1"/>
        <w:numId w:val="2"/>
      </w:numPr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EB7B6B"/>
    <w:pPr>
      <w:numPr>
        <w:ilvl w:val="2"/>
        <w:numId w:val="2"/>
      </w:numPr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EB7B6B"/>
    <w:pPr>
      <w:numPr>
        <w:ilvl w:val="3"/>
        <w:numId w:val="2"/>
      </w:numPr>
      <w:ind w:left="1503" w:hanging="369"/>
      <w:contextualSpacing/>
    </w:pPr>
  </w:style>
  <w:style w:type="table" w:customStyle="1" w:styleId="DEEWRTable">
    <w:name w:val="DEEWR Table"/>
    <w:basedOn w:val="TableNormal"/>
    <w:uiPriority w:val="99"/>
    <w:rsid w:val="00EB7B6B"/>
    <w:pPr>
      <w:spacing w:after="0" w:line="240" w:lineRule="auto"/>
    </w:pPr>
    <w:rPr>
      <w:rFonts w:eastAsiaTheme="minorEastAsia"/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character" w:customStyle="1" w:styleId="NoSpacingChar">
    <w:name w:val="No Spacing Char"/>
    <w:basedOn w:val="DefaultParagraphFont"/>
    <w:link w:val="NoSpacing"/>
    <w:uiPriority w:val="1"/>
    <w:rsid w:val="00EB7B6B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EB7B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B6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B7B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B6B"/>
    <w:rPr>
      <w:rFonts w:eastAsiaTheme="minorEastAsia"/>
    </w:rPr>
  </w:style>
  <w:style w:type="paragraph" w:styleId="Caption">
    <w:name w:val="caption"/>
    <w:basedOn w:val="Heading4"/>
    <w:next w:val="Normal"/>
    <w:uiPriority w:val="35"/>
    <w:unhideWhenUsed/>
    <w:rsid w:val="00EB7B6B"/>
    <w:rPr>
      <w:i w:val="0"/>
    </w:rPr>
  </w:style>
  <w:style w:type="character" w:styleId="PlaceholderText">
    <w:name w:val="Placeholder Text"/>
    <w:basedOn w:val="DefaultParagraphFont"/>
    <w:uiPriority w:val="99"/>
    <w:semiHidden/>
    <w:rsid w:val="00EB7B6B"/>
    <w:rPr>
      <w:color w:val="808080"/>
    </w:rPr>
  </w:style>
  <w:style w:type="paragraph" w:styleId="Revision">
    <w:name w:val="Revision"/>
    <w:hidden/>
    <w:uiPriority w:val="99"/>
    <w:semiHidden/>
    <w:rsid w:val="003311FD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713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0AE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AEC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7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FE4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FE4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85BB0FF17440BC9E9237FEC82FA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7993D-ABE7-488D-BA8B-0FE04415E959}"/>
      </w:docPartPr>
      <w:docPartBody>
        <w:p w:rsidR="002305BD" w:rsidRDefault="00E3638A" w:rsidP="00E3638A">
          <w:pPr>
            <w:pStyle w:val="5885BB0FF17440BC9E9237FEC82FA546"/>
          </w:pPr>
          <w:r w:rsidRPr="00716CA2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8A"/>
    <w:rsid w:val="001A61D4"/>
    <w:rsid w:val="002305BD"/>
    <w:rsid w:val="009A37A6"/>
    <w:rsid w:val="00E3638A"/>
    <w:rsid w:val="00E3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638A"/>
    <w:rPr>
      <w:color w:val="808080"/>
    </w:rPr>
  </w:style>
  <w:style w:type="paragraph" w:customStyle="1" w:styleId="5885BB0FF17440BC9E9237FEC82FA546">
    <w:name w:val="5885BB0FF17440BC9E9237FEC82FA546"/>
    <w:rsid w:val="00E363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4C2B7-B380-4180-B846-28DA6168A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49DE6DF2.dotm</Template>
  <TotalTime>2</TotalTime>
  <Pages>2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 Income Measure of Capacity to Contribute Technical Working Group</vt:lpstr>
    </vt:vector>
  </TitlesOfParts>
  <Company>Australian Government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 Income Measure of Capacity to Contribute Technical Working Group</dc:title>
  <dc:subject/>
  <dc:creator>PHELAN,Jessica</dc:creator>
  <cp:keywords/>
  <dc:description/>
  <cp:lastModifiedBy>VAUTIER,Madeline</cp:lastModifiedBy>
  <cp:revision>3</cp:revision>
  <dcterms:created xsi:type="dcterms:W3CDTF">2019-07-18T01:10:00Z</dcterms:created>
  <dcterms:modified xsi:type="dcterms:W3CDTF">2019-07-18T01:18:00Z</dcterms:modified>
</cp:coreProperties>
</file>