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8F570" w14:textId="361044E7" w:rsidR="003173AB" w:rsidRDefault="003173AB" w:rsidP="008B5304">
      <w:pPr>
        <w:pStyle w:val="Title"/>
        <w:rPr>
          <w:sz w:val="60"/>
          <w:szCs w:val="60"/>
        </w:rPr>
      </w:pPr>
      <w:bookmarkStart w:id="0" w:name="_GoBack"/>
      <w:bookmarkEnd w:id="0"/>
    </w:p>
    <w:p w14:paraId="347CA22E" w14:textId="77777777" w:rsidR="003173AB" w:rsidRDefault="003173AB" w:rsidP="006D0CC3">
      <w:pPr>
        <w:pStyle w:val="Title"/>
        <w:rPr>
          <w:sz w:val="60"/>
          <w:szCs w:val="60"/>
        </w:rPr>
      </w:pPr>
    </w:p>
    <w:p w14:paraId="2C66860B" w14:textId="77777777" w:rsidR="003173AB" w:rsidRDefault="003173AB" w:rsidP="006D0CC3">
      <w:pPr>
        <w:pStyle w:val="Title"/>
        <w:rPr>
          <w:sz w:val="60"/>
          <w:szCs w:val="60"/>
        </w:rPr>
      </w:pPr>
    </w:p>
    <w:p w14:paraId="74312AD6" w14:textId="77777777" w:rsidR="00BA282D" w:rsidRPr="00F31851" w:rsidRDefault="007250ED" w:rsidP="006D0CC3">
      <w:pPr>
        <w:pStyle w:val="Title"/>
        <w:rPr>
          <w:sz w:val="60"/>
          <w:szCs w:val="60"/>
        </w:rPr>
      </w:pPr>
      <w:r w:rsidRPr="00F31851">
        <w:rPr>
          <w:sz w:val="60"/>
          <w:szCs w:val="60"/>
        </w:rPr>
        <w:t xml:space="preserve">Review </w:t>
      </w:r>
      <w:r w:rsidR="001C3C1B" w:rsidRPr="00F31851">
        <w:rPr>
          <w:sz w:val="60"/>
          <w:szCs w:val="60"/>
        </w:rPr>
        <w:t xml:space="preserve">of </w:t>
      </w:r>
      <w:r w:rsidR="00977E98" w:rsidRPr="00F31851">
        <w:rPr>
          <w:sz w:val="60"/>
          <w:szCs w:val="60"/>
        </w:rPr>
        <w:t>the loading fo</w:t>
      </w:r>
      <w:r w:rsidR="002D6412" w:rsidRPr="00F31851">
        <w:rPr>
          <w:sz w:val="60"/>
          <w:szCs w:val="60"/>
        </w:rPr>
        <w:t>r students with disability</w:t>
      </w:r>
    </w:p>
    <w:p w14:paraId="1D454197" w14:textId="77777777" w:rsidR="00647308" w:rsidRPr="00F31851" w:rsidRDefault="00647308" w:rsidP="00647308"/>
    <w:p w14:paraId="04F1FC6D" w14:textId="350B1FB8" w:rsidR="001C3C1B" w:rsidRPr="00F31851" w:rsidRDefault="002D6412" w:rsidP="00647308">
      <w:pPr>
        <w:pStyle w:val="Title"/>
        <w:rPr>
          <w:b/>
          <w:bCs/>
        </w:rPr>
      </w:pPr>
      <w:r w:rsidRPr="00F31851">
        <w:rPr>
          <w:b/>
          <w:bCs/>
        </w:rPr>
        <w:t>Consultation</w:t>
      </w:r>
      <w:r w:rsidR="002B7899" w:rsidRPr="00F31851">
        <w:rPr>
          <w:b/>
          <w:bCs/>
        </w:rPr>
        <w:t xml:space="preserve"> </w:t>
      </w:r>
      <w:r w:rsidR="007250ED" w:rsidRPr="00F31851">
        <w:rPr>
          <w:b/>
          <w:bCs/>
        </w:rPr>
        <w:t>paper</w:t>
      </w:r>
    </w:p>
    <w:p w14:paraId="72DAC8FA" w14:textId="77777777" w:rsidR="00350D7D" w:rsidRPr="00F31851" w:rsidRDefault="00350D7D" w:rsidP="000725D4">
      <w:pPr>
        <w:tabs>
          <w:tab w:val="left" w:pos="5130"/>
        </w:tabs>
        <w:spacing w:after="120"/>
        <w:rPr>
          <w:b/>
        </w:rPr>
      </w:pPr>
    </w:p>
    <w:p w14:paraId="4E5D02ED" w14:textId="77777777" w:rsidR="00350D7D" w:rsidRPr="00F31851" w:rsidRDefault="00350D7D" w:rsidP="000725D4">
      <w:pPr>
        <w:tabs>
          <w:tab w:val="left" w:pos="5130"/>
        </w:tabs>
        <w:spacing w:after="120"/>
        <w:rPr>
          <w:b/>
        </w:rPr>
      </w:pPr>
    </w:p>
    <w:p w14:paraId="61460B59" w14:textId="77777777" w:rsidR="00350D7D" w:rsidRPr="00F31851" w:rsidRDefault="00350D7D" w:rsidP="000725D4">
      <w:pPr>
        <w:tabs>
          <w:tab w:val="left" w:pos="5130"/>
        </w:tabs>
        <w:spacing w:after="120"/>
        <w:rPr>
          <w:b/>
        </w:rPr>
      </w:pPr>
    </w:p>
    <w:p w14:paraId="572E3996" w14:textId="77777777" w:rsidR="00350D7D" w:rsidRPr="00F31851" w:rsidRDefault="00350D7D" w:rsidP="000725D4">
      <w:pPr>
        <w:tabs>
          <w:tab w:val="left" w:pos="5130"/>
        </w:tabs>
        <w:spacing w:after="120"/>
        <w:rPr>
          <w:b/>
        </w:rPr>
      </w:pPr>
    </w:p>
    <w:p w14:paraId="23640AAF" w14:textId="77777777" w:rsidR="00350D7D" w:rsidRPr="00F31851" w:rsidRDefault="00350D7D" w:rsidP="000725D4">
      <w:pPr>
        <w:tabs>
          <w:tab w:val="left" w:pos="5130"/>
        </w:tabs>
        <w:spacing w:after="120"/>
        <w:rPr>
          <w:b/>
        </w:rPr>
        <w:sectPr w:rsidR="00350D7D" w:rsidRPr="00F31851" w:rsidSect="00E714B4">
          <w:headerReference w:type="default" r:id="rId11"/>
          <w:headerReference w:type="first" r:id="rId12"/>
          <w:footerReference w:type="first" r:id="rId13"/>
          <w:pgSz w:w="11906" w:h="16838"/>
          <w:pgMar w:top="1985" w:right="1418" w:bottom="1134" w:left="1418" w:header="1367" w:footer="708" w:gutter="0"/>
          <w:cols w:space="708"/>
          <w:docGrid w:linePitch="360"/>
        </w:sectPr>
      </w:pPr>
    </w:p>
    <w:p w14:paraId="150E3A3B" w14:textId="15F813A8" w:rsidR="00B301F8" w:rsidRPr="00C3227E" w:rsidRDefault="00B301F8" w:rsidP="00B301F8">
      <w:pPr>
        <w:spacing w:line="276" w:lineRule="auto"/>
        <w:rPr>
          <w:rFonts w:cstheme="minorHAnsi"/>
          <w:b/>
          <w:sz w:val="22"/>
        </w:rPr>
      </w:pPr>
      <w:r w:rsidRPr="00C3227E">
        <w:rPr>
          <w:rFonts w:cstheme="minorHAnsi"/>
          <w:b/>
          <w:sz w:val="22"/>
        </w:rPr>
        <w:lastRenderedPageBreak/>
        <w:t>Review of the loading for students with</w:t>
      </w:r>
      <w:r w:rsidR="00C3227E" w:rsidRPr="00C3227E">
        <w:rPr>
          <w:rFonts w:cstheme="minorHAnsi"/>
          <w:b/>
          <w:sz w:val="22"/>
        </w:rPr>
        <w:t xml:space="preserve"> disability: Consultation</w:t>
      </w:r>
      <w:r w:rsidRPr="00C3227E">
        <w:rPr>
          <w:rFonts w:cstheme="minorHAnsi"/>
          <w:b/>
          <w:sz w:val="22"/>
        </w:rPr>
        <w:t xml:space="preserve"> paper</w:t>
      </w:r>
    </w:p>
    <w:p w14:paraId="5DDCA753" w14:textId="77777777" w:rsidR="00B301F8" w:rsidRPr="00C3227E" w:rsidRDefault="00B301F8" w:rsidP="00B301F8">
      <w:pPr>
        <w:pStyle w:val="NormalWeb"/>
        <w:keepNext/>
        <w:spacing w:after="120"/>
        <w:jc w:val="both"/>
        <w:rPr>
          <w:rFonts w:asciiTheme="minorHAnsi" w:hAnsiTheme="minorHAnsi" w:cstheme="minorHAnsi"/>
          <w:sz w:val="22"/>
        </w:rPr>
      </w:pPr>
      <w:r w:rsidRPr="00C3227E">
        <w:rPr>
          <w:rFonts w:asciiTheme="minorHAnsi" w:hAnsiTheme="minorHAnsi" w:cstheme="minorHAnsi"/>
          <w:color w:val="000000"/>
          <w:sz w:val="22"/>
        </w:rPr>
        <w:t xml:space="preserve">© Commonwealth of Australia </w:t>
      </w:r>
      <w:r w:rsidRPr="00C3227E">
        <w:rPr>
          <w:rFonts w:asciiTheme="minorHAnsi" w:hAnsiTheme="minorHAnsi" w:cstheme="minorHAnsi"/>
          <w:sz w:val="22"/>
        </w:rPr>
        <w:t>2019</w:t>
      </w:r>
    </w:p>
    <w:p w14:paraId="750BF656" w14:textId="186D45E6" w:rsidR="00B301F8" w:rsidRPr="00C3227E" w:rsidRDefault="00B301F8" w:rsidP="00B301F8">
      <w:pPr>
        <w:pStyle w:val="NormalWeb"/>
        <w:keepNext/>
        <w:spacing w:after="120"/>
        <w:jc w:val="both"/>
        <w:rPr>
          <w:rFonts w:asciiTheme="minorHAnsi" w:hAnsiTheme="minorHAnsi" w:cstheme="minorHAnsi"/>
          <w:sz w:val="22"/>
          <w:lang w:eastAsia="en-AU"/>
        </w:rPr>
      </w:pPr>
      <w:r w:rsidRPr="00C3227E">
        <w:rPr>
          <w:rFonts w:asciiTheme="minorHAnsi" w:hAnsiTheme="minorHAnsi" w:cstheme="minorHAnsi"/>
          <w:b/>
          <w:sz w:val="22"/>
        </w:rPr>
        <w:t xml:space="preserve">ISBN </w:t>
      </w:r>
      <w:r w:rsidR="00C3227E" w:rsidRPr="00C3227E">
        <w:rPr>
          <w:rFonts w:asciiTheme="minorHAnsi" w:hAnsiTheme="minorHAnsi" w:cstheme="minorHAnsi"/>
          <w:sz w:val="22"/>
          <w:lang w:eastAsia="en-AU"/>
        </w:rPr>
        <w:t>978-1-76051-759-5</w:t>
      </w:r>
      <w:r w:rsidR="00C3227E">
        <w:rPr>
          <w:rFonts w:asciiTheme="minorHAnsi" w:hAnsiTheme="minorHAnsi" w:cstheme="minorHAnsi"/>
          <w:sz w:val="22"/>
          <w:lang w:eastAsia="en-AU"/>
        </w:rPr>
        <w:t xml:space="preserve"> (</w:t>
      </w:r>
      <w:r w:rsidRPr="00C3227E">
        <w:rPr>
          <w:rFonts w:asciiTheme="minorHAnsi" w:hAnsiTheme="minorHAnsi" w:cstheme="minorHAnsi"/>
          <w:sz w:val="22"/>
          <w:lang w:eastAsia="en-AU"/>
        </w:rPr>
        <w:t>PDF)</w:t>
      </w:r>
    </w:p>
    <w:p w14:paraId="66F6439E" w14:textId="54BFA620" w:rsidR="00B301F8" w:rsidRPr="00C3227E" w:rsidRDefault="00B301F8" w:rsidP="00B301F8">
      <w:pPr>
        <w:pStyle w:val="NormalWeb"/>
        <w:keepNext/>
        <w:spacing w:after="120"/>
        <w:jc w:val="both"/>
        <w:rPr>
          <w:rFonts w:asciiTheme="minorHAnsi" w:hAnsiTheme="minorHAnsi" w:cstheme="minorHAnsi"/>
          <w:color w:val="000000"/>
          <w:sz w:val="22"/>
        </w:rPr>
      </w:pPr>
      <w:r w:rsidRPr="00C3227E">
        <w:rPr>
          <w:rFonts w:asciiTheme="minorHAnsi" w:hAnsiTheme="minorHAnsi" w:cstheme="minorHAnsi"/>
          <w:b/>
          <w:sz w:val="22"/>
        </w:rPr>
        <w:t xml:space="preserve">ISBN </w:t>
      </w:r>
      <w:r w:rsidR="00C3227E" w:rsidRPr="00C3227E">
        <w:rPr>
          <w:rFonts w:asciiTheme="minorHAnsi" w:hAnsiTheme="minorHAnsi" w:cstheme="minorHAnsi"/>
          <w:sz w:val="22"/>
        </w:rPr>
        <w:t>978-1-76051-760-1</w:t>
      </w:r>
      <w:r w:rsidR="00C3227E" w:rsidRPr="00C3227E">
        <w:rPr>
          <w:rFonts w:asciiTheme="minorHAnsi" w:hAnsiTheme="minorHAnsi" w:cstheme="minorHAnsi"/>
          <w:b/>
          <w:sz w:val="22"/>
        </w:rPr>
        <w:t xml:space="preserve"> </w:t>
      </w:r>
      <w:r w:rsidRPr="00C3227E">
        <w:rPr>
          <w:rFonts w:asciiTheme="minorHAnsi" w:hAnsiTheme="minorHAnsi" w:cstheme="minorHAnsi"/>
          <w:sz w:val="22"/>
          <w:lang w:eastAsia="en-AU"/>
        </w:rPr>
        <w:t>(DOCX)</w:t>
      </w:r>
    </w:p>
    <w:p w14:paraId="108CE057" w14:textId="77777777" w:rsidR="00B301F8" w:rsidRPr="00C3227E" w:rsidRDefault="00B301F8" w:rsidP="00B301F8">
      <w:pPr>
        <w:pStyle w:val="numberedpara"/>
        <w:keepNext/>
        <w:numPr>
          <w:ilvl w:val="0"/>
          <w:numId w:val="0"/>
        </w:numPr>
        <w:tabs>
          <w:tab w:val="left" w:pos="720"/>
        </w:tabs>
        <w:spacing w:after="120"/>
        <w:jc w:val="both"/>
        <w:rPr>
          <w:rFonts w:asciiTheme="minorHAnsi" w:hAnsiTheme="minorHAnsi" w:cstheme="minorHAnsi"/>
          <w:sz w:val="22"/>
        </w:rPr>
      </w:pPr>
      <w:r w:rsidRPr="00C3227E">
        <w:rPr>
          <w:rFonts w:asciiTheme="minorHAnsi" w:hAnsiTheme="minorHAnsi" w:cstheme="minorHAnsi"/>
          <w:noProof/>
          <w:sz w:val="22"/>
        </w:rPr>
        <w:drawing>
          <wp:inline distT="0" distB="0" distL="0" distR="0" wp14:anchorId="484C8C32" wp14:editId="3BAB3534">
            <wp:extent cx="847725" cy="285750"/>
            <wp:effectExtent l="0" t="0" r="9525" b="0"/>
            <wp:docPr id="4" name="Picture 4" descr="cid:image003.jpg@01D31CB3.AC4B5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31CB3.AC4B5C20"/>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847725" cy="285750"/>
                    </a:xfrm>
                    <a:prstGeom prst="rect">
                      <a:avLst/>
                    </a:prstGeom>
                    <a:noFill/>
                    <a:ln>
                      <a:noFill/>
                    </a:ln>
                  </pic:spPr>
                </pic:pic>
              </a:graphicData>
            </a:graphic>
          </wp:inline>
        </w:drawing>
      </w:r>
    </w:p>
    <w:p w14:paraId="07871837" w14:textId="2B057C4A" w:rsidR="00B301F8" w:rsidRPr="00C3227E" w:rsidRDefault="00286245" w:rsidP="00B301F8">
      <w:pPr>
        <w:spacing w:after="120"/>
        <w:rPr>
          <w:rFonts w:cstheme="minorHAnsi"/>
          <w:color w:val="000000"/>
          <w:sz w:val="22"/>
        </w:rPr>
      </w:pPr>
      <w:r>
        <w:rPr>
          <w:rFonts w:cstheme="minorHAnsi"/>
          <w:sz w:val="22"/>
        </w:rPr>
        <w:t>With the exception of the Commonwealth Coat of Arms, the department’s logo, a</w:t>
      </w:r>
      <w:r w:rsidR="00B301F8" w:rsidRPr="00C3227E">
        <w:rPr>
          <w:rFonts w:cstheme="minorHAnsi"/>
          <w:sz w:val="22"/>
        </w:rPr>
        <w:t xml:space="preserve">ny material protected by a trade mark and where otherwise noted all material presented in this document is provided under a Creative Commons Attribution 4.0 International licence. </w:t>
      </w:r>
    </w:p>
    <w:p w14:paraId="64B8A8B4" w14:textId="77777777" w:rsidR="00B301F8" w:rsidRPr="00C3227E" w:rsidRDefault="00B301F8" w:rsidP="00B301F8">
      <w:pPr>
        <w:spacing w:after="120"/>
        <w:rPr>
          <w:rFonts w:cstheme="minorHAnsi"/>
          <w:sz w:val="22"/>
        </w:rPr>
      </w:pPr>
      <w:r w:rsidRPr="00C3227E">
        <w:rPr>
          <w:rFonts w:cstheme="minorHAnsi"/>
          <w:sz w:val="22"/>
        </w:rPr>
        <w:t>The details of the relevant licence conditions are available on the Creative Commons website (</w:t>
      </w:r>
      <w:hyperlink r:id="rId16" w:tooltip="web link to creative commons licencing conditions" w:history="1">
        <w:r w:rsidRPr="00C3227E">
          <w:rPr>
            <w:rStyle w:val="Hyperlink"/>
            <w:rFonts w:cstheme="minorHAnsi"/>
            <w:sz w:val="22"/>
          </w:rPr>
          <w:t>https://creativecommons.org/licenses/by/4.0/</w:t>
        </w:r>
      </w:hyperlink>
      <w:r w:rsidRPr="00C3227E">
        <w:rPr>
          <w:rFonts w:cstheme="minorHAnsi"/>
          <w:sz w:val="22"/>
        </w:rPr>
        <w:t>) as is the full legal code (</w:t>
      </w:r>
      <w:hyperlink r:id="rId17" w:tooltip="web link to creative commons legal code" w:history="1">
        <w:r w:rsidRPr="00C3227E">
          <w:rPr>
            <w:rStyle w:val="Hyperlink"/>
            <w:rFonts w:cstheme="minorHAnsi"/>
            <w:sz w:val="22"/>
          </w:rPr>
          <w:t>https://creativecommons.org/licenses/by/4.0/legalcode</w:t>
        </w:r>
      </w:hyperlink>
      <w:r w:rsidRPr="00C3227E">
        <w:rPr>
          <w:rFonts w:cstheme="minorHAnsi"/>
          <w:sz w:val="22"/>
        </w:rPr>
        <w:t>)</w:t>
      </w:r>
    </w:p>
    <w:p w14:paraId="52A3E8F9" w14:textId="77777777" w:rsidR="00286245" w:rsidRPr="00286245" w:rsidRDefault="00286245" w:rsidP="00286245">
      <w:pPr>
        <w:spacing w:after="120"/>
        <w:rPr>
          <w:rFonts w:cstheme="minorHAnsi"/>
          <w:sz w:val="22"/>
        </w:rPr>
      </w:pPr>
      <w:r w:rsidRPr="00286245">
        <w:rPr>
          <w:rFonts w:cstheme="minorHAnsi"/>
          <w:sz w:val="22"/>
        </w:rPr>
        <w:t>Use of all or part of this document must include the following attribution:</w:t>
      </w:r>
    </w:p>
    <w:p w14:paraId="752D8181" w14:textId="317E51D5" w:rsidR="00286245" w:rsidRPr="00286245" w:rsidRDefault="00286245" w:rsidP="00286245">
      <w:pPr>
        <w:spacing w:after="120"/>
        <w:rPr>
          <w:rFonts w:cstheme="minorHAnsi"/>
          <w:sz w:val="22"/>
        </w:rPr>
      </w:pPr>
      <w:r w:rsidRPr="00286245">
        <w:rPr>
          <w:rFonts w:cstheme="minorHAnsi"/>
          <w:sz w:val="22"/>
        </w:rPr>
        <w:t xml:space="preserve">© Commonwealth of Australia </w:t>
      </w:r>
      <w:r>
        <w:rPr>
          <w:rFonts w:cstheme="minorHAnsi"/>
          <w:sz w:val="22"/>
        </w:rPr>
        <w:t>2019</w:t>
      </w:r>
    </w:p>
    <w:p w14:paraId="1B2D0079" w14:textId="5FE9713E" w:rsidR="00B301F8" w:rsidRPr="00C3227E" w:rsidRDefault="00B301F8" w:rsidP="00B301F8">
      <w:pPr>
        <w:spacing w:after="120"/>
        <w:rPr>
          <w:rFonts w:cstheme="minorHAnsi"/>
          <w:sz w:val="22"/>
        </w:rPr>
      </w:pPr>
      <w:r w:rsidRPr="00C3227E">
        <w:rPr>
          <w:rFonts w:cstheme="minorHAnsi"/>
          <w:sz w:val="22"/>
        </w:rPr>
        <w:t>As far as practicable, material for which the copyright is owned by a third party will be clearly labelled. All reasonable efforts have been made to ensure that this material has been reproduced in this document with the full consent of the copyright owners.</w:t>
      </w:r>
    </w:p>
    <w:p w14:paraId="2877D7D5" w14:textId="77777777" w:rsidR="00B301F8" w:rsidRPr="00C3227E" w:rsidRDefault="00B301F8" w:rsidP="00B301F8">
      <w:pPr>
        <w:spacing w:after="120"/>
        <w:rPr>
          <w:rFonts w:cstheme="minorHAnsi"/>
          <w:sz w:val="22"/>
        </w:rPr>
      </w:pPr>
      <w:r w:rsidRPr="00C3227E">
        <w:rPr>
          <w:rFonts w:cstheme="minorHAnsi"/>
          <w:sz w:val="22"/>
        </w:rPr>
        <w:t>Copyright requests and enquiries concerning further authorisation should be addressed to:</w:t>
      </w:r>
    </w:p>
    <w:p w14:paraId="189FD0DC" w14:textId="21EBCB3D" w:rsidR="00B301F8" w:rsidRPr="00C3227E" w:rsidRDefault="00B301F8" w:rsidP="00B301F8">
      <w:pPr>
        <w:spacing w:after="120"/>
        <w:ind w:left="720"/>
        <w:rPr>
          <w:rFonts w:cstheme="minorHAnsi"/>
          <w:color w:val="000000"/>
          <w:sz w:val="22"/>
        </w:rPr>
      </w:pPr>
      <w:r w:rsidRPr="00C3227E">
        <w:rPr>
          <w:rFonts w:cstheme="minorHAnsi"/>
          <w:sz w:val="22"/>
          <w:lang w:eastAsia="en-AU"/>
        </w:rPr>
        <w:t xml:space="preserve">The Copyright Officer, Department of Education, Location code C50MA10 </w:t>
      </w:r>
      <w:r w:rsidRPr="00C3227E">
        <w:rPr>
          <w:rFonts w:cstheme="minorHAnsi"/>
          <w:sz w:val="22"/>
          <w:lang w:eastAsia="en-AU"/>
        </w:rPr>
        <w:br/>
        <w:t xml:space="preserve">GPO Box 9880 Canberra ACT 2601 or emailed to </w:t>
      </w:r>
      <w:hyperlink r:id="rId18" w:history="1">
        <w:r w:rsidRPr="00C3227E">
          <w:rPr>
            <w:rStyle w:val="Hyperlink"/>
            <w:rFonts w:cstheme="minorHAnsi"/>
            <w:sz w:val="22"/>
          </w:rPr>
          <w:t>copyright@education.gov.au</w:t>
        </w:r>
      </w:hyperlink>
      <w:r w:rsidRPr="00C3227E">
        <w:rPr>
          <w:rFonts w:cstheme="minorHAnsi"/>
          <w:color w:val="000000"/>
          <w:sz w:val="22"/>
        </w:rPr>
        <w:t>.</w:t>
      </w:r>
    </w:p>
    <w:p w14:paraId="461C5087" w14:textId="77777777" w:rsidR="00B301F8" w:rsidRPr="00C3227E" w:rsidRDefault="00B301F8" w:rsidP="00B301F8">
      <w:pPr>
        <w:spacing w:after="120"/>
        <w:rPr>
          <w:rFonts w:cstheme="minorHAnsi"/>
          <w:sz w:val="22"/>
          <w:lang w:eastAsia="en-AU"/>
        </w:rPr>
      </w:pPr>
      <w:r w:rsidRPr="00C3227E">
        <w:rPr>
          <w:rFonts w:cstheme="minorHAnsi"/>
          <w:color w:val="000000"/>
          <w:sz w:val="22"/>
        </w:rPr>
        <w:t>Where a copyright owner other than the Commonwealth is identified with respect to this material, please contact that third party copyright owner directly to seek permission.</w:t>
      </w:r>
    </w:p>
    <w:p w14:paraId="474A2542" w14:textId="77777777" w:rsidR="00B301F8" w:rsidRPr="00C3227E" w:rsidRDefault="00B301F8" w:rsidP="00B301F8">
      <w:pPr>
        <w:spacing w:after="120"/>
        <w:rPr>
          <w:rFonts w:cstheme="minorHAnsi"/>
          <w:b/>
          <w:sz w:val="22"/>
          <w:lang w:eastAsia="en-AU"/>
        </w:rPr>
      </w:pPr>
      <w:r w:rsidRPr="00C3227E">
        <w:rPr>
          <w:rFonts w:cstheme="minorHAnsi"/>
          <w:b/>
          <w:sz w:val="22"/>
          <w:lang w:eastAsia="en-AU"/>
        </w:rPr>
        <w:t>Disclaimer</w:t>
      </w:r>
    </w:p>
    <w:p w14:paraId="02842321" w14:textId="34FD05E4" w:rsidR="00B301F8" w:rsidRPr="00C3227E" w:rsidRDefault="00B301F8" w:rsidP="00B301F8">
      <w:pPr>
        <w:spacing w:after="120"/>
        <w:rPr>
          <w:rFonts w:cstheme="minorHAnsi"/>
          <w:sz w:val="22"/>
        </w:rPr>
      </w:pPr>
      <w:r w:rsidRPr="00C3227E">
        <w:rPr>
          <w:rFonts w:cstheme="minorHAnsi"/>
          <w:sz w:val="22"/>
          <w:lang w:eastAsia="en-AU"/>
        </w:rPr>
        <w:t>As this is a</w:t>
      </w:r>
      <w:r w:rsidR="00C3227E">
        <w:rPr>
          <w:rFonts w:cstheme="minorHAnsi"/>
          <w:sz w:val="22"/>
          <w:lang w:eastAsia="en-AU"/>
        </w:rPr>
        <w:t xml:space="preserve">n independent review, the </w:t>
      </w:r>
      <w:r w:rsidR="00D26A8D">
        <w:rPr>
          <w:rFonts w:cstheme="minorHAnsi"/>
          <w:sz w:val="22"/>
          <w:lang w:eastAsia="en-AU"/>
        </w:rPr>
        <w:t>c</w:t>
      </w:r>
      <w:r w:rsidR="00C3227E">
        <w:rPr>
          <w:rFonts w:cstheme="minorHAnsi"/>
          <w:sz w:val="22"/>
          <w:lang w:eastAsia="en-AU"/>
        </w:rPr>
        <w:t>onsultation</w:t>
      </w:r>
      <w:r w:rsidRPr="00C3227E">
        <w:rPr>
          <w:rFonts w:cstheme="minorHAnsi"/>
          <w:sz w:val="22"/>
          <w:lang w:eastAsia="en-AU"/>
        </w:rPr>
        <w:t xml:space="preserve"> paper does not necessarily reflect the views of the Australian Government.</w:t>
      </w:r>
    </w:p>
    <w:p w14:paraId="45548AF2" w14:textId="71F4FC2E" w:rsidR="00C3227E" w:rsidRPr="00C3227E" w:rsidRDefault="00B301F8" w:rsidP="00C3227E">
      <w:pPr>
        <w:spacing w:after="120"/>
        <w:rPr>
          <w:rFonts w:cstheme="minorHAnsi"/>
          <w:i/>
          <w:sz w:val="22"/>
        </w:rPr>
      </w:pPr>
      <w:r w:rsidRPr="00C3227E">
        <w:rPr>
          <w:rFonts w:cstheme="minorHAnsi"/>
          <w:sz w:val="22"/>
        </w:rPr>
        <w:t xml:space="preserve">This document must be attributed as the </w:t>
      </w:r>
      <w:r w:rsidR="00C3227E" w:rsidRPr="00C3227E">
        <w:rPr>
          <w:rFonts w:cstheme="minorHAnsi"/>
          <w:i/>
          <w:sz w:val="22"/>
        </w:rPr>
        <w:t>Review of the loading for students with disability: Consultation paper.</w:t>
      </w:r>
    </w:p>
    <w:p w14:paraId="36341508" w14:textId="77777777" w:rsidR="00B301F8" w:rsidRPr="00C3227E" w:rsidRDefault="00B301F8" w:rsidP="00B301F8">
      <w:pPr>
        <w:spacing w:after="120"/>
        <w:rPr>
          <w:rFonts w:cstheme="minorHAnsi"/>
          <w:b/>
          <w:sz w:val="22"/>
        </w:rPr>
      </w:pPr>
    </w:p>
    <w:p w14:paraId="0717A50F" w14:textId="3293E64A" w:rsidR="00B301F8" w:rsidRPr="00C3227E" w:rsidRDefault="00B301F8" w:rsidP="00B301F8">
      <w:pPr>
        <w:spacing w:after="120"/>
        <w:rPr>
          <w:rFonts w:cstheme="minorHAnsi"/>
          <w:b/>
          <w:sz w:val="22"/>
        </w:rPr>
      </w:pPr>
      <w:r w:rsidRPr="00C3227E">
        <w:rPr>
          <w:rFonts w:cstheme="minorHAnsi"/>
          <w:b/>
          <w:sz w:val="22"/>
        </w:rPr>
        <w:t>National School Resourcing Board</w:t>
      </w:r>
    </w:p>
    <w:p w14:paraId="3123D910" w14:textId="77777777" w:rsidR="00B301F8" w:rsidRPr="00C3227E" w:rsidRDefault="00B301F8" w:rsidP="00B301F8">
      <w:pPr>
        <w:spacing w:after="120"/>
        <w:contextualSpacing/>
        <w:rPr>
          <w:rFonts w:cstheme="minorHAnsi"/>
          <w:sz w:val="22"/>
        </w:rPr>
      </w:pPr>
      <w:r w:rsidRPr="00C3227E">
        <w:rPr>
          <w:rFonts w:cstheme="minorHAnsi"/>
          <w:sz w:val="22"/>
        </w:rPr>
        <w:t>Mr Michael Chaney AO (Chair)</w:t>
      </w:r>
    </w:p>
    <w:p w14:paraId="474AFF86" w14:textId="77777777" w:rsidR="00B301F8" w:rsidRPr="00C3227E" w:rsidRDefault="00B301F8" w:rsidP="00B301F8">
      <w:pPr>
        <w:spacing w:after="120"/>
        <w:contextualSpacing/>
        <w:rPr>
          <w:rFonts w:cstheme="minorHAnsi"/>
          <w:sz w:val="22"/>
        </w:rPr>
      </w:pPr>
      <w:r w:rsidRPr="00C3227E">
        <w:rPr>
          <w:rFonts w:cstheme="minorHAnsi"/>
          <w:sz w:val="22"/>
        </w:rPr>
        <w:t>Emeritus Professor Denise Bradley AC (Deputy Chair)</w:t>
      </w:r>
    </w:p>
    <w:p w14:paraId="233980D0" w14:textId="77777777" w:rsidR="00B301F8" w:rsidRPr="00C3227E" w:rsidRDefault="00B301F8" w:rsidP="00B301F8">
      <w:pPr>
        <w:spacing w:after="120"/>
        <w:contextualSpacing/>
        <w:rPr>
          <w:rFonts w:cstheme="minorHAnsi"/>
          <w:sz w:val="22"/>
        </w:rPr>
      </w:pPr>
      <w:r w:rsidRPr="00C3227E">
        <w:rPr>
          <w:rFonts w:cstheme="minorHAnsi"/>
          <w:sz w:val="22"/>
        </w:rPr>
        <w:t>Professor Natalie Brown</w:t>
      </w:r>
    </w:p>
    <w:p w14:paraId="700F69D3" w14:textId="77777777" w:rsidR="00B301F8" w:rsidRPr="00C3227E" w:rsidRDefault="00B301F8" w:rsidP="00B301F8">
      <w:pPr>
        <w:spacing w:after="120"/>
        <w:contextualSpacing/>
        <w:rPr>
          <w:rFonts w:cstheme="minorHAnsi"/>
          <w:sz w:val="22"/>
        </w:rPr>
      </w:pPr>
      <w:r w:rsidRPr="00C3227E">
        <w:rPr>
          <w:rFonts w:cstheme="minorHAnsi"/>
          <w:sz w:val="22"/>
        </w:rPr>
        <w:t>Professor Greg Craven AO</w:t>
      </w:r>
    </w:p>
    <w:p w14:paraId="1A5BC1AF" w14:textId="77777777" w:rsidR="00B301F8" w:rsidRPr="00C3227E" w:rsidRDefault="00B301F8" w:rsidP="00B301F8">
      <w:pPr>
        <w:spacing w:after="120"/>
        <w:contextualSpacing/>
        <w:rPr>
          <w:rFonts w:cstheme="minorHAnsi"/>
          <w:sz w:val="22"/>
        </w:rPr>
      </w:pPr>
      <w:r w:rsidRPr="00C3227E">
        <w:rPr>
          <w:rFonts w:cstheme="minorHAnsi"/>
          <w:sz w:val="22"/>
        </w:rPr>
        <w:t>Mr Bill Daniels AM</w:t>
      </w:r>
    </w:p>
    <w:p w14:paraId="4D221E21" w14:textId="77777777" w:rsidR="00B301F8" w:rsidRPr="00C3227E" w:rsidRDefault="00B301F8" w:rsidP="00B301F8">
      <w:pPr>
        <w:spacing w:after="120"/>
        <w:contextualSpacing/>
        <w:rPr>
          <w:rFonts w:cstheme="minorHAnsi"/>
          <w:sz w:val="22"/>
        </w:rPr>
      </w:pPr>
      <w:r w:rsidRPr="00C3227E">
        <w:rPr>
          <w:rFonts w:cstheme="minorHAnsi"/>
          <w:sz w:val="22"/>
        </w:rPr>
        <w:t>Professor Stephen Lamb</w:t>
      </w:r>
    </w:p>
    <w:p w14:paraId="30EAC3BD" w14:textId="77777777" w:rsidR="00B301F8" w:rsidRPr="00C3227E" w:rsidRDefault="00B301F8" w:rsidP="00B301F8">
      <w:pPr>
        <w:spacing w:after="120"/>
        <w:contextualSpacing/>
        <w:rPr>
          <w:rFonts w:cstheme="minorHAnsi"/>
          <w:sz w:val="22"/>
        </w:rPr>
      </w:pPr>
      <w:r w:rsidRPr="00C3227E">
        <w:rPr>
          <w:rFonts w:cstheme="minorHAnsi"/>
          <w:sz w:val="22"/>
        </w:rPr>
        <w:t>Professor Ken Smith</w:t>
      </w:r>
    </w:p>
    <w:p w14:paraId="7ED26C55" w14:textId="3963E4C8" w:rsidR="00B301F8" w:rsidRPr="00C3227E" w:rsidRDefault="00B301F8" w:rsidP="00B301F8">
      <w:pPr>
        <w:rPr>
          <w:rFonts w:cstheme="minorHAnsi"/>
          <w:b/>
          <w:color w:val="2D3E7B"/>
          <w:sz w:val="22"/>
        </w:rPr>
      </w:pPr>
      <w:r w:rsidRPr="00C3227E">
        <w:rPr>
          <w:rFonts w:cstheme="minorHAnsi"/>
          <w:sz w:val="22"/>
        </w:rPr>
        <w:t>Dr Alison Taylor</w:t>
      </w:r>
    </w:p>
    <w:p w14:paraId="20379578" w14:textId="77777777" w:rsidR="00B301F8" w:rsidRDefault="00B301F8">
      <w:pPr>
        <w:spacing w:before="0" w:after="200" w:line="276" w:lineRule="auto"/>
        <w:rPr>
          <w:rFonts w:ascii="Calibri" w:hAnsi="Calibri"/>
          <w:b/>
          <w:color w:val="2D3E7B"/>
          <w:sz w:val="36"/>
          <w:szCs w:val="36"/>
        </w:rPr>
      </w:pPr>
      <w:r>
        <w:rPr>
          <w:rFonts w:ascii="Calibri" w:hAnsi="Calibri"/>
          <w:b/>
          <w:color w:val="2D3E7B"/>
          <w:sz w:val="36"/>
          <w:szCs w:val="36"/>
        </w:rPr>
        <w:br w:type="page"/>
      </w:r>
    </w:p>
    <w:p w14:paraId="2B1DA514" w14:textId="77777777" w:rsidR="002951CE" w:rsidRDefault="002951CE" w:rsidP="00647308">
      <w:pPr>
        <w:rPr>
          <w:rFonts w:ascii="Calibri" w:hAnsi="Calibri"/>
          <w:b/>
          <w:color w:val="2D3E7B"/>
          <w:sz w:val="36"/>
          <w:szCs w:val="36"/>
        </w:rPr>
      </w:pPr>
    </w:p>
    <w:p w14:paraId="4FFA9139" w14:textId="2B8740EC" w:rsidR="00255C6E" w:rsidRPr="00B301F8" w:rsidRDefault="00255C6E" w:rsidP="00B301F8">
      <w:pPr>
        <w:pStyle w:val="Heading1"/>
        <w:spacing w:before="240" w:after="120"/>
        <w:contextualSpacing w:val="0"/>
        <w:rPr>
          <w:rFonts w:asciiTheme="minorHAnsi" w:hAnsiTheme="minorHAnsi" w:cstheme="minorHAnsi"/>
          <w:sz w:val="36"/>
          <w:szCs w:val="36"/>
        </w:rPr>
      </w:pPr>
      <w:bookmarkStart w:id="1" w:name="_Toc13221346"/>
      <w:r w:rsidRPr="00B301F8">
        <w:rPr>
          <w:rFonts w:asciiTheme="minorHAnsi" w:hAnsiTheme="minorHAnsi" w:cstheme="minorHAnsi"/>
          <w:sz w:val="36"/>
          <w:szCs w:val="36"/>
        </w:rPr>
        <w:t>Contents</w:t>
      </w:r>
      <w:bookmarkEnd w:id="1"/>
    </w:p>
    <w:sdt>
      <w:sdtPr>
        <w:rPr>
          <w:b/>
          <w:bCs/>
        </w:rPr>
        <w:id w:val="-1168325527"/>
        <w:docPartObj>
          <w:docPartGallery w:val="Table of Contents"/>
          <w:docPartUnique/>
        </w:docPartObj>
      </w:sdtPr>
      <w:sdtEndPr>
        <w:rPr>
          <w:b w:val="0"/>
          <w:bCs w:val="0"/>
          <w:noProof/>
          <w:sz w:val="22"/>
        </w:rPr>
      </w:sdtEndPr>
      <w:sdtContent>
        <w:p w14:paraId="396451EC" w14:textId="30797A66" w:rsidR="00460DC8" w:rsidRDefault="00255C6E">
          <w:pPr>
            <w:pStyle w:val="TOC1"/>
            <w:tabs>
              <w:tab w:val="right" w:leader="dot" w:pos="9060"/>
            </w:tabs>
            <w:rPr>
              <w:noProof/>
              <w:sz w:val="22"/>
              <w:lang w:eastAsia="en-AU"/>
            </w:rPr>
          </w:pPr>
          <w:r w:rsidRPr="00C3227E">
            <w:rPr>
              <w:rFonts w:asciiTheme="majorHAnsi" w:eastAsiaTheme="majorEastAsia" w:hAnsiTheme="majorHAnsi" w:cstheme="majorBidi"/>
              <w:noProof/>
              <w:color w:val="1E2A52" w:themeColor="accent5" w:themeShade="80"/>
              <w:sz w:val="22"/>
              <w:lang w:bidi="en-US"/>
            </w:rPr>
            <w:fldChar w:fldCharType="begin"/>
          </w:r>
          <w:r w:rsidRPr="00C3227E">
            <w:rPr>
              <w:noProof/>
              <w:sz w:val="22"/>
            </w:rPr>
            <w:instrText xml:space="preserve"> TOC \o "1-3" \h \z \u </w:instrText>
          </w:r>
          <w:r w:rsidRPr="00C3227E">
            <w:rPr>
              <w:rFonts w:asciiTheme="majorHAnsi" w:eastAsiaTheme="majorEastAsia" w:hAnsiTheme="majorHAnsi" w:cstheme="majorBidi"/>
              <w:noProof/>
              <w:color w:val="1E2A52" w:themeColor="accent5" w:themeShade="80"/>
              <w:sz w:val="22"/>
              <w:lang w:bidi="en-US"/>
            </w:rPr>
            <w:fldChar w:fldCharType="separate"/>
          </w:r>
          <w:hyperlink w:anchor="_Toc13221346" w:history="1">
            <w:r w:rsidR="00460DC8" w:rsidRPr="003D3E0F">
              <w:rPr>
                <w:rStyle w:val="Hyperlink"/>
                <w:rFonts w:cstheme="minorHAnsi"/>
                <w:noProof/>
              </w:rPr>
              <w:t>Contents</w:t>
            </w:r>
            <w:r w:rsidR="00460DC8">
              <w:rPr>
                <w:noProof/>
                <w:webHidden/>
              </w:rPr>
              <w:tab/>
            </w:r>
            <w:r w:rsidR="00460DC8">
              <w:rPr>
                <w:noProof/>
                <w:webHidden/>
              </w:rPr>
              <w:fldChar w:fldCharType="begin"/>
            </w:r>
            <w:r w:rsidR="00460DC8">
              <w:rPr>
                <w:noProof/>
                <w:webHidden/>
              </w:rPr>
              <w:instrText xml:space="preserve"> PAGEREF _Toc13221346 \h </w:instrText>
            </w:r>
            <w:r w:rsidR="00460DC8">
              <w:rPr>
                <w:noProof/>
                <w:webHidden/>
              </w:rPr>
            </w:r>
            <w:r w:rsidR="00460DC8">
              <w:rPr>
                <w:noProof/>
                <w:webHidden/>
              </w:rPr>
              <w:fldChar w:fldCharType="separate"/>
            </w:r>
            <w:r w:rsidR="00460DC8">
              <w:rPr>
                <w:noProof/>
                <w:webHidden/>
              </w:rPr>
              <w:t>3</w:t>
            </w:r>
            <w:r w:rsidR="00460DC8">
              <w:rPr>
                <w:noProof/>
                <w:webHidden/>
              </w:rPr>
              <w:fldChar w:fldCharType="end"/>
            </w:r>
          </w:hyperlink>
        </w:p>
        <w:p w14:paraId="58A7A579" w14:textId="67642932" w:rsidR="00460DC8" w:rsidRDefault="006D3D15">
          <w:pPr>
            <w:pStyle w:val="TOC1"/>
            <w:tabs>
              <w:tab w:val="right" w:leader="dot" w:pos="9060"/>
            </w:tabs>
            <w:rPr>
              <w:noProof/>
              <w:sz w:val="22"/>
              <w:lang w:eastAsia="en-AU"/>
            </w:rPr>
          </w:pPr>
          <w:hyperlink w:anchor="_Toc13221347" w:history="1">
            <w:r w:rsidR="00460DC8" w:rsidRPr="003D3E0F">
              <w:rPr>
                <w:rStyle w:val="Hyperlink"/>
                <w:rFonts w:cstheme="minorHAnsi"/>
                <w:noProof/>
              </w:rPr>
              <w:t>Context</w:t>
            </w:r>
            <w:r w:rsidR="00460DC8">
              <w:rPr>
                <w:noProof/>
                <w:webHidden/>
              </w:rPr>
              <w:tab/>
            </w:r>
            <w:r w:rsidR="00460DC8">
              <w:rPr>
                <w:noProof/>
                <w:webHidden/>
              </w:rPr>
              <w:fldChar w:fldCharType="begin"/>
            </w:r>
            <w:r w:rsidR="00460DC8">
              <w:rPr>
                <w:noProof/>
                <w:webHidden/>
              </w:rPr>
              <w:instrText xml:space="preserve"> PAGEREF _Toc13221347 \h </w:instrText>
            </w:r>
            <w:r w:rsidR="00460DC8">
              <w:rPr>
                <w:noProof/>
                <w:webHidden/>
              </w:rPr>
            </w:r>
            <w:r w:rsidR="00460DC8">
              <w:rPr>
                <w:noProof/>
                <w:webHidden/>
              </w:rPr>
              <w:fldChar w:fldCharType="separate"/>
            </w:r>
            <w:r w:rsidR="00460DC8">
              <w:rPr>
                <w:noProof/>
                <w:webHidden/>
              </w:rPr>
              <w:t>4</w:t>
            </w:r>
            <w:r w:rsidR="00460DC8">
              <w:rPr>
                <w:noProof/>
                <w:webHidden/>
              </w:rPr>
              <w:fldChar w:fldCharType="end"/>
            </w:r>
          </w:hyperlink>
        </w:p>
        <w:p w14:paraId="3283EB86" w14:textId="7A6E2BC0" w:rsidR="00460DC8" w:rsidRDefault="006D3D15">
          <w:pPr>
            <w:pStyle w:val="TOC2"/>
            <w:tabs>
              <w:tab w:val="right" w:leader="dot" w:pos="9060"/>
            </w:tabs>
            <w:rPr>
              <w:noProof/>
              <w:sz w:val="22"/>
              <w:lang w:eastAsia="en-AU"/>
            </w:rPr>
          </w:pPr>
          <w:hyperlink w:anchor="_Toc13221348" w:history="1">
            <w:r w:rsidR="00460DC8" w:rsidRPr="003D3E0F">
              <w:rPr>
                <w:rStyle w:val="Hyperlink"/>
                <w:rFonts w:cs="Calibri Light"/>
                <w:noProof/>
              </w:rPr>
              <w:t>Australian Government recurrent funding for schools is needs-based</w:t>
            </w:r>
            <w:r w:rsidR="00460DC8">
              <w:rPr>
                <w:noProof/>
                <w:webHidden/>
              </w:rPr>
              <w:tab/>
            </w:r>
            <w:r w:rsidR="00460DC8">
              <w:rPr>
                <w:noProof/>
                <w:webHidden/>
              </w:rPr>
              <w:fldChar w:fldCharType="begin"/>
            </w:r>
            <w:r w:rsidR="00460DC8">
              <w:rPr>
                <w:noProof/>
                <w:webHidden/>
              </w:rPr>
              <w:instrText xml:space="preserve"> PAGEREF _Toc13221348 \h </w:instrText>
            </w:r>
            <w:r w:rsidR="00460DC8">
              <w:rPr>
                <w:noProof/>
                <w:webHidden/>
              </w:rPr>
            </w:r>
            <w:r w:rsidR="00460DC8">
              <w:rPr>
                <w:noProof/>
                <w:webHidden/>
              </w:rPr>
              <w:fldChar w:fldCharType="separate"/>
            </w:r>
            <w:r w:rsidR="00460DC8">
              <w:rPr>
                <w:noProof/>
                <w:webHidden/>
              </w:rPr>
              <w:t>4</w:t>
            </w:r>
            <w:r w:rsidR="00460DC8">
              <w:rPr>
                <w:noProof/>
                <w:webHidden/>
              </w:rPr>
              <w:fldChar w:fldCharType="end"/>
            </w:r>
          </w:hyperlink>
        </w:p>
        <w:p w14:paraId="09EF41FC" w14:textId="4B42FEC7" w:rsidR="00460DC8" w:rsidRDefault="006D3D15">
          <w:pPr>
            <w:pStyle w:val="TOC2"/>
            <w:tabs>
              <w:tab w:val="right" w:leader="dot" w:pos="9060"/>
            </w:tabs>
            <w:rPr>
              <w:noProof/>
              <w:sz w:val="22"/>
              <w:lang w:eastAsia="en-AU"/>
            </w:rPr>
          </w:pPr>
          <w:hyperlink w:anchor="_Toc13221349" w:history="1">
            <w:r w:rsidR="00460DC8" w:rsidRPr="003D3E0F">
              <w:rPr>
                <w:rStyle w:val="Hyperlink"/>
                <w:rFonts w:cstheme="minorHAnsi"/>
                <w:noProof/>
              </w:rPr>
              <w:t>Responsibility for public funding for all schools is shared between state and territory governments and the Australian Government</w:t>
            </w:r>
            <w:r w:rsidR="00460DC8">
              <w:rPr>
                <w:noProof/>
                <w:webHidden/>
              </w:rPr>
              <w:tab/>
            </w:r>
            <w:r w:rsidR="00460DC8">
              <w:rPr>
                <w:noProof/>
                <w:webHidden/>
              </w:rPr>
              <w:fldChar w:fldCharType="begin"/>
            </w:r>
            <w:r w:rsidR="00460DC8">
              <w:rPr>
                <w:noProof/>
                <w:webHidden/>
              </w:rPr>
              <w:instrText xml:space="preserve"> PAGEREF _Toc13221349 \h </w:instrText>
            </w:r>
            <w:r w:rsidR="00460DC8">
              <w:rPr>
                <w:noProof/>
                <w:webHidden/>
              </w:rPr>
            </w:r>
            <w:r w:rsidR="00460DC8">
              <w:rPr>
                <w:noProof/>
                <w:webHidden/>
              </w:rPr>
              <w:fldChar w:fldCharType="separate"/>
            </w:r>
            <w:r w:rsidR="00460DC8">
              <w:rPr>
                <w:noProof/>
                <w:webHidden/>
              </w:rPr>
              <w:t>4</w:t>
            </w:r>
            <w:r w:rsidR="00460DC8">
              <w:rPr>
                <w:noProof/>
                <w:webHidden/>
              </w:rPr>
              <w:fldChar w:fldCharType="end"/>
            </w:r>
          </w:hyperlink>
        </w:p>
        <w:p w14:paraId="3AC30CE8" w14:textId="436817A4" w:rsidR="00460DC8" w:rsidRDefault="006D3D15">
          <w:pPr>
            <w:pStyle w:val="TOC2"/>
            <w:tabs>
              <w:tab w:val="right" w:leader="dot" w:pos="9060"/>
            </w:tabs>
            <w:rPr>
              <w:noProof/>
              <w:sz w:val="22"/>
              <w:lang w:eastAsia="en-AU"/>
            </w:rPr>
          </w:pPr>
          <w:hyperlink w:anchor="_Toc13221350" w:history="1">
            <w:r w:rsidR="00460DC8" w:rsidRPr="003D3E0F">
              <w:rPr>
                <w:rStyle w:val="Hyperlink"/>
                <w:rFonts w:cstheme="minorHAnsi"/>
                <w:noProof/>
              </w:rPr>
              <w:t>Schools are obliged to make reasonable adjustments for students with disability to enable them to access and participate in education on the same basis as other students</w:t>
            </w:r>
            <w:r w:rsidR="00460DC8">
              <w:rPr>
                <w:noProof/>
                <w:webHidden/>
              </w:rPr>
              <w:tab/>
            </w:r>
            <w:r w:rsidR="00460DC8">
              <w:rPr>
                <w:noProof/>
                <w:webHidden/>
              </w:rPr>
              <w:fldChar w:fldCharType="begin"/>
            </w:r>
            <w:r w:rsidR="00460DC8">
              <w:rPr>
                <w:noProof/>
                <w:webHidden/>
              </w:rPr>
              <w:instrText xml:space="preserve"> PAGEREF _Toc13221350 \h </w:instrText>
            </w:r>
            <w:r w:rsidR="00460DC8">
              <w:rPr>
                <w:noProof/>
                <w:webHidden/>
              </w:rPr>
            </w:r>
            <w:r w:rsidR="00460DC8">
              <w:rPr>
                <w:noProof/>
                <w:webHidden/>
              </w:rPr>
              <w:fldChar w:fldCharType="separate"/>
            </w:r>
            <w:r w:rsidR="00460DC8">
              <w:rPr>
                <w:noProof/>
                <w:webHidden/>
              </w:rPr>
              <w:t>5</w:t>
            </w:r>
            <w:r w:rsidR="00460DC8">
              <w:rPr>
                <w:noProof/>
                <w:webHidden/>
              </w:rPr>
              <w:fldChar w:fldCharType="end"/>
            </w:r>
          </w:hyperlink>
        </w:p>
        <w:p w14:paraId="67D2E823" w14:textId="35CCCAF8" w:rsidR="00460DC8" w:rsidRDefault="006D3D15">
          <w:pPr>
            <w:pStyle w:val="TOC2"/>
            <w:tabs>
              <w:tab w:val="right" w:leader="dot" w:pos="9060"/>
            </w:tabs>
            <w:rPr>
              <w:noProof/>
              <w:sz w:val="22"/>
              <w:lang w:eastAsia="en-AU"/>
            </w:rPr>
          </w:pPr>
          <w:hyperlink w:anchor="_Toc13221351" w:history="1">
            <w:r w:rsidR="00460DC8" w:rsidRPr="003D3E0F">
              <w:rPr>
                <w:rStyle w:val="Hyperlink"/>
                <w:noProof/>
              </w:rPr>
              <w:t>The NDIS provides funding for reasonable and necessary supports to enable eligible people with disability to fully participate in the community</w:t>
            </w:r>
            <w:r w:rsidR="00460DC8">
              <w:rPr>
                <w:noProof/>
                <w:webHidden/>
              </w:rPr>
              <w:tab/>
            </w:r>
            <w:r w:rsidR="00460DC8">
              <w:rPr>
                <w:noProof/>
                <w:webHidden/>
              </w:rPr>
              <w:fldChar w:fldCharType="begin"/>
            </w:r>
            <w:r w:rsidR="00460DC8">
              <w:rPr>
                <w:noProof/>
                <w:webHidden/>
              </w:rPr>
              <w:instrText xml:space="preserve"> PAGEREF _Toc13221351 \h </w:instrText>
            </w:r>
            <w:r w:rsidR="00460DC8">
              <w:rPr>
                <w:noProof/>
                <w:webHidden/>
              </w:rPr>
            </w:r>
            <w:r w:rsidR="00460DC8">
              <w:rPr>
                <w:noProof/>
                <w:webHidden/>
              </w:rPr>
              <w:fldChar w:fldCharType="separate"/>
            </w:r>
            <w:r w:rsidR="00460DC8">
              <w:rPr>
                <w:noProof/>
                <w:webHidden/>
              </w:rPr>
              <w:t>5</w:t>
            </w:r>
            <w:r w:rsidR="00460DC8">
              <w:rPr>
                <w:noProof/>
                <w:webHidden/>
              </w:rPr>
              <w:fldChar w:fldCharType="end"/>
            </w:r>
          </w:hyperlink>
        </w:p>
        <w:p w14:paraId="212067F9" w14:textId="7B112D34" w:rsidR="00460DC8" w:rsidRDefault="006D3D15">
          <w:pPr>
            <w:pStyle w:val="TOC2"/>
            <w:tabs>
              <w:tab w:val="right" w:leader="dot" w:pos="9060"/>
            </w:tabs>
            <w:rPr>
              <w:noProof/>
              <w:sz w:val="22"/>
              <w:lang w:eastAsia="en-AU"/>
            </w:rPr>
          </w:pPr>
          <w:hyperlink w:anchor="_Toc13221352" w:history="1">
            <w:r w:rsidR="00460DC8" w:rsidRPr="003D3E0F">
              <w:rPr>
                <w:rStyle w:val="Hyperlink"/>
                <w:noProof/>
              </w:rPr>
              <w:t>The loading for students with disability provides additional funding for educational adjustments schools make, identified through the Nationally Consistent Collection of Data on School Students with Disability</w:t>
            </w:r>
            <w:r w:rsidR="00460DC8">
              <w:rPr>
                <w:noProof/>
                <w:webHidden/>
              </w:rPr>
              <w:tab/>
            </w:r>
            <w:r w:rsidR="00460DC8">
              <w:rPr>
                <w:noProof/>
                <w:webHidden/>
              </w:rPr>
              <w:fldChar w:fldCharType="begin"/>
            </w:r>
            <w:r w:rsidR="00460DC8">
              <w:rPr>
                <w:noProof/>
                <w:webHidden/>
              </w:rPr>
              <w:instrText xml:space="preserve"> PAGEREF _Toc13221352 \h </w:instrText>
            </w:r>
            <w:r w:rsidR="00460DC8">
              <w:rPr>
                <w:noProof/>
                <w:webHidden/>
              </w:rPr>
            </w:r>
            <w:r w:rsidR="00460DC8">
              <w:rPr>
                <w:noProof/>
                <w:webHidden/>
              </w:rPr>
              <w:fldChar w:fldCharType="separate"/>
            </w:r>
            <w:r w:rsidR="00460DC8">
              <w:rPr>
                <w:noProof/>
                <w:webHidden/>
              </w:rPr>
              <w:t>5</w:t>
            </w:r>
            <w:r w:rsidR="00460DC8">
              <w:rPr>
                <w:noProof/>
                <w:webHidden/>
              </w:rPr>
              <w:fldChar w:fldCharType="end"/>
            </w:r>
          </w:hyperlink>
        </w:p>
        <w:p w14:paraId="73418C74" w14:textId="2DA86C6C" w:rsidR="00460DC8" w:rsidRDefault="006D3D15">
          <w:pPr>
            <w:pStyle w:val="TOC2"/>
            <w:tabs>
              <w:tab w:val="right" w:leader="dot" w:pos="9060"/>
            </w:tabs>
            <w:rPr>
              <w:noProof/>
              <w:sz w:val="22"/>
              <w:lang w:eastAsia="en-AU"/>
            </w:rPr>
          </w:pPr>
          <w:hyperlink w:anchor="_Toc13221353" w:history="1">
            <w:r w:rsidR="00460DC8" w:rsidRPr="003D3E0F">
              <w:rPr>
                <w:rStyle w:val="Hyperlink"/>
                <w:rFonts w:cstheme="minorHAnsi"/>
                <w:noProof/>
              </w:rPr>
              <w:t>The levels of funding for the student with disability loading increase with the level of adjustment provided</w:t>
            </w:r>
            <w:r w:rsidR="00460DC8">
              <w:rPr>
                <w:noProof/>
                <w:webHidden/>
              </w:rPr>
              <w:tab/>
            </w:r>
            <w:r w:rsidR="00460DC8">
              <w:rPr>
                <w:noProof/>
                <w:webHidden/>
              </w:rPr>
              <w:fldChar w:fldCharType="begin"/>
            </w:r>
            <w:r w:rsidR="00460DC8">
              <w:rPr>
                <w:noProof/>
                <w:webHidden/>
              </w:rPr>
              <w:instrText xml:space="preserve"> PAGEREF _Toc13221353 \h </w:instrText>
            </w:r>
            <w:r w:rsidR="00460DC8">
              <w:rPr>
                <w:noProof/>
                <w:webHidden/>
              </w:rPr>
            </w:r>
            <w:r w:rsidR="00460DC8">
              <w:rPr>
                <w:noProof/>
                <w:webHidden/>
              </w:rPr>
              <w:fldChar w:fldCharType="separate"/>
            </w:r>
            <w:r w:rsidR="00460DC8">
              <w:rPr>
                <w:noProof/>
                <w:webHidden/>
              </w:rPr>
              <w:t>6</w:t>
            </w:r>
            <w:r w:rsidR="00460DC8">
              <w:rPr>
                <w:noProof/>
                <w:webHidden/>
              </w:rPr>
              <w:fldChar w:fldCharType="end"/>
            </w:r>
          </w:hyperlink>
        </w:p>
        <w:p w14:paraId="34B6258B" w14:textId="36E683D8" w:rsidR="00460DC8" w:rsidRDefault="006D3D15">
          <w:pPr>
            <w:pStyle w:val="TOC2"/>
            <w:tabs>
              <w:tab w:val="right" w:leader="dot" w:pos="9060"/>
            </w:tabs>
            <w:rPr>
              <w:noProof/>
              <w:sz w:val="22"/>
              <w:lang w:eastAsia="en-AU"/>
            </w:rPr>
          </w:pPr>
          <w:hyperlink w:anchor="_Toc13221354" w:history="1">
            <w:r w:rsidR="00460DC8" w:rsidRPr="003D3E0F">
              <w:rPr>
                <w:rStyle w:val="Hyperlink"/>
                <w:rFonts w:cstheme="minorHAnsi"/>
                <w:noProof/>
              </w:rPr>
              <w:t>As the basis for calculating a school’s Commonwealth funding entitlement, the NCCD is subject to quality assurance activities</w:t>
            </w:r>
            <w:r w:rsidR="00460DC8">
              <w:rPr>
                <w:noProof/>
                <w:webHidden/>
              </w:rPr>
              <w:tab/>
            </w:r>
            <w:r w:rsidR="00460DC8">
              <w:rPr>
                <w:noProof/>
                <w:webHidden/>
              </w:rPr>
              <w:fldChar w:fldCharType="begin"/>
            </w:r>
            <w:r w:rsidR="00460DC8">
              <w:rPr>
                <w:noProof/>
                <w:webHidden/>
              </w:rPr>
              <w:instrText xml:space="preserve"> PAGEREF _Toc13221354 \h </w:instrText>
            </w:r>
            <w:r w:rsidR="00460DC8">
              <w:rPr>
                <w:noProof/>
                <w:webHidden/>
              </w:rPr>
            </w:r>
            <w:r w:rsidR="00460DC8">
              <w:rPr>
                <w:noProof/>
                <w:webHidden/>
              </w:rPr>
              <w:fldChar w:fldCharType="separate"/>
            </w:r>
            <w:r w:rsidR="00460DC8">
              <w:rPr>
                <w:noProof/>
                <w:webHidden/>
              </w:rPr>
              <w:t>7</w:t>
            </w:r>
            <w:r w:rsidR="00460DC8">
              <w:rPr>
                <w:noProof/>
                <w:webHidden/>
              </w:rPr>
              <w:fldChar w:fldCharType="end"/>
            </w:r>
          </w:hyperlink>
        </w:p>
        <w:p w14:paraId="4ACB1272" w14:textId="3B6FED03" w:rsidR="00460DC8" w:rsidRDefault="006D3D15">
          <w:pPr>
            <w:pStyle w:val="TOC1"/>
            <w:tabs>
              <w:tab w:val="right" w:leader="dot" w:pos="9060"/>
            </w:tabs>
            <w:rPr>
              <w:noProof/>
              <w:sz w:val="22"/>
              <w:lang w:eastAsia="en-AU"/>
            </w:rPr>
          </w:pPr>
          <w:hyperlink w:anchor="_Toc13221355" w:history="1">
            <w:r w:rsidR="00460DC8" w:rsidRPr="003D3E0F">
              <w:rPr>
                <w:rStyle w:val="Hyperlink"/>
                <w:rFonts w:cstheme="minorHAnsi"/>
                <w:noProof/>
              </w:rPr>
              <w:t>Review purpose</w:t>
            </w:r>
            <w:r w:rsidR="00460DC8">
              <w:rPr>
                <w:noProof/>
                <w:webHidden/>
              </w:rPr>
              <w:tab/>
            </w:r>
            <w:r w:rsidR="00460DC8">
              <w:rPr>
                <w:noProof/>
                <w:webHidden/>
              </w:rPr>
              <w:fldChar w:fldCharType="begin"/>
            </w:r>
            <w:r w:rsidR="00460DC8">
              <w:rPr>
                <w:noProof/>
                <w:webHidden/>
              </w:rPr>
              <w:instrText xml:space="preserve"> PAGEREF _Toc13221355 \h </w:instrText>
            </w:r>
            <w:r w:rsidR="00460DC8">
              <w:rPr>
                <w:noProof/>
                <w:webHidden/>
              </w:rPr>
            </w:r>
            <w:r w:rsidR="00460DC8">
              <w:rPr>
                <w:noProof/>
                <w:webHidden/>
              </w:rPr>
              <w:fldChar w:fldCharType="separate"/>
            </w:r>
            <w:r w:rsidR="00460DC8">
              <w:rPr>
                <w:noProof/>
                <w:webHidden/>
              </w:rPr>
              <w:t>7</w:t>
            </w:r>
            <w:r w:rsidR="00460DC8">
              <w:rPr>
                <w:noProof/>
                <w:webHidden/>
              </w:rPr>
              <w:fldChar w:fldCharType="end"/>
            </w:r>
          </w:hyperlink>
        </w:p>
        <w:p w14:paraId="6B8F8E28" w14:textId="1F07ACF7" w:rsidR="00460DC8" w:rsidRDefault="006D3D15">
          <w:pPr>
            <w:pStyle w:val="TOC2"/>
            <w:tabs>
              <w:tab w:val="right" w:leader="dot" w:pos="9060"/>
            </w:tabs>
            <w:rPr>
              <w:noProof/>
              <w:sz w:val="22"/>
              <w:lang w:eastAsia="en-AU"/>
            </w:rPr>
          </w:pPr>
          <w:hyperlink w:anchor="_Toc13221356" w:history="1">
            <w:r w:rsidR="00460DC8" w:rsidRPr="003D3E0F">
              <w:rPr>
                <w:rStyle w:val="Hyperlink"/>
                <w:rFonts w:cstheme="minorHAnsi"/>
                <w:noProof/>
              </w:rPr>
              <w:t>The National School Resourcing Board provides greater independent oversight over Australian Government school funding</w:t>
            </w:r>
            <w:r w:rsidR="00460DC8">
              <w:rPr>
                <w:noProof/>
                <w:webHidden/>
              </w:rPr>
              <w:tab/>
            </w:r>
            <w:r w:rsidR="00460DC8">
              <w:rPr>
                <w:noProof/>
                <w:webHidden/>
              </w:rPr>
              <w:fldChar w:fldCharType="begin"/>
            </w:r>
            <w:r w:rsidR="00460DC8">
              <w:rPr>
                <w:noProof/>
                <w:webHidden/>
              </w:rPr>
              <w:instrText xml:space="preserve"> PAGEREF _Toc13221356 \h </w:instrText>
            </w:r>
            <w:r w:rsidR="00460DC8">
              <w:rPr>
                <w:noProof/>
                <w:webHidden/>
              </w:rPr>
            </w:r>
            <w:r w:rsidR="00460DC8">
              <w:rPr>
                <w:noProof/>
                <w:webHidden/>
              </w:rPr>
              <w:fldChar w:fldCharType="separate"/>
            </w:r>
            <w:r w:rsidR="00460DC8">
              <w:rPr>
                <w:noProof/>
                <w:webHidden/>
              </w:rPr>
              <w:t>7</w:t>
            </w:r>
            <w:r w:rsidR="00460DC8">
              <w:rPr>
                <w:noProof/>
                <w:webHidden/>
              </w:rPr>
              <w:fldChar w:fldCharType="end"/>
            </w:r>
          </w:hyperlink>
        </w:p>
        <w:p w14:paraId="7D4D8033" w14:textId="3C247531" w:rsidR="00460DC8" w:rsidRDefault="006D3D15">
          <w:pPr>
            <w:pStyle w:val="TOC2"/>
            <w:tabs>
              <w:tab w:val="right" w:leader="dot" w:pos="9060"/>
            </w:tabs>
            <w:rPr>
              <w:noProof/>
              <w:sz w:val="22"/>
              <w:lang w:eastAsia="en-AU"/>
            </w:rPr>
          </w:pPr>
          <w:hyperlink w:anchor="_Toc13221357" w:history="1">
            <w:r w:rsidR="00460DC8" w:rsidRPr="003D3E0F">
              <w:rPr>
                <w:rStyle w:val="Hyperlink"/>
                <w:noProof/>
              </w:rPr>
              <w:t>The Australian Government Department of Education is required to monitor and assure recurrent funding</w:t>
            </w:r>
            <w:r w:rsidR="00460DC8">
              <w:rPr>
                <w:noProof/>
                <w:webHidden/>
              </w:rPr>
              <w:tab/>
            </w:r>
            <w:r w:rsidR="00460DC8">
              <w:rPr>
                <w:noProof/>
                <w:webHidden/>
              </w:rPr>
              <w:fldChar w:fldCharType="begin"/>
            </w:r>
            <w:r w:rsidR="00460DC8">
              <w:rPr>
                <w:noProof/>
                <w:webHidden/>
              </w:rPr>
              <w:instrText xml:space="preserve"> PAGEREF _Toc13221357 \h </w:instrText>
            </w:r>
            <w:r w:rsidR="00460DC8">
              <w:rPr>
                <w:noProof/>
                <w:webHidden/>
              </w:rPr>
            </w:r>
            <w:r w:rsidR="00460DC8">
              <w:rPr>
                <w:noProof/>
                <w:webHidden/>
              </w:rPr>
              <w:fldChar w:fldCharType="separate"/>
            </w:r>
            <w:r w:rsidR="00460DC8">
              <w:rPr>
                <w:noProof/>
                <w:webHidden/>
              </w:rPr>
              <w:t>8</w:t>
            </w:r>
            <w:r w:rsidR="00460DC8">
              <w:rPr>
                <w:noProof/>
                <w:webHidden/>
              </w:rPr>
              <w:fldChar w:fldCharType="end"/>
            </w:r>
          </w:hyperlink>
        </w:p>
        <w:p w14:paraId="213C257B" w14:textId="2D6211A6" w:rsidR="00460DC8" w:rsidRDefault="006D3D15">
          <w:pPr>
            <w:pStyle w:val="TOC2"/>
            <w:tabs>
              <w:tab w:val="right" w:leader="dot" w:pos="9060"/>
            </w:tabs>
            <w:rPr>
              <w:noProof/>
              <w:sz w:val="22"/>
              <w:lang w:eastAsia="en-AU"/>
            </w:rPr>
          </w:pPr>
          <w:hyperlink w:anchor="_Toc13221358" w:history="1">
            <w:r w:rsidR="00460DC8" w:rsidRPr="003D3E0F">
              <w:rPr>
                <w:rStyle w:val="Hyperlink"/>
                <w:noProof/>
              </w:rPr>
              <w:t>The Board has been asked to consider the current SRS settings and Australian Government assurance processes undertaken for the loading for students with disability</w:t>
            </w:r>
            <w:r w:rsidR="00460DC8">
              <w:rPr>
                <w:noProof/>
                <w:webHidden/>
              </w:rPr>
              <w:tab/>
            </w:r>
            <w:r w:rsidR="00460DC8">
              <w:rPr>
                <w:noProof/>
                <w:webHidden/>
              </w:rPr>
              <w:fldChar w:fldCharType="begin"/>
            </w:r>
            <w:r w:rsidR="00460DC8">
              <w:rPr>
                <w:noProof/>
                <w:webHidden/>
              </w:rPr>
              <w:instrText xml:space="preserve"> PAGEREF _Toc13221358 \h </w:instrText>
            </w:r>
            <w:r w:rsidR="00460DC8">
              <w:rPr>
                <w:noProof/>
                <w:webHidden/>
              </w:rPr>
            </w:r>
            <w:r w:rsidR="00460DC8">
              <w:rPr>
                <w:noProof/>
                <w:webHidden/>
              </w:rPr>
              <w:fldChar w:fldCharType="separate"/>
            </w:r>
            <w:r w:rsidR="00460DC8">
              <w:rPr>
                <w:noProof/>
                <w:webHidden/>
              </w:rPr>
              <w:t>8</w:t>
            </w:r>
            <w:r w:rsidR="00460DC8">
              <w:rPr>
                <w:noProof/>
                <w:webHidden/>
              </w:rPr>
              <w:fldChar w:fldCharType="end"/>
            </w:r>
          </w:hyperlink>
        </w:p>
        <w:p w14:paraId="1B76AA64" w14:textId="5C665B15" w:rsidR="00460DC8" w:rsidRDefault="006D3D15">
          <w:pPr>
            <w:pStyle w:val="TOC1"/>
            <w:tabs>
              <w:tab w:val="right" w:leader="dot" w:pos="9060"/>
            </w:tabs>
            <w:rPr>
              <w:noProof/>
              <w:sz w:val="22"/>
              <w:lang w:eastAsia="en-AU"/>
            </w:rPr>
          </w:pPr>
          <w:hyperlink w:anchor="_Toc13221359" w:history="1">
            <w:r w:rsidR="00460DC8" w:rsidRPr="003D3E0F">
              <w:rPr>
                <w:rStyle w:val="Hyperlink"/>
                <w:rFonts w:cstheme="minorHAnsi"/>
                <w:noProof/>
              </w:rPr>
              <w:t>Focus questions</w:t>
            </w:r>
            <w:r w:rsidR="00460DC8">
              <w:rPr>
                <w:noProof/>
                <w:webHidden/>
              </w:rPr>
              <w:tab/>
            </w:r>
            <w:r w:rsidR="00460DC8">
              <w:rPr>
                <w:noProof/>
                <w:webHidden/>
              </w:rPr>
              <w:fldChar w:fldCharType="begin"/>
            </w:r>
            <w:r w:rsidR="00460DC8">
              <w:rPr>
                <w:noProof/>
                <w:webHidden/>
              </w:rPr>
              <w:instrText xml:space="preserve"> PAGEREF _Toc13221359 \h </w:instrText>
            </w:r>
            <w:r w:rsidR="00460DC8">
              <w:rPr>
                <w:noProof/>
                <w:webHidden/>
              </w:rPr>
            </w:r>
            <w:r w:rsidR="00460DC8">
              <w:rPr>
                <w:noProof/>
                <w:webHidden/>
              </w:rPr>
              <w:fldChar w:fldCharType="separate"/>
            </w:r>
            <w:r w:rsidR="00460DC8">
              <w:rPr>
                <w:noProof/>
                <w:webHidden/>
              </w:rPr>
              <w:t>8</w:t>
            </w:r>
            <w:r w:rsidR="00460DC8">
              <w:rPr>
                <w:noProof/>
                <w:webHidden/>
              </w:rPr>
              <w:fldChar w:fldCharType="end"/>
            </w:r>
          </w:hyperlink>
        </w:p>
        <w:p w14:paraId="3273757A" w14:textId="71DCB3B1" w:rsidR="00460DC8" w:rsidRDefault="006D3D15">
          <w:pPr>
            <w:pStyle w:val="TOC1"/>
            <w:tabs>
              <w:tab w:val="right" w:leader="dot" w:pos="9060"/>
            </w:tabs>
            <w:rPr>
              <w:noProof/>
              <w:sz w:val="22"/>
              <w:lang w:eastAsia="en-AU"/>
            </w:rPr>
          </w:pPr>
          <w:hyperlink w:anchor="_Toc13221360" w:history="1">
            <w:r w:rsidR="00460DC8" w:rsidRPr="003D3E0F">
              <w:rPr>
                <w:rStyle w:val="Hyperlink"/>
                <w:rFonts w:cstheme="minorHAnsi"/>
                <w:noProof/>
              </w:rPr>
              <w:t>Making a submission</w:t>
            </w:r>
            <w:r w:rsidR="00460DC8">
              <w:rPr>
                <w:noProof/>
                <w:webHidden/>
              </w:rPr>
              <w:tab/>
            </w:r>
            <w:r w:rsidR="00460DC8">
              <w:rPr>
                <w:noProof/>
                <w:webHidden/>
              </w:rPr>
              <w:fldChar w:fldCharType="begin"/>
            </w:r>
            <w:r w:rsidR="00460DC8">
              <w:rPr>
                <w:noProof/>
                <w:webHidden/>
              </w:rPr>
              <w:instrText xml:space="preserve"> PAGEREF _Toc13221360 \h </w:instrText>
            </w:r>
            <w:r w:rsidR="00460DC8">
              <w:rPr>
                <w:noProof/>
                <w:webHidden/>
              </w:rPr>
            </w:r>
            <w:r w:rsidR="00460DC8">
              <w:rPr>
                <w:noProof/>
                <w:webHidden/>
              </w:rPr>
              <w:fldChar w:fldCharType="separate"/>
            </w:r>
            <w:r w:rsidR="00460DC8">
              <w:rPr>
                <w:noProof/>
                <w:webHidden/>
              </w:rPr>
              <w:t>9</w:t>
            </w:r>
            <w:r w:rsidR="00460DC8">
              <w:rPr>
                <w:noProof/>
                <w:webHidden/>
              </w:rPr>
              <w:fldChar w:fldCharType="end"/>
            </w:r>
          </w:hyperlink>
        </w:p>
        <w:p w14:paraId="126E972D" w14:textId="5F900EF9" w:rsidR="00460DC8" w:rsidRDefault="006D3D15">
          <w:pPr>
            <w:pStyle w:val="TOC1"/>
            <w:tabs>
              <w:tab w:val="right" w:leader="dot" w:pos="9060"/>
            </w:tabs>
            <w:rPr>
              <w:noProof/>
              <w:sz w:val="22"/>
              <w:lang w:eastAsia="en-AU"/>
            </w:rPr>
          </w:pPr>
          <w:hyperlink w:anchor="_Toc13221361" w:history="1">
            <w:r w:rsidR="00460DC8" w:rsidRPr="003D3E0F">
              <w:rPr>
                <w:rStyle w:val="Hyperlink"/>
                <w:rFonts w:cstheme="minorHAnsi"/>
                <w:noProof/>
              </w:rPr>
              <w:t>Appendix 1:</w:t>
            </w:r>
            <w:r w:rsidR="00460DC8">
              <w:rPr>
                <w:noProof/>
                <w:webHidden/>
              </w:rPr>
              <w:tab/>
            </w:r>
            <w:r w:rsidR="00460DC8">
              <w:rPr>
                <w:noProof/>
                <w:webHidden/>
              </w:rPr>
              <w:fldChar w:fldCharType="begin"/>
            </w:r>
            <w:r w:rsidR="00460DC8">
              <w:rPr>
                <w:noProof/>
                <w:webHidden/>
              </w:rPr>
              <w:instrText xml:space="preserve"> PAGEREF _Toc13221361 \h </w:instrText>
            </w:r>
            <w:r w:rsidR="00460DC8">
              <w:rPr>
                <w:noProof/>
                <w:webHidden/>
              </w:rPr>
            </w:r>
            <w:r w:rsidR="00460DC8">
              <w:rPr>
                <w:noProof/>
                <w:webHidden/>
              </w:rPr>
              <w:fldChar w:fldCharType="separate"/>
            </w:r>
            <w:r w:rsidR="00460DC8">
              <w:rPr>
                <w:noProof/>
                <w:webHidden/>
              </w:rPr>
              <w:t>10</w:t>
            </w:r>
            <w:r w:rsidR="00460DC8">
              <w:rPr>
                <w:noProof/>
                <w:webHidden/>
              </w:rPr>
              <w:fldChar w:fldCharType="end"/>
            </w:r>
          </w:hyperlink>
        </w:p>
        <w:p w14:paraId="7BD5A519" w14:textId="04A7EE0E" w:rsidR="00255C6E" w:rsidRPr="00C3227E" w:rsidRDefault="00255C6E">
          <w:pPr>
            <w:rPr>
              <w:sz w:val="22"/>
            </w:rPr>
          </w:pPr>
          <w:r w:rsidRPr="00C3227E">
            <w:rPr>
              <w:b/>
              <w:bCs/>
              <w:noProof/>
              <w:sz w:val="22"/>
            </w:rPr>
            <w:fldChar w:fldCharType="end"/>
          </w:r>
        </w:p>
      </w:sdtContent>
    </w:sdt>
    <w:p w14:paraId="4E2B9FA6" w14:textId="77777777" w:rsidR="00255C6E" w:rsidRPr="00F31851" w:rsidRDefault="00255C6E" w:rsidP="00255C6E"/>
    <w:p w14:paraId="7A988EF9" w14:textId="77777777" w:rsidR="00255C6E" w:rsidRPr="00F31851" w:rsidRDefault="00255C6E">
      <w:pPr>
        <w:spacing w:line="276" w:lineRule="auto"/>
      </w:pPr>
      <w:r w:rsidRPr="00F31851">
        <w:br w:type="page"/>
      </w:r>
    </w:p>
    <w:p w14:paraId="49B1E755" w14:textId="77777777" w:rsidR="003173AB" w:rsidRPr="00F31851" w:rsidRDefault="003173AB" w:rsidP="00C64336">
      <w:pPr>
        <w:pStyle w:val="Heading1"/>
        <w:spacing w:before="240" w:after="120"/>
        <w:contextualSpacing w:val="0"/>
        <w:rPr>
          <w:rFonts w:asciiTheme="minorHAnsi" w:hAnsiTheme="minorHAnsi" w:cstheme="minorHAnsi"/>
          <w:sz w:val="36"/>
          <w:szCs w:val="36"/>
        </w:rPr>
      </w:pPr>
      <w:bookmarkStart w:id="2" w:name="_Toc3540902"/>
      <w:bookmarkStart w:id="3" w:name="_Toc13221347"/>
      <w:r w:rsidRPr="00F31851">
        <w:rPr>
          <w:rFonts w:asciiTheme="minorHAnsi" w:hAnsiTheme="minorHAnsi" w:cstheme="minorHAnsi"/>
          <w:sz w:val="36"/>
          <w:szCs w:val="36"/>
        </w:rPr>
        <w:lastRenderedPageBreak/>
        <w:t>Context</w:t>
      </w:r>
      <w:bookmarkEnd w:id="2"/>
      <w:bookmarkEnd w:id="3"/>
    </w:p>
    <w:p w14:paraId="490491E7" w14:textId="77777777" w:rsidR="00C73A57" w:rsidRPr="00F31851" w:rsidRDefault="00C73A57" w:rsidP="00C73A57">
      <w:pPr>
        <w:pStyle w:val="Heading2"/>
        <w:rPr>
          <w:rFonts w:cs="Calibri Light"/>
          <w:bCs w:val="0"/>
        </w:rPr>
      </w:pPr>
      <w:bookmarkStart w:id="4" w:name="_Toc8051377"/>
      <w:bookmarkStart w:id="5" w:name="_Toc13221348"/>
      <w:r w:rsidRPr="00F31851">
        <w:rPr>
          <w:rFonts w:cs="Calibri Light"/>
          <w:bCs w:val="0"/>
        </w:rPr>
        <w:t>Australian Government recurrent funding for schools is needs-based</w:t>
      </w:r>
      <w:bookmarkEnd w:id="4"/>
      <w:bookmarkEnd w:id="5"/>
    </w:p>
    <w:p w14:paraId="4F5E2595" w14:textId="77777777" w:rsidR="00C73A57" w:rsidRPr="005D5653" w:rsidRDefault="00C73A57" w:rsidP="00C64336">
      <w:pPr>
        <w:spacing w:line="276" w:lineRule="auto"/>
        <w:rPr>
          <w:rFonts w:cstheme="minorHAnsi"/>
          <w:sz w:val="22"/>
          <w:szCs w:val="24"/>
        </w:rPr>
      </w:pPr>
      <w:r w:rsidRPr="005D5653">
        <w:rPr>
          <w:rFonts w:cstheme="minorHAnsi"/>
          <w:sz w:val="22"/>
          <w:szCs w:val="24"/>
        </w:rPr>
        <w:t>Australian Government recurrent funding for schools is calculated based on the Schooling Resource Standard (SRS). The SRS is an estimate of how much total public funding a school needs to meet the educational needs of its students. It is made up of a base amount for every primary and secondary student and six loadings to provide extra funding for disadvantaged students and schools.</w:t>
      </w:r>
    </w:p>
    <w:p w14:paraId="69D496B9" w14:textId="77777777" w:rsidR="001214E2" w:rsidRPr="005D5653" w:rsidRDefault="001214E2" w:rsidP="00C64336">
      <w:pPr>
        <w:spacing w:line="276" w:lineRule="auto"/>
        <w:rPr>
          <w:rFonts w:cstheme="minorHAnsi"/>
          <w:sz w:val="22"/>
          <w:szCs w:val="24"/>
        </w:rPr>
      </w:pPr>
      <w:r w:rsidRPr="005D5653">
        <w:rPr>
          <w:rFonts w:cstheme="minorHAnsi"/>
          <w:sz w:val="22"/>
          <w:szCs w:val="24"/>
        </w:rPr>
        <w:t>The SRS loadings are intended to represent the additional efficient cost, funded from all sources, to give schools with a particular characteristic or with particular types of students the same opportunity to achieve nationally agreed educational outcomes as schools that do not attract loadings.</w:t>
      </w:r>
      <w:r w:rsidRPr="005D5653">
        <w:rPr>
          <w:rStyle w:val="FootnoteReference"/>
          <w:rFonts w:cstheme="minorHAnsi"/>
          <w:sz w:val="22"/>
          <w:szCs w:val="24"/>
        </w:rPr>
        <w:footnoteReference w:id="2"/>
      </w:r>
    </w:p>
    <w:p w14:paraId="1BA72FFE" w14:textId="77777777" w:rsidR="001214E2" w:rsidRPr="005D5653" w:rsidRDefault="001214E2" w:rsidP="00C64336">
      <w:pPr>
        <w:spacing w:line="276" w:lineRule="auto"/>
        <w:rPr>
          <w:rFonts w:cstheme="minorHAnsi"/>
          <w:sz w:val="22"/>
          <w:szCs w:val="24"/>
        </w:rPr>
      </w:pPr>
      <w:r w:rsidRPr="005D5653">
        <w:rPr>
          <w:sz w:val="22"/>
        </w:rPr>
        <w:t xml:space="preserve">The SRS includes loadings for </w:t>
      </w:r>
      <w:r w:rsidRPr="005D5653">
        <w:rPr>
          <w:rFonts w:cstheme="minorHAnsi"/>
          <w:sz w:val="22"/>
          <w:szCs w:val="24"/>
        </w:rPr>
        <w:t>socio-educational disadvantage; students with disability; low English language proficiency; Aboriginal and Torres Strait Islander students; school location; and school size.</w:t>
      </w:r>
    </w:p>
    <w:p w14:paraId="77E8F59E" w14:textId="7D8CD084" w:rsidR="00C73A57" w:rsidRPr="00F31851" w:rsidRDefault="00C73A57" w:rsidP="00C73A57">
      <w:pPr>
        <w:pStyle w:val="Heading2"/>
        <w:rPr>
          <w:rFonts w:cstheme="minorHAnsi"/>
        </w:rPr>
      </w:pPr>
      <w:bookmarkStart w:id="6" w:name="_Toc13221349"/>
      <w:r w:rsidRPr="00F31851">
        <w:rPr>
          <w:rFonts w:cstheme="minorHAnsi"/>
        </w:rPr>
        <w:t xml:space="preserve">Responsibility for </w:t>
      </w:r>
      <w:r w:rsidR="008A233E" w:rsidRPr="00F31851">
        <w:rPr>
          <w:rFonts w:cstheme="minorHAnsi"/>
        </w:rPr>
        <w:t>public</w:t>
      </w:r>
      <w:r w:rsidRPr="00F31851">
        <w:rPr>
          <w:rFonts w:cstheme="minorHAnsi"/>
        </w:rPr>
        <w:t xml:space="preserve"> funding </w:t>
      </w:r>
      <w:r w:rsidR="008A233E" w:rsidRPr="00F31851">
        <w:rPr>
          <w:rFonts w:cstheme="minorHAnsi"/>
        </w:rPr>
        <w:t xml:space="preserve">for </w:t>
      </w:r>
      <w:r w:rsidR="00605252">
        <w:rPr>
          <w:rFonts w:cstheme="minorHAnsi"/>
        </w:rPr>
        <w:t xml:space="preserve">all </w:t>
      </w:r>
      <w:r w:rsidR="008A233E" w:rsidRPr="00F31851">
        <w:rPr>
          <w:rFonts w:cstheme="minorHAnsi"/>
        </w:rPr>
        <w:t xml:space="preserve">schools </w:t>
      </w:r>
      <w:r w:rsidRPr="00F31851">
        <w:rPr>
          <w:rFonts w:cstheme="minorHAnsi"/>
        </w:rPr>
        <w:t>is shared between state and territory governments and the Australian Government</w:t>
      </w:r>
      <w:bookmarkEnd w:id="6"/>
    </w:p>
    <w:p w14:paraId="519150A5" w14:textId="766E016E" w:rsidR="007755B2" w:rsidRDefault="00260BA5" w:rsidP="00C64336">
      <w:pPr>
        <w:spacing w:line="276" w:lineRule="auto"/>
        <w:rPr>
          <w:rFonts w:cstheme="minorHAnsi"/>
          <w:sz w:val="22"/>
          <w:szCs w:val="24"/>
        </w:rPr>
      </w:pPr>
      <w:r w:rsidRPr="005D5653">
        <w:rPr>
          <w:rFonts w:cstheme="minorHAnsi"/>
          <w:sz w:val="22"/>
          <w:szCs w:val="24"/>
        </w:rPr>
        <w:t>States and territories have overarching responsibility for schools in their jurisdiction, including for the registration and regulation of all schools in their juri</w:t>
      </w:r>
      <w:r w:rsidR="003143C0">
        <w:rPr>
          <w:rFonts w:cstheme="minorHAnsi"/>
          <w:sz w:val="22"/>
          <w:szCs w:val="24"/>
        </w:rPr>
        <w:t>s</w:t>
      </w:r>
      <w:r w:rsidR="007D59E6">
        <w:rPr>
          <w:rFonts w:cstheme="minorHAnsi"/>
          <w:sz w:val="22"/>
          <w:szCs w:val="24"/>
        </w:rPr>
        <w:t>diction (whether government or non</w:t>
      </w:r>
      <w:r w:rsidR="007D59E6">
        <w:rPr>
          <w:rFonts w:cstheme="minorHAnsi"/>
          <w:sz w:val="22"/>
          <w:szCs w:val="24"/>
        </w:rPr>
        <w:noBreakHyphen/>
      </w:r>
      <w:r w:rsidRPr="005D5653">
        <w:rPr>
          <w:rFonts w:cstheme="minorHAnsi"/>
          <w:sz w:val="22"/>
          <w:szCs w:val="24"/>
        </w:rPr>
        <w:t>government) and for the operation of public schools.</w:t>
      </w:r>
      <w:r w:rsidR="00995565" w:rsidRPr="005D5653">
        <w:rPr>
          <w:rFonts w:cstheme="minorHAnsi"/>
          <w:sz w:val="22"/>
          <w:szCs w:val="24"/>
        </w:rPr>
        <w:t xml:space="preserve"> They are the majority funder of public schools</w:t>
      </w:r>
      <w:r w:rsidR="007755B2">
        <w:rPr>
          <w:rFonts w:cstheme="minorHAnsi"/>
          <w:sz w:val="22"/>
          <w:szCs w:val="24"/>
        </w:rPr>
        <w:t>, and under the SRS will move to 80 per cent of total SRS for government schools</w:t>
      </w:r>
      <w:r w:rsidR="007755B2" w:rsidRPr="005D5653">
        <w:rPr>
          <w:rFonts w:cstheme="minorHAnsi"/>
          <w:sz w:val="22"/>
          <w:szCs w:val="24"/>
        </w:rPr>
        <w:t>.</w:t>
      </w:r>
      <w:r w:rsidR="007755B2">
        <w:rPr>
          <w:rFonts w:cstheme="minorHAnsi"/>
          <w:sz w:val="22"/>
          <w:szCs w:val="24"/>
        </w:rPr>
        <w:t xml:space="preserve">  </w:t>
      </w:r>
    </w:p>
    <w:p w14:paraId="54C354BA" w14:textId="5B1F0F0D" w:rsidR="004E3428" w:rsidRPr="005D5653" w:rsidRDefault="00260BA5" w:rsidP="00C64336">
      <w:pPr>
        <w:spacing w:line="276" w:lineRule="auto"/>
        <w:rPr>
          <w:rFonts w:cstheme="minorHAnsi"/>
          <w:sz w:val="22"/>
          <w:szCs w:val="24"/>
        </w:rPr>
      </w:pPr>
      <w:r w:rsidRPr="005D5653">
        <w:rPr>
          <w:rFonts w:cstheme="minorHAnsi"/>
          <w:sz w:val="22"/>
          <w:szCs w:val="24"/>
        </w:rPr>
        <w:t xml:space="preserve">The </w:t>
      </w:r>
      <w:r w:rsidR="004E3428" w:rsidRPr="005D5653">
        <w:rPr>
          <w:rFonts w:cstheme="minorHAnsi"/>
          <w:sz w:val="22"/>
          <w:szCs w:val="24"/>
        </w:rPr>
        <w:t>Australian Government</w:t>
      </w:r>
      <w:r w:rsidRPr="005D5653">
        <w:rPr>
          <w:rFonts w:cstheme="minorHAnsi"/>
          <w:sz w:val="22"/>
          <w:szCs w:val="24"/>
        </w:rPr>
        <w:t xml:space="preserve"> does not run any schools or </w:t>
      </w:r>
      <w:r w:rsidR="004E3428" w:rsidRPr="005D5653">
        <w:rPr>
          <w:rFonts w:cstheme="minorHAnsi"/>
          <w:sz w:val="22"/>
          <w:szCs w:val="24"/>
        </w:rPr>
        <w:t>employ any teachers. The Australian Government</w:t>
      </w:r>
      <w:r w:rsidR="0017318E" w:rsidRPr="005D5653">
        <w:rPr>
          <w:rFonts w:cstheme="minorHAnsi"/>
          <w:sz w:val="22"/>
          <w:szCs w:val="24"/>
        </w:rPr>
        <w:t xml:space="preserve"> </w:t>
      </w:r>
      <w:r w:rsidR="004E3428" w:rsidRPr="005D5653">
        <w:rPr>
          <w:rFonts w:cstheme="minorHAnsi"/>
          <w:sz w:val="22"/>
          <w:szCs w:val="24"/>
        </w:rPr>
        <w:t>does</w:t>
      </w:r>
      <w:r w:rsidR="0017318E" w:rsidRPr="005D5653">
        <w:rPr>
          <w:rFonts w:cstheme="minorHAnsi"/>
          <w:sz w:val="22"/>
          <w:szCs w:val="24"/>
        </w:rPr>
        <w:t>, however,</w:t>
      </w:r>
      <w:r w:rsidR="004E3428" w:rsidRPr="005D5653">
        <w:rPr>
          <w:rFonts w:cstheme="minorHAnsi"/>
          <w:sz w:val="22"/>
          <w:szCs w:val="24"/>
        </w:rPr>
        <w:t xml:space="preserve"> contribute significant funding for schooling, including approximately $17.5 billion in recurrent funding for schools in 2017. This contribution will grow to approximately $32.4 billion in 2029. From 2018 to 2029 the Australian Government will contribute a total of approximately $310.3 billion in recurrent funding for schools.</w:t>
      </w:r>
      <w:r w:rsidR="004E3428" w:rsidRPr="005D5653">
        <w:rPr>
          <w:rStyle w:val="FootnoteReference"/>
          <w:sz w:val="22"/>
        </w:rPr>
        <w:footnoteReference w:id="3"/>
      </w:r>
    </w:p>
    <w:p w14:paraId="649640A1" w14:textId="77777777" w:rsidR="00C73A57" w:rsidRPr="005D5653" w:rsidRDefault="00976C76" w:rsidP="00C64336">
      <w:pPr>
        <w:spacing w:line="276" w:lineRule="auto"/>
        <w:rPr>
          <w:rFonts w:cstheme="minorHAnsi"/>
          <w:sz w:val="22"/>
          <w:szCs w:val="24"/>
        </w:rPr>
      </w:pPr>
      <w:r w:rsidRPr="005D5653">
        <w:rPr>
          <w:rFonts w:cstheme="minorHAnsi"/>
          <w:sz w:val="22"/>
          <w:szCs w:val="24"/>
        </w:rPr>
        <w:t xml:space="preserve">The </w:t>
      </w:r>
      <w:r w:rsidR="00CA6409" w:rsidRPr="005D5653">
        <w:rPr>
          <w:rFonts w:cstheme="minorHAnsi"/>
          <w:sz w:val="22"/>
          <w:szCs w:val="24"/>
        </w:rPr>
        <w:t xml:space="preserve">Australian Government </w:t>
      </w:r>
      <w:r w:rsidR="00A4245B" w:rsidRPr="005D5653">
        <w:rPr>
          <w:rFonts w:cstheme="minorHAnsi"/>
          <w:sz w:val="22"/>
          <w:szCs w:val="24"/>
        </w:rPr>
        <w:t>is moving</w:t>
      </w:r>
      <w:r w:rsidR="00CA6409" w:rsidRPr="005D5653">
        <w:rPr>
          <w:rFonts w:cstheme="minorHAnsi"/>
          <w:sz w:val="22"/>
          <w:szCs w:val="24"/>
        </w:rPr>
        <w:t xml:space="preserve"> towards consistently funding 20 per cent of the total SRS for government systems, reflecting its role as a minority public funder of this sector, and 80 per cent of the total SRS for non-government schools and systems, reflecting its role as a majority public funder of this sector.</w:t>
      </w:r>
      <w:r w:rsidR="0055096E" w:rsidRPr="005D5653">
        <w:rPr>
          <w:rStyle w:val="FootnoteReference"/>
          <w:rFonts w:cstheme="minorHAnsi"/>
          <w:sz w:val="22"/>
          <w:szCs w:val="24"/>
        </w:rPr>
        <w:footnoteReference w:id="4"/>
      </w:r>
    </w:p>
    <w:p w14:paraId="733A5141" w14:textId="77777777" w:rsidR="00617818" w:rsidRPr="005D5653" w:rsidRDefault="00617818" w:rsidP="00C64336">
      <w:pPr>
        <w:spacing w:line="276" w:lineRule="auto"/>
        <w:rPr>
          <w:sz w:val="22"/>
        </w:rPr>
      </w:pPr>
      <w:r w:rsidRPr="005D5653">
        <w:rPr>
          <w:sz w:val="22"/>
        </w:rPr>
        <w:t>As a result of these shared contribution arrangements, changes to the settings for the SRS loadings have flow-on effects for state and territory governments as well as the Australian Government.</w:t>
      </w:r>
    </w:p>
    <w:p w14:paraId="7AEA6BDD" w14:textId="77777777" w:rsidR="00C64336" w:rsidRDefault="00C64336">
      <w:pPr>
        <w:spacing w:before="0" w:after="200" w:line="276" w:lineRule="auto"/>
        <w:rPr>
          <w:rFonts w:ascii="Calibri Light" w:eastAsiaTheme="majorEastAsia" w:hAnsi="Calibri Light" w:cstheme="minorHAnsi"/>
          <w:b/>
          <w:bCs/>
          <w:color w:val="2D3E7B"/>
        </w:rPr>
      </w:pPr>
      <w:r>
        <w:rPr>
          <w:rFonts w:cstheme="minorHAnsi"/>
        </w:rPr>
        <w:br w:type="page"/>
      </w:r>
    </w:p>
    <w:p w14:paraId="1F4C129E" w14:textId="6586AEBD" w:rsidR="008755A5" w:rsidRPr="00C64336" w:rsidRDefault="008755A5" w:rsidP="00C64336">
      <w:pPr>
        <w:pStyle w:val="Heading2"/>
        <w:rPr>
          <w:rFonts w:cstheme="minorHAnsi"/>
        </w:rPr>
      </w:pPr>
      <w:bookmarkStart w:id="7" w:name="_Toc13221350"/>
      <w:r w:rsidRPr="00C64336">
        <w:rPr>
          <w:rFonts w:cstheme="minorHAnsi"/>
        </w:rPr>
        <w:lastRenderedPageBreak/>
        <w:t xml:space="preserve">Schools are obliged to make reasonable adjustments for students with disability to </w:t>
      </w:r>
      <w:r w:rsidR="00B30657" w:rsidRPr="00C64336">
        <w:rPr>
          <w:rFonts w:cstheme="minorHAnsi"/>
        </w:rPr>
        <w:t xml:space="preserve">enable them to </w:t>
      </w:r>
      <w:r w:rsidRPr="00C64336">
        <w:rPr>
          <w:rFonts w:cstheme="minorHAnsi"/>
        </w:rPr>
        <w:t>access and participate in education on the same basis as other students</w:t>
      </w:r>
      <w:bookmarkEnd w:id="7"/>
    </w:p>
    <w:p w14:paraId="4472EF5F" w14:textId="77777777" w:rsidR="008755A5" w:rsidRPr="005D5653" w:rsidRDefault="008755A5" w:rsidP="00C64336">
      <w:pPr>
        <w:keepNext/>
        <w:keepLines/>
        <w:spacing w:line="276" w:lineRule="auto"/>
        <w:rPr>
          <w:sz w:val="22"/>
        </w:rPr>
      </w:pPr>
      <w:r w:rsidRPr="005D5653">
        <w:rPr>
          <w:sz w:val="22"/>
        </w:rPr>
        <w:t xml:space="preserve">The Disability Standards for Education 2005 (DSE) clarify the obligations of schools under the </w:t>
      </w:r>
      <w:r w:rsidRPr="005D5653">
        <w:rPr>
          <w:i/>
          <w:sz w:val="22"/>
        </w:rPr>
        <w:t>Disability Discrimination Act (1992)</w:t>
      </w:r>
      <w:r w:rsidRPr="005D5653">
        <w:rPr>
          <w:sz w:val="22"/>
        </w:rPr>
        <w:t>. The DSE require schools to ensure that a student with disability has opportunities and choices that are comparable with those offered to students without disability—this includes making reasonable adjustments for admission and enrolment, participation, curriculum development, and the use of facilities and services.</w:t>
      </w:r>
      <w:r w:rsidRPr="005D5653">
        <w:rPr>
          <w:rStyle w:val="FootnoteReference"/>
          <w:sz w:val="22"/>
        </w:rPr>
        <w:footnoteReference w:id="5"/>
      </w:r>
    </w:p>
    <w:p w14:paraId="0855DD4A" w14:textId="77777777" w:rsidR="008755A5" w:rsidRPr="005D5653" w:rsidRDefault="008755A5" w:rsidP="00C64336">
      <w:pPr>
        <w:spacing w:line="276" w:lineRule="auto"/>
        <w:rPr>
          <w:sz w:val="22"/>
        </w:rPr>
      </w:pPr>
      <w:r w:rsidRPr="005D5653">
        <w:rPr>
          <w:sz w:val="22"/>
        </w:rPr>
        <w:t>An adjustment is a measure or action taken to assist a student with a disability to participate in education and training on the same basis as other students. Schools are required to make reasonable adjustments. Adjustments are considered reasonable where they take into account the student’s learning needs and balance the interests of all parties affected, including those of the student with disability, the school, staff, and other students.</w:t>
      </w:r>
      <w:r w:rsidRPr="005D5653">
        <w:rPr>
          <w:rStyle w:val="FootnoteReference"/>
          <w:sz w:val="22"/>
        </w:rPr>
        <w:footnoteReference w:id="6"/>
      </w:r>
    </w:p>
    <w:p w14:paraId="61172830" w14:textId="41532C18" w:rsidR="00AA1DEB" w:rsidRPr="00F31851" w:rsidRDefault="00AA1DEB" w:rsidP="00AA1DEB">
      <w:pPr>
        <w:pStyle w:val="Heading2"/>
        <w:keepNext/>
        <w:keepLines/>
      </w:pPr>
      <w:bookmarkStart w:id="8" w:name="_Toc13221351"/>
      <w:r w:rsidRPr="00F31851">
        <w:t xml:space="preserve">The NDIS provides funding </w:t>
      </w:r>
      <w:r w:rsidR="00A645E4" w:rsidRPr="00F31851">
        <w:t xml:space="preserve">for reasonable and necessary supports </w:t>
      </w:r>
      <w:r w:rsidRPr="00F31851">
        <w:t xml:space="preserve">to </w:t>
      </w:r>
      <w:r w:rsidR="00A645E4" w:rsidRPr="00F31851">
        <w:t xml:space="preserve">enable </w:t>
      </w:r>
      <w:r w:rsidRPr="00F31851">
        <w:t xml:space="preserve">eligible people with disability </w:t>
      </w:r>
      <w:r w:rsidR="00A645E4" w:rsidRPr="00F31851">
        <w:t>to fully participate in the community</w:t>
      </w:r>
      <w:bookmarkEnd w:id="8"/>
    </w:p>
    <w:p w14:paraId="506D9E24" w14:textId="75F89C55" w:rsidR="00AA1DEB" w:rsidRPr="005D5653" w:rsidRDefault="003143C0" w:rsidP="00C64336">
      <w:pPr>
        <w:spacing w:line="276" w:lineRule="auto"/>
        <w:rPr>
          <w:sz w:val="22"/>
        </w:rPr>
      </w:pPr>
      <w:r>
        <w:rPr>
          <w:sz w:val="22"/>
        </w:rPr>
        <w:t>The NDIS funds supports for</w:t>
      </w:r>
      <w:r w:rsidR="00AA1DEB" w:rsidRPr="005D5653">
        <w:rPr>
          <w:sz w:val="22"/>
        </w:rPr>
        <w:t xml:space="preserve"> daily living that a student would require </w:t>
      </w:r>
      <w:r w:rsidR="00A645E4" w:rsidRPr="005D5653">
        <w:rPr>
          <w:sz w:val="22"/>
        </w:rPr>
        <w:t>in any setting, that is</w:t>
      </w:r>
      <w:r w:rsidR="005579D0">
        <w:rPr>
          <w:sz w:val="22"/>
        </w:rPr>
        <w:t>,</w:t>
      </w:r>
      <w:r w:rsidR="00A645E4" w:rsidRPr="005D5653">
        <w:rPr>
          <w:sz w:val="22"/>
        </w:rPr>
        <w:t xml:space="preserve"> </w:t>
      </w:r>
      <w:r w:rsidR="00AA1DEB" w:rsidRPr="005D5653">
        <w:rPr>
          <w:sz w:val="22"/>
        </w:rPr>
        <w:t xml:space="preserve">whether or not the student is at school. </w:t>
      </w:r>
      <w:r w:rsidR="00A645E4" w:rsidRPr="005D5653">
        <w:rPr>
          <w:sz w:val="22"/>
        </w:rPr>
        <w:t>The NDIS does not fund activities that are already the reasonable adjustment obligation of mainstream service systems</w:t>
      </w:r>
      <w:r w:rsidR="00AD4EA8">
        <w:rPr>
          <w:sz w:val="22"/>
        </w:rPr>
        <w:t xml:space="preserve"> and schools</w:t>
      </w:r>
      <w:r w:rsidR="00A645E4" w:rsidRPr="005D5653">
        <w:rPr>
          <w:sz w:val="22"/>
        </w:rPr>
        <w:t xml:space="preserve">. The NDIS does not change the obligations of schools under the DSE to provide reasonable adjustments to all students with disability. </w:t>
      </w:r>
    </w:p>
    <w:p w14:paraId="1858A9B7" w14:textId="1142B5B9" w:rsidR="00416959" w:rsidRPr="005D5653" w:rsidRDefault="00416959" w:rsidP="00C64336">
      <w:pPr>
        <w:spacing w:line="276" w:lineRule="auto"/>
        <w:rPr>
          <w:sz w:val="22"/>
        </w:rPr>
      </w:pPr>
      <w:r w:rsidRPr="005D5653">
        <w:rPr>
          <w:sz w:val="22"/>
        </w:rPr>
        <w:t xml:space="preserve">In its response to the 2015 review of the DSE, the Australian Government agreed further work could be done on the intersection of education providers’ responsibilities for the provision of reasonable adjustments and supports under </w:t>
      </w:r>
      <w:r w:rsidR="00652F9B" w:rsidRPr="005D5653">
        <w:rPr>
          <w:sz w:val="22"/>
        </w:rPr>
        <w:t xml:space="preserve">the </w:t>
      </w:r>
      <w:r w:rsidR="00651675" w:rsidRPr="005D5653">
        <w:rPr>
          <w:sz w:val="22"/>
        </w:rPr>
        <w:t>NDIS</w:t>
      </w:r>
      <w:r w:rsidRPr="005D5653">
        <w:rPr>
          <w:sz w:val="22"/>
        </w:rPr>
        <w:t>.</w:t>
      </w:r>
      <w:r w:rsidRPr="005D5653">
        <w:rPr>
          <w:rStyle w:val="FootnoteReference"/>
          <w:sz w:val="22"/>
        </w:rPr>
        <w:footnoteReference w:id="7"/>
      </w:r>
      <w:r w:rsidRPr="005D5653">
        <w:rPr>
          <w:sz w:val="22"/>
        </w:rPr>
        <w:t xml:space="preserve"> </w:t>
      </w:r>
    </w:p>
    <w:p w14:paraId="1C7394C5" w14:textId="1B878487" w:rsidR="00416959" w:rsidRPr="005D5653" w:rsidRDefault="00FE73DB" w:rsidP="00C64336">
      <w:pPr>
        <w:spacing w:line="276" w:lineRule="auto"/>
        <w:rPr>
          <w:sz w:val="22"/>
        </w:rPr>
      </w:pPr>
      <w:r w:rsidRPr="005D5653">
        <w:rPr>
          <w:sz w:val="22"/>
        </w:rPr>
        <w:t xml:space="preserve">National policy work regarding the delivery of personal care in schools and specialised school transport, to and from school, through the NDIS, led by </w:t>
      </w:r>
      <w:r w:rsidR="00416959" w:rsidRPr="005D5653">
        <w:rPr>
          <w:sz w:val="22"/>
        </w:rPr>
        <w:t xml:space="preserve">the Australian Government Department of Social Services </w:t>
      </w:r>
      <w:r w:rsidRPr="005D5653">
        <w:rPr>
          <w:sz w:val="22"/>
        </w:rPr>
        <w:t xml:space="preserve">is underway. Recommendations are due to be made to </w:t>
      </w:r>
      <w:r w:rsidR="00416959" w:rsidRPr="005D5653">
        <w:rPr>
          <w:sz w:val="22"/>
        </w:rPr>
        <w:t xml:space="preserve">the Disability Reform Council, and are expected to be finalised in 2023. In the meantime, </w:t>
      </w:r>
      <w:r w:rsidR="007755B2">
        <w:rPr>
          <w:sz w:val="22"/>
        </w:rPr>
        <w:t xml:space="preserve">the Disability Reform Council has agreed </w:t>
      </w:r>
      <w:r w:rsidR="007755B2" w:rsidRPr="005D5653">
        <w:rPr>
          <w:sz w:val="22"/>
        </w:rPr>
        <w:t xml:space="preserve">personal care in schools </w:t>
      </w:r>
      <w:r w:rsidR="007755B2">
        <w:rPr>
          <w:sz w:val="22"/>
        </w:rPr>
        <w:t xml:space="preserve">can be </w:t>
      </w:r>
      <w:r w:rsidR="007755B2" w:rsidRPr="005D5653">
        <w:rPr>
          <w:sz w:val="22"/>
        </w:rPr>
        <w:t>considered a</w:t>
      </w:r>
      <w:r w:rsidR="007755B2">
        <w:rPr>
          <w:sz w:val="22"/>
        </w:rPr>
        <w:t>s</w:t>
      </w:r>
      <w:r w:rsidR="007755B2" w:rsidRPr="005D5653">
        <w:rPr>
          <w:sz w:val="22"/>
        </w:rPr>
        <w:t xml:space="preserve"> in-kind contribution</w:t>
      </w:r>
      <w:r w:rsidR="007755B2">
        <w:rPr>
          <w:sz w:val="22"/>
        </w:rPr>
        <w:t>s</w:t>
      </w:r>
      <w:r w:rsidR="007755B2" w:rsidRPr="005D5653">
        <w:rPr>
          <w:sz w:val="22"/>
        </w:rPr>
        <w:t xml:space="preserve"> to the NDIS</w:t>
      </w:r>
      <w:r w:rsidR="007755B2">
        <w:rPr>
          <w:sz w:val="22"/>
        </w:rPr>
        <w:t xml:space="preserve"> by states and territories</w:t>
      </w:r>
      <w:r w:rsidR="007755B2" w:rsidRPr="005D5653">
        <w:rPr>
          <w:sz w:val="22"/>
        </w:rPr>
        <w:t>.</w:t>
      </w:r>
    </w:p>
    <w:p w14:paraId="157627D7" w14:textId="77777777" w:rsidR="00C318EB" w:rsidRPr="009D5C1E" w:rsidRDefault="00700833" w:rsidP="009D5C1E">
      <w:pPr>
        <w:pStyle w:val="Heading2"/>
        <w:keepNext/>
        <w:keepLines/>
      </w:pPr>
      <w:bookmarkStart w:id="9" w:name="_Toc13221352"/>
      <w:r w:rsidRPr="00F31851">
        <w:t>The loading for students with disability</w:t>
      </w:r>
      <w:r w:rsidR="00617818" w:rsidRPr="00F31851">
        <w:t xml:space="preserve"> provides </w:t>
      </w:r>
      <w:r w:rsidR="00FD29BC" w:rsidRPr="00F31851">
        <w:t xml:space="preserve">additional funding for </w:t>
      </w:r>
      <w:r w:rsidR="0055096E" w:rsidRPr="00F31851">
        <w:t>educational adjustments schools make</w:t>
      </w:r>
      <w:r w:rsidR="00B25656" w:rsidRPr="00F31851">
        <w:t xml:space="preserve">, </w:t>
      </w:r>
      <w:r w:rsidR="00C318EB" w:rsidRPr="009D5C1E">
        <w:t xml:space="preserve">identified through the </w:t>
      </w:r>
      <w:r w:rsidR="00617818" w:rsidRPr="009D5C1E">
        <w:t>Nationally Consistent Collection of Data on School Students with Disability</w:t>
      </w:r>
      <w:bookmarkEnd w:id="9"/>
    </w:p>
    <w:p w14:paraId="70E31647" w14:textId="7E892BE6" w:rsidR="00C318EB" w:rsidRPr="005D5653" w:rsidRDefault="00C318EB" w:rsidP="00C64336">
      <w:pPr>
        <w:spacing w:line="276" w:lineRule="auto"/>
        <w:rPr>
          <w:sz w:val="22"/>
        </w:rPr>
      </w:pPr>
      <w:r w:rsidRPr="005D5653">
        <w:rPr>
          <w:sz w:val="22"/>
        </w:rPr>
        <w:t xml:space="preserve">The Nationally Consistent Collection of Data on School Students with Disability (NCCD) </w:t>
      </w:r>
      <w:r w:rsidR="00651675" w:rsidRPr="005D5653">
        <w:rPr>
          <w:sz w:val="22"/>
        </w:rPr>
        <w:t>reports</w:t>
      </w:r>
      <w:r w:rsidRPr="005D5653">
        <w:rPr>
          <w:sz w:val="22"/>
        </w:rPr>
        <w:t xml:space="preserve"> school students with disability by the level of support they </w:t>
      </w:r>
      <w:r w:rsidR="00B30657" w:rsidRPr="005D5653">
        <w:rPr>
          <w:sz w:val="22"/>
        </w:rPr>
        <w:t xml:space="preserve">receive </w:t>
      </w:r>
      <w:r w:rsidRPr="005D5653">
        <w:rPr>
          <w:sz w:val="22"/>
        </w:rPr>
        <w:t>to access and participate in learning.</w:t>
      </w:r>
      <w:r w:rsidR="00A94235" w:rsidRPr="005D5653">
        <w:rPr>
          <w:sz w:val="22"/>
        </w:rPr>
        <w:t xml:space="preserve"> The NCCD has four levels of adjustment</w:t>
      </w:r>
      <w:r w:rsidR="002B2930" w:rsidRPr="005D5653">
        <w:rPr>
          <w:sz w:val="22"/>
        </w:rPr>
        <w:t xml:space="preserve">: </w:t>
      </w:r>
      <w:r w:rsidR="00B30657" w:rsidRPr="005D5653">
        <w:rPr>
          <w:sz w:val="22"/>
        </w:rPr>
        <w:t xml:space="preserve">support provided within </w:t>
      </w:r>
      <w:r w:rsidR="002B2930" w:rsidRPr="005D5653">
        <w:rPr>
          <w:sz w:val="22"/>
        </w:rPr>
        <w:t xml:space="preserve">quality differentiated teaching practice, supplementary, substantial and extensive. </w:t>
      </w:r>
      <w:r w:rsidR="00A94235" w:rsidRPr="005D5653">
        <w:rPr>
          <w:rStyle w:val="FootnoteReference"/>
          <w:sz w:val="22"/>
        </w:rPr>
        <w:footnoteReference w:id="8"/>
      </w:r>
      <w:r w:rsidR="008D0097" w:rsidRPr="005D5653">
        <w:rPr>
          <w:sz w:val="22"/>
        </w:rPr>
        <w:t xml:space="preserve"> Further information is available at </w:t>
      </w:r>
      <w:hyperlink r:id="rId19" w:history="1">
        <w:r w:rsidR="008D0097" w:rsidRPr="00F74D28">
          <w:rPr>
            <w:rStyle w:val="Hyperlink"/>
            <w:color w:val="auto"/>
            <w:sz w:val="22"/>
          </w:rPr>
          <w:t>www.nccd.edu.au</w:t>
        </w:r>
      </w:hyperlink>
      <w:r w:rsidR="008D0097" w:rsidRPr="00F74D28">
        <w:rPr>
          <w:sz w:val="22"/>
        </w:rPr>
        <w:t>.</w:t>
      </w:r>
    </w:p>
    <w:p w14:paraId="52DAA451" w14:textId="25BEB550" w:rsidR="00A94235" w:rsidRPr="005D5653" w:rsidRDefault="0040084B" w:rsidP="00C64336">
      <w:pPr>
        <w:spacing w:line="276" w:lineRule="auto"/>
        <w:rPr>
          <w:sz w:val="22"/>
        </w:rPr>
      </w:pPr>
      <w:r w:rsidRPr="005D5653">
        <w:rPr>
          <w:sz w:val="22"/>
        </w:rPr>
        <w:lastRenderedPageBreak/>
        <w:t>Students</w:t>
      </w:r>
      <w:r w:rsidR="00A94235" w:rsidRPr="005D5653">
        <w:rPr>
          <w:sz w:val="22"/>
        </w:rPr>
        <w:t xml:space="preserve"> </w:t>
      </w:r>
      <w:r w:rsidRPr="005D5653">
        <w:rPr>
          <w:sz w:val="22"/>
        </w:rPr>
        <w:t xml:space="preserve">with disability </w:t>
      </w:r>
      <w:r w:rsidR="00B30657" w:rsidRPr="005D5653">
        <w:rPr>
          <w:sz w:val="22"/>
        </w:rPr>
        <w:t xml:space="preserve">included in the NCCD at the </w:t>
      </w:r>
      <w:r w:rsidR="00A94235" w:rsidRPr="005D5653">
        <w:rPr>
          <w:sz w:val="22"/>
        </w:rPr>
        <w:t xml:space="preserve">quality differentiated teaching practice </w:t>
      </w:r>
      <w:r w:rsidR="00B30657" w:rsidRPr="005D5653">
        <w:rPr>
          <w:sz w:val="22"/>
        </w:rPr>
        <w:t xml:space="preserve">level of adjustment </w:t>
      </w:r>
      <w:r w:rsidR="00A94235" w:rsidRPr="005D5653">
        <w:rPr>
          <w:sz w:val="22"/>
        </w:rPr>
        <w:t xml:space="preserve">are supported through active monitoring and adjustments that are not greater than those used to meet the needs of diverse learners. These adjustments are provided through usual school processes, without </w:t>
      </w:r>
      <w:r w:rsidR="00507778" w:rsidRPr="005D5653">
        <w:rPr>
          <w:sz w:val="22"/>
        </w:rPr>
        <w:t>drawing on additional resources</w:t>
      </w:r>
      <w:r w:rsidR="00A94235" w:rsidRPr="005D5653">
        <w:rPr>
          <w:sz w:val="22"/>
        </w:rPr>
        <w:t>.</w:t>
      </w:r>
      <w:r w:rsidR="00B94F7D" w:rsidRPr="005D5653">
        <w:rPr>
          <w:sz w:val="22"/>
        </w:rPr>
        <w:t xml:space="preserve"> </w:t>
      </w:r>
    </w:p>
    <w:p w14:paraId="28DEA173" w14:textId="1029BDEF" w:rsidR="00A94235" w:rsidRPr="005D5653" w:rsidRDefault="00A94235" w:rsidP="00C64336">
      <w:pPr>
        <w:spacing w:line="276" w:lineRule="auto"/>
        <w:rPr>
          <w:sz w:val="22"/>
        </w:rPr>
      </w:pPr>
      <w:r w:rsidRPr="005D5653">
        <w:rPr>
          <w:sz w:val="22"/>
        </w:rPr>
        <w:t>Supplementary adjustments</w:t>
      </w:r>
      <w:r w:rsidR="000C3EBF" w:rsidRPr="005D5653">
        <w:rPr>
          <w:sz w:val="22"/>
        </w:rPr>
        <w:t xml:space="preserve"> </w:t>
      </w:r>
      <w:r w:rsidRPr="005D5653">
        <w:rPr>
          <w:sz w:val="22"/>
        </w:rPr>
        <w:t>are supplementary to the strategies and resources already available for all students within the school. Substantial adjustments</w:t>
      </w:r>
      <w:r w:rsidR="000C3EBF" w:rsidRPr="005D5653">
        <w:rPr>
          <w:sz w:val="22"/>
        </w:rPr>
        <w:t xml:space="preserve"> involve a higher level of support and </w:t>
      </w:r>
      <w:r w:rsidRPr="005D5653">
        <w:rPr>
          <w:sz w:val="22"/>
        </w:rPr>
        <w:t>considerable adult assistance. Extensive adjustment</w:t>
      </w:r>
      <w:r w:rsidR="000C3EBF" w:rsidRPr="005D5653">
        <w:rPr>
          <w:sz w:val="22"/>
        </w:rPr>
        <w:t xml:space="preserve">s are </w:t>
      </w:r>
      <w:r w:rsidR="00601ECD" w:rsidRPr="005D5653">
        <w:rPr>
          <w:sz w:val="22"/>
        </w:rPr>
        <w:t xml:space="preserve">highly individualised, comprehensive and ongoing and </w:t>
      </w:r>
      <w:r w:rsidR="000C3EBF" w:rsidRPr="005D5653">
        <w:rPr>
          <w:sz w:val="22"/>
        </w:rPr>
        <w:t>provided to students with disability that have</w:t>
      </w:r>
      <w:r w:rsidRPr="005D5653">
        <w:rPr>
          <w:sz w:val="22"/>
        </w:rPr>
        <w:t xml:space="preserve"> very high support needs</w:t>
      </w:r>
      <w:r w:rsidR="00C233EE" w:rsidRPr="005D5653">
        <w:rPr>
          <w:sz w:val="22"/>
        </w:rPr>
        <w:t xml:space="preserve"> at all times</w:t>
      </w:r>
      <w:r w:rsidRPr="005D5653">
        <w:rPr>
          <w:sz w:val="22"/>
        </w:rPr>
        <w:t>.</w:t>
      </w:r>
    </w:p>
    <w:p w14:paraId="7FE49370" w14:textId="63459B51" w:rsidR="00C318EB" w:rsidRPr="005D5653" w:rsidRDefault="00C318EB" w:rsidP="00C64336">
      <w:pPr>
        <w:spacing w:line="276" w:lineRule="auto"/>
        <w:rPr>
          <w:sz w:val="22"/>
        </w:rPr>
      </w:pPr>
      <w:r w:rsidRPr="005D5653">
        <w:rPr>
          <w:sz w:val="22"/>
        </w:rPr>
        <w:t>Using NCCD data recognises the professional knowledge, practice and judgements of teachers and school staff who know the educational needs of their students. Through the collection, teachers make evidence-based decisions about students who are receiving support to access education because of disability and the level of support being provided for each student with disability.</w:t>
      </w:r>
    </w:p>
    <w:p w14:paraId="7EF927A5" w14:textId="77777777" w:rsidR="00FD29BC" w:rsidRPr="00F31851" w:rsidRDefault="00A94235" w:rsidP="00AA1DEB">
      <w:pPr>
        <w:pStyle w:val="Heading2"/>
        <w:keepNext/>
        <w:keepLines/>
        <w:rPr>
          <w:rFonts w:cstheme="minorHAnsi"/>
          <w:szCs w:val="24"/>
        </w:rPr>
      </w:pPr>
      <w:bookmarkStart w:id="10" w:name="_Toc13221353"/>
      <w:r w:rsidRPr="00F31851">
        <w:rPr>
          <w:rFonts w:cstheme="minorHAnsi"/>
          <w:szCs w:val="24"/>
        </w:rPr>
        <w:t>The levels of funding for the student with disability loading increase with the level of adjustment provided</w:t>
      </w:r>
      <w:bookmarkEnd w:id="10"/>
    </w:p>
    <w:p w14:paraId="3772DDCD" w14:textId="18641138" w:rsidR="00601ECD" w:rsidRPr="005D5653" w:rsidRDefault="00601ECD" w:rsidP="00C64336">
      <w:pPr>
        <w:keepNext/>
        <w:keepLines/>
        <w:spacing w:line="276" w:lineRule="auto"/>
        <w:rPr>
          <w:sz w:val="22"/>
        </w:rPr>
      </w:pPr>
      <w:r w:rsidRPr="005D5653">
        <w:rPr>
          <w:sz w:val="22"/>
        </w:rPr>
        <w:t xml:space="preserve">From 2018, </w:t>
      </w:r>
      <w:r w:rsidR="00A22794" w:rsidRPr="005D5653">
        <w:rPr>
          <w:sz w:val="22"/>
        </w:rPr>
        <w:t xml:space="preserve">Australian Government </w:t>
      </w:r>
      <w:r w:rsidRPr="005D5653">
        <w:rPr>
          <w:sz w:val="22"/>
        </w:rPr>
        <w:t xml:space="preserve">funding is </w:t>
      </w:r>
      <w:r w:rsidR="00B30657" w:rsidRPr="005D5653">
        <w:rPr>
          <w:sz w:val="22"/>
        </w:rPr>
        <w:t>calculated using</w:t>
      </w:r>
      <w:r w:rsidRPr="005D5653">
        <w:rPr>
          <w:sz w:val="22"/>
        </w:rPr>
        <w:t xml:space="preserve"> the NCCD and based on a per student amount at each of the </w:t>
      </w:r>
      <w:r w:rsidR="0015554E" w:rsidRPr="005D5653">
        <w:rPr>
          <w:sz w:val="22"/>
        </w:rPr>
        <w:t xml:space="preserve">top </w:t>
      </w:r>
      <w:r w:rsidRPr="005D5653">
        <w:rPr>
          <w:sz w:val="22"/>
        </w:rPr>
        <w:t>three levels of additional support needed by a student with disability</w:t>
      </w:r>
      <w:r w:rsidR="00C500C2">
        <w:rPr>
          <w:sz w:val="22"/>
        </w:rPr>
        <w:t>—</w:t>
      </w:r>
      <w:r w:rsidRPr="005D5653">
        <w:rPr>
          <w:sz w:val="22"/>
        </w:rPr>
        <w:t>supplementary, substantial and extensive.</w:t>
      </w:r>
      <w:r w:rsidRPr="005D5653">
        <w:rPr>
          <w:rStyle w:val="FootnoteReference"/>
          <w:sz w:val="22"/>
        </w:rPr>
        <w:footnoteReference w:id="9"/>
      </w:r>
    </w:p>
    <w:p w14:paraId="39FDCE09" w14:textId="010E68E2" w:rsidR="00F74D28" w:rsidRDefault="00890FB5" w:rsidP="00C64336">
      <w:pPr>
        <w:spacing w:line="276" w:lineRule="auto"/>
        <w:rPr>
          <w:sz w:val="22"/>
        </w:rPr>
      </w:pPr>
      <w:r w:rsidRPr="005D5653">
        <w:rPr>
          <w:sz w:val="22"/>
        </w:rPr>
        <w:t>R</w:t>
      </w:r>
      <w:r w:rsidR="0015554E" w:rsidRPr="005D5653">
        <w:rPr>
          <w:sz w:val="22"/>
        </w:rPr>
        <w:t>easonable adjustments</w:t>
      </w:r>
      <w:r w:rsidR="00C500C2">
        <w:rPr>
          <w:sz w:val="22"/>
        </w:rPr>
        <w:t xml:space="preserve"> made </w:t>
      </w:r>
      <w:r w:rsidRPr="005D5653">
        <w:rPr>
          <w:sz w:val="22"/>
        </w:rPr>
        <w:t>for students assessed</w:t>
      </w:r>
      <w:r w:rsidR="0015554E" w:rsidRPr="005D5653">
        <w:rPr>
          <w:sz w:val="22"/>
        </w:rPr>
        <w:t xml:space="preserve"> </w:t>
      </w:r>
      <w:r w:rsidRPr="005D5653">
        <w:rPr>
          <w:sz w:val="22"/>
        </w:rPr>
        <w:t xml:space="preserve">at </w:t>
      </w:r>
      <w:r w:rsidR="0015554E" w:rsidRPr="005D5653">
        <w:rPr>
          <w:sz w:val="22"/>
        </w:rPr>
        <w:t xml:space="preserve">the first level (quality differentiated teaching practice) are expected to be </w:t>
      </w:r>
      <w:r w:rsidR="00C233EE" w:rsidRPr="005D5653">
        <w:rPr>
          <w:sz w:val="22"/>
        </w:rPr>
        <w:t xml:space="preserve">covered </w:t>
      </w:r>
      <w:r w:rsidR="00A65684" w:rsidRPr="005D5653">
        <w:rPr>
          <w:sz w:val="22"/>
        </w:rPr>
        <w:t>by what a teacher would normally do in a classroom</w:t>
      </w:r>
      <w:r w:rsidR="009A16DA" w:rsidRPr="005D5653">
        <w:rPr>
          <w:sz w:val="22"/>
        </w:rPr>
        <w:t xml:space="preserve"> to meet the specific learning needs of </w:t>
      </w:r>
      <w:r w:rsidRPr="005D5653">
        <w:rPr>
          <w:sz w:val="22"/>
        </w:rPr>
        <w:t xml:space="preserve">their </w:t>
      </w:r>
      <w:r w:rsidR="009A16DA" w:rsidRPr="005D5653">
        <w:rPr>
          <w:sz w:val="22"/>
        </w:rPr>
        <w:t>students across the full range of abilities</w:t>
      </w:r>
      <w:r w:rsidR="00A65684" w:rsidRPr="005D5653">
        <w:rPr>
          <w:sz w:val="22"/>
        </w:rPr>
        <w:t xml:space="preserve">, as described in </w:t>
      </w:r>
      <w:r w:rsidR="0015554E" w:rsidRPr="005D5653">
        <w:rPr>
          <w:sz w:val="22"/>
        </w:rPr>
        <w:t>the Australian Professional Standards for Teachers</w:t>
      </w:r>
      <w:r w:rsidR="009A16DA" w:rsidRPr="005D5653">
        <w:rPr>
          <w:sz w:val="22"/>
        </w:rPr>
        <w:t xml:space="preserve"> (Proficient)</w:t>
      </w:r>
      <w:r w:rsidR="0015554E" w:rsidRPr="005D5653">
        <w:rPr>
          <w:sz w:val="22"/>
        </w:rPr>
        <w:t xml:space="preserve">. </w:t>
      </w:r>
    </w:p>
    <w:p w14:paraId="4CB3DADD" w14:textId="1D7A7F38" w:rsidR="00C15DBA" w:rsidRPr="005D5653" w:rsidRDefault="0015554E" w:rsidP="00C64336">
      <w:pPr>
        <w:spacing w:line="276" w:lineRule="auto"/>
        <w:rPr>
          <w:rFonts w:cstheme="minorHAnsi"/>
          <w:sz w:val="22"/>
          <w:szCs w:val="24"/>
        </w:rPr>
      </w:pPr>
      <w:r w:rsidRPr="0075056C">
        <w:rPr>
          <w:sz w:val="22"/>
        </w:rPr>
        <w:t xml:space="preserve">Students receiving a reasonable adjustment in one of the top three levels of adjustment (supplementary, substantial, and extensive) attract increasing levels of funding to reflect the increasing average costs of adjustments for those levels. </w:t>
      </w:r>
      <w:r w:rsidRPr="0075056C">
        <w:rPr>
          <w:b/>
          <w:sz w:val="22"/>
        </w:rPr>
        <w:t>Exhibit 1</w:t>
      </w:r>
      <w:r w:rsidRPr="0075056C">
        <w:rPr>
          <w:sz w:val="22"/>
        </w:rPr>
        <w:t xml:space="preserve"> provides the dollar amounts for the loadings.</w:t>
      </w:r>
      <w:r w:rsidR="00C15DBA" w:rsidRPr="0075056C">
        <w:rPr>
          <w:sz w:val="22"/>
        </w:rPr>
        <w:t xml:space="preserve"> </w:t>
      </w:r>
      <w:r w:rsidR="00C15DBA" w:rsidRPr="0075056C">
        <w:rPr>
          <w:rFonts w:cstheme="minorHAnsi"/>
          <w:sz w:val="22"/>
          <w:szCs w:val="24"/>
        </w:rPr>
        <w:t>The loading for students with disability provides the same level of funding for students in a mainstream setting as students in a special school setting.</w:t>
      </w:r>
    </w:p>
    <w:p w14:paraId="1F3BC56E" w14:textId="77777777" w:rsidR="001E0564" w:rsidRPr="005D5653" w:rsidRDefault="001E0564" w:rsidP="00C64336">
      <w:pPr>
        <w:spacing w:line="276" w:lineRule="auto"/>
        <w:rPr>
          <w:sz w:val="22"/>
        </w:rPr>
      </w:pPr>
      <w:r w:rsidRPr="005D5653">
        <w:rPr>
          <w:sz w:val="22"/>
        </w:rPr>
        <w:t xml:space="preserve">As the NCCD is a count of students receiving adjustments, the funding for students is based on the reasonable adjustments schools are providing to enable students with disability to access and participate in education, rather than on category or medical diagnosis of a specific disability. </w:t>
      </w:r>
    </w:p>
    <w:p w14:paraId="2AE01E83" w14:textId="462A202D" w:rsidR="00FD29BC" w:rsidRDefault="002C5222" w:rsidP="00C64336">
      <w:pPr>
        <w:spacing w:line="276" w:lineRule="auto"/>
        <w:rPr>
          <w:sz w:val="22"/>
        </w:rPr>
      </w:pPr>
      <w:r w:rsidRPr="005D5653">
        <w:rPr>
          <w:sz w:val="22"/>
        </w:rPr>
        <w:t xml:space="preserve">The </w:t>
      </w:r>
      <w:r w:rsidR="0015554E" w:rsidRPr="005D5653">
        <w:rPr>
          <w:sz w:val="22"/>
        </w:rPr>
        <w:t>levels of funding</w:t>
      </w:r>
      <w:r w:rsidRPr="005D5653">
        <w:rPr>
          <w:sz w:val="22"/>
        </w:rPr>
        <w:t xml:space="preserve"> for the loading were informed by </w:t>
      </w:r>
      <w:r w:rsidR="0015554E" w:rsidRPr="005D5653">
        <w:rPr>
          <w:sz w:val="22"/>
        </w:rPr>
        <w:t>research into school spending on students with disability at each level of adjustment.</w:t>
      </w:r>
    </w:p>
    <w:p w14:paraId="72FF5357" w14:textId="77777777" w:rsidR="0015554E" w:rsidRPr="00F31851" w:rsidRDefault="0015554E" w:rsidP="0015554E">
      <w:pPr>
        <w:pStyle w:val="Exhibittitle"/>
        <w:keepNext/>
        <w:keepLines/>
      </w:pPr>
      <w:r w:rsidRPr="00F31851">
        <w:lastRenderedPageBreak/>
        <w:t>Exhibit 1: The student with disability loading amounts increase according to the level of adjustment</w:t>
      </w:r>
    </w:p>
    <w:p w14:paraId="482D22F2" w14:textId="77777777" w:rsidR="0015554E" w:rsidRPr="00F31851" w:rsidRDefault="005A1389" w:rsidP="0015554E">
      <w:pPr>
        <w:keepNext/>
        <w:keepLines/>
      </w:pPr>
      <w:r w:rsidRPr="00F31851">
        <w:rPr>
          <w:noProof/>
          <w:lang w:eastAsia="en-AU"/>
        </w:rPr>
        <w:drawing>
          <wp:inline distT="0" distB="0" distL="0" distR="0" wp14:anchorId="73473DD4" wp14:editId="0E09AD72">
            <wp:extent cx="5709037" cy="3718742"/>
            <wp:effectExtent l="0" t="0" r="6350" b="0"/>
            <wp:docPr id="1" name="Picture 1" descr="The graph shows the primary and secondary student loadings of the four levels of adjustment. " title="Exhibit 1: The student with disability loading amounts increase according to the level of adjus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720518" cy="3726220"/>
                    </a:xfrm>
                    <a:prstGeom prst="rect">
                      <a:avLst/>
                    </a:prstGeom>
                  </pic:spPr>
                </pic:pic>
              </a:graphicData>
            </a:graphic>
          </wp:inline>
        </w:drawing>
      </w:r>
    </w:p>
    <w:p w14:paraId="06A27EF3" w14:textId="253892D2" w:rsidR="0015554E" w:rsidRPr="00F31851" w:rsidRDefault="0015554E" w:rsidP="0015554E">
      <w:pPr>
        <w:pStyle w:val="Exhibitsource"/>
      </w:pPr>
      <w:r w:rsidRPr="00F31851">
        <w:t xml:space="preserve">Source: </w:t>
      </w:r>
      <w:r w:rsidRPr="00F31851">
        <w:rPr>
          <w:i w:val="0"/>
        </w:rPr>
        <w:t>Department of Education website</w:t>
      </w:r>
    </w:p>
    <w:p w14:paraId="30F918C5" w14:textId="77777777" w:rsidR="0075056C" w:rsidRPr="00F31851" w:rsidRDefault="0075056C" w:rsidP="009D5C1E">
      <w:pPr>
        <w:pStyle w:val="Heading2"/>
        <w:keepNext/>
        <w:keepLines/>
        <w:spacing w:before="360"/>
        <w:rPr>
          <w:rFonts w:cstheme="minorHAnsi"/>
          <w:szCs w:val="24"/>
        </w:rPr>
      </w:pPr>
      <w:bookmarkStart w:id="11" w:name="_Toc13221354"/>
      <w:r>
        <w:rPr>
          <w:rFonts w:cstheme="minorHAnsi"/>
          <w:szCs w:val="24"/>
        </w:rPr>
        <w:t>As the basis for calculating a school’s Commonwealth funding entitlement, the NCCD is subject to quality assurance activities</w:t>
      </w:r>
      <w:bookmarkEnd w:id="11"/>
    </w:p>
    <w:p w14:paraId="5F37F9BB" w14:textId="77777777" w:rsidR="0075056C" w:rsidRPr="005D5653" w:rsidRDefault="0075056C" w:rsidP="0075056C">
      <w:pPr>
        <w:spacing w:line="276" w:lineRule="auto"/>
        <w:rPr>
          <w:sz w:val="22"/>
        </w:rPr>
      </w:pPr>
      <w:r w:rsidRPr="005D5653">
        <w:rPr>
          <w:rFonts w:cstheme="minorHAnsi"/>
          <w:sz w:val="22"/>
          <w:szCs w:val="24"/>
        </w:rPr>
        <w:t xml:space="preserve">The Australian Government </w:t>
      </w:r>
      <w:r w:rsidRPr="005D5653">
        <w:rPr>
          <w:sz w:val="22"/>
        </w:rPr>
        <w:t>Department of Education</w:t>
      </w:r>
      <w:r w:rsidRPr="005D5653">
        <w:rPr>
          <w:rFonts w:cstheme="minorHAnsi"/>
          <w:sz w:val="22"/>
          <w:szCs w:val="24"/>
        </w:rPr>
        <w:t xml:space="preserve"> undertakes a range of assurance activities to </w:t>
      </w:r>
      <w:r w:rsidRPr="005D5653">
        <w:rPr>
          <w:sz w:val="22"/>
        </w:rPr>
        <w:t xml:space="preserve">ensure that </w:t>
      </w:r>
      <w:r w:rsidRPr="005D5653">
        <w:rPr>
          <w:rFonts w:cstheme="minorHAnsi"/>
          <w:sz w:val="22"/>
          <w:szCs w:val="24"/>
        </w:rPr>
        <w:t xml:space="preserve">the information provided </w:t>
      </w:r>
      <w:r w:rsidRPr="005D5653">
        <w:rPr>
          <w:sz w:val="22"/>
        </w:rPr>
        <w:t xml:space="preserve">by schools and approved authorities </w:t>
      </w:r>
      <w:r w:rsidRPr="005D5653">
        <w:rPr>
          <w:rFonts w:cstheme="minorHAnsi"/>
          <w:sz w:val="22"/>
          <w:szCs w:val="24"/>
        </w:rPr>
        <w:t>to calculate a school’s Australian Government funding entitlement relating to students with disability</w:t>
      </w:r>
      <w:r w:rsidRPr="005D5653">
        <w:rPr>
          <w:sz w:val="22"/>
        </w:rPr>
        <w:t xml:space="preserve"> is complete and accurate. </w:t>
      </w:r>
    </w:p>
    <w:p w14:paraId="017475AC" w14:textId="77777777" w:rsidR="0075056C" w:rsidRDefault="0075056C" w:rsidP="0075056C">
      <w:pPr>
        <w:spacing w:line="276" w:lineRule="auto"/>
        <w:rPr>
          <w:sz w:val="22"/>
        </w:rPr>
      </w:pPr>
      <w:r>
        <w:rPr>
          <w:rFonts w:cstheme="minorHAnsi"/>
          <w:sz w:val="22"/>
          <w:szCs w:val="24"/>
        </w:rPr>
        <w:t>In providing the data, e</w:t>
      </w:r>
      <w:r w:rsidRPr="005D5653">
        <w:rPr>
          <w:rFonts w:cstheme="minorHAnsi"/>
          <w:sz w:val="22"/>
          <w:szCs w:val="24"/>
        </w:rPr>
        <w:t>ducation authorities, systems and schools are responsible for quality assurance and undertake activities that support the accuracy of the collection</w:t>
      </w:r>
      <w:r>
        <w:rPr>
          <w:rFonts w:cstheme="minorHAnsi"/>
          <w:sz w:val="22"/>
          <w:szCs w:val="24"/>
        </w:rPr>
        <w:t xml:space="preserve">, including a range of </w:t>
      </w:r>
      <w:r w:rsidRPr="005D5653">
        <w:rPr>
          <w:rFonts w:cstheme="minorHAnsi"/>
          <w:sz w:val="22"/>
          <w:szCs w:val="24"/>
        </w:rPr>
        <w:t>moderation processes</w:t>
      </w:r>
      <w:r>
        <w:rPr>
          <w:rFonts w:cstheme="minorHAnsi"/>
          <w:sz w:val="22"/>
          <w:szCs w:val="24"/>
        </w:rPr>
        <w:t xml:space="preserve"> and </w:t>
      </w:r>
      <w:r w:rsidRPr="005D5653">
        <w:rPr>
          <w:rFonts w:cstheme="minorHAnsi"/>
          <w:sz w:val="22"/>
          <w:szCs w:val="24"/>
        </w:rPr>
        <w:t>validation checks.</w:t>
      </w:r>
      <w:r>
        <w:rPr>
          <w:rFonts w:cstheme="minorHAnsi"/>
          <w:sz w:val="22"/>
          <w:szCs w:val="24"/>
        </w:rPr>
        <w:t xml:space="preserve"> This data is collated and assured at a national level by the </w:t>
      </w:r>
      <w:r w:rsidRPr="005D5653">
        <w:rPr>
          <w:rFonts w:cstheme="minorHAnsi"/>
          <w:sz w:val="22"/>
          <w:szCs w:val="24"/>
        </w:rPr>
        <w:t xml:space="preserve">Australian Government </w:t>
      </w:r>
      <w:r w:rsidRPr="005D5653">
        <w:rPr>
          <w:sz w:val="22"/>
        </w:rPr>
        <w:t>Department of Education</w:t>
      </w:r>
      <w:r>
        <w:rPr>
          <w:sz w:val="22"/>
        </w:rPr>
        <w:t xml:space="preserve">. </w:t>
      </w:r>
      <w:r w:rsidRPr="005D5653">
        <w:rPr>
          <w:sz w:val="22"/>
        </w:rPr>
        <w:t xml:space="preserve">For further detail on Australian Government quality assurance activity, refer to </w:t>
      </w:r>
      <w:r w:rsidRPr="00801889">
        <w:rPr>
          <w:b/>
          <w:sz w:val="22"/>
        </w:rPr>
        <w:t>Appendix A</w:t>
      </w:r>
      <w:r w:rsidRPr="005D5653">
        <w:rPr>
          <w:sz w:val="22"/>
        </w:rPr>
        <w:t>.</w:t>
      </w:r>
    </w:p>
    <w:p w14:paraId="61996DD5" w14:textId="41520687" w:rsidR="00D36074" w:rsidRPr="00F31851" w:rsidRDefault="00D36074" w:rsidP="00731110">
      <w:pPr>
        <w:pStyle w:val="Heading1"/>
        <w:rPr>
          <w:rFonts w:asciiTheme="minorHAnsi" w:hAnsiTheme="minorHAnsi" w:cstheme="minorHAnsi"/>
          <w:sz w:val="36"/>
          <w:szCs w:val="36"/>
        </w:rPr>
      </w:pPr>
      <w:bookmarkStart w:id="12" w:name="_Toc13221355"/>
      <w:r w:rsidRPr="00F31851">
        <w:rPr>
          <w:rFonts w:asciiTheme="minorHAnsi" w:hAnsiTheme="minorHAnsi" w:cstheme="minorHAnsi"/>
          <w:sz w:val="36"/>
          <w:szCs w:val="36"/>
        </w:rPr>
        <w:t>Review purpose</w:t>
      </w:r>
      <w:bookmarkEnd w:id="12"/>
    </w:p>
    <w:p w14:paraId="56177DB0" w14:textId="77777777" w:rsidR="00B0182C" w:rsidRPr="00F31851" w:rsidRDefault="00B0182C" w:rsidP="00C361AC">
      <w:pPr>
        <w:pStyle w:val="Heading2"/>
        <w:rPr>
          <w:rFonts w:cstheme="minorHAnsi"/>
          <w:szCs w:val="24"/>
        </w:rPr>
      </w:pPr>
      <w:bookmarkStart w:id="13" w:name="_Toc13221356"/>
      <w:r w:rsidRPr="00F31851">
        <w:rPr>
          <w:rFonts w:cstheme="minorHAnsi"/>
          <w:szCs w:val="24"/>
        </w:rPr>
        <w:t>The National Sch</w:t>
      </w:r>
      <w:r w:rsidR="009D0F17" w:rsidRPr="00F31851">
        <w:rPr>
          <w:rFonts w:cstheme="minorHAnsi"/>
          <w:szCs w:val="24"/>
        </w:rPr>
        <w:t>ool Resourcing Board</w:t>
      </w:r>
      <w:r w:rsidRPr="00F31851">
        <w:rPr>
          <w:rFonts w:cstheme="minorHAnsi"/>
          <w:szCs w:val="24"/>
        </w:rPr>
        <w:t xml:space="preserve"> provide</w:t>
      </w:r>
      <w:r w:rsidR="009D0F17" w:rsidRPr="00F31851">
        <w:rPr>
          <w:rFonts w:cstheme="minorHAnsi"/>
          <w:szCs w:val="24"/>
        </w:rPr>
        <w:t>s</w:t>
      </w:r>
      <w:r w:rsidRPr="00F31851">
        <w:rPr>
          <w:rFonts w:cstheme="minorHAnsi"/>
          <w:szCs w:val="24"/>
        </w:rPr>
        <w:t xml:space="preserve"> greater independent oversight over </w:t>
      </w:r>
      <w:r w:rsidR="009D0F17" w:rsidRPr="00F31851">
        <w:rPr>
          <w:rFonts w:cstheme="minorHAnsi"/>
          <w:szCs w:val="24"/>
        </w:rPr>
        <w:t>Australian Government</w:t>
      </w:r>
      <w:r w:rsidRPr="00F31851">
        <w:rPr>
          <w:rFonts w:cstheme="minorHAnsi"/>
          <w:szCs w:val="24"/>
        </w:rPr>
        <w:t xml:space="preserve"> school funding</w:t>
      </w:r>
      <w:bookmarkEnd w:id="13"/>
    </w:p>
    <w:p w14:paraId="5E3DA5B2" w14:textId="77777777" w:rsidR="008A26D0" w:rsidRPr="005D5653" w:rsidRDefault="00B0182C" w:rsidP="00C64336">
      <w:pPr>
        <w:pStyle w:val="Default"/>
        <w:spacing w:before="200" w:after="200" w:line="276" w:lineRule="auto"/>
        <w:rPr>
          <w:rFonts w:asciiTheme="minorHAnsi" w:hAnsiTheme="minorHAnsi" w:cstheme="minorHAnsi"/>
          <w:sz w:val="22"/>
        </w:rPr>
      </w:pPr>
      <w:r w:rsidRPr="005D5653">
        <w:rPr>
          <w:rFonts w:asciiTheme="minorHAnsi" w:hAnsiTheme="minorHAnsi" w:cstheme="minorHAnsi"/>
          <w:sz w:val="22"/>
        </w:rPr>
        <w:t xml:space="preserve">The </w:t>
      </w:r>
      <w:r w:rsidR="009B0327" w:rsidRPr="005D5653">
        <w:rPr>
          <w:sz w:val="22"/>
        </w:rPr>
        <w:t>National School Resourcing Board</w:t>
      </w:r>
      <w:r w:rsidR="009B0327" w:rsidRPr="005D5653">
        <w:rPr>
          <w:rFonts w:asciiTheme="minorHAnsi" w:hAnsiTheme="minorHAnsi" w:cstheme="minorHAnsi"/>
          <w:sz w:val="22"/>
        </w:rPr>
        <w:t xml:space="preserve"> (the </w:t>
      </w:r>
      <w:r w:rsidRPr="005D5653">
        <w:rPr>
          <w:rFonts w:asciiTheme="minorHAnsi" w:hAnsiTheme="minorHAnsi" w:cstheme="minorHAnsi"/>
          <w:sz w:val="22"/>
        </w:rPr>
        <w:t>Board</w:t>
      </w:r>
      <w:r w:rsidR="009B0327" w:rsidRPr="005D5653">
        <w:rPr>
          <w:rFonts w:asciiTheme="minorHAnsi" w:hAnsiTheme="minorHAnsi" w:cstheme="minorHAnsi"/>
          <w:sz w:val="22"/>
        </w:rPr>
        <w:t>)</w:t>
      </w:r>
      <w:r w:rsidRPr="005D5653">
        <w:rPr>
          <w:rFonts w:asciiTheme="minorHAnsi" w:hAnsiTheme="minorHAnsi" w:cstheme="minorHAnsi"/>
          <w:sz w:val="22"/>
        </w:rPr>
        <w:t xml:space="preserve"> is responsible for undertaking reviews of different parts of the funding model under the </w:t>
      </w:r>
      <w:r w:rsidRPr="005D5653">
        <w:rPr>
          <w:rFonts w:asciiTheme="minorHAnsi" w:hAnsiTheme="minorHAnsi" w:cstheme="minorHAnsi"/>
          <w:i/>
          <w:sz w:val="22"/>
        </w:rPr>
        <w:t>Australian Education Act 2013</w:t>
      </w:r>
      <w:r w:rsidRPr="005D5653">
        <w:rPr>
          <w:rFonts w:asciiTheme="minorHAnsi" w:hAnsiTheme="minorHAnsi" w:cstheme="minorHAnsi"/>
          <w:sz w:val="22"/>
        </w:rPr>
        <w:t xml:space="preserve"> (the Act). These reviews help ensure public confidence in the funding model.</w:t>
      </w:r>
    </w:p>
    <w:p w14:paraId="7137B853" w14:textId="4E16BBB7" w:rsidR="009B5476" w:rsidRPr="0075056C" w:rsidRDefault="00B0182C" w:rsidP="0075056C">
      <w:pPr>
        <w:pStyle w:val="Default"/>
        <w:spacing w:before="200" w:after="120" w:line="276" w:lineRule="auto"/>
        <w:rPr>
          <w:rFonts w:asciiTheme="minorHAnsi" w:hAnsiTheme="minorHAnsi" w:cstheme="minorHAnsi"/>
          <w:sz w:val="22"/>
        </w:rPr>
      </w:pPr>
      <w:r w:rsidRPr="0075056C">
        <w:rPr>
          <w:rFonts w:asciiTheme="minorHAnsi" w:hAnsiTheme="minorHAnsi" w:cstheme="minorHAnsi"/>
          <w:sz w:val="22"/>
        </w:rPr>
        <w:t>The Board is comprised of members with expertise in ed</w:t>
      </w:r>
      <w:r w:rsidR="00C64336" w:rsidRPr="0075056C">
        <w:rPr>
          <w:rFonts w:asciiTheme="minorHAnsi" w:hAnsiTheme="minorHAnsi" w:cstheme="minorHAnsi"/>
          <w:sz w:val="22"/>
        </w:rPr>
        <w:t>ucation, finance and demography</w:t>
      </w:r>
      <w:r w:rsidR="0075056C" w:rsidRPr="0075056C">
        <w:rPr>
          <w:rFonts w:asciiTheme="minorHAnsi" w:hAnsiTheme="minorHAnsi" w:cstheme="minorHAnsi"/>
          <w:sz w:val="22"/>
        </w:rPr>
        <w:t>.</w:t>
      </w:r>
      <w:r w:rsidR="0075056C">
        <w:rPr>
          <w:rFonts w:asciiTheme="minorHAnsi" w:hAnsiTheme="minorHAnsi" w:cstheme="minorHAnsi"/>
          <w:sz w:val="22"/>
        </w:rPr>
        <w:t xml:space="preserve"> </w:t>
      </w:r>
      <w:r w:rsidRPr="0075056C">
        <w:rPr>
          <w:rFonts w:asciiTheme="minorHAnsi" w:hAnsiTheme="minorHAnsi" w:cstheme="minorHAnsi"/>
          <w:sz w:val="22"/>
        </w:rPr>
        <w:t>Over time, the reviews undertaken by the Board will help to ensure the funding model is using the best available data and methodologies, as well as making sure funding is used in line with the Act.</w:t>
      </w:r>
      <w:r w:rsidR="00767649" w:rsidRPr="0075056C">
        <w:rPr>
          <w:rFonts w:asciiTheme="minorHAnsi" w:hAnsiTheme="minorHAnsi" w:cstheme="minorHAnsi"/>
          <w:sz w:val="22"/>
        </w:rPr>
        <w:t xml:space="preserve"> </w:t>
      </w:r>
    </w:p>
    <w:p w14:paraId="779967DA" w14:textId="238F0E84" w:rsidR="009D0F17" w:rsidRPr="00F31851" w:rsidRDefault="009D0F17" w:rsidP="00C361AC">
      <w:pPr>
        <w:pStyle w:val="Heading2"/>
      </w:pPr>
      <w:bookmarkStart w:id="14" w:name="_Toc8051384"/>
      <w:bookmarkStart w:id="15" w:name="_Toc13221357"/>
      <w:r w:rsidRPr="00F31851">
        <w:lastRenderedPageBreak/>
        <w:t>The Australian Government Department of Education is required to monitor and assure recurrent funding</w:t>
      </w:r>
      <w:bookmarkEnd w:id="14"/>
      <w:bookmarkEnd w:id="15"/>
      <w:r w:rsidRPr="00F31851">
        <w:t xml:space="preserve"> </w:t>
      </w:r>
    </w:p>
    <w:p w14:paraId="53321965" w14:textId="43BE7216" w:rsidR="009D0F17" w:rsidRPr="005D5653" w:rsidRDefault="009D0F17" w:rsidP="00C64336">
      <w:pPr>
        <w:spacing w:line="276" w:lineRule="auto"/>
        <w:rPr>
          <w:rFonts w:cstheme="minorHAnsi"/>
          <w:sz w:val="22"/>
          <w:szCs w:val="24"/>
        </w:rPr>
      </w:pPr>
      <w:r w:rsidRPr="005D5653">
        <w:rPr>
          <w:rFonts w:cstheme="minorHAnsi"/>
          <w:sz w:val="22"/>
          <w:szCs w:val="24"/>
        </w:rPr>
        <w:t xml:space="preserve">The Australian National Audit Office’s (ANAO) 2017 report on </w:t>
      </w:r>
      <w:r w:rsidRPr="005D5653">
        <w:rPr>
          <w:rFonts w:cstheme="minorHAnsi"/>
          <w:i/>
          <w:sz w:val="22"/>
          <w:szCs w:val="24"/>
        </w:rPr>
        <w:t>Monitoring the Impact of Australian Government School Funding</w:t>
      </w:r>
      <w:r w:rsidRPr="005D5653">
        <w:rPr>
          <w:rFonts w:cstheme="minorHAnsi"/>
          <w:sz w:val="22"/>
          <w:szCs w:val="24"/>
        </w:rPr>
        <w:t xml:space="preserve">, and the Joint Committee of Public Accounts and Audit’s (JCPAA) 2019 </w:t>
      </w:r>
      <w:r w:rsidRPr="005D5653">
        <w:rPr>
          <w:rFonts w:cstheme="minorHAnsi"/>
          <w:i/>
          <w:sz w:val="22"/>
          <w:szCs w:val="24"/>
        </w:rPr>
        <w:t>Report 476: Australian Government Funding</w:t>
      </w:r>
      <w:r w:rsidRPr="005D5653">
        <w:rPr>
          <w:rFonts w:cstheme="minorHAnsi"/>
          <w:sz w:val="22"/>
          <w:szCs w:val="24"/>
        </w:rPr>
        <w:t xml:space="preserve">, both found that the Department of Education needs to strengthen its </w:t>
      </w:r>
      <w:r w:rsidR="00220305" w:rsidRPr="005D5653">
        <w:rPr>
          <w:rFonts w:cstheme="minorHAnsi"/>
          <w:sz w:val="22"/>
          <w:szCs w:val="24"/>
        </w:rPr>
        <w:t xml:space="preserve">administrative </w:t>
      </w:r>
      <w:r w:rsidRPr="005D5653">
        <w:rPr>
          <w:rFonts w:cstheme="minorHAnsi"/>
          <w:sz w:val="22"/>
          <w:szCs w:val="24"/>
        </w:rPr>
        <w:t>and assurance arrangements to appropriately monitor the distribution of government funding.</w:t>
      </w:r>
      <w:r w:rsidRPr="005D5653">
        <w:rPr>
          <w:rStyle w:val="FootnoteReference"/>
          <w:rFonts w:cstheme="minorHAnsi"/>
          <w:sz w:val="22"/>
          <w:szCs w:val="24"/>
        </w:rPr>
        <w:footnoteReference w:id="10"/>
      </w:r>
      <w:r w:rsidRPr="005D5653">
        <w:rPr>
          <w:rFonts w:cstheme="minorHAnsi"/>
          <w:sz w:val="22"/>
          <w:szCs w:val="24"/>
        </w:rPr>
        <w:t xml:space="preserve"> </w:t>
      </w:r>
      <w:r w:rsidRPr="005D5653">
        <w:rPr>
          <w:rStyle w:val="FootnoteReference"/>
          <w:rFonts w:cstheme="minorHAnsi"/>
          <w:sz w:val="22"/>
          <w:szCs w:val="24"/>
        </w:rPr>
        <w:footnoteReference w:id="11"/>
      </w:r>
    </w:p>
    <w:p w14:paraId="440513A1" w14:textId="77777777" w:rsidR="005C5D44" w:rsidRPr="00F31851" w:rsidRDefault="005C5D44" w:rsidP="00C361AC">
      <w:pPr>
        <w:pStyle w:val="Heading2"/>
      </w:pPr>
      <w:bookmarkStart w:id="16" w:name="_Toc13221358"/>
      <w:r w:rsidRPr="00F31851">
        <w:t xml:space="preserve">The Board has been asked to consider the current SRS settings and </w:t>
      </w:r>
      <w:r w:rsidR="00CC2DFC" w:rsidRPr="00F31851">
        <w:t>Australian Government</w:t>
      </w:r>
      <w:r w:rsidRPr="00F31851">
        <w:t xml:space="preserve"> assurance processes undertaken </w:t>
      </w:r>
      <w:r w:rsidR="00BE642B" w:rsidRPr="00F31851">
        <w:t>for the loading for students with disability</w:t>
      </w:r>
      <w:bookmarkEnd w:id="16"/>
      <w:r w:rsidRPr="00F31851">
        <w:t xml:space="preserve"> </w:t>
      </w:r>
    </w:p>
    <w:p w14:paraId="11CEDC76" w14:textId="77777777" w:rsidR="005C5D44" w:rsidRPr="005D5653" w:rsidRDefault="004740EB" w:rsidP="00C64336">
      <w:pPr>
        <w:pStyle w:val="Default"/>
        <w:spacing w:before="200" w:after="120" w:line="276" w:lineRule="auto"/>
        <w:rPr>
          <w:rFonts w:asciiTheme="minorHAnsi" w:hAnsiTheme="minorHAnsi" w:cstheme="minorHAnsi"/>
          <w:sz w:val="22"/>
        </w:rPr>
      </w:pPr>
      <w:r w:rsidRPr="005D5653">
        <w:rPr>
          <w:rFonts w:asciiTheme="minorHAnsi" w:hAnsiTheme="minorHAnsi" w:cstheme="minorHAnsi"/>
          <w:sz w:val="22"/>
        </w:rPr>
        <w:t>This is not a r</w:t>
      </w:r>
      <w:r w:rsidR="005C5D44" w:rsidRPr="005D5653">
        <w:rPr>
          <w:rFonts w:asciiTheme="minorHAnsi" w:hAnsiTheme="minorHAnsi" w:cstheme="minorHAnsi"/>
          <w:sz w:val="22"/>
        </w:rPr>
        <w:t xml:space="preserve">eview of how the funding provided through the loading for students with disability is used. The focus of the </w:t>
      </w:r>
      <w:r w:rsidR="00501278" w:rsidRPr="005D5653">
        <w:rPr>
          <w:rFonts w:asciiTheme="minorHAnsi" w:hAnsiTheme="minorHAnsi" w:cstheme="minorHAnsi"/>
          <w:sz w:val="22"/>
        </w:rPr>
        <w:t>R</w:t>
      </w:r>
      <w:r w:rsidR="005C5D44" w:rsidRPr="005D5653">
        <w:rPr>
          <w:rFonts w:asciiTheme="minorHAnsi" w:hAnsiTheme="minorHAnsi" w:cstheme="minorHAnsi"/>
          <w:sz w:val="22"/>
        </w:rPr>
        <w:t>eview is the levels of funding for students with disability under the SRS.</w:t>
      </w:r>
    </w:p>
    <w:p w14:paraId="47EC4D98" w14:textId="77777777" w:rsidR="005C5D44" w:rsidRPr="005D5653" w:rsidRDefault="00BE642B" w:rsidP="00C64336">
      <w:pPr>
        <w:spacing w:line="276" w:lineRule="auto"/>
        <w:rPr>
          <w:rFonts w:cstheme="minorHAnsi"/>
          <w:sz w:val="22"/>
          <w:szCs w:val="24"/>
        </w:rPr>
      </w:pPr>
      <w:r w:rsidRPr="005D5653">
        <w:rPr>
          <w:rFonts w:cstheme="minorHAnsi"/>
          <w:sz w:val="22"/>
          <w:szCs w:val="24"/>
        </w:rPr>
        <w:t xml:space="preserve">In </w:t>
      </w:r>
      <w:r w:rsidR="00C15DBA" w:rsidRPr="005D5653">
        <w:rPr>
          <w:rFonts w:cstheme="minorHAnsi"/>
          <w:sz w:val="22"/>
          <w:szCs w:val="24"/>
        </w:rPr>
        <w:t>assessing</w:t>
      </w:r>
      <w:r w:rsidRPr="005D5653">
        <w:rPr>
          <w:rFonts w:cstheme="minorHAnsi"/>
          <w:sz w:val="22"/>
          <w:szCs w:val="24"/>
        </w:rPr>
        <w:t xml:space="preserve"> the appropriateness of the levels of funding</w:t>
      </w:r>
      <w:r w:rsidR="00C15DBA" w:rsidRPr="005D5653">
        <w:rPr>
          <w:rFonts w:cstheme="minorHAnsi"/>
          <w:sz w:val="22"/>
          <w:szCs w:val="24"/>
        </w:rPr>
        <w:t xml:space="preserve"> provided under the loading, the Board has been asked to consider the level of funding for educational adjustment provided by approved system authorities to member schools for students with disability and any significant variations related to school setting or context.</w:t>
      </w:r>
    </w:p>
    <w:p w14:paraId="211CE510" w14:textId="45BE6844" w:rsidR="00CC2DFC" w:rsidRPr="005D5653" w:rsidRDefault="008D65F0" w:rsidP="00C64336">
      <w:pPr>
        <w:spacing w:line="276" w:lineRule="auto"/>
        <w:rPr>
          <w:rFonts w:cstheme="minorHAnsi"/>
          <w:sz w:val="22"/>
          <w:szCs w:val="24"/>
        </w:rPr>
      </w:pPr>
      <w:r w:rsidRPr="005D5653">
        <w:rPr>
          <w:sz w:val="22"/>
        </w:rPr>
        <w:t xml:space="preserve">The Australian Government Department of Education quality assures the information reported through the NCCD to ensure Australian Government funding is being provided appropriately. </w:t>
      </w:r>
      <w:r w:rsidR="00CC2DFC" w:rsidRPr="005D5653">
        <w:rPr>
          <w:rFonts w:cstheme="minorHAnsi"/>
          <w:sz w:val="22"/>
          <w:szCs w:val="24"/>
        </w:rPr>
        <w:t xml:space="preserve">In assessing the appropriateness of the Australian Government’s assurance processes, the Board has been asked to have regard to the work of </w:t>
      </w:r>
      <w:r w:rsidR="00CA17A4" w:rsidRPr="005D5653">
        <w:rPr>
          <w:rFonts w:cstheme="minorHAnsi"/>
          <w:sz w:val="22"/>
          <w:szCs w:val="24"/>
        </w:rPr>
        <w:t xml:space="preserve">Education Council’s Joint Working Group to Provide Advice on Reform for Students with Disability (JWG). </w:t>
      </w:r>
      <w:r w:rsidR="00CA17A4" w:rsidRPr="0075056C">
        <w:rPr>
          <w:rFonts w:cstheme="minorHAnsi"/>
          <w:sz w:val="22"/>
          <w:szCs w:val="24"/>
        </w:rPr>
        <w:t xml:space="preserve">The JWG </w:t>
      </w:r>
      <w:r w:rsidR="009F73D1" w:rsidRPr="0075056C">
        <w:rPr>
          <w:rFonts w:cstheme="minorHAnsi"/>
          <w:sz w:val="22"/>
          <w:szCs w:val="24"/>
        </w:rPr>
        <w:t xml:space="preserve">provides advice and recommendations to Education Council on the ongoing implementation of the NCCD to support the development of a high quality, reliable and robust national data collection on school students with disability. The JWG also drives and directs </w:t>
      </w:r>
      <w:r w:rsidR="000B1F31" w:rsidRPr="0075056C">
        <w:rPr>
          <w:rFonts w:cstheme="minorHAnsi"/>
          <w:sz w:val="22"/>
          <w:szCs w:val="24"/>
        </w:rPr>
        <w:t xml:space="preserve">national </w:t>
      </w:r>
      <w:r w:rsidR="009F73D1" w:rsidRPr="0075056C">
        <w:rPr>
          <w:rFonts w:cstheme="minorHAnsi"/>
          <w:sz w:val="22"/>
          <w:szCs w:val="24"/>
        </w:rPr>
        <w:t xml:space="preserve">activity aimed at the continual improvement </w:t>
      </w:r>
      <w:r w:rsidR="00C632E4" w:rsidRPr="0075056C">
        <w:rPr>
          <w:rFonts w:cstheme="minorHAnsi"/>
          <w:sz w:val="22"/>
          <w:szCs w:val="24"/>
        </w:rPr>
        <w:t xml:space="preserve">to the accuracy </w:t>
      </w:r>
      <w:r w:rsidR="009F73D1" w:rsidRPr="0075056C">
        <w:rPr>
          <w:rFonts w:cstheme="minorHAnsi"/>
          <w:sz w:val="22"/>
          <w:szCs w:val="24"/>
        </w:rPr>
        <w:t>of the NCCD</w:t>
      </w:r>
      <w:r w:rsidR="00C632E4" w:rsidRPr="0075056C">
        <w:rPr>
          <w:rFonts w:cstheme="minorHAnsi"/>
          <w:sz w:val="22"/>
          <w:szCs w:val="24"/>
        </w:rPr>
        <w:t xml:space="preserve"> and the development of processes and resources to support the identification of need, potential adjustments to meet those needs, consultation and monitoring</w:t>
      </w:r>
      <w:r w:rsidR="009F73D1" w:rsidRPr="0075056C">
        <w:rPr>
          <w:rFonts w:cstheme="minorHAnsi"/>
          <w:sz w:val="22"/>
          <w:szCs w:val="24"/>
        </w:rPr>
        <w:t>.</w:t>
      </w:r>
    </w:p>
    <w:p w14:paraId="6C8C614A" w14:textId="77777777" w:rsidR="003D4315" w:rsidRPr="005D5653" w:rsidRDefault="003D4315" w:rsidP="00C64336">
      <w:pPr>
        <w:spacing w:line="276" w:lineRule="auto"/>
        <w:rPr>
          <w:rFonts w:cs="Calibri"/>
          <w:sz w:val="22"/>
          <w:szCs w:val="24"/>
        </w:rPr>
      </w:pPr>
      <w:r w:rsidRPr="005D5653">
        <w:rPr>
          <w:rFonts w:cstheme="minorHAnsi"/>
          <w:sz w:val="22"/>
          <w:szCs w:val="24"/>
        </w:rPr>
        <w:t>The terms of referenc</w:t>
      </w:r>
      <w:r w:rsidR="009B0327" w:rsidRPr="005D5653">
        <w:rPr>
          <w:rFonts w:cstheme="minorHAnsi"/>
          <w:sz w:val="22"/>
          <w:szCs w:val="24"/>
        </w:rPr>
        <w:t>e for this R</w:t>
      </w:r>
      <w:r w:rsidRPr="005D5653">
        <w:rPr>
          <w:rFonts w:cstheme="minorHAnsi"/>
          <w:sz w:val="22"/>
          <w:szCs w:val="24"/>
        </w:rPr>
        <w:t xml:space="preserve">eview are available at </w:t>
      </w:r>
      <w:hyperlink r:id="rId21" w:tooltip="web link to national school resourcing board home page" w:history="1">
        <w:r w:rsidRPr="005D5653">
          <w:rPr>
            <w:rStyle w:val="Hyperlink"/>
            <w:color w:val="auto"/>
            <w:sz w:val="22"/>
          </w:rPr>
          <w:t>www.education.gov.au/national-school-resourcing-board</w:t>
        </w:r>
      </w:hyperlink>
      <w:r w:rsidRPr="005D5653">
        <w:rPr>
          <w:rFonts w:cstheme="minorHAnsi"/>
          <w:sz w:val="22"/>
          <w:szCs w:val="24"/>
        </w:rPr>
        <w:t>.</w:t>
      </w:r>
      <w:r w:rsidR="00C361AC" w:rsidRPr="005D5653">
        <w:rPr>
          <w:rFonts w:cstheme="minorHAnsi"/>
          <w:sz w:val="22"/>
          <w:szCs w:val="24"/>
        </w:rPr>
        <w:t xml:space="preserve"> </w:t>
      </w:r>
      <w:r w:rsidR="00BC0979" w:rsidRPr="005D5653">
        <w:rPr>
          <w:rFonts w:cstheme="minorHAnsi"/>
          <w:sz w:val="22"/>
          <w:szCs w:val="24"/>
        </w:rPr>
        <w:t xml:space="preserve">A </w:t>
      </w:r>
      <w:r w:rsidRPr="005D5653">
        <w:rPr>
          <w:rFonts w:cstheme="minorHAnsi"/>
          <w:sz w:val="22"/>
          <w:szCs w:val="24"/>
        </w:rPr>
        <w:t xml:space="preserve">final report and recommendations will be provided to the </w:t>
      </w:r>
      <w:r w:rsidRPr="005D5653">
        <w:rPr>
          <w:sz w:val="22"/>
          <w:szCs w:val="24"/>
        </w:rPr>
        <w:t>Australian Government Minister for Education by December 2019.</w:t>
      </w:r>
    </w:p>
    <w:p w14:paraId="76A9E28B" w14:textId="77777777" w:rsidR="004634BD" w:rsidRPr="00F31851" w:rsidRDefault="004634BD" w:rsidP="004634BD">
      <w:pPr>
        <w:pStyle w:val="Heading1"/>
        <w:tabs>
          <w:tab w:val="left" w:pos="2025"/>
        </w:tabs>
        <w:spacing w:before="240" w:after="120"/>
        <w:rPr>
          <w:rFonts w:asciiTheme="minorHAnsi" w:hAnsiTheme="minorHAnsi" w:cstheme="minorHAnsi"/>
          <w:sz w:val="36"/>
          <w:szCs w:val="36"/>
        </w:rPr>
      </w:pPr>
      <w:bookmarkStart w:id="17" w:name="_Toc13221359"/>
      <w:r w:rsidRPr="00F31851">
        <w:rPr>
          <w:rFonts w:asciiTheme="minorHAnsi" w:hAnsiTheme="minorHAnsi" w:cstheme="minorHAnsi"/>
          <w:sz w:val="36"/>
          <w:szCs w:val="36"/>
        </w:rPr>
        <w:t>Focus questions</w:t>
      </w:r>
      <w:bookmarkEnd w:id="17"/>
    </w:p>
    <w:p w14:paraId="620383FF" w14:textId="77777777" w:rsidR="007755B2" w:rsidRPr="00414A07" w:rsidRDefault="007755B2" w:rsidP="00C64336">
      <w:pPr>
        <w:pStyle w:val="ListParagraph"/>
        <w:numPr>
          <w:ilvl w:val="0"/>
          <w:numId w:val="5"/>
        </w:numPr>
        <w:spacing w:after="120" w:line="276" w:lineRule="auto"/>
        <w:ind w:left="357" w:hanging="357"/>
        <w:contextualSpacing w:val="0"/>
        <w:rPr>
          <w:sz w:val="22"/>
        </w:rPr>
      </w:pPr>
      <w:r w:rsidRPr="00414A07">
        <w:rPr>
          <w:sz w:val="22"/>
        </w:rPr>
        <w:t>Is the funding provided under the loadings for the top three NCCD levels of adjustment appropriate to support students with disability to access and participate in education on the same basis as other students?</w:t>
      </w:r>
    </w:p>
    <w:p w14:paraId="3BEBC320" w14:textId="77777777" w:rsidR="007755B2" w:rsidRPr="00D5562B" w:rsidRDefault="007755B2" w:rsidP="00C64336">
      <w:pPr>
        <w:pStyle w:val="ListParagraph"/>
        <w:numPr>
          <w:ilvl w:val="0"/>
          <w:numId w:val="4"/>
        </w:numPr>
        <w:autoSpaceDN w:val="0"/>
        <w:spacing w:after="120" w:line="276" w:lineRule="auto"/>
        <w:ind w:left="851"/>
        <w:contextualSpacing w:val="0"/>
        <w:rPr>
          <w:rFonts w:eastAsia="Times New Roman"/>
          <w:sz w:val="22"/>
        </w:rPr>
      </w:pPr>
      <w:r w:rsidRPr="00D5562B">
        <w:rPr>
          <w:sz w:val="22"/>
        </w:rPr>
        <w:t xml:space="preserve">How does the level of resources required to support a student at each level of adjustment differ? </w:t>
      </w:r>
    </w:p>
    <w:p w14:paraId="5EA97545" w14:textId="77777777" w:rsidR="007755B2" w:rsidRPr="00D5562B" w:rsidRDefault="007755B2" w:rsidP="00C64336">
      <w:pPr>
        <w:pStyle w:val="ListParagraph"/>
        <w:numPr>
          <w:ilvl w:val="0"/>
          <w:numId w:val="4"/>
        </w:numPr>
        <w:autoSpaceDN w:val="0"/>
        <w:spacing w:after="120" w:line="276" w:lineRule="auto"/>
        <w:ind w:left="851"/>
        <w:contextualSpacing w:val="0"/>
        <w:rPr>
          <w:sz w:val="22"/>
        </w:rPr>
      </w:pPr>
      <w:r w:rsidRPr="00D5562B">
        <w:rPr>
          <w:sz w:val="22"/>
        </w:rPr>
        <w:t>Does school setting or context impact on the cost of adjustments provided?</w:t>
      </w:r>
    </w:p>
    <w:p w14:paraId="2604BF52" w14:textId="77777777" w:rsidR="007755B2" w:rsidRPr="00D5562B" w:rsidRDefault="007755B2" w:rsidP="00C64336">
      <w:pPr>
        <w:pStyle w:val="ListParagraph"/>
        <w:numPr>
          <w:ilvl w:val="0"/>
          <w:numId w:val="4"/>
        </w:numPr>
        <w:autoSpaceDN w:val="0"/>
        <w:spacing w:after="120" w:line="276" w:lineRule="auto"/>
        <w:ind w:left="851"/>
        <w:contextualSpacing w:val="0"/>
        <w:rPr>
          <w:sz w:val="22"/>
        </w:rPr>
      </w:pPr>
      <w:r w:rsidRPr="00D5562B">
        <w:rPr>
          <w:sz w:val="22"/>
        </w:rPr>
        <w:lastRenderedPageBreak/>
        <w:t>Does the stage of education impact the cost of adjustments needed; for example, in the early years and transitioning to secondary education?</w:t>
      </w:r>
    </w:p>
    <w:p w14:paraId="1F2C6BCE" w14:textId="77777777" w:rsidR="007755B2" w:rsidRPr="00D5562B" w:rsidRDefault="007755B2" w:rsidP="00C64336">
      <w:pPr>
        <w:pStyle w:val="ListParagraph"/>
        <w:numPr>
          <w:ilvl w:val="0"/>
          <w:numId w:val="4"/>
        </w:numPr>
        <w:autoSpaceDN w:val="0"/>
        <w:spacing w:after="120" w:line="276" w:lineRule="auto"/>
        <w:ind w:left="851"/>
        <w:contextualSpacing w:val="0"/>
        <w:rPr>
          <w:sz w:val="22"/>
        </w:rPr>
      </w:pPr>
      <w:r w:rsidRPr="00D5562B">
        <w:rPr>
          <w:sz w:val="22"/>
        </w:rPr>
        <w:t xml:space="preserve">What costs of supporting students with disability (for example, fixed system costs, costs of collection, assurance and management of the NCCD at a school level) should be factored into the loadings? </w:t>
      </w:r>
    </w:p>
    <w:p w14:paraId="06308E76" w14:textId="77777777" w:rsidR="007755B2" w:rsidRPr="00D5562B" w:rsidRDefault="007755B2" w:rsidP="00C64336">
      <w:pPr>
        <w:pStyle w:val="ListParagraph"/>
        <w:numPr>
          <w:ilvl w:val="0"/>
          <w:numId w:val="4"/>
        </w:numPr>
        <w:spacing w:after="120" w:line="276" w:lineRule="auto"/>
        <w:ind w:left="851"/>
        <w:contextualSpacing w:val="0"/>
        <w:rPr>
          <w:sz w:val="22"/>
        </w:rPr>
      </w:pPr>
      <w:r w:rsidRPr="00D5562B">
        <w:rPr>
          <w:sz w:val="22"/>
        </w:rPr>
        <w:t>Are there any other factors that impact on the level of resources required to provide adjustments?</w:t>
      </w:r>
    </w:p>
    <w:p w14:paraId="00059FFF" w14:textId="72DCB26C" w:rsidR="00D81C52" w:rsidRPr="00D5562B" w:rsidRDefault="00D81C52" w:rsidP="00C64336">
      <w:pPr>
        <w:pStyle w:val="ListParagraph"/>
        <w:numPr>
          <w:ilvl w:val="0"/>
          <w:numId w:val="4"/>
        </w:numPr>
        <w:spacing w:after="120" w:line="276" w:lineRule="auto"/>
        <w:ind w:left="851"/>
        <w:contextualSpacing w:val="0"/>
        <w:rPr>
          <w:sz w:val="22"/>
        </w:rPr>
      </w:pPr>
      <w:r w:rsidRPr="00D5562B">
        <w:rPr>
          <w:sz w:val="22"/>
        </w:rPr>
        <w:t>Are there any other factors that impact on the level of resources required to provide adjustments?</w:t>
      </w:r>
    </w:p>
    <w:p w14:paraId="72D7B068" w14:textId="20DD6F02" w:rsidR="00D81C52" w:rsidRDefault="0009573B" w:rsidP="00C64336">
      <w:pPr>
        <w:pStyle w:val="ListParagraph"/>
        <w:numPr>
          <w:ilvl w:val="0"/>
          <w:numId w:val="5"/>
        </w:numPr>
        <w:spacing w:after="120" w:line="276" w:lineRule="auto"/>
        <w:ind w:left="357" w:hanging="357"/>
        <w:contextualSpacing w:val="0"/>
        <w:rPr>
          <w:sz w:val="22"/>
        </w:rPr>
      </w:pPr>
      <w:r w:rsidRPr="005D5653">
        <w:rPr>
          <w:sz w:val="22"/>
        </w:rPr>
        <w:t xml:space="preserve">Are </w:t>
      </w:r>
      <w:r w:rsidR="00DE50DB" w:rsidRPr="005D5653">
        <w:rPr>
          <w:sz w:val="22"/>
        </w:rPr>
        <w:t xml:space="preserve">Australian Government </w:t>
      </w:r>
      <w:r w:rsidRPr="005D5653">
        <w:rPr>
          <w:sz w:val="22"/>
        </w:rPr>
        <w:t>assurance processes</w:t>
      </w:r>
      <w:r w:rsidR="00A21C51">
        <w:rPr>
          <w:sz w:val="22"/>
        </w:rPr>
        <w:t>,</w:t>
      </w:r>
      <w:r w:rsidRPr="005D5653">
        <w:rPr>
          <w:sz w:val="22"/>
        </w:rPr>
        <w:t xml:space="preserve"> undertaken to support the accuracy of information provided to calculate a school’s </w:t>
      </w:r>
      <w:r w:rsidR="00DE50DB" w:rsidRPr="005D5653">
        <w:rPr>
          <w:sz w:val="22"/>
        </w:rPr>
        <w:t>Australian Government</w:t>
      </w:r>
      <w:r w:rsidRPr="005D5653">
        <w:rPr>
          <w:sz w:val="22"/>
        </w:rPr>
        <w:t xml:space="preserve"> fun</w:t>
      </w:r>
      <w:r w:rsidR="00501278" w:rsidRPr="005D5653">
        <w:rPr>
          <w:sz w:val="22"/>
        </w:rPr>
        <w:t>ding entitlement relating to students with disability</w:t>
      </w:r>
      <w:r w:rsidR="00A21C51">
        <w:rPr>
          <w:sz w:val="22"/>
        </w:rPr>
        <w:t>,</w:t>
      </w:r>
      <w:r w:rsidR="004064B0">
        <w:rPr>
          <w:sz w:val="22"/>
        </w:rPr>
        <w:t xml:space="preserve"> appropriate and</w:t>
      </w:r>
      <w:r w:rsidRPr="005D5653">
        <w:rPr>
          <w:sz w:val="22"/>
        </w:rPr>
        <w:t xml:space="preserve"> sufficiently robust</w:t>
      </w:r>
      <w:r w:rsidR="00C632E4" w:rsidRPr="005D5653">
        <w:rPr>
          <w:sz w:val="22"/>
        </w:rPr>
        <w:t xml:space="preserve"> and how might they be effectively improved</w:t>
      </w:r>
      <w:r w:rsidRPr="005D5653">
        <w:rPr>
          <w:sz w:val="22"/>
        </w:rPr>
        <w:t>?</w:t>
      </w:r>
    </w:p>
    <w:p w14:paraId="5E2BAC99" w14:textId="77777777" w:rsidR="00060A08" w:rsidRPr="00460DC8" w:rsidRDefault="00060A08" w:rsidP="00460DC8">
      <w:pPr>
        <w:pStyle w:val="Heading1"/>
        <w:tabs>
          <w:tab w:val="left" w:pos="2025"/>
        </w:tabs>
        <w:spacing w:before="240" w:after="120"/>
        <w:rPr>
          <w:rFonts w:asciiTheme="minorHAnsi" w:hAnsiTheme="minorHAnsi" w:cstheme="minorHAnsi"/>
          <w:sz w:val="36"/>
          <w:szCs w:val="36"/>
        </w:rPr>
      </w:pPr>
      <w:bookmarkStart w:id="18" w:name="_Toc13221360"/>
      <w:r w:rsidRPr="00460DC8">
        <w:rPr>
          <w:rFonts w:asciiTheme="minorHAnsi" w:hAnsiTheme="minorHAnsi" w:cstheme="minorHAnsi"/>
          <w:sz w:val="36"/>
          <w:szCs w:val="36"/>
        </w:rPr>
        <w:t>Making a submission</w:t>
      </w:r>
      <w:bookmarkEnd w:id="18"/>
      <w:r w:rsidRPr="00460DC8">
        <w:rPr>
          <w:rFonts w:asciiTheme="minorHAnsi" w:hAnsiTheme="minorHAnsi" w:cstheme="minorHAnsi"/>
          <w:sz w:val="36"/>
          <w:szCs w:val="36"/>
        </w:rPr>
        <w:t xml:space="preserve"> </w:t>
      </w:r>
    </w:p>
    <w:p w14:paraId="4C8958ED" w14:textId="77777777" w:rsidR="00060A08" w:rsidRPr="00060A08" w:rsidRDefault="00060A08" w:rsidP="00060A08">
      <w:pPr>
        <w:pStyle w:val="Default"/>
        <w:spacing w:before="200" w:after="120" w:line="276" w:lineRule="auto"/>
        <w:rPr>
          <w:rFonts w:asciiTheme="minorHAnsi" w:hAnsiTheme="minorHAnsi" w:cstheme="minorHAnsi"/>
          <w:sz w:val="22"/>
          <w:szCs w:val="22"/>
        </w:rPr>
      </w:pPr>
      <w:r w:rsidRPr="00060A08">
        <w:rPr>
          <w:rFonts w:asciiTheme="minorHAnsi" w:hAnsiTheme="minorHAnsi" w:cstheme="minorHAnsi"/>
          <w:sz w:val="22"/>
          <w:szCs w:val="22"/>
        </w:rPr>
        <w:t xml:space="preserve">Submissions are to be made through an online form. Each submission is limited to 3300 words. This word limit is inclusive of a summary, up to 300 words, of the key points of your submission. To find out how to lodge your submission, and for more information on the Review and the Board, please visit the website: </w:t>
      </w:r>
      <w:hyperlink r:id="rId22" w:history="1">
        <w:r w:rsidRPr="00060A08">
          <w:rPr>
            <w:rFonts w:asciiTheme="minorHAnsi" w:hAnsiTheme="minorHAnsi" w:cstheme="minorHAnsi"/>
            <w:sz w:val="22"/>
            <w:szCs w:val="22"/>
            <w:u w:val="single"/>
          </w:rPr>
          <w:t>www.education.gov.au/review-loading-students-disability-swd</w:t>
        </w:r>
      </w:hyperlink>
      <w:r w:rsidRPr="00060A08">
        <w:rPr>
          <w:rFonts w:asciiTheme="minorHAnsi" w:hAnsiTheme="minorHAnsi" w:cstheme="minorHAnsi"/>
          <w:sz w:val="22"/>
          <w:szCs w:val="22"/>
          <w:u w:val="single"/>
        </w:rPr>
        <w:t>.</w:t>
      </w:r>
      <w:r w:rsidRPr="00060A08">
        <w:rPr>
          <w:rFonts w:asciiTheme="minorHAnsi" w:hAnsiTheme="minorHAnsi" w:cstheme="minorHAnsi"/>
          <w:sz w:val="22"/>
          <w:szCs w:val="22"/>
        </w:rPr>
        <w:t xml:space="preserve"> </w:t>
      </w:r>
    </w:p>
    <w:p w14:paraId="4C2552CA" w14:textId="01FDF1E3" w:rsidR="00060A08" w:rsidRPr="00060A08" w:rsidRDefault="00060A08" w:rsidP="00060A08">
      <w:pPr>
        <w:pStyle w:val="Default"/>
        <w:spacing w:before="200" w:after="120" w:line="276" w:lineRule="auto"/>
        <w:rPr>
          <w:rFonts w:asciiTheme="minorHAnsi" w:hAnsiTheme="minorHAnsi" w:cstheme="minorHAnsi"/>
          <w:sz w:val="22"/>
          <w:szCs w:val="22"/>
        </w:rPr>
      </w:pPr>
      <w:r w:rsidRPr="00060A08">
        <w:rPr>
          <w:rFonts w:asciiTheme="minorHAnsi" w:hAnsiTheme="minorHAnsi" w:cstheme="minorHAnsi"/>
          <w:sz w:val="22"/>
          <w:szCs w:val="22"/>
        </w:rPr>
        <w:t>Submissions will close at 5:00 pm (AEST) Tuesday, 20 August 2019.</w:t>
      </w:r>
    </w:p>
    <w:p w14:paraId="18A4167F" w14:textId="0A0A8B47" w:rsidR="000B1F31" w:rsidRPr="00F31851" w:rsidRDefault="000B1F31" w:rsidP="000B1F31">
      <w:pPr>
        <w:sectPr w:rsidR="000B1F31" w:rsidRPr="00F31851" w:rsidSect="00DE763C">
          <w:headerReference w:type="default" r:id="rId23"/>
          <w:footerReference w:type="even" r:id="rId24"/>
          <w:footerReference w:type="default" r:id="rId25"/>
          <w:pgSz w:w="11906" w:h="16838"/>
          <w:pgMar w:top="1134" w:right="1418" w:bottom="1134" w:left="1418" w:header="454" w:footer="321" w:gutter="0"/>
          <w:pgNumType w:start="2"/>
          <w:cols w:space="708"/>
          <w:docGrid w:linePitch="360"/>
        </w:sectPr>
      </w:pPr>
    </w:p>
    <w:bookmarkStart w:id="19" w:name="_Toc13221361" w:displacedByCustomXml="next"/>
    <w:sdt>
      <w:sdtPr>
        <w:rPr>
          <w:rFonts w:asciiTheme="minorHAnsi" w:hAnsiTheme="minorHAnsi" w:cstheme="minorHAnsi"/>
          <w:color w:val="522761"/>
          <w:sz w:val="72"/>
          <w:szCs w:val="36"/>
        </w:rPr>
        <w:alias w:val="Title"/>
        <w:tag w:val=""/>
        <w:id w:val="-19171197"/>
        <w:placeholder>
          <w:docPart w:val="5DE2357075524C81A39A0138D01ABA2A"/>
        </w:placeholder>
        <w:dataBinding w:prefixMappings="xmlns:ns0='http://purl.org/dc/elements/1.1/' xmlns:ns1='http://schemas.openxmlformats.org/package/2006/metadata/core-properties' " w:xpath="/ns1:coreProperties[1]/ns0:title[1]" w:storeItemID="{6C3C8BC8-F283-45AE-878A-BAB7291924A1}"/>
        <w:text/>
      </w:sdtPr>
      <w:sdtEndPr/>
      <w:sdtContent>
        <w:p w14:paraId="31BDB609" w14:textId="46D4809A" w:rsidR="00AD3086" w:rsidRPr="00EE4E96" w:rsidRDefault="0002226D" w:rsidP="00EE4E96">
          <w:pPr>
            <w:pStyle w:val="Heading1"/>
            <w:tabs>
              <w:tab w:val="left" w:pos="2025"/>
            </w:tabs>
            <w:spacing w:before="240" w:after="120"/>
            <w:rPr>
              <w:rFonts w:asciiTheme="minorHAnsi" w:hAnsiTheme="minorHAnsi" w:cstheme="minorHAnsi"/>
              <w:color w:val="522761"/>
              <w:sz w:val="72"/>
              <w:szCs w:val="36"/>
            </w:rPr>
          </w:pPr>
          <w:r>
            <w:rPr>
              <w:rFonts w:asciiTheme="minorHAnsi" w:hAnsiTheme="minorHAnsi" w:cstheme="minorHAnsi"/>
              <w:color w:val="522761"/>
              <w:sz w:val="72"/>
              <w:szCs w:val="36"/>
            </w:rPr>
            <w:t>Appendix 1:</w:t>
          </w:r>
        </w:p>
      </w:sdtContent>
    </w:sdt>
    <w:bookmarkEnd w:id="19" w:displacedByCustomXml="prev"/>
    <w:p w14:paraId="55FD4246" w14:textId="3BA2C281" w:rsidR="00AD3086" w:rsidRPr="002951CE" w:rsidRDefault="009D62B4" w:rsidP="002951CE">
      <w:pPr>
        <w:spacing w:after="120"/>
        <w:rPr>
          <w:rFonts w:ascii="Calibri" w:eastAsia="Times New Roman" w:hAnsi="Calibri" w:cs="Times New Roman"/>
          <w:b/>
          <w:bCs/>
          <w:color w:val="522761"/>
          <w:sz w:val="36"/>
          <w:szCs w:val="28"/>
        </w:rPr>
      </w:pPr>
      <w:r>
        <w:rPr>
          <w:rFonts w:ascii="Calibri" w:eastAsia="Times New Roman" w:hAnsi="Calibri" w:cs="Times New Roman"/>
          <w:b/>
          <w:bCs/>
          <w:color w:val="522761"/>
          <w:sz w:val="36"/>
          <w:szCs w:val="28"/>
        </w:rPr>
        <w:t xml:space="preserve">Information paper: </w:t>
      </w:r>
      <w:r w:rsidR="00E35EF6" w:rsidRPr="002951CE">
        <w:rPr>
          <w:rFonts w:ascii="Calibri" w:eastAsia="Times New Roman" w:hAnsi="Calibri" w:cs="Times New Roman"/>
          <w:b/>
          <w:bCs/>
          <w:color w:val="522761"/>
          <w:sz w:val="36"/>
          <w:szCs w:val="28"/>
        </w:rPr>
        <w:t>Australian Government q</w:t>
      </w:r>
      <w:r w:rsidR="00F62FA7">
        <w:rPr>
          <w:rFonts w:ascii="Calibri" w:eastAsia="Times New Roman" w:hAnsi="Calibri" w:cs="Times New Roman"/>
          <w:b/>
          <w:bCs/>
          <w:color w:val="522761"/>
          <w:sz w:val="36"/>
          <w:szCs w:val="28"/>
        </w:rPr>
        <w:t>uality assurance activity—Nationally</w:t>
      </w:r>
      <w:r w:rsidR="00AD3086" w:rsidRPr="002951CE">
        <w:rPr>
          <w:rFonts w:ascii="Calibri" w:eastAsia="Times New Roman" w:hAnsi="Calibri" w:cs="Times New Roman"/>
          <w:b/>
          <w:bCs/>
          <w:color w:val="522761"/>
          <w:sz w:val="36"/>
          <w:szCs w:val="28"/>
        </w:rPr>
        <w:t xml:space="preserve"> Consistent Collection of Data on School Students with Disability (NCCD)</w:t>
      </w:r>
    </w:p>
    <w:p w14:paraId="6FE44A73" w14:textId="161E8FD5"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From 201</w:t>
      </w:r>
      <w:r w:rsidRPr="009516FB">
        <w:rPr>
          <w:rFonts w:ascii="Calibri" w:eastAsia="Times New Roman" w:hAnsi="Calibri" w:cs="Times New Roman"/>
          <w:sz w:val="22"/>
        </w:rPr>
        <w:t>8</w:t>
      </w:r>
      <w:r w:rsidRPr="00F31851">
        <w:rPr>
          <w:rFonts w:ascii="Calibri" w:eastAsia="Times New Roman" w:hAnsi="Calibri" w:cs="Times New Roman"/>
          <w:sz w:val="22"/>
        </w:rPr>
        <w:t>, NCCD data is used to calculate a school’s Australian Government funding entitlement. NCCD data for government and non-government schools is reported to the Australian Government Department of Education (the department) as part of the annual Australian Government Schools Census.</w:t>
      </w:r>
    </w:p>
    <w:p w14:paraId="24090182" w14:textId="77777777"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Education authorities, systems and schools are responsible for data quality assurance and assessment and undertake activities that support the accuracy of the collection. These include:</w:t>
      </w:r>
    </w:p>
    <w:p w14:paraId="088BA914" w14:textId="77777777" w:rsidR="00AD3086" w:rsidRPr="00F31851" w:rsidRDefault="00AD3086" w:rsidP="0007147D">
      <w:pPr>
        <w:numPr>
          <w:ilvl w:val="0"/>
          <w:numId w:val="9"/>
        </w:numPr>
        <w:spacing w:after="120" w:line="276" w:lineRule="auto"/>
        <w:contextualSpacing/>
        <w:rPr>
          <w:rFonts w:ascii="Calibri" w:eastAsia="Times New Roman" w:hAnsi="Calibri" w:cs="Times New Roman"/>
          <w:sz w:val="22"/>
        </w:rPr>
      </w:pPr>
      <w:r w:rsidRPr="00F31851">
        <w:rPr>
          <w:rFonts w:ascii="Calibri" w:eastAsia="Times New Roman" w:hAnsi="Calibri" w:cs="Times New Roman"/>
          <w:sz w:val="22"/>
        </w:rPr>
        <w:t>moderation processes at the school/system/sector/state level</w:t>
      </w:r>
    </w:p>
    <w:p w14:paraId="70E2175D" w14:textId="77777777" w:rsidR="00AD3086" w:rsidRPr="00F31851" w:rsidRDefault="00AD3086" w:rsidP="0007147D">
      <w:pPr>
        <w:numPr>
          <w:ilvl w:val="0"/>
          <w:numId w:val="9"/>
        </w:numPr>
        <w:spacing w:after="120" w:line="276" w:lineRule="auto"/>
        <w:contextualSpacing/>
        <w:rPr>
          <w:rFonts w:ascii="Calibri" w:eastAsia="Times New Roman" w:hAnsi="Calibri" w:cs="Times New Roman"/>
          <w:sz w:val="22"/>
        </w:rPr>
      </w:pPr>
      <w:r w:rsidRPr="00F31851">
        <w:rPr>
          <w:rFonts w:ascii="Calibri" w:eastAsia="Times New Roman" w:hAnsi="Calibri" w:cs="Times New Roman"/>
          <w:sz w:val="22"/>
        </w:rPr>
        <w:t>regular training</w:t>
      </w:r>
    </w:p>
    <w:p w14:paraId="2CA74658" w14:textId="77777777" w:rsidR="00AD3086" w:rsidRPr="00F31851" w:rsidRDefault="00AD3086" w:rsidP="0007147D">
      <w:pPr>
        <w:numPr>
          <w:ilvl w:val="0"/>
          <w:numId w:val="9"/>
        </w:numPr>
        <w:spacing w:after="120" w:line="276" w:lineRule="auto"/>
        <w:contextualSpacing/>
        <w:rPr>
          <w:rFonts w:ascii="Calibri" w:eastAsia="Times New Roman" w:hAnsi="Calibri" w:cs="Times New Roman"/>
          <w:sz w:val="22"/>
        </w:rPr>
      </w:pPr>
      <w:r w:rsidRPr="00F31851">
        <w:rPr>
          <w:rFonts w:ascii="Calibri" w:eastAsia="Times New Roman" w:hAnsi="Calibri" w:cs="Times New Roman"/>
          <w:sz w:val="22"/>
        </w:rPr>
        <w:t xml:space="preserve">technology systems used at schools to assist in the application of the NCCD </w:t>
      </w:r>
    </w:p>
    <w:p w14:paraId="284265AD" w14:textId="77777777" w:rsidR="00AD3086" w:rsidRPr="00F31851" w:rsidRDefault="00AD3086" w:rsidP="0007147D">
      <w:pPr>
        <w:numPr>
          <w:ilvl w:val="0"/>
          <w:numId w:val="9"/>
        </w:numPr>
        <w:spacing w:after="120" w:line="276" w:lineRule="auto"/>
        <w:ind w:left="1077"/>
        <w:rPr>
          <w:rFonts w:ascii="Calibri" w:eastAsia="Times New Roman" w:hAnsi="Calibri" w:cs="Times New Roman"/>
          <w:sz w:val="22"/>
        </w:rPr>
      </w:pPr>
      <w:r w:rsidRPr="00F31851">
        <w:rPr>
          <w:rFonts w:ascii="Calibri" w:eastAsia="Times New Roman" w:hAnsi="Calibri" w:cs="Times New Roman"/>
          <w:sz w:val="22"/>
        </w:rPr>
        <w:t>validation checks of the data against other data sets.</w:t>
      </w:r>
    </w:p>
    <w:p w14:paraId="1643712C" w14:textId="77777777"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 xml:space="preserve">School principals are responsible for verifying that there is evidence to support the inclusion of students in the NCCD, including the level of adjustment and category of disability for each student. Schools (or their approved authority) must retain the NCCD student records for at least seven years. </w:t>
      </w:r>
    </w:p>
    <w:p w14:paraId="6241BB7A" w14:textId="77777777" w:rsidR="002A6F5F" w:rsidRPr="00F31851" w:rsidRDefault="002A6F5F" w:rsidP="006E301D">
      <w:pPr>
        <w:spacing w:after="120"/>
        <w:rPr>
          <w:rFonts w:ascii="Calibri" w:eastAsia="Times New Roman" w:hAnsi="Calibri" w:cs="Times New Roman"/>
          <w:b/>
          <w:bCs/>
          <w:color w:val="522761"/>
          <w:sz w:val="36"/>
          <w:szCs w:val="28"/>
        </w:rPr>
      </w:pPr>
      <w:r w:rsidRPr="00F31851">
        <w:rPr>
          <w:rFonts w:ascii="Calibri" w:eastAsia="Times New Roman" w:hAnsi="Calibri" w:cs="Times New Roman"/>
          <w:b/>
          <w:bCs/>
          <w:color w:val="522761"/>
          <w:sz w:val="36"/>
          <w:szCs w:val="28"/>
        </w:rPr>
        <w:t>The NCCD validation and assurance process</w:t>
      </w:r>
    </w:p>
    <w:p w14:paraId="0EC225B1" w14:textId="77777777" w:rsidR="002A6F5F" w:rsidRPr="00F31851" w:rsidRDefault="002A6F5F"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The cycle of validation and assurance activity starts with notification of the Census process, through collection of NCCD data, escalating levels of data analysis and correction, to evaluation and continuous improvement activities.</w:t>
      </w:r>
    </w:p>
    <w:p w14:paraId="345957DD" w14:textId="6FCE757C" w:rsidR="00AD3086" w:rsidRPr="00F31851" w:rsidRDefault="00AD3086" w:rsidP="006E301D">
      <w:pPr>
        <w:spacing w:after="120"/>
        <w:rPr>
          <w:rFonts w:ascii="Calibri" w:eastAsia="Times New Roman" w:hAnsi="Calibri" w:cs="Times New Roman"/>
          <w:b/>
          <w:bCs/>
          <w:color w:val="522761"/>
          <w:sz w:val="36"/>
          <w:szCs w:val="28"/>
        </w:rPr>
      </w:pPr>
      <w:r w:rsidRPr="00F31851">
        <w:rPr>
          <w:rFonts w:ascii="Calibri" w:eastAsia="Times New Roman" w:hAnsi="Calibri" w:cs="Times New Roman"/>
          <w:b/>
          <w:bCs/>
          <w:color w:val="522761"/>
          <w:sz w:val="36"/>
          <w:szCs w:val="28"/>
        </w:rPr>
        <w:t>Data collection and assurance</w:t>
      </w:r>
    </w:p>
    <w:p w14:paraId="628C7992" w14:textId="4DD5FCEB"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The department undertakes assurance activities to ensure that information provided by schools and approved authorities is complete and accurate. This is part of the department’s financial administrative responsibilities.</w:t>
      </w:r>
    </w:p>
    <w:p w14:paraId="46D69185" w14:textId="14A368B6" w:rsidR="006E301D" w:rsidRPr="009516FB"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As part of the 2018 Census, in addition to a range of in-built validation checks and declarations, all approved non-government authorities were contacted by the department</w:t>
      </w:r>
      <w:r w:rsidR="00F62FA7">
        <w:rPr>
          <w:rFonts w:ascii="Calibri" w:eastAsia="Times New Roman" w:hAnsi="Calibri" w:cs="Times New Roman"/>
          <w:sz w:val="22"/>
        </w:rPr>
        <w:t xml:space="preserve"> following submission of their C</w:t>
      </w:r>
      <w:r w:rsidRPr="00F31851">
        <w:rPr>
          <w:rFonts w:ascii="Calibri" w:eastAsia="Times New Roman" w:hAnsi="Calibri" w:cs="Times New Roman"/>
          <w:sz w:val="22"/>
        </w:rPr>
        <w:t>ensus returns and verbally asked to assure their NCCD data before they were accepted by the department.</w:t>
      </w:r>
    </w:p>
    <w:p w14:paraId="7FE7A447" w14:textId="4D801C9D" w:rsidR="00AD3086" w:rsidRPr="00F31851" w:rsidRDefault="00AD3086" w:rsidP="006E301D">
      <w:pPr>
        <w:spacing w:after="120"/>
        <w:rPr>
          <w:rFonts w:ascii="Calibri" w:eastAsia="Times New Roman" w:hAnsi="Calibri" w:cs="Times New Roman"/>
          <w:b/>
          <w:bCs/>
          <w:color w:val="522761"/>
          <w:sz w:val="36"/>
          <w:szCs w:val="28"/>
        </w:rPr>
      </w:pPr>
      <w:r w:rsidRPr="00F31851">
        <w:rPr>
          <w:rFonts w:ascii="Calibri" w:eastAsia="Times New Roman" w:hAnsi="Calibri" w:cs="Times New Roman"/>
          <w:b/>
          <w:bCs/>
          <w:color w:val="522761"/>
          <w:sz w:val="36"/>
          <w:szCs w:val="28"/>
        </w:rPr>
        <w:t>Post-enumeration</w:t>
      </w:r>
    </w:p>
    <w:p w14:paraId="74964614" w14:textId="77777777"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 xml:space="preserve">The department conducts an annual Census Post Enumeration (PE) process to verify the accuracy of information provided by non-government schools that is used to calculate the school’s Australian Government recurrent funding entitlement. </w:t>
      </w:r>
    </w:p>
    <w:p w14:paraId="251D687B" w14:textId="77777777" w:rsidR="00A149BC" w:rsidRDefault="00A149BC" w:rsidP="00E35EF6">
      <w:pPr>
        <w:spacing w:after="120" w:line="276" w:lineRule="auto"/>
        <w:rPr>
          <w:rFonts w:ascii="Calibri" w:eastAsia="Times New Roman" w:hAnsi="Calibri" w:cs="Times New Roman"/>
          <w:sz w:val="22"/>
        </w:rPr>
      </w:pPr>
    </w:p>
    <w:p w14:paraId="131961A6" w14:textId="77777777" w:rsidR="00A149BC" w:rsidRDefault="00A149BC" w:rsidP="00E35EF6">
      <w:pPr>
        <w:spacing w:after="120" w:line="276" w:lineRule="auto"/>
        <w:rPr>
          <w:rFonts w:ascii="Calibri" w:eastAsia="Times New Roman" w:hAnsi="Calibri" w:cs="Times New Roman"/>
          <w:sz w:val="22"/>
        </w:rPr>
      </w:pPr>
    </w:p>
    <w:p w14:paraId="440B6B12" w14:textId="406F90F8"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 xml:space="preserve">In Term 1 of 2019, the department validated a selection of non-government school 2018 Census returns through its annual PE exercise. </w:t>
      </w:r>
    </w:p>
    <w:p w14:paraId="05176A7C" w14:textId="4FFCDD41"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At a minimum, records must be kept for each student reported in the NCCD demonstrating the student has been provided with an adjustment/s for a minimum period of 10 weeks of school education (excluding school holiday periods) over the 12 months preceding Census Day, to address the functional impact of a disability. The evidence validated during the PE needs to demonstrate that:</w:t>
      </w:r>
    </w:p>
    <w:p w14:paraId="6E5CBB76" w14:textId="77777777" w:rsidR="00AD3086" w:rsidRPr="00F31851" w:rsidRDefault="00AD3086" w:rsidP="0007147D">
      <w:pPr>
        <w:numPr>
          <w:ilvl w:val="0"/>
          <w:numId w:val="10"/>
        </w:numPr>
        <w:spacing w:before="60" w:after="60" w:line="276" w:lineRule="auto"/>
        <w:ind w:left="714" w:hanging="357"/>
        <w:rPr>
          <w:rFonts w:ascii="Calibri" w:eastAsia="Times New Roman" w:hAnsi="Calibri" w:cs="Times New Roman"/>
          <w:sz w:val="22"/>
        </w:rPr>
      </w:pPr>
      <w:r w:rsidRPr="00F31851">
        <w:rPr>
          <w:rFonts w:ascii="Calibri" w:eastAsia="Times New Roman" w:hAnsi="Calibri" w:cs="Times New Roman"/>
          <w:sz w:val="22"/>
        </w:rPr>
        <w:t xml:space="preserve">the student has a disability as defined in the </w:t>
      </w:r>
      <w:r w:rsidRPr="00F31851">
        <w:rPr>
          <w:rFonts w:ascii="Calibri" w:eastAsia="Times New Roman" w:hAnsi="Calibri" w:cs="Times New Roman"/>
          <w:i/>
          <w:iCs/>
          <w:sz w:val="22"/>
        </w:rPr>
        <w:t>Disability Discrimination Act 1992</w:t>
      </w:r>
      <w:r w:rsidRPr="00F31851">
        <w:rPr>
          <w:rFonts w:ascii="Calibri" w:eastAsia="Times New Roman" w:hAnsi="Calibri" w:cs="Times New Roman"/>
          <w:sz w:val="22"/>
        </w:rPr>
        <w:t xml:space="preserve">, which informs the category of disability specified in the NCCD </w:t>
      </w:r>
    </w:p>
    <w:p w14:paraId="76908258" w14:textId="77777777" w:rsidR="00AD3086" w:rsidRPr="00F31851" w:rsidRDefault="00AD3086" w:rsidP="0007147D">
      <w:pPr>
        <w:numPr>
          <w:ilvl w:val="0"/>
          <w:numId w:val="10"/>
        </w:numPr>
        <w:spacing w:before="60" w:after="60" w:line="276" w:lineRule="auto"/>
        <w:ind w:left="714" w:hanging="357"/>
        <w:rPr>
          <w:rFonts w:ascii="Calibri" w:eastAsia="Times New Roman" w:hAnsi="Calibri" w:cs="Times New Roman"/>
          <w:sz w:val="22"/>
        </w:rPr>
      </w:pPr>
      <w:r w:rsidRPr="00F31851">
        <w:rPr>
          <w:rFonts w:ascii="Calibri" w:eastAsia="Times New Roman" w:hAnsi="Calibri" w:cs="Times New Roman"/>
          <w:sz w:val="22"/>
        </w:rPr>
        <w:t>adjustments are being provided to address the student’s individual needs based on their disability</w:t>
      </w:r>
    </w:p>
    <w:p w14:paraId="20E55A23" w14:textId="77777777" w:rsidR="00AD3086" w:rsidRPr="00F31851" w:rsidRDefault="00AD3086" w:rsidP="0007147D">
      <w:pPr>
        <w:numPr>
          <w:ilvl w:val="0"/>
          <w:numId w:val="10"/>
        </w:numPr>
        <w:spacing w:before="60" w:after="60" w:line="276" w:lineRule="auto"/>
        <w:ind w:left="714" w:hanging="357"/>
        <w:rPr>
          <w:rFonts w:ascii="Calibri" w:eastAsia="Times New Roman" w:hAnsi="Calibri" w:cs="Times New Roman"/>
          <w:sz w:val="22"/>
        </w:rPr>
      </w:pPr>
      <w:r w:rsidRPr="00F31851">
        <w:rPr>
          <w:rFonts w:ascii="Calibri" w:eastAsia="Times New Roman" w:hAnsi="Calibri" w:cs="Times New Roman"/>
          <w:sz w:val="22"/>
        </w:rPr>
        <w:t>adjustments provided to the student are being monitored and reviewed</w:t>
      </w:r>
    </w:p>
    <w:p w14:paraId="19BFC769" w14:textId="77777777" w:rsidR="00AD3086" w:rsidRPr="00F31851" w:rsidRDefault="00AD3086" w:rsidP="0007147D">
      <w:pPr>
        <w:numPr>
          <w:ilvl w:val="0"/>
          <w:numId w:val="10"/>
        </w:numPr>
        <w:spacing w:before="60" w:after="60" w:line="276" w:lineRule="auto"/>
        <w:ind w:left="714" w:hanging="357"/>
        <w:rPr>
          <w:rFonts w:ascii="Calibri" w:eastAsia="Times New Roman" w:hAnsi="Calibri" w:cs="Times New Roman"/>
          <w:sz w:val="22"/>
        </w:rPr>
      </w:pPr>
      <w:r w:rsidRPr="00F31851">
        <w:rPr>
          <w:rFonts w:ascii="Calibri" w:eastAsia="Times New Roman" w:hAnsi="Calibri" w:cs="Times New Roman"/>
          <w:sz w:val="22"/>
        </w:rPr>
        <w:t>consultation and collaboration with the student and/or parents and carers or associates has occurred.</w:t>
      </w:r>
    </w:p>
    <w:p w14:paraId="6D51C0B0" w14:textId="77777777" w:rsidR="00AD3086" w:rsidRPr="00F31851" w:rsidRDefault="00AD3086" w:rsidP="00A149BC">
      <w:pPr>
        <w:spacing w:after="360" w:line="276" w:lineRule="auto"/>
        <w:rPr>
          <w:rFonts w:ascii="Calibri" w:eastAsia="Times New Roman" w:hAnsi="Calibri" w:cs="Times New Roman"/>
          <w:sz w:val="22"/>
        </w:rPr>
      </w:pPr>
      <w:r w:rsidRPr="00F31851">
        <w:rPr>
          <w:rFonts w:ascii="Calibri" w:eastAsia="Calibri" w:hAnsi="Calibri" w:cs="Calibri"/>
          <w:sz w:val="22"/>
        </w:rPr>
        <w:t>Examples of the types of evidence sighted during the PE process are included in the table below.</w:t>
      </w:r>
    </w:p>
    <w:tbl>
      <w:tblPr>
        <w:tblpPr w:leftFromText="180" w:rightFromText="180" w:vertAnchor="text"/>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20"/>
        <w:gridCol w:w="6798"/>
      </w:tblGrid>
      <w:tr w:rsidR="00AD3086" w:rsidRPr="00F31851" w14:paraId="22C75914" w14:textId="77777777" w:rsidTr="002F2BA5">
        <w:trPr>
          <w:tblHeader/>
        </w:trPr>
        <w:tc>
          <w:tcPr>
            <w:tcW w:w="3120" w:type="dxa"/>
            <w:shd w:val="clear" w:color="auto" w:fill="D9D9D9"/>
            <w:tcMar>
              <w:top w:w="0" w:type="dxa"/>
              <w:left w:w="108" w:type="dxa"/>
              <w:bottom w:w="0" w:type="dxa"/>
              <w:right w:w="108" w:type="dxa"/>
            </w:tcMar>
            <w:hideMark/>
          </w:tcPr>
          <w:p w14:paraId="745A0CF5" w14:textId="77777777" w:rsidR="00AD3086" w:rsidRPr="00F31851" w:rsidRDefault="00AD3086" w:rsidP="00E35EF6">
            <w:pPr>
              <w:spacing w:after="120" w:line="276" w:lineRule="auto"/>
              <w:rPr>
                <w:rFonts w:ascii="Calibri" w:eastAsia="Calibri" w:hAnsi="Calibri" w:cs="Calibri"/>
                <w:b/>
                <w:bCs/>
                <w:sz w:val="22"/>
                <w:lang w:eastAsia="en-AU"/>
              </w:rPr>
            </w:pPr>
            <w:r w:rsidRPr="00F31851">
              <w:rPr>
                <w:rFonts w:ascii="Calibri" w:eastAsia="Calibri" w:hAnsi="Calibri" w:cs="Calibri"/>
                <w:b/>
                <w:bCs/>
                <w:sz w:val="22"/>
              </w:rPr>
              <w:t xml:space="preserve">Evidentiary Requirement </w:t>
            </w:r>
          </w:p>
        </w:tc>
        <w:tc>
          <w:tcPr>
            <w:tcW w:w="6798" w:type="dxa"/>
            <w:shd w:val="clear" w:color="auto" w:fill="D9D9D9"/>
            <w:tcMar>
              <w:top w:w="0" w:type="dxa"/>
              <w:left w:w="108" w:type="dxa"/>
              <w:bottom w:w="0" w:type="dxa"/>
              <w:right w:w="108" w:type="dxa"/>
            </w:tcMar>
            <w:hideMark/>
          </w:tcPr>
          <w:p w14:paraId="3DAFF7EF" w14:textId="77777777" w:rsidR="00AD3086" w:rsidRPr="00F31851" w:rsidRDefault="00AD3086" w:rsidP="00E35EF6">
            <w:pPr>
              <w:spacing w:after="120" w:line="276" w:lineRule="auto"/>
              <w:rPr>
                <w:rFonts w:ascii="Calibri" w:eastAsia="Calibri" w:hAnsi="Calibri" w:cs="Calibri"/>
                <w:b/>
                <w:bCs/>
                <w:sz w:val="22"/>
              </w:rPr>
            </w:pPr>
            <w:r w:rsidRPr="00F31851">
              <w:rPr>
                <w:rFonts w:ascii="Calibri" w:eastAsia="Calibri" w:hAnsi="Calibri" w:cs="Calibri"/>
                <w:b/>
                <w:bCs/>
                <w:sz w:val="22"/>
              </w:rPr>
              <w:t>Examples of Evidence</w:t>
            </w:r>
          </w:p>
        </w:tc>
      </w:tr>
      <w:tr w:rsidR="00AD3086" w:rsidRPr="00F31851" w14:paraId="09617F46" w14:textId="77777777" w:rsidTr="002F2BA5">
        <w:tc>
          <w:tcPr>
            <w:tcW w:w="3120" w:type="dxa"/>
            <w:tcMar>
              <w:top w:w="0" w:type="dxa"/>
              <w:left w:w="108" w:type="dxa"/>
              <w:bottom w:w="0" w:type="dxa"/>
              <w:right w:w="108" w:type="dxa"/>
            </w:tcMar>
            <w:hideMark/>
          </w:tcPr>
          <w:p w14:paraId="54B11228" w14:textId="77777777" w:rsidR="00AD3086" w:rsidRPr="00F31851" w:rsidRDefault="00AD3086" w:rsidP="0007147D">
            <w:pPr>
              <w:numPr>
                <w:ilvl w:val="0"/>
                <w:numId w:val="6"/>
              </w:numPr>
              <w:spacing w:after="120" w:line="276" w:lineRule="auto"/>
              <w:contextualSpacing/>
              <w:rPr>
                <w:rFonts w:ascii="Calibri" w:eastAsia="Times New Roman" w:hAnsi="Calibri" w:cs="Calibri"/>
                <w:sz w:val="22"/>
              </w:rPr>
            </w:pPr>
            <w:r w:rsidRPr="00F31851">
              <w:rPr>
                <w:rFonts w:ascii="Calibri" w:eastAsia="Times New Roman" w:hAnsi="Calibri" w:cs="Calibri"/>
                <w:sz w:val="22"/>
              </w:rPr>
              <w:t>Evidence that the school has assessed the individual needs of the student</w:t>
            </w:r>
          </w:p>
        </w:tc>
        <w:tc>
          <w:tcPr>
            <w:tcW w:w="6798" w:type="dxa"/>
            <w:tcMar>
              <w:top w:w="0" w:type="dxa"/>
              <w:left w:w="108" w:type="dxa"/>
              <w:bottom w:w="0" w:type="dxa"/>
              <w:right w:w="108" w:type="dxa"/>
            </w:tcMar>
            <w:hideMark/>
          </w:tcPr>
          <w:p w14:paraId="281263B9"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diagnosis (may include specialist medical diagnosis and/or reports) (e.g. reports from medical practitioners)</w:t>
            </w:r>
          </w:p>
          <w:p w14:paraId="648865DB"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Reports from guidance officer/counsellor/teacher or allied health professionals</w:t>
            </w:r>
          </w:p>
          <w:p w14:paraId="5FB85E7E"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Reports from parents/carers</w:t>
            </w:r>
          </w:p>
          <w:p w14:paraId="3F0E031B"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assessments made over time documenting the student’s need/s based on their disability, and</w:t>
            </w:r>
          </w:p>
          <w:p w14:paraId="1799FBE7" w14:textId="77777777" w:rsidR="00AD3086" w:rsidRPr="00F31851" w:rsidRDefault="00AD3086" w:rsidP="002F2BA5">
            <w:pPr>
              <w:numPr>
                <w:ilvl w:val="0"/>
                <w:numId w:val="8"/>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Evidence from external government agencies e.g. NDIS.</w:t>
            </w:r>
          </w:p>
        </w:tc>
      </w:tr>
      <w:tr w:rsidR="00AD3086" w:rsidRPr="00F31851" w14:paraId="20CAA229" w14:textId="77777777" w:rsidTr="002F2BA5">
        <w:tc>
          <w:tcPr>
            <w:tcW w:w="3120" w:type="dxa"/>
            <w:tcMar>
              <w:top w:w="0" w:type="dxa"/>
              <w:left w:w="108" w:type="dxa"/>
              <w:bottom w:w="0" w:type="dxa"/>
              <w:right w:w="108" w:type="dxa"/>
            </w:tcMar>
            <w:hideMark/>
          </w:tcPr>
          <w:p w14:paraId="7C5C564D" w14:textId="77777777" w:rsidR="00AD3086" w:rsidRPr="00F31851" w:rsidRDefault="00AD3086" w:rsidP="0007147D">
            <w:pPr>
              <w:numPr>
                <w:ilvl w:val="0"/>
                <w:numId w:val="6"/>
              </w:numPr>
              <w:spacing w:after="120" w:line="276" w:lineRule="auto"/>
              <w:contextualSpacing/>
              <w:rPr>
                <w:rFonts w:ascii="Calibri" w:eastAsia="Times New Roman" w:hAnsi="Calibri" w:cs="Calibri"/>
                <w:sz w:val="22"/>
              </w:rPr>
            </w:pPr>
            <w:r w:rsidRPr="00F31851">
              <w:rPr>
                <w:rFonts w:ascii="Calibri" w:eastAsia="Times New Roman" w:hAnsi="Calibri" w:cs="Calibri"/>
                <w:sz w:val="22"/>
              </w:rPr>
              <w:t>Evidence that adjustments are being provided to the student to address their individual needs based on their disability</w:t>
            </w:r>
          </w:p>
        </w:tc>
        <w:tc>
          <w:tcPr>
            <w:tcW w:w="6798" w:type="dxa"/>
            <w:tcMar>
              <w:top w:w="0" w:type="dxa"/>
              <w:left w:w="108" w:type="dxa"/>
              <w:bottom w:w="0" w:type="dxa"/>
              <w:right w:w="108" w:type="dxa"/>
            </w:tcMar>
            <w:hideMark/>
          </w:tcPr>
          <w:p w14:paraId="7D67B8D0"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Adjustments to learning materials or individualised supports</w:t>
            </w:r>
          </w:p>
          <w:p w14:paraId="0F29F2AF"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Personalised learning plans demonstrating adjustments</w:t>
            </w:r>
          </w:p>
          <w:p w14:paraId="574FE56F"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Assistive technology</w:t>
            </w:r>
          </w:p>
          <w:p w14:paraId="2F21C691"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meetings, teacher’s notes or the adjustments which have been provided</w:t>
            </w:r>
          </w:p>
          <w:p w14:paraId="3DCB6A17"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Therapy or disability-specific programs in place, and</w:t>
            </w:r>
          </w:p>
          <w:p w14:paraId="3FB1BDC9"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specific resources which have been developed.</w:t>
            </w:r>
          </w:p>
        </w:tc>
      </w:tr>
      <w:tr w:rsidR="00AD3086" w:rsidRPr="00F31851" w14:paraId="56BE9759" w14:textId="77777777" w:rsidTr="002F2BA5">
        <w:tc>
          <w:tcPr>
            <w:tcW w:w="3120" w:type="dxa"/>
            <w:tcMar>
              <w:top w:w="0" w:type="dxa"/>
              <w:left w:w="108" w:type="dxa"/>
              <w:bottom w:w="0" w:type="dxa"/>
              <w:right w:w="108" w:type="dxa"/>
            </w:tcMar>
            <w:hideMark/>
          </w:tcPr>
          <w:p w14:paraId="18BBC614" w14:textId="77777777" w:rsidR="00AD3086" w:rsidRPr="00F31851" w:rsidRDefault="00AD3086" w:rsidP="0007147D">
            <w:pPr>
              <w:numPr>
                <w:ilvl w:val="0"/>
                <w:numId w:val="6"/>
              </w:numPr>
              <w:spacing w:after="120" w:line="276" w:lineRule="auto"/>
              <w:contextualSpacing/>
              <w:rPr>
                <w:rFonts w:ascii="Calibri" w:eastAsia="Times New Roman" w:hAnsi="Calibri" w:cs="Calibri"/>
                <w:sz w:val="22"/>
              </w:rPr>
            </w:pPr>
            <w:r w:rsidRPr="00F31851">
              <w:rPr>
                <w:rFonts w:ascii="Calibri" w:eastAsia="Times New Roman" w:hAnsi="Calibri" w:cs="Calibri"/>
                <w:sz w:val="22"/>
              </w:rPr>
              <w:t>Evidence that adjustments provided to the student have been monitored and reviewed</w:t>
            </w:r>
          </w:p>
        </w:tc>
        <w:tc>
          <w:tcPr>
            <w:tcW w:w="6798" w:type="dxa"/>
            <w:tcMar>
              <w:top w:w="0" w:type="dxa"/>
              <w:left w:w="108" w:type="dxa"/>
              <w:bottom w:w="0" w:type="dxa"/>
              <w:right w:w="108" w:type="dxa"/>
            </w:tcMar>
            <w:hideMark/>
          </w:tcPr>
          <w:p w14:paraId="76AAB62B"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meetings to review adjustments</w:t>
            </w:r>
          </w:p>
          <w:p w14:paraId="0E1B85B6"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notes made by teachers or other support staff</w:t>
            </w:r>
          </w:p>
          <w:p w14:paraId="50E554C8"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Updated documents provided by health professionals, and</w:t>
            </w:r>
          </w:p>
          <w:p w14:paraId="08F2694E" w14:textId="77777777"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student progress.</w:t>
            </w:r>
          </w:p>
        </w:tc>
      </w:tr>
      <w:tr w:rsidR="00AD3086" w:rsidRPr="00F31851" w14:paraId="22D0E619" w14:textId="77777777" w:rsidTr="002F2BA5">
        <w:tc>
          <w:tcPr>
            <w:tcW w:w="3120" w:type="dxa"/>
            <w:tcMar>
              <w:top w:w="0" w:type="dxa"/>
              <w:left w:w="108" w:type="dxa"/>
              <w:bottom w:w="0" w:type="dxa"/>
              <w:right w:w="108" w:type="dxa"/>
            </w:tcMar>
            <w:hideMark/>
          </w:tcPr>
          <w:p w14:paraId="68C10C25" w14:textId="77777777" w:rsidR="00AD3086" w:rsidRPr="00F31851" w:rsidRDefault="00AD3086" w:rsidP="0007147D">
            <w:pPr>
              <w:numPr>
                <w:ilvl w:val="0"/>
                <w:numId w:val="6"/>
              </w:numPr>
              <w:spacing w:after="120" w:line="276" w:lineRule="auto"/>
              <w:contextualSpacing/>
              <w:rPr>
                <w:rFonts w:ascii="Calibri" w:eastAsia="Times New Roman" w:hAnsi="Calibri" w:cs="Calibri"/>
                <w:sz w:val="22"/>
              </w:rPr>
            </w:pPr>
            <w:r w:rsidRPr="00F31851">
              <w:rPr>
                <w:rFonts w:ascii="Calibri" w:eastAsia="Times New Roman" w:hAnsi="Calibri" w:cs="Calibri"/>
                <w:sz w:val="22"/>
              </w:rPr>
              <w:t>Evidence of consultation and collaboration with the student and/or parents and carers or associates</w:t>
            </w:r>
          </w:p>
        </w:tc>
        <w:tc>
          <w:tcPr>
            <w:tcW w:w="6798" w:type="dxa"/>
            <w:tcMar>
              <w:top w:w="0" w:type="dxa"/>
              <w:left w:w="108" w:type="dxa"/>
              <w:bottom w:w="0" w:type="dxa"/>
              <w:right w:w="108" w:type="dxa"/>
            </w:tcMar>
            <w:hideMark/>
          </w:tcPr>
          <w:p w14:paraId="660D2EFF" w14:textId="043C94AF" w:rsidR="00AD3086" w:rsidRPr="00F31851" w:rsidRDefault="00AD3086" w:rsidP="002F2BA5">
            <w:pPr>
              <w:numPr>
                <w:ilvl w:val="0"/>
                <w:numId w:val="7"/>
              </w:numPr>
              <w:spacing w:before="60" w:after="60" w:line="276" w:lineRule="auto"/>
              <w:ind w:left="357" w:hanging="357"/>
              <w:rPr>
                <w:rFonts w:ascii="Calibri" w:eastAsia="Times New Roman" w:hAnsi="Calibri" w:cs="Calibri"/>
                <w:sz w:val="22"/>
              </w:rPr>
            </w:pPr>
            <w:r w:rsidRPr="00F31851">
              <w:rPr>
                <w:rFonts w:ascii="Calibri" w:eastAsia="Times New Roman" w:hAnsi="Calibri" w:cs="Calibri"/>
                <w:sz w:val="22"/>
              </w:rPr>
              <w:t>Records of contact with parent/carer (including meeting notes, parent-teacher interviews, signed learning plans and emails).</w:t>
            </w:r>
          </w:p>
        </w:tc>
      </w:tr>
    </w:tbl>
    <w:p w14:paraId="4318116B" w14:textId="77777777" w:rsidR="00AD3086" w:rsidRPr="00F31851" w:rsidRDefault="00AD3086" w:rsidP="00AD3086">
      <w:pPr>
        <w:spacing w:before="0"/>
        <w:rPr>
          <w:rFonts w:ascii="Calibri" w:eastAsia="Calibri" w:hAnsi="Calibri" w:cs="Calibri"/>
          <w:color w:val="1F497D"/>
          <w:sz w:val="22"/>
        </w:rPr>
      </w:pPr>
    </w:p>
    <w:p w14:paraId="5F864421" w14:textId="77777777" w:rsidR="006E301D" w:rsidRPr="00F31851" w:rsidRDefault="006E301D">
      <w:pPr>
        <w:spacing w:before="0" w:after="200" w:line="276" w:lineRule="auto"/>
        <w:rPr>
          <w:rFonts w:ascii="Calibri" w:eastAsia="Times New Roman" w:hAnsi="Calibri" w:cs="Times New Roman"/>
          <w:b/>
          <w:bCs/>
          <w:color w:val="522761"/>
          <w:sz w:val="36"/>
          <w:szCs w:val="28"/>
        </w:rPr>
      </w:pPr>
      <w:r w:rsidRPr="00F31851">
        <w:rPr>
          <w:rFonts w:ascii="Calibri" w:eastAsia="Times New Roman" w:hAnsi="Calibri" w:cs="Times New Roman"/>
          <w:b/>
          <w:bCs/>
          <w:color w:val="522761"/>
          <w:sz w:val="36"/>
          <w:szCs w:val="28"/>
        </w:rPr>
        <w:br w:type="page"/>
      </w:r>
    </w:p>
    <w:p w14:paraId="44E9CEBA" w14:textId="77777777" w:rsidR="00F74D28" w:rsidRDefault="00F74D28" w:rsidP="006E301D">
      <w:pPr>
        <w:spacing w:after="120"/>
        <w:rPr>
          <w:rFonts w:ascii="Calibri" w:eastAsia="Times New Roman" w:hAnsi="Calibri" w:cs="Times New Roman"/>
          <w:b/>
          <w:bCs/>
          <w:color w:val="522761"/>
          <w:sz w:val="36"/>
          <w:szCs w:val="28"/>
        </w:rPr>
      </w:pPr>
    </w:p>
    <w:p w14:paraId="0D610287" w14:textId="148B7A0C" w:rsidR="00AD3086" w:rsidRPr="00F31851" w:rsidRDefault="00AD3086" w:rsidP="008E38D8">
      <w:pPr>
        <w:spacing w:before="360" w:after="120"/>
        <w:rPr>
          <w:rFonts w:ascii="Calibri" w:eastAsia="Times New Roman" w:hAnsi="Calibri" w:cs="Times New Roman"/>
          <w:b/>
          <w:bCs/>
          <w:color w:val="522761"/>
          <w:sz w:val="36"/>
          <w:szCs w:val="28"/>
        </w:rPr>
      </w:pPr>
      <w:r w:rsidRPr="00F31851">
        <w:rPr>
          <w:rFonts w:ascii="Calibri" w:eastAsia="Times New Roman" w:hAnsi="Calibri" w:cs="Times New Roman"/>
          <w:b/>
          <w:bCs/>
          <w:color w:val="522761"/>
          <w:sz w:val="36"/>
          <w:szCs w:val="28"/>
        </w:rPr>
        <w:t>Additi</w:t>
      </w:r>
      <w:r w:rsidR="00C500C2">
        <w:rPr>
          <w:rFonts w:ascii="Calibri" w:eastAsia="Times New Roman" w:hAnsi="Calibri" w:cs="Times New Roman"/>
          <w:b/>
          <w:bCs/>
          <w:color w:val="522761"/>
          <w:sz w:val="36"/>
          <w:szCs w:val="28"/>
        </w:rPr>
        <w:t>onal quality assurance activity</w:t>
      </w:r>
    </w:p>
    <w:p w14:paraId="5DAAA18D" w14:textId="77777777" w:rsidR="00AD3086" w:rsidRPr="00F31851" w:rsidRDefault="00AD3086" w:rsidP="00E35EF6">
      <w:pPr>
        <w:spacing w:after="120" w:line="276" w:lineRule="auto"/>
        <w:rPr>
          <w:rFonts w:ascii="Calibri" w:eastAsia="Times New Roman" w:hAnsi="Calibri" w:cs="Times New Roman"/>
          <w:sz w:val="22"/>
        </w:rPr>
      </w:pPr>
      <w:bookmarkStart w:id="20" w:name="_Toc12371645"/>
      <w:r w:rsidRPr="00F31851">
        <w:rPr>
          <w:rFonts w:ascii="Calibri" w:eastAsia="Times New Roman" w:hAnsi="Calibri" w:cs="Times New Roman"/>
          <w:sz w:val="22"/>
        </w:rPr>
        <w:t>In addition, the Government has allocated $20 million over four years to strengthen and quality assure the NCCD across all sectors.</w:t>
      </w:r>
      <w:bookmarkEnd w:id="20"/>
      <w:r w:rsidRPr="00F31851">
        <w:rPr>
          <w:rFonts w:ascii="Calibri" w:eastAsia="Times New Roman" w:hAnsi="Calibri" w:cs="Times New Roman"/>
          <w:sz w:val="22"/>
        </w:rPr>
        <w:t xml:space="preserve"> </w:t>
      </w:r>
    </w:p>
    <w:p w14:paraId="76047403" w14:textId="77777777" w:rsidR="00AD3086" w:rsidRPr="00F31851" w:rsidRDefault="00AD3086" w:rsidP="00E35EF6">
      <w:pPr>
        <w:spacing w:after="120" w:line="276" w:lineRule="auto"/>
        <w:rPr>
          <w:rFonts w:ascii="Calibri" w:eastAsia="Times New Roman" w:hAnsi="Calibri" w:cs="Times New Roman"/>
          <w:sz w:val="22"/>
        </w:rPr>
      </w:pPr>
      <w:bookmarkStart w:id="21" w:name="_Toc12371646"/>
      <w:r w:rsidRPr="00F31851">
        <w:rPr>
          <w:rFonts w:ascii="Calibri" w:eastAsia="Times New Roman" w:hAnsi="Calibri" w:cs="Times New Roman"/>
          <w:sz w:val="22"/>
        </w:rPr>
        <w:t>The funding supports activities that will improve the quality and consistency of the NCCD and ensure that teachers and schools have the knowledge and evidence required to make accurate assessments under the NCCD.</w:t>
      </w:r>
      <w:bookmarkEnd w:id="21"/>
    </w:p>
    <w:p w14:paraId="23E39678" w14:textId="1C940446" w:rsidR="00AD3086" w:rsidRPr="00F31851" w:rsidRDefault="00AD3086" w:rsidP="00E35EF6">
      <w:pPr>
        <w:spacing w:after="120" w:line="276" w:lineRule="auto"/>
        <w:rPr>
          <w:rFonts w:ascii="Calibri" w:eastAsia="Times New Roman" w:hAnsi="Calibri" w:cs="Times New Roman"/>
          <w:sz w:val="22"/>
        </w:rPr>
      </w:pPr>
      <w:bookmarkStart w:id="22" w:name="_Toc12371647"/>
      <w:r w:rsidRPr="00F31851">
        <w:rPr>
          <w:rFonts w:ascii="Calibri" w:eastAsia="Times New Roman" w:hAnsi="Calibri" w:cs="Times New Roman"/>
          <w:sz w:val="22"/>
        </w:rPr>
        <w:t>The Government is working collaboratively with state and territory government and non-government education authorities through the Joint Working Group to Provide Advice on Reform for Students with Disability (</w:t>
      </w:r>
      <w:r w:rsidR="002A6F5F" w:rsidRPr="00F31851">
        <w:rPr>
          <w:rFonts w:ascii="Calibri" w:eastAsia="Times New Roman" w:hAnsi="Calibri" w:cs="Times New Roman"/>
          <w:sz w:val="22"/>
        </w:rPr>
        <w:t>JWG</w:t>
      </w:r>
      <w:r w:rsidRPr="00F31851">
        <w:rPr>
          <w:rFonts w:ascii="Calibri" w:eastAsia="Times New Roman" w:hAnsi="Calibri" w:cs="Times New Roman"/>
          <w:sz w:val="22"/>
        </w:rPr>
        <w:t>) to develop and implement projects. These include:</w:t>
      </w:r>
      <w:bookmarkEnd w:id="22"/>
    </w:p>
    <w:p w14:paraId="6D104B57" w14:textId="673A0434" w:rsidR="00AD3086" w:rsidRPr="00F31851" w:rsidRDefault="00AD3086" w:rsidP="0007147D">
      <w:pPr>
        <w:numPr>
          <w:ilvl w:val="0"/>
          <w:numId w:val="7"/>
        </w:numPr>
        <w:spacing w:before="60" w:after="60" w:line="276" w:lineRule="auto"/>
        <w:rPr>
          <w:rFonts w:ascii="Calibri" w:eastAsia="Times New Roman" w:hAnsi="Calibri" w:cs="Times New Roman"/>
          <w:sz w:val="22"/>
        </w:rPr>
      </w:pPr>
      <w:r w:rsidRPr="00F31851">
        <w:rPr>
          <w:rFonts w:ascii="Calibri" w:eastAsia="Times New Roman" w:hAnsi="Calibri" w:cs="Times New Roman"/>
          <w:sz w:val="22"/>
        </w:rPr>
        <w:t>an NCCD data validation project to review evidence and data collection and reporting processes in selected schools where major changes h</w:t>
      </w:r>
      <w:r w:rsidR="00F62FA7">
        <w:rPr>
          <w:rFonts w:ascii="Calibri" w:eastAsia="Times New Roman" w:hAnsi="Calibri" w:cs="Times New Roman"/>
          <w:sz w:val="22"/>
        </w:rPr>
        <w:t>ave been identified in the 2017–</w:t>
      </w:r>
      <w:r w:rsidRPr="00F31851">
        <w:rPr>
          <w:rFonts w:ascii="Calibri" w:eastAsia="Times New Roman" w:hAnsi="Calibri" w:cs="Times New Roman"/>
          <w:sz w:val="22"/>
        </w:rPr>
        <w:t>2018 data. The project will support quality assurance but also build capacity in schools.</w:t>
      </w:r>
    </w:p>
    <w:p w14:paraId="5FB1646A" w14:textId="68264D2F" w:rsidR="002A6F5F" w:rsidRPr="00F31851" w:rsidRDefault="002A6F5F" w:rsidP="0007147D">
      <w:pPr>
        <w:numPr>
          <w:ilvl w:val="0"/>
          <w:numId w:val="7"/>
        </w:numPr>
        <w:spacing w:before="60" w:after="60" w:line="276" w:lineRule="auto"/>
        <w:rPr>
          <w:rFonts w:ascii="Calibri" w:eastAsia="Times New Roman" w:hAnsi="Calibri" w:cs="Times New Roman"/>
          <w:sz w:val="22"/>
        </w:rPr>
      </w:pPr>
      <w:r w:rsidRPr="00FE172C">
        <w:rPr>
          <w:rFonts w:ascii="Calibri" w:eastAsia="Times New Roman" w:hAnsi="Calibri" w:cs="Times New Roman"/>
          <w:sz w:val="22"/>
        </w:rPr>
        <w:t>development of resources to guide school staff in the collection of evidence to support decisions to include students in the NCCD count</w:t>
      </w:r>
    </w:p>
    <w:p w14:paraId="336628D9" w14:textId="5E90AC70" w:rsidR="002A6F5F" w:rsidRPr="00F31851" w:rsidRDefault="002A6F5F" w:rsidP="0007147D">
      <w:pPr>
        <w:numPr>
          <w:ilvl w:val="0"/>
          <w:numId w:val="7"/>
        </w:numPr>
        <w:spacing w:before="60" w:after="60" w:line="276" w:lineRule="auto"/>
        <w:rPr>
          <w:rFonts w:ascii="Calibri" w:eastAsia="Times New Roman" w:hAnsi="Calibri" w:cs="Times New Roman"/>
          <w:sz w:val="22"/>
        </w:rPr>
      </w:pPr>
      <w:r w:rsidRPr="00FE172C">
        <w:rPr>
          <w:rFonts w:ascii="Calibri" w:eastAsia="Times New Roman" w:hAnsi="Calibri" w:cs="Times New Roman"/>
          <w:sz w:val="22"/>
        </w:rPr>
        <w:t>development</w:t>
      </w:r>
      <w:r w:rsidRPr="00F31851">
        <w:rPr>
          <w:rFonts w:ascii="Calibri" w:eastAsia="Times New Roman" w:hAnsi="Calibri" w:cs="Times New Roman"/>
          <w:sz w:val="22"/>
        </w:rPr>
        <w:t xml:space="preserve"> of a national NCCD portal that is a single, authoritative information source for school leaders, teachers, support staff and parents/carers on the NCCD, DDA and DSE. The Portal was launched on </w:t>
      </w:r>
      <w:r w:rsidR="00C500C2">
        <w:rPr>
          <w:rFonts w:ascii="Calibri" w:eastAsia="Times New Roman" w:hAnsi="Calibri" w:cs="Times New Roman"/>
          <w:sz w:val="22"/>
        </w:rPr>
        <w:t>16 </w:t>
      </w:r>
      <w:r w:rsidRPr="00F31851">
        <w:rPr>
          <w:rFonts w:ascii="Calibri" w:eastAsia="Times New Roman" w:hAnsi="Calibri" w:cs="Times New Roman"/>
          <w:sz w:val="22"/>
        </w:rPr>
        <w:t>February 2019 (www.nccd.edu.au)</w:t>
      </w:r>
    </w:p>
    <w:p w14:paraId="7139EDB6" w14:textId="700B1480" w:rsidR="002A6F5F" w:rsidRPr="00F31851" w:rsidRDefault="002A6F5F" w:rsidP="0007147D">
      <w:pPr>
        <w:numPr>
          <w:ilvl w:val="0"/>
          <w:numId w:val="7"/>
        </w:numPr>
        <w:spacing w:before="60" w:after="60" w:line="276" w:lineRule="auto"/>
        <w:rPr>
          <w:rFonts w:ascii="Calibri" w:eastAsia="Times New Roman" w:hAnsi="Calibri" w:cs="Times New Roman"/>
          <w:sz w:val="22"/>
        </w:rPr>
      </w:pPr>
      <w:r w:rsidRPr="00F31851">
        <w:rPr>
          <w:rFonts w:ascii="Calibri" w:eastAsia="Times New Roman" w:hAnsi="Calibri" w:cs="Times New Roman"/>
          <w:sz w:val="22"/>
        </w:rPr>
        <w:t xml:space="preserve">consultation with teachers and principals through workshops and an online survey to identify further knowledge and training gaps on the NCCD </w:t>
      </w:r>
    </w:p>
    <w:p w14:paraId="56615A00" w14:textId="3EED0A46" w:rsidR="002A6F5F" w:rsidRPr="00F31851" w:rsidRDefault="002A6F5F" w:rsidP="0007147D">
      <w:pPr>
        <w:numPr>
          <w:ilvl w:val="0"/>
          <w:numId w:val="7"/>
        </w:numPr>
        <w:spacing w:before="60" w:after="60" w:line="276" w:lineRule="auto"/>
        <w:rPr>
          <w:rFonts w:ascii="Calibri" w:eastAsia="Times New Roman" w:hAnsi="Calibri" w:cs="Times New Roman"/>
          <w:sz w:val="22"/>
        </w:rPr>
      </w:pPr>
      <w:r w:rsidRPr="00F31851">
        <w:rPr>
          <w:rFonts w:ascii="Calibri" w:eastAsia="Times New Roman" w:hAnsi="Calibri" w:cs="Times New Roman"/>
          <w:sz w:val="22"/>
        </w:rPr>
        <w:t>research into the factors that influence the consistency and accuracy of teacher judgements on determining the levels of adjustment and categories of disability for students counted in the NCCD</w:t>
      </w:r>
      <w:r w:rsidRPr="00F31851" w:rsidDel="000A0888">
        <w:rPr>
          <w:rFonts w:ascii="Calibri" w:eastAsia="Times New Roman" w:hAnsi="Calibri" w:cs="Times New Roman"/>
          <w:sz w:val="22"/>
        </w:rPr>
        <w:t xml:space="preserve"> </w:t>
      </w:r>
    </w:p>
    <w:p w14:paraId="5A4C0D3F" w14:textId="77777777" w:rsidR="00AD3086" w:rsidRPr="00FE172C" w:rsidRDefault="00AD3086" w:rsidP="0007147D">
      <w:pPr>
        <w:pStyle w:val="ListParagraph"/>
        <w:numPr>
          <w:ilvl w:val="0"/>
          <w:numId w:val="7"/>
        </w:numPr>
        <w:spacing w:before="60" w:after="60" w:line="276" w:lineRule="auto"/>
        <w:rPr>
          <w:rFonts w:ascii="Calibri" w:eastAsia="Times New Roman" w:hAnsi="Calibri" w:cs="Times New Roman"/>
          <w:sz w:val="22"/>
        </w:rPr>
      </w:pPr>
      <w:r w:rsidRPr="00FE172C">
        <w:rPr>
          <w:rFonts w:ascii="Calibri" w:eastAsia="Times New Roman" w:hAnsi="Calibri" w:cs="Times New Roman"/>
          <w:sz w:val="22"/>
        </w:rPr>
        <w:t>development of a post-enumeration and audit framework for the NCCD to ensure compliance by approved authorities for non-government schools.</w:t>
      </w:r>
    </w:p>
    <w:p w14:paraId="23BE5330" w14:textId="233AF500" w:rsidR="002A6F5F" w:rsidRPr="00F31851" w:rsidRDefault="006E301D" w:rsidP="00E35EF6">
      <w:pPr>
        <w:spacing w:before="240" w:after="120" w:line="276" w:lineRule="auto"/>
        <w:rPr>
          <w:rFonts w:ascii="Calibri" w:eastAsia="Times New Roman" w:hAnsi="Calibri" w:cs="Times New Roman"/>
          <w:sz w:val="22"/>
        </w:rPr>
      </w:pPr>
      <w:r w:rsidRPr="00F31851">
        <w:rPr>
          <w:rFonts w:ascii="Calibri" w:eastAsia="Times New Roman" w:hAnsi="Calibri" w:cs="Times New Roman"/>
          <w:sz w:val="22"/>
        </w:rPr>
        <w:t>F</w:t>
      </w:r>
      <w:r w:rsidR="00AD3086" w:rsidRPr="00F31851">
        <w:rPr>
          <w:rFonts w:ascii="Calibri" w:eastAsia="Times New Roman" w:hAnsi="Calibri" w:cs="Times New Roman"/>
          <w:sz w:val="22"/>
        </w:rPr>
        <w:t xml:space="preserve">urther details of the projects are at </w:t>
      </w:r>
      <w:r w:rsidR="00AD3086" w:rsidRPr="00F31851">
        <w:rPr>
          <w:rFonts w:ascii="Calibri" w:eastAsia="Times New Roman" w:hAnsi="Calibri" w:cs="Times New Roman"/>
          <w:b/>
          <w:sz w:val="22"/>
        </w:rPr>
        <w:t>Attachment A</w:t>
      </w:r>
      <w:r w:rsidR="00AD3086" w:rsidRPr="00F31851">
        <w:rPr>
          <w:rFonts w:ascii="Calibri" w:eastAsia="Times New Roman" w:hAnsi="Calibri" w:cs="Times New Roman"/>
          <w:sz w:val="22"/>
        </w:rPr>
        <w:t>.</w:t>
      </w:r>
      <w:r w:rsidR="00842535" w:rsidRPr="00F31851">
        <w:rPr>
          <w:rFonts w:ascii="Calibri" w:eastAsia="Times New Roman" w:hAnsi="Calibri" w:cs="Times New Roman"/>
          <w:sz w:val="22"/>
        </w:rPr>
        <w:t xml:space="preserve"> </w:t>
      </w:r>
      <w:r w:rsidR="002A6F5F" w:rsidRPr="00F31851">
        <w:rPr>
          <w:rFonts w:ascii="Calibri" w:eastAsia="Times New Roman" w:hAnsi="Calibri" w:cs="Times New Roman"/>
          <w:sz w:val="22"/>
        </w:rPr>
        <w:t>These projects inform future action on policy, updating (or creation of new) resources, other assurance activity and evaluation.</w:t>
      </w:r>
    </w:p>
    <w:p w14:paraId="54BC1CE2" w14:textId="77777777" w:rsidR="002A6F5F" w:rsidRPr="00F31851" w:rsidRDefault="002A6F5F" w:rsidP="006E301D">
      <w:pPr>
        <w:spacing w:after="120"/>
        <w:rPr>
          <w:rFonts w:ascii="Calibri" w:eastAsia="Times New Roman" w:hAnsi="Calibri" w:cs="Times New Roman"/>
          <w:sz w:val="22"/>
        </w:rPr>
      </w:pPr>
    </w:p>
    <w:p w14:paraId="0360FC25" w14:textId="77777777" w:rsidR="00AD3086" w:rsidRPr="00F31851" w:rsidRDefault="00AD3086" w:rsidP="00AD3086">
      <w:pPr>
        <w:spacing w:before="0" w:after="200" w:line="276" w:lineRule="auto"/>
        <w:rPr>
          <w:rFonts w:ascii="Calibri" w:eastAsia="Times New Roman" w:hAnsi="Calibri" w:cs="Times New Roman"/>
          <w:b/>
          <w:bCs/>
          <w:sz w:val="22"/>
        </w:rPr>
      </w:pPr>
      <w:r w:rsidRPr="00F31851">
        <w:rPr>
          <w:rFonts w:ascii="Calibri" w:eastAsia="Times New Roman" w:hAnsi="Calibri" w:cs="Times New Roman"/>
          <w:sz w:val="22"/>
        </w:rPr>
        <w:br w:type="page"/>
      </w:r>
    </w:p>
    <w:p w14:paraId="3AB5D8A1" w14:textId="77777777" w:rsidR="00AD3086" w:rsidRPr="00EE4E96" w:rsidRDefault="00AD3086" w:rsidP="00EE4E96">
      <w:pPr>
        <w:spacing w:after="120"/>
        <w:jc w:val="right"/>
        <w:rPr>
          <w:rFonts w:ascii="Calibri" w:eastAsia="Times New Roman" w:hAnsi="Calibri" w:cs="Times New Roman"/>
          <w:b/>
          <w:bCs/>
          <w:color w:val="522761"/>
          <w:szCs w:val="28"/>
        </w:rPr>
      </w:pPr>
      <w:bookmarkStart w:id="23" w:name="_Toc12371648"/>
      <w:r w:rsidRPr="00EE4E96">
        <w:rPr>
          <w:rFonts w:ascii="Calibri" w:eastAsia="Times New Roman" w:hAnsi="Calibri" w:cs="Times New Roman"/>
          <w:b/>
          <w:bCs/>
          <w:color w:val="522761"/>
          <w:szCs w:val="28"/>
        </w:rPr>
        <w:lastRenderedPageBreak/>
        <w:t>Attachment A</w:t>
      </w:r>
      <w:bookmarkEnd w:id="23"/>
    </w:p>
    <w:p w14:paraId="72E76F1F" w14:textId="77777777" w:rsidR="00F74D28" w:rsidRDefault="00F74D28" w:rsidP="00842535">
      <w:pPr>
        <w:spacing w:after="120"/>
        <w:jc w:val="center"/>
        <w:rPr>
          <w:rFonts w:ascii="Calibri" w:eastAsia="Times New Roman" w:hAnsi="Calibri" w:cs="Times New Roman"/>
          <w:b/>
          <w:sz w:val="22"/>
        </w:rPr>
      </w:pPr>
    </w:p>
    <w:p w14:paraId="6D447360" w14:textId="5FB9B87D" w:rsidR="00AD3086" w:rsidRPr="00EE4E96" w:rsidRDefault="00AD3086" w:rsidP="00EE4E96">
      <w:pPr>
        <w:spacing w:after="120"/>
        <w:jc w:val="center"/>
        <w:rPr>
          <w:rFonts w:ascii="Calibri" w:eastAsia="Times New Roman" w:hAnsi="Calibri" w:cs="Times New Roman"/>
          <w:b/>
          <w:bCs/>
          <w:color w:val="522761"/>
          <w:sz w:val="36"/>
          <w:szCs w:val="28"/>
        </w:rPr>
      </w:pPr>
      <w:r w:rsidRPr="00EE4E96">
        <w:rPr>
          <w:rFonts w:ascii="Calibri" w:eastAsia="Times New Roman" w:hAnsi="Calibri" w:cs="Times New Roman"/>
          <w:b/>
          <w:bCs/>
          <w:color w:val="522761"/>
          <w:sz w:val="36"/>
          <w:szCs w:val="28"/>
        </w:rPr>
        <w:t>NCCD QUALITY ASSURANCE PROJECTS</w:t>
      </w:r>
    </w:p>
    <w:p w14:paraId="760B1060" w14:textId="12AE4F2B" w:rsidR="00AD3086" w:rsidRPr="00E35EF6" w:rsidRDefault="00AD3086" w:rsidP="00EE4E96">
      <w:pPr>
        <w:spacing w:after="120"/>
        <w:rPr>
          <w:rFonts w:ascii="Calibri" w:eastAsia="Times New Roman" w:hAnsi="Calibri" w:cs="Times New Roman"/>
          <w:b/>
          <w:bCs/>
          <w:color w:val="3D1D48" w:themeColor="accent4" w:themeShade="BF"/>
          <w:sz w:val="22"/>
        </w:rPr>
      </w:pPr>
      <w:bookmarkStart w:id="24" w:name="_Toc12371649"/>
      <w:r w:rsidRPr="00E35EF6">
        <w:rPr>
          <w:rFonts w:ascii="Calibri" w:eastAsia="Times New Roman" w:hAnsi="Calibri" w:cs="Times New Roman"/>
          <w:b/>
          <w:bCs/>
          <w:color w:val="3D1D48" w:themeColor="accent4" w:themeShade="BF"/>
          <w:sz w:val="22"/>
        </w:rPr>
        <w:t>2018 NCCD Data Validation Project</w:t>
      </w:r>
      <w:bookmarkEnd w:id="24"/>
    </w:p>
    <w:p w14:paraId="21801F4C" w14:textId="2C8A9AF9"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The department has engaged a consultant to undertake quality assurance activities to understand reasons for variations in NCCD data from 2017 to 2018</w:t>
      </w:r>
      <w:r w:rsidR="007B5D09">
        <w:rPr>
          <w:rFonts w:ascii="Calibri" w:eastAsia="Times New Roman" w:hAnsi="Calibri" w:cs="Times New Roman"/>
          <w:sz w:val="22"/>
        </w:rPr>
        <w:t>.</w:t>
      </w:r>
    </w:p>
    <w:p w14:paraId="4B3D7A27" w14:textId="77777777"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As the NCCD is used to calculate the Commonwealth funding entitlements for the student with disability loading, there is a need to investigate reasons for the variation as part of our commitment to equitable access to funding, capacity building for schools and continuous quality improvement of the NCCD.</w:t>
      </w:r>
    </w:p>
    <w:p w14:paraId="10841851" w14:textId="54F97242"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P</w:t>
      </w:r>
      <w:r w:rsidR="007B5D09">
        <w:rPr>
          <w:rFonts w:ascii="Calibri" w:eastAsia="Times New Roman" w:hAnsi="Calibri" w:cs="Times New Roman"/>
          <w:sz w:val="22"/>
        </w:rPr>
        <w:t>ricewaterhouseCoopers (PwC) was</w:t>
      </w:r>
      <w:r w:rsidRPr="00F31851">
        <w:rPr>
          <w:rFonts w:ascii="Calibri" w:eastAsia="Times New Roman" w:hAnsi="Calibri" w:cs="Times New Roman"/>
          <w:sz w:val="22"/>
        </w:rPr>
        <w:t xml:space="preserve"> contracted to conduct a review of 2018 NCCD data in selected </w:t>
      </w:r>
      <w:r w:rsidR="00304674">
        <w:rPr>
          <w:rFonts w:ascii="Calibri" w:eastAsia="Times New Roman" w:hAnsi="Calibri" w:cs="Times New Roman"/>
          <w:sz w:val="22"/>
        </w:rPr>
        <w:t>non</w:t>
      </w:r>
      <w:r w:rsidR="00304674">
        <w:rPr>
          <w:rFonts w:ascii="Calibri" w:eastAsia="Times New Roman" w:hAnsi="Calibri" w:cs="Times New Roman"/>
          <w:sz w:val="22"/>
        </w:rPr>
        <w:noBreakHyphen/>
      </w:r>
      <w:r w:rsidRPr="00F31851">
        <w:rPr>
          <w:rFonts w:ascii="Calibri" w:eastAsia="Times New Roman" w:hAnsi="Calibri" w:cs="Times New Roman"/>
          <w:sz w:val="22"/>
        </w:rPr>
        <w:t xml:space="preserve">government schools to assure the quality and accuracy of the collection. The department has selected a range of non-government schools in which there were significant variations in 2018 NCCD data compared to 2017 results. In developing the list, a mix of primary/secondary/combined schools, and state/territory/metro/regional locations were considered. </w:t>
      </w:r>
    </w:p>
    <w:p w14:paraId="36A58F5A" w14:textId="77777777"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Schools involved in recent assurance activities conducted by the department were excluded from the list to avoid unreasonable administrative burden.</w:t>
      </w:r>
    </w:p>
    <w:p w14:paraId="087944D1" w14:textId="4D65F8ED"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During May and June 2019, PwC visit</w:t>
      </w:r>
      <w:r w:rsidR="002A6F5F" w:rsidRPr="00F31851">
        <w:rPr>
          <w:rFonts w:ascii="Calibri" w:eastAsia="Times New Roman" w:hAnsi="Calibri" w:cs="Times New Roman"/>
          <w:sz w:val="22"/>
        </w:rPr>
        <w:t>ed</w:t>
      </w:r>
      <w:r w:rsidRPr="00F31851">
        <w:rPr>
          <w:rFonts w:ascii="Calibri" w:eastAsia="Times New Roman" w:hAnsi="Calibri" w:cs="Times New Roman"/>
          <w:sz w:val="22"/>
        </w:rPr>
        <w:t xml:space="preserve"> the</w:t>
      </w:r>
      <w:r w:rsidR="002A6F5F" w:rsidRPr="00F31851">
        <w:rPr>
          <w:rFonts w:ascii="Calibri" w:eastAsia="Times New Roman" w:hAnsi="Calibri" w:cs="Times New Roman"/>
          <w:sz w:val="22"/>
        </w:rPr>
        <w:t>se</w:t>
      </w:r>
      <w:r w:rsidRPr="00F31851">
        <w:rPr>
          <w:rFonts w:ascii="Calibri" w:eastAsia="Times New Roman" w:hAnsi="Calibri" w:cs="Times New Roman"/>
          <w:sz w:val="22"/>
        </w:rPr>
        <w:t xml:space="preserve"> schools to assess:</w:t>
      </w:r>
    </w:p>
    <w:p w14:paraId="2F51C697" w14:textId="77777777" w:rsidR="00AD3086" w:rsidRPr="00EE4E96" w:rsidRDefault="00AD3086" w:rsidP="0007147D">
      <w:pPr>
        <w:pStyle w:val="ListParagraph"/>
        <w:numPr>
          <w:ilvl w:val="0"/>
          <w:numId w:val="11"/>
        </w:numPr>
        <w:spacing w:after="120" w:line="276" w:lineRule="auto"/>
        <w:rPr>
          <w:rFonts w:ascii="Calibri" w:eastAsia="Times New Roman" w:hAnsi="Calibri" w:cs="Times New Roman"/>
          <w:sz w:val="22"/>
        </w:rPr>
      </w:pPr>
      <w:r w:rsidRPr="00EE4E96">
        <w:rPr>
          <w:rFonts w:ascii="Calibri" w:eastAsia="Times New Roman" w:hAnsi="Calibri" w:cs="Times New Roman"/>
          <w:sz w:val="22"/>
        </w:rPr>
        <w:t>the type of adjustments identified in student records</w:t>
      </w:r>
    </w:p>
    <w:p w14:paraId="6F3C5F53" w14:textId="77777777" w:rsidR="00AD3086" w:rsidRPr="00EE4E96" w:rsidRDefault="00AD3086" w:rsidP="0007147D">
      <w:pPr>
        <w:pStyle w:val="ListParagraph"/>
        <w:numPr>
          <w:ilvl w:val="0"/>
          <w:numId w:val="11"/>
        </w:numPr>
        <w:spacing w:after="120" w:line="276" w:lineRule="auto"/>
        <w:rPr>
          <w:rFonts w:ascii="Calibri" w:eastAsia="Times New Roman" w:hAnsi="Calibri" w:cs="Times New Roman"/>
          <w:sz w:val="22"/>
        </w:rPr>
      </w:pPr>
      <w:r w:rsidRPr="00EE4E96">
        <w:rPr>
          <w:rFonts w:ascii="Calibri" w:eastAsia="Times New Roman" w:hAnsi="Calibri" w:cs="Times New Roman"/>
          <w:sz w:val="22"/>
        </w:rPr>
        <w:t>the appropriateness of the adjustments to address the students’ functional needs (to the extent possible)</w:t>
      </w:r>
    </w:p>
    <w:p w14:paraId="7A21F680" w14:textId="77777777" w:rsidR="00AD3086" w:rsidRPr="00EE4E96" w:rsidRDefault="00AD3086" w:rsidP="0007147D">
      <w:pPr>
        <w:pStyle w:val="ListParagraph"/>
        <w:numPr>
          <w:ilvl w:val="0"/>
          <w:numId w:val="11"/>
        </w:numPr>
        <w:spacing w:after="120" w:line="276" w:lineRule="auto"/>
        <w:rPr>
          <w:rFonts w:ascii="Calibri" w:eastAsia="Times New Roman" w:hAnsi="Calibri" w:cs="Times New Roman"/>
          <w:sz w:val="22"/>
        </w:rPr>
      </w:pPr>
      <w:r w:rsidRPr="00EE4E96">
        <w:rPr>
          <w:rFonts w:ascii="Calibri" w:eastAsia="Times New Roman" w:hAnsi="Calibri" w:cs="Times New Roman"/>
          <w:sz w:val="22"/>
        </w:rPr>
        <w:t>the adequacy and quality of evidence held by the school</w:t>
      </w:r>
    </w:p>
    <w:p w14:paraId="03FA7661" w14:textId="0D419478" w:rsidR="00AD3086" w:rsidRPr="00EE4E96" w:rsidRDefault="00AD3086" w:rsidP="0007147D">
      <w:pPr>
        <w:pStyle w:val="ListParagraph"/>
        <w:numPr>
          <w:ilvl w:val="0"/>
          <w:numId w:val="11"/>
        </w:numPr>
        <w:spacing w:after="120" w:line="276" w:lineRule="auto"/>
        <w:rPr>
          <w:rFonts w:ascii="Calibri" w:eastAsia="Times New Roman" w:hAnsi="Calibri" w:cs="Times New Roman"/>
          <w:sz w:val="22"/>
        </w:rPr>
      </w:pPr>
      <w:r w:rsidRPr="00EE4E96">
        <w:rPr>
          <w:rFonts w:ascii="Calibri" w:eastAsia="Times New Roman" w:hAnsi="Calibri" w:cs="Times New Roman"/>
          <w:sz w:val="22"/>
        </w:rPr>
        <w:t>end to end processes in schools to support the data collection, such as moderation and training</w:t>
      </w:r>
      <w:r w:rsidR="007B5D09">
        <w:rPr>
          <w:rFonts w:ascii="Calibri" w:eastAsia="Times New Roman" w:hAnsi="Calibri" w:cs="Times New Roman"/>
          <w:sz w:val="22"/>
        </w:rPr>
        <w:t>.</w:t>
      </w:r>
    </w:p>
    <w:p w14:paraId="3A9C0DAD" w14:textId="305BB8EC" w:rsidR="00AD3086" w:rsidRPr="00F31851" w:rsidRDefault="00FE172C" w:rsidP="00E35EF6">
      <w:pPr>
        <w:spacing w:after="120" w:line="276" w:lineRule="auto"/>
        <w:rPr>
          <w:rFonts w:ascii="Calibri" w:eastAsia="Times New Roman" w:hAnsi="Calibri" w:cs="Times New Roman"/>
          <w:sz w:val="22"/>
        </w:rPr>
      </w:pPr>
      <w:r>
        <w:rPr>
          <w:rFonts w:ascii="Calibri" w:eastAsia="Times New Roman" w:hAnsi="Calibri" w:cs="Times New Roman"/>
          <w:sz w:val="22"/>
        </w:rPr>
        <w:t xml:space="preserve">The PwC team includes </w:t>
      </w:r>
      <w:r w:rsidR="00AD3086" w:rsidRPr="00F31851">
        <w:rPr>
          <w:rFonts w:ascii="Calibri" w:eastAsia="Times New Roman" w:hAnsi="Calibri" w:cs="Times New Roman"/>
          <w:sz w:val="22"/>
        </w:rPr>
        <w:t>Credible Classroom Practitioners</w:t>
      </w:r>
      <w:r w:rsidR="002A6F5F" w:rsidRPr="00F31851">
        <w:rPr>
          <w:rFonts w:ascii="Calibri" w:eastAsia="Times New Roman" w:hAnsi="Calibri" w:cs="Times New Roman"/>
          <w:sz w:val="22"/>
        </w:rPr>
        <w:t xml:space="preserve"> (CCP)</w:t>
      </w:r>
      <w:r w:rsidR="00AD3086" w:rsidRPr="00F31851">
        <w:rPr>
          <w:rFonts w:ascii="Calibri" w:eastAsia="Times New Roman" w:hAnsi="Calibri" w:cs="Times New Roman"/>
          <w:sz w:val="22"/>
        </w:rPr>
        <w:t>, experts in the education and disability fields, who will, with the approval of the schools and their communities</w:t>
      </w:r>
      <w:r>
        <w:rPr>
          <w:rFonts w:ascii="Calibri" w:eastAsia="Times New Roman" w:hAnsi="Calibri" w:cs="Times New Roman"/>
          <w:sz w:val="22"/>
        </w:rPr>
        <w:t>,</w:t>
      </w:r>
      <w:r w:rsidR="00AD3086" w:rsidRPr="00F31851">
        <w:rPr>
          <w:rFonts w:ascii="Calibri" w:eastAsia="Times New Roman" w:hAnsi="Calibri" w:cs="Times New Roman"/>
          <w:sz w:val="22"/>
        </w:rPr>
        <w:t xml:space="preserve"> attend school visits with the intent to build the knowledge and understanding of school staff in the NCCD.</w:t>
      </w:r>
    </w:p>
    <w:p w14:paraId="0FC586A9" w14:textId="77777777"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A report to the department is expected to be provided by the end of July 2019.</w:t>
      </w:r>
    </w:p>
    <w:p w14:paraId="19B4E7FF" w14:textId="77777777" w:rsidR="002A6F5F" w:rsidRPr="00E35EF6" w:rsidRDefault="002A6F5F" w:rsidP="00EE4E96">
      <w:pPr>
        <w:spacing w:after="120"/>
        <w:rPr>
          <w:rFonts w:ascii="Calibri" w:eastAsia="Times New Roman" w:hAnsi="Calibri" w:cs="Times New Roman"/>
          <w:b/>
          <w:bCs/>
          <w:color w:val="3D1D48" w:themeColor="accent4" w:themeShade="BF"/>
          <w:sz w:val="22"/>
        </w:rPr>
      </w:pPr>
      <w:bookmarkStart w:id="25" w:name="_Toc12371650"/>
      <w:r w:rsidRPr="00E35EF6">
        <w:rPr>
          <w:rFonts w:ascii="Calibri" w:eastAsia="Times New Roman" w:hAnsi="Calibri" w:cs="Times New Roman"/>
          <w:b/>
          <w:bCs/>
          <w:color w:val="3D1D48" w:themeColor="accent4" w:themeShade="BF"/>
          <w:sz w:val="22"/>
        </w:rPr>
        <w:t>Development of evidentiary resources</w:t>
      </w:r>
      <w:bookmarkEnd w:id="25"/>
    </w:p>
    <w:p w14:paraId="4C34E166" w14:textId="77777777" w:rsidR="002A6F5F" w:rsidRPr="00F31851" w:rsidRDefault="002A6F5F" w:rsidP="00E35EF6">
      <w:pPr>
        <w:spacing w:after="120" w:line="276" w:lineRule="auto"/>
        <w:rPr>
          <w:rFonts w:ascii="Calibri" w:eastAsia="Times New Roman" w:hAnsi="Calibri" w:cs="Times New Roman"/>
          <w:sz w:val="22"/>
        </w:rPr>
      </w:pPr>
      <w:bookmarkStart w:id="26" w:name="_Toc12371651"/>
      <w:r w:rsidRPr="00F31851">
        <w:rPr>
          <w:rFonts w:ascii="Calibri" w:eastAsia="Times New Roman" w:hAnsi="Calibri" w:cs="Times New Roman"/>
          <w:sz w:val="22"/>
        </w:rPr>
        <w:t>Research has revealed that the collection of evidence to support decisions to include students in the NCCD can be challenging for school staff and appear to be inconsistent across sectors.</w:t>
      </w:r>
      <w:bookmarkEnd w:id="26"/>
      <w:r w:rsidRPr="00F31851">
        <w:rPr>
          <w:rFonts w:ascii="Calibri" w:eastAsia="Times New Roman" w:hAnsi="Calibri" w:cs="Times New Roman"/>
          <w:sz w:val="22"/>
        </w:rPr>
        <w:t xml:space="preserve"> </w:t>
      </w:r>
    </w:p>
    <w:p w14:paraId="23B7F600" w14:textId="79E3679D" w:rsidR="002A6F5F" w:rsidRPr="00F31851" w:rsidRDefault="002A6F5F"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As part of the 2018 NCCD Data Validation project, PwC and expert CCPs visiting schools in May /June consulted with school staff on the types and range of resources that could be developed to help school staff understand the NCCD evidentiary requirements and to make evidence collection/documentation process simpler and more consistent.</w:t>
      </w:r>
    </w:p>
    <w:p w14:paraId="63651FB6" w14:textId="77777777" w:rsidR="002A6F5F" w:rsidRPr="00F31851" w:rsidRDefault="002A6F5F"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The ‘templates’ are due to be provided to the department by the end of August 2019.</w:t>
      </w:r>
    </w:p>
    <w:p w14:paraId="27CBA895" w14:textId="07E0543D" w:rsidR="00AD3086" w:rsidRPr="00E35EF6" w:rsidRDefault="00AD3086" w:rsidP="00EE4E96">
      <w:pPr>
        <w:spacing w:after="120"/>
        <w:rPr>
          <w:rFonts w:ascii="Calibri" w:eastAsia="Times New Roman" w:hAnsi="Calibri" w:cs="Times New Roman"/>
          <w:b/>
          <w:bCs/>
          <w:color w:val="3D1D48" w:themeColor="accent4" w:themeShade="BF"/>
          <w:sz w:val="22"/>
        </w:rPr>
      </w:pPr>
      <w:bookmarkStart w:id="27" w:name="_Toc12371652"/>
      <w:r w:rsidRPr="00E35EF6">
        <w:rPr>
          <w:rFonts w:ascii="Calibri" w:eastAsia="Times New Roman" w:hAnsi="Calibri" w:cs="Times New Roman"/>
          <w:b/>
          <w:bCs/>
          <w:color w:val="3D1D48" w:themeColor="accent4" w:themeShade="BF"/>
          <w:sz w:val="22"/>
        </w:rPr>
        <w:t>NCCD portal</w:t>
      </w:r>
      <w:bookmarkEnd w:id="27"/>
    </w:p>
    <w:p w14:paraId="4B0F35E5" w14:textId="77777777" w:rsidR="00AD3086" w:rsidRPr="00F31851" w:rsidRDefault="00AD3086" w:rsidP="00E35EF6">
      <w:pPr>
        <w:spacing w:after="120" w:line="276" w:lineRule="auto"/>
        <w:rPr>
          <w:rFonts w:ascii="Calibri" w:eastAsia="Times New Roman" w:hAnsi="Calibri" w:cs="Times New Roman"/>
          <w:sz w:val="22"/>
        </w:rPr>
      </w:pPr>
      <w:bookmarkStart w:id="28" w:name="_Toc12371653"/>
      <w:r w:rsidRPr="00F31851">
        <w:rPr>
          <w:rFonts w:ascii="Calibri" w:eastAsia="Times New Roman" w:hAnsi="Calibri" w:cs="Times New Roman"/>
          <w:sz w:val="22"/>
        </w:rPr>
        <w:t>In June 2018, the department engaged ESA to develop a national NCCD Portal.</w:t>
      </w:r>
      <w:bookmarkEnd w:id="28"/>
    </w:p>
    <w:p w14:paraId="21935CE6" w14:textId="77777777" w:rsidR="00AD3086" w:rsidRPr="00F31851" w:rsidRDefault="00AD3086" w:rsidP="00E35EF6">
      <w:pPr>
        <w:spacing w:after="120" w:line="276" w:lineRule="auto"/>
        <w:rPr>
          <w:rFonts w:ascii="Calibri" w:eastAsia="Times New Roman" w:hAnsi="Calibri" w:cs="Times New Roman"/>
          <w:sz w:val="22"/>
        </w:rPr>
      </w:pPr>
      <w:bookmarkStart w:id="29" w:name="_Toc12371654"/>
      <w:r w:rsidRPr="00F31851">
        <w:rPr>
          <w:rFonts w:ascii="Calibri" w:eastAsia="Times New Roman" w:hAnsi="Calibri" w:cs="Times New Roman"/>
          <w:sz w:val="22"/>
        </w:rPr>
        <w:t>The Portal (</w:t>
      </w:r>
      <w:r w:rsidRPr="00E35EF6">
        <w:rPr>
          <w:rFonts w:ascii="Calibri" w:eastAsia="Times New Roman" w:hAnsi="Calibri" w:cs="Times New Roman"/>
          <w:sz w:val="22"/>
          <w:u w:val="single"/>
        </w:rPr>
        <w:t>www.nccd.edu.au</w:t>
      </w:r>
      <w:r w:rsidRPr="00F31851">
        <w:rPr>
          <w:rFonts w:ascii="Calibri" w:eastAsia="Times New Roman" w:hAnsi="Calibri" w:cs="Times New Roman"/>
          <w:sz w:val="22"/>
        </w:rPr>
        <w:t xml:space="preserve">) is an interactive platform housing information about the NCCD, the </w:t>
      </w:r>
      <w:r w:rsidRPr="007B5D09">
        <w:rPr>
          <w:rFonts w:ascii="Calibri" w:eastAsia="Times New Roman" w:hAnsi="Calibri" w:cs="Times New Roman"/>
          <w:i/>
          <w:sz w:val="22"/>
        </w:rPr>
        <w:t>Disability Discrimination Act 1992</w:t>
      </w:r>
      <w:r w:rsidRPr="00F31851">
        <w:rPr>
          <w:rFonts w:ascii="Calibri" w:eastAsia="Times New Roman" w:hAnsi="Calibri" w:cs="Times New Roman"/>
          <w:sz w:val="22"/>
        </w:rPr>
        <w:t xml:space="preserve"> and the Disability Standards for Education 2005, along with national training materials and resources for school leaders, teachers, support staff, parents and carers.</w:t>
      </w:r>
      <w:bookmarkEnd w:id="29"/>
    </w:p>
    <w:p w14:paraId="2D5F9AB4" w14:textId="6F10A4A8" w:rsidR="00AD3086" w:rsidRPr="00F31851" w:rsidRDefault="00AD3086" w:rsidP="00E35EF6">
      <w:pPr>
        <w:spacing w:after="120" w:line="276" w:lineRule="auto"/>
        <w:rPr>
          <w:rFonts w:ascii="Calibri" w:eastAsia="Times New Roman" w:hAnsi="Calibri" w:cs="Times New Roman"/>
          <w:sz w:val="22"/>
        </w:rPr>
      </w:pPr>
      <w:bookmarkStart w:id="30" w:name="_Toc12371655"/>
      <w:r w:rsidRPr="00F31851">
        <w:rPr>
          <w:rFonts w:ascii="Calibri" w:eastAsia="Times New Roman" w:hAnsi="Calibri" w:cs="Times New Roman"/>
          <w:sz w:val="22"/>
        </w:rPr>
        <w:t xml:space="preserve">The Portal went live on 16 February 2019. Early website analytics indicate very good uptake of the Portal since launch. ESA will track usage of the Portal through to 30 June </w:t>
      </w:r>
      <w:r w:rsidR="002A6F5F" w:rsidRPr="00F31851">
        <w:rPr>
          <w:rFonts w:ascii="Calibri" w:eastAsia="Times New Roman" w:hAnsi="Calibri" w:cs="Times New Roman"/>
          <w:sz w:val="22"/>
        </w:rPr>
        <w:t>2020</w:t>
      </w:r>
      <w:r w:rsidRPr="00F31851">
        <w:rPr>
          <w:rFonts w:ascii="Calibri" w:eastAsia="Times New Roman" w:hAnsi="Calibri" w:cs="Times New Roman"/>
          <w:sz w:val="22"/>
        </w:rPr>
        <w:t xml:space="preserve">, when the grant </w:t>
      </w:r>
      <w:r w:rsidR="002A6F5F" w:rsidRPr="00F31851">
        <w:rPr>
          <w:rFonts w:ascii="Calibri" w:eastAsia="Times New Roman" w:hAnsi="Calibri" w:cs="Times New Roman"/>
          <w:sz w:val="22"/>
        </w:rPr>
        <w:t>agreement ends</w:t>
      </w:r>
      <w:r w:rsidRPr="00F31851">
        <w:rPr>
          <w:rFonts w:ascii="Calibri" w:eastAsia="Times New Roman" w:hAnsi="Calibri" w:cs="Times New Roman"/>
          <w:sz w:val="22"/>
        </w:rPr>
        <w:t>.</w:t>
      </w:r>
      <w:bookmarkEnd w:id="30"/>
    </w:p>
    <w:p w14:paraId="41343910" w14:textId="77777777" w:rsidR="00A149BC" w:rsidRDefault="00A149BC" w:rsidP="00E35EF6">
      <w:pPr>
        <w:spacing w:after="120" w:line="276" w:lineRule="auto"/>
        <w:rPr>
          <w:rFonts w:ascii="Calibri" w:eastAsia="Times New Roman" w:hAnsi="Calibri" w:cs="Times New Roman"/>
          <w:sz w:val="22"/>
        </w:rPr>
      </w:pPr>
      <w:bookmarkStart w:id="31" w:name="_Toc12371656"/>
    </w:p>
    <w:p w14:paraId="6A045C8E" w14:textId="77777777" w:rsidR="00A149BC" w:rsidRDefault="00A149BC" w:rsidP="00E35EF6">
      <w:pPr>
        <w:spacing w:after="120" w:line="276" w:lineRule="auto"/>
        <w:rPr>
          <w:rFonts w:ascii="Calibri" w:eastAsia="Times New Roman" w:hAnsi="Calibri" w:cs="Times New Roman"/>
          <w:sz w:val="22"/>
        </w:rPr>
      </w:pPr>
    </w:p>
    <w:p w14:paraId="47BEB93E" w14:textId="0172874E" w:rsidR="00AD3086" w:rsidRPr="00F31851" w:rsidRDefault="00AD3086" w:rsidP="00E35EF6">
      <w:pPr>
        <w:spacing w:after="120" w:line="276" w:lineRule="auto"/>
        <w:rPr>
          <w:rFonts w:ascii="Calibri" w:eastAsia="Times New Roman" w:hAnsi="Calibri" w:cs="Times New Roman"/>
          <w:sz w:val="22"/>
        </w:rPr>
      </w:pPr>
      <w:r w:rsidRPr="00F31851">
        <w:rPr>
          <w:rFonts w:ascii="Calibri" w:eastAsia="Times New Roman" w:hAnsi="Calibri" w:cs="Times New Roman"/>
          <w:sz w:val="22"/>
        </w:rPr>
        <w:t xml:space="preserve">ESA has undertaken extensive consultation on the Portal design, functionality and content with the department, key stakeholders, the </w:t>
      </w:r>
      <w:r w:rsidR="002A6F5F" w:rsidRPr="00F31851">
        <w:rPr>
          <w:rFonts w:ascii="Calibri" w:eastAsia="Times New Roman" w:hAnsi="Calibri" w:cs="Times New Roman"/>
          <w:sz w:val="22"/>
        </w:rPr>
        <w:t>JWG</w:t>
      </w:r>
      <w:r w:rsidRPr="00F31851">
        <w:rPr>
          <w:rFonts w:ascii="Calibri" w:eastAsia="Times New Roman" w:hAnsi="Calibri" w:cs="Times New Roman"/>
          <w:sz w:val="22"/>
        </w:rPr>
        <w:t xml:space="preserve"> and potential end users at key points throughout the project.</w:t>
      </w:r>
      <w:bookmarkEnd w:id="31"/>
    </w:p>
    <w:p w14:paraId="643CC8B1" w14:textId="77777777" w:rsidR="00AD3086" w:rsidRPr="00E35EF6" w:rsidRDefault="00AD3086" w:rsidP="00EE4E96">
      <w:pPr>
        <w:spacing w:after="120"/>
        <w:rPr>
          <w:rFonts w:ascii="Calibri" w:eastAsia="Times New Roman" w:hAnsi="Calibri" w:cs="Times New Roman"/>
          <w:b/>
          <w:bCs/>
          <w:color w:val="3D1D48" w:themeColor="accent4" w:themeShade="BF"/>
          <w:sz w:val="22"/>
        </w:rPr>
      </w:pPr>
      <w:bookmarkStart w:id="32" w:name="_Toc12371657"/>
      <w:r w:rsidRPr="00E35EF6">
        <w:rPr>
          <w:rFonts w:ascii="Calibri" w:eastAsia="Times New Roman" w:hAnsi="Calibri" w:cs="Times New Roman"/>
          <w:b/>
          <w:bCs/>
          <w:color w:val="3D1D48" w:themeColor="accent4" w:themeShade="BF"/>
          <w:sz w:val="22"/>
        </w:rPr>
        <w:t>Gap Analysis project</w:t>
      </w:r>
      <w:bookmarkEnd w:id="32"/>
    </w:p>
    <w:p w14:paraId="0AEC0D63" w14:textId="77777777" w:rsidR="00AD3086" w:rsidRPr="00F31851" w:rsidRDefault="00AD3086" w:rsidP="00E35EF6">
      <w:pPr>
        <w:spacing w:after="120" w:line="276" w:lineRule="auto"/>
        <w:rPr>
          <w:rFonts w:ascii="Calibri" w:eastAsia="Times New Roman" w:hAnsi="Calibri" w:cs="Times New Roman"/>
          <w:sz w:val="22"/>
        </w:rPr>
      </w:pPr>
      <w:bookmarkStart w:id="33" w:name="_Toc12371658"/>
      <w:r w:rsidRPr="00F31851">
        <w:rPr>
          <w:rFonts w:ascii="Calibri" w:eastAsia="Times New Roman" w:hAnsi="Calibri" w:cs="Times New Roman"/>
          <w:sz w:val="22"/>
        </w:rPr>
        <w:t>A Gap Analysis project was conducted to explore school staff understanding of the NCCD, drivers/barriers to their confidence in applying the model and perceived gaps in support and resources.</w:t>
      </w:r>
      <w:bookmarkEnd w:id="33"/>
    </w:p>
    <w:p w14:paraId="1CCA55B3" w14:textId="73E663C7" w:rsidR="00AD3086" w:rsidRPr="00F31851" w:rsidRDefault="00AD3086" w:rsidP="00E35EF6">
      <w:pPr>
        <w:spacing w:after="120" w:line="276" w:lineRule="auto"/>
        <w:rPr>
          <w:rFonts w:ascii="Calibri" w:eastAsia="Times New Roman" w:hAnsi="Calibri" w:cs="Times New Roman"/>
          <w:sz w:val="22"/>
        </w:rPr>
      </w:pPr>
      <w:bookmarkStart w:id="34" w:name="_Toc12371659"/>
      <w:r w:rsidRPr="00F31851">
        <w:rPr>
          <w:rFonts w:ascii="Calibri" w:eastAsia="Times New Roman" w:hAnsi="Calibri" w:cs="Times New Roman"/>
          <w:sz w:val="22"/>
        </w:rPr>
        <w:t>The project delivered workshops with over 500 people involved with the NCCD in their school across all states and territories in Australia, and an on</w:t>
      </w:r>
      <w:r w:rsidR="002D7DAF">
        <w:rPr>
          <w:rFonts w:ascii="Calibri" w:eastAsia="Times New Roman" w:hAnsi="Calibri" w:cs="Times New Roman"/>
          <w:sz w:val="22"/>
        </w:rPr>
        <w:t>line survey completed by over 1</w:t>
      </w:r>
      <w:r w:rsidRPr="00F31851">
        <w:rPr>
          <w:rFonts w:ascii="Calibri" w:eastAsia="Times New Roman" w:hAnsi="Calibri" w:cs="Times New Roman"/>
          <w:sz w:val="22"/>
        </w:rPr>
        <w:t>200 people nationally.</w:t>
      </w:r>
      <w:bookmarkEnd w:id="34"/>
    </w:p>
    <w:p w14:paraId="1946797D" w14:textId="0AE4C917" w:rsidR="00AD3086" w:rsidRPr="00F31851" w:rsidRDefault="00AD3086" w:rsidP="00E35EF6">
      <w:pPr>
        <w:spacing w:after="120" w:line="276" w:lineRule="auto"/>
        <w:rPr>
          <w:rFonts w:ascii="Calibri" w:eastAsia="Times New Roman" w:hAnsi="Calibri" w:cs="Times New Roman"/>
          <w:sz w:val="22"/>
        </w:rPr>
      </w:pPr>
      <w:bookmarkStart w:id="35" w:name="_Toc12371660"/>
      <w:r w:rsidRPr="00F31851">
        <w:rPr>
          <w:rFonts w:ascii="Calibri" w:eastAsia="Times New Roman" w:hAnsi="Calibri" w:cs="Times New Roman"/>
          <w:sz w:val="22"/>
        </w:rPr>
        <w:t xml:space="preserve">Many recommendations point to the need for improved resources and better training. The NCCD Portal should address some of these, as will case studies arising from the Monash University </w:t>
      </w:r>
      <w:r w:rsidR="002D7DAF">
        <w:rPr>
          <w:rFonts w:ascii="Calibri" w:eastAsia="Times New Roman" w:hAnsi="Calibri" w:cs="Times New Roman"/>
          <w:sz w:val="22"/>
        </w:rPr>
        <w:t xml:space="preserve">on </w:t>
      </w:r>
      <w:r w:rsidRPr="00F31851">
        <w:rPr>
          <w:rFonts w:ascii="Calibri" w:eastAsia="Times New Roman" w:hAnsi="Calibri" w:cs="Times New Roman"/>
          <w:sz w:val="22"/>
        </w:rPr>
        <w:t>teacher judgement project.</w:t>
      </w:r>
      <w:bookmarkEnd w:id="35"/>
      <w:r w:rsidRPr="00F31851">
        <w:rPr>
          <w:rFonts w:ascii="Calibri" w:eastAsia="Times New Roman" w:hAnsi="Calibri" w:cs="Times New Roman"/>
          <w:sz w:val="22"/>
        </w:rPr>
        <w:t xml:space="preserve"> </w:t>
      </w:r>
    </w:p>
    <w:p w14:paraId="3FAF727F" w14:textId="77777777" w:rsidR="00AD3086" w:rsidRPr="00F31851" w:rsidRDefault="00AD3086" w:rsidP="00E35EF6">
      <w:pPr>
        <w:spacing w:after="120" w:line="276" w:lineRule="auto"/>
        <w:rPr>
          <w:rFonts w:ascii="Calibri" w:eastAsia="Times New Roman" w:hAnsi="Calibri" w:cs="Times New Roman"/>
          <w:sz w:val="22"/>
        </w:rPr>
      </w:pPr>
      <w:bookmarkStart w:id="36" w:name="_Toc12371661"/>
      <w:r w:rsidRPr="00F31851">
        <w:rPr>
          <w:rFonts w:ascii="Calibri" w:eastAsia="Times New Roman" w:hAnsi="Calibri" w:cs="Times New Roman"/>
          <w:sz w:val="22"/>
        </w:rPr>
        <w:t>Department officials will work with ESA to address any identified gaps that could be addressed with content on the Portal. Other recommendations support previous research emphasising the importance of leadership in schools.</w:t>
      </w:r>
      <w:bookmarkEnd w:id="36"/>
    </w:p>
    <w:p w14:paraId="48C853EB" w14:textId="77777777" w:rsidR="00AD3086" w:rsidRPr="00E35EF6" w:rsidRDefault="00AD3086" w:rsidP="00EE4E96">
      <w:pPr>
        <w:spacing w:after="120"/>
        <w:rPr>
          <w:rFonts w:ascii="Calibri" w:eastAsia="Times New Roman" w:hAnsi="Calibri" w:cs="Times New Roman"/>
          <w:b/>
          <w:bCs/>
          <w:color w:val="3D1D48" w:themeColor="accent4" w:themeShade="BF"/>
          <w:sz w:val="22"/>
        </w:rPr>
      </w:pPr>
      <w:bookmarkStart w:id="37" w:name="_Toc12371662"/>
      <w:r w:rsidRPr="00E35EF6">
        <w:rPr>
          <w:rFonts w:ascii="Calibri" w:eastAsia="Times New Roman" w:hAnsi="Calibri" w:cs="Times New Roman"/>
          <w:b/>
          <w:bCs/>
          <w:color w:val="3D1D48" w:themeColor="accent4" w:themeShade="BF"/>
          <w:sz w:val="22"/>
        </w:rPr>
        <w:t>Teacher Judgement project</w:t>
      </w:r>
      <w:bookmarkEnd w:id="37"/>
    </w:p>
    <w:p w14:paraId="484839C9" w14:textId="57F4D83B" w:rsidR="00AD3086" w:rsidRPr="00F31851" w:rsidRDefault="00AD3086" w:rsidP="00E35EF6">
      <w:pPr>
        <w:spacing w:after="120" w:line="276" w:lineRule="auto"/>
        <w:rPr>
          <w:rFonts w:ascii="Calibri" w:eastAsia="Times New Roman" w:hAnsi="Calibri" w:cs="Times New Roman"/>
          <w:sz w:val="22"/>
        </w:rPr>
      </w:pPr>
      <w:bookmarkStart w:id="38" w:name="_Toc12371663"/>
      <w:r w:rsidRPr="00F31851">
        <w:rPr>
          <w:rFonts w:ascii="Calibri" w:eastAsia="Times New Roman" w:hAnsi="Calibri" w:cs="Times New Roman"/>
          <w:sz w:val="22"/>
        </w:rPr>
        <w:t xml:space="preserve">The department engaged Monash University to conduct research into the factors that influence the accuracy and consistency of teacher judgement on the NCCD model. </w:t>
      </w:r>
      <w:r w:rsidR="002D7DAF">
        <w:rPr>
          <w:rFonts w:ascii="Calibri" w:eastAsia="Times New Roman" w:hAnsi="Calibri" w:cs="Times New Roman"/>
          <w:sz w:val="22"/>
        </w:rPr>
        <w:t xml:space="preserve">PwC was </w:t>
      </w:r>
      <w:r w:rsidRPr="00F31851">
        <w:rPr>
          <w:rFonts w:ascii="Calibri" w:eastAsia="Times New Roman" w:hAnsi="Calibri" w:cs="Times New Roman"/>
          <w:sz w:val="22"/>
        </w:rPr>
        <w:t>subcontracted to do the data collection and analysis component.</w:t>
      </w:r>
      <w:bookmarkEnd w:id="38"/>
    </w:p>
    <w:p w14:paraId="15DD9E93" w14:textId="77777777" w:rsidR="00AD3086" w:rsidRPr="00F31851" w:rsidRDefault="00AD3086" w:rsidP="00E35EF6">
      <w:pPr>
        <w:spacing w:after="120" w:line="276" w:lineRule="auto"/>
        <w:rPr>
          <w:rFonts w:ascii="Calibri" w:eastAsia="Times New Roman" w:hAnsi="Calibri" w:cs="Times New Roman"/>
          <w:sz w:val="22"/>
        </w:rPr>
      </w:pPr>
      <w:bookmarkStart w:id="39" w:name="_Toc12371664"/>
      <w:r w:rsidRPr="00F31851">
        <w:rPr>
          <w:rFonts w:ascii="Calibri" w:eastAsia="Times New Roman" w:hAnsi="Calibri" w:cs="Times New Roman"/>
          <w:sz w:val="22"/>
        </w:rPr>
        <w:t>The research examined how teachers from different backgrounds (such as jurisdictions, sectors, levels of schooling and geographic locations) apply their judgement to the complex case studies on students with disability and the extent to which factors such as professional development, years of service and in-school moderation processes influence judgement.</w:t>
      </w:r>
      <w:bookmarkEnd w:id="39"/>
      <w:r w:rsidRPr="00F31851">
        <w:rPr>
          <w:rFonts w:ascii="Calibri" w:eastAsia="Times New Roman" w:hAnsi="Calibri" w:cs="Times New Roman"/>
          <w:sz w:val="22"/>
        </w:rPr>
        <w:t xml:space="preserve"> </w:t>
      </w:r>
    </w:p>
    <w:p w14:paraId="7BADD4B8" w14:textId="77777777" w:rsidR="002A6F5F" w:rsidRPr="00F31851" w:rsidRDefault="002A6F5F" w:rsidP="00E35EF6">
      <w:pPr>
        <w:spacing w:after="120" w:line="276" w:lineRule="auto"/>
        <w:rPr>
          <w:rFonts w:ascii="Calibri" w:eastAsia="Times New Roman" w:hAnsi="Calibri" w:cs="Times New Roman"/>
          <w:sz w:val="22"/>
        </w:rPr>
      </w:pPr>
      <w:bookmarkStart w:id="40" w:name="_Toc12371665"/>
      <w:r w:rsidRPr="00F31851">
        <w:rPr>
          <w:rFonts w:ascii="Calibri" w:eastAsia="Times New Roman" w:hAnsi="Calibri" w:cs="Times New Roman"/>
          <w:sz w:val="22"/>
        </w:rPr>
        <w:t>Data was collected via an online survey that closed on 7 April 2019. Initial results suggest that across sectors many school staff are not making accurate judgements and require more training and resources to improve their accuracy.</w:t>
      </w:r>
      <w:bookmarkEnd w:id="40"/>
      <w:r w:rsidRPr="00F31851">
        <w:rPr>
          <w:rFonts w:ascii="Calibri" w:eastAsia="Times New Roman" w:hAnsi="Calibri" w:cs="Times New Roman"/>
          <w:sz w:val="22"/>
        </w:rPr>
        <w:t xml:space="preserve"> </w:t>
      </w:r>
    </w:p>
    <w:p w14:paraId="56C6A3EF" w14:textId="77777777" w:rsidR="002A6F5F" w:rsidRPr="00F31851" w:rsidRDefault="002A6F5F" w:rsidP="00E35EF6">
      <w:pPr>
        <w:spacing w:after="120" w:line="276" w:lineRule="auto"/>
        <w:rPr>
          <w:rFonts w:ascii="Calibri" w:eastAsia="Times New Roman" w:hAnsi="Calibri" w:cs="Times New Roman"/>
          <w:sz w:val="22"/>
        </w:rPr>
      </w:pPr>
      <w:bookmarkStart w:id="41" w:name="_Toc12371666"/>
      <w:r w:rsidRPr="00F31851">
        <w:rPr>
          <w:rFonts w:ascii="Calibri" w:eastAsia="Times New Roman" w:hAnsi="Calibri" w:cs="Times New Roman"/>
          <w:sz w:val="22"/>
        </w:rPr>
        <w:t>Assistance in developing whole-of-school approaches including training for school leaders would not only improve accuracy but also embed the notion that the NCCD was more than a compliance activity; it has direct impact on educational outcomes.</w:t>
      </w:r>
      <w:bookmarkEnd w:id="41"/>
    </w:p>
    <w:p w14:paraId="72193CF9" w14:textId="4DA57516" w:rsidR="00AD3086" w:rsidRPr="00F31851" w:rsidRDefault="00AD3086" w:rsidP="00E35EF6">
      <w:pPr>
        <w:spacing w:after="120" w:line="276" w:lineRule="auto"/>
        <w:rPr>
          <w:rFonts w:ascii="Calibri" w:eastAsia="Times New Roman" w:hAnsi="Calibri" w:cs="Times New Roman"/>
          <w:sz w:val="22"/>
        </w:rPr>
      </w:pPr>
      <w:bookmarkStart w:id="42" w:name="_Toc12371667"/>
      <w:r w:rsidRPr="00F31851">
        <w:rPr>
          <w:rFonts w:ascii="Calibri" w:eastAsia="Times New Roman" w:hAnsi="Calibri" w:cs="Times New Roman"/>
          <w:sz w:val="22"/>
        </w:rPr>
        <w:t xml:space="preserve">The project </w:t>
      </w:r>
      <w:r w:rsidR="001017C6" w:rsidRPr="00F31851">
        <w:rPr>
          <w:rFonts w:ascii="Calibri" w:eastAsia="Times New Roman" w:hAnsi="Calibri" w:cs="Times New Roman"/>
          <w:sz w:val="22"/>
        </w:rPr>
        <w:t>was</w:t>
      </w:r>
      <w:r w:rsidRPr="00F31851">
        <w:rPr>
          <w:rFonts w:ascii="Calibri" w:eastAsia="Times New Roman" w:hAnsi="Calibri" w:cs="Times New Roman"/>
          <w:sz w:val="22"/>
        </w:rPr>
        <w:t xml:space="preserve"> completed in June 2019.</w:t>
      </w:r>
      <w:bookmarkEnd w:id="42"/>
      <w:r w:rsidRPr="00F31851">
        <w:rPr>
          <w:rFonts w:ascii="Calibri" w:eastAsia="Times New Roman" w:hAnsi="Calibri" w:cs="Times New Roman"/>
          <w:sz w:val="22"/>
        </w:rPr>
        <w:t xml:space="preserve"> </w:t>
      </w:r>
    </w:p>
    <w:p w14:paraId="4D4518EA" w14:textId="77777777" w:rsidR="00AD3086" w:rsidRPr="00E35EF6" w:rsidRDefault="00AD3086" w:rsidP="00EE4E96">
      <w:pPr>
        <w:spacing w:after="120"/>
        <w:rPr>
          <w:rFonts w:ascii="Calibri" w:eastAsia="Times New Roman" w:hAnsi="Calibri" w:cs="Times New Roman"/>
          <w:b/>
          <w:bCs/>
          <w:color w:val="3D1D48" w:themeColor="accent4" w:themeShade="BF"/>
          <w:sz w:val="22"/>
        </w:rPr>
      </w:pPr>
      <w:bookmarkStart w:id="43" w:name="_Toc12371668"/>
      <w:r w:rsidRPr="00E35EF6">
        <w:rPr>
          <w:rFonts w:ascii="Calibri" w:eastAsia="Times New Roman" w:hAnsi="Calibri" w:cs="Times New Roman"/>
          <w:b/>
          <w:bCs/>
          <w:color w:val="3D1D48" w:themeColor="accent4" w:themeShade="BF"/>
          <w:sz w:val="22"/>
        </w:rPr>
        <w:t>2017 NCCD Assurance Pilot Project</w:t>
      </w:r>
      <w:bookmarkEnd w:id="43"/>
    </w:p>
    <w:p w14:paraId="6ED9979B" w14:textId="4FAB25E1" w:rsidR="00AD3086" w:rsidRPr="00F31851" w:rsidRDefault="00AD3086" w:rsidP="00E35EF6">
      <w:pPr>
        <w:spacing w:after="120" w:line="276" w:lineRule="auto"/>
        <w:rPr>
          <w:rFonts w:ascii="Calibri" w:eastAsia="Times New Roman" w:hAnsi="Calibri" w:cs="Times New Roman"/>
          <w:sz w:val="22"/>
        </w:rPr>
      </w:pPr>
      <w:bookmarkStart w:id="44" w:name="_Toc12371669"/>
      <w:r w:rsidRPr="00F31851">
        <w:rPr>
          <w:rFonts w:ascii="Calibri" w:eastAsia="Times New Roman" w:hAnsi="Calibri" w:cs="Times New Roman"/>
          <w:sz w:val="22"/>
        </w:rPr>
        <w:t>In December</w:t>
      </w:r>
      <w:r w:rsidR="002D7DAF">
        <w:rPr>
          <w:rFonts w:ascii="Calibri" w:eastAsia="Times New Roman" w:hAnsi="Calibri" w:cs="Times New Roman"/>
          <w:sz w:val="22"/>
        </w:rPr>
        <w:t xml:space="preserve"> 2017, the department engaged Pw</w:t>
      </w:r>
      <w:r w:rsidRPr="00F31851">
        <w:rPr>
          <w:rFonts w:ascii="Calibri" w:eastAsia="Times New Roman" w:hAnsi="Calibri" w:cs="Times New Roman"/>
          <w:sz w:val="22"/>
        </w:rPr>
        <w:t>C to develop advice on a best practice post-enumeration and audit framework for the NCCD to ensure compliance by approved authorities for non-government schools.</w:t>
      </w:r>
      <w:bookmarkEnd w:id="44"/>
    </w:p>
    <w:p w14:paraId="3F264E48" w14:textId="755A8A17" w:rsidR="001017C6" w:rsidRPr="00F31851" w:rsidRDefault="002D7DAF" w:rsidP="00E35EF6">
      <w:pPr>
        <w:spacing w:after="120" w:line="276" w:lineRule="auto"/>
        <w:rPr>
          <w:rFonts w:ascii="Calibri" w:eastAsia="Times New Roman" w:hAnsi="Calibri" w:cs="Times New Roman"/>
          <w:sz w:val="22"/>
        </w:rPr>
      </w:pPr>
      <w:bookmarkStart w:id="45" w:name="_Toc12371670"/>
      <w:r>
        <w:rPr>
          <w:rFonts w:ascii="Calibri" w:eastAsia="Times New Roman" w:hAnsi="Calibri" w:cs="Times New Roman"/>
          <w:sz w:val="22"/>
        </w:rPr>
        <w:t>Pw</w:t>
      </w:r>
      <w:r w:rsidR="001017C6" w:rsidRPr="00F31851">
        <w:rPr>
          <w:rFonts w:ascii="Calibri" w:eastAsia="Times New Roman" w:hAnsi="Calibri" w:cs="Times New Roman"/>
          <w:sz w:val="22"/>
        </w:rPr>
        <w:t xml:space="preserve">C </w:t>
      </w:r>
      <w:r>
        <w:rPr>
          <w:rFonts w:ascii="Calibri" w:eastAsia="Times New Roman" w:hAnsi="Calibri" w:cs="Times New Roman"/>
          <w:sz w:val="22"/>
        </w:rPr>
        <w:t>visited 150 schools, reviewed 3</w:t>
      </w:r>
      <w:r w:rsidR="001017C6" w:rsidRPr="00F31851">
        <w:rPr>
          <w:rFonts w:ascii="Calibri" w:eastAsia="Times New Roman" w:hAnsi="Calibri" w:cs="Times New Roman"/>
          <w:sz w:val="22"/>
        </w:rPr>
        <w:t>295 sample student records and conducted focus group discussions with approved authorities and Catholic, Independent and special schools in Brisbane, Melbourne, Perth and Canberra to test and validate draft findings.</w:t>
      </w:r>
      <w:bookmarkEnd w:id="45"/>
    </w:p>
    <w:p w14:paraId="3B960695" w14:textId="77777777" w:rsidR="001017C6" w:rsidRPr="00F31851" w:rsidRDefault="001017C6" w:rsidP="00E35EF6">
      <w:pPr>
        <w:spacing w:after="120" w:line="276" w:lineRule="auto"/>
        <w:rPr>
          <w:rFonts w:ascii="Calibri" w:eastAsia="Times New Roman" w:hAnsi="Calibri" w:cs="Times New Roman"/>
          <w:sz w:val="22"/>
        </w:rPr>
      </w:pPr>
      <w:bookmarkStart w:id="46" w:name="_Toc12371671"/>
      <w:r w:rsidRPr="00F31851">
        <w:rPr>
          <w:rFonts w:ascii="Calibri" w:eastAsia="Times New Roman" w:hAnsi="Calibri" w:cs="Times New Roman"/>
          <w:sz w:val="22"/>
        </w:rPr>
        <w:t>The project found that in the majority of cases, schools are complying with the evidentiary requirements of the NCCD.</w:t>
      </w:r>
      <w:bookmarkEnd w:id="46"/>
      <w:r w:rsidRPr="00F31851">
        <w:rPr>
          <w:rFonts w:ascii="Calibri" w:eastAsia="Times New Roman" w:hAnsi="Calibri" w:cs="Times New Roman"/>
          <w:sz w:val="22"/>
        </w:rPr>
        <w:t xml:space="preserve"> </w:t>
      </w:r>
    </w:p>
    <w:p w14:paraId="05876796" w14:textId="029631B2" w:rsidR="001017C6" w:rsidRPr="00F31851" w:rsidRDefault="001017C6" w:rsidP="00E35EF6">
      <w:pPr>
        <w:spacing w:after="120" w:line="276" w:lineRule="auto"/>
        <w:rPr>
          <w:rFonts w:ascii="Calibri" w:eastAsia="Times New Roman" w:hAnsi="Calibri" w:cs="Times New Roman"/>
          <w:sz w:val="22"/>
        </w:rPr>
      </w:pPr>
      <w:bookmarkStart w:id="47" w:name="_Toc12371672"/>
      <w:r w:rsidRPr="00F31851">
        <w:rPr>
          <w:rFonts w:ascii="Calibri" w:eastAsia="Times New Roman" w:hAnsi="Calibri" w:cs="Times New Roman"/>
          <w:sz w:val="22"/>
        </w:rPr>
        <w:t>The report delivered in July 2018 recommended:</w:t>
      </w:r>
      <w:bookmarkEnd w:id="47"/>
    </w:p>
    <w:p w14:paraId="369D96B9" w14:textId="77777777" w:rsidR="001017C6" w:rsidRPr="00E35EF6" w:rsidRDefault="001017C6" w:rsidP="0007147D">
      <w:pPr>
        <w:pStyle w:val="ListParagraph"/>
        <w:numPr>
          <w:ilvl w:val="0"/>
          <w:numId w:val="12"/>
        </w:numPr>
        <w:spacing w:after="120" w:line="276" w:lineRule="auto"/>
        <w:rPr>
          <w:rFonts w:ascii="Calibri" w:eastAsia="Times New Roman" w:hAnsi="Calibri" w:cs="Times New Roman"/>
          <w:sz w:val="22"/>
        </w:rPr>
      </w:pPr>
      <w:r w:rsidRPr="00E35EF6">
        <w:rPr>
          <w:rFonts w:ascii="Calibri" w:eastAsia="Times New Roman" w:hAnsi="Calibri" w:cs="Times New Roman"/>
          <w:sz w:val="22"/>
        </w:rPr>
        <w:t>the establishment of criteria to be applied through the PE process and/or other assurance mechanisms to assess the validity of evidence maintained by a school</w:t>
      </w:r>
    </w:p>
    <w:p w14:paraId="56ABF7A5" w14:textId="77777777" w:rsidR="001017C6" w:rsidRPr="00E35EF6" w:rsidRDefault="001017C6" w:rsidP="0007147D">
      <w:pPr>
        <w:pStyle w:val="ListParagraph"/>
        <w:numPr>
          <w:ilvl w:val="0"/>
          <w:numId w:val="12"/>
        </w:numPr>
        <w:spacing w:after="120" w:line="276" w:lineRule="auto"/>
        <w:rPr>
          <w:rFonts w:ascii="Calibri" w:eastAsia="Times New Roman" w:hAnsi="Calibri" w:cs="Times New Roman"/>
          <w:sz w:val="22"/>
        </w:rPr>
      </w:pPr>
      <w:r w:rsidRPr="00E35EF6">
        <w:rPr>
          <w:rFonts w:ascii="Calibri" w:eastAsia="Times New Roman" w:hAnsi="Calibri" w:cs="Times New Roman"/>
          <w:sz w:val="22"/>
        </w:rPr>
        <w:t>an evidence framework to assess evidence held by schools against the defined criteria.</w:t>
      </w:r>
    </w:p>
    <w:p w14:paraId="11CAC111" w14:textId="3E8B438E" w:rsidR="00ED2A0C" w:rsidRPr="008E38D8" w:rsidRDefault="001017C6" w:rsidP="008E38D8">
      <w:pPr>
        <w:spacing w:after="120" w:line="276" w:lineRule="auto"/>
        <w:rPr>
          <w:rFonts w:ascii="Calibri" w:eastAsia="Times New Roman" w:hAnsi="Calibri" w:cs="Times New Roman"/>
          <w:sz w:val="22"/>
        </w:rPr>
      </w:pPr>
      <w:bookmarkStart w:id="48" w:name="_Toc12371673"/>
      <w:r w:rsidRPr="00F31851">
        <w:rPr>
          <w:rFonts w:ascii="Calibri" w:eastAsia="Times New Roman" w:hAnsi="Calibri" w:cs="Times New Roman"/>
          <w:sz w:val="22"/>
        </w:rPr>
        <w:t xml:space="preserve">The department is working with the </w:t>
      </w:r>
      <w:r w:rsidR="002D7DAF">
        <w:rPr>
          <w:rFonts w:ascii="Calibri" w:eastAsia="Times New Roman" w:hAnsi="Calibri" w:cs="Times New Roman"/>
          <w:sz w:val="22"/>
        </w:rPr>
        <w:t xml:space="preserve">JWG </w:t>
      </w:r>
      <w:r w:rsidRPr="00F31851">
        <w:rPr>
          <w:rFonts w:ascii="Calibri" w:eastAsia="Times New Roman" w:hAnsi="Calibri" w:cs="Times New Roman"/>
          <w:sz w:val="22"/>
        </w:rPr>
        <w:t>to consider the report findings in the context of other quality assurance projects in train.</w:t>
      </w:r>
      <w:bookmarkEnd w:id="48"/>
    </w:p>
    <w:sectPr w:rsidR="00ED2A0C" w:rsidRPr="008E38D8" w:rsidSect="008E38D8">
      <w:footerReference w:type="default" r:id="rId26"/>
      <w:headerReference w:type="first" r:id="rId27"/>
      <w:pgSz w:w="11906" w:h="16838"/>
      <w:pgMar w:top="276" w:right="720" w:bottom="720" w:left="1135" w:header="0"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FBF086" w14:textId="77777777" w:rsidR="00EE4E96" w:rsidRDefault="00EE4E96" w:rsidP="00130923">
      <w:r>
        <w:separator/>
      </w:r>
    </w:p>
  </w:endnote>
  <w:endnote w:type="continuationSeparator" w:id="0">
    <w:p w14:paraId="7DDA130D" w14:textId="77777777" w:rsidR="00EE4E96" w:rsidRDefault="00EE4E96" w:rsidP="00130923">
      <w:r>
        <w:continuationSeparator/>
      </w:r>
    </w:p>
  </w:endnote>
  <w:endnote w:type="continuationNotice" w:id="1">
    <w:p w14:paraId="24545039" w14:textId="77777777" w:rsidR="00EE4E96" w:rsidRDefault="00EE4E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582720583"/>
      <w:docPartObj>
        <w:docPartGallery w:val="Page Numbers (Top of Page)"/>
        <w:docPartUnique/>
      </w:docPartObj>
    </w:sdtPr>
    <w:sdtEndPr/>
    <w:sdtContent>
      <w:p w14:paraId="574540D7" w14:textId="5068163C" w:rsidR="008E38D8" w:rsidRDefault="008E38D8" w:rsidP="008E38D8">
        <w:pPr>
          <w:pStyle w:val="Footer"/>
          <w:jc w:val="center"/>
          <w:rPr>
            <w:sz w:val="18"/>
            <w:szCs w:val="18"/>
          </w:rPr>
        </w:pPr>
        <w:r w:rsidRPr="00053AFC">
          <w:rPr>
            <w:sz w:val="18"/>
            <w:szCs w:val="18"/>
          </w:rPr>
          <w:t xml:space="preserve">Page </w:t>
        </w:r>
        <w:r w:rsidRPr="00053AFC">
          <w:rPr>
            <w:bCs/>
            <w:sz w:val="18"/>
            <w:szCs w:val="18"/>
          </w:rPr>
          <w:fldChar w:fldCharType="begin"/>
        </w:r>
        <w:r w:rsidRPr="00053AFC">
          <w:rPr>
            <w:bCs/>
            <w:sz w:val="18"/>
            <w:szCs w:val="18"/>
          </w:rPr>
          <w:instrText xml:space="preserve"> PAGE </w:instrText>
        </w:r>
        <w:r w:rsidRPr="00053AFC">
          <w:rPr>
            <w:bCs/>
            <w:sz w:val="18"/>
            <w:szCs w:val="18"/>
          </w:rPr>
          <w:fldChar w:fldCharType="separate"/>
        </w:r>
        <w:r w:rsidR="006D3D15">
          <w:rPr>
            <w:bCs/>
            <w:noProof/>
            <w:sz w:val="18"/>
            <w:szCs w:val="18"/>
          </w:rPr>
          <w:t>10</w:t>
        </w:r>
        <w:r w:rsidRPr="00053AFC">
          <w:rPr>
            <w:bCs/>
            <w:sz w:val="18"/>
            <w:szCs w:val="18"/>
          </w:rPr>
          <w:fldChar w:fldCharType="end"/>
        </w:r>
        <w:r w:rsidRPr="00053AFC">
          <w:rPr>
            <w:sz w:val="18"/>
            <w:szCs w:val="18"/>
          </w:rPr>
          <w:t xml:space="preserve"> of </w:t>
        </w:r>
        <w:r w:rsidRPr="00053AFC">
          <w:rPr>
            <w:bCs/>
            <w:sz w:val="18"/>
            <w:szCs w:val="18"/>
          </w:rPr>
          <w:fldChar w:fldCharType="begin"/>
        </w:r>
        <w:r w:rsidRPr="00053AFC">
          <w:rPr>
            <w:bCs/>
            <w:sz w:val="18"/>
            <w:szCs w:val="18"/>
          </w:rPr>
          <w:instrText xml:space="preserve"> NUMPAGES  </w:instrText>
        </w:r>
        <w:r w:rsidRPr="00053AFC">
          <w:rPr>
            <w:bCs/>
            <w:sz w:val="18"/>
            <w:szCs w:val="18"/>
          </w:rPr>
          <w:fldChar w:fldCharType="separate"/>
        </w:r>
        <w:r w:rsidR="006D3D15">
          <w:rPr>
            <w:bCs/>
            <w:noProof/>
            <w:sz w:val="18"/>
            <w:szCs w:val="18"/>
          </w:rPr>
          <w:t>14</w:t>
        </w:r>
        <w:r w:rsidRPr="00053AFC">
          <w:rPr>
            <w:bCs/>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A06989" w14:textId="3FD713A8" w:rsidR="00EE4E96" w:rsidRDefault="00EE4E96" w:rsidP="00C67C3F">
    <w:pPr>
      <w:pStyle w:val="Footer"/>
      <w:tabs>
        <w:tab w:val="clear" w:pos="9026"/>
        <w:tab w:val="right" w:pos="8364"/>
      </w:tabs>
    </w:pPr>
    <w:r>
      <w:tab/>
    </w:r>
    <w:r>
      <w:tab/>
    </w:r>
    <w:r>
      <w:fldChar w:fldCharType="begin"/>
    </w:r>
    <w:r>
      <w:instrText xml:space="preserve"> PAGE   \* MERGEFORMAT </w:instrText>
    </w:r>
    <w:r>
      <w:fldChar w:fldCharType="separate"/>
    </w:r>
    <w:r w:rsidR="00E35EF6">
      <w:rPr>
        <w:noProof/>
      </w:rPr>
      <w:t>18</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997488280"/>
      <w:docPartObj>
        <w:docPartGallery w:val="Page Numbers (Bottom of Page)"/>
        <w:docPartUnique/>
      </w:docPartObj>
    </w:sdtPr>
    <w:sdtEndPr/>
    <w:sdtContent>
      <w:sdt>
        <w:sdtPr>
          <w:rPr>
            <w:sz w:val="18"/>
            <w:szCs w:val="18"/>
          </w:rPr>
          <w:id w:val="1598907465"/>
          <w:docPartObj>
            <w:docPartGallery w:val="Page Numbers (Top of Page)"/>
            <w:docPartUnique/>
          </w:docPartObj>
        </w:sdtPr>
        <w:sdtEndPr/>
        <w:sdtContent>
          <w:p w14:paraId="2027F71B" w14:textId="1F714423" w:rsidR="00EE4E96" w:rsidRPr="00A37ED6" w:rsidRDefault="00EE4E96" w:rsidP="00A37ED6">
            <w:pPr>
              <w:pStyle w:val="Footer"/>
              <w:spacing w:after="200"/>
              <w:jc w:val="center"/>
              <w:rPr>
                <w:bCs/>
                <w:sz w:val="18"/>
                <w:szCs w:val="18"/>
              </w:rPr>
            </w:pPr>
            <w:r w:rsidRPr="00A37ED6">
              <w:rPr>
                <w:sz w:val="18"/>
                <w:szCs w:val="18"/>
              </w:rPr>
              <w:t xml:space="preserve">Page </w:t>
            </w:r>
            <w:r w:rsidRPr="00A37ED6">
              <w:rPr>
                <w:bCs/>
                <w:sz w:val="18"/>
                <w:szCs w:val="18"/>
              </w:rPr>
              <w:fldChar w:fldCharType="begin"/>
            </w:r>
            <w:r w:rsidRPr="00A37ED6">
              <w:rPr>
                <w:bCs/>
                <w:sz w:val="18"/>
                <w:szCs w:val="18"/>
              </w:rPr>
              <w:instrText xml:space="preserve"> PAGE  \* Arabic  \* MERGEFORMAT </w:instrText>
            </w:r>
            <w:r w:rsidRPr="00A37ED6">
              <w:rPr>
                <w:bCs/>
                <w:sz w:val="18"/>
                <w:szCs w:val="18"/>
              </w:rPr>
              <w:fldChar w:fldCharType="separate"/>
            </w:r>
            <w:r w:rsidR="006D3D15">
              <w:rPr>
                <w:bCs/>
                <w:noProof/>
                <w:sz w:val="18"/>
                <w:szCs w:val="18"/>
              </w:rPr>
              <w:t>8</w:t>
            </w:r>
            <w:r w:rsidRPr="00A37ED6">
              <w:rPr>
                <w:bCs/>
                <w:sz w:val="18"/>
                <w:szCs w:val="18"/>
              </w:rPr>
              <w:fldChar w:fldCharType="end"/>
            </w:r>
            <w:r w:rsidRPr="00A37ED6">
              <w:rPr>
                <w:sz w:val="18"/>
                <w:szCs w:val="18"/>
              </w:rPr>
              <w:t xml:space="preserve"> of </w:t>
            </w:r>
            <w:r w:rsidRPr="00A37ED6">
              <w:rPr>
                <w:bCs/>
                <w:sz w:val="18"/>
                <w:szCs w:val="18"/>
              </w:rPr>
              <w:fldChar w:fldCharType="begin"/>
            </w:r>
            <w:r w:rsidRPr="00A37ED6">
              <w:rPr>
                <w:bCs/>
                <w:sz w:val="18"/>
                <w:szCs w:val="18"/>
              </w:rPr>
              <w:instrText xml:space="preserve"> NUMPAGES  \* Arabic  \* MERGEFORMAT </w:instrText>
            </w:r>
            <w:r w:rsidRPr="00A37ED6">
              <w:rPr>
                <w:bCs/>
                <w:sz w:val="18"/>
                <w:szCs w:val="18"/>
              </w:rPr>
              <w:fldChar w:fldCharType="separate"/>
            </w:r>
            <w:r w:rsidR="006D3D15">
              <w:rPr>
                <w:bCs/>
                <w:noProof/>
                <w:sz w:val="18"/>
                <w:szCs w:val="18"/>
              </w:rPr>
              <w:t>14</w:t>
            </w:r>
            <w:r w:rsidRPr="00A37ED6">
              <w:rPr>
                <w:bCs/>
                <w:sz w:val="18"/>
                <w:szCs w:val="18"/>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091350015"/>
      <w:docPartObj>
        <w:docPartGallery w:val="Page Numbers (Bottom of Page)"/>
        <w:docPartUnique/>
      </w:docPartObj>
    </w:sdtPr>
    <w:sdtEndPr/>
    <w:sdtContent>
      <w:sdt>
        <w:sdtPr>
          <w:rPr>
            <w:sz w:val="18"/>
            <w:szCs w:val="18"/>
          </w:rPr>
          <w:id w:val="1997610248"/>
          <w:docPartObj>
            <w:docPartGallery w:val="Page Numbers (Top of Page)"/>
            <w:docPartUnique/>
          </w:docPartObj>
        </w:sdtPr>
        <w:sdtEndPr/>
        <w:sdtContent>
          <w:p w14:paraId="7C6ABC69" w14:textId="320166E7" w:rsidR="00EE4E96" w:rsidRPr="00053AFC" w:rsidRDefault="00EE4E96">
            <w:pPr>
              <w:pStyle w:val="Footer"/>
              <w:jc w:val="center"/>
              <w:rPr>
                <w:sz w:val="18"/>
                <w:szCs w:val="18"/>
              </w:rPr>
            </w:pPr>
            <w:r w:rsidRPr="00053AFC">
              <w:rPr>
                <w:sz w:val="18"/>
                <w:szCs w:val="18"/>
              </w:rPr>
              <w:t xml:space="preserve">Page </w:t>
            </w:r>
            <w:r w:rsidRPr="00053AFC">
              <w:rPr>
                <w:bCs/>
                <w:sz w:val="18"/>
                <w:szCs w:val="18"/>
              </w:rPr>
              <w:fldChar w:fldCharType="begin"/>
            </w:r>
            <w:r w:rsidRPr="00053AFC">
              <w:rPr>
                <w:bCs/>
                <w:sz w:val="18"/>
                <w:szCs w:val="18"/>
              </w:rPr>
              <w:instrText xml:space="preserve"> PAGE </w:instrText>
            </w:r>
            <w:r w:rsidRPr="00053AFC">
              <w:rPr>
                <w:bCs/>
                <w:sz w:val="18"/>
                <w:szCs w:val="18"/>
              </w:rPr>
              <w:fldChar w:fldCharType="separate"/>
            </w:r>
            <w:r w:rsidR="006D3D15">
              <w:rPr>
                <w:bCs/>
                <w:noProof/>
                <w:sz w:val="18"/>
                <w:szCs w:val="18"/>
              </w:rPr>
              <w:t>14</w:t>
            </w:r>
            <w:r w:rsidRPr="00053AFC">
              <w:rPr>
                <w:bCs/>
                <w:sz w:val="18"/>
                <w:szCs w:val="18"/>
              </w:rPr>
              <w:fldChar w:fldCharType="end"/>
            </w:r>
            <w:r w:rsidRPr="00053AFC">
              <w:rPr>
                <w:sz w:val="18"/>
                <w:szCs w:val="18"/>
              </w:rPr>
              <w:t xml:space="preserve"> of </w:t>
            </w:r>
            <w:r w:rsidRPr="00053AFC">
              <w:rPr>
                <w:bCs/>
                <w:sz w:val="18"/>
                <w:szCs w:val="18"/>
              </w:rPr>
              <w:fldChar w:fldCharType="begin"/>
            </w:r>
            <w:r w:rsidRPr="00053AFC">
              <w:rPr>
                <w:bCs/>
                <w:sz w:val="18"/>
                <w:szCs w:val="18"/>
              </w:rPr>
              <w:instrText xml:space="preserve"> NUMPAGES  </w:instrText>
            </w:r>
            <w:r w:rsidRPr="00053AFC">
              <w:rPr>
                <w:bCs/>
                <w:sz w:val="18"/>
                <w:szCs w:val="18"/>
              </w:rPr>
              <w:fldChar w:fldCharType="separate"/>
            </w:r>
            <w:r w:rsidR="006D3D15">
              <w:rPr>
                <w:bCs/>
                <w:noProof/>
                <w:sz w:val="18"/>
                <w:szCs w:val="18"/>
              </w:rPr>
              <w:t>14</w:t>
            </w:r>
            <w:r w:rsidRPr="00053AFC">
              <w:rPr>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111B6F" w14:textId="77777777" w:rsidR="00EE4E96" w:rsidRDefault="00EE4E96" w:rsidP="00130923">
      <w:r>
        <w:separator/>
      </w:r>
    </w:p>
  </w:footnote>
  <w:footnote w:type="continuationSeparator" w:id="0">
    <w:p w14:paraId="449C8FC6" w14:textId="77777777" w:rsidR="00EE4E96" w:rsidRDefault="00EE4E96" w:rsidP="00130923">
      <w:r>
        <w:continuationSeparator/>
      </w:r>
    </w:p>
  </w:footnote>
  <w:footnote w:type="continuationNotice" w:id="1">
    <w:p w14:paraId="6E390D7B" w14:textId="77777777" w:rsidR="00EE4E96" w:rsidRDefault="00EE4E96"/>
  </w:footnote>
  <w:footnote w:id="2">
    <w:p w14:paraId="1E9C3767" w14:textId="77777777" w:rsidR="00EE4E96" w:rsidRPr="009D5C1E" w:rsidRDefault="00EE4E96" w:rsidP="009D5C1E">
      <w:pPr>
        <w:pStyle w:val="FootnoteText"/>
        <w:spacing w:before="0"/>
      </w:pPr>
      <w:r w:rsidRPr="009D5C1E">
        <w:rPr>
          <w:rStyle w:val="FootnoteReference"/>
        </w:rPr>
        <w:footnoteRef/>
      </w:r>
      <w:r w:rsidRPr="009D5C1E">
        <w:t xml:space="preserve"> Gonski, D., Boston, K., Greiner, K., Lawrence, C., Scales, B., Tannock, P. 2011, </w:t>
      </w:r>
      <w:r w:rsidRPr="009D5C1E">
        <w:rPr>
          <w:i/>
          <w:iCs/>
        </w:rPr>
        <w:t>Review of Funding for Schooling—Final Report</w:t>
      </w:r>
      <w:r w:rsidRPr="009D5C1E">
        <w:t>, DEEWR, Canberra, p. 166.</w:t>
      </w:r>
    </w:p>
  </w:footnote>
  <w:footnote w:id="3">
    <w:p w14:paraId="6A0625FC" w14:textId="77777777" w:rsidR="00EE4E96" w:rsidRPr="009D5C1E" w:rsidRDefault="00EE4E96" w:rsidP="009D5C1E">
      <w:pPr>
        <w:pStyle w:val="FootnoteText"/>
        <w:spacing w:before="0"/>
      </w:pPr>
      <w:r w:rsidRPr="009D5C1E">
        <w:rPr>
          <w:rStyle w:val="FootnoteReference"/>
        </w:rPr>
        <w:footnoteRef/>
      </w:r>
      <w:r w:rsidRPr="009D5C1E">
        <w:t xml:space="preserve"> Department of Education and Training 2019, </w:t>
      </w:r>
      <w:r w:rsidRPr="009D5C1E">
        <w:rPr>
          <w:i/>
        </w:rPr>
        <w:t>What is the Quality Schools package and what does it mean for my school?</w:t>
      </w:r>
      <w:r w:rsidRPr="009D5C1E">
        <w:t xml:space="preserve"> Australian Government, accessed 30 April 2019, &lt;</w:t>
      </w:r>
      <w:hyperlink r:id="rId1" w:history="1">
        <w:r w:rsidRPr="009D5C1E">
          <w:rPr>
            <w:rStyle w:val="Hyperlink"/>
            <w:color w:val="auto"/>
          </w:rPr>
          <w:t>www.education.gov.au/quality-schools-package-factsheet</w:t>
        </w:r>
      </w:hyperlink>
      <w:r w:rsidRPr="009D5C1E">
        <w:t>&gt;</w:t>
      </w:r>
    </w:p>
  </w:footnote>
  <w:footnote w:id="4">
    <w:p w14:paraId="08EC1DE6" w14:textId="77777777" w:rsidR="00EE4E96" w:rsidRPr="009D5C1E" w:rsidRDefault="00EE4E96" w:rsidP="009D5C1E">
      <w:pPr>
        <w:pStyle w:val="FootnoteText"/>
        <w:spacing w:before="0"/>
      </w:pPr>
      <w:r w:rsidRPr="009D5C1E">
        <w:rPr>
          <w:rStyle w:val="FootnoteReference"/>
        </w:rPr>
        <w:footnoteRef/>
      </w:r>
      <w:r w:rsidRPr="009D5C1E">
        <w:t xml:space="preserve"> Department of Education and Training 2019, </w:t>
      </w:r>
      <w:r w:rsidRPr="009D5C1E">
        <w:rPr>
          <w:i/>
        </w:rPr>
        <w:t xml:space="preserve">How are schools funded in Australia? </w:t>
      </w:r>
      <w:r w:rsidRPr="009D5C1E">
        <w:t>Australian Government, accessed 30 April 2019, &lt;</w:t>
      </w:r>
      <w:hyperlink r:id="rId2" w:history="1">
        <w:r w:rsidRPr="009D5C1E">
          <w:rPr>
            <w:rStyle w:val="Hyperlink"/>
            <w:color w:val="auto"/>
          </w:rPr>
          <w:t>www.education.gov.au/quality-schools-package-factsheet</w:t>
        </w:r>
      </w:hyperlink>
      <w:r w:rsidRPr="009D5C1E">
        <w:t>&gt;</w:t>
      </w:r>
    </w:p>
    <w:p w14:paraId="6543C2DD" w14:textId="77777777" w:rsidR="00EE4E96" w:rsidRDefault="00EE4E96">
      <w:pPr>
        <w:pStyle w:val="FootnoteText"/>
      </w:pPr>
    </w:p>
  </w:footnote>
  <w:footnote w:id="5">
    <w:p w14:paraId="73978EF8" w14:textId="77777777" w:rsidR="00EE4E96" w:rsidRPr="00C64336" w:rsidRDefault="00EE4E96" w:rsidP="00AA1DEB">
      <w:pPr>
        <w:pStyle w:val="FootnoteText"/>
        <w:spacing w:before="0"/>
      </w:pPr>
      <w:r w:rsidRPr="00C64336">
        <w:rPr>
          <w:rStyle w:val="FootnoteReference"/>
        </w:rPr>
        <w:footnoteRef/>
      </w:r>
      <w:r w:rsidRPr="00C64336">
        <w:t xml:space="preserve"> DSE fact sheet—https://docs.education.gov.au/system/files/doc/other/dse-fact-sheet-2-dse_0.pdf, accessed on 2 April 2019.</w:t>
      </w:r>
    </w:p>
  </w:footnote>
  <w:footnote w:id="6">
    <w:p w14:paraId="1854B582" w14:textId="77777777" w:rsidR="00EE4E96" w:rsidRPr="00C64336" w:rsidRDefault="00EE4E96" w:rsidP="00AA1DEB">
      <w:pPr>
        <w:pStyle w:val="FootnoteText"/>
        <w:spacing w:before="0"/>
      </w:pPr>
      <w:r w:rsidRPr="00C64336">
        <w:rPr>
          <w:rStyle w:val="FootnoteReference"/>
        </w:rPr>
        <w:footnoteRef/>
      </w:r>
      <w:r w:rsidRPr="00C64336">
        <w:t xml:space="preserve"> DSE fact sheet—https://docs.education.gov.au/system/files/doc/other/dse-fact-sheet-2-dse_0.pdf, accessed on 2 April 2019.</w:t>
      </w:r>
    </w:p>
  </w:footnote>
  <w:footnote w:id="7">
    <w:p w14:paraId="04C407FC" w14:textId="77777777" w:rsidR="00EE4E96" w:rsidRPr="00C64336" w:rsidRDefault="00EE4E96" w:rsidP="00AA1DEB">
      <w:pPr>
        <w:pStyle w:val="FootnoteText"/>
        <w:spacing w:before="0"/>
      </w:pPr>
      <w:r w:rsidRPr="00C64336">
        <w:rPr>
          <w:rStyle w:val="FootnoteReference"/>
        </w:rPr>
        <w:footnoteRef/>
      </w:r>
      <w:r w:rsidRPr="00C64336">
        <w:t xml:space="preserve"> Australian Government Department of Education and Training (2015), </w:t>
      </w:r>
      <w:r w:rsidRPr="00C64336">
        <w:rPr>
          <w:i/>
        </w:rPr>
        <w:t xml:space="preserve">Australian Government Initial Response to the 2015 Review of the Disability Standards for Education 2005, </w:t>
      </w:r>
      <w:r w:rsidRPr="00C64336">
        <w:t>Australian Government Department of Education and Training, Canberra, p. 6.</w:t>
      </w:r>
    </w:p>
  </w:footnote>
  <w:footnote w:id="8">
    <w:p w14:paraId="280DA9C7" w14:textId="49C660E3" w:rsidR="00EE4E96" w:rsidRDefault="00EE4E96" w:rsidP="00AA1DEB">
      <w:pPr>
        <w:pStyle w:val="FootnoteText"/>
        <w:spacing w:before="0"/>
      </w:pPr>
      <w:r w:rsidRPr="00C64336">
        <w:rPr>
          <w:rStyle w:val="FootnoteReference"/>
        </w:rPr>
        <w:footnoteRef/>
      </w:r>
      <w:r w:rsidRPr="00C64336">
        <w:t xml:space="preserve"> NCCD we</w:t>
      </w:r>
      <w:r w:rsidR="00730A2A">
        <w:t>b</w:t>
      </w:r>
      <w:r w:rsidRPr="00C64336">
        <w:t>site—</w:t>
      </w:r>
      <w:hyperlink r:id="rId3" w:history="1">
        <w:r w:rsidRPr="00C64336">
          <w:rPr>
            <w:rStyle w:val="Hyperlink"/>
            <w:color w:val="auto"/>
          </w:rPr>
          <w:t>https://www.nccd.edu.au/help-and-support/glossary</w:t>
        </w:r>
      </w:hyperlink>
      <w:r w:rsidRPr="00C64336">
        <w:t>, accessed 7 May 2019.</w:t>
      </w:r>
    </w:p>
  </w:footnote>
  <w:footnote w:id="9">
    <w:p w14:paraId="6DCFE013" w14:textId="77777777" w:rsidR="00EE4E96" w:rsidRDefault="00EE4E96" w:rsidP="00601ECD">
      <w:pPr>
        <w:pStyle w:val="FootnoteText"/>
      </w:pPr>
      <w:r w:rsidRPr="00C64336">
        <w:rPr>
          <w:rStyle w:val="FootnoteReference"/>
        </w:rPr>
        <w:footnoteRef/>
      </w:r>
      <w:r w:rsidRPr="00C64336">
        <w:t xml:space="preserve"> Department of Education and Training website—</w:t>
      </w:r>
      <w:hyperlink r:id="rId4" w:history="1">
        <w:r w:rsidRPr="00C64336">
          <w:rPr>
            <w:rStyle w:val="Hyperlink"/>
            <w:color w:val="auto"/>
          </w:rPr>
          <w:t>https://www.education.gov.au/what-government-doing-support-students-disability</w:t>
        </w:r>
      </w:hyperlink>
      <w:r w:rsidRPr="00C64336">
        <w:t>, accessed 7 May 2019.</w:t>
      </w:r>
    </w:p>
  </w:footnote>
  <w:footnote w:id="10">
    <w:p w14:paraId="5AD42639" w14:textId="77777777" w:rsidR="00EE4E96" w:rsidRDefault="00EE4E96" w:rsidP="00AA1DEB">
      <w:pPr>
        <w:pStyle w:val="FootnoteText"/>
        <w:spacing w:before="0"/>
      </w:pPr>
      <w:r>
        <w:rPr>
          <w:rStyle w:val="FootnoteReference"/>
        </w:rPr>
        <w:footnoteRef/>
      </w:r>
      <w:r>
        <w:t xml:space="preserve"> </w:t>
      </w:r>
      <w:r>
        <w:rPr>
          <w:rFonts w:ascii="Calibri" w:hAnsi="Calibri" w:cs="Calibri"/>
        </w:rPr>
        <w:t xml:space="preserve">Australian National Audit Office 2017, </w:t>
      </w:r>
      <w:r>
        <w:rPr>
          <w:i/>
          <w:iCs/>
          <w:lang w:val="en-US"/>
        </w:rPr>
        <w:t>Monitoring the Impact of Australian Government School Funding</w:t>
      </w:r>
      <w:r>
        <w:t>, Australian National Audit Office, Canberra, p. 10.</w:t>
      </w:r>
    </w:p>
  </w:footnote>
  <w:footnote w:id="11">
    <w:p w14:paraId="17CB3326" w14:textId="77777777" w:rsidR="00EE4E96" w:rsidRDefault="00EE4E96" w:rsidP="00AA1DEB">
      <w:pPr>
        <w:pStyle w:val="FootnoteText"/>
        <w:spacing w:before="0"/>
      </w:pPr>
      <w:r>
        <w:rPr>
          <w:rStyle w:val="FootnoteReference"/>
        </w:rPr>
        <w:footnoteRef/>
      </w:r>
      <w:r>
        <w:t xml:space="preserve"> Joint Committee of Public Accounts and Audit 2019, </w:t>
      </w:r>
      <w:r w:rsidRPr="00D60750">
        <w:rPr>
          <w:i/>
        </w:rPr>
        <w:t>Report 476: Australian Government Funding</w:t>
      </w:r>
      <w:r>
        <w:t>, Parliament of the Commonwealth of Australia, Canberra, p. vii.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97E7E4" w14:textId="7C4C71D5" w:rsidR="00EE4E96" w:rsidRPr="003173AB" w:rsidRDefault="00EE4E96" w:rsidP="008B5304">
    <w:pPr>
      <w:pStyle w:val="Header"/>
      <w:spacing w:before="0"/>
    </w:pPr>
    <w:r w:rsidRPr="00B365DA">
      <w:rPr>
        <w:rFonts w:ascii="Calibri" w:eastAsia="Calibri" w:hAnsi="Calibri" w:cs="Calibri"/>
        <w:noProof/>
        <w:sz w:val="22"/>
        <w:lang w:eastAsia="en-AU"/>
      </w:rPr>
      <w:drawing>
        <wp:anchor distT="0" distB="0" distL="114300" distR="114300" simplePos="0" relativeHeight="251657728" behindDoc="1" locked="0" layoutInCell="1" allowOverlap="1" wp14:anchorId="572E53CE" wp14:editId="1BB7E181">
          <wp:simplePos x="0" y="0"/>
          <wp:positionH relativeFrom="page">
            <wp:posOffset>9525</wp:posOffset>
          </wp:positionH>
          <wp:positionV relativeFrom="paragraph">
            <wp:posOffset>-863600</wp:posOffset>
          </wp:positionV>
          <wp:extent cx="7546975" cy="1188085"/>
          <wp:effectExtent l="0" t="0" r="0" b="0"/>
          <wp:wrapTight wrapText="bothSides">
            <wp:wrapPolygon edited="0">
              <wp:start x="0" y="0"/>
              <wp:lineTo x="0" y="21127"/>
              <wp:lineTo x="21536" y="21127"/>
              <wp:lineTo x="21536"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6975" cy="118808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D6D90" w14:textId="0021486B" w:rsidR="00A149BC" w:rsidRDefault="00A149BC">
    <w:pPr>
      <w:pStyle w:val="Header"/>
    </w:pPr>
    <w:r>
      <w:rPr>
        <w:noProof/>
        <w:lang w:eastAsia="en-AU"/>
      </w:rPr>
      <w:drawing>
        <wp:anchor distT="0" distB="0" distL="114300" distR="114300" simplePos="0" relativeHeight="251659776" behindDoc="0" locked="0" layoutInCell="1" allowOverlap="1" wp14:anchorId="0A476272" wp14:editId="3FB210EE">
          <wp:simplePos x="0" y="0"/>
          <wp:positionH relativeFrom="page">
            <wp:align>left</wp:align>
          </wp:positionH>
          <wp:positionV relativeFrom="paragraph">
            <wp:posOffset>-773</wp:posOffset>
          </wp:positionV>
          <wp:extent cx="6382385" cy="2040751"/>
          <wp:effectExtent l="0" t="0" r="0" b="0"/>
          <wp:wrapSquare wrapText="bothSides"/>
          <wp:docPr id="7" name="Picture 7"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2385" cy="2040751"/>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62EFB8" w14:textId="036633C1" w:rsidR="00EE4E96" w:rsidRPr="00850650" w:rsidRDefault="00EE4E96" w:rsidP="0085065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BA7E0" w14:textId="77777777" w:rsidR="00A149BC" w:rsidRDefault="00A149BC">
    <w:pPr>
      <w:pStyle w:val="Header"/>
    </w:pPr>
    <w:r>
      <w:rPr>
        <w:noProof/>
        <w:lang w:eastAsia="en-AU"/>
      </w:rPr>
      <w:drawing>
        <wp:anchor distT="0" distB="0" distL="114300" distR="114300" simplePos="0" relativeHeight="251661824" behindDoc="0" locked="0" layoutInCell="1" allowOverlap="1" wp14:anchorId="5CD3F7DE" wp14:editId="4D37F562">
          <wp:simplePos x="0" y="0"/>
          <wp:positionH relativeFrom="page">
            <wp:align>left</wp:align>
          </wp:positionH>
          <wp:positionV relativeFrom="paragraph">
            <wp:posOffset>-773</wp:posOffset>
          </wp:positionV>
          <wp:extent cx="6382385" cy="2040751"/>
          <wp:effectExtent l="0" t="0" r="0" b="0"/>
          <wp:wrapSquare wrapText="bothSides"/>
          <wp:docPr id="9" name="Picture 9"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tion fact sheet 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82385" cy="2040751"/>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C1400"/>
    <w:multiLevelType w:val="hybridMultilevel"/>
    <w:tmpl w:val="CE866E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82B4D"/>
    <w:multiLevelType w:val="hybridMultilevel"/>
    <w:tmpl w:val="36C459FE"/>
    <w:lvl w:ilvl="0" w:tplc="FEEAE55A">
      <w:numFmt w:val="bullet"/>
      <w:lvlText w:val=""/>
      <w:lvlJc w:val="left"/>
      <w:pPr>
        <w:ind w:left="1080" w:hanging="720"/>
      </w:pPr>
      <w:rPr>
        <w:rFonts w:ascii="Symbol" w:eastAsiaTheme="minorEastAsia"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23E0CFF"/>
    <w:multiLevelType w:val="hybridMultilevel"/>
    <w:tmpl w:val="68F4BD9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 w15:restartNumberingAfterBreak="0">
    <w:nsid w:val="1C6D47C3"/>
    <w:multiLevelType w:val="hybridMultilevel"/>
    <w:tmpl w:val="A9DA892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275511D5"/>
    <w:multiLevelType w:val="hybridMultilevel"/>
    <w:tmpl w:val="F402A214"/>
    <w:lvl w:ilvl="0" w:tplc="0C09000F">
      <w:start w:val="1"/>
      <w:numFmt w:val="decimal"/>
      <w:lvlText w:val="%1."/>
      <w:lvlJc w:val="left"/>
      <w:pPr>
        <w:ind w:left="360" w:hanging="360"/>
      </w:pPr>
    </w:lvl>
    <w:lvl w:ilvl="1" w:tplc="E8FEEECE">
      <w:numFmt w:val="bullet"/>
      <w:lvlText w:val=""/>
      <w:lvlJc w:val="left"/>
      <w:pPr>
        <w:ind w:left="1080" w:hanging="360"/>
      </w:pPr>
      <w:rPr>
        <w:rFonts w:ascii="Calibri" w:eastAsia="Calibri" w:hAnsi="Calibri" w:cs="Calibri"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7" w15:restartNumberingAfterBreak="0">
    <w:nsid w:val="2D764935"/>
    <w:multiLevelType w:val="hybridMultilevel"/>
    <w:tmpl w:val="647EB2CE"/>
    <w:lvl w:ilvl="0" w:tplc="0DF0FB1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736917"/>
    <w:multiLevelType w:val="hybridMultilevel"/>
    <w:tmpl w:val="62F2482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52B5242A"/>
    <w:multiLevelType w:val="hybridMultilevel"/>
    <w:tmpl w:val="E27407E4"/>
    <w:lvl w:ilvl="0" w:tplc="09E29100">
      <w:start w:val="1"/>
      <w:numFmt w:val="decimal"/>
      <w:pStyle w:val="ECPoint"/>
      <w:lvlText w:val="%1."/>
      <w:lvlJc w:val="left"/>
      <w:pPr>
        <w:ind w:left="303"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8952B0AC">
      <w:start w:val="1"/>
      <w:numFmt w:val="lowerLetter"/>
      <w:lvlText w:val="%2."/>
      <w:lvlJc w:val="left"/>
      <w:pPr>
        <w:ind w:left="1023" w:hanging="360"/>
      </w:pPr>
    </w:lvl>
    <w:lvl w:ilvl="2" w:tplc="2F9A720E">
      <w:start w:val="1"/>
      <w:numFmt w:val="lowerRoman"/>
      <w:lvlText w:val="%3."/>
      <w:lvlJc w:val="right"/>
      <w:pPr>
        <w:ind w:left="1743" w:hanging="180"/>
      </w:pPr>
    </w:lvl>
    <w:lvl w:ilvl="3" w:tplc="1384EEFA">
      <w:start w:val="1"/>
      <w:numFmt w:val="decimal"/>
      <w:lvlText w:val="%4."/>
      <w:lvlJc w:val="left"/>
      <w:pPr>
        <w:ind w:left="2463" w:hanging="360"/>
      </w:pPr>
    </w:lvl>
    <w:lvl w:ilvl="4" w:tplc="AD866F06">
      <w:start w:val="1"/>
      <w:numFmt w:val="lowerLetter"/>
      <w:lvlText w:val="%5."/>
      <w:lvlJc w:val="left"/>
      <w:pPr>
        <w:ind w:left="3183" w:hanging="360"/>
      </w:pPr>
    </w:lvl>
    <w:lvl w:ilvl="5" w:tplc="C87CE9B0">
      <w:start w:val="1"/>
      <w:numFmt w:val="lowerRoman"/>
      <w:lvlText w:val="%6."/>
      <w:lvlJc w:val="right"/>
      <w:pPr>
        <w:ind w:left="3903" w:hanging="180"/>
      </w:pPr>
    </w:lvl>
    <w:lvl w:ilvl="6" w:tplc="93C68974">
      <w:start w:val="1"/>
      <w:numFmt w:val="decimal"/>
      <w:lvlText w:val="%7."/>
      <w:lvlJc w:val="left"/>
      <w:pPr>
        <w:ind w:left="4623" w:hanging="360"/>
      </w:pPr>
    </w:lvl>
    <w:lvl w:ilvl="7" w:tplc="91B2F948">
      <w:start w:val="1"/>
      <w:numFmt w:val="lowerLetter"/>
      <w:lvlText w:val="%8."/>
      <w:lvlJc w:val="left"/>
      <w:pPr>
        <w:ind w:left="5343" w:hanging="360"/>
      </w:pPr>
    </w:lvl>
    <w:lvl w:ilvl="8" w:tplc="C466EFBC">
      <w:start w:val="1"/>
      <w:numFmt w:val="lowerRoman"/>
      <w:lvlText w:val="%9."/>
      <w:lvlJc w:val="right"/>
      <w:pPr>
        <w:ind w:left="6063" w:hanging="180"/>
      </w:pPr>
    </w:lvl>
  </w:abstractNum>
  <w:abstractNum w:abstractNumId="10" w15:restartNumberingAfterBreak="0">
    <w:nsid w:val="597701E7"/>
    <w:multiLevelType w:val="hybridMultilevel"/>
    <w:tmpl w:val="668A449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63A33F5E"/>
    <w:multiLevelType w:val="hybridMultilevel"/>
    <w:tmpl w:val="670CA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10"/>
  </w:num>
  <w:num w:numId="9">
    <w:abstractNumId w:val="1"/>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5"/>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962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7A504D"/>
    <w:rsid w:val="00002721"/>
    <w:rsid w:val="00003767"/>
    <w:rsid w:val="00003C1D"/>
    <w:rsid w:val="00007E0C"/>
    <w:rsid w:val="00010537"/>
    <w:rsid w:val="00011E0F"/>
    <w:rsid w:val="00012A98"/>
    <w:rsid w:val="00014309"/>
    <w:rsid w:val="00020D87"/>
    <w:rsid w:val="00021A71"/>
    <w:rsid w:val="0002226D"/>
    <w:rsid w:val="00024E24"/>
    <w:rsid w:val="00024E7E"/>
    <w:rsid w:val="000260F5"/>
    <w:rsid w:val="000270A1"/>
    <w:rsid w:val="000341E7"/>
    <w:rsid w:val="00034EAA"/>
    <w:rsid w:val="000379D3"/>
    <w:rsid w:val="0004047C"/>
    <w:rsid w:val="00041400"/>
    <w:rsid w:val="00042DDF"/>
    <w:rsid w:val="000430CF"/>
    <w:rsid w:val="00043661"/>
    <w:rsid w:val="00046150"/>
    <w:rsid w:val="000471BD"/>
    <w:rsid w:val="000501E4"/>
    <w:rsid w:val="000525A7"/>
    <w:rsid w:val="00053B22"/>
    <w:rsid w:val="00057306"/>
    <w:rsid w:val="00060294"/>
    <w:rsid w:val="00060A08"/>
    <w:rsid w:val="000612B8"/>
    <w:rsid w:val="00063662"/>
    <w:rsid w:val="0006503B"/>
    <w:rsid w:val="000666C0"/>
    <w:rsid w:val="00067723"/>
    <w:rsid w:val="000707F4"/>
    <w:rsid w:val="0007147D"/>
    <w:rsid w:val="000725D4"/>
    <w:rsid w:val="000742CB"/>
    <w:rsid w:val="00074E8D"/>
    <w:rsid w:val="00077705"/>
    <w:rsid w:val="00080845"/>
    <w:rsid w:val="00082290"/>
    <w:rsid w:val="00082CE0"/>
    <w:rsid w:val="00082FCA"/>
    <w:rsid w:val="000861A6"/>
    <w:rsid w:val="00087920"/>
    <w:rsid w:val="00087A72"/>
    <w:rsid w:val="00087C68"/>
    <w:rsid w:val="00090004"/>
    <w:rsid w:val="000902EC"/>
    <w:rsid w:val="000927B5"/>
    <w:rsid w:val="000949B2"/>
    <w:rsid w:val="0009573B"/>
    <w:rsid w:val="00097F97"/>
    <w:rsid w:val="000A129A"/>
    <w:rsid w:val="000A2857"/>
    <w:rsid w:val="000A5756"/>
    <w:rsid w:val="000A6E45"/>
    <w:rsid w:val="000B1F31"/>
    <w:rsid w:val="000B255F"/>
    <w:rsid w:val="000B3669"/>
    <w:rsid w:val="000B3CDF"/>
    <w:rsid w:val="000B60C3"/>
    <w:rsid w:val="000B76CE"/>
    <w:rsid w:val="000C05DC"/>
    <w:rsid w:val="000C3EBF"/>
    <w:rsid w:val="000C52A0"/>
    <w:rsid w:val="000D28DA"/>
    <w:rsid w:val="000D3FCA"/>
    <w:rsid w:val="000D4810"/>
    <w:rsid w:val="000D491A"/>
    <w:rsid w:val="000D6495"/>
    <w:rsid w:val="000D6DD0"/>
    <w:rsid w:val="000D7FD3"/>
    <w:rsid w:val="000E6922"/>
    <w:rsid w:val="000E7E7B"/>
    <w:rsid w:val="000F1331"/>
    <w:rsid w:val="000F19D7"/>
    <w:rsid w:val="000F2393"/>
    <w:rsid w:val="000F2F21"/>
    <w:rsid w:val="000F3BA2"/>
    <w:rsid w:val="000F50EE"/>
    <w:rsid w:val="001017C6"/>
    <w:rsid w:val="00103BE4"/>
    <w:rsid w:val="00105339"/>
    <w:rsid w:val="00105946"/>
    <w:rsid w:val="00105E2F"/>
    <w:rsid w:val="00105EA6"/>
    <w:rsid w:val="00110EF1"/>
    <w:rsid w:val="00111E21"/>
    <w:rsid w:val="001175BF"/>
    <w:rsid w:val="00117D25"/>
    <w:rsid w:val="001214E2"/>
    <w:rsid w:val="001222DC"/>
    <w:rsid w:val="00122396"/>
    <w:rsid w:val="00123B86"/>
    <w:rsid w:val="00126F24"/>
    <w:rsid w:val="00130923"/>
    <w:rsid w:val="001414F3"/>
    <w:rsid w:val="00143AEA"/>
    <w:rsid w:val="00143FCD"/>
    <w:rsid w:val="001441A1"/>
    <w:rsid w:val="00144B53"/>
    <w:rsid w:val="00144CEC"/>
    <w:rsid w:val="0015084D"/>
    <w:rsid w:val="001523D7"/>
    <w:rsid w:val="0015554E"/>
    <w:rsid w:val="00163840"/>
    <w:rsid w:val="00164A4C"/>
    <w:rsid w:val="00166216"/>
    <w:rsid w:val="00166482"/>
    <w:rsid w:val="001717D6"/>
    <w:rsid w:val="0017318E"/>
    <w:rsid w:val="00177EEE"/>
    <w:rsid w:val="0018103C"/>
    <w:rsid w:val="00182218"/>
    <w:rsid w:val="00183BEA"/>
    <w:rsid w:val="001848DA"/>
    <w:rsid w:val="00191E98"/>
    <w:rsid w:val="00192D16"/>
    <w:rsid w:val="00193001"/>
    <w:rsid w:val="00194022"/>
    <w:rsid w:val="001A134E"/>
    <w:rsid w:val="001A1E4C"/>
    <w:rsid w:val="001A24DF"/>
    <w:rsid w:val="001A4B0A"/>
    <w:rsid w:val="001A5CBD"/>
    <w:rsid w:val="001B079C"/>
    <w:rsid w:val="001B0A56"/>
    <w:rsid w:val="001B35FB"/>
    <w:rsid w:val="001B6467"/>
    <w:rsid w:val="001B7823"/>
    <w:rsid w:val="001C1EE4"/>
    <w:rsid w:val="001C2105"/>
    <w:rsid w:val="001C3C1B"/>
    <w:rsid w:val="001D05F1"/>
    <w:rsid w:val="001D0F8F"/>
    <w:rsid w:val="001D162A"/>
    <w:rsid w:val="001D643B"/>
    <w:rsid w:val="001E0564"/>
    <w:rsid w:val="001E295C"/>
    <w:rsid w:val="001E2ED9"/>
    <w:rsid w:val="001E3125"/>
    <w:rsid w:val="001E33D6"/>
    <w:rsid w:val="001E3D78"/>
    <w:rsid w:val="001E4B19"/>
    <w:rsid w:val="001E7AF9"/>
    <w:rsid w:val="001F25C6"/>
    <w:rsid w:val="001F3453"/>
    <w:rsid w:val="001F36BD"/>
    <w:rsid w:val="001F39A5"/>
    <w:rsid w:val="001F73E2"/>
    <w:rsid w:val="002000F8"/>
    <w:rsid w:val="00200CC5"/>
    <w:rsid w:val="00201B2B"/>
    <w:rsid w:val="00201F51"/>
    <w:rsid w:val="00202BE2"/>
    <w:rsid w:val="002031C8"/>
    <w:rsid w:val="00203E8B"/>
    <w:rsid w:val="0020483B"/>
    <w:rsid w:val="00205834"/>
    <w:rsid w:val="002100AE"/>
    <w:rsid w:val="0021018F"/>
    <w:rsid w:val="0021073F"/>
    <w:rsid w:val="0021231E"/>
    <w:rsid w:val="0021232C"/>
    <w:rsid w:val="002130C9"/>
    <w:rsid w:val="002162EF"/>
    <w:rsid w:val="00216A0E"/>
    <w:rsid w:val="002172DF"/>
    <w:rsid w:val="00220305"/>
    <w:rsid w:val="0022204D"/>
    <w:rsid w:val="0022320C"/>
    <w:rsid w:val="00223EB1"/>
    <w:rsid w:val="00224EA5"/>
    <w:rsid w:val="0022575D"/>
    <w:rsid w:val="002257C8"/>
    <w:rsid w:val="002307B9"/>
    <w:rsid w:val="0023093A"/>
    <w:rsid w:val="0023111C"/>
    <w:rsid w:val="00232C40"/>
    <w:rsid w:val="00234CAB"/>
    <w:rsid w:val="00235B0F"/>
    <w:rsid w:val="002362BD"/>
    <w:rsid w:val="00236917"/>
    <w:rsid w:val="00236C17"/>
    <w:rsid w:val="00237E5B"/>
    <w:rsid w:val="002429F2"/>
    <w:rsid w:val="00243A17"/>
    <w:rsid w:val="00243D6B"/>
    <w:rsid w:val="002442E0"/>
    <w:rsid w:val="00245A43"/>
    <w:rsid w:val="002500F8"/>
    <w:rsid w:val="00252600"/>
    <w:rsid w:val="00255C6E"/>
    <w:rsid w:val="00256212"/>
    <w:rsid w:val="00260BA5"/>
    <w:rsid w:val="00262A99"/>
    <w:rsid w:val="002655BF"/>
    <w:rsid w:val="002664C8"/>
    <w:rsid w:val="0027239E"/>
    <w:rsid w:val="00275139"/>
    <w:rsid w:val="00281685"/>
    <w:rsid w:val="00281892"/>
    <w:rsid w:val="00281A8D"/>
    <w:rsid w:val="00282922"/>
    <w:rsid w:val="00284BD5"/>
    <w:rsid w:val="00286245"/>
    <w:rsid w:val="00293E73"/>
    <w:rsid w:val="002951CE"/>
    <w:rsid w:val="002A070F"/>
    <w:rsid w:val="002A3775"/>
    <w:rsid w:val="002A60EC"/>
    <w:rsid w:val="002A6EDC"/>
    <w:rsid w:val="002A6F5F"/>
    <w:rsid w:val="002B06E6"/>
    <w:rsid w:val="002B0B04"/>
    <w:rsid w:val="002B1D8E"/>
    <w:rsid w:val="002B2930"/>
    <w:rsid w:val="002B3A88"/>
    <w:rsid w:val="002B6416"/>
    <w:rsid w:val="002B7899"/>
    <w:rsid w:val="002C072A"/>
    <w:rsid w:val="002C125E"/>
    <w:rsid w:val="002C3AA1"/>
    <w:rsid w:val="002C5222"/>
    <w:rsid w:val="002D142C"/>
    <w:rsid w:val="002D271F"/>
    <w:rsid w:val="002D3146"/>
    <w:rsid w:val="002D370A"/>
    <w:rsid w:val="002D48F7"/>
    <w:rsid w:val="002D5E22"/>
    <w:rsid w:val="002D6386"/>
    <w:rsid w:val="002D6412"/>
    <w:rsid w:val="002D76F8"/>
    <w:rsid w:val="002D7DAF"/>
    <w:rsid w:val="002E0F99"/>
    <w:rsid w:val="002E5208"/>
    <w:rsid w:val="002E6540"/>
    <w:rsid w:val="002E734E"/>
    <w:rsid w:val="002F1999"/>
    <w:rsid w:val="002F2BA5"/>
    <w:rsid w:val="002F3043"/>
    <w:rsid w:val="003017A2"/>
    <w:rsid w:val="00304674"/>
    <w:rsid w:val="00305166"/>
    <w:rsid w:val="00305B35"/>
    <w:rsid w:val="00306352"/>
    <w:rsid w:val="00306B11"/>
    <w:rsid w:val="00310D36"/>
    <w:rsid w:val="00311C45"/>
    <w:rsid w:val="00311EC2"/>
    <w:rsid w:val="003143C0"/>
    <w:rsid w:val="003155A7"/>
    <w:rsid w:val="003166C5"/>
    <w:rsid w:val="003173AB"/>
    <w:rsid w:val="00320832"/>
    <w:rsid w:val="00321B01"/>
    <w:rsid w:val="003242B9"/>
    <w:rsid w:val="00326D28"/>
    <w:rsid w:val="00335435"/>
    <w:rsid w:val="00336933"/>
    <w:rsid w:val="00340318"/>
    <w:rsid w:val="00343AF0"/>
    <w:rsid w:val="00343C3D"/>
    <w:rsid w:val="0034453D"/>
    <w:rsid w:val="00345101"/>
    <w:rsid w:val="00350B02"/>
    <w:rsid w:val="00350D7D"/>
    <w:rsid w:val="00355343"/>
    <w:rsid w:val="0035568A"/>
    <w:rsid w:val="00356736"/>
    <w:rsid w:val="003571AE"/>
    <w:rsid w:val="00363606"/>
    <w:rsid w:val="003647C6"/>
    <w:rsid w:val="00364E72"/>
    <w:rsid w:val="00371D52"/>
    <w:rsid w:val="00372FB2"/>
    <w:rsid w:val="00374A4A"/>
    <w:rsid w:val="003801F8"/>
    <w:rsid w:val="00380D26"/>
    <w:rsid w:val="003823C9"/>
    <w:rsid w:val="003836E0"/>
    <w:rsid w:val="003854EC"/>
    <w:rsid w:val="00387CF6"/>
    <w:rsid w:val="00390A8E"/>
    <w:rsid w:val="0039325A"/>
    <w:rsid w:val="00394F9F"/>
    <w:rsid w:val="0039658E"/>
    <w:rsid w:val="003979FC"/>
    <w:rsid w:val="00397A46"/>
    <w:rsid w:val="003A135F"/>
    <w:rsid w:val="003A4860"/>
    <w:rsid w:val="003A586E"/>
    <w:rsid w:val="003A73B2"/>
    <w:rsid w:val="003B0F3F"/>
    <w:rsid w:val="003B2E3D"/>
    <w:rsid w:val="003B2E50"/>
    <w:rsid w:val="003B3D9A"/>
    <w:rsid w:val="003B6445"/>
    <w:rsid w:val="003B6AEF"/>
    <w:rsid w:val="003C28E7"/>
    <w:rsid w:val="003C39DA"/>
    <w:rsid w:val="003C695B"/>
    <w:rsid w:val="003C698A"/>
    <w:rsid w:val="003D0B12"/>
    <w:rsid w:val="003D1CF9"/>
    <w:rsid w:val="003D4315"/>
    <w:rsid w:val="003D6588"/>
    <w:rsid w:val="003D67FC"/>
    <w:rsid w:val="003E0080"/>
    <w:rsid w:val="003E16F8"/>
    <w:rsid w:val="003E1C4F"/>
    <w:rsid w:val="003E273C"/>
    <w:rsid w:val="003E2FD8"/>
    <w:rsid w:val="003E3032"/>
    <w:rsid w:val="003E3927"/>
    <w:rsid w:val="003E695B"/>
    <w:rsid w:val="003F0D87"/>
    <w:rsid w:val="00400100"/>
    <w:rsid w:val="004007C6"/>
    <w:rsid w:val="0040084B"/>
    <w:rsid w:val="00402FDB"/>
    <w:rsid w:val="004064B0"/>
    <w:rsid w:val="00406E5A"/>
    <w:rsid w:val="004078B5"/>
    <w:rsid w:val="004150C5"/>
    <w:rsid w:val="00416959"/>
    <w:rsid w:val="0042420D"/>
    <w:rsid w:val="00424B6B"/>
    <w:rsid w:val="004255E8"/>
    <w:rsid w:val="00427AEC"/>
    <w:rsid w:val="00437BAD"/>
    <w:rsid w:val="0044034E"/>
    <w:rsid w:val="00440AB4"/>
    <w:rsid w:val="00440E98"/>
    <w:rsid w:val="00442BB6"/>
    <w:rsid w:val="00443B99"/>
    <w:rsid w:val="00444261"/>
    <w:rsid w:val="00445D88"/>
    <w:rsid w:val="004514CC"/>
    <w:rsid w:val="00453860"/>
    <w:rsid w:val="004555C3"/>
    <w:rsid w:val="00455B34"/>
    <w:rsid w:val="00460BEE"/>
    <w:rsid w:val="00460DC8"/>
    <w:rsid w:val="00461245"/>
    <w:rsid w:val="004634BD"/>
    <w:rsid w:val="00463CB4"/>
    <w:rsid w:val="004643E6"/>
    <w:rsid w:val="004740EB"/>
    <w:rsid w:val="004741C8"/>
    <w:rsid w:val="00474DB7"/>
    <w:rsid w:val="00474EB6"/>
    <w:rsid w:val="004765F6"/>
    <w:rsid w:val="00477AB6"/>
    <w:rsid w:val="0048160F"/>
    <w:rsid w:val="00481F02"/>
    <w:rsid w:val="004834BB"/>
    <w:rsid w:val="0048762C"/>
    <w:rsid w:val="00496B23"/>
    <w:rsid w:val="004A0D73"/>
    <w:rsid w:val="004A19A8"/>
    <w:rsid w:val="004A1CCD"/>
    <w:rsid w:val="004A1D06"/>
    <w:rsid w:val="004A58F8"/>
    <w:rsid w:val="004B00A1"/>
    <w:rsid w:val="004B1558"/>
    <w:rsid w:val="004B256F"/>
    <w:rsid w:val="004B56EB"/>
    <w:rsid w:val="004B6BF2"/>
    <w:rsid w:val="004B7D8D"/>
    <w:rsid w:val="004C1DE8"/>
    <w:rsid w:val="004C24A7"/>
    <w:rsid w:val="004C37B8"/>
    <w:rsid w:val="004C42AA"/>
    <w:rsid w:val="004D0AFD"/>
    <w:rsid w:val="004D6965"/>
    <w:rsid w:val="004D736E"/>
    <w:rsid w:val="004D7DBA"/>
    <w:rsid w:val="004E1C01"/>
    <w:rsid w:val="004E28B9"/>
    <w:rsid w:val="004E3428"/>
    <w:rsid w:val="004E4B32"/>
    <w:rsid w:val="004E6A12"/>
    <w:rsid w:val="004F132C"/>
    <w:rsid w:val="004F1A1D"/>
    <w:rsid w:val="004F30F3"/>
    <w:rsid w:val="004F5AF7"/>
    <w:rsid w:val="004F60F1"/>
    <w:rsid w:val="004F613F"/>
    <w:rsid w:val="004F76A1"/>
    <w:rsid w:val="004F7C0A"/>
    <w:rsid w:val="0050033E"/>
    <w:rsid w:val="00500EDD"/>
    <w:rsid w:val="00501195"/>
    <w:rsid w:val="00501278"/>
    <w:rsid w:val="00505FA7"/>
    <w:rsid w:val="0050685F"/>
    <w:rsid w:val="0050720F"/>
    <w:rsid w:val="00507778"/>
    <w:rsid w:val="005113B6"/>
    <w:rsid w:val="00513E64"/>
    <w:rsid w:val="00513F7F"/>
    <w:rsid w:val="0051548E"/>
    <w:rsid w:val="00520757"/>
    <w:rsid w:val="00531817"/>
    <w:rsid w:val="00531BF1"/>
    <w:rsid w:val="005332C1"/>
    <w:rsid w:val="00536B62"/>
    <w:rsid w:val="005400C8"/>
    <w:rsid w:val="00540912"/>
    <w:rsid w:val="00545249"/>
    <w:rsid w:val="005463CA"/>
    <w:rsid w:val="0055096E"/>
    <w:rsid w:val="00554728"/>
    <w:rsid w:val="00555B01"/>
    <w:rsid w:val="005579D0"/>
    <w:rsid w:val="00560CA0"/>
    <w:rsid w:val="005624F3"/>
    <w:rsid w:val="0057419C"/>
    <w:rsid w:val="005745C5"/>
    <w:rsid w:val="005752CC"/>
    <w:rsid w:val="005753DA"/>
    <w:rsid w:val="00575E8D"/>
    <w:rsid w:val="0057604D"/>
    <w:rsid w:val="00576B5B"/>
    <w:rsid w:val="005811EF"/>
    <w:rsid w:val="00581B95"/>
    <w:rsid w:val="005827C9"/>
    <w:rsid w:val="00584890"/>
    <w:rsid w:val="005864D8"/>
    <w:rsid w:val="005951A3"/>
    <w:rsid w:val="0059719E"/>
    <w:rsid w:val="0059770A"/>
    <w:rsid w:val="005A0911"/>
    <w:rsid w:val="005A1389"/>
    <w:rsid w:val="005A5D03"/>
    <w:rsid w:val="005A6CF9"/>
    <w:rsid w:val="005B010E"/>
    <w:rsid w:val="005B0878"/>
    <w:rsid w:val="005B1597"/>
    <w:rsid w:val="005B2526"/>
    <w:rsid w:val="005B3588"/>
    <w:rsid w:val="005B7D44"/>
    <w:rsid w:val="005C15C0"/>
    <w:rsid w:val="005C3C4E"/>
    <w:rsid w:val="005C3CB9"/>
    <w:rsid w:val="005C5D44"/>
    <w:rsid w:val="005C73D4"/>
    <w:rsid w:val="005D2A73"/>
    <w:rsid w:val="005D30FC"/>
    <w:rsid w:val="005D477F"/>
    <w:rsid w:val="005D4C49"/>
    <w:rsid w:val="005D5653"/>
    <w:rsid w:val="005E4CF2"/>
    <w:rsid w:val="005E50CB"/>
    <w:rsid w:val="005E56AD"/>
    <w:rsid w:val="005E64FA"/>
    <w:rsid w:val="005F284D"/>
    <w:rsid w:val="005F28B8"/>
    <w:rsid w:val="006007C1"/>
    <w:rsid w:val="00600C61"/>
    <w:rsid w:val="00601ECD"/>
    <w:rsid w:val="00605252"/>
    <w:rsid w:val="00610654"/>
    <w:rsid w:val="0061656F"/>
    <w:rsid w:val="00617818"/>
    <w:rsid w:val="006318B9"/>
    <w:rsid w:val="00637715"/>
    <w:rsid w:val="00642BCA"/>
    <w:rsid w:val="00644418"/>
    <w:rsid w:val="00647308"/>
    <w:rsid w:val="00650EA4"/>
    <w:rsid w:val="0065115A"/>
    <w:rsid w:val="006511E0"/>
    <w:rsid w:val="00651675"/>
    <w:rsid w:val="00652F9B"/>
    <w:rsid w:val="00655217"/>
    <w:rsid w:val="006558E9"/>
    <w:rsid w:val="006571CB"/>
    <w:rsid w:val="00660E76"/>
    <w:rsid w:val="00662D3F"/>
    <w:rsid w:val="00666F90"/>
    <w:rsid w:val="00667FF5"/>
    <w:rsid w:val="0067026C"/>
    <w:rsid w:val="00670DBC"/>
    <w:rsid w:val="00671846"/>
    <w:rsid w:val="006726DD"/>
    <w:rsid w:val="00673422"/>
    <w:rsid w:val="0067434D"/>
    <w:rsid w:val="006743C5"/>
    <w:rsid w:val="00675BE1"/>
    <w:rsid w:val="006772C2"/>
    <w:rsid w:val="00680058"/>
    <w:rsid w:val="00690E83"/>
    <w:rsid w:val="006969C4"/>
    <w:rsid w:val="006969EA"/>
    <w:rsid w:val="00696C22"/>
    <w:rsid w:val="006A2991"/>
    <w:rsid w:val="006B33F6"/>
    <w:rsid w:val="006B4D86"/>
    <w:rsid w:val="006B76B5"/>
    <w:rsid w:val="006C283A"/>
    <w:rsid w:val="006C38AE"/>
    <w:rsid w:val="006C4431"/>
    <w:rsid w:val="006C4E0C"/>
    <w:rsid w:val="006D0CC3"/>
    <w:rsid w:val="006D3D15"/>
    <w:rsid w:val="006E07F3"/>
    <w:rsid w:val="006E1131"/>
    <w:rsid w:val="006E2D49"/>
    <w:rsid w:val="006E301D"/>
    <w:rsid w:val="006E5821"/>
    <w:rsid w:val="006E5969"/>
    <w:rsid w:val="006F0941"/>
    <w:rsid w:val="006F6B60"/>
    <w:rsid w:val="0070019F"/>
    <w:rsid w:val="00700833"/>
    <w:rsid w:val="00701D97"/>
    <w:rsid w:val="0070213F"/>
    <w:rsid w:val="007021FA"/>
    <w:rsid w:val="007027B7"/>
    <w:rsid w:val="0070411B"/>
    <w:rsid w:val="00711638"/>
    <w:rsid w:val="00711F59"/>
    <w:rsid w:val="00721708"/>
    <w:rsid w:val="00724175"/>
    <w:rsid w:val="00724293"/>
    <w:rsid w:val="007250ED"/>
    <w:rsid w:val="0072771E"/>
    <w:rsid w:val="00730772"/>
    <w:rsid w:val="00730A2A"/>
    <w:rsid w:val="00731110"/>
    <w:rsid w:val="0073473B"/>
    <w:rsid w:val="00735EB4"/>
    <w:rsid w:val="00736FD9"/>
    <w:rsid w:val="00740D3F"/>
    <w:rsid w:val="00740F8D"/>
    <w:rsid w:val="00742025"/>
    <w:rsid w:val="007431EC"/>
    <w:rsid w:val="007468FC"/>
    <w:rsid w:val="00750137"/>
    <w:rsid w:val="0075056C"/>
    <w:rsid w:val="00753BB3"/>
    <w:rsid w:val="0075421A"/>
    <w:rsid w:val="00755A77"/>
    <w:rsid w:val="00762CF3"/>
    <w:rsid w:val="00763064"/>
    <w:rsid w:val="00767649"/>
    <w:rsid w:val="00775400"/>
    <w:rsid w:val="007755B2"/>
    <w:rsid w:val="0077705D"/>
    <w:rsid w:val="00777221"/>
    <w:rsid w:val="00781967"/>
    <w:rsid w:val="00783AE1"/>
    <w:rsid w:val="0078707E"/>
    <w:rsid w:val="00790B33"/>
    <w:rsid w:val="00792CA3"/>
    <w:rsid w:val="00795533"/>
    <w:rsid w:val="0079669B"/>
    <w:rsid w:val="007A074E"/>
    <w:rsid w:val="007A1793"/>
    <w:rsid w:val="007A4168"/>
    <w:rsid w:val="007A4C24"/>
    <w:rsid w:val="007A504D"/>
    <w:rsid w:val="007A5741"/>
    <w:rsid w:val="007A6AE3"/>
    <w:rsid w:val="007A7BB4"/>
    <w:rsid w:val="007B0629"/>
    <w:rsid w:val="007B09C6"/>
    <w:rsid w:val="007B146F"/>
    <w:rsid w:val="007B1A28"/>
    <w:rsid w:val="007B206F"/>
    <w:rsid w:val="007B2FDD"/>
    <w:rsid w:val="007B3C8D"/>
    <w:rsid w:val="007B5D09"/>
    <w:rsid w:val="007C49AB"/>
    <w:rsid w:val="007D0BA0"/>
    <w:rsid w:val="007D1995"/>
    <w:rsid w:val="007D1BE8"/>
    <w:rsid w:val="007D55AE"/>
    <w:rsid w:val="007D58FB"/>
    <w:rsid w:val="007D59E6"/>
    <w:rsid w:val="007D60D8"/>
    <w:rsid w:val="007D7624"/>
    <w:rsid w:val="007D7F75"/>
    <w:rsid w:val="007E0001"/>
    <w:rsid w:val="007E2FF8"/>
    <w:rsid w:val="007F72DD"/>
    <w:rsid w:val="007F73F4"/>
    <w:rsid w:val="00801889"/>
    <w:rsid w:val="00802F63"/>
    <w:rsid w:val="00805649"/>
    <w:rsid w:val="0080661B"/>
    <w:rsid w:val="00810BA3"/>
    <w:rsid w:val="008125D8"/>
    <w:rsid w:val="00813E2F"/>
    <w:rsid w:val="00822165"/>
    <w:rsid w:val="00822242"/>
    <w:rsid w:val="0082644A"/>
    <w:rsid w:val="008266FF"/>
    <w:rsid w:val="00830DDC"/>
    <w:rsid w:val="0083104F"/>
    <w:rsid w:val="00831714"/>
    <w:rsid w:val="00831F4C"/>
    <w:rsid w:val="00833866"/>
    <w:rsid w:val="0083468A"/>
    <w:rsid w:val="008369DB"/>
    <w:rsid w:val="00836AC6"/>
    <w:rsid w:val="00842535"/>
    <w:rsid w:val="00842659"/>
    <w:rsid w:val="00842D43"/>
    <w:rsid w:val="008437E7"/>
    <w:rsid w:val="00846C22"/>
    <w:rsid w:val="00846DCA"/>
    <w:rsid w:val="0085063E"/>
    <w:rsid w:val="00850650"/>
    <w:rsid w:val="00850F6B"/>
    <w:rsid w:val="00856D1C"/>
    <w:rsid w:val="0086004F"/>
    <w:rsid w:val="00860875"/>
    <w:rsid w:val="00865F3B"/>
    <w:rsid w:val="00873795"/>
    <w:rsid w:val="008755A5"/>
    <w:rsid w:val="00876AC0"/>
    <w:rsid w:val="00881F19"/>
    <w:rsid w:val="00886579"/>
    <w:rsid w:val="00890FB5"/>
    <w:rsid w:val="00891604"/>
    <w:rsid w:val="008916C9"/>
    <w:rsid w:val="00893B81"/>
    <w:rsid w:val="0089444F"/>
    <w:rsid w:val="00897F74"/>
    <w:rsid w:val="008A17CE"/>
    <w:rsid w:val="008A233E"/>
    <w:rsid w:val="008A26D0"/>
    <w:rsid w:val="008A402B"/>
    <w:rsid w:val="008A7127"/>
    <w:rsid w:val="008B30B1"/>
    <w:rsid w:val="008B30B7"/>
    <w:rsid w:val="008B39B0"/>
    <w:rsid w:val="008B5304"/>
    <w:rsid w:val="008B7ECC"/>
    <w:rsid w:val="008C1ECF"/>
    <w:rsid w:val="008C2C57"/>
    <w:rsid w:val="008C5CBA"/>
    <w:rsid w:val="008C686A"/>
    <w:rsid w:val="008D0097"/>
    <w:rsid w:val="008D0E18"/>
    <w:rsid w:val="008D1C3B"/>
    <w:rsid w:val="008D2E6A"/>
    <w:rsid w:val="008D3B41"/>
    <w:rsid w:val="008D5C58"/>
    <w:rsid w:val="008D65F0"/>
    <w:rsid w:val="008D6BC5"/>
    <w:rsid w:val="008D7AC1"/>
    <w:rsid w:val="008E1FFF"/>
    <w:rsid w:val="008E309F"/>
    <w:rsid w:val="008E38D8"/>
    <w:rsid w:val="008E4361"/>
    <w:rsid w:val="008F1914"/>
    <w:rsid w:val="008F4FDD"/>
    <w:rsid w:val="00903408"/>
    <w:rsid w:val="00903DF5"/>
    <w:rsid w:val="00904EB3"/>
    <w:rsid w:val="0091087D"/>
    <w:rsid w:val="009116EA"/>
    <w:rsid w:val="00915884"/>
    <w:rsid w:val="00917044"/>
    <w:rsid w:val="0092032C"/>
    <w:rsid w:val="00920810"/>
    <w:rsid w:val="00921045"/>
    <w:rsid w:val="009314BF"/>
    <w:rsid w:val="009323C6"/>
    <w:rsid w:val="00933671"/>
    <w:rsid w:val="0093434D"/>
    <w:rsid w:val="009349E4"/>
    <w:rsid w:val="009359F8"/>
    <w:rsid w:val="00936089"/>
    <w:rsid w:val="0093703B"/>
    <w:rsid w:val="0094132C"/>
    <w:rsid w:val="00941A84"/>
    <w:rsid w:val="0094257D"/>
    <w:rsid w:val="0094344C"/>
    <w:rsid w:val="009435BF"/>
    <w:rsid w:val="00945436"/>
    <w:rsid w:val="009503E5"/>
    <w:rsid w:val="009516FB"/>
    <w:rsid w:val="00951A38"/>
    <w:rsid w:val="009564BA"/>
    <w:rsid w:val="00961A06"/>
    <w:rsid w:val="00961FC2"/>
    <w:rsid w:val="009720BF"/>
    <w:rsid w:val="00972BF7"/>
    <w:rsid w:val="00972DD5"/>
    <w:rsid w:val="009744D7"/>
    <w:rsid w:val="009749E0"/>
    <w:rsid w:val="00975E2F"/>
    <w:rsid w:val="00975F08"/>
    <w:rsid w:val="00976647"/>
    <w:rsid w:val="00976C76"/>
    <w:rsid w:val="00977E98"/>
    <w:rsid w:val="00980119"/>
    <w:rsid w:val="0098063F"/>
    <w:rsid w:val="0098099B"/>
    <w:rsid w:val="00981BD9"/>
    <w:rsid w:val="0098269C"/>
    <w:rsid w:val="00982FCA"/>
    <w:rsid w:val="00984879"/>
    <w:rsid w:val="00985632"/>
    <w:rsid w:val="00990F12"/>
    <w:rsid w:val="00991B63"/>
    <w:rsid w:val="00992309"/>
    <w:rsid w:val="00995565"/>
    <w:rsid w:val="009969E4"/>
    <w:rsid w:val="009A0512"/>
    <w:rsid w:val="009A0C1B"/>
    <w:rsid w:val="009A16DA"/>
    <w:rsid w:val="009A4C64"/>
    <w:rsid w:val="009A5925"/>
    <w:rsid w:val="009A67DD"/>
    <w:rsid w:val="009B0327"/>
    <w:rsid w:val="009B05F0"/>
    <w:rsid w:val="009B20F6"/>
    <w:rsid w:val="009B2428"/>
    <w:rsid w:val="009B35CB"/>
    <w:rsid w:val="009B3D88"/>
    <w:rsid w:val="009B5476"/>
    <w:rsid w:val="009B5CB7"/>
    <w:rsid w:val="009C17E6"/>
    <w:rsid w:val="009D0F17"/>
    <w:rsid w:val="009D1B18"/>
    <w:rsid w:val="009D1D0A"/>
    <w:rsid w:val="009D56DC"/>
    <w:rsid w:val="009D5C1E"/>
    <w:rsid w:val="009D62B4"/>
    <w:rsid w:val="009E5333"/>
    <w:rsid w:val="009E56D9"/>
    <w:rsid w:val="009F127C"/>
    <w:rsid w:val="009F3B48"/>
    <w:rsid w:val="009F714D"/>
    <w:rsid w:val="009F73D1"/>
    <w:rsid w:val="00A01C3C"/>
    <w:rsid w:val="00A01DB0"/>
    <w:rsid w:val="00A02EB6"/>
    <w:rsid w:val="00A04DF8"/>
    <w:rsid w:val="00A12F75"/>
    <w:rsid w:val="00A149BC"/>
    <w:rsid w:val="00A15915"/>
    <w:rsid w:val="00A1599A"/>
    <w:rsid w:val="00A177F8"/>
    <w:rsid w:val="00A20F86"/>
    <w:rsid w:val="00A211AB"/>
    <w:rsid w:val="00A21C51"/>
    <w:rsid w:val="00A220FB"/>
    <w:rsid w:val="00A22794"/>
    <w:rsid w:val="00A246A5"/>
    <w:rsid w:val="00A258CC"/>
    <w:rsid w:val="00A30846"/>
    <w:rsid w:val="00A31242"/>
    <w:rsid w:val="00A32157"/>
    <w:rsid w:val="00A35B8D"/>
    <w:rsid w:val="00A37ED6"/>
    <w:rsid w:val="00A409B1"/>
    <w:rsid w:val="00A4245B"/>
    <w:rsid w:val="00A42F87"/>
    <w:rsid w:val="00A43ADC"/>
    <w:rsid w:val="00A44B4E"/>
    <w:rsid w:val="00A44D86"/>
    <w:rsid w:val="00A473AE"/>
    <w:rsid w:val="00A475CB"/>
    <w:rsid w:val="00A47AE0"/>
    <w:rsid w:val="00A5183A"/>
    <w:rsid w:val="00A52530"/>
    <w:rsid w:val="00A551BF"/>
    <w:rsid w:val="00A61A7E"/>
    <w:rsid w:val="00A62938"/>
    <w:rsid w:val="00A645E4"/>
    <w:rsid w:val="00A65684"/>
    <w:rsid w:val="00A67C43"/>
    <w:rsid w:val="00A70524"/>
    <w:rsid w:val="00A73406"/>
    <w:rsid w:val="00A74F5D"/>
    <w:rsid w:val="00A75EBA"/>
    <w:rsid w:val="00A7698F"/>
    <w:rsid w:val="00A80268"/>
    <w:rsid w:val="00A82A8C"/>
    <w:rsid w:val="00A84CF6"/>
    <w:rsid w:val="00A85F4F"/>
    <w:rsid w:val="00A8754F"/>
    <w:rsid w:val="00A876FF"/>
    <w:rsid w:val="00A918C3"/>
    <w:rsid w:val="00A93188"/>
    <w:rsid w:val="00A94235"/>
    <w:rsid w:val="00A94791"/>
    <w:rsid w:val="00A95D17"/>
    <w:rsid w:val="00A9669F"/>
    <w:rsid w:val="00A9770D"/>
    <w:rsid w:val="00A9785A"/>
    <w:rsid w:val="00AA1DEB"/>
    <w:rsid w:val="00AA6CD3"/>
    <w:rsid w:val="00AB6C6D"/>
    <w:rsid w:val="00AC28C7"/>
    <w:rsid w:val="00AC3E31"/>
    <w:rsid w:val="00AC62D1"/>
    <w:rsid w:val="00AC65DA"/>
    <w:rsid w:val="00AC7089"/>
    <w:rsid w:val="00AD09E4"/>
    <w:rsid w:val="00AD1C9D"/>
    <w:rsid w:val="00AD3086"/>
    <w:rsid w:val="00AD3C67"/>
    <w:rsid w:val="00AD4EA8"/>
    <w:rsid w:val="00AD55D9"/>
    <w:rsid w:val="00AE1AAD"/>
    <w:rsid w:val="00AE7923"/>
    <w:rsid w:val="00AF0110"/>
    <w:rsid w:val="00AF1737"/>
    <w:rsid w:val="00AF2A2F"/>
    <w:rsid w:val="00AF40D8"/>
    <w:rsid w:val="00AF4AFD"/>
    <w:rsid w:val="00AF5261"/>
    <w:rsid w:val="00AF7112"/>
    <w:rsid w:val="00B01231"/>
    <w:rsid w:val="00B0182C"/>
    <w:rsid w:val="00B03799"/>
    <w:rsid w:val="00B0627B"/>
    <w:rsid w:val="00B068DB"/>
    <w:rsid w:val="00B07775"/>
    <w:rsid w:val="00B10A4F"/>
    <w:rsid w:val="00B122E9"/>
    <w:rsid w:val="00B12976"/>
    <w:rsid w:val="00B13755"/>
    <w:rsid w:val="00B25656"/>
    <w:rsid w:val="00B2722A"/>
    <w:rsid w:val="00B301F8"/>
    <w:rsid w:val="00B30657"/>
    <w:rsid w:val="00B30C03"/>
    <w:rsid w:val="00B31A5E"/>
    <w:rsid w:val="00B32DC9"/>
    <w:rsid w:val="00B34337"/>
    <w:rsid w:val="00B4164A"/>
    <w:rsid w:val="00B4204F"/>
    <w:rsid w:val="00B4446B"/>
    <w:rsid w:val="00B526FC"/>
    <w:rsid w:val="00B53DF9"/>
    <w:rsid w:val="00B566F3"/>
    <w:rsid w:val="00B57501"/>
    <w:rsid w:val="00B61362"/>
    <w:rsid w:val="00B61726"/>
    <w:rsid w:val="00B618BA"/>
    <w:rsid w:val="00B61A54"/>
    <w:rsid w:val="00B61A6C"/>
    <w:rsid w:val="00B643CF"/>
    <w:rsid w:val="00B6773D"/>
    <w:rsid w:val="00B72CB1"/>
    <w:rsid w:val="00B72D9E"/>
    <w:rsid w:val="00B74FB4"/>
    <w:rsid w:val="00B80168"/>
    <w:rsid w:val="00B94F5D"/>
    <w:rsid w:val="00B94F7D"/>
    <w:rsid w:val="00B97F87"/>
    <w:rsid w:val="00BA0DE5"/>
    <w:rsid w:val="00BA1A18"/>
    <w:rsid w:val="00BA282D"/>
    <w:rsid w:val="00BA3294"/>
    <w:rsid w:val="00BA4813"/>
    <w:rsid w:val="00BA4D57"/>
    <w:rsid w:val="00BA522B"/>
    <w:rsid w:val="00BB230E"/>
    <w:rsid w:val="00BB302D"/>
    <w:rsid w:val="00BB4B6D"/>
    <w:rsid w:val="00BB6260"/>
    <w:rsid w:val="00BB785B"/>
    <w:rsid w:val="00BC0979"/>
    <w:rsid w:val="00BC2ADA"/>
    <w:rsid w:val="00BC3EC4"/>
    <w:rsid w:val="00BC7A1A"/>
    <w:rsid w:val="00BD29B4"/>
    <w:rsid w:val="00BD5E49"/>
    <w:rsid w:val="00BD7E1D"/>
    <w:rsid w:val="00BE01B4"/>
    <w:rsid w:val="00BE13AE"/>
    <w:rsid w:val="00BE2536"/>
    <w:rsid w:val="00BE642B"/>
    <w:rsid w:val="00C00DF7"/>
    <w:rsid w:val="00C019A2"/>
    <w:rsid w:val="00C01B13"/>
    <w:rsid w:val="00C05E74"/>
    <w:rsid w:val="00C0720C"/>
    <w:rsid w:val="00C07A48"/>
    <w:rsid w:val="00C10C19"/>
    <w:rsid w:val="00C12DBB"/>
    <w:rsid w:val="00C143B8"/>
    <w:rsid w:val="00C14B74"/>
    <w:rsid w:val="00C15DBA"/>
    <w:rsid w:val="00C17D02"/>
    <w:rsid w:val="00C233EE"/>
    <w:rsid w:val="00C318CD"/>
    <w:rsid w:val="00C318EB"/>
    <w:rsid w:val="00C3227E"/>
    <w:rsid w:val="00C33A7D"/>
    <w:rsid w:val="00C361AC"/>
    <w:rsid w:val="00C36D95"/>
    <w:rsid w:val="00C37FFB"/>
    <w:rsid w:val="00C43D31"/>
    <w:rsid w:val="00C45322"/>
    <w:rsid w:val="00C500C2"/>
    <w:rsid w:val="00C5649C"/>
    <w:rsid w:val="00C61DE3"/>
    <w:rsid w:val="00C62E16"/>
    <w:rsid w:val="00C6323D"/>
    <w:rsid w:val="00C632E4"/>
    <w:rsid w:val="00C64336"/>
    <w:rsid w:val="00C67C3F"/>
    <w:rsid w:val="00C72EC7"/>
    <w:rsid w:val="00C73A57"/>
    <w:rsid w:val="00C74B16"/>
    <w:rsid w:val="00C75486"/>
    <w:rsid w:val="00C767B3"/>
    <w:rsid w:val="00C77AFC"/>
    <w:rsid w:val="00C81AB3"/>
    <w:rsid w:val="00C8202C"/>
    <w:rsid w:val="00C84E0C"/>
    <w:rsid w:val="00C902E0"/>
    <w:rsid w:val="00C92A5B"/>
    <w:rsid w:val="00C93C97"/>
    <w:rsid w:val="00C958FE"/>
    <w:rsid w:val="00C97FE5"/>
    <w:rsid w:val="00CA17A4"/>
    <w:rsid w:val="00CA46EC"/>
    <w:rsid w:val="00CA6409"/>
    <w:rsid w:val="00CA6D52"/>
    <w:rsid w:val="00CB0664"/>
    <w:rsid w:val="00CB4A85"/>
    <w:rsid w:val="00CC293D"/>
    <w:rsid w:val="00CC294E"/>
    <w:rsid w:val="00CC2DFC"/>
    <w:rsid w:val="00CD012C"/>
    <w:rsid w:val="00CD1B2A"/>
    <w:rsid w:val="00CD4986"/>
    <w:rsid w:val="00CD500B"/>
    <w:rsid w:val="00CD6C97"/>
    <w:rsid w:val="00CE25C1"/>
    <w:rsid w:val="00CE45E6"/>
    <w:rsid w:val="00CF0D50"/>
    <w:rsid w:val="00CF1E23"/>
    <w:rsid w:val="00CF7F4F"/>
    <w:rsid w:val="00D033E8"/>
    <w:rsid w:val="00D05222"/>
    <w:rsid w:val="00D05B29"/>
    <w:rsid w:val="00D1394D"/>
    <w:rsid w:val="00D16C5F"/>
    <w:rsid w:val="00D22A26"/>
    <w:rsid w:val="00D2556A"/>
    <w:rsid w:val="00D262EA"/>
    <w:rsid w:val="00D26A8D"/>
    <w:rsid w:val="00D31BB2"/>
    <w:rsid w:val="00D33729"/>
    <w:rsid w:val="00D36074"/>
    <w:rsid w:val="00D40D8C"/>
    <w:rsid w:val="00D41220"/>
    <w:rsid w:val="00D462CF"/>
    <w:rsid w:val="00D47740"/>
    <w:rsid w:val="00D500EA"/>
    <w:rsid w:val="00D50170"/>
    <w:rsid w:val="00D51405"/>
    <w:rsid w:val="00D51E46"/>
    <w:rsid w:val="00D5231C"/>
    <w:rsid w:val="00D54142"/>
    <w:rsid w:val="00D55580"/>
    <w:rsid w:val="00D5562B"/>
    <w:rsid w:val="00D602DF"/>
    <w:rsid w:val="00D60750"/>
    <w:rsid w:val="00D60FE8"/>
    <w:rsid w:val="00D61EA2"/>
    <w:rsid w:val="00D62D86"/>
    <w:rsid w:val="00D636BE"/>
    <w:rsid w:val="00D6385C"/>
    <w:rsid w:val="00D64802"/>
    <w:rsid w:val="00D64DA5"/>
    <w:rsid w:val="00D65AEC"/>
    <w:rsid w:val="00D712D7"/>
    <w:rsid w:val="00D72341"/>
    <w:rsid w:val="00D74950"/>
    <w:rsid w:val="00D80A52"/>
    <w:rsid w:val="00D812B9"/>
    <w:rsid w:val="00D81C52"/>
    <w:rsid w:val="00D82676"/>
    <w:rsid w:val="00D82EF2"/>
    <w:rsid w:val="00D8756B"/>
    <w:rsid w:val="00D903FD"/>
    <w:rsid w:val="00D91D31"/>
    <w:rsid w:val="00D92F4A"/>
    <w:rsid w:val="00D94BC5"/>
    <w:rsid w:val="00D96C08"/>
    <w:rsid w:val="00DA03AD"/>
    <w:rsid w:val="00DB2012"/>
    <w:rsid w:val="00DB31E2"/>
    <w:rsid w:val="00DB355D"/>
    <w:rsid w:val="00DB3B0D"/>
    <w:rsid w:val="00DB3C1D"/>
    <w:rsid w:val="00DB6C75"/>
    <w:rsid w:val="00DC2DC3"/>
    <w:rsid w:val="00DC3052"/>
    <w:rsid w:val="00DC665D"/>
    <w:rsid w:val="00DD0E82"/>
    <w:rsid w:val="00DD5A33"/>
    <w:rsid w:val="00DD6CCF"/>
    <w:rsid w:val="00DE2831"/>
    <w:rsid w:val="00DE3327"/>
    <w:rsid w:val="00DE50DB"/>
    <w:rsid w:val="00DE66F6"/>
    <w:rsid w:val="00DE763C"/>
    <w:rsid w:val="00DE78F8"/>
    <w:rsid w:val="00DF3704"/>
    <w:rsid w:val="00DF46C4"/>
    <w:rsid w:val="00DF4CA3"/>
    <w:rsid w:val="00E00CB0"/>
    <w:rsid w:val="00E02EE4"/>
    <w:rsid w:val="00E079CE"/>
    <w:rsid w:val="00E119EB"/>
    <w:rsid w:val="00E1374B"/>
    <w:rsid w:val="00E1758F"/>
    <w:rsid w:val="00E2545C"/>
    <w:rsid w:val="00E2652B"/>
    <w:rsid w:val="00E268FC"/>
    <w:rsid w:val="00E30AF7"/>
    <w:rsid w:val="00E34DA9"/>
    <w:rsid w:val="00E35EF6"/>
    <w:rsid w:val="00E3603A"/>
    <w:rsid w:val="00E36BD9"/>
    <w:rsid w:val="00E376D2"/>
    <w:rsid w:val="00E415F1"/>
    <w:rsid w:val="00E422FF"/>
    <w:rsid w:val="00E4387E"/>
    <w:rsid w:val="00E455A9"/>
    <w:rsid w:val="00E51FAF"/>
    <w:rsid w:val="00E5388E"/>
    <w:rsid w:val="00E540A1"/>
    <w:rsid w:val="00E6208E"/>
    <w:rsid w:val="00E7034E"/>
    <w:rsid w:val="00E713E4"/>
    <w:rsid w:val="00E714B4"/>
    <w:rsid w:val="00E8241B"/>
    <w:rsid w:val="00E87438"/>
    <w:rsid w:val="00E87C51"/>
    <w:rsid w:val="00E932E2"/>
    <w:rsid w:val="00E9427D"/>
    <w:rsid w:val="00E97235"/>
    <w:rsid w:val="00EA03FD"/>
    <w:rsid w:val="00EA2270"/>
    <w:rsid w:val="00EA4FE7"/>
    <w:rsid w:val="00EA5055"/>
    <w:rsid w:val="00EA5F9B"/>
    <w:rsid w:val="00EA65B8"/>
    <w:rsid w:val="00EA6CA0"/>
    <w:rsid w:val="00EB1CFF"/>
    <w:rsid w:val="00EB35B8"/>
    <w:rsid w:val="00EB4471"/>
    <w:rsid w:val="00EB5605"/>
    <w:rsid w:val="00EB64D4"/>
    <w:rsid w:val="00EB6508"/>
    <w:rsid w:val="00EB6B34"/>
    <w:rsid w:val="00EB6D75"/>
    <w:rsid w:val="00EC15C6"/>
    <w:rsid w:val="00EC2031"/>
    <w:rsid w:val="00EC3C44"/>
    <w:rsid w:val="00EC4A7D"/>
    <w:rsid w:val="00EC6711"/>
    <w:rsid w:val="00EC78B3"/>
    <w:rsid w:val="00EC78E7"/>
    <w:rsid w:val="00ED0388"/>
    <w:rsid w:val="00ED2A0C"/>
    <w:rsid w:val="00ED3735"/>
    <w:rsid w:val="00ED43D2"/>
    <w:rsid w:val="00ED69A6"/>
    <w:rsid w:val="00ED74F8"/>
    <w:rsid w:val="00EE174B"/>
    <w:rsid w:val="00EE1808"/>
    <w:rsid w:val="00EE3B8C"/>
    <w:rsid w:val="00EE4A91"/>
    <w:rsid w:val="00EE4E96"/>
    <w:rsid w:val="00EE7036"/>
    <w:rsid w:val="00EE7405"/>
    <w:rsid w:val="00EF150B"/>
    <w:rsid w:val="00EF3354"/>
    <w:rsid w:val="00EF4A38"/>
    <w:rsid w:val="00EF5845"/>
    <w:rsid w:val="00F02763"/>
    <w:rsid w:val="00F04131"/>
    <w:rsid w:val="00F04307"/>
    <w:rsid w:val="00F05A7C"/>
    <w:rsid w:val="00F05BF6"/>
    <w:rsid w:val="00F05FD8"/>
    <w:rsid w:val="00F07239"/>
    <w:rsid w:val="00F10681"/>
    <w:rsid w:val="00F110F6"/>
    <w:rsid w:val="00F11B8F"/>
    <w:rsid w:val="00F13CE3"/>
    <w:rsid w:val="00F14810"/>
    <w:rsid w:val="00F17071"/>
    <w:rsid w:val="00F23359"/>
    <w:rsid w:val="00F255DA"/>
    <w:rsid w:val="00F2642B"/>
    <w:rsid w:val="00F307A7"/>
    <w:rsid w:val="00F31851"/>
    <w:rsid w:val="00F31A39"/>
    <w:rsid w:val="00F36A33"/>
    <w:rsid w:val="00F37EA5"/>
    <w:rsid w:val="00F41E3E"/>
    <w:rsid w:val="00F420FA"/>
    <w:rsid w:val="00F42993"/>
    <w:rsid w:val="00F47193"/>
    <w:rsid w:val="00F51B16"/>
    <w:rsid w:val="00F5451D"/>
    <w:rsid w:val="00F54967"/>
    <w:rsid w:val="00F55648"/>
    <w:rsid w:val="00F62FA7"/>
    <w:rsid w:val="00F65235"/>
    <w:rsid w:val="00F66837"/>
    <w:rsid w:val="00F71695"/>
    <w:rsid w:val="00F71F0C"/>
    <w:rsid w:val="00F74011"/>
    <w:rsid w:val="00F74D28"/>
    <w:rsid w:val="00F76743"/>
    <w:rsid w:val="00F7719E"/>
    <w:rsid w:val="00F772E8"/>
    <w:rsid w:val="00F80CFC"/>
    <w:rsid w:val="00F81E8E"/>
    <w:rsid w:val="00F83216"/>
    <w:rsid w:val="00F85D2F"/>
    <w:rsid w:val="00F86797"/>
    <w:rsid w:val="00F903C7"/>
    <w:rsid w:val="00F94909"/>
    <w:rsid w:val="00F95416"/>
    <w:rsid w:val="00FA1593"/>
    <w:rsid w:val="00FA312F"/>
    <w:rsid w:val="00FA4889"/>
    <w:rsid w:val="00FA53AE"/>
    <w:rsid w:val="00FB10CB"/>
    <w:rsid w:val="00FB29C8"/>
    <w:rsid w:val="00FB2F18"/>
    <w:rsid w:val="00FB3BA1"/>
    <w:rsid w:val="00FB46B9"/>
    <w:rsid w:val="00FB5C70"/>
    <w:rsid w:val="00FB6408"/>
    <w:rsid w:val="00FC1E6B"/>
    <w:rsid w:val="00FD0053"/>
    <w:rsid w:val="00FD0103"/>
    <w:rsid w:val="00FD0487"/>
    <w:rsid w:val="00FD29BC"/>
    <w:rsid w:val="00FD4839"/>
    <w:rsid w:val="00FD65CC"/>
    <w:rsid w:val="00FE172C"/>
    <w:rsid w:val="00FE1B1F"/>
    <w:rsid w:val="00FE56B6"/>
    <w:rsid w:val="00FE73DB"/>
    <w:rsid w:val="00FF0261"/>
    <w:rsid w:val="00FF0297"/>
    <w:rsid w:val="00FF1173"/>
    <w:rsid w:val="00FF2B5B"/>
    <w:rsid w:val="00FF7BF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210EDCDB"/>
  <w15:docId w15:val="{7A4ED83B-95CC-4A33-84E5-212529087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52A0"/>
    <w:pPr>
      <w:spacing w:before="120" w:after="0" w:line="240" w:lineRule="auto"/>
    </w:pPr>
    <w:rPr>
      <w:sz w:val="24"/>
    </w:rPr>
  </w:style>
  <w:style w:type="paragraph" w:styleId="Heading1">
    <w:name w:val="heading 1"/>
    <w:basedOn w:val="Normal"/>
    <w:next w:val="Normal"/>
    <w:link w:val="Heading1Char"/>
    <w:uiPriority w:val="9"/>
    <w:qFormat/>
    <w:rsid w:val="004D0AFD"/>
    <w:pPr>
      <w:spacing w:before="480" w:after="240"/>
      <w:contextualSpacing/>
      <w:outlineLvl w:val="0"/>
    </w:pPr>
    <w:rPr>
      <w:rFonts w:asciiTheme="majorHAnsi" w:eastAsiaTheme="majorEastAsia" w:hAnsiTheme="majorHAnsi" w:cstheme="majorBidi"/>
      <w:b/>
      <w:bCs/>
      <w:color w:val="2D3E7B"/>
      <w:sz w:val="20"/>
      <w:szCs w:val="28"/>
    </w:rPr>
  </w:style>
  <w:style w:type="paragraph" w:styleId="Heading2">
    <w:name w:val="heading 2"/>
    <w:basedOn w:val="Heading3"/>
    <w:next w:val="Normal"/>
    <w:link w:val="Heading2Char"/>
    <w:uiPriority w:val="9"/>
    <w:unhideWhenUsed/>
    <w:qFormat/>
    <w:rsid w:val="00E5388E"/>
    <w:pPr>
      <w:spacing w:before="240" w:after="120"/>
      <w:outlineLvl w:val="1"/>
    </w:pPr>
    <w:rPr>
      <w:rFonts w:ascii="Calibri Light" w:hAnsi="Calibri Light"/>
      <w:i w:val="0"/>
      <w:color w:val="2D3E7B"/>
    </w:rPr>
  </w:style>
  <w:style w:type="paragraph" w:styleId="Heading3">
    <w:name w:val="heading 3"/>
    <w:basedOn w:val="Normal"/>
    <w:next w:val="Normal"/>
    <w:link w:val="Heading3Char"/>
    <w:uiPriority w:val="9"/>
    <w:unhideWhenUsed/>
    <w:qFormat/>
    <w:rsid w:val="007250ED"/>
    <w:pPr>
      <w:outlineLvl w:val="2"/>
    </w:pPr>
    <w:rPr>
      <w:rFonts w:asciiTheme="majorHAnsi" w:eastAsiaTheme="majorEastAsia" w:hAnsiTheme="majorHAnsi" w:cstheme="majorBidi"/>
      <w:b/>
      <w:bCs/>
      <w:i/>
    </w:rPr>
  </w:style>
  <w:style w:type="paragraph" w:styleId="Heading4">
    <w:name w:val="heading 4"/>
    <w:basedOn w:val="Normal"/>
    <w:next w:val="Normal"/>
    <w:link w:val="Heading4Char"/>
    <w:uiPriority w:val="9"/>
    <w:unhideWhenUsed/>
    <w:qFormat/>
    <w:rsid w:val="007A074E"/>
    <w:pPr>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7A074E"/>
    <w:pPr>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7A074E"/>
    <w:pPr>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unhideWhenUsed/>
    <w:qFormat/>
    <w:rsid w:val="007A074E"/>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A074E"/>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A074E"/>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7A074E"/>
    <w:rPr>
      <w:b/>
      <w:bCs/>
    </w:rPr>
  </w:style>
  <w:style w:type="character" w:styleId="Emphasis">
    <w:name w:val="Emphasis"/>
    <w:uiPriority w:val="20"/>
    <w:qFormat/>
    <w:rsid w:val="007A074E"/>
    <w:rPr>
      <w:b/>
      <w:bCs/>
      <w:i/>
      <w:iCs/>
      <w:spacing w:val="10"/>
      <w:bdr w:val="none" w:sz="0" w:space="0" w:color="auto"/>
      <w:shd w:val="clear" w:color="auto" w:fill="auto"/>
    </w:rPr>
  </w:style>
  <w:style w:type="character" w:styleId="BookTitle">
    <w:name w:val="Book Title"/>
    <w:uiPriority w:val="33"/>
    <w:qFormat/>
    <w:rsid w:val="007A074E"/>
    <w:rPr>
      <w:i/>
      <w:iCs/>
      <w:caps w:val="0"/>
      <w:smallCaps w:val="0"/>
      <w:spacing w:val="5"/>
    </w:rPr>
  </w:style>
  <w:style w:type="character" w:styleId="Hyperlink">
    <w:name w:val="Hyperlink"/>
    <w:basedOn w:val="DefaultParagraphFont"/>
    <w:uiPriority w:val="99"/>
    <w:unhideWhenUsed/>
    <w:rsid w:val="00E376D2"/>
    <w:rPr>
      <w:color w:val="0066FF" w:themeColor="text2"/>
      <w:u w:val="single"/>
    </w:rPr>
  </w:style>
  <w:style w:type="paragraph" w:styleId="Quote">
    <w:name w:val="Quote"/>
    <w:basedOn w:val="Normal"/>
    <w:next w:val="Normal"/>
    <w:link w:val="QuoteChar"/>
    <w:uiPriority w:val="29"/>
    <w:qFormat/>
    <w:rsid w:val="007A074E"/>
    <w:pPr>
      <w:spacing w:after="120"/>
      <w:ind w:left="369" w:right="369"/>
    </w:pPr>
    <w:rPr>
      <w:i/>
      <w:iCs/>
    </w:rPr>
  </w:style>
  <w:style w:type="character" w:customStyle="1" w:styleId="QuoteChar">
    <w:name w:val="Quote Char"/>
    <w:basedOn w:val="DefaultParagraphFont"/>
    <w:link w:val="Quote"/>
    <w:uiPriority w:val="29"/>
    <w:rsid w:val="007A074E"/>
    <w:rPr>
      <w:i/>
      <w:iCs/>
    </w:rPr>
  </w:style>
  <w:style w:type="character" w:customStyle="1" w:styleId="Heading1Char">
    <w:name w:val="Heading 1 Char"/>
    <w:basedOn w:val="DefaultParagraphFont"/>
    <w:link w:val="Heading1"/>
    <w:uiPriority w:val="9"/>
    <w:rsid w:val="004D0AFD"/>
    <w:rPr>
      <w:rFonts w:asciiTheme="majorHAnsi" w:eastAsiaTheme="majorEastAsia" w:hAnsiTheme="majorHAnsi" w:cstheme="majorBidi"/>
      <w:b/>
      <w:bCs/>
      <w:color w:val="2D3E7B"/>
      <w:sz w:val="20"/>
      <w:szCs w:val="28"/>
    </w:rPr>
  </w:style>
  <w:style w:type="character" w:customStyle="1" w:styleId="Heading2Char">
    <w:name w:val="Heading 2 Char"/>
    <w:basedOn w:val="DefaultParagraphFont"/>
    <w:link w:val="Heading2"/>
    <w:uiPriority w:val="9"/>
    <w:rsid w:val="00E5388E"/>
    <w:rPr>
      <w:rFonts w:ascii="Calibri Light" w:eastAsiaTheme="majorEastAsia" w:hAnsi="Calibri Light" w:cstheme="majorBidi"/>
      <w:b/>
      <w:bCs/>
      <w:color w:val="2D3E7B"/>
      <w:sz w:val="24"/>
    </w:rPr>
  </w:style>
  <w:style w:type="character" w:customStyle="1" w:styleId="Heading3Char">
    <w:name w:val="Heading 3 Char"/>
    <w:basedOn w:val="DefaultParagraphFont"/>
    <w:link w:val="Heading3"/>
    <w:uiPriority w:val="9"/>
    <w:rsid w:val="007250ED"/>
    <w:rPr>
      <w:rFonts w:asciiTheme="majorHAnsi" w:eastAsiaTheme="majorEastAsia" w:hAnsiTheme="majorHAnsi" w:cstheme="majorBidi"/>
      <w:b/>
      <w:bCs/>
      <w:i/>
    </w:rPr>
  </w:style>
  <w:style w:type="character" w:customStyle="1" w:styleId="Heading4Char">
    <w:name w:val="Heading 4 Char"/>
    <w:basedOn w:val="DefaultParagraphFont"/>
    <w:link w:val="Heading4"/>
    <w:uiPriority w:val="9"/>
    <w:rsid w:val="007A074E"/>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7A074E"/>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7A074E"/>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rsid w:val="007A074E"/>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A074E"/>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A074E"/>
    <w:rPr>
      <w:rFonts w:asciiTheme="majorHAnsi" w:eastAsiaTheme="majorEastAsia" w:hAnsiTheme="majorHAnsi" w:cstheme="majorBidi"/>
      <w:i/>
      <w:iCs/>
      <w:spacing w:val="5"/>
      <w:sz w:val="20"/>
      <w:szCs w:val="20"/>
    </w:rPr>
  </w:style>
  <w:style w:type="paragraph" w:styleId="Title">
    <w:name w:val="Title"/>
    <w:basedOn w:val="Normal"/>
    <w:next w:val="Normal"/>
    <w:link w:val="TitleChar"/>
    <w:autoRedefine/>
    <w:uiPriority w:val="10"/>
    <w:qFormat/>
    <w:rsid w:val="006D0CC3"/>
    <w:pPr>
      <w:spacing w:after="120"/>
      <w:contextualSpacing/>
    </w:pPr>
    <w:rPr>
      <w:rFonts w:ascii="Calibri" w:eastAsiaTheme="majorEastAsia" w:hAnsi="Calibri" w:cs="Calibri"/>
      <w:color w:val="1E2A52" w:themeColor="accent5" w:themeShade="80"/>
      <w:spacing w:val="5"/>
      <w:sz w:val="72"/>
      <w:szCs w:val="72"/>
    </w:rPr>
  </w:style>
  <w:style w:type="character" w:customStyle="1" w:styleId="TitleChar">
    <w:name w:val="Title Char"/>
    <w:basedOn w:val="DefaultParagraphFont"/>
    <w:link w:val="Title"/>
    <w:uiPriority w:val="10"/>
    <w:rsid w:val="006D0CC3"/>
    <w:rPr>
      <w:rFonts w:ascii="Calibri" w:eastAsiaTheme="majorEastAsia" w:hAnsi="Calibri" w:cs="Calibri"/>
      <w:color w:val="1E2A52" w:themeColor="accent5" w:themeShade="80"/>
      <w:spacing w:val="5"/>
      <w:sz w:val="72"/>
      <w:szCs w:val="72"/>
    </w:rPr>
  </w:style>
  <w:style w:type="paragraph" w:styleId="Subtitle">
    <w:name w:val="Subtitle"/>
    <w:basedOn w:val="Normal"/>
    <w:next w:val="Normal"/>
    <w:link w:val="SubtitleChar"/>
    <w:uiPriority w:val="11"/>
    <w:qFormat/>
    <w:rsid w:val="00340318"/>
    <w:pPr>
      <w:spacing w:after="240"/>
    </w:pPr>
    <w:rPr>
      <w:rFonts w:asciiTheme="majorHAnsi" w:eastAsiaTheme="majorEastAsia" w:hAnsiTheme="majorHAnsi" w:cstheme="majorBidi"/>
      <w:b/>
      <w:iCs/>
      <w:color w:val="1E2A52" w:themeColor="accent5" w:themeShade="80"/>
      <w:spacing w:val="13"/>
      <w:sz w:val="40"/>
      <w:szCs w:val="24"/>
    </w:rPr>
  </w:style>
  <w:style w:type="character" w:customStyle="1" w:styleId="SubtitleChar">
    <w:name w:val="Subtitle Char"/>
    <w:basedOn w:val="DefaultParagraphFont"/>
    <w:link w:val="Subtitle"/>
    <w:uiPriority w:val="11"/>
    <w:rsid w:val="00340318"/>
    <w:rPr>
      <w:rFonts w:asciiTheme="majorHAnsi" w:eastAsiaTheme="majorEastAsia" w:hAnsiTheme="majorHAnsi" w:cstheme="majorBidi"/>
      <w:b/>
      <w:iCs/>
      <w:color w:val="1E2A52" w:themeColor="accent5" w:themeShade="80"/>
      <w:spacing w:val="13"/>
      <w:sz w:val="40"/>
      <w:szCs w:val="24"/>
    </w:rPr>
  </w:style>
  <w:style w:type="paragraph" w:styleId="NoSpacing">
    <w:name w:val="No Spacing"/>
    <w:basedOn w:val="Normal"/>
    <w:link w:val="NoSpacingChar"/>
    <w:uiPriority w:val="1"/>
    <w:qFormat/>
    <w:rsid w:val="007A074E"/>
  </w:style>
  <w:style w:type="paragraph" w:styleId="ListParagraph">
    <w:name w:val="List Paragraph"/>
    <w:aliases w:val="Bullet point,List Paragraph1,List Paragraph11,Recommendation,List Paragraph Number,L,Bullet Point,List Bullet 1,Body Bullets 1,Bulleted Para,NFP GP Bulleted List,bullet point list,Bullet points,Content descriptions,List Paragraph2,Number"/>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semiHidden/>
    <w:qFormat/>
    <w:rsid w:val="007A074E"/>
    <w:pPr>
      <w:pBdr>
        <w:bottom w:val="single" w:sz="4" w:space="1" w:color="auto"/>
      </w:pBdr>
      <w:spacing w:after="280"/>
      <w:ind w:left="1008" w:right="1152"/>
      <w:jc w:val="both"/>
    </w:pPr>
    <w:rPr>
      <w:b/>
      <w:bCs/>
      <w:i/>
      <w:iCs/>
    </w:rPr>
  </w:style>
  <w:style w:type="character" w:customStyle="1" w:styleId="IntenseQuoteChar">
    <w:name w:val="Intense Quote Char"/>
    <w:basedOn w:val="DefaultParagraphFont"/>
    <w:link w:val="IntenseQuote"/>
    <w:uiPriority w:val="30"/>
    <w:semiHidden/>
    <w:rsid w:val="007A074E"/>
    <w:rPr>
      <w:b/>
      <w:bCs/>
      <w:i/>
      <w:iCs/>
    </w:rPr>
  </w:style>
  <w:style w:type="character" w:styleId="SubtleEmphasis">
    <w:name w:val="Subtle Emphasis"/>
    <w:uiPriority w:val="19"/>
    <w:semiHidden/>
    <w:qFormat/>
    <w:rsid w:val="007A074E"/>
    <w:rPr>
      <w:i/>
      <w:iCs/>
    </w:rPr>
  </w:style>
  <w:style w:type="character" w:styleId="IntenseEmphasis">
    <w:name w:val="Intense Emphasis"/>
    <w:uiPriority w:val="21"/>
    <w:qFormat/>
    <w:rsid w:val="007A074E"/>
    <w:rPr>
      <w:b/>
      <w:bCs/>
    </w:rPr>
  </w:style>
  <w:style w:type="character" w:styleId="SubtleReference">
    <w:name w:val="Subtle Reference"/>
    <w:uiPriority w:val="31"/>
    <w:semiHidden/>
    <w:qFormat/>
    <w:rsid w:val="007A074E"/>
    <w:rPr>
      <w:smallCaps/>
    </w:rPr>
  </w:style>
  <w:style w:type="character" w:styleId="IntenseReference">
    <w:name w:val="Intense Reference"/>
    <w:uiPriority w:val="32"/>
    <w:semiHidden/>
    <w:qFormat/>
    <w:rsid w:val="007A074E"/>
    <w:rPr>
      <w:smallCaps/>
      <w:spacing w:val="5"/>
      <w:u w:val="single"/>
    </w:rPr>
  </w:style>
  <w:style w:type="paragraph" w:styleId="TOCHeading">
    <w:name w:val="TOC Heading"/>
    <w:basedOn w:val="Heading1"/>
    <w:next w:val="Normal"/>
    <w:uiPriority w:val="39"/>
    <w:unhideWhenUsed/>
    <w:qFormat/>
    <w:rsid w:val="007A074E"/>
    <w:pPr>
      <w:outlineLvl w:val="9"/>
    </w:pPr>
    <w:rPr>
      <w:color w:val="1E2A52" w:themeColor="accent5" w:themeShade="80"/>
      <w:lang w:bidi="en-US"/>
    </w:rPr>
  </w:style>
  <w:style w:type="paragraph" w:styleId="ListNumber">
    <w:name w:val="List Number"/>
    <w:basedOn w:val="Normal"/>
    <w:uiPriority w:val="99"/>
    <w:unhideWhenUsed/>
    <w:rsid w:val="00FB10CB"/>
    <w:pPr>
      <w:numPr>
        <w:numId w:val="1"/>
      </w:numPr>
      <w:spacing w:after="120"/>
      <w:ind w:left="369" w:hanging="369"/>
      <w:contextualSpacing/>
    </w:pPr>
  </w:style>
  <w:style w:type="paragraph" w:styleId="ListNumber2">
    <w:name w:val="List Number 2"/>
    <w:basedOn w:val="Normal"/>
    <w:uiPriority w:val="99"/>
    <w:unhideWhenUsed/>
    <w:rsid w:val="00985632"/>
    <w:pPr>
      <w:numPr>
        <w:ilvl w:val="1"/>
        <w:numId w:val="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
      </w:numPr>
      <w:spacing w:after="120"/>
      <w:ind w:left="1701" w:hanging="765"/>
      <w:contextualSpacing/>
    </w:pPr>
  </w:style>
  <w:style w:type="paragraph" w:styleId="ListNumber4">
    <w:name w:val="List Number 4"/>
    <w:basedOn w:val="Normal"/>
    <w:uiPriority w:val="99"/>
    <w:unhideWhenUsed/>
    <w:rsid w:val="00406E5A"/>
    <w:pPr>
      <w:numPr>
        <w:ilvl w:val="3"/>
        <w:numId w:val="1"/>
      </w:numPr>
      <w:spacing w:after="120"/>
      <w:ind w:left="2637" w:hanging="936"/>
      <w:contextualSpacing/>
    </w:pPr>
  </w:style>
  <w:style w:type="paragraph" w:styleId="ListBullet">
    <w:name w:val="List Bullet"/>
    <w:basedOn w:val="Normal"/>
    <w:uiPriority w:val="99"/>
    <w:unhideWhenUsed/>
    <w:rsid w:val="00CA46EC"/>
    <w:pPr>
      <w:spacing w:after="120"/>
      <w:contextualSpacing/>
    </w:pPr>
  </w:style>
  <w:style w:type="paragraph" w:styleId="ListBullet2">
    <w:name w:val="List Bullet 2"/>
    <w:basedOn w:val="Normal"/>
    <w:uiPriority w:val="99"/>
    <w:unhideWhenUsed/>
    <w:rsid w:val="00CA46EC"/>
    <w:pPr>
      <w:spacing w:after="120"/>
      <w:contextualSpacing/>
    </w:pPr>
  </w:style>
  <w:style w:type="paragraph" w:styleId="ListBullet3">
    <w:name w:val="List Bullet 3"/>
    <w:basedOn w:val="Normal"/>
    <w:uiPriority w:val="99"/>
    <w:unhideWhenUsed/>
    <w:rsid w:val="00CA46EC"/>
    <w:pPr>
      <w:spacing w:after="120"/>
      <w:contextualSpacing/>
    </w:pPr>
  </w:style>
  <w:style w:type="paragraph" w:styleId="ListBullet4">
    <w:name w:val="List Bullet 4"/>
    <w:basedOn w:val="Normal"/>
    <w:uiPriority w:val="99"/>
    <w:unhideWhenUsed/>
    <w:rsid w:val="00CA46EC"/>
    <w:pPr>
      <w:spacing w:after="120"/>
      <w:contextualSpacing/>
    </w:pPr>
  </w:style>
  <w:style w:type="table" w:styleId="TableGrid">
    <w:name w:val="Table Grid"/>
    <w:basedOn w:val="TableNormal"/>
    <w:uiPriority w:val="3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1441A1"/>
    <w:pPr>
      <w:spacing w:after="0" w:line="240" w:lineRule="auto"/>
    </w:pPr>
    <w:rPr>
      <w:color w:val="2D3E7B" w:themeColor="accent5" w:themeShade="BF"/>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2D3E7B" w:themeFill="accent5" w:themeFillShade="BF"/>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uiPriority w:val="99"/>
    <w:rsid w:val="00130923"/>
    <w:pPr>
      <w:numPr>
        <w:numId w:val="2"/>
      </w:numPr>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7A074E"/>
  </w:style>
  <w:style w:type="paragraph" w:styleId="Header">
    <w:name w:val="header"/>
    <w:basedOn w:val="Normal"/>
    <w:link w:val="HeaderChar"/>
    <w:uiPriority w:val="99"/>
    <w:unhideWhenUsed/>
    <w:rsid w:val="00130923"/>
    <w:pPr>
      <w:tabs>
        <w:tab w:val="center" w:pos="4513"/>
        <w:tab w:val="right" w:pos="9026"/>
      </w:tabs>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7A074E"/>
    <w:rPr>
      <w:rFonts w:cstheme="minorHAnsi"/>
      <w:b/>
      <w:sz w:val="20"/>
      <w:szCs w:val="2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qFormat/>
    <w:rsid w:val="007A074E"/>
    <w:rPr>
      <w:color w:val="522761" w:themeColor="accent4"/>
    </w:rPr>
  </w:style>
  <w:style w:type="table" w:styleId="ColorfulGrid-Accent1">
    <w:name w:val="Colorful Grid Accent 1"/>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1" w:themeFillTint="33"/>
    </w:tcPr>
    <w:tblStylePr w:type="firstRow">
      <w:rPr>
        <w:b/>
        <w:bCs/>
      </w:rPr>
      <w:tblPr/>
      <w:tcPr>
        <w:shd w:val="clear" w:color="auto" w:fill="ABB7E0" w:themeFill="accent1" w:themeFillTint="66"/>
      </w:tcPr>
    </w:tblStylePr>
    <w:tblStylePr w:type="lastRow">
      <w:rPr>
        <w:b/>
        <w:bCs/>
        <w:color w:val="000000" w:themeColor="text1"/>
      </w:rPr>
      <w:tblPr/>
      <w:tcPr>
        <w:shd w:val="clear" w:color="auto" w:fill="ABB7E0" w:themeFill="accent1" w:themeFillTint="66"/>
      </w:tcPr>
    </w:tblStylePr>
    <w:tblStylePr w:type="firstCol">
      <w:rPr>
        <w:color w:val="FFFFFF" w:themeColor="background1"/>
      </w:rPr>
      <w:tblPr/>
      <w:tcPr>
        <w:shd w:val="clear" w:color="auto" w:fill="2D3E7B" w:themeFill="accent1" w:themeFillShade="BF"/>
      </w:tcPr>
    </w:tblStylePr>
    <w:tblStylePr w:type="lastCol">
      <w:rPr>
        <w:color w:val="FFFFFF" w:themeColor="background1"/>
      </w:rPr>
      <w:tblPr/>
      <w:tcPr>
        <w:shd w:val="clear" w:color="auto" w:fill="2D3E7B" w:themeFill="accent1" w:themeFillShade="BF"/>
      </w:tc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ColorfulGrid-Accent2">
    <w:name w:val="Colorful Grid Accent 2"/>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2" w:themeFillTint="33"/>
    </w:tcPr>
    <w:tblStylePr w:type="firstRow">
      <w:rPr>
        <w:b/>
        <w:bCs/>
      </w:rPr>
      <w:tblPr/>
      <w:tcPr>
        <w:shd w:val="clear" w:color="auto" w:fill="B8BBC2" w:themeFill="accent2" w:themeFillTint="66"/>
      </w:tcPr>
    </w:tblStylePr>
    <w:tblStylePr w:type="lastRow">
      <w:rPr>
        <w:b/>
        <w:bCs/>
        <w:color w:val="000000" w:themeColor="text1"/>
      </w:rPr>
      <w:tblPr/>
      <w:tcPr>
        <w:shd w:val="clear" w:color="auto" w:fill="B8BBC2" w:themeFill="accent2" w:themeFillTint="66"/>
      </w:tcPr>
    </w:tblStylePr>
    <w:tblStylePr w:type="firstCol">
      <w:rPr>
        <w:color w:val="FFFFFF" w:themeColor="background1"/>
      </w:rPr>
      <w:tblPr/>
      <w:tcPr>
        <w:shd w:val="clear" w:color="auto" w:fill="3F4148" w:themeFill="accent2" w:themeFillShade="BF"/>
      </w:tcPr>
    </w:tblStylePr>
    <w:tblStylePr w:type="lastCol">
      <w:rPr>
        <w:color w:val="FFFFFF" w:themeColor="background1"/>
      </w:rPr>
      <w:tblPr/>
      <w:tcPr>
        <w:shd w:val="clear" w:color="auto" w:fill="3F4148" w:themeFill="accent2" w:themeFillShade="BF"/>
      </w:tc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ColorfulGrid-Accent3">
    <w:name w:val="Colorful Grid Accent 3"/>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DCF" w:themeFill="accent3" w:themeFillTint="33"/>
    </w:tcPr>
    <w:tblStylePr w:type="firstRow">
      <w:rPr>
        <w:b/>
        <w:bCs/>
      </w:rPr>
      <w:tblPr/>
      <w:tcPr>
        <w:shd w:val="clear" w:color="auto" w:fill="F7DC9F" w:themeFill="accent3" w:themeFillTint="66"/>
      </w:tcPr>
    </w:tblStylePr>
    <w:tblStylePr w:type="lastRow">
      <w:rPr>
        <w:b/>
        <w:bCs/>
        <w:color w:val="000000" w:themeColor="text1"/>
      </w:rPr>
      <w:tblPr/>
      <w:tcPr>
        <w:shd w:val="clear" w:color="auto" w:fill="F7DC9F" w:themeFill="accent3" w:themeFillTint="66"/>
      </w:tcPr>
    </w:tblStylePr>
    <w:tblStylePr w:type="firstCol">
      <w:rPr>
        <w:color w:val="FFFFFF" w:themeColor="background1"/>
      </w:rPr>
      <w:tblPr/>
      <w:tcPr>
        <w:shd w:val="clear" w:color="auto" w:fill="AE7E0E" w:themeFill="accent3" w:themeFillShade="BF"/>
      </w:tcPr>
    </w:tblStylePr>
    <w:tblStylePr w:type="lastCol">
      <w:rPr>
        <w:color w:val="FFFFFF" w:themeColor="background1"/>
      </w:rPr>
      <w:tblPr/>
      <w:tcPr>
        <w:shd w:val="clear" w:color="auto" w:fill="AE7E0E" w:themeFill="accent3" w:themeFillShade="BF"/>
      </w:tc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ColorfulGrid-Accent4">
    <w:name w:val="Colorful Grid Accent 4"/>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1C9E9" w:themeFill="accent4" w:themeFillTint="33"/>
    </w:tcPr>
    <w:tblStylePr w:type="firstRow">
      <w:rPr>
        <w:b/>
        <w:bCs/>
      </w:rPr>
      <w:tblPr/>
      <w:tcPr>
        <w:shd w:val="clear" w:color="auto" w:fill="C394D4" w:themeFill="accent4" w:themeFillTint="66"/>
      </w:tcPr>
    </w:tblStylePr>
    <w:tblStylePr w:type="lastRow">
      <w:rPr>
        <w:b/>
        <w:bCs/>
        <w:color w:val="000000" w:themeColor="text1"/>
      </w:rPr>
      <w:tblPr/>
      <w:tcPr>
        <w:shd w:val="clear" w:color="auto" w:fill="C394D4" w:themeFill="accent4" w:themeFillTint="66"/>
      </w:tcPr>
    </w:tblStylePr>
    <w:tblStylePr w:type="firstCol">
      <w:rPr>
        <w:color w:val="FFFFFF" w:themeColor="background1"/>
      </w:rPr>
      <w:tblPr/>
      <w:tcPr>
        <w:shd w:val="clear" w:color="auto" w:fill="3D1D48" w:themeFill="accent4" w:themeFillShade="BF"/>
      </w:tcPr>
    </w:tblStylePr>
    <w:tblStylePr w:type="lastCol">
      <w:rPr>
        <w:color w:val="FFFFFF" w:themeColor="background1"/>
      </w:rPr>
      <w:tblPr/>
      <w:tcPr>
        <w:shd w:val="clear" w:color="auto" w:fill="3D1D48" w:themeFill="accent4" w:themeFillShade="BF"/>
      </w:tc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ColorfulGrid-Accent5">
    <w:name w:val="Colorful Grid Accent 5"/>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EF" w:themeFill="accent5" w:themeFillTint="33"/>
    </w:tcPr>
    <w:tblStylePr w:type="firstRow">
      <w:rPr>
        <w:b/>
        <w:bCs/>
      </w:rPr>
      <w:tblPr/>
      <w:tcPr>
        <w:shd w:val="clear" w:color="auto" w:fill="ABB7E0" w:themeFill="accent5" w:themeFillTint="66"/>
      </w:tcPr>
    </w:tblStylePr>
    <w:tblStylePr w:type="lastRow">
      <w:rPr>
        <w:b/>
        <w:bCs/>
        <w:color w:val="000000" w:themeColor="text1"/>
      </w:rPr>
      <w:tblPr/>
      <w:tcPr>
        <w:shd w:val="clear" w:color="auto" w:fill="ABB7E0" w:themeFill="accent5" w:themeFillTint="66"/>
      </w:tcPr>
    </w:tblStylePr>
    <w:tblStylePr w:type="firstCol">
      <w:rPr>
        <w:color w:val="FFFFFF" w:themeColor="background1"/>
      </w:rPr>
      <w:tblPr/>
      <w:tcPr>
        <w:shd w:val="clear" w:color="auto" w:fill="2D3E7B" w:themeFill="accent5" w:themeFillShade="BF"/>
      </w:tcPr>
    </w:tblStylePr>
    <w:tblStylePr w:type="lastCol">
      <w:rPr>
        <w:color w:val="FFFFFF" w:themeColor="background1"/>
      </w:rPr>
      <w:tblPr/>
      <w:tcPr>
        <w:shd w:val="clear" w:color="auto" w:fill="2D3E7B" w:themeFill="accent5" w:themeFillShade="BF"/>
      </w:tc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ColorfulGrid-Accent6">
    <w:name w:val="Colorful Grid Accent 6"/>
    <w:basedOn w:val="TableNormal"/>
    <w:uiPriority w:val="73"/>
    <w:semiHidden/>
    <w:rsid w:val="003E273C"/>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DDE0" w:themeFill="accent6" w:themeFillTint="33"/>
    </w:tcPr>
    <w:tblStylePr w:type="firstRow">
      <w:rPr>
        <w:b/>
        <w:bCs/>
      </w:rPr>
      <w:tblPr/>
      <w:tcPr>
        <w:shd w:val="clear" w:color="auto" w:fill="B8BBC2" w:themeFill="accent6" w:themeFillTint="66"/>
      </w:tcPr>
    </w:tblStylePr>
    <w:tblStylePr w:type="lastRow">
      <w:rPr>
        <w:b/>
        <w:bCs/>
        <w:color w:val="000000" w:themeColor="text1"/>
      </w:rPr>
      <w:tblPr/>
      <w:tcPr>
        <w:shd w:val="clear" w:color="auto" w:fill="B8BBC2" w:themeFill="accent6" w:themeFillTint="66"/>
      </w:tcPr>
    </w:tblStylePr>
    <w:tblStylePr w:type="firstCol">
      <w:rPr>
        <w:color w:val="FFFFFF" w:themeColor="background1"/>
      </w:rPr>
      <w:tblPr/>
      <w:tcPr>
        <w:shd w:val="clear" w:color="auto" w:fill="3F4148" w:themeFill="accent6" w:themeFillShade="BF"/>
      </w:tcPr>
    </w:tblStylePr>
    <w:tblStylePr w:type="lastCol">
      <w:rPr>
        <w:color w:val="FFFFFF" w:themeColor="background1"/>
      </w:rPr>
      <w:tblPr/>
      <w:tcPr>
        <w:shd w:val="clear" w:color="auto" w:fill="3F4148" w:themeFill="accent6" w:themeFillShade="BF"/>
      </w:tc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ColorfulList">
    <w:name w:val="Colorful List"/>
    <w:basedOn w:val="TableNormal"/>
    <w:uiPriority w:val="72"/>
    <w:semiHidden/>
    <w:rsid w:val="003E273C"/>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1"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1" w:themeFillTint="3F"/>
      </w:tcPr>
    </w:tblStylePr>
    <w:tblStylePr w:type="band1Horz">
      <w:tblPr/>
      <w:tcPr>
        <w:shd w:val="clear" w:color="auto" w:fill="D5DBEF" w:themeFill="accent1" w:themeFillTint="33"/>
      </w:tcPr>
    </w:tblStylePr>
  </w:style>
  <w:style w:type="table" w:styleId="ColorfulList-Accent2">
    <w:name w:val="Colorful List Accent 2"/>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2" w:themeFillTint="19"/>
    </w:tcPr>
    <w:tblStylePr w:type="firstRow">
      <w:rPr>
        <w:b/>
        <w:bCs/>
        <w:color w:val="FFFFFF" w:themeColor="background1"/>
      </w:rPr>
      <w:tblPr/>
      <w:tcPr>
        <w:tcBorders>
          <w:bottom w:val="single" w:sz="12" w:space="0" w:color="FFFFFF" w:themeColor="background1"/>
        </w:tcBorders>
        <w:shd w:val="clear" w:color="auto" w:fill="43464D" w:themeFill="accent2" w:themeFillShade="CC"/>
      </w:tcPr>
    </w:tblStylePr>
    <w:tblStylePr w:type="lastRow">
      <w:rPr>
        <w:b/>
        <w:bCs/>
        <w:color w:val="43464D"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2" w:themeFillTint="3F"/>
      </w:tcPr>
    </w:tblStylePr>
    <w:tblStylePr w:type="band1Horz">
      <w:tblPr/>
      <w:tcPr>
        <w:shd w:val="clear" w:color="auto" w:fill="DBDDE0" w:themeFill="accent2" w:themeFillTint="33"/>
      </w:tcPr>
    </w:tblStylePr>
  </w:style>
  <w:style w:type="table" w:styleId="ColorfulList-Accent3">
    <w:name w:val="Colorful List Accent 3"/>
    <w:basedOn w:val="TableNormal"/>
    <w:uiPriority w:val="72"/>
    <w:semiHidden/>
    <w:rsid w:val="003E273C"/>
    <w:pPr>
      <w:spacing w:after="0" w:line="240" w:lineRule="auto"/>
    </w:pPr>
    <w:rPr>
      <w:color w:val="000000" w:themeColor="text1"/>
    </w:rPr>
    <w:tblPr>
      <w:tblStyleRowBandSize w:val="1"/>
      <w:tblStyleColBandSize w:val="1"/>
    </w:tblPr>
    <w:tcPr>
      <w:shd w:val="clear" w:color="auto" w:fill="FDF6E7" w:themeFill="accent3" w:themeFillTint="19"/>
    </w:tcPr>
    <w:tblStylePr w:type="firstRow">
      <w:rPr>
        <w:b/>
        <w:bCs/>
        <w:color w:val="FFFFFF" w:themeColor="background1"/>
      </w:rPr>
      <w:tblPr/>
      <w:tcPr>
        <w:tcBorders>
          <w:bottom w:val="single" w:sz="12" w:space="0" w:color="FFFFFF" w:themeColor="background1"/>
        </w:tcBorders>
        <w:shd w:val="clear" w:color="auto" w:fill="411F4D" w:themeFill="accent4" w:themeFillShade="CC"/>
      </w:tcPr>
    </w:tblStylePr>
    <w:tblStylePr w:type="lastRow">
      <w:rPr>
        <w:b/>
        <w:bCs/>
        <w:color w:val="411F4D"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9C3" w:themeFill="accent3" w:themeFillTint="3F"/>
      </w:tcPr>
    </w:tblStylePr>
    <w:tblStylePr w:type="band1Horz">
      <w:tblPr/>
      <w:tcPr>
        <w:shd w:val="clear" w:color="auto" w:fill="FBEDCF" w:themeFill="accent3" w:themeFillTint="33"/>
      </w:tcPr>
    </w:tblStylePr>
  </w:style>
  <w:style w:type="table" w:styleId="ColorfulList-Accent4">
    <w:name w:val="Colorful List Accent 4"/>
    <w:basedOn w:val="TableNormal"/>
    <w:uiPriority w:val="72"/>
    <w:semiHidden/>
    <w:rsid w:val="003E273C"/>
    <w:pPr>
      <w:spacing w:after="0" w:line="240" w:lineRule="auto"/>
    </w:pPr>
    <w:rPr>
      <w:color w:val="000000" w:themeColor="text1"/>
    </w:rPr>
    <w:tblPr>
      <w:tblStyleRowBandSize w:val="1"/>
      <w:tblStyleColBandSize w:val="1"/>
    </w:tblPr>
    <w:tcPr>
      <w:shd w:val="clear" w:color="auto" w:fill="F0E4F4" w:themeFill="accent4" w:themeFillTint="19"/>
    </w:tcPr>
    <w:tblStylePr w:type="firstRow">
      <w:rPr>
        <w:b/>
        <w:bCs/>
        <w:color w:val="FFFFFF" w:themeColor="background1"/>
      </w:rPr>
      <w:tblPr/>
      <w:tcPr>
        <w:tcBorders>
          <w:bottom w:val="single" w:sz="12" w:space="0" w:color="FFFFFF" w:themeColor="background1"/>
        </w:tcBorders>
        <w:shd w:val="clear" w:color="auto" w:fill="BA860F" w:themeFill="accent3" w:themeFillShade="CC"/>
      </w:tcPr>
    </w:tblStylePr>
    <w:tblStylePr w:type="lastRow">
      <w:rPr>
        <w:b/>
        <w:bCs/>
        <w:color w:val="BA860F"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BCE4" w:themeFill="accent4" w:themeFillTint="3F"/>
      </w:tcPr>
    </w:tblStylePr>
    <w:tblStylePr w:type="band1Horz">
      <w:tblPr/>
      <w:tcPr>
        <w:shd w:val="clear" w:color="auto" w:fill="E1C9E9" w:themeFill="accent4" w:themeFillTint="33"/>
      </w:tcPr>
    </w:tblStylePr>
  </w:style>
  <w:style w:type="table" w:styleId="ColorfulList-Accent5">
    <w:name w:val="Colorful List Accent 5"/>
    <w:basedOn w:val="TableNormal"/>
    <w:uiPriority w:val="72"/>
    <w:semiHidden/>
    <w:rsid w:val="003E273C"/>
    <w:pPr>
      <w:spacing w:after="0" w:line="240" w:lineRule="auto"/>
    </w:pPr>
    <w:rPr>
      <w:color w:val="000000" w:themeColor="text1"/>
    </w:rPr>
    <w:tblPr>
      <w:tblStyleRowBandSize w:val="1"/>
      <w:tblStyleColBandSize w:val="1"/>
    </w:tblPr>
    <w:tcPr>
      <w:shd w:val="clear" w:color="auto" w:fill="EAEDF7" w:themeFill="accent5" w:themeFillTint="19"/>
    </w:tcPr>
    <w:tblStylePr w:type="firstRow">
      <w:rPr>
        <w:b/>
        <w:bCs/>
        <w:color w:val="FFFFFF" w:themeColor="background1"/>
      </w:rPr>
      <w:tblPr/>
      <w:tcPr>
        <w:tcBorders>
          <w:bottom w:val="single" w:sz="12" w:space="0" w:color="FFFFFF" w:themeColor="background1"/>
        </w:tcBorders>
        <w:shd w:val="clear" w:color="auto" w:fill="43464D" w:themeFill="accent6" w:themeFillShade="CC"/>
      </w:tcPr>
    </w:tblStylePr>
    <w:tblStylePr w:type="lastRow">
      <w:rPr>
        <w:b/>
        <w:bCs/>
        <w:color w:val="43464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EC" w:themeFill="accent5" w:themeFillTint="3F"/>
      </w:tcPr>
    </w:tblStylePr>
    <w:tblStylePr w:type="band1Horz">
      <w:tblPr/>
      <w:tcPr>
        <w:shd w:val="clear" w:color="auto" w:fill="D5DBEF" w:themeFill="accent5" w:themeFillTint="33"/>
      </w:tcPr>
    </w:tblStylePr>
  </w:style>
  <w:style w:type="table" w:styleId="ColorfulList-Accent6">
    <w:name w:val="Colorful List Accent 6"/>
    <w:basedOn w:val="TableNormal"/>
    <w:uiPriority w:val="72"/>
    <w:semiHidden/>
    <w:rsid w:val="003E273C"/>
    <w:pPr>
      <w:spacing w:after="0" w:line="240" w:lineRule="auto"/>
    </w:pPr>
    <w:rPr>
      <w:color w:val="000000" w:themeColor="text1"/>
    </w:rPr>
    <w:tblPr>
      <w:tblStyleRowBandSize w:val="1"/>
      <w:tblStyleColBandSize w:val="1"/>
    </w:tblPr>
    <w:tcPr>
      <w:shd w:val="clear" w:color="auto" w:fill="EDEEF0" w:themeFill="accent6" w:themeFillTint="19"/>
    </w:tcPr>
    <w:tblStylePr w:type="firstRow">
      <w:rPr>
        <w:b/>
        <w:bCs/>
        <w:color w:val="FFFFFF" w:themeColor="background1"/>
      </w:rPr>
      <w:tblPr/>
      <w:tcPr>
        <w:tcBorders>
          <w:bottom w:val="single" w:sz="12" w:space="0" w:color="FFFFFF" w:themeColor="background1"/>
        </w:tcBorders>
        <w:shd w:val="clear" w:color="auto" w:fill="304384" w:themeFill="accent5" w:themeFillShade="CC"/>
      </w:tcPr>
    </w:tblStylePr>
    <w:tblStylePr w:type="lastRow">
      <w:rPr>
        <w:b/>
        <w:bCs/>
        <w:color w:val="304384"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5D9" w:themeFill="accent6" w:themeFillTint="3F"/>
      </w:tcPr>
    </w:tblStylePr>
    <w:tblStylePr w:type="band1Horz">
      <w:tblPr/>
      <w:tcPr>
        <w:shd w:val="clear" w:color="auto" w:fill="DBDDE0" w:themeFill="accent6" w:themeFillTint="33"/>
      </w:tcPr>
    </w:tblStylePr>
  </w:style>
  <w:style w:type="table" w:styleId="ColorfulShading">
    <w:name w:val="Colorful Shading"/>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3C54A5" w:themeColor="accent1"/>
        <w:bottom w:val="single" w:sz="4" w:space="0" w:color="3C54A5" w:themeColor="accent1"/>
        <w:right w:val="single" w:sz="4" w:space="0" w:color="3C54A5" w:themeColor="accent1"/>
        <w:insideH w:val="single" w:sz="4" w:space="0" w:color="FFFFFF" w:themeColor="background1"/>
        <w:insideV w:val="single" w:sz="4" w:space="0" w:color="FFFFFF" w:themeColor="background1"/>
      </w:tblBorders>
    </w:tblPr>
    <w:tcPr>
      <w:shd w:val="clear" w:color="auto" w:fill="EAEDF7" w:themeFill="accent1"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1" w:themeFillShade="99"/>
      </w:tcPr>
    </w:tblStylePr>
    <w:tblStylePr w:type="firstCol">
      <w:rPr>
        <w:color w:val="FFFFFF" w:themeColor="background1"/>
      </w:rPr>
      <w:tblPr/>
      <w:tcPr>
        <w:tcBorders>
          <w:top w:val="nil"/>
          <w:left w:val="nil"/>
          <w:bottom w:val="nil"/>
          <w:right w:val="nil"/>
          <w:insideH w:val="single" w:sz="4" w:space="0" w:color="243263" w:themeColor="accent1" w:themeShade="99"/>
          <w:insideV w:val="nil"/>
        </w:tcBorders>
        <w:shd w:val="clear" w:color="auto" w:fill="24326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1" w:themeFillShade="99"/>
      </w:tcPr>
    </w:tblStylePr>
    <w:tblStylePr w:type="band1Vert">
      <w:tblPr/>
      <w:tcPr>
        <w:shd w:val="clear" w:color="auto" w:fill="ABB7E0" w:themeFill="accent1" w:themeFillTint="66"/>
      </w:tcPr>
    </w:tblStylePr>
    <w:tblStylePr w:type="band1Horz">
      <w:tblPr/>
      <w:tcPr>
        <w:shd w:val="clear" w:color="auto" w:fill="96A5D9"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2"/>
        <w:left w:val="single" w:sz="4" w:space="0" w:color="545861" w:themeColor="accent2"/>
        <w:bottom w:val="single" w:sz="4" w:space="0" w:color="545861" w:themeColor="accent2"/>
        <w:right w:val="single" w:sz="4" w:space="0" w:color="545861" w:themeColor="accent2"/>
        <w:insideH w:val="single" w:sz="4" w:space="0" w:color="FFFFFF" w:themeColor="background1"/>
        <w:insideV w:val="single" w:sz="4" w:space="0" w:color="FFFFFF" w:themeColor="background1"/>
      </w:tblBorders>
    </w:tblPr>
    <w:tcPr>
      <w:shd w:val="clear" w:color="auto" w:fill="EDEEF0" w:themeFill="accent2" w:themeFillTint="19"/>
    </w:tcPr>
    <w:tblStylePr w:type="firstRow">
      <w:rPr>
        <w:b/>
        <w:bCs/>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2" w:themeFillShade="99"/>
      </w:tcPr>
    </w:tblStylePr>
    <w:tblStylePr w:type="firstCol">
      <w:rPr>
        <w:color w:val="FFFFFF" w:themeColor="background1"/>
      </w:rPr>
      <w:tblPr/>
      <w:tcPr>
        <w:tcBorders>
          <w:top w:val="nil"/>
          <w:left w:val="nil"/>
          <w:bottom w:val="nil"/>
          <w:right w:val="nil"/>
          <w:insideH w:val="single" w:sz="4" w:space="0" w:color="32343A" w:themeColor="accent2" w:themeShade="99"/>
          <w:insideV w:val="nil"/>
        </w:tcBorders>
        <w:shd w:val="clear" w:color="auto" w:fill="32343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2" w:themeFillShade="99"/>
      </w:tcPr>
    </w:tblStylePr>
    <w:tblStylePr w:type="band1Vert">
      <w:tblPr/>
      <w:tcPr>
        <w:shd w:val="clear" w:color="auto" w:fill="B8BBC2" w:themeFill="accent2" w:themeFillTint="66"/>
      </w:tcPr>
    </w:tblStylePr>
    <w:tblStylePr w:type="band1Horz">
      <w:tblPr/>
      <w:tcPr>
        <w:shd w:val="clear" w:color="auto" w:fill="A7AAB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22761" w:themeColor="accent4"/>
        <w:left w:val="single" w:sz="4" w:space="0" w:color="E9A913" w:themeColor="accent3"/>
        <w:bottom w:val="single" w:sz="4" w:space="0" w:color="E9A913" w:themeColor="accent3"/>
        <w:right w:val="single" w:sz="4" w:space="0" w:color="E9A913" w:themeColor="accent3"/>
        <w:insideH w:val="single" w:sz="4" w:space="0" w:color="FFFFFF" w:themeColor="background1"/>
        <w:insideV w:val="single" w:sz="4" w:space="0" w:color="FFFFFF" w:themeColor="background1"/>
      </w:tblBorders>
    </w:tblPr>
    <w:tcPr>
      <w:shd w:val="clear" w:color="auto" w:fill="FDF6E7" w:themeFill="accent3" w:themeFillTint="19"/>
    </w:tcPr>
    <w:tblStylePr w:type="firstRow">
      <w:rPr>
        <w:b/>
        <w:bCs/>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B640B" w:themeFill="accent3" w:themeFillShade="99"/>
      </w:tcPr>
    </w:tblStylePr>
    <w:tblStylePr w:type="firstCol">
      <w:rPr>
        <w:color w:val="FFFFFF" w:themeColor="background1"/>
      </w:rPr>
      <w:tblPr/>
      <w:tcPr>
        <w:tcBorders>
          <w:top w:val="nil"/>
          <w:left w:val="nil"/>
          <w:bottom w:val="nil"/>
          <w:right w:val="nil"/>
          <w:insideH w:val="single" w:sz="4" w:space="0" w:color="8B640B" w:themeColor="accent3" w:themeShade="99"/>
          <w:insideV w:val="nil"/>
        </w:tcBorders>
        <w:shd w:val="clear" w:color="auto" w:fill="8B640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B640B" w:themeFill="accent3" w:themeFillShade="99"/>
      </w:tcPr>
    </w:tblStylePr>
    <w:tblStylePr w:type="band1Vert">
      <w:tblPr/>
      <w:tcPr>
        <w:shd w:val="clear" w:color="auto" w:fill="F7DC9F" w:themeFill="accent3" w:themeFillTint="66"/>
      </w:tcPr>
    </w:tblStylePr>
    <w:tblStylePr w:type="band1Horz">
      <w:tblPr/>
      <w:tcPr>
        <w:shd w:val="clear" w:color="auto" w:fill="F5D488" w:themeFill="accent3" w:themeFillTint="7F"/>
      </w:tcPr>
    </w:tblStylePr>
  </w:style>
  <w:style w:type="table" w:styleId="ColorfulShading-Accent4">
    <w:name w:val="Colorful Shading Accent 4"/>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E9A913" w:themeColor="accent3"/>
        <w:left w:val="single" w:sz="4" w:space="0" w:color="522761" w:themeColor="accent4"/>
        <w:bottom w:val="single" w:sz="4" w:space="0" w:color="522761" w:themeColor="accent4"/>
        <w:right w:val="single" w:sz="4" w:space="0" w:color="522761" w:themeColor="accent4"/>
        <w:insideH w:val="single" w:sz="4" w:space="0" w:color="FFFFFF" w:themeColor="background1"/>
        <w:insideV w:val="single" w:sz="4" w:space="0" w:color="FFFFFF" w:themeColor="background1"/>
      </w:tblBorders>
    </w:tblPr>
    <w:tcPr>
      <w:shd w:val="clear" w:color="auto" w:fill="F0E4F4" w:themeFill="accent4" w:themeFillTint="19"/>
    </w:tcPr>
    <w:tblStylePr w:type="firstRow">
      <w:rPr>
        <w:b/>
        <w:bCs/>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01739" w:themeFill="accent4" w:themeFillShade="99"/>
      </w:tcPr>
    </w:tblStylePr>
    <w:tblStylePr w:type="firstCol">
      <w:rPr>
        <w:color w:val="FFFFFF" w:themeColor="background1"/>
      </w:rPr>
      <w:tblPr/>
      <w:tcPr>
        <w:tcBorders>
          <w:top w:val="nil"/>
          <w:left w:val="nil"/>
          <w:bottom w:val="nil"/>
          <w:right w:val="nil"/>
          <w:insideH w:val="single" w:sz="4" w:space="0" w:color="301739" w:themeColor="accent4" w:themeShade="99"/>
          <w:insideV w:val="nil"/>
        </w:tcBorders>
        <w:shd w:val="clear" w:color="auto" w:fill="30173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01739" w:themeFill="accent4" w:themeFillShade="99"/>
      </w:tcPr>
    </w:tblStylePr>
    <w:tblStylePr w:type="band1Vert">
      <w:tblPr/>
      <w:tcPr>
        <w:shd w:val="clear" w:color="auto" w:fill="C394D4" w:themeFill="accent4" w:themeFillTint="66"/>
      </w:tcPr>
    </w:tblStylePr>
    <w:tblStylePr w:type="band1Horz">
      <w:tblPr/>
      <w:tcPr>
        <w:shd w:val="clear" w:color="auto" w:fill="B57AC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545861" w:themeColor="accent6"/>
        <w:left w:val="single" w:sz="4" w:space="0" w:color="3C54A5" w:themeColor="accent5"/>
        <w:bottom w:val="single" w:sz="4" w:space="0" w:color="3C54A5" w:themeColor="accent5"/>
        <w:right w:val="single" w:sz="4" w:space="0" w:color="3C54A5" w:themeColor="accent5"/>
        <w:insideH w:val="single" w:sz="4" w:space="0" w:color="FFFFFF" w:themeColor="background1"/>
        <w:insideV w:val="single" w:sz="4" w:space="0" w:color="FFFFFF" w:themeColor="background1"/>
      </w:tblBorders>
    </w:tblPr>
    <w:tcPr>
      <w:shd w:val="clear" w:color="auto" w:fill="EAEDF7" w:themeFill="accent5" w:themeFillTint="19"/>
    </w:tcPr>
    <w:tblStylePr w:type="firstRow">
      <w:rPr>
        <w:b/>
        <w:bCs/>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3263" w:themeFill="accent5" w:themeFillShade="99"/>
      </w:tcPr>
    </w:tblStylePr>
    <w:tblStylePr w:type="firstCol">
      <w:rPr>
        <w:color w:val="FFFFFF" w:themeColor="background1"/>
      </w:rPr>
      <w:tblPr/>
      <w:tcPr>
        <w:tcBorders>
          <w:top w:val="nil"/>
          <w:left w:val="nil"/>
          <w:bottom w:val="nil"/>
          <w:right w:val="nil"/>
          <w:insideH w:val="single" w:sz="4" w:space="0" w:color="243263" w:themeColor="accent5" w:themeShade="99"/>
          <w:insideV w:val="nil"/>
        </w:tcBorders>
        <w:shd w:val="clear" w:color="auto" w:fill="24326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43263" w:themeFill="accent5" w:themeFillShade="99"/>
      </w:tcPr>
    </w:tblStylePr>
    <w:tblStylePr w:type="band1Vert">
      <w:tblPr/>
      <w:tcPr>
        <w:shd w:val="clear" w:color="auto" w:fill="ABB7E0" w:themeFill="accent5" w:themeFillTint="66"/>
      </w:tcPr>
    </w:tblStylePr>
    <w:tblStylePr w:type="band1Horz">
      <w:tblPr/>
      <w:tcPr>
        <w:shd w:val="clear" w:color="auto" w:fill="96A5D9"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3E273C"/>
    <w:pPr>
      <w:spacing w:after="0" w:line="240" w:lineRule="auto"/>
    </w:pPr>
    <w:rPr>
      <w:color w:val="000000" w:themeColor="text1"/>
    </w:rPr>
    <w:tblPr>
      <w:tblStyleRowBandSize w:val="1"/>
      <w:tblStyleColBandSize w:val="1"/>
      <w:tblBorders>
        <w:top w:val="single" w:sz="24" w:space="0" w:color="3C54A5" w:themeColor="accent5"/>
        <w:left w:val="single" w:sz="4" w:space="0" w:color="545861" w:themeColor="accent6"/>
        <w:bottom w:val="single" w:sz="4" w:space="0" w:color="545861" w:themeColor="accent6"/>
        <w:right w:val="single" w:sz="4" w:space="0" w:color="545861" w:themeColor="accent6"/>
        <w:insideH w:val="single" w:sz="4" w:space="0" w:color="FFFFFF" w:themeColor="background1"/>
        <w:insideV w:val="single" w:sz="4" w:space="0" w:color="FFFFFF" w:themeColor="background1"/>
      </w:tblBorders>
    </w:tblPr>
    <w:tcPr>
      <w:shd w:val="clear" w:color="auto" w:fill="EDEEF0" w:themeFill="accent6" w:themeFillTint="19"/>
    </w:tcPr>
    <w:tblStylePr w:type="firstRow">
      <w:rPr>
        <w:b/>
        <w:bCs/>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43A" w:themeFill="accent6" w:themeFillShade="99"/>
      </w:tcPr>
    </w:tblStylePr>
    <w:tblStylePr w:type="firstCol">
      <w:rPr>
        <w:color w:val="FFFFFF" w:themeColor="background1"/>
      </w:rPr>
      <w:tblPr/>
      <w:tcPr>
        <w:tcBorders>
          <w:top w:val="nil"/>
          <w:left w:val="nil"/>
          <w:bottom w:val="nil"/>
          <w:right w:val="nil"/>
          <w:insideH w:val="single" w:sz="4" w:space="0" w:color="32343A" w:themeColor="accent6" w:themeShade="99"/>
          <w:insideV w:val="nil"/>
        </w:tcBorders>
        <w:shd w:val="clear" w:color="auto" w:fill="32343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2343A" w:themeFill="accent6" w:themeFillShade="99"/>
      </w:tcPr>
    </w:tblStylePr>
    <w:tblStylePr w:type="band1Vert">
      <w:tblPr/>
      <w:tcPr>
        <w:shd w:val="clear" w:color="auto" w:fill="B8BBC2" w:themeFill="accent6" w:themeFillTint="66"/>
      </w:tcPr>
    </w:tblStylePr>
    <w:tblStylePr w:type="band1Horz">
      <w:tblPr/>
      <w:tcPr>
        <w:shd w:val="clear" w:color="auto" w:fill="A7AAB3"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1" w:themeFillShade="BF"/>
      </w:tcPr>
    </w:tblStylePr>
    <w:tblStylePr w:type="band1Vert">
      <w:tblPr/>
      <w:tcPr>
        <w:tcBorders>
          <w:top w:val="nil"/>
          <w:left w:val="nil"/>
          <w:bottom w:val="nil"/>
          <w:right w:val="nil"/>
          <w:insideH w:val="nil"/>
          <w:insideV w:val="nil"/>
        </w:tcBorders>
        <w:shd w:val="clear" w:color="auto" w:fill="2D3E7B" w:themeFill="accent1" w:themeFillShade="BF"/>
      </w:tcPr>
    </w:tblStylePr>
    <w:tblStylePr w:type="band1Horz">
      <w:tblPr/>
      <w:tcPr>
        <w:tcBorders>
          <w:top w:val="nil"/>
          <w:left w:val="nil"/>
          <w:bottom w:val="nil"/>
          <w:right w:val="nil"/>
          <w:insideH w:val="nil"/>
          <w:insideV w:val="nil"/>
        </w:tcBorders>
        <w:shd w:val="clear" w:color="auto" w:fill="2D3E7B" w:themeFill="accent1" w:themeFillShade="BF"/>
      </w:tcPr>
    </w:tblStylePr>
  </w:style>
  <w:style w:type="table" w:styleId="DarkList-Accent2">
    <w:name w:val="Dark List Accent 2"/>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2" w:themeFillShade="BF"/>
      </w:tcPr>
    </w:tblStylePr>
    <w:tblStylePr w:type="band1Vert">
      <w:tblPr/>
      <w:tcPr>
        <w:tcBorders>
          <w:top w:val="nil"/>
          <w:left w:val="nil"/>
          <w:bottom w:val="nil"/>
          <w:right w:val="nil"/>
          <w:insideH w:val="nil"/>
          <w:insideV w:val="nil"/>
        </w:tcBorders>
        <w:shd w:val="clear" w:color="auto" w:fill="3F4148" w:themeFill="accent2" w:themeFillShade="BF"/>
      </w:tcPr>
    </w:tblStylePr>
    <w:tblStylePr w:type="band1Horz">
      <w:tblPr/>
      <w:tcPr>
        <w:tcBorders>
          <w:top w:val="nil"/>
          <w:left w:val="nil"/>
          <w:bottom w:val="nil"/>
          <w:right w:val="nil"/>
          <w:insideH w:val="nil"/>
          <w:insideV w:val="nil"/>
        </w:tcBorders>
        <w:shd w:val="clear" w:color="auto" w:fill="3F4148" w:themeFill="accent2" w:themeFillShade="BF"/>
      </w:tcPr>
    </w:tblStylePr>
  </w:style>
  <w:style w:type="table" w:styleId="DarkList-Accent3">
    <w:name w:val="Dark List Accent 3"/>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E9A913"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35309"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E7E0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E7E0E" w:themeFill="accent3" w:themeFillShade="BF"/>
      </w:tcPr>
    </w:tblStylePr>
    <w:tblStylePr w:type="band1Vert">
      <w:tblPr/>
      <w:tcPr>
        <w:tcBorders>
          <w:top w:val="nil"/>
          <w:left w:val="nil"/>
          <w:bottom w:val="nil"/>
          <w:right w:val="nil"/>
          <w:insideH w:val="nil"/>
          <w:insideV w:val="nil"/>
        </w:tcBorders>
        <w:shd w:val="clear" w:color="auto" w:fill="AE7E0E" w:themeFill="accent3" w:themeFillShade="BF"/>
      </w:tcPr>
    </w:tblStylePr>
    <w:tblStylePr w:type="band1Horz">
      <w:tblPr/>
      <w:tcPr>
        <w:tcBorders>
          <w:top w:val="nil"/>
          <w:left w:val="nil"/>
          <w:bottom w:val="nil"/>
          <w:right w:val="nil"/>
          <w:insideH w:val="nil"/>
          <w:insideV w:val="nil"/>
        </w:tcBorders>
        <w:shd w:val="clear" w:color="auto" w:fill="AE7E0E" w:themeFill="accent3" w:themeFillShade="BF"/>
      </w:tcPr>
    </w:tblStylePr>
  </w:style>
  <w:style w:type="table" w:styleId="DarkList-Accent4">
    <w:name w:val="Dark List Accent 4"/>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2276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8133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D1D4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D1D48" w:themeFill="accent4" w:themeFillShade="BF"/>
      </w:tcPr>
    </w:tblStylePr>
    <w:tblStylePr w:type="band1Vert">
      <w:tblPr/>
      <w:tcPr>
        <w:tcBorders>
          <w:top w:val="nil"/>
          <w:left w:val="nil"/>
          <w:bottom w:val="nil"/>
          <w:right w:val="nil"/>
          <w:insideH w:val="nil"/>
          <w:insideV w:val="nil"/>
        </w:tcBorders>
        <w:shd w:val="clear" w:color="auto" w:fill="3D1D48" w:themeFill="accent4" w:themeFillShade="BF"/>
      </w:tcPr>
    </w:tblStylePr>
    <w:tblStylePr w:type="band1Horz">
      <w:tblPr/>
      <w:tcPr>
        <w:tcBorders>
          <w:top w:val="nil"/>
          <w:left w:val="nil"/>
          <w:bottom w:val="nil"/>
          <w:right w:val="nil"/>
          <w:insideH w:val="nil"/>
          <w:insideV w:val="nil"/>
        </w:tcBorders>
        <w:shd w:val="clear" w:color="auto" w:fill="3D1D48" w:themeFill="accent4" w:themeFillShade="BF"/>
      </w:tcPr>
    </w:tblStylePr>
  </w:style>
  <w:style w:type="table" w:styleId="DarkList-Accent5">
    <w:name w:val="Dark List Accent 5"/>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3C54A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2952"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D3E7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D3E7B" w:themeFill="accent5" w:themeFillShade="BF"/>
      </w:tcPr>
    </w:tblStylePr>
    <w:tblStylePr w:type="band1Vert">
      <w:tblPr/>
      <w:tcPr>
        <w:tcBorders>
          <w:top w:val="nil"/>
          <w:left w:val="nil"/>
          <w:bottom w:val="nil"/>
          <w:right w:val="nil"/>
          <w:insideH w:val="nil"/>
          <w:insideV w:val="nil"/>
        </w:tcBorders>
        <w:shd w:val="clear" w:color="auto" w:fill="2D3E7B" w:themeFill="accent5" w:themeFillShade="BF"/>
      </w:tcPr>
    </w:tblStylePr>
    <w:tblStylePr w:type="band1Horz">
      <w:tblPr/>
      <w:tcPr>
        <w:tcBorders>
          <w:top w:val="nil"/>
          <w:left w:val="nil"/>
          <w:bottom w:val="nil"/>
          <w:right w:val="nil"/>
          <w:insideH w:val="nil"/>
          <w:insideV w:val="nil"/>
        </w:tcBorders>
        <w:shd w:val="clear" w:color="auto" w:fill="2D3E7B" w:themeFill="accent5" w:themeFillShade="BF"/>
      </w:tcPr>
    </w:tblStylePr>
  </w:style>
  <w:style w:type="table" w:styleId="DarkList-Accent6">
    <w:name w:val="Dark List Accent 6"/>
    <w:basedOn w:val="TableNormal"/>
    <w:uiPriority w:val="70"/>
    <w:semiHidden/>
    <w:rsid w:val="003E273C"/>
    <w:pPr>
      <w:spacing w:after="0" w:line="240" w:lineRule="auto"/>
    </w:pPr>
    <w:rPr>
      <w:color w:val="FFFFFF" w:themeColor="background1"/>
    </w:rPr>
    <w:tblPr>
      <w:tblStyleRowBandSize w:val="1"/>
      <w:tblStyleColBandSize w:val="1"/>
    </w:tblPr>
    <w:tcPr>
      <w:shd w:val="clear" w:color="auto" w:fill="54586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B3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F4148"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F4148" w:themeFill="accent6" w:themeFillShade="BF"/>
      </w:tcPr>
    </w:tblStylePr>
    <w:tblStylePr w:type="band1Vert">
      <w:tblPr/>
      <w:tcPr>
        <w:tcBorders>
          <w:top w:val="nil"/>
          <w:left w:val="nil"/>
          <w:bottom w:val="nil"/>
          <w:right w:val="nil"/>
          <w:insideH w:val="nil"/>
          <w:insideV w:val="nil"/>
        </w:tcBorders>
        <w:shd w:val="clear" w:color="auto" w:fill="3F4148" w:themeFill="accent6" w:themeFillShade="BF"/>
      </w:tcPr>
    </w:tblStylePr>
    <w:tblStylePr w:type="band1Horz">
      <w:tblPr/>
      <w:tcPr>
        <w:tcBorders>
          <w:top w:val="nil"/>
          <w:left w:val="nil"/>
          <w:bottom w:val="nil"/>
          <w:right w:val="nil"/>
          <w:insideH w:val="nil"/>
          <w:insideV w:val="nil"/>
        </w:tcBorders>
        <w:shd w:val="clear" w:color="auto" w:fill="3F4148" w:themeFill="accent6" w:themeFillShade="BF"/>
      </w:tcPr>
    </w:tblStylePr>
  </w:style>
  <w:style w:type="table" w:styleId="LightGrid">
    <w:name w:val="Light Grid"/>
    <w:basedOn w:val="TableNormal"/>
    <w:uiPriority w:val="62"/>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18" w:space="0" w:color="3C54A5" w:themeColor="accent1"/>
          <w:right w:val="single" w:sz="8" w:space="0" w:color="3C54A5" w:themeColor="accent1"/>
          <w:insideH w:val="nil"/>
          <w:insideV w:val="single" w:sz="8" w:space="0" w:color="3C54A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insideH w:val="nil"/>
          <w:insideV w:val="single" w:sz="8" w:space="0" w:color="3C54A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shd w:val="clear" w:color="auto" w:fill="CBD2EC" w:themeFill="accent1" w:themeFillTint="3F"/>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shd w:val="clear" w:color="auto" w:fill="CBD2EC" w:themeFill="accent1" w:themeFillTint="3F"/>
      </w:tcPr>
    </w:tblStylePr>
    <w:tblStylePr w:type="band2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insideV w:val="single" w:sz="8" w:space="0" w:color="3C54A5" w:themeColor="accent1"/>
        </w:tcBorders>
      </w:tcPr>
    </w:tblStylePr>
  </w:style>
  <w:style w:type="table" w:styleId="LightGrid-Accent2">
    <w:name w:val="Light Grid Accent 2"/>
    <w:basedOn w:val="TableNormal"/>
    <w:uiPriority w:val="62"/>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18" w:space="0" w:color="545861" w:themeColor="accent2"/>
          <w:right w:val="single" w:sz="8" w:space="0" w:color="545861" w:themeColor="accent2"/>
          <w:insideH w:val="nil"/>
          <w:insideV w:val="single" w:sz="8" w:space="0" w:color="54586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insideH w:val="nil"/>
          <w:insideV w:val="single" w:sz="8" w:space="0" w:color="54586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shd w:val="clear" w:color="auto" w:fill="D3D5D9" w:themeFill="accent2" w:themeFillTint="3F"/>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shd w:val="clear" w:color="auto" w:fill="D3D5D9" w:themeFill="accent2" w:themeFillTint="3F"/>
      </w:tcPr>
    </w:tblStylePr>
    <w:tblStylePr w:type="band2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insideV w:val="single" w:sz="8" w:space="0" w:color="545861" w:themeColor="accent2"/>
        </w:tcBorders>
      </w:tcPr>
    </w:tblStylePr>
  </w:style>
  <w:style w:type="table" w:styleId="LightGrid-Accent3">
    <w:name w:val="Light Grid Accent 3"/>
    <w:basedOn w:val="TableNormal"/>
    <w:uiPriority w:val="62"/>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18" w:space="0" w:color="E9A913" w:themeColor="accent3"/>
          <w:right w:val="single" w:sz="8" w:space="0" w:color="E9A913" w:themeColor="accent3"/>
          <w:insideH w:val="nil"/>
          <w:insideV w:val="single" w:sz="8" w:space="0" w:color="E9A913"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insideH w:val="nil"/>
          <w:insideV w:val="single" w:sz="8" w:space="0" w:color="E9A913"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shd w:val="clear" w:color="auto" w:fill="FAE9C3" w:themeFill="accent3" w:themeFillTint="3F"/>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shd w:val="clear" w:color="auto" w:fill="FAE9C3" w:themeFill="accent3" w:themeFillTint="3F"/>
      </w:tcPr>
    </w:tblStylePr>
    <w:tblStylePr w:type="band2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insideV w:val="single" w:sz="8" w:space="0" w:color="E9A913" w:themeColor="accent3"/>
        </w:tcBorders>
      </w:tcPr>
    </w:tblStylePr>
  </w:style>
  <w:style w:type="table" w:styleId="LightGrid-Accent4">
    <w:name w:val="Light Grid Accent 4"/>
    <w:basedOn w:val="TableNormal"/>
    <w:uiPriority w:val="62"/>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18" w:space="0" w:color="522761" w:themeColor="accent4"/>
          <w:right w:val="single" w:sz="8" w:space="0" w:color="522761" w:themeColor="accent4"/>
          <w:insideH w:val="nil"/>
          <w:insideV w:val="single" w:sz="8" w:space="0" w:color="52276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insideH w:val="nil"/>
          <w:insideV w:val="single" w:sz="8" w:space="0" w:color="52276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shd w:val="clear" w:color="auto" w:fill="DABCE4" w:themeFill="accent4" w:themeFillTint="3F"/>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shd w:val="clear" w:color="auto" w:fill="DABCE4" w:themeFill="accent4" w:themeFillTint="3F"/>
      </w:tcPr>
    </w:tblStylePr>
    <w:tblStylePr w:type="band2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insideV w:val="single" w:sz="8" w:space="0" w:color="522761" w:themeColor="accent4"/>
        </w:tcBorders>
      </w:tcPr>
    </w:tblStylePr>
  </w:style>
  <w:style w:type="table" w:styleId="LightGrid-Accent5">
    <w:name w:val="Light Grid Accent 5"/>
    <w:basedOn w:val="TableNormal"/>
    <w:uiPriority w:val="62"/>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18" w:space="0" w:color="3C54A5" w:themeColor="accent5"/>
          <w:right w:val="single" w:sz="8" w:space="0" w:color="3C54A5" w:themeColor="accent5"/>
          <w:insideH w:val="nil"/>
          <w:insideV w:val="single" w:sz="8" w:space="0" w:color="3C54A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insideH w:val="nil"/>
          <w:insideV w:val="single" w:sz="8" w:space="0" w:color="3C54A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shd w:val="clear" w:color="auto" w:fill="CBD2EC" w:themeFill="accent5" w:themeFillTint="3F"/>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shd w:val="clear" w:color="auto" w:fill="CBD2EC" w:themeFill="accent5" w:themeFillTint="3F"/>
      </w:tcPr>
    </w:tblStylePr>
    <w:tblStylePr w:type="band2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insideV w:val="single" w:sz="8" w:space="0" w:color="3C54A5" w:themeColor="accent5"/>
        </w:tcBorders>
      </w:tcPr>
    </w:tblStylePr>
  </w:style>
  <w:style w:type="table" w:styleId="LightGrid-Accent6">
    <w:name w:val="Light Grid Accent 6"/>
    <w:basedOn w:val="TableNormal"/>
    <w:uiPriority w:val="62"/>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18" w:space="0" w:color="545861" w:themeColor="accent6"/>
          <w:right w:val="single" w:sz="8" w:space="0" w:color="545861" w:themeColor="accent6"/>
          <w:insideH w:val="nil"/>
          <w:insideV w:val="single" w:sz="8" w:space="0" w:color="54586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insideH w:val="nil"/>
          <w:insideV w:val="single" w:sz="8" w:space="0" w:color="54586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shd w:val="clear" w:color="auto" w:fill="D3D5D9" w:themeFill="accent6" w:themeFillTint="3F"/>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shd w:val="clear" w:color="auto" w:fill="D3D5D9" w:themeFill="accent6" w:themeFillTint="3F"/>
      </w:tcPr>
    </w:tblStylePr>
    <w:tblStylePr w:type="band2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insideV w:val="single" w:sz="8" w:space="0" w:color="545861" w:themeColor="accent6"/>
        </w:tcBorders>
      </w:tcPr>
    </w:tblStylePr>
  </w:style>
  <w:style w:type="table" w:styleId="LightList">
    <w:name w:val="Light List"/>
    <w:basedOn w:val="TableNormal"/>
    <w:uiPriority w:val="61"/>
    <w:semiHidden/>
    <w:rsid w:val="003E273C"/>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3E273C"/>
    <w:pPr>
      <w:spacing w:after="0" w:line="240" w:lineRule="auto"/>
    </w:p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pPr>
        <w:spacing w:before="0" w:after="0" w:line="240" w:lineRule="auto"/>
      </w:pPr>
      <w:rPr>
        <w:b/>
        <w:bCs/>
        <w:color w:val="FFFFFF" w:themeColor="background1"/>
      </w:rPr>
      <w:tblPr/>
      <w:tcPr>
        <w:shd w:val="clear" w:color="auto" w:fill="3C54A5" w:themeFill="accent1"/>
      </w:tcPr>
    </w:tblStylePr>
    <w:tblStylePr w:type="lastRow">
      <w:pPr>
        <w:spacing w:before="0" w:after="0" w:line="240" w:lineRule="auto"/>
      </w:pPr>
      <w:rPr>
        <w:b/>
        <w:bCs/>
      </w:rPr>
      <w:tblPr/>
      <w:tcPr>
        <w:tcBorders>
          <w:top w:val="double" w:sz="6" w:space="0" w:color="3C54A5" w:themeColor="accent1"/>
          <w:left w:val="single" w:sz="8" w:space="0" w:color="3C54A5" w:themeColor="accent1"/>
          <w:bottom w:val="single" w:sz="8" w:space="0" w:color="3C54A5" w:themeColor="accent1"/>
          <w:right w:val="single" w:sz="8" w:space="0" w:color="3C54A5" w:themeColor="accent1"/>
        </w:tcBorders>
      </w:tcPr>
    </w:tblStylePr>
    <w:tblStylePr w:type="firstCol">
      <w:rPr>
        <w:b/>
        <w:bCs/>
      </w:rPr>
    </w:tblStylePr>
    <w:tblStylePr w:type="lastCol">
      <w:rPr>
        <w:b/>
        <w:bCs/>
      </w:rPr>
    </w:tblStylePr>
    <w:tblStylePr w:type="band1Vert">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tblStylePr w:type="band1Horz">
      <w:tblPr/>
      <w:tcPr>
        <w:tcBorders>
          <w:top w:val="single" w:sz="8" w:space="0" w:color="3C54A5" w:themeColor="accent1"/>
          <w:left w:val="single" w:sz="8" w:space="0" w:color="3C54A5" w:themeColor="accent1"/>
          <w:bottom w:val="single" w:sz="8" w:space="0" w:color="3C54A5" w:themeColor="accent1"/>
          <w:right w:val="single" w:sz="8" w:space="0" w:color="3C54A5" w:themeColor="accent1"/>
        </w:tcBorders>
      </w:tcPr>
    </w:tblStylePr>
  </w:style>
  <w:style w:type="table" w:styleId="LightList-Accent2">
    <w:name w:val="Light List Accent 2"/>
    <w:basedOn w:val="TableNormal"/>
    <w:uiPriority w:val="61"/>
    <w:semiHidden/>
    <w:rsid w:val="003E273C"/>
    <w:pPr>
      <w:spacing w:after="0" w:line="240" w:lineRule="auto"/>
    </w:p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pPr>
        <w:spacing w:before="0" w:after="0" w:line="240" w:lineRule="auto"/>
      </w:pPr>
      <w:rPr>
        <w:b/>
        <w:bCs/>
        <w:color w:val="FFFFFF" w:themeColor="background1"/>
      </w:rPr>
      <w:tblPr/>
      <w:tcPr>
        <w:shd w:val="clear" w:color="auto" w:fill="545861" w:themeFill="accent2"/>
      </w:tcPr>
    </w:tblStylePr>
    <w:tblStylePr w:type="lastRow">
      <w:pPr>
        <w:spacing w:before="0" w:after="0" w:line="240" w:lineRule="auto"/>
      </w:pPr>
      <w:rPr>
        <w:b/>
        <w:bCs/>
      </w:rPr>
      <w:tblPr/>
      <w:tcPr>
        <w:tcBorders>
          <w:top w:val="double" w:sz="6" w:space="0" w:color="545861" w:themeColor="accent2"/>
          <w:left w:val="single" w:sz="8" w:space="0" w:color="545861" w:themeColor="accent2"/>
          <w:bottom w:val="single" w:sz="8" w:space="0" w:color="545861" w:themeColor="accent2"/>
          <w:right w:val="single" w:sz="8" w:space="0" w:color="545861" w:themeColor="accent2"/>
        </w:tcBorders>
      </w:tcPr>
    </w:tblStylePr>
    <w:tblStylePr w:type="firstCol">
      <w:rPr>
        <w:b/>
        <w:bCs/>
      </w:rPr>
    </w:tblStylePr>
    <w:tblStylePr w:type="lastCol">
      <w:rPr>
        <w:b/>
        <w:bCs/>
      </w:rPr>
    </w:tblStylePr>
    <w:tblStylePr w:type="band1Vert">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tblStylePr w:type="band1Horz">
      <w:tblPr/>
      <w:tcPr>
        <w:tcBorders>
          <w:top w:val="single" w:sz="8" w:space="0" w:color="545861" w:themeColor="accent2"/>
          <w:left w:val="single" w:sz="8" w:space="0" w:color="545861" w:themeColor="accent2"/>
          <w:bottom w:val="single" w:sz="8" w:space="0" w:color="545861" w:themeColor="accent2"/>
          <w:right w:val="single" w:sz="8" w:space="0" w:color="545861" w:themeColor="accent2"/>
        </w:tcBorders>
      </w:tcPr>
    </w:tblStylePr>
  </w:style>
  <w:style w:type="table" w:styleId="LightList-Accent3">
    <w:name w:val="Light List Accent 3"/>
    <w:basedOn w:val="TableNormal"/>
    <w:uiPriority w:val="61"/>
    <w:semiHidden/>
    <w:rsid w:val="003E273C"/>
    <w:pPr>
      <w:spacing w:after="0" w:line="240" w:lineRule="auto"/>
    </w:p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pPr>
        <w:spacing w:before="0" w:after="0" w:line="240" w:lineRule="auto"/>
      </w:pPr>
      <w:rPr>
        <w:b/>
        <w:bCs/>
        <w:color w:val="FFFFFF" w:themeColor="background1"/>
      </w:rPr>
      <w:tblPr/>
      <w:tcPr>
        <w:shd w:val="clear" w:color="auto" w:fill="E9A913" w:themeFill="accent3"/>
      </w:tcPr>
    </w:tblStylePr>
    <w:tblStylePr w:type="lastRow">
      <w:pPr>
        <w:spacing w:before="0" w:after="0" w:line="240" w:lineRule="auto"/>
      </w:pPr>
      <w:rPr>
        <w:b/>
        <w:bCs/>
      </w:rPr>
      <w:tblPr/>
      <w:tcPr>
        <w:tcBorders>
          <w:top w:val="double" w:sz="6" w:space="0" w:color="E9A913" w:themeColor="accent3"/>
          <w:left w:val="single" w:sz="8" w:space="0" w:color="E9A913" w:themeColor="accent3"/>
          <w:bottom w:val="single" w:sz="8" w:space="0" w:color="E9A913" w:themeColor="accent3"/>
          <w:right w:val="single" w:sz="8" w:space="0" w:color="E9A913" w:themeColor="accent3"/>
        </w:tcBorders>
      </w:tcPr>
    </w:tblStylePr>
    <w:tblStylePr w:type="firstCol">
      <w:rPr>
        <w:b/>
        <w:bCs/>
      </w:rPr>
    </w:tblStylePr>
    <w:tblStylePr w:type="lastCol">
      <w:rPr>
        <w:b/>
        <w:bCs/>
      </w:rPr>
    </w:tblStylePr>
    <w:tblStylePr w:type="band1Vert">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tblStylePr w:type="band1Horz">
      <w:tblPr/>
      <w:tcPr>
        <w:tcBorders>
          <w:top w:val="single" w:sz="8" w:space="0" w:color="E9A913" w:themeColor="accent3"/>
          <w:left w:val="single" w:sz="8" w:space="0" w:color="E9A913" w:themeColor="accent3"/>
          <w:bottom w:val="single" w:sz="8" w:space="0" w:color="E9A913" w:themeColor="accent3"/>
          <w:right w:val="single" w:sz="8" w:space="0" w:color="E9A913" w:themeColor="accent3"/>
        </w:tcBorders>
      </w:tcPr>
    </w:tblStylePr>
  </w:style>
  <w:style w:type="table" w:styleId="LightList-Accent4">
    <w:name w:val="Light List Accent 4"/>
    <w:basedOn w:val="TableNormal"/>
    <w:uiPriority w:val="61"/>
    <w:semiHidden/>
    <w:rsid w:val="003E273C"/>
    <w:pPr>
      <w:spacing w:after="0" w:line="240" w:lineRule="auto"/>
    </w:p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pPr>
        <w:spacing w:before="0" w:after="0" w:line="240" w:lineRule="auto"/>
      </w:pPr>
      <w:rPr>
        <w:b/>
        <w:bCs/>
        <w:color w:val="FFFFFF" w:themeColor="background1"/>
      </w:rPr>
      <w:tblPr/>
      <w:tcPr>
        <w:shd w:val="clear" w:color="auto" w:fill="522761" w:themeFill="accent4"/>
      </w:tcPr>
    </w:tblStylePr>
    <w:tblStylePr w:type="lastRow">
      <w:pPr>
        <w:spacing w:before="0" w:after="0" w:line="240" w:lineRule="auto"/>
      </w:pPr>
      <w:rPr>
        <w:b/>
        <w:bCs/>
      </w:rPr>
      <w:tblPr/>
      <w:tcPr>
        <w:tcBorders>
          <w:top w:val="double" w:sz="6" w:space="0" w:color="522761" w:themeColor="accent4"/>
          <w:left w:val="single" w:sz="8" w:space="0" w:color="522761" w:themeColor="accent4"/>
          <w:bottom w:val="single" w:sz="8" w:space="0" w:color="522761" w:themeColor="accent4"/>
          <w:right w:val="single" w:sz="8" w:space="0" w:color="522761" w:themeColor="accent4"/>
        </w:tcBorders>
      </w:tcPr>
    </w:tblStylePr>
    <w:tblStylePr w:type="firstCol">
      <w:rPr>
        <w:b/>
        <w:bCs/>
      </w:rPr>
    </w:tblStylePr>
    <w:tblStylePr w:type="lastCol">
      <w:rPr>
        <w:b/>
        <w:bCs/>
      </w:rPr>
    </w:tblStylePr>
    <w:tblStylePr w:type="band1Vert">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tblStylePr w:type="band1Horz">
      <w:tblPr/>
      <w:tcPr>
        <w:tcBorders>
          <w:top w:val="single" w:sz="8" w:space="0" w:color="522761" w:themeColor="accent4"/>
          <w:left w:val="single" w:sz="8" w:space="0" w:color="522761" w:themeColor="accent4"/>
          <w:bottom w:val="single" w:sz="8" w:space="0" w:color="522761" w:themeColor="accent4"/>
          <w:right w:val="single" w:sz="8" w:space="0" w:color="522761" w:themeColor="accent4"/>
        </w:tcBorders>
      </w:tcPr>
    </w:tblStylePr>
  </w:style>
  <w:style w:type="table" w:styleId="LightList-Accent5">
    <w:name w:val="Light List Accent 5"/>
    <w:basedOn w:val="TableNormal"/>
    <w:uiPriority w:val="61"/>
    <w:semiHidden/>
    <w:rsid w:val="003E273C"/>
    <w:pPr>
      <w:spacing w:after="0" w:line="240" w:lineRule="auto"/>
    </w:p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pPr>
        <w:spacing w:before="0" w:after="0" w:line="240" w:lineRule="auto"/>
      </w:pPr>
      <w:rPr>
        <w:b/>
        <w:bCs/>
        <w:color w:val="FFFFFF" w:themeColor="background1"/>
      </w:rPr>
      <w:tblPr/>
      <w:tcPr>
        <w:shd w:val="clear" w:color="auto" w:fill="3C54A5" w:themeFill="accent5"/>
      </w:tcPr>
    </w:tblStylePr>
    <w:tblStylePr w:type="lastRow">
      <w:pPr>
        <w:spacing w:before="0" w:after="0" w:line="240" w:lineRule="auto"/>
      </w:pPr>
      <w:rPr>
        <w:b/>
        <w:bCs/>
      </w:rPr>
      <w:tblPr/>
      <w:tcPr>
        <w:tcBorders>
          <w:top w:val="double" w:sz="6" w:space="0" w:color="3C54A5" w:themeColor="accent5"/>
          <w:left w:val="single" w:sz="8" w:space="0" w:color="3C54A5" w:themeColor="accent5"/>
          <w:bottom w:val="single" w:sz="8" w:space="0" w:color="3C54A5" w:themeColor="accent5"/>
          <w:right w:val="single" w:sz="8" w:space="0" w:color="3C54A5" w:themeColor="accent5"/>
        </w:tcBorders>
      </w:tcPr>
    </w:tblStylePr>
    <w:tblStylePr w:type="firstCol">
      <w:rPr>
        <w:b/>
        <w:bCs/>
      </w:rPr>
    </w:tblStylePr>
    <w:tblStylePr w:type="lastCol">
      <w:rPr>
        <w:b/>
        <w:bCs/>
      </w:rPr>
    </w:tblStylePr>
    <w:tblStylePr w:type="band1Vert">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tblStylePr w:type="band1Horz">
      <w:tblPr/>
      <w:tcPr>
        <w:tcBorders>
          <w:top w:val="single" w:sz="8" w:space="0" w:color="3C54A5" w:themeColor="accent5"/>
          <w:left w:val="single" w:sz="8" w:space="0" w:color="3C54A5" w:themeColor="accent5"/>
          <w:bottom w:val="single" w:sz="8" w:space="0" w:color="3C54A5" w:themeColor="accent5"/>
          <w:right w:val="single" w:sz="8" w:space="0" w:color="3C54A5" w:themeColor="accent5"/>
        </w:tcBorders>
      </w:tcPr>
    </w:tblStylePr>
  </w:style>
  <w:style w:type="table" w:styleId="LightList-Accent6">
    <w:name w:val="Light List Accent 6"/>
    <w:basedOn w:val="TableNormal"/>
    <w:uiPriority w:val="61"/>
    <w:semiHidden/>
    <w:rsid w:val="003E273C"/>
    <w:pPr>
      <w:spacing w:after="0" w:line="240" w:lineRule="auto"/>
    </w:p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pPr>
        <w:spacing w:before="0" w:after="0" w:line="240" w:lineRule="auto"/>
      </w:pPr>
      <w:rPr>
        <w:b/>
        <w:bCs/>
        <w:color w:val="FFFFFF" w:themeColor="background1"/>
      </w:rPr>
      <w:tblPr/>
      <w:tcPr>
        <w:shd w:val="clear" w:color="auto" w:fill="545861" w:themeFill="accent6"/>
      </w:tcPr>
    </w:tblStylePr>
    <w:tblStylePr w:type="lastRow">
      <w:pPr>
        <w:spacing w:before="0" w:after="0" w:line="240" w:lineRule="auto"/>
      </w:pPr>
      <w:rPr>
        <w:b/>
        <w:bCs/>
      </w:rPr>
      <w:tblPr/>
      <w:tcPr>
        <w:tcBorders>
          <w:top w:val="double" w:sz="6" w:space="0" w:color="545861" w:themeColor="accent6"/>
          <w:left w:val="single" w:sz="8" w:space="0" w:color="545861" w:themeColor="accent6"/>
          <w:bottom w:val="single" w:sz="8" w:space="0" w:color="545861" w:themeColor="accent6"/>
          <w:right w:val="single" w:sz="8" w:space="0" w:color="545861" w:themeColor="accent6"/>
        </w:tcBorders>
      </w:tcPr>
    </w:tblStylePr>
    <w:tblStylePr w:type="firstCol">
      <w:rPr>
        <w:b/>
        <w:bCs/>
      </w:rPr>
    </w:tblStylePr>
    <w:tblStylePr w:type="lastCol">
      <w:rPr>
        <w:b/>
        <w:bCs/>
      </w:rPr>
    </w:tblStylePr>
    <w:tblStylePr w:type="band1Vert">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tblStylePr w:type="band1Horz">
      <w:tblPr/>
      <w:tcPr>
        <w:tcBorders>
          <w:top w:val="single" w:sz="8" w:space="0" w:color="545861" w:themeColor="accent6"/>
          <w:left w:val="single" w:sz="8" w:space="0" w:color="545861" w:themeColor="accent6"/>
          <w:bottom w:val="single" w:sz="8" w:space="0" w:color="545861" w:themeColor="accent6"/>
          <w:right w:val="single" w:sz="8" w:space="0" w:color="545861" w:themeColor="accent6"/>
        </w:tcBorders>
      </w:tcPr>
    </w:tblStylePr>
  </w:style>
  <w:style w:type="table" w:styleId="LightShading">
    <w:name w:val="Light Shading"/>
    <w:basedOn w:val="TableNormal"/>
    <w:uiPriority w:val="60"/>
    <w:semiHidden/>
    <w:rsid w:val="003E273C"/>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3E273C"/>
    <w:pPr>
      <w:spacing w:after="0" w:line="240" w:lineRule="auto"/>
    </w:pPr>
    <w:rPr>
      <w:color w:val="2D3E7B" w:themeColor="accent1" w:themeShade="BF"/>
    </w:rPr>
    <w:tblPr>
      <w:tblStyleRowBandSize w:val="1"/>
      <w:tblStyleColBandSize w:val="1"/>
      <w:tblBorders>
        <w:top w:val="single" w:sz="8" w:space="0" w:color="3C54A5" w:themeColor="accent1"/>
        <w:bottom w:val="single" w:sz="8" w:space="0" w:color="3C54A5" w:themeColor="accent1"/>
      </w:tblBorders>
    </w:tblPr>
    <w:tblStylePr w:type="fir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lastRow">
      <w:pPr>
        <w:spacing w:before="0" w:after="0" w:line="240" w:lineRule="auto"/>
      </w:pPr>
      <w:rPr>
        <w:b/>
        <w:bCs/>
      </w:rPr>
      <w:tblPr/>
      <w:tcPr>
        <w:tcBorders>
          <w:top w:val="single" w:sz="8" w:space="0" w:color="3C54A5" w:themeColor="accent1"/>
          <w:left w:val="nil"/>
          <w:bottom w:val="single" w:sz="8" w:space="0" w:color="3C54A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left w:val="nil"/>
          <w:right w:val="nil"/>
          <w:insideH w:val="nil"/>
          <w:insideV w:val="nil"/>
        </w:tcBorders>
        <w:shd w:val="clear" w:color="auto" w:fill="CBD2EC" w:themeFill="accent1" w:themeFillTint="3F"/>
      </w:tcPr>
    </w:tblStylePr>
  </w:style>
  <w:style w:type="table" w:styleId="LightShading-Accent2">
    <w:name w:val="Light Shading Accent 2"/>
    <w:basedOn w:val="TableNormal"/>
    <w:uiPriority w:val="60"/>
    <w:semiHidden/>
    <w:rsid w:val="003E273C"/>
    <w:pPr>
      <w:spacing w:after="0" w:line="240" w:lineRule="auto"/>
    </w:pPr>
    <w:rPr>
      <w:color w:val="3F4148" w:themeColor="accent2" w:themeShade="BF"/>
    </w:rPr>
    <w:tblPr>
      <w:tblStyleRowBandSize w:val="1"/>
      <w:tblStyleColBandSize w:val="1"/>
      <w:tblBorders>
        <w:top w:val="single" w:sz="8" w:space="0" w:color="545861" w:themeColor="accent2"/>
        <w:bottom w:val="single" w:sz="8" w:space="0" w:color="545861" w:themeColor="accent2"/>
      </w:tblBorders>
    </w:tblPr>
    <w:tblStylePr w:type="fir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lastRow">
      <w:pPr>
        <w:spacing w:before="0" w:after="0" w:line="240" w:lineRule="auto"/>
      </w:pPr>
      <w:rPr>
        <w:b/>
        <w:bCs/>
      </w:rPr>
      <w:tblPr/>
      <w:tcPr>
        <w:tcBorders>
          <w:top w:val="single" w:sz="8" w:space="0" w:color="545861" w:themeColor="accent2"/>
          <w:left w:val="nil"/>
          <w:bottom w:val="single" w:sz="8" w:space="0" w:color="54586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left w:val="nil"/>
          <w:right w:val="nil"/>
          <w:insideH w:val="nil"/>
          <w:insideV w:val="nil"/>
        </w:tcBorders>
        <w:shd w:val="clear" w:color="auto" w:fill="D3D5D9" w:themeFill="accent2" w:themeFillTint="3F"/>
      </w:tcPr>
    </w:tblStylePr>
  </w:style>
  <w:style w:type="table" w:styleId="LightShading-Accent3">
    <w:name w:val="Light Shading Accent 3"/>
    <w:basedOn w:val="TableNormal"/>
    <w:uiPriority w:val="60"/>
    <w:semiHidden/>
    <w:rsid w:val="003E273C"/>
    <w:pPr>
      <w:spacing w:after="0" w:line="240" w:lineRule="auto"/>
    </w:pPr>
    <w:rPr>
      <w:color w:val="AE7E0E" w:themeColor="accent3" w:themeShade="BF"/>
    </w:rPr>
    <w:tblPr>
      <w:tblStyleRowBandSize w:val="1"/>
      <w:tblStyleColBandSize w:val="1"/>
      <w:tblBorders>
        <w:top w:val="single" w:sz="8" w:space="0" w:color="E9A913" w:themeColor="accent3"/>
        <w:bottom w:val="single" w:sz="8" w:space="0" w:color="E9A913" w:themeColor="accent3"/>
      </w:tblBorders>
    </w:tblPr>
    <w:tblStylePr w:type="fir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lastRow">
      <w:pPr>
        <w:spacing w:before="0" w:after="0" w:line="240" w:lineRule="auto"/>
      </w:pPr>
      <w:rPr>
        <w:b/>
        <w:bCs/>
      </w:rPr>
      <w:tblPr/>
      <w:tcPr>
        <w:tcBorders>
          <w:top w:val="single" w:sz="8" w:space="0" w:color="E9A913" w:themeColor="accent3"/>
          <w:left w:val="nil"/>
          <w:bottom w:val="single" w:sz="8" w:space="0" w:color="E9A913"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left w:val="nil"/>
          <w:right w:val="nil"/>
          <w:insideH w:val="nil"/>
          <w:insideV w:val="nil"/>
        </w:tcBorders>
        <w:shd w:val="clear" w:color="auto" w:fill="FAE9C3" w:themeFill="accent3" w:themeFillTint="3F"/>
      </w:tcPr>
    </w:tblStylePr>
  </w:style>
  <w:style w:type="table" w:styleId="LightShading-Accent4">
    <w:name w:val="Light Shading Accent 4"/>
    <w:basedOn w:val="TableNormal"/>
    <w:uiPriority w:val="60"/>
    <w:semiHidden/>
    <w:rsid w:val="003E273C"/>
    <w:pPr>
      <w:spacing w:after="0" w:line="240" w:lineRule="auto"/>
    </w:pPr>
    <w:rPr>
      <w:color w:val="3D1D48" w:themeColor="accent4" w:themeShade="BF"/>
    </w:rPr>
    <w:tblPr>
      <w:tblStyleRowBandSize w:val="1"/>
      <w:tblStyleColBandSize w:val="1"/>
      <w:tblBorders>
        <w:top w:val="single" w:sz="8" w:space="0" w:color="522761" w:themeColor="accent4"/>
        <w:bottom w:val="single" w:sz="8" w:space="0" w:color="522761" w:themeColor="accent4"/>
      </w:tblBorders>
    </w:tblPr>
    <w:tblStylePr w:type="fir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lastRow">
      <w:pPr>
        <w:spacing w:before="0" w:after="0" w:line="240" w:lineRule="auto"/>
      </w:pPr>
      <w:rPr>
        <w:b/>
        <w:bCs/>
      </w:rPr>
      <w:tblPr/>
      <w:tcPr>
        <w:tcBorders>
          <w:top w:val="single" w:sz="8" w:space="0" w:color="522761" w:themeColor="accent4"/>
          <w:left w:val="nil"/>
          <w:bottom w:val="single" w:sz="8" w:space="0" w:color="52276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left w:val="nil"/>
          <w:right w:val="nil"/>
          <w:insideH w:val="nil"/>
          <w:insideV w:val="nil"/>
        </w:tcBorders>
        <w:shd w:val="clear" w:color="auto" w:fill="DABCE4" w:themeFill="accent4" w:themeFillTint="3F"/>
      </w:tcPr>
    </w:tblStylePr>
  </w:style>
  <w:style w:type="table" w:styleId="MediumGrid1">
    <w:name w:val="Medium Grid 1"/>
    <w:basedOn w:val="TableNormal"/>
    <w:uiPriority w:val="67"/>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insideV w:val="single" w:sz="8" w:space="0" w:color="6278C6" w:themeColor="accent1" w:themeTint="BF"/>
      </w:tblBorders>
    </w:tblPr>
    <w:tcPr>
      <w:shd w:val="clear" w:color="auto" w:fill="CBD2EC" w:themeFill="accent1" w:themeFillTint="3F"/>
    </w:tcPr>
    <w:tblStylePr w:type="firstRow">
      <w:rPr>
        <w:b/>
        <w:bCs/>
      </w:rPr>
    </w:tblStylePr>
    <w:tblStylePr w:type="lastRow">
      <w:rPr>
        <w:b/>
        <w:bCs/>
      </w:rPr>
      <w:tblPr/>
      <w:tcPr>
        <w:tcBorders>
          <w:top w:val="single" w:sz="18" w:space="0" w:color="6278C6" w:themeColor="accent1" w:themeTint="BF"/>
        </w:tcBorders>
      </w:tcPr>
    </w:tblStylePr>
    <w:tblStylePr w:type="firstCol">
      <w:rPr>
        <w:b/>
        <w:bCs/>
      </w:rPr>
    </w:tblStylePr>
    <w:tblStylePr w:type="lastCol">
      <w:rPr>
        <w:b/>
        <w:bCs/>
      </w:rPr>
    </w:tblStylePr>
    <w:tblStylePr w:type="band1Vert">
      <w:tblPr/>
      <w:tcPr>
        <w:shd w:val="clear" w:color="auto" w:fill="96A5D9" w:themeFill="accent1" w:themeFillTint="7F"/>
      </w:tcPr>
    </w:tblStylePr>
    <w:tblStylePr w:type="band1Horz">
      <w:tblPr/>
      <w:tcPr>
        <w:shd w:val="clear" w:color="auto" w:fill="96A5D9" w:themeFill="accent1" w:themeFillTint="7F"/>
      </w:tcPr>
    </w:tblStylePr>
  </w:style>
  <w:style w:type="table" w:styleId="MediumGrid1-Accent2">
    <w:name w:val="Medium Grid 1 Accent 2"/>
    <w:basedOn w:val="TableNormal"/>
    <w:uiPriority w:val="67"/>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insideV w:val="single" w:sz="8" w:space="0" w:color="7A808C" w:themeColor="accent2" w:themeTint="BF"/>
      </w:tblBorders>
    </w:tblPr>
    <w:tcPr>
      <w:shd w:val="clear" w:color="auto" w:fill="D3D5D9" w:themeFill="accent2" w:themeFillTint="3F"/>
    </w:tcPr>
    <w:tblStylePr w:type="firstRow">
      <w:rPr>
        <w:b/>
        <w:bCs/>
      </w:rPr>
    </w:tblStylePr>
    <w:tblStylePr w:type="lastRow">
      <w:rPr>
        <w:b/>
        <w:bCs/>
      </w:rPr>
      <w:tblPr/>
      <w:tcPr>
        <w:tcBorders>
          <w:top w:val="single" w:sz="18" w:space="0" w:color="7A808C" w:themeColor="accent2" w:themeTint="BF"/>
        </w:tcBorders>
      </w:tcPr>
    </w:tblStylePr>
    <w:tblStylePr w:type="firstCol">
      <w:rPr>
        <w:b/>
        <w:bCs/>
      </w:rPr>
    </w:tblStylePr>
    <w:tblStylePr w:type="lastCol">
      <w:rPr>
        <w:b/>
        <w:bCs/>
      </w:rPr>
    </w:tblStylePr>
    <w:tblStylePr w:type="band1Vert">
      <w:tblPr/>
      <w:tcPr>
        <w:shd w:val="clear" w:color="auto" w:fill="A7AAB3" w:themeFill="accent2" w:themeFillTint="7F"/>
      </w:tcPr>
    </w:tblStylePr>
    <w:tblStylePr w:type="band1Horz">
      <w:tblPr/>
      <w:tcPr>
        <w:shd w:val="clear" w:color="auto" w:fill="A7AAB3" w:themeFill="accent2" w:themeFillTint="7F"/>
      </w:tcPr>
    </w:tblStylePr>
  </w:style>
  <w:style w:type="table" w:styleId="MediumGrid1-Accent3">
    <w:name w:val="Medium Grid 1 Accent 3"/>
    <w:basedOn w:val="TableNormal"/>
    <w:uiPriority w:val="67"/>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insideV w:val="single" w:sz="8" w:space="0" w:color="F0BE4C" w:themeColor="accent3" w:themeTint="BF"/>
      </w:tblBorders>
    </w:tblPr>
    <w:tcPr>
      <w:shd w:val="clear" w:color="auto" w:fill="FAE9C3" w:themeFill="accent3" w:themeFillTint="3F"/>
    </w:tcPr>
    <w:tblStylePr w:type="firstRow">
      <w:rPr>
        <w:b/>
        <w:bCs/>
      </w:rPr>
    </w:tblStylePr>
    <w:tblStylePr w:type="lastRow">
      <w:rPr>
        <w:b/>
        <w:bCs/>
      </w:rPr>
      <w:tblPr/>
      <w:tcPr>
        <w:tcBorders>
          <w:top w:val="single" w:sz="18" w:space="0" w:color="F0BE4C" w:themeColor="accent3" w:themeTint="BF"/>
        </w:tcBorders>
      </w:tcPr>
    </w:tblStylePr>
    <w:tblStylePr w:type="firstCol">
      <w:rPr>
        <w:b/>
        <w:bCs/>
      </w:rPr>
    </w:tblStylePr>
    <w:tblStylePr w:type="lastCol">
      <w:rPr>
        <w:b/>
        <w:bCs/>
      </w:rPr>
    </w:tblStylePr>
    <w:tblStylePr w:type="band1Vert">
      <w:tblPr/>
      <w:tcPr>
        <w:shd w:val="clear" w:color="auto" w:fill="F5D488" w:themeFill="accent3" w:themeFillTint="7F"/>
      </w:tcPr>
    </w:tblStylePr>
    <w:tblStylePr w:type="band1Horz">
      <w:tblPr/>
      <w:tcPr>
        <w:shd w:val="clear" w:color="auto" w:fill="F5D488" w:themeFill="accent3" w:themeFillTint="7F"/>
      </w:tcPr>
    </w:tblStylePr>
  </w:style>
  <w:style w:type="table" w:styleId="MediumGrid1-Accent4">
    <w:name w:val="Medium Grid 1 Accent 4"/>
    <w:basedOn w:val="TableNormal"/>
    <w:uiPriority w:val="67"/>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insideV w:val="single" w:sz="8" w:space="0" w:color="8A42A3" w:themeColor="accent4" w:themeTint="BF"/>
      </w:tblBorders>
    </w:tblPr>
    <w:tcPr>
      <w:shd w:val="clear" w:color="auto" w:fill="DABCE4" w:themeFill="accent4" w:themeFillTint="3F"/>
    </w:tcPr>
    <w:tblStylePr w:type="firstRow">
      <w:rPr>
        <w:b/>
        <w:bCs/>
      </w:rPr>
    </w:tblStylePr>
    <w:tblStylePr w:type="lastRow">
      <w:rPr>
        <w:b/>
        <w:bCs/>
      </w:rPr>
      <w:tblPr/>
      <w:tcPr>
        <w:tcBorders>
          <w:top w:val="single" w:sz="18" w:space="0" w:color="8A42A3" w:themeColor="accent4" w:themeTint="BF"/>
        </w:tcBorders>
      </w:tcPr>
    </w:tblStylePr>
    <w:tblStylePr w:type="firstCol">
      <w:rPr>
        <w:b/>
        <w:bCs/>
      </w:rPr>
    </w:tblStylePr>
    <w:tblStylePr w:type="lastCol">
      <w:rPr>
        <w:b/>
        <w:bCs/>
      </w:rPr>
    </w:tblStylePr>
    <w:tblStylePr w:type="band1Vert">
      <w:tblPr/>
      <w:tcPr>
        <w:shd w:val="clear" w:color="auto" w:fill="B57AC9" w:themeFill="accent4" w:themeFillTint="7F"/>
      </w:tcPr>
    </w:tblStylePr>
    <w:tblStylePr w:type="band1Horz">
      <w:tblPr/>
      <w:tcPr>
        <w:shd w:val="clear" w:color="auto" w:fill="B57AC9" w:themeFill="accent4" w:themeFillTint="7F"/>
      </w:tcPr>
    </w:tblStylePr>
  </w:style>
  <w:style w:type="table" w:styleId="MediumGrid1-Accent5">
    <w:name w:val="Medium Grid 1 Accent 5"/>
    <w:basedOn w:val="TableNormal"/>
    <w:uiPriority w:val="67"/>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insideV w:val="single" w:sz="8" w:space="0" w:color="6278C6" w:themeColor="accent5" w:themeTint="BF"/>
      </w:tblBorders>
    </w:tblPr>
    <w:tcPr>
      <w:shd w:val="clear" w:color="auto" w:fill="CBD2EC" w:themeFill="accent5" w:themeFillTint="3F"/>
    </w:tcPr>
    <w:tblStylePr w:type="firstRow">
      <w:rPr>
        <w:b/>
        <w:bCs/>
      </w:rPr>
    </w:tblStylePr>
    <w:tblStylePr w:type="lastRow">
      <w:rPr>
        <w:b/>
        <w:bCs/>
      </w:rPr>
      <w:tblPr/>
      <w:tcPr>
        <w:tcBorders>
          <w:top w:val="single" w:sz="18" w:space="0" w:color="6278C6" w:themeColor="accent5" w:themeTint="BF"/>
        </w:tcBorders>
      </w:tcPr>
    </w:tblStylePr>
    <w:tblStylePr w:type="firstCol">
      <w:rPr>
        <w:b/>
        <w:bCs/>
      </w:rPr>
    </w:tblStylePr>
    <w:tblStylePr w:type="lastCol">
      <w:rPr>
        <w:b/>
        <w:bCs/>
      </w:rPr>
    </w:tblStylePr>
    <w:tblStylePr w:type="band1Vert">
      <w:tblPr/>
      <w:tcPr>
        <w:shd w:val="clear" w:color="auto" w:fill="96A5D9" w:themeFill="accent5" w:themeFillTint="7F"/>
      </w:tcPr>
    </w:tblStylePr>
    <w:tblStylePr w:type="band1Horz">
      <w:tblPr/>
      <w:tcPr>
        <w:shd w:val="clear" w:color="auto" w:fill="96A5D9" w:themeFill="accent5" w:themeFillTint="7F"/>
      </w:tcPr>
    </w:tblStylePr>
  </w:style>
  <w:style w:type="table" w:styleId="MediumGrid1-Accent6">
    <w:name w:val="Medium Grid 1 Accent 6"/>
    <w:basedOn w:val="TableNormal"/>
    <w:uiPriority w:val="67"/>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insideV w:val="single" w:sz="8" w:space="0" w:color="7A808C" w:themeColor="accent6" w:themeTint="BF"/>
      </w:tblBorders>
    </w:tblPr>
    <w:tcPr>
      <w:shd w:val="clear" w:color="auto" w:fill="D3D5D9" w:themeFill="accent6" w:themeFillTint="3F"/>
    </w:tcPr>
    <w:tblStylePr w:type="firstRow">
      <w:rPr>
        <w:b/>
        <w:bCs/>
      </w:rPr>
    </w:tblStylePr>
    <w:tblStylePr w:type="lastRow">
      <w:rPr>
        <w:b/>
        <w:bCs/>
      </w:rPr>
      <w:tblPr/>
      <w:tcPr>
        <w:tcBorders>
          <w:top w:val="single" w:sz="18" w:space="0" w:color="7A808C" w:themeColor="accent6" w:themeTint="BF"/>
        </w:tcBorders>
      </w:tcPr>
    </w:tblStylePr>
    <w:tblStylePr w:type="firstCol">
      <w:rPr>
        <w:b/>
        <w:bCs/>
      </w:rPr>
    </w:tblStylePr>
    <w:tblStylePr w:type="lastCol">
      <w:rPr>
        <w:b/>
        <w:bCs/>
      </w:rPr>
    </w:tblStylePr>
    <w:tblStylePr w:type="band1Vert">
      <w:tblPr/>
      <w:tcPr>
        <w:shd w:val="clear" w:color="auto" w:fill="A7AAB3" w:themeFill="accent6" w:themeFillTint="7F"/>
      </w:tcPr>
    </w:tblStylePr>
    <w:tblStylePr w:type="band1Horz">
      <w:tblPr/>
      <w:tcPr>
        <w:shd w:val="clear" w:color="auto" w:fill="A7AAB3" w:themeFill="accent6" w:themeFillTint="7F"/>
      </w:tcPr>
    </w:tblStylePr>
  </w:style>
  <w:style w:type="table" w:styleId="MediumGrid2">
    <w:name w:val="Medium Grid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insideH w:val="single" w:sz="8" w:space="0" w:color="3C54A5" w:themeColor="accent1"/>
        <w:insideV w:val="single" w:sz="8" w:space="0" w:color="3C54A5" w:themeColor="accent1"/>
      </w:tblBorders>
    </w:tblPr>
    <w:tcPr>
      <w:shd w:val="clear" w:color="auto" w:fill="CBD2EC" w:themeFill="accent1" w:themeFillTint="3F"/>
    </w:tcPr>
    <w:tblStylePr w:type="firstRow">
      <w:rPr>
        <w:b/>
        <w:bCs/>
        <w:color w:val="000000" w:themeColor="text1"/>
      </w:rPr>
      <w:tblPr/>
      <w:tcPr>
        <w:shd w:val="clear" w:color="auto" w:fill="EAEDF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1" w:themeFillTint="33"/>
      </w:tcPr>
    </w:tblStylePr>
    <w:tblStylePr w:type="band1Vert">
      <w:tblPr/>
      <w:tcPr>
        <w:shd w:val="clear" w:color="auto" w:fill="96A5D9" w:themeFill="accent1" w:themeFillTint="7F"/>
      </w:tcPr>
    </w:tblStylePr>
    <w:tblStylePr w:type="band1Horz">
      <w:tblPr/>
      <w:tcPr>
        <w:tcBorders>
          <w:insideH w:val="single" w:sz="6" w:space="0" w:color="3C54A5" w:themeColor="accent1"/>
          <w:insideV w:val="single" w:sz="6" w:space="0" w:color="3C54A5" w:themeColor="accent1"/>
        </w:tcBorders>
        <w:shd w:val="clear" w:color="auto" w:fill="96A5D9"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insideH w:val="single" w:sz="8" w:space="0" w:color="545861" w:themeColor="accent2"/>
        <w:insideV w:val="single" w:sz="8" w:space="0" w:color="545861" w:themeColor="accent2"/>
      </w:tblBorders>
    </w:tblPr>
    <w:tcPr>
      <w:shd w:val="clear" w:color="auto" w:fill="D3D5D9" w:themeFill="accent2" w:themeFillTint="3F"/>
    </w:tcPr>
    <w:tblStylePr w:type="firstRow">
      <w:rPr>
        <w:b/>
        <w:bCs/>
        <w:color w:val="000000" w:themeColor="text1"/>
      </w:rPr>
      <w:tblPr/>
      <w:tcPr>
        <w:shd w:val="clear" w:color="auto" w:fill="EDEE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2" w:themeFillTint="33"/>
      </w:tcPr>
    </w:tblStylePr>
    <w:tblStylePr w:type="band1Vert">
      <w:tblPr/>
      <w:tcPr>
        <w:shd w:val="clear" w:color="auto" w:fill="A7AAB3" w:themeFill="accent2" w:themeFillTint="7F"/>
      </w:tcPr>
    </w:tblStylePr>
    <w:tblStylePr w:type="band1Horz">
      <w:tblPr/>
      <w:tcPr>
        <w:tcBorders>
          <w:insideH w:val="single" w:sz="6" w:space="0" w:color="545861" w:themeColor="accent2"/>
          <w:insideV w:val="single" w:sz="6" w:space="0" w:color="545861" w:themeColor="accent2"/>
        </w:tcBorders>
        <w:shd w:val="clear" w:color="auto" w:fill="A7AAB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insideH w:val="single" w:sz="8" w:space="0" w:color="E9A913" w:themeColor="accent3"/>
        <w:insideV w:val="single" w:sz="8" w:space="0" w:color="E9A913" w:themeColor="accent3"/>
      </w:tblBorders>
    </w:tblPr>
    <w:tcPr>
      <w:shd w:val="clear" w:color="auto" w:fill="FAE9C3" w:themeFill="accent3" w:themeFillTint="3F"/>
    </w:tcPr>
    <w:tblStylePr w:type="firstRow">
      <w:rPr>
        <w:b/>
        <w:bCs/>
        <w:color w:val="000000" w:themeColor="text1"/>
      </w:rPr>
      <w:tblPr/>
      <w:tcPr>
        <w:shd w:val="clear" w:color="auto" w:fill="FDF6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DCF" w:themeFill="accent3" w:themeFillTint="33"/>
      </w:tcPr>
    </w:tblStylePr>
    <w:tblStylePr w:type="band1Vert">
      <w:tblPr/>
      <w:tcPr>
        <w:shd w:val="clear" w:color="auto" w:fill="F5D488" w:themeFill="accent3" w:themeFillTint="7F"/>
      </w:tcPr>
    </w:tblStylePr>
    <w:tblStylePr w:type="band1Horz">
      <w:tblPr/>
      <w:tcPr>
        <w:tcBorders>
          <w:insideH w:val="single" w:sz="6" w:space="0" w:color="E9A913" w:themeColor="accent3"/>
          <w:insideV w:val="single" w:sz="6" w:space="0" w:color="E9A913" w:themeColor="accent3"/>
        </w:tcBorders>
        <w:shd w:val="clear" w:color="auto" w:fill="F5D488"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insideH w:val="single" w:sz="8" w:space="0" w:color="522761" w:themeColor="accent4"/>
        <w:insideV w:val="single" w:sz="8" w:space="0" w:color="522761" w:themeColor="accent4"/>
      </w:tblBorders>
    </w:tblPr>
    <w:tcPr>
      <w:shd w:val="clear" w:color="auto" w:fill="DABCE4" w:themeFill="accent4" w:themeFillTint="3F"/>
    </w:tcPr>
    <w:tblStylePr w:type="firstRow">
      <w:rPr>
        <w:b/>
        <w:bCs/>
        <w:color w:val="000000" w:themeColor="text1"/>
      </w:rPr>
      <w:tblPr/>
      <w:tcPr>
        <w:shd w:val="clear" w:color="auto" w:fill="F0E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1C9E9" w:themeFill="accent4" w:themeFillTint="33"/>
      </w:tcPr>
    </w:tblStylePr>
    <w:tblStylePr w:type="band1Vert">
      <w:tblPr/>
      <w:tcPr>
        <w:shd w:val="clear" w:color="auto" w:fill="B57AC9" w:themeFill="accent4" w:themeFillTint="7F"/>
      </w:tcPr>
    </w:tblStylePr>
    <w:tblStylePr w:type="band1Horz">
      <w:tblPr/>
      <w:tcPr>
        <w:tcBorders>
          <w:insideH w:val="single" w:sz="6" w:space="0" w:color="522761" w:themeColor="accent4"/>
          <w:insideV w:val="single" w:sz="6" w:space="0" w:color="522761" w:themeColor="accent4"/>
        </w:tcBorders>
        <w:shd w:val="clear" w:color="auto" w:fill="B57AC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insideH w:val="single" w:sz="8" w:space="0" w:color="3C54A5" w:themeColor="accent5"/>
        <w:insideV w:val="single" w:sz="8" w:space="0" w:color="3C54A5" w:themeColor="accent5"/>
      </w:tblBorders>
    </w:tblPr>
    <w:tcPr>
      <w:shd w:val="clear" w:color="auto" w:fill="CBD2EC" w:themeFill="accent5" w:themeFillTint="3F"/>
    </w:tcPr>
    <w:tblStylePr w:type="firstRow">
      <w:rPr>
        <w:b/>
        <w:bCs/>
        <w:color w:val="000000" w:themeColor="text1"/>
      </w:rPr>
      <w:tblPr/>
      <w:tcPr>
        <w:shd w:val="clear" w:color="auto" w:fill="EAEDF7"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EF" w:themeFill="accent5" w:themeFillTint="33"/>
      </w:tcPr>
    </w:tblStylePr>
    <w:tblStylePr w:type="band1Vert">
      <w:tblPr/>
      <w:tcPr>
        <w:shd w:val="clear" w:color="auto" w:fill="96A5D9" w:themeFill="accent5" w:themeFillTint="7F"/>
      </w:tcPr>
    </w:tblStylePr>
    <w:tblStylePr w:type="band1Horz">
      <w:tblPr/>
      <w:tcPr>
        <w:tcBorders>
          <w:insideH w:val="single" w:sz="6" w:space="0" w:color="3C54A5" w:themeColor="accent5"/>
          <w:insideV w:val="single" w:sz="6" w:space="0" w:color="3C54A5" w:themeColor="accent5"/>
        </w:tcBorders>
        <w:shd w:val="clear" w:color="auto" w:fill="96A5D9"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insideH w:val="single" w:sz="8" w:space="0" w:color="545861" w:themeColor="accent6"/>
        <w:insideV w:val="single" w:sz="8" w:space="0" w:color="545861" w:themeColor="accent6"/>
      </w:tblBorders>
    </w:tblPr>
    <w:tcPr>
      <w:shd w:val="clear" w:color="auto" w:fill="D3D5D9" w:themeFill="accent6" w:themeFillTint="3F"/>
    </w:tcPr>
    <w:tblStylePr w:type="firstRow">
      <w:rPr>
        <w:b/>
        <w:bCs/>
        <w:color w:val="000000" w:themeColor="text1"/>
      </w:rPr>
      <w:tblPr/>
      <w:tcPr>
        <w:shd w:val="clear" w:color="auto" w:fill="EDEEF0"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DE0" w:themeFill="accent6" w:themeFillTint="33"/>
      </w:tcPr>
    </w:tblStylePr>
    <w:tblStylePr w:type="band1Vert">
      <w:tblPr/>
      <w:tcPr>
        <w:shd w:val="clear" w:color="auto" w:fill="A7AAB3" w:themeFill="accent6" w:themeFillTint="7F"/>
      </w:tcPr>
    </w:tblStylePr>
    <w:tblStylePr w:type="band1Horz">
      <w:tblPr/>
      <w:tcPr>
        <w:tcBorders>
          <w:insideH w:val="single" w:sz="6" w:space="0" w:color="545861" w:themeColor="accent6"/>
          <w:insideV w:val="single" w:sz="6" w:space="0" w:color="545861" w:themeColor="accent6"/>
        </w:tcBorders>
        <w:shd w:val="clear" w:color="auto" w:fill="A7AAB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1" w:themeFillTint="7F"/>
      </w:tcPr>
    </w:tblStylePr>
  </w:style>
  <w:style w:type="table" w:styleId="MediumGrid3-Accent2">
    <w:name w:val="Medium Grid 3 Accent 2"/>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2" w:themeFillTint="7F"/>
      </w:tcPr>
    </w:tblStylePr>
  </w:style>
  <w:style w:type="table" w:styleId="MediumGrid3-Accent3">
    <w:name w:val="Medium Grid 3 Accent 3"/>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E9C3"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A913"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A913"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A913"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D488"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D488" w:themeFill="accent3" w:themeFillTint="7F"/>
      </w:tcPr>
    </w:tblStylePr>
  </w:style>
  <w:style w:type="table" w:styleId="MediumGrid3-Accent4">
    <w:name w:val="Medium Grid 3 Accent 4"/>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BC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2276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2276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2276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57AC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57AC9" w:themeFill="accent4" w:themeFillTint="7F"/>
      </w:tcPr>
    </w:tblStylePr>
  </w:style>
  <w:style w:type="table" w:styleId="MediumGrid3-Accent5">
    <w:name w:val="Medium Grid 3 Accent 5"/>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EC"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54A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54A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54A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D9"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D9" w:themeFill="accent5" w:themeFillTint="7F"/>
      </w:tcPr>
    </w:tblStylePr>
  </w:style>
  <w:style w:type="table" w:styleId="MediumGrid3-Accent6">
    <w:name w:val="Medium Grid 3 Accent 6"/>
    <w:basedOn w:val="TableNormal"/>
    <w:uiPriority w:val="69"/>
    <w:semiHidden/>
    <w:rsid w:val="003E273C"/>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5D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86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86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86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AAB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AAB3" w:themeFill="accent6" w:themeFillTint="7F"/>
      </w:tcPr>
    </w:tblStylePr>
  </w:style>
  <w:style w:type="table" w:styleId="MediumList1">
    <w:name w:val="Medium Lis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66F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1"/>
        <w:bottom w:val="single" w:sz="8" w:space="0" w:color="3C54A5" w:themeColor="accent1"/>
      </w:tblBorders>
    </w:tblPr>
    <w:tblStylePr w:type="firstRow">
      <w:rPr>
        <w:rFonts w:asciiTheme="majorHAnsi" w:eastAsiaTheme="majorEastAsia" w:hAnsiTheme="majorHAnsi" w:cstheme="majorBidi"/>
      </w:rPr>
      <w:tblPr/>
      <w:tcPr>
        <w:tcBorders>
          <w:top w:val="nil"/>
          <w:bottom w:val="single" w:sz="8" w:space="0" w:color="3C54A5" w:themeColor="accent1"/>
        </w:tcBorders>
      </w:tcPr>
    </w:tblStylePr>
    <w:tblStylePr w:type="lastRow">
      <w:rPr>
        <w:b/>
        <w:bCs/>
        <w:color w:val="0066FF" w:themeColor="text2"/>
      </w:rPr>
      <w:tblPr/>
      <w:tcPr>
        <w:tcBorders>
          <w:top w:val="single" w:sz="8" w:space="0" w:color="3C54A5" w:themeColor="accent1"/>
          <w:bottom w:val="single" w:sz="8" w:space="0" w:color="3C54A5" w:themeColor="accent1"/>
        </w:tcBorders>
      </w:tcPr>
    </w:tblStylePr>
    <w:tblStylePr w:type="firstCol">
      <w:rPr>
        <w:b/>
        <w:bCs/>
      </w:rPr>
    </w:tblStylePr>
    <w:tblStylePr w:type="lastCol">
      <w:rPr>
        <w:b/>
        <w:bCs/>
      </w:rPr>
      <w:tblPr/>
      <w:tcPr>
        <w:tcBorders>
          <w:top w:val="single" w:sz="8" w:space="0" w:color="3C54A5" w:themeColor="accent1"/>
          <w:bottom w:val="single" w:sz="8" w:space="0" w:color="3C54A5" w:themeColor="accent1"/>
        </w:tcBorders>
      </w:tcPr>
    </w:tblStylePr>
    <w:tblStylePr w:type="band1Vert">
      <w:tblPr/>
      <w:tcPr>
        <w:shd w:val="clear" w:color="auto" w:fill="CBD2EC" w:themeFill="accent1" w:themeFillTint="3F"/>
      </w:tcPr>
    </w:tblStylePr>
    <w:tblStylePr w:type="band1Horz">
      <w:tblPr/>
      <w:tcPr>
        <w:shd w:val="clear" w:color="auto" w:fill="CBD2EC" w:themeFill="accent1" w:themeFillTint="3F"/>
      </w:tcPr>
    </w:tblStylePr>
  </w:style>
  <w:style w:type="table" w:styleId="MediumList1-Accent2">
    <w:name w:val="Medium List 1 Accent 2"/>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2"/>
        <w:bottom w:val="single" w:sz="8" w:space="0" w:color="545861" w:themeColor="accent2"/>
      </w:tblBorders>
    </w:tblPr>
    <w:tblStylePr w:type="firstRow">
      <w:rPr>
        <w:rFonts w:asciiTheme="majorHAnsi" w:eastAsiaTheme="majorEastAsia" w:hAnsiTheme="majorHAnsi" w:cstheme="majorBidi"/>
      </w:rPr>
      <w:tblPr/>
      <w:tcPr>
        <w:tcBorders>
          <w:top w:val="nil"/>
          <w:bottom w:val="single" w:sz="8" w:space="0" w:color="545861" w:themeColor="accent2"/>
        </w:tcBorders>
      </w:tcPr>
    </w:tblStylePr>
    <w:tblStylePr w:type="lastRow">
      <w:rPr>
        <w:b/>
        <w:bCs/>
        <w:color w:val="0066FF" w:themeColor="text2"/>
      </w:rPr>
      <w:tblPr/>
      <w:tcPr>
        <w:tcBorders>
          <w:top w:val="single" w:sz="8" w:space="0" w:color="545861" w:themeColor="accent2"/>
          <w:bottom w:val="single" w:sz="8" w:space="0" w:color="545861" w:themeColor="accent2"/>
        </w:tcBorders>
      </w:tcPr>
    </w:tblStylePr>
    <w:tblStylePr w:type="firstCol">
      <w:rPr>
        <w:b/>
        <w:bCs/>
      </w:rPr>
    </w:tblStylePr>
    <w:tblStylePr w:type="lastCol">
      <w:rPr>
        <w:b/>
        <w:bCs/>
      </w:rPr>
      <w:tblPr/>
      <w:tcPr>
        <w:tcBorders>
          <w:top w:val="single" w:sz="8" w:space="0" w:color="545861" w:themeColor="accent2"/>
          <w:bottom w:val="single" w:sz="8" w:space="0" w:color="545861" w:themeColor="accent2"/>
        </w:tcBorders>
      </w:tcPr>
    </w:tblStylePr>
    <w:tblStylePr w:type="band1Vert">
      <w:tblPr/>
      <w:tcPr>
        <w:shd w:val="clear" w:color="auto" w:fill="D3D5D9" w:themeFill="accent2" w:themeFillTint="3F"/>
      </w:tcPr>
    </w:tblStylePr>
    <w:tblStylePr w:type="band1Horz">
      <w:tblPr/>
      <w:tcPr>
        <w:shd w:val="clear" w:color="auto" w:fill="D3D5D9" w:themeFill="accent2" w:themeFillTint="3F"/>
      </w:tcPr>
    </w:tblStylePr>
  </w:style>
  <w:style w:type="table" w:styleId="MediumList1-Accent3">
    <w:name w:val="Medium List 1 Accent 3"/>
    <w:basedOn w:val="TableNormal"/>
    <w:uiPriority w:val="65"/>
    <w:semiHidden/>
    <w:rsid w:val="003E273C"/>
    <w:pPr>
      <w:spacing w:after="0" w:line="240" w:lineRule="auto"/>
    </w:pPr>
    <w:rPr>
      <w:color w:val="000000" w:themeColor="text1"/>
    </w:rPr>
    <w:tblPr>
      <w:tblStyleRowBandSize w:val="1"/>
      <w:tblStyleColBandSize w:val="1"/>
      <w:tblBorders>
        <w:top w:val="single" w:sz="8" w:space="0" w:color="E9A913" w:themeColor="accent3"/>
        <w:bottom w:val="single" w:sz="8" w:space="0" w:color="E9A913" w:themeColor="accent3"/>
      </w:tblBorders>
    </w:tblPr>
    <w:tblStylePr w:type="firstRow">
      <w:rPr>
        <w:rFonts w:asciiTheme="majorHAnsi" w:eastAsiaTheme="majorEastAsia" w:hAnsiTheme="majorHAnsi" w:cstheme="majorBidi"/>
      </w:rPr>
      <w:tblPr/>
      <w:tcPr>
        <w:tcBorders>
          <w:top w:val="nil"/>
          <w:bottom w:val="single" w:sz="8" w:space="0" w:color="E9A913" w:themeColor="accent3"/>
        </w:tcBorders>
      </w:tcPr>
    </w:tblStylePr>
    <w:tblStylePr w:type="lastRow">
      <w:rPr>
        <w:b/>
        <w:bCs/>
        <w:color w:val="0066FF" w:themeColor="text2"/>
      </w:rPr>
      <w:tblPr/>
      <w:tcPr>
        <w:tcBorders>
          <w:top w:val="single" w:sz="8" w:space="0" w:color="E9A913" w:themeColor="accent3"/>
          <w:bottom w:val="single" w:sz="8" w:space="0" w:color="E9A913" w:themeColor="accent3"/>
        </w:tcBorders>
      </w:tcPr>
    </w:tblStylePr>
    <w:tblStylePr w:type="firstCol">
      <w:rPr>
        <w:b/>
        <w:bCs/>
      </w:rPr>
    </w:tblStylePr>
    <w:tblStylePr w:type="lastCol">
      <w:rPr>
        <w:b/>
        <w:bCs/>
      </w:rPr>
      <w:tblPr/>
      <w:tcPr>
        <w:tcBorders>
          <w:top w:val="single" w:sz="8" w:space="0" w:color="E9A913" w:themeColor="accent3"/>
          <w:bottom w:val="single" w:sz="8" w:space="0" w:color="E9A913" w:themeColor="accent3"/>
        </w:tcBorders>
      </w:tcPr>
    </w:tblStylePr>
    <w:tblStylePr w:type="band1Vert">
      <w:tblPr/>
      <w:tcPr>
        <w:shd w:val="clear" w:color="auto" w:fill="FAE9C3" w:themeFill="accent3" w:themeFillTint="3F"/>
      </w:tcPr>
    </w:tblStylePr>
    <w:tblStylePr w:type="band1Horz">
      <w:tblPr/>
      <w:tcPr>
        <w:shd w:val="clear" w:color="auto" w:fill="FAE9C3" w:themeFill="accent3" w:themeFillTint="3F"/>
      </w:tcPr>
    </w:tblStylePr>
  </w:style>
  <w:style w:type="table" w:styleId="MediumList1-Accent4">
    <w:name w:val="Medium List 1 Accent 4"/>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22761" w:themeColor="accent4"/>
        <w:bottom w:val="single" w:sz="8" w:space="0" w:color="522761" w:themeColor="accent4"/>
      </w:tblBorders>
    </w:tblPr>
    <w:tblStylePr w:type="firstRow">
      <w:rPr>
        <w:rFonts w:asciiTheme="majorHAnsi" w:eastAsiaTheme="majorEastAsia" w:hAnsiTheme="majorHAnsi" w:cstheme="majorBidi"/>
      </w:rPr>
      <w:tblPr/>
      <w:tcPr>
        <w:tcBorders>
          <w:top w:val="nil"/>
          <w:bottom w:val="single" w:sz="8" w:space="0" w:color="522761" w:themeColor="accent4"/>
        </w:tcBorders>
      </w:tcPr>
    </w:tblStylePr>
    <w:tblStylePr w:type="lastRow">
      <w:rPr>
        <w:b/>
        <w:bCs/>
        <w:color w:val="0066FF" w:themeColor="text2"/>
      </w:rPr>
      <w:tblPr/>
      <w:tcPr>
        <w:tcBorders>
          <w:top w:val="single" w:sz="8" w:space="0" w:color="522761" w:themeColor="accent4"/>
          <w:bottom w:val="single" w:sz="8" w:space="0" w:color="522761" w:themeColor="accent4"/>
        </w:tcBorders>
      </w:tcPr>
    </w:tblStylePr>
    <w:tblStylePr w:type="firstCol">
      <w:rPr>
        <w:b/>
        <w:bCs/>
      </w:rPr>
    </w:tblStylePr>
    <w:tblStylePr w:type="lastCol">
      <w:rPr>
        <w:b/>
        <w:bCs/>
      </w:rPr>
      <w:tblPr/>
      <w:tcPr>
        <w:tcBorders>
          <w:top w:val="single" w:sz="8" w:space="0" w:color="522761" w:themeColor="accent4"/>
          <w:bottom w:val="single" w:sz="8" w:space="0" w:color="522761" w:themeColor="accent4"/>
        </w:tcBorders>
      </w:tcPr>
    </w:tblStylePr>
    <w:tblStylePr w:type="band1Vert">
      <w:tblPr/>
      <w:tcPr>
        <w:shd w:val="clear" w:color="auto" w:fill="DABCE4" w:themeFill="accent4" w:themeFillTint="3F"/>
      </w:tcPr>
    </w:tblStylePr>
    <w:tblStylePr w:type="band1Horz">
      <w:tblPr/>
      <w:tcPr>
        <w:shd w:val="clear" w:color="auto" w:fill="DABCE4" w:themeFill="accent4" w:themeFillTint="3F"/>
      </w:tcPr>
    </w:tblStylePr>
  </w:style>
  <w:style w:type="table" w:styleId="MediumList1-Accent5">
    <w:name w:val="Medium List 1 Accent 5"/>
    <w:basedOn w:val="TableNormal"/>
    <w:uiPriority w:val="65"/>
    <w:semiHidden/>
    <w:rsid w:val="003E273C"/>
    <w:pPr>
      <w:spacing w:after="0" w:line="240" w:lineRule="auto"/>
    </w:pPr>
    <w:rPr>
      <w:color w:val="000000" w:themeColor="text1"/>
    </w:rPr>
    <w:tblPr>
      <w:tblStyleRowBandSize w:val="1"/>
      <w:tblStyleColBandSize w:val="1"/>
      <w:tblBorders>
        <w:top w:val="single" w:sz="8" w:space="0" w:color="3C54A5" w:themeColor="accent5"/>
        <w:bottom w:val="single" w:sz="8" w:space="0" w:color="3C54A5" w:themeColor="accent5"/>
      </w:tblBorders>
    </w:tblPr>
    <w:tblStylePr w:type="firstRow">
      <w:rPr>
        <w:rFonts w:asciiTheme="majorHAnsi" w:eastAsiaTheme="majorEastAsia" w:hAnsiTheme="majorHAnsi" w:cstheme="majorBidi"/>
      </w:rPr>
      <w:tblPr/>
      <w:tcPr>
        <w:tcBorders>
          <w:top w:val="nil"/>
          <w:bottom w:val="single" w:sz="8" w:space="0" w:color="3C54A5" w:themeColor="accent5"/>
        </w:tcBorders>
      </w:tcPr>
    </w:tblStylePr>
    <w:tblStylePr w:type="lastRow">
      <w:rPr>
        <w:b/>
        <w:bCs/>
        <w:color w:val="0066FF" w:themeColor="text2"/>
      </w:rPr>
      <w:tblPr/>
      <w:tcPr>
        <w:tcBorders>
          <w:top w:val="single" w:sz="8" w:space="0" w:color="3C54A5" w:themeColor="accent5"/>
          <w:bottom w:val="single" w:sz="8" w:space="0" w:color="3C54A5" w:themeColor="accent5"/>
        </w:tcBorders>
      </w:tcPr>
    </w:tblStylePr>
    <w:tblStylePr w:type="firstCol">
      <w:rPr>
        <w:b/>
        <w:bCs/>
      </w:rPr>
    </w:tblStylePr>
    <w:tblStylePr w:type="lastCol">
      <w:rPr>
        <w:b/>
        <w:bCs/>
      </w:rPr>
      <w:tblPr/>
      <w:tcPr>
        <w:tcBorders>
          <w:top w:val="single" w:sz="8" w:space="0" w:color="3C54A5" w:themeColor="accent5"/>
          <w:bottom w:val="single" w:sz="8" w:space="0" w:color="3C54A5" w:themeColor="accent5"/>
        </w:tcBorders>
      </w:tcPr>
    </w:tblStylePr>
    <w:tblStylePr w:type="band1Vert">
      <w:tblPr/>
      <w:tcPr>
        <w:shd w:val="clear" w:color="auto" w:fill="CBD2EC" w:themeFill="accent5" w:themeFillTint="3F"/>
      </w:tcPr>
    </w:tblStylePr>
    <w:tblStylePr w:type="band1Horz">
      <w:tblPr/>
      <w:tcPr>
        <w:shd w:val="clear" w:color="auto" w:fill="CBD2EC" w:themeFill="accent5" w:themeFillTint="3F"/>
      </w:tcPr>
    </w:tblStylePr>
  </w:style>
  <w:style w:type="table" w:styleId="MediumList1-Accent6">
    <w:name w:val="Medium List 1 Accent 6"/>
    <w:basedOn w:val="TableNormal"/>
    <w:uiPriority w:val="65"/>
    <w:semiHidden/>
    <w:rsid w:val="003E273C"/>
    <w:pPr>
      <w:spacing w:after="0" w:line="240" w:lineRule="auto"/>
    </w:pPr>
    <w:rPr>
      <w:color w:val="000000" w:themeColor="text1"/>
    </w:rPr>
    <w:tblPr>
      <w:tblStyleRowBandSize w:val="1"/>
      <w:tblStyleColBandSize w:val="1"/>
      <w:tblBorders>
        <w:top w:val="single" w:sz="8" w:space="0" w:color="545861" w:themeColor="accent6"/>
        <w:bottom w:val="single" w:sz="8" w:space="0" w:color="545861" w:themeColor="accent6"/>
      </w:tblBorders>
    </w:tblPr>
    <w:tblStylePr w:type="firstRow">
      <w:rPr>
        <w:rFonts w:asciiTheme="majorHAnsi" w:eastAsiaTheme="majorEastAsia" w:hAnsiTheme="majorHAnsi" w:cstheme="majorBidi"/>
      </w:rPr>
      <w:tblPr/>
      <w:tcPr>
        <w:tcBorders>
          <w:top w:val="nil"/>
          <w:bottom w:val="single" w:sz="8" w:space="0" w:color="545861" w:themeColor="accent6"/>
        </w:tcBorders>
      </w:tcPr>
    </w:tblStylePr>
    <w:tblStylePr w:type="lastRow">
      <w:rPr>
        <w:b/>
        <w:bCs/>
        <w:color w:val="0066FF" w:themeColor="text2"/>
      </w:rPr>
      <w:tblPr/>
      <w:tcPr>
        <w:tcBorders>
          <w:top w:val="single" w:sz="8" w:space="0" w:color="545861" w:themeColor="accent6"/>
          <w:bottom w:val="single" w:sz="8" w:space="0" w:color="545861" w:themeColor="accent6"/>
        </w:tcBorders>
      </w:tcPr>
    </w:tblStylePr>
    <w:tblStylePr w:type="firstCol">
      <w:rPr>
        <w:b/>
        <w:bCs/>
      </w:rPr>
    </w:tblStylePr>
    <w:tblStylePr w:type="lastCol">
      <w:rPr>
        <w:b/>
        <w:bCs/>
      </w:rPr>
      <w:tblPr/>
      <w:tcPr>
        <w:tcBorders>
          <w:top w:val="single" w:sz="8" w:space="0" w:color="545861" w:themeColor="accent6"/>
          <w:bottom w:val="single" w:sz="8" w:space="0" w:color="545861" w:themeColor="accent6"/>
        </w:tcBorders>
      </w:tcPr>
    </w:tblStylePr>
    <w:tblStylePr w:type="band1Vert">
      <w:tblPr/>
      <w:tcPr>
        <w:shd w:val="clear" w:color="auto" w:fill="D3D5D9" w:themeFill="accent6" w:themeFillTint="3F"/>
      </w:tcPr>
    </w:tblStylePr>
    <w:tblStylePr w:type="band1Horz">
      <w:tblPr/>
      <w:tcPr>
        <w:shd w:val="clear" w:color="auto" w:fill="D3D5D9" w:themeFill="accent6" w:themeFillTint="3F"/>
      </w:tcPr>
    </w:tblStylePr>
  </w:style>
  <w:style w:type="table" w:styleId="MediumList2">
    <w:name w:val="Medium Lis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1"/>
        <w:left w:val="single" w:sz="8" w:space="0" w:color="3C54A5" w:themeColor="accent1"/>
        <w:bottom w:val="single" w:sz="8" w:space="0" w:color="3C54A5" w:themeColor="accent1"/>
        <w:right w:val="single" w:sz="8" w:space="0" w:color="3C54A5" w:themeColor="accent1"/>
      </w:tblBorders>
    </w:tblPr>
    <w:tblStylePr w:type="firstRow">
      <w:rPr>
        <w:sz w:val="24"/>
        <w:szCs w:val="24"/>
      </w:rPr>
      <w:tblPr/>
      <w:tcPr>
        <w:tcBorders>
          <w:top w:val="nil"/>
          <w:left w:val="nil"/>
          <w:bottom w:val="single" w:sz="24" w:space="0" w:color="3C54A5" w:themeColor="accent1"/>
          <w:right w:val="nil"/>
          <w:insideH w:val="nil"/>
          <w:insideV w:val="nil"/>
        </w:tcBorders>
        <w:shd w:val="clear" w:color="auto" w:fill="FFFFFF" w:themeFill="background1"/>
      </w:tcPr>
    </w:tblStylePr>
    <w:tblStylePr w:type="lastRow">
      <w:tblPr/>
      <w:tcPr>
        <w:tcBorders>
          <w:top w:val="single" w:sz="8" w:space="0" w:color="3C54A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1"/>
          <w:insideH w:val="nil"/>
          <w:insideV w:val="nil"/>
        </w:tcBorders>
        <w:shd w:val="clear" w:color="auto" w:fill="FFFFFF" w:themeFill="background1"/>
      </w:tcPr>
    </w:tblStylePr>
    <w:tblStylePr w:type="lastCol">
      <w:tblPr/>
      <w:tcPr>
        <w:tcBorders>
          <w:top w:val="nil"/>
          <w:left w:val="single" w:sz="8" w:space="0" w:color="3C54A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1" w:themeFillTint="3F"/>
      </w:tcPr>
    </w:tblStylePr>
    <w:tblStylePr w:type="band1Horz">
      <w:tblPr/>
      <w:tcPr>
        <w:tcBorders>
          <w:top w:val="nil"/>
          <w:bottom w:val="nil"/>
          <w:insideH w:val="nil"/>
          <w:insideV w:val="nil"/>
        </w:tcBorders>
        <w:shd w:val="clear" w:color="auto" w:fill="CBD2EC"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2"/>
        <w:left w:val="single" w:sz="8" w:space="0" w:color="545861" w:themeColor="accent2"/>
        <w:bottom w:val="single" w:sz="8" w:space="0" w:color="545861" w:themeColor="accent2"/>
        <w:right w:val="single" w:sz="8" w:space="0" w:color="545861" w:themeColor="accent2"/>
      </w:tblBorders>
    </w:tblPr>
    <w:tblStylePr w:type="firstRow">
      <w:rPr>
        <w:sz w:val="24"/>
        <w:szCs w:val="24"/>
      </w:rPr>
      <w:tblPr/>
      <w:tcPr>
        <w:tcBorders>
          <w:top w:val="nil"/>
          <w:left w:val="nil"/>
          <w:bottom w:val="single" w:sz="24" w:space="0" w:color="545861" w:themeColor="accent2"/>
          <w:right w:val="nil"/>
          <w:insideH w:val="nil"/>
          <w:insideV w:val="nil"/>
        </w:tcBorders>
        <w:shd w:val="clear" w:color="auto" w:fill="FFFFFF" w:themeFill="background1"/>
      </w:tcPr>
    </w:tblStylePr>
    <w:tblStylePr w:type="lastRow">
      <w:tblPr/>
      <w:tcPr>
        <w:tcBorders>
          <w:top w:val="single" w:sz="8" w:space="0" w:color="54586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2"/>
          <w:insideH w:val="nil"/>
          <w:insideV w:val="nil"/>
        </w:tcBorders>
        <w:shd w:val="clear" w:color="auto" w:fill="FFFFFF" w:themeFill="background1"/>
      </w:tcPr>
    </w:tblStylePr>
    <w:tblStylePr w:type="lastCol">
      <w:tblPr/>
      <w:tcPr>
        <w:tcBorders>
          <w:top w:val="nil"/>
          <w:left w:val="single" w:sz="8" w:space="0" w:color="54586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2" w:themeFillTint="3F"/>
      </w:tcPr>
    </w:tblStylePr>
    <w:tblStylePr w:type="band1Horz">
      <w:tblPr/>
      <w:tcPr>
        <w:tcBorders>
          <w:top w:val="nil"/>
          <w:bottom w:val="nil"/>
          <w:insideH w:val="nil"/>
          <w:insideV w:val="nil"/>
        </w:tcBorders>
        <w:shd w:val="clear" w:color="auto" w:fill="D3D5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A913" w:themeColor="accent3"/>
        <w:left w:val="single" w:sz="8" w:space="0" w:color="E9A913" w:themeColor="accent3"/>
        <w:bottom w:val="single" w:sz="8" w:space="0" w:color="E9A913" w:themeColor="accent3"/>
        <w:right w:val="single" w:sz="8" w:space="0" w:color="E9A913" w:themeColor="accent3"/>
      </w:tblBorders>
    </w:tblPr>
    <w:tblStylePr w:type="firstRow">
      <w:rPr>
        <w:sz w:val="24"/>
        <w:szCs w:val="24"/>
      </w:rPr>
      <w:tblPr/>
      <w:tcPr>
        <w:tcBorders>
          <w:top w:val="nil"/>
          <w:left w:val="nil"/>
          <w:bottom w:val="single" w:sz="24" w:space="0" w:color="E9A913" w:themeColor="accent3"/>
          <w:right w:val="nil"/>
          <w:insideH w:val="nil"/>
          <w:insideV w:val="nil"/>
        </w:tcBorders>
        <w:shd w:val="clear" w:color="auto" w:fill="FFFFFF" w:themeFill="background1"/>
      </w:tcPr>
    </w:tblStylePr>
    <w:tblStylePr w:type="lastRow">
      <w:tblPr/>
      <w:tcPr>
        <w:tcBorders>
          <w:top w:val="single" w:sz="8" w:space="0" w:color="E9A913"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A913" w:themeColor="accent3"/>
          <w:insideH w:val="nil"/>
          <w:insideV w:val="nil"/>
        </w:tcBorders>
        <w:shd w:val="clear" w:color="auto" w:fill="FFFFFF" w:themeFill="background1"/>
      </w:tcPr>
    </w:tblStylePr>
    <w:tblStylePr w:type="lastCol">
      <w:tblPr/>
      <w:tcPr>
        <w:tcBorders>
          <w:top w:val="nil"/>
          <w:left w:val="single" w:sz="8" w:space="0" w:color="E9A913"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9C3" w:themeFill="accent3" w:themeFillTint="3F"/>
      </w:tcPr>
    </w:tblStylePr>
    <w:tblStylePr w:type="band1Horz">
      <w:tblPr/>
      <w:tcPr>
        <w:tcBorders>
          <w:top w:val="nil"/>
          <w:bottom w:val="nil"/>
          <w:insideH w:val="nil"/>
          <w:insideV w:val="nil"/>
        </w:tcBorders>
        <w:shd w:val="clear" w:color="auto" w:fill="FAE9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22761" w:themeColor="accent4"/>
        <w:left w:val="single" w:sz="8" w:space="0" w:color="522761" w:themeColor="accent4"/>
        <w:bottom w:val="single" w:sz="8" w:space="0" w:color="522761" w:themeColor="accent4"/>
        <w:right w:val="single" w:sz="8" w:space="0" w:color="522761" w:themeColor="accent4"/>
      </w:tblBorders>
    </w:tblPr>
    <w:tblStylePr w:type="firstRow">
      <w:rPr>
        <w:sz w:val="24"/>
        <w:szCs w:val="24"/>
      </w:rPr>
      <w:tblPr/>
      <w:tcPr>
        <w:tcBorders>
          <w:top w:val="nil"/>
          <w:left w:val="nil"/>
          <w:bottom w:val="single" w:sz="24" w:space="0" w:color="522761" w:themeColor="accent4"/>
          <w:right w:val="nil"/>
          <w:insideH w:val="nil"/>
          <w:insideV w:val="nil"/>
        </w:tcBorders>
        <w:shd w:val="clear" w:color="auto" w:fill="FFFFFF" w:themeFill="background1"/>
      </w:tcPr>
    </w:tblStylePr>
    <w:tblStylePr w:type="lastRow">
      <w:tblPr/>
      <w:tcPr>
        <w:tcBorders>
          <w:top w:val="single" w:sz="8" w:space="0" w:color="52276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22761" w:themeColor="accent4"/>
          <w:insideH w:val="nil"/>
          <w:insideV w:val="nil"/>
        </w:tcBorders>
        <w:shd w:val="clear" w:color="auto" w:fill="FFFFFF" w:themeFill="background1"/>
      </w:tcPr>
    </w:tblStylePr>
    <w:tblStylePr w:type="lastCol">
      <w:tblPr/>
      <w:tcPr>
        <w:tcBorders>
          <w:top w:val="nil"/>
          <w:left w:val="single" w:sz="8" w:space="0" w:color="52276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ABCE4" w:themeFill="accent4" w:themeFillTint="3F"/>
      </w:tcPr>
    </w:tblStylePr>
    <w:tblStylePr w:type="band1Horz">
      <w:tblPr/>
      <w:tcPr>
        <w:tcBorders>
          <w:top w:val="nil"/>
          <w:bottom w:val="nil"/>
          <w:insideH w:val="nil"/>
          <w:insideV w:val="nil"/>
        </w:tcBorders>
        <w:shd w:val="clear" w:color="auto" w:fill="DABC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C54A5" w:themeColor="accent5"/>
        <w:left w:val="single" w:sz="8" w:space="0" w:color="3C54A5" w:themeColor="accent5"/>
        <w:bottom w:val="single" w:sz="8" w:space="0" w:color="3C54A5" w:themeColor="accent5"/>
        <w:right w:val="single" w:sz="8" w:space="0" w:color="3C54A5" w:themeColor="accent5"/>
      </w:tblBorders>
    </w:tblPr>
    <w:tblStylePr w:type="firstRow">
      <w:rPr>
        <w:sz w:val="24"/>
        <w:szCs w:val="24"/>
      </w:rPr>
      <w:tblPr/>
      <w:tcPr>
        <w:tcBorders>
          <w:top w:val="nil"/>
          <w:left w:val="nil"/>
          <w:bottom w:val="single" w:sz="24" w:space="0" w:color="3C54A5" w:themeColor="accent5"/>
          <w:right w:val="nil"/>
          <w:insideH w:val="nil"/>
          <w:insideV w:val="nil"/>
        </w:tcBorders>
        <w:shd w:val="clear" w:color="auto" w:fill="FFFFFF" w:themeFill="background1"/>
      </w:tcPr>
    </w:tblStylePr>
    <w:tblStylePr w:type="lastRow">
      <w:tblPr/>
      <w:tcPr>
        <w:tcBorders>
          <w:top w:val="single" w:sz="8" w:space="0" w:color="3C54A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54A5" w:themeColor="accent5"/>
          <w:insideH w:val="nil"/>
          <w:insideV w:val="nil"/>
        </w:tcBorders>
        <w:shd w:val="clear" w:color="auto" w:fill="FFFFFF" w:themeFill="background1"/>
      </w:tcPr>
    </w:tblStylePr>
    <w:tblStylePr w:type="lastCol">
      <w:tblPr/>
      <w:tcPr>
        <w:tcBorders>
          <w:top w:val="nil"/>
          <w:left w:val="single" w:sz="8" w:space="0" w:color="3C54A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top w:val="nil"/>
          <w:bottom w:val="nil"/>
          <w:insideH w:val="nil"/>
          <w:insideV w:val="nil"/>
        </w:tcBorders>
        <w:shd w:val="clear" w:color="auto" w:fill="CBD2EC"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3E273C"/>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45861" w:themeColor="accent6"/>
        <w:left w:val="single" w:sz="8" w:space="0" w:color="545861" w:themeColor="accent6"/>
        <w:bottom w:val="single" w:sz="8" w:space="0" w:color="545861" w:themeColor="accent6"/>
        <w:right w:val="single" w:sz="8" w:space="0" w:color="545861" w:themeColor="accent6"/>
      </w:tblBorders>
    </w:tblPr>
    <w:tblStylePr w:type="firstRow">
      <w:rPr>
        <w:sz w:val="24"/>
        <w:szCs w:val="24"/>
      </w:rPr>
      <w:tblPr/>
      <w:tcPr>
        <w:tcBorders>
          <w:top w:val="nil"/>
          <w:left w:val="nil"/>
          <w:bottom w:val="single" w:sz="24" w:space="0" w:color="545861" w:themeColor="accent6"/>
          <w:right w:val="nil"/>
          <w:insideH w:val="nil"/>
          <w:insideV w:val="nil"/>
        </w:tcBorders>
        <w:shd w:val="clear" w:color="auto" w:fill="FFFFFF" w:themeFill="background1"/>
      </w:tcPr>
    </w:tblStylePr>
    <w:tblStylePr w:type="lastRow">
      <w:tblPr/>
      <w:tcPr>
        <w:tcBorders>
          <w:top w:val="single" w:sz="8" w:space="0" w:color="54586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861" w:themeColor="accent6"/>
          <w:insideH w:val="nil"/>
          <w:insideV w:val="nil"/>
        </w:tcBorders>
        <w:shd w:val="clear" w:color="auto" w:fill="FFFFFF" w:themeFill="background1"/>
      </w:tcPr>
    </w:tblStylePr>
    <w:tblStylePr w:type="lastCol">
      <w:tblPr/>
      <w:tcPr>
        <w:tcBorders>
          <w:top w:val="nil"/>
          <w:left w:val="single" w:sz="8" w:space="0" w:color="54586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5D9" w:themeFill="accent6" w:themeFillTint="3F"/>
      </w:tcPr>
    </w:tblStylePr>
    <w:tblStylePr w:type="band1Horz">
      <w:tblPr/>
      <w:tcPr>
        <w:tcBorders>
          <w:top w:val="nil"/>
          <w:bottom w:val="nil"/>
          <w:insideH w:val="nil"/>
          <w:insideV w:val="nil"/>
        </w:tcBorders>
        <w:shd w:val="clear" w:color="auto" w:fill="D3D5D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3E273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3E273C"/>
    <w:pPr>
      <w:spacing w:after="0" w:line="240" w:lineRule="auto"/>
    </w:pPr>
    <w:tblPr>
      <w:tblStyleRowBandSize w:val="1"/>
      <w:tblStyleColBandSize w:val="1"/>
      <w:tbl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single" w:sz="8" w:space="0" w:color="6278C6" w:themeColor="accent1" w:themeTint="BF"/>
      </w:tblBorders>
    </w:tblPr>
    <w:tblStylePr w:type="firstRow">
      <w:pPr>
        <w:spacing w:before="0" w:after="0" w:line="240" w:lineRule="auto"/>
      </w:pPr>
      <w:rPr>
        <w:b/>
        <w:bCs/>
        <w:color w:val="FFFFFF" w:themeColor="background1"/>
      </w:rPr>
      <w:tblPr/>
      <w:tcPr>
        <w:tcBorders>
          <w:top w:val="single" w:sz="8"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shd w:val="clear" w:color="auto" w:fill="3C54A5" w:themeFill="accent1"/>
      </w:tcPr>
    </w:tblStylePr>
    <w:tblStylePr w:type="lastRow">
      <w:pPr>
        <w:spacing w:before="0" w:after="0" w:line="240" w:lineRule="auto"/>
      </w:pPr>
      <w:rPr>
        <w:b/>
        <w:bCs/>
      </w:rPr>
      <w:tblPr/>
      <w:tcPr>
        <w:tcBorders>
          <w:top w:val="double" w:sz="6" w:space="0" w:color="6278C6" w:themeColor="accent1" w:themeTint="BF"/>
          <w:left w:val="single" w:sz="8" w:space="0" w:color="6278C6" w:themeColor="accent1" w:themeTint="BF"/>
          <w:bottom w:val="single" w:sz="8" w:space="0" w:color="6278C6" w:themeColor="accent1" w:themeTint="BF"/>
          <w:right w:val="single" w:sz="8" w:space="0" w:color="6278C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1" w:themeFillTint="3F"/>
      </w:tcPr>
    </w:tblStylePr>
    <w:tblStylePr w:type="band1Horz">
      <w:tblPr/>
      <w:tcPr>
        <w:tcBorders>
          <w:insideH w:val="nil"/>
          <w:insideV w:val="nil"/>
        </w:tcBorders>
        <w:shd w:val="clear" w:color="auto" w:fill="CBD2EC"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3E273C"/>
    <w:pPr>
      <w:spacing w:after="0" w:line="240" w:lineRule="auto"/>
    </w:pPr>
    <w:tblPr>
      <w:tblStyleRowBandSize w:val="1"/>
      <w:tblStyleColBandSize w:val="1"/>
      <w:tbl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single" w:sz="8" w:space="0" w:color="7A808C" w:themeColor="accent2" w:themeTint="BF"/>
      </w:tblBorders>
    </w:tblPr>
    <w:tblStylePr w:type="firstRow">
      <w:pPr>
        <w:spacing w:before="0" w:after="0" w:line="240" w:lineRule="auto"/>
      </w:pPr>
      <w:rPr>
        <w:b/>
        <w:bCs/>
        <w:color w:val="FFFFFF" w:themeColor="background1"/>
      </w:rPr>
      <w:tblPr/>
      <w:tcPr>
        <w:tcBorders>
          <w:top w:val="single" w:sz="8"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shd w:val="clear" w:color="auto" w:fill="545861" w:themeFill="accent2"/>
      </w:tcPr>
    </w:tblStylePr>
    <w:tblStylePr w:type="lastRow">
      <w:pPr>
        <w:spacing w:before="0" w:after="0" w:line="240" w:lineRule="auto"/>
      </w:pPr>
      <w:rPr>
        <w:b/>
        <w:bCs/>
      </w:rPr>
      <w:tblPr/>
      <w:tcPr>
        <w:tcBorders>
          <w:top w:val="double" w:sz="6" w:space="0" w:color="7A808C" w:themeColor="accent2" w:themeTint="BF"/>
          <w:left w:val="single" w:sz="8" w:space="0" w:color="7A808C" w:themeColor="accent2" w:themeTint="BF"/>
          <w:bottom w:val="single" w:sz="8" w:space="0" w:color="7A808C" w:themeColor="accent2" w:themeTint="BF"/>
          <w:right w:val="single" w:sz="8" w:space="0" w:color="7A808C" w:themeColor="accent2"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2" w:themeFillTint="3F"/>
      </w:tcPr>
    </w:tblStylePr>
    <w:tblStylePr w:type="band1Horz">
      <w:tblPr/>
      <w:tcPr>
        <w:tcBorders>
          <w:insideH w:val="nil"/>
          <w:insideV w:val="nil"/>
        </w:tcBorders>
        <w:shd w:val="clear" w:color="auto" w:fill="D3D5D9"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3E273C"/>
    <w:pPr>
      <w:spacing w:after="0" w:line="240" w:lineRule="auto"/>
    </w:pPr>
    <w:tblPr>
      <w:tblStyleRowBandSize w:val="1"/>
      <w:tblStyleColBandSize w:val="1"/>
      <w:tbl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single" w:sz="8" w:space="0" w:color="F0BE4C" w:themeColor="accent3" w:themeTint="BF"/>
      </w:tblBorders>
    </w:tblPr>
    <w:tblStylePr w:type="firstRow">
      <w:pPr>
        <w:spacing w:before="0" w:after="0" w:line="240" w:lineRule="auto"/>
      </w:pPr>
      <w:rPr>
        <w:b/>
        <w:bCs/>
        <w:color w:val="FFFFFF" w:themeColor="background1"/>
      </w:rPr>
      <w:tblPr/>
      <w:tcPr>
        <w:tcBorders>
          <w:top w:val="single" w:sz="8"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shd w:val="clear" w:color="auto" w:fill="E9A913" w:themeFill="accent3"/>
      </w:tcPr>
    </w:tblStylePr>
    <w:tblStylePr w:type="lastRow">
      <w:pPr>
        <w:spacing w:before="0" w:after="0" w:line="240" w:lineRule="auto"/>
      </w:pPr>
      <w:rPr>
        <w:b/>
        <w:bCs/>
      </w:rPr>
      <w:tblPr/>
      <w:tcPr>
        <w:tcBorders>
          <w:top w:val="double" w:sz="6" w:space="0" w:color="F0BE4C" w:themeColor="accent3" w:themeTint="BF"/>
          <w:left w:val="single" w:sz="8" w:space="0" w:color="F0BE4C" w:themeColor="accent3" w:themeTint="BF"/>
          <w:bottom w:val="single" w:sz="8" w:space="0" w:color="F0BE4C" w:themeColor="accent3" w:themeTint="BF"/>
          <w:right w:val="single" w:sz="8" w:space="0" w:color="F0BE4C" w:themeColor="accent3" w:themeTint="BF"/>
          <w:insideH w:val="nil"/>
          <w:insideV w:val="nil"/>
        </w:tcBorders>
      </w:tcPr>
    </w:tblStylePr>
    <w:tblStylePr w:type="firstCol">
      <w:rPr>
        <w:b/>
        <w:bCs/>
      </w:rPr>
    </w:tblStylePr>
    <w:tblStylePr w:type="lastCol">
      <w:rPr>
        <w:b/>
        <w:bCs/>
      </w:rPr>
    </w:tblStylePr>
    <w:tblStylePr w:type="band1Vert">
      <w:tblPr/>
      <w:tcPr>
        <w:shd w:val="clear" w:color="auto" w:fill="FAE9C3" w:themeFill="accent3" w:themeFillTint="3F"/>
      </w:tcPr>
    </w:tblStylePr>
    <w:tblStylePr w:type="band1Horz">
      <w:tblPr/>
      <w:tcPr>
        <w:tcBorders>
          <w:insideH w:val="nil"/>
          <w:insideV w:val="nil"/>
        </w:tcBorders>
        <w:shd w:val="clear" w:color="auto" w:fill="FAE9C3"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3E273C"/>
    <w:pPr>
      <w:spacing w:after="0" w:line="240" w:lineRule="auto"/>
    </w:pPr>
    <w:tblPr>
      <w:tblStyleRowBandSize w:val="1"/>
      <w:tblStyleColBandSize w:val="1"/>
      <w:tbl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single" w:sz="8" w:space="0" w:color="8A42A3" w:themeColor="accent4" w:themeTint="BF"/>
      </w:tblBorders>
    </w:tblPr>
    <w:tblStylePr w:type="firstRow">
      <w:pPr>
        <w:spacing w:before="0" w:after="0" w:line="240" w:lineRule="auto"/>
      </w:pPr>
      <w:rPr>
        <w:b/>
        <w:bCs/>
        <w:color w:val="FFFFFF" w:themeColor="background1"/>
      </w:rPr>
      <w:tblPr/>
      <w:tcPr>
        <w:tcBorders>
          <w:top w:val="single" w:sz="8"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shd w:val="clear" w:color="auto" w:fill="522761" w:themeFill="accent4"/>
      </w:tcPr>
    </w:tblStylePr>
    <w:tblStylePr w:type="lastRow">
      <w:pPr>
        <w:spacing w:before="0" w:after="0" w:line="240" w:lineRule="auto"/>
      </w:pPr>
      <w:rPr>
        <w:b/>
        <w:bCs/>
      </w:rPr>
      <w:tblPr/>
      <w:tcPr>
        <w:tcBorders>
          <w:top w:val="double" w:sz="6" w:space="0" w:color="8A42A3" w:themeColor="accent4" w:themeTint="BF"/>
          <w:left w:val="single" w:sz="8" w:space="0" w:color="8A42A3" w:themeColor="accent4" w:themeTint="BF"/>
          <w:bottom w:val="single" w:sz="8" w:space="0" w:color="8A42A3" w:themeColor="accent4" w:themeTint="BF"/>
          <w:right w:val="single" w:sz="8" w:space="0" w:color="8A42A3" w:themeColor="accent4" w:themeTint="BF"/>
          <w:insideH w:val="nil"/>
          <w:insideV w:val="nil"/>
        </w:tcBorders>
      </w:tcPr>
    </w:tblStylePr>
    <w:tblStylePr w:type="firstCol">
      <w:rPr>
        <w:b/>
        <w:bCs/>
      </w:rPr>
    </w:tblStylePr>
    <w:tblStylePr w:type="lastCol">
      <w:rPr>
        <w:b/>
        <w:bCs/>
      </w:rPr>
    </w:tblStylePr>
    <w:tblStylePr w:type="band1Vert">
      <w:tblPr/>
      <w:tcPr>
        <w:shd w:val="clear" w:color="auto" w:fill="DABCE4" w:themeFill="accent4" w:themeFillTint="3F"/>
      </w:tcPr>
    </w:tblStylePr>
    <w:tblStylePr w:type="band1Horz">
      <w:tblPr/>
      <w:tcPr>
        <w:tcBorders>
          <w:insideH w:val="nil"/>
          <w:insideV w:val="nil"/>
        </w:tcBorders>
        <w:shd w:val="clear" w:color="auto" w:fill="DABC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3E273C"/>
    <w:pPr>
      <w:spacing w:after="0" w:line="240" w:lineRule="auto"/>
    </w:pPr>
    <w:tblPr>
      <w:tblStyleRowBandSize w:val="1"/>
      <w:tblStyleColBandSize w:val="1"/>
      <w:tbl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single" w:sz="8" w:space="0" w:color="6278C6" w:themeColor="accent5" w:themeTint="BF"/>
      </w:tblBorders>
    </w:tblPr>
    <w:tblStylePr w:type="firstRow">
      <w:pPr>
        <w:spacing w:before="0" w:after="0" w:line="240" w:lineRule="auto"/>
      </w:pPr>
      <w:rPr>
        <w:b/>
        <w:bCs/>
        <w:color w:val="FFFFFF" w:themeColor="background1"/>
      </w:rPr>
      <w:tblPr/>
      <w:tcPr>
        <w:tcBorders>
          <w:top w:val="single" w:sz="8"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shd w:val="clear" w:color="auto" w:fill="3C54A5" w:themeFill="accent5"/>
      </w:tcPr>
    </w:tblStylePr>
    <w:tblStylePr w:type="lastRow">
      <w:pPr>
        <w:spacing w:before="0" w:after="0" w:line="240" w:lineRule="auto"/>
      </w:pPr>
      <w:rPr>
        <w:b/>
        <w:bCs/>
      </w:rPr>
      <w:tblPr/>
      <w:tcPr>
        <w:tcBorders>
          <w:top w:val="double" w:sz="6" w:space="0" w:color="6278C6" w:themeColor="accent5" w:themeTint="BF"/>
          <w:left w:val="single" w:sz="8" w:space="0" w:color="6278C6" w:themeColor="accent5" w:themeTint="BF"/>
          <w:bottom w:val="single" w:sz="8" w:space="0" w:color="6278C6" w:themeColor="accent5" w:themeTint="BF"/>
          <w:right w:val="single" w:sz="8" w:space="0" w:color="6278C6" w:themeColor="accent5" w:themeTint="BF"/>
          <w:insideH w:val="nil"/>
          <w:insideV w:val="nil"/>
        </w:tcBorders>
      </w:tcPr>
    </w:tblStylePr>
    <w:tblStylePr w:type="firstCol">
      <w:rPr>
        <w:b/>
        <w:bCs/>
      </w:rPr>
    </w:tblStylePr>
    <w:tblStylePr w:type="lastCol">
      <w:rPr>
        <w:b/>
        <w:bCs/>
      </w:rPr>
    </w:tblStylePr>
    <w:tblStylePr w:type="band1Vert">
      <w:tblPr/>
      <w:tcPr>
        <w:shd w:val="clear" w:color="auto" w:fill="CBD2EC" w:themeFill="accent5" w:themeFillTint="3F"/>
      </w:tcPr>
    </w:tblStylePr>
    <w:tblStylePr w:type="band1Horz">
      <w:tblPr/>
      <w:tcPr>
        <w:tcBorders>
          <w:insideH w:val="nil"/>
          <w:insideV w:val="nil"/>
        </w:tcBorders>
        <w:shd w:val="clear" w:color="auto" w:fill="CBD2EC"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3E273C"/>
    <w:pPr>
      <w:spacing w:after="0" w:line="240" w:lineRule="auto"/>
    </w:pPr>
    <w:tblPr>
      <w:tblStyleRowBandSize w:val="1"/>
      <w:tblStyleColBandSize w:val="1"/>
      <w:tbl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single" w:sz="8" w:space="0" w:color="7A808C" w:themeColor="accent6" w:themeTint="BF"/>
      </w:tblBorders>
    </w:tblPr>
    <w:tblStylePr w:type="firstRow">
      <w:pPr>
        <w:spacing w:before="0" w:after="0" w:line="240" w:lineRule="auto"/>
      </w:pPr>
      <w:rPr>
        <w:b/>
        <w:bCs/>
        <w:color w:val="FFFFFF" w:themeColor="background1"/>
      </w:rPr>
      <w:tblPr/>
      <w:tcPr>
        <w:tcBorders>
          <w:top w:val="single" w:sz="8"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shd w:val="clear" w:color="auto" w:fill="545861" w:themeFill="accent6"/>
      </w:tcPr>
    </w:tblStylePr>
    <w:tblStylePr w:type="lastRow">
      <w:pPr>
        <w:spacing w:before="0" w:after="0" w:line="240" w:lineRule="auto"/>
      </w:pPr>
      <w:rPr>
        <w:b/>
        <w:bCs/>
      </w:rPr>
      <w:tblPr/>
      <w:tcPr>
        <w:tcBorders>
          <w:top w:val="double" w:sz="6" w:space="0" w:color="7A808C" w:themeColor="accent6" w:themeTint="BF"/>
          <w:left w:val="single" w:sz="8" w:space="0" w:color="7A808C" w:themeColor="accent6" w:themeTint="BF"/>
          <w:bottom w:val="single" w:sz="8" w:space="0" w:color="7A808C" w:themeColor="accent6" w:themeTint="BF"/>
          <w:right w:val="single" w:sz="8" w:space="0" w:color="7A808C"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9" w:themeFill="accent6" w:themeFillTint="3F"/>
      </w:tcPr>
    </w:tblStylePr>
    <w:tblStylePr w:type="band1Horz">
      <w:tblPr/>
      <w:tcPr>
        <w:tcBorders>
          <w:insideH w:val="nil"/>
          <w:insideV w:val="nil"/>
        </w:tcBorders>
        <w:shd w:val="clear" w:color="auto" w:fill="D3D5D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1"/>
      </w:tcPr>
    </w:tblStylePr>
    <w:tblStylePr w:type="lastCol">
      <w:rPr>
        <w:b/>
        <w:bCs/>
        <w:color w:val="FFFFFF" w:themeColor="background1"/>
      </w:rPr>
      <w:tblPr/>
      <w:tcPr>
        <w:tcBorders>
          <w:left w:val="nil"/>
          <w:right w:val="nil"/>
          <w:insideH w:val="nil"/>
          <w:insideV w:val="nil"/>
        </w:tcBorders>
        <w:shd w:val="clear" w:color="auto" w:fill="3C54A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2"/>
      </w:tcPr>
    </w:tblStylePr>
    <w:tblStylePr w:type="lastCol">
      <w:rPr>
        <w:b/>
        <w:bCs/>
        <w:color w:val="FFFFFF" w:themeColor="background1"/>
      </w:rPr>
      <w:tblPr/>
      <w:tcPr>
        <w:tcBorders>
          <w:left w:val="nil"/>
          <w:right w:val="nil"/>
          <w:insideH w:val="nil"/>
          <w:insideV w:val="nil"/>
        </w:tcBorders>
        <w:shd w:val="clear" w:color="auto" w:fill="54586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A913"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A913" w:themeFill="accent3"/>
      </w:tcPr>
    </w:tblStylePr>
    <w:tblStylePr w:type="lastCol">
      <w:rPr>
        <w:b/>
        <w:bCs/>
        <w:color w:val="FFFFFF" w:themeColor="background1"/>
      </w:rPr>
      <w:tblPr/>
      <w:tcPr>
        <w:tcBorders>
          <w:left w:val="nil"/>
          <w:right w:val="nil"/>
          <w:insideH w:val="nil"/>
          <w:insideV w:val="nil"/>
        </w:tcBorders>
        <w:shd w:val="clear" w:color="auto" w:fill="E9A913"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2276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22761" w:themeFill="accent4"/>
      </w:tcPr>
    </w:tblStylePr>
    <w:tblStylePr w:type="lastCol">
      <w:rPr>
        <w:b/>
        <w:bCs/>
        <w:color w:val="FFFFFF" w:themeColor="background1"/>
      </w:rPr>
      <w:tblPr/>
      <w:tcPr>
        <w:tcBorders>
          <w:left w:val="nil"/>
          <w:right w:val="nil"/>
          <w:insideH w:val="nil"/>
          <w:insideV w:val="nil"/>
        </w:tcBorders>
        <w:shd w:val="clear" w:color="auto" w:fill="52276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54A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54A5" w:themeFill="accent5"/>
      </w:tcPr>
    </w:tblStylePr>
    <w:tblStylePr w:type="lastCol">
      <w:rPr>
        <w:b/>
        <w:bCs/>
        <w:color w:val="FFFFFF" w:themeColor="background1"/>
      </w:rPr>
      <w:tblPr/>
      <w:tcPr>
        <w:tcBorders>
          <w:left w:val="nil"/>
          <w:right w:val="nil"/>
          <w:insideH w:val="nil"/>
          <w:insideV w:val="nil"/>
        </w:tcBorders>
        <w:shd w:val="clear" w:color="auto" w:fill="3C54A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3E273C"/>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86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45861" w:themeFill="accent6"/>
      </w:tcPr>
    </w:tblStylePr>
    <w:tblStylePr w:type="lastCol">
      <w:rPr>
        <w:b/>
        <w:bCs/>
        <w:color w:val="FFFFFF" w:themeColor="background1"/>
      </w:rPr>
      <w:tblPr/>
      <w:tcPr>
        <w:tcBorders>
          <w:left w:val="nil"/>
          <w:right w:val="nil"/>
          <w:insideH w:val="nil"/>
          <w:insideV w:val="nil"/>
        </w:tcBorders>
        <w:shd w:val="clear" w:color="auto" w:fill="54586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rsid w:val="003E273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3E273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3E273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3E273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3E273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3E273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3E273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3E273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3E273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3E273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3E273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3E273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3E273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rsid w:val="003E273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rsid w:val="003E273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3E273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3E273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3E273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3E273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rsid w:val="003E273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rsid w:val="003E273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3E273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3E273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3E273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3E273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3E273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paragraph" w:styleId="TableofAuthorities">
    <w:name w:val="table of authorities"/>
    <w:basedOn w:val="Normal"/>
    <w:next w:val="Normal"/>
    <w:uiPriority w:val="99"/>
    <w:semiHidden/>
    <w:rsid w:val="003E273C"/>
    <w:pPr>
      <w:ind w:left="220" w:hanging="220"/>
    </w:pPr>
  </w:style>
  <w:style w:type="paragraph" w:styleId="TableofFigures">
    <w:name w:val="table of figures"/>
    <w:basedOn w:val="Normal"/>
    <w:next w:val="Normal"/>
    <w:uiPriority w:val="99"/>
    <w:semiHidden/>
    <w:rsid w:val="003E273C"/>
  </w:style>
  <w:style w:type="table" w:styleId="TableProfessional">
    <w:name w:val="Table Professional"/>
    <w:basedOn w:val="TableNormal"/>
    <w:uiPriority w:val="99"/>
    <w:semiHidden/>
    <w:rsid w:val="003E273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3E273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3E273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3E27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3E273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3E273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3E27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3E273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FollowedHyperlink">
    <w:name w:val="FollowedHyperlink"/>
    <w:basedOn w:val="DefaultParagraphFont"/>
    <w:uiPriority w:val="99"/>
    <w:semiHidden/>
    <w:unhideWhenUsed/>
    <w:rsid w:val="00E376D2"/>
    <w:rPr>
      <w:color w:val="522761" w:themeColor="accent4"/>
      <w:u w:val="single"/>
    </w:rPr>
  </w:style>
  <w:style w:type="table" w:styleId="LightShading-Accent5">
    <w:name w:val="Light Shading Accent 5"/>
    <w:basedOn w:val="TableNormal"/>
    <w:uiPriority w:val="60"/>
    <w:rsid w:val="001E4B19"/>
    <w:pPr>
      <w:spacing w:after="0" w:line="240" w:lineRule="auto"/>
    </w:pPr>
    <w:rPr>
      <w:color w:val="2D3E7B" w:themeColor="accent5" w:themeShade="BF"/>
    </w:rPr>
    <w:tblPr>
      <w:tblStyleRowBandSize w:val="1"/>
      <w:tblStyleColBandSize w:val="1"/>
      <w:tblBorders>
        <w:top w:val="single" w:sz="8" w:space="0" w:color="3C54A5" w:themeColor="accent5"/>
        <w:bottom w:val="single" w:sz="8" w:space="0" w:color="3C54A5" w:themeColor="accent5"/>
      </w:tblBorders>
    </w:tblPr>
    <w:tblStylePr w:type="fir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lastRow">
      <w:pPr>
        <w:spacing w:before="0" w:after="0" w:line="240" w:lineRule="auto"/>
      </w:pPr>
      <w:rPr>
        <w:b/>
        <w:bCs/>
      </w:rPr>
      <w:tblPr/>
      <w:tcPr>
        <w:tcBorders>
          <w:top w:val="single" w:sz="8" w:space="0" w:color="3C54A5" w:themeColor="accent5"/>
          <w:left w:val="nil"/>
          <w:bottom w:val="single" w:sz="8" w:space="0" w:color="3C54A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EC" w:themeFill="accent5" w:themeFillTint="3F"/>
      </w:tcPr>
    </w:tblStylePr>
    <w:tblStylePr w:type="band1Horz">
      <w:tblPr/>
      <w:tcPr>
        <w:tcBorders>
          <w:left w:val="nil"/>
          <w:right w:val="nil"/>
          <w:insideH w:val="nil"/>
          <w:insideV w:val="nil"/>
        </w:tcBorders>
        <w:shd w:val="clear" w:color="auto" w:fill="CBD2EC" w:themeFill="accent5" w:themeFillTint="3F"/>
      </w:tcPr>
    </w:tblStylePr>
  </w:style>
  <w:style w:type="character" w:customStyle="1" w:styleId="ListParagraphChar">
    <w:name w:val="List Paragraph Char"/>
    <w:aliases w:val="Bullet point Char,List Paragraph1 Char,List Paragraph11 Char,Recommendation Char,List Paragraph Number Char,L Char,Bullet Point Char,List Bullet 1 Char,Body Bullets 1 Char,Bulleted Para Char,NFP GP Bulleted List Char,Number Char"/>
    <w:basedOn w:val="DefaultParagraphFont"/>
    <w:link w:val="ListParagraph"/>
    <w:uiPriority w:val="34"/>
    <w:qFormat/>
    <w:rsid w:val="005B7D44"/>
  </w:style>
  <w:style w:type="character" w:customStyle="1" w:styleId="NormalWebChar">
    <w:name w:val="Normal (Web) Char"/>
    <w:aliases w:val="Char Char,Normal bulleted Char"/>
    <w:basedOn w:val="DefaultParagraphFont"/>
    <w:link w:val="NormalWeb"/>
    <w:uiPriority w:val="99"/>
    <w:semiHidden/>
    <w:locked/>
    <w:rsid w:val="00DD6CCF"/>
    <w:rPr>
      <w:rFonts w:ascii="Calibri" w:hAnsi="Calibri"/>
    </w:rPr>
  </w:style>
  <w:style w:type="paragraph" w:styleId="NormalWeb">
    <w:name w:val="Normal (Web)"/>
    <w:aliases w:val="Char,Normal bulleted"/>
    <w:basedOn w:val="Normal"/>
    <w:link w:val="NormalWebChar"/>
    <w:uiPriority w:val="99"/>
    <w:semiHidden/>
    <w:unhideWhenUsed/>
    <w:rsid w:val="00DD6CCF"/>
    <w:rPr>
      <w:rFonts w:ascii="Calibri" w:hAnsi="Calibri"/>
    </w:rPr>
  </w:style>
  <w:style w:type="character" w:styleId="CommentReference">
    <w:name w:val="annotation reference"/>
    <w:basedOn w:val="DefaultParagraphFont"/>
    <w:uiPriority w:val="99"/>
    <w:semiHidden/>
    <w:unhideWhenUsed/>
    <w:rsid w:val="00860875"/>
    <w:rPr>
      <w:sz w:val="16"/>
      <w:szCs w:val="16"/>
    </w:rPr>
  </w:style>
  <w:style w:type="paragraph" w:styleId="CommentText">
    <w:name w:val="annotation text"/>
    <w:basedOn w:val="Normal"/>
    <w:link w:val="CommentTextChar"/>
    <w:uiPriority w:val="99"/>
    <w:unhideWhenUsed/>
    <w:rsid w:val="00860875"/>
    <w:pPr>
      <w:spacing w:after="120"/>
    </w:pPr>
    <w:rPr>
      <w:rFonts w:ascii="Calibri" w:hAnsi="Calibri"/>
      <w:noProof/>
      <w:sz w:val="20"/>
      <w:szCs w:val="20"/>
    </w:rPr>
  </w:style>
  <w:style w:type="character" w:customStyle="1" w:styleId="CommentTextChar">
    <w:name w:val="Comment Text Char"/>
    <w:basedOn w:val="DefaultParagraphFont"/>
    <w:link w:val="CommentText"/>
    <w:uiPriority w:val="99"/>
    <w:rsid w:val="00860875"/>
    <w:rPr>
      <w:rFonts w:ascii="Calibri" w:hAnsi="Calibri"/>
      <w:noProof/>
      <w:sz w:val="20"/>
      <w:szCs w:val="20"/>
    </w:rPr>
  </w:style>
  <w:style w:type="paragraph" w:styleId="CommentSubject">
    <w:name w:val="annotation subject"/>
    <w:basedOn w:val="CommentText"/>
    <w:next w:val="CommentText"/>
    <w:link w:val="CommentSubjectChar"/>
    <w:uiPriority w:val="99"/>
    <w:semiHidden/>
    <w:unhideWhenUsed/>
    <w:rsid w:val="00A15915"/>
    <w:pPr>
      <w:spacing w:after="200"/>
    </w:pPr>
    <w:rPr>
      <w:rFonts w:asciiTheme="minorHAnsi" w:hAnsiTheme="minorHAnsi"/>
      <w:b/>
      <w:bCs/>
      <w:noProof w:val="0"/>
    </w:rPr>
  </w:style>
  <w:style w:type="character" w:customStyle="1" w:styleId="CommentSubjectChar">
    <w:name w:val="Comment Subject Char"/>
    <w:basedOn w:val="CommentTextChar"/>
    <w:link w:val="CommentSubject"/>
    <w:uiPriority w:val="99"/>
    <w:semiHidden/>
    <w:rsid w:val="00A15915"/>
    <w:rPr>
      <w:rFonts w:ascii="Calibri" w:hAnsi="Calibri"/>
      <w:b/>
      <w:bCs/>
      <w:noProof/>
      <w:sz w:val="20"/>
      <w:szCs w:val="20"/>
    </w:rPr>
  </w:style>
  <w:style w:type="paragraph" w:styleId="Revision">
    <w:name w:val="Revision"/>
    <w:hidden/>
    <w:uiPriority w:val="99"/>
    <w:semiHidden/>
    <w:rsid w:val="00EA4FE7"/>
    <w:pPr>
      <w:spacing w:after="0" w:line="240" w:lineRule="auto"/>
    </w:pPr>
  </w:style>
  <w:style w:type="paragraph" w:customStyle="1" w:styleId="Text">
    <w:name w:val="Text"/>
    <w:aliases w:val="t"/>
    <w:basedOn w:val="Normal"/>
    <w:rsid w:val="00063662"/>
    <w:pPr>
      <w:ind w:left="567" w:hanging="567"/>
    </w:pPr>
    <w:rPr>
      <w:rFonts w:ascii="Arial Narrow" w:eastAsia="Times" w:hAnsi="Arial Narrow" w:cs="Times New Roman"/>
      <w:sz w:val="20"/>
      <w:szCs w:val="20"/>
    </w:rPr>
  </w:style>
  <w:style w:type="character" w:customStyle="1" w:styleId="ECPointChar">
    <w:name w:val="EC Point Char"/>
    <w:link w:val="ECPoint"/>
    <w:locked/>
    <w:rsid w:val="00DB3C1D"/>
    <w:rPr>
      <w:szCs w:val="24"/>
    </w:rPr>
  </w:style>
  <w:style w:type="paragraph" w:customStyle="1" w:styleId="ECPoint">
    <w:name w:val="EC Point"/>
    <w:link w:val="ECPointChar"/>
    <w:qFormat/>
    <w:rsid w:val="00DB3C1D"/>
    <w:pPr>
      <w:numPr>
        <w:numId w:val="3"/>
      </w:numPr>
      <w:spacing w:after="120" w:line="240" w:lineRule="auto"/>
    </w:pPr>
    <w:rPr>
      <w:szCs w:val="24"/>
    </w:rPr>
  </w:style>
  <w:style w:type="paragraph" w:styleId="FootnoteText">
    <w:name w:val="footnote text"/>
    <w:basedOn w:val="Normal"/>
    <w:link w:val="FootnoteTextChar"/>
    <w:uiPriority w:val="99"/>
    <w:unhideWhenUsed/>
    <w:rsid w:val="00A211AB"/>
    <w:rPr>
      <w:sz w:val="20"/>
      <w:szCs w:val="20"/>
    </w:rPr>
  </w:style>
  <w:style w:type="character" w:customStyle="1" w:styleId="FootnoteTextChar">
    <w:name w:val="Footnote Text Char"/>
    <w:basedOn w:val="DefaultParagraphFont"/>
    <w:link w:val="FootnoteText"/>
    <w:uiPriority w:val="99"/>
    <w:rsid w:val="00A211AB"/>
    <w:rPr>
      <w:sz w:val="20"/>
      <w:szCs w:val="20"/>
    </w:rPr>
  </w:style>
  <w:style w:type="character" w:styleId="FootnoteReference">
    <w:name w:val="footnote reference"/>
    <w:basedOn w:val="DefaultParagraphFont"/>
    <w:uiPriority w:val="99"/>
    <w:semiHidden/>
    <w:unhideWhenUsed/>
    <w:rsid w:val="00A211AB"/>
    <w:rPr>
      <w:vertAlign w:val="superscript"/>
    </w:rPr>
  </w:style>
  <w:style w:type="table" w:styleId="TableGridLight">
    <w:name w:val="Grid Table Light"/>
    <w:basedOn w:val="TableNormal"/>
    <w:uiPriority w:val="40"/>
    <w:rsid w:val="00BB4B6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BB4B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B4B6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Style3">
    <w:name w:val="Style3"/>
    <w:basedOn w:val="Normal"/>
    <w:qFormat/>
    <w:rsid w:val="00513E64"/>
    <w:pPr>
      <w:spacing w:after="160" w:line="259" w:lineRule="auto"/>
    </w:pPr>
    <w:rPr>
      <w:rFonts w:eastAsiaTheme="minorHAnsi"/>
      <w:b/>
      <w:sz w:val="22"/>
    </w:rPr>
  </w:style>
  <w:style w:type="paragraph" w:customStyle="1" w:styleId="CCSNormalText">
    <w:name w:val="CCS Normal Text"/>
    <w:basedOn w:val="Normal"/>
    <w:link w:val="CCSNormalTextChar"/>
    <w:qFormat/>
    <w:rsid w:val="00731110"/>
    <w:pPr>
      <w:spacing w:before="60" w:after="120"/>
    </w:pPr>
    <w:rPr>
      <w:rFonts w:ascii="Arial" w:eastAsiaTheme="minorHAnsi" w:hAnsi="Arial" w:cs="Arial"/>
      <w:sz w:val="22"/>
      <w:lang w:eastAsia="zh-CN" w:bidi="th-TH"/>
    </w:rPr>
  </w:style>
  <w:style w:type="character" w:customStyle="1" w:styleId="CCSNormalTextChar">
    <w:name w:val="CCS Normal Text Char"/>
    <w:basedOn w:val="DefaultParagraphFont"/>
    <w:link w:val="CCSNormalText"/>
    <w:locked/>
    <w:rsid w:val="00731110"/>
    <w:rPr>
      <w:rFonts w:ascii="Arial" w:eastAsiaTheme="minorHAnsi" w:hAnsi="Arial" w:cs="Arial"/>
      <w:lang w:eastAsia="zh-CN" w:bidi="th-TH"/>
    </w:rPr>
  </w:style>
  <w:style w:type="paragraph" w:customStyle="1" w:styleId="Exhibittitle">
    <w:name w:val="Exhibit title"/>
    <w:basedOn w:val="Normal"/>
    <w:qFormat/>
    <w:rsid w:val="0015554E"/>
    <w:pPr>
      <w:pBdr>
        <w:top w:val="single" w:sz="4" w:space="1" w:color="auto"/>
      </w:pBdr>
      <w:spacing w:before="360" w:after="160" w:line="259" w:lineRule="auto"/>
    </w:pPr>
    <w:rPr>
      <w:rFonts w:eastAsiaTheme="minorHAnsi"/>
      <w:i/>
      <w:sz w:val="22"/>
    </w:rPr>
  </w:style>
  <w:style w:type="paragraph" w:customStyle="1" w:styleId="Exhibitsource">
    <w:name w:val="Exhibit source"/>
    <w:basedOn w:val="Exhibittitle"/>
    <w:qFormat/>
    <w:rsid w:val="0015554E"/>
    <w:pPr>
      <w:pBdr>
        <w:top w:val="none" w:sz="0" w:space="0" w:color="auto"/>
        <w:bottom w:val="single" w:sz="4" w:space="1" w:color="auto"/>
      </w:pBdr>
      <w:spacing w:before="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9354">
      <w:bodyDiv w:val="1"/>
      <w:marLeft w:val="0"/>
      <w:marRight w:val="0"/>
      <w:marTop w:val="0"/>
      <w:marBottom w:val="0"/>
      <w:divBdr>
        <w:top w:val="none" w:sz="0" w:space="0" w:color="auto"/>
        <w:left w:val="none" w:sz="0" w:space="0" w:color="auto"/>
        <w:bottom w:val="none" w:sz="0" w:space="0" w:color="auto"/>
        <w:right w:val="none" w:sz="0" w:space="0" w:color="auto"/>
      </w:divBdr>
    </w:div>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259065744">
      <w:bodyDiv w:val="1"/>
      <w:marLeft w:val="0"/>
      <w:marRight w:val="0"/>
      <w:marTop w:val="0"/>
      <w:marBottom w:val="0"/>
      <w:divBdr>
        <w:top w:val="none" w:sz="0" w:space="0" w:color="auto"/>
        <w:left w:val="none" w:sz="0" w:space="0" w:color="auto"/>
        <w:bottom w:val="none" w:sz="0" w:space="0" w:color="auto"/>
        <w:right w:val="none" w:sz="0" w:space="0" w:color="auto"/>
      </w:divBdr>
    </w:div>
    <w:div w:id="307441063">
      <w:bodyDiv w:val="1"/>
      <w:marLeft w:val="0"/>
      <w:marRight w:val="0"/>
      <w:marTop w:val="0"/>
      <w:marBottom w:val="0"/>
      <w:divBdr>
        <w:top w:val="none" w:sz="0" w:space="0" w:color="auto"/>
        <w:left w:val="none" w:sz="0" w:space="0" w:color="auto"/>
        <w:bottom w:val="none" w:sz="0" w:space="0" w:color="auto"/>
        <w:right w:val="none" w:sz="0" w:space="0" w:color="auto"/>
      </w:divBdr>
    </w:div>
    <w:div w:id="314257960">
      <w:bodyDiv w:val="1"/>
      <w:marLeft w:val="0"/>
      <w:marRight w:val="0"/>
      <w:marTop w:val="0"/>
      <w:marBottom w:val="0"/>
      <w:divBdr>
        <w:top w:val="none" w:sz="0" w:space="0" w:color="auto"/>
        <w:left w:val="none" w:sz="0" w:space="0" w:color="auto"/>
        <w:bottom w:val="none" w:sz="0" w:space="0" w:color="auto"/>
        <w:right w:val="none" w:sz="0" w:space="0" w:color="auto"/>
      </w:divBdr>
      <w:divsChild>
        <w:div w:id="1595090070">
          <w:marLeft w:val="0"/>
          <w:marRight w:val="0"/>
          <w:marTop w:val="0"/>
          <w:marBottom w:val="0"/>
          <w:divBdr>
            <w:top w:val="none" w:sz="0" w:space="0" w:color="auto"/>
            <w:left w:val="none" w:sz="0" w:space="0" w:color="auto"/>
            <w:bottom w:val="none" w:sz="0" w:space="0" w:color="auto"/>
            <w:right w:val="none" w:sz="0" w:space="0" w:color="auto"/>
          </w:divBdr>
          <w:divsChild>
            <w:div w:id="1048577030">
              <w:marLeft w:val="0"/>
              <w:marRight w:val="0"/>
              <w:marTop w:val="0"/>
              <w:marBottom w:val="0"/>
              <w:divBdr>
                <w:top w:val="none" w:sz="0" w:space="0" w:color="auto"/>
                <w:left w:val="none" w:sz="0" w:space="0" w:color="auto"/>
                <w:bottom w:val="none" w:sz="0" w:space="0" w:color="auto"/>
                <w:right w:val="none" w:sz="0" w:space="0" w:color="auto"/>
              </w:divBdr>
              <w:divsChild>
                <w:div w:id="1770000166">
                  <w:marLeft w:val="0"/>
                  <w:marRight w:val="0"/>
                  <w:marTop w:val="0"/>
                  <w:marBottom w:val="0"/>
                  <w:divBdr>
                    <w:top w:val="none" w:sz="0" w:space="0" w:color="auto"/>
                    <w:left w:val="none" w:sz="0" w:space="0" w:color="auto"/>
                    <w:bottom w:val="none" w:sz="0" w:space="0" w:color="auto"/>
                    <w:right w:val="none" w:sz="0" w:space="0" w:color="auto"/>
                  </w:divBdr>
                  <w:divsChild>
                    <w:div w:id="761529590">
                      <w:marLeft w:val="0"/>
                      <w:marRight w:val="0"/>
                      <w:marTop w:val="0"/>
                      <w:marBottom w:val="0"/>
                      <w:divBdr>
                        <w:top w:val="none" w:sz="0" w:space="0" w:color="auto"/>
                        <w:left w:val="none" w:sz="0" w:space="0" w:color="auto"/>
                        <w:bottom w:val="none" w:sz="0" w:space="0" w:color="auto"/>
                        <w:right w:val="none" w:sz="0" w:space="0" w:color="auto"/>
                      </w:divBdr>
                      <w:divsChild>
                        <w:div w:id="2138789044">
                          <w:marLeft w:val="0"/>
                          <w:marRight w:val="0"/>
                          <w:marTop w:val="0"/>
                          <w:marBottom w:val="0"/>
                          <w:divBdr>
                            <w:top w:val="none" w:sz="0" w:space="0" w:color="auto"/>
                            <w:left w:val="none" w:sz="0" w:space="0" w:color="auto"/>
                            <w:bottom w:val="none" w:sz="0" w:space="0" w:color="auto"/>
                            <w:right w:val="none" w:sz="0" w:space="0" w:color="auto"/>
                          </w:divBdr>
                          <w:divsChild>
                            <w:div w:id="634413266">
                              <w:marLeft w:val="0"/>
                              <w:marRight w:val="0"/>
                              <w:marTop w:val="0"/>
                              <w:marBottom w:val="0"/>
                              <w:divBdr>
                                <w:top w:val="none" w:sz="0" w:space="0" w:color="auto"/>
                                <w:left w:val="none" w:sz="0" w:space="0" w:color="auto"/>
                                <w:bottom w:val="none" w:sz="0" w:space="0" w:color="auto"/>
                                <w:right w:val="none" w:sz="0" w:space="0" w:color="auto"/>
                              </w:divBdr>
                              <w:divsChild>
                                <w:div w:id="961692567">
                                  <w:marLeft w:val="0"/>
                                  <w:marRight w:val="0"/>
                                  <w:marTop w:val="0"/>
                                  <w:marBottom w:val="0"/>
                                  <w:divBdr>
                                    <w:top w:val="none" w:sz="0" w:space="0" w:color="auto"/>
                                    <w:left w:val="none" w:sz="0" w:space="0" w:color="auto"/>
                                    <w:bottom w:val="none" w:sz="0" w:space="0" w:color="auto"/>
                                    <w:right w:val="none" w:sz="0" w:space="0" w:color="auto"/>
                                  </w:divBdr>
                                  <w:divsChild>
                                    <w:div w:id="1900050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2781269">
      <w:bodyDiv w:val="1"/>
      <w:marLeft w:val="0"/>
      <w:marRight w:val="0"/>
      <w:marTop w:val="0"/>
      <w:marBottom w:val="0"/>
      <w:divBdr>
        <w:top w:val="none" w:sz="0" w:space="0" w:color="auto"/>
        <w:left w:val="none" w:sz="0" w:space="0" w:color="auto"/>
        <w:bottom w:val="none" w:sz="0" w:space="0" w:color="auto"/>
        <w:right w:val="none" w:sz="0" w:space="0" w:color="auto"/>
      </w:divBdr>
    </w:div>
    <w:div w:id="363167713">
      <w:bodyDiv w:val="1"/>
      <w:marLeft w:val="0"/>
      <w:marRight w:val="0"/>
      <w:marTop w:val="0"/>
      <w:marBottom w:val="0"/>
      <w:divBdr>
        <w:top w:val="none" w:sz="0" w:space="0" w:color="auto"/>
        <w:left w:val="none" w:sz="0" w:space="0" w:color="auto"/>
        <w:bottom w:val="none" w:sz="0" w:space="0" w:color="auto"/>
        <w:right w:val="none" w:sz="0" w:space="0" w:color="auto"/>
      </w:divBdr>
    </w:div>
    <w:div w:id="367339620">
      <w:bodyDiv w:val="1"/>
      <w:marLeft w:val="0"/>
      <w:marRight w:val="0"/>
      <w:marTop w:val="0"/>
      <w:marBottom w:val="0"/>
      <w:divBdr>
        <w:top w:val="none" w:sz="0" w:space="0" w:color="auto"/>
        <w:left w:val="none" w:sz="0" w:space="0" w:color="auto"/>
        <w:bottom w:val="none" w:sz="0" w:space="0" w:color="auto"/>
        <w:right w:val="none" w:sz="0" w:space="0" w:color="auto"/>
      </w:divBdr>
    </w:div>
    <w:div w:id="385492692">
      <w:bodyDiv w:val="1"/>
      <w:marLeft w:val="0"/>
      <w:marRight w:val="0"/>
      <w:marTop w:val="0"/>
      <w:marBottom w:val="0"/>
      <w:divBdr>
        <w:top w:val="none" w:sz="0" w:space="0" w:color="auto"/>
        <w:left w:val="none" w:sz="0" w:space="0" w:color="auto"/>
        <w:bottom w:val="none" w:sz="0" w:space="0" w:color="auto"/>
        <w:right w:val="none" w:sz="0" w:space="0" w:color="auto"/>
      </w:divBdr>
    </w:div>
    <w:div w:id="400909500">
      <w:bodyDiv w:val="1"/>
      <w:marLeft w:val="0"/>
      <w:marRight w:val="0"/>
      <w:marTop w:val="0"/>
      <w:marBottom w:val="0"/>
      <w:divBdr>
        <w:top w:val="none" w:sz="0" w:space="0" w:color="auto"/>
        <w:left w:val="none" w:sz="0" w:space="0" w:color="auto"/>
        <w:bottom w:val="none" w:sz="0" w:space="0" w:color="auto"/>
        <w:right w:val="none" w:sz="0" w:space="0" w:color="auto"/>
      </w:divBdr>
      <w:divsChild>
        <w:div w:id="1978021922">
          <w:marLeft w:val="0"/>
          <w:marRight w:val="0"/>
          <w:marTop w:val="0"/>
          <w:marBottom w:val="0"/>
          <w:divBdr>
            <w:top w:val="none" w:sz="0" w:space="0" w:color="auto"/>
            <w:left w:val="none" w:sz="0" w:space="0" w:color="auto"/>
            <w:bottom w:val="none" w:sz="0" w:space="0" w:color="auto"/>
            <w:right w:val="none" w:sz="0" w:space="0" w:color="auto"/>
          </w:divBdr>
          <w:divsChild>
            <w:div w:id="1261794976">
              <w:marLeft w:val="0"/>
              <w:marRight w:val="0"/>
              <w:marTop w:val="0"/>
              <w:marBottom w:val="0"/>
              <w:divBdr>
                <w:top w:val="none" w:sz="0" w:space="0" w:color="auto"/>
                <w:left w:val="none" w:sz="0" w:space="0" w:color="auto"/>
                <w:bottom w:val="none" w:sz="0" w:space="0" w:color="auto"/>
                <w:right w:val="none" w:sz="0" w:space="0" w:color="auto"/>
              </w:divBdr>
              <w:divsChild>
                <w:div w:id="355352542">
                  <w:marLeft w:val="0"/>
                  <w:marRight w:val="0"/>
                  <w:marTop w:val="0"/>
                  <w:marBottom w:val="0"/>
                  <w:divBdr>
                    <w:top w:val="none" w:sz="0" w:space="0" w:color="auto"/>
                    <w:left w:val="none" w:sz="0" w:space="0" w:color="auto"/>
                    <w:bottom w:val="none" w:sz="0" w:space="0" w:color="auto"/>
                    <w:right w:val="none" w:sz="0" w:space="0" w:color="auto"/>
                  </w:divBdr>
                  <w:divsChild>
                    <w:div w:id="280067972">
                      <w:marLeft w:val="0"/>
                      <w:marRight w:val="0"/>
                      <w:marTop w:val="0"/>
                      <w:marBottom w:val="0"/>
                      <w:divBdr>
                        <w:top w:val="none" w:sz="0" w:space="0" w:color="auto"/>
                        <w:left w:val="none" w:sz="0" w:space="0" w:color="auto"/>
                        <w:bottom w:val="none" w:sz="0" w:space="0" w:color="auto"/>
                        <w:right w:val="none" w:sz="0" w:space="0" w:color="auto"/>
                      </w:divBdr>
                      <w:divsChild>
                        <w:div w:id="805045062">
                          <w:marLeft w:val="0"/>
                          <w:marRight w:val="0"/>
                          <w:marTop w:val="0"/>
                          <w:marBottom w:val="0"/>
                          <w:divBdr>
                            <w:top w:val="none" w:sz="0" w:space="0" w:color="auto"/>
                            <w:left w:val="none" w:sz="0" w:space="0" w:color="auto"/>
                            <w:bottom w:val="none" w:sz="0" w:space="0" w:color="auto"/>
                            <w:right w:val="none" w:sz="0" w:space="0" w:color="auto"/>
                          </w:divBdr>
                          <w:divsChild>
                            <w:div w:id="1145665559">
                              <w:marLeft w:val="0"/>
                              <w:marRight w:val="0"/>
                              <w:marTop w:val="0"/>
                              <w:marBottom w:val="0"/>
                              <w:divBdr>
                                <w:top w:val="none" w:sz="0" w:space="0" w:color="auto"/>
                                <w:left w:val="none" w:sz="0" w:space="0" w:color="auto"/>
                                <w:bottom w:val="none" w:sz="0" w:space="0" w:color="auto"/>
                                <w:right w:val="none" w:sz="0" w:space="0" w:color="auto"/>
                              </w:divBdr>
                              <w:divsChild>
                                <w:div w:id="1280912292">
                                  <w:marLeft w:val="0"/>
                                  <w:marRight w:val="0"/>
                                  <w:marTop w:val="0"/>
                                  <w:marBottom w:val="0"/>
                                  <w:divBdr>
                                    <w:top w:val="none" w:sz="0" w:space="0" w:color="auto"/>
                                    <w:left w:val="none" w:sz="0" w:space="0" w:color="auto"/>
                                    <w:bottom w:val="none" w:sz="0" w:space="0" w:color="auto"/>
                                    <w:right w:val="none" w:sz="0" w:space="0" w:color="auto"/>
                                  </w:divBdr>
                                  <w:divsChild>
                                    <w:div w:id="131868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60436">
      <w:bodyDiv w:val="1"/>
      <w:marLeft w:val="0"/>
      <w:marRight w:val="0"/>
      <w:marTop w:val="0"/>
      <w:marBottom w:val="0"/>
      <w:divBdr>
        <w:top w:val="none" w:sz="0" w:space="0" w:color="auto"/>
        <w:left w:val="none" w:sz="0" w:space="0" w:color="auto"/>
        <w:bottom w:val="none" w:sz="0" w:space="0" w:color="auto"/>
        <w:right w:val="none" w:sz="0" w:space="0" w:color="auto"/>
      </w:divBdr>
    </w:div>
    <w:div w:id="601036084">
      <w:bodyDiv w:val="1"/>
      <w:marLeft w:val="0"/>
      <w:marRight w:val="0"/>
      <w:marTop w:val="0"/>
      <w:marBottom w:val="0"/>
      <w:divBdr>
        <w:top w:val="none" w:sz="0" w:space="0" w:color="auto"/>
        <w:left w:val="none" w:sz="0" w:space="0" w:color="auto"/>
        <w:bottom w:val="none" w:sz="0" w:space="0" w:color="auto"/>
        <w:right w:val="none" w:sz="0" w:space="0" w:color="auto"/>
      </w:divBdr>
    </w:div>
    <w:div w:id="758064984">
      <w:bodyDiv w:val="1"/>
      <w:marLeft w:val="0"/>
      <w:marRight w:val="0"/>
      <w:marTop w:val="0"/>
      <w:marBottom w:val="0"/>
      <w:divBdr>
        <w:top w:val="none" w:sz="0" w:space="0" w:color="auto"/>
        <w:left w:val="none" w:sz="0" w:space="0" w:color="auto"/>
        <w:bottom w:val="none" w:sz="0" w:space="0" w:color="auto"/>
        <w:right w:val="none" w:sz="0" w:space="0" w:color="auto"/>
      </w:divBdr>
      <w:divsChild>
        <w:div w:id="115489660">
          <w:marLeft w:val="0"/>
          <w:marRight w:val="0"/>
          <w:marTop w:val="0"/>
          <w:marBottom w:val="0"/>
          <w:divBdr>
            <w:top w:val="none" w:sz="0" w:space="0" w:color="auto"/>
            <w:left w:val="none" w:sz="0" w:space="0" w:color="auto"/>
            <w:bottom w:val="none" w:sz="0" w:space="0" w:color="auto"/>
            <w:right w:val="none" w:sz="0" w:space="0" w:color="auto"/>
          </w:divBdr>
          <w:divsChild>
            <w:div w:id="2015106143">
              <w:marLeft w:val="0"/>
              <w:marRight w:val="0"/>
              <w:marTop w:val="0"/>
              <w:marBottom w:val="0"/>
              <w:divBdr>
                <w:top w:val="none" w:sz="0" w:space="0" w:color="auto"/>
                <w:left w:val="none" w:sz="0" w:space="0" w:color="auto"/>
                <w:bottom w:val="none" w:sz="0" w:space="0" w:color="auto"/>
                <w:right w:val="none" w:sz="0" w:space="0" w:color="auto"/>
              </w:divBdr>
              <w:divsChild>
                <w:div w:id="156381691">
                  <w:marLeft w:val="0"/>
                  <w:marRight w:val="0"/>
                  <w:marTop w:val="0"/>
                  <w:marBottom w:val="0"/>
                  <w:divBdr>
                    <w:top w:val="none" w:sz="0" w:space="0" w:color="auto"/>
                    <w:left w:val="none" w:sz="0" w:space="0" w:color="auto"/>
                    <w:bottom w:val="none" w:sz="0" w:space="0" w:color="auto"/>
                    <w:right w:val="none" w:sz="0" w:space="0" w:color="auto"/>
                  </w:divBdr>
                  <w:divsChild>
                    <w:div w:id="1137337378">
                      <w:marLeft w:val="0"/>
                      <w:marRight w:val="0"/>
                      <w:marTop w:val="0"/>
                      <w:marBottom w:val="0"/>
                      <w:divBdr>
                        <w:top w:val="none" w:sz="0" w:space="0" w:color="auto"/>
                        <w:left w:val="none" w:sz="0" w:space="0" w:color="auto"/>
                        <w:bottom w:val="none" w:sz="0" w:space="0" w:color="auto"/>
                        <w:right w:val="none" w:sz="0" w:space="0" w:color="auto"/>
                      </w:divBdr>
                      <w:divsChild>
                        <w:div w:id="11302201">
                          <w:marLeft w:val="0"/>
                          <w:marRight w:val="0"/>
                          <w:marTop w:val="0"/>
                          <w:marBottom w:val="0"/>
                          <w:divBdr>
                            <w:top w:val="none" w:sz="0" w:space="0" w:color="auto"/>
                            <w:left w:val="none" w:sz="0" w:space="0" w:color="auto"/>
                            <w:bottom w:val="none" w:sz="0" w:space="0" w:color="auto"/>
                            <w:right w:val="none" w:sz="0" w:space="0" w:color="auto"/>
                          </w:divBdr>
                          <w:divsChild>
                            <w:div w:id="1343119340">
                              <w:marLeft w:val="0"/>
                              <w:marRight w:val="0"/>
                              <w:marTop w:val="0"/>
                              <w:marBottom w:val="0"/>
                              <w:divBdr>
                                <w:top w:val="none" w:sz="0" w:space="0" w:color="auto"/>
                                <w:left w:val="none" w:sz="0" w:space="0" w:color="auto"/>
                                <w:bottom w:val="none" w:sz="0" w:space="0" w:color="auto"/>
                                <w:right w:val="none" w:sz="0" w:space="0" w:color="auto"/>
                              </w:divBdr>
                              <w:divsChild>
                                <w:div w:id="1896818493">
                                  <w:marLeft w:val="0"/>
                                  <w:marRight w:val="0"/>
                                  <w:marTop w:val="0"/>
                                  <w:marBottom w:val="0"/>
                                  <w:divBdr>
                                    <w:top w:val="none" w:sz="0" w:space="0" w:color="auto"/>
                                    <w:left w:val="none" w:sz="0" w:space="0" w:color="auto"/>
                                    <w:bottom w:val="none" w:sz="0" w:space="0" w:color="auto"/>
                                    <w:right w:val="none" w:sz="0" w:space="0" w:color="auto"/>
                                  </w:divBdr>
                                  <w:divsChild>
                                    <w:div w:id="108202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796003">
      <w:bodyDiv w:val="1"/>
      <w:marLeft w:val="0"/>
      <w:marRight w:val="0"/>
      <w:marTop w:val="0"/>
      <w:marBottom w:val="0"/>
      <w:divBdr>
        <w:top w:val="none" w:sz="0" w:space="0" w:color="auto"/>
        <w:left w:val="none" w:sz="0" w:space="0" w:color="auto"/>
        <w:bottom w:val="none" w:sz="0" w:space="0" w:color="auto"/>
        <w:right w:val="none" w:sz="0" w:space="0" w:color="auto"/>
      </w:divBdr>
    </w:div>
    <w:div w:id="798767378">
      <w:bodyDiv w:val="1"/>
      <w:marLeft w:val="0"/>
      <w:marRight w:val="0"/>
      <w:marTop w:val="0"/>
      <w:marBottom w:val="0"/>
      <w:divBdr>
        <w:top w:val="none" w:sz="0" w:space="0" w:color="auto"/>
        <w:left w:val="none" w:sz="0" w:space="0" w:color="auto"/>
        <w:bottom w:val="none" w:sz="0" w:space="0" w:color="auto"/>
        <w:right w:val="none" w:sz="0" w:space="0" w:color="auto"/>
      </w:divBdr>
    </w:div>
    <w:div w:id="872613968">
      <w:bodyDiv w:val="1"/>
      <w:marLeft w:val="0"/>
      <w:marRight w:val="0"/>
      <w:marTop w:val="0"/>
      <w:marBottom w:val="0"/>
      <w:divBdr>
        <w:top w:val="none" w:sz="0" w:space="0" w:color="auto"/>
        <w:left w:val="none" w:sz="0" w:space="0" w:color="auto"/>
        <w:bottom w:val="none" w:sz="0" w:space="0" w:color="auto"/>
        <w:right w:val="none" w:sz="0" w:space="0" w:color="auto"/>
      </w:divBdr>
    </w:div>
    <w:div w:id="927078567">
      <w:bodyDiv w:val="1"/>
      <w:marLeft w:val="0"/>
      <w:marRight w:val="0"/>
      <w:marTop w:val="0"/>
      <w:marBottom w:val="0"/>
      <w:divBdr>
        <w:top w:val="none" w:sz="0" w:space="0" w:color="auto"/>
        <w:left w:val="none" w:sz="0" w:space="0" w:color="auto"/>
        <w:bottom w:val="none" w:sz="0" w:space="0" w:color="auto"/>
        <w:right w:val="none" w:sz="0" w:space="0" w:color="auto"/>
      </w:divBdr>
    </w:div>
    <w:div w:id="1001616061">
      <w:bodyDiv w:val="1"/>
      <w:marLeft w:val="0"/>
      <w:marRight w:val="0"/>
      <w:marTop w:val="0"/>
      <w:marBottom w:val="0"/>
      <w:divBdr>
        <w:top w:val="none" w:sz="0" w:space="0" w:color="auto"/>
        <w:left w:val="none" w:sz="0" w:space="0" w:color="auto"/>
        <w:bottom w:val="none" w:sz="0" w:space="0" w:color="auto"/>
        <w:right w:val="none" w:sz="0" w:space="0" w:color="auto"/>
      </w:divBdr>
    </w:div>
    <w:div w:id="1186867534">
      <w:bodyDiv w:val="1"/>
      <w:marLeft w:val="0"/>
      <w:marRight w:val="0"/>
      <w:marTop w:val="0"/>
      <w:marBottom w:val="0"/>
      <w:divBdr>
        <w:top w:val="none" w:sz="0" w:space="0" w:color="auto"/>
        <w:left w:val="none" w:sz="0" w:space="0" w:color="auto"/>
        <w:bottom w:val="none" w:sz="0" w:space="0" w:color="auto"/>
        <w:right w:val="none" w:sz="0" w:space="0" w:color="auto"/>
      </w:divBdr>
    </w:div>
    <w:div w:id="1327787261">
      <w:bodyDiv w:val="1"/>
      <w:marLeft w:val="0"/>
      <w:marRight w:val="0"/>
      <w:marTop w:val="0"/>
      <w:marBottom w:val="0"/>
      <w:divBdr>
        <w:top w:val="none" w:sz="0" w:space="0" w:color="auto"/>
        <w:left w:val="none" w:sz="0" w:space="0" w:color="auto"/>
        <w:bottom w:val="none" w:sz="0" w:space="0" w:color="auto"/>
        <w:right w:val="none" w:sz="0" w:space="0" w:color="auto"/>
      </w:divBdr>
    </w:div>
    <w:div w:id="1341926572">
      <w:bodyDiv w:val="1"/>
      <w:marLeft w:val="0"/>
      <w:marRight w:val="0"/>
      <w:marTop w:val="0"/>
      <w:marBottom w:val="0"/>
      <w:divBdr>
        <w:top w:val="none" w:sz="0" w:space="0" w:color="auto"/>
        <w:left w:val="none" w:sz="0" w:space="0" w:color="auto"/>
        <w:bottom w:val="none" w:sz="0" w:space="0" w:color="auto"/>
        <w:right w:val="none" w:sz="0" w:space="0" w:color="auto"/>
      </w:divBdr>
    </w:div>
    <w:div w:id="1346514845">
      <w:bodyDiv w:val="1"/>
      <w:marLeft w:val="0"/>
      <w:marRight w:val="0"/>
      <w:marTop w:val="0"/>
      <w:marBottom w:val="0"/>
      <w:divBdr>
        <w:top w:val="none" w:sz="0" w:space="0" w:color="auto"/>
        <w:left w:val="none" w:sz="0" w:space="0" w:color="auto"/>
        <w:bottom w:val="none" w:sz="0" w:space="0" w:color="auto"/>
        <w:right w:val="none" w:sz="0" w:space="0" w:color="auto"/>
      </w:divBdr>
      <w:divsChild>
        <w:div w:id="1303462495">
          <w:marLeft w:val="0"/>
          <w:marRight w:val="0"/>
          <w:marTop w:val="0"/>
          <w:marBottom w:val="0"/>
          <w:divBdr>
            <w:top w:val="none" w:sz="0" w:space="0" w:color="auto"/>
            <w:left w:val="none" w:sz="0" w:space="0" w:color="auto"/>
            <w:bottom w:val="none" w:sz="0" w:space="0" w:color="auto"/>
            <w:right w:val="none" w:sz="0" w:space="0" w:color="auto"/>
          </w:divBdr>
          <w:divsChild>
            <w:div w:id="183830163">
              <w:marLeft w:val="0"/>
              <w:marRight w:val="0"/>
              <w:marTop w:val="0"/>
              <w:marBottom w:val="0"/>
              <w:divBdr>
                <w:top w:val="none" w:sz="0" w:space="0" w:color="auto"/>
                <w:left w:val="none" w:sz="0" w:space="0" w:color="auto"/>
                <w:bottom w:val="none" w:sz="0" w:space="0" w:color="auto"/>
                <w:right w:val="none" w:sz="0" w:space="0" w:color="auto"/>
              </w:divBdr>
              <w:divsChild>
                <w:div w:id="1419519613">
                  <w:marLeft w:val="0"/>
                  <w:marRight w:val="0"/>
                  <w:marTop w:val="0"/>
                  <w:marBottom w:val="0"/>
                  <w:divBdr>
                    <w:top w:val="none" w:sz="0" w:space="0" w:color="auto"/>
                    <w:left w:val="none" w:sz="0" w:space="0" w:color="auto"/>
                    <w:bottom w:val="none" w:sz="0" w:space="0" w:color="auto"/>
                    <w:right w:val="none" w:sz="0" w:space="0" w:color="auto"/>
                  </w:divBdr>
                  <w:divsChild>
                    <w:div w:id="1358968691">
                      <w:marLeft w:val="0"/>
                      <w:marRight w:val="0"/>
                      <w:marTop w:val="0"/>
                      <w:marBottom w:val="0"/>
                      <w:divBdr>
                        <w:top w:val="none" w:sz="0" w:space="0" w:color="auto"/>
                        <w:left w:val="none" w:sz="0" w:space="0" w:color="auto"/>
                        <w:bottom w:val="none" w:sz="0" w:space="0" w:color="auto"/>
                        <w:right w:val="none" w:sz="0" w:space="0" w:color="auto"/>
                      </w:divBdr>
                      <w:divsChild>
                        <w:div w:id="310791823">
                          <w:marLeft w:val="0"/>
                          <w:marRight w:val="0"/>
                          <w:marTop w:val="0"/>
                          <w:marBottom w:val="0"/>
                          <w:divBdr>
                            <w:top w:val="none" w:sz="0" w:space="0" w:color="auto"/>
                            <w:left w:val="none" w:sz="0" w:space="0" w:color="auto"/>
                            <w:bottom w:val="none" w:sz="0" w:space="0" w:color="auto"/>
                            <w:right w:val="none" w:sz="0" w:space="0" w:color="auto"/>
                          </w:divBdr>
                          <w:divsChild>
                            <w:div w:id="137187291">
                              <w:marLeft w:val="0"/>
                              <w:marRight w:val="0"/>
                              <w:marTop w:val="0"/>
                              <w:marBottom w:val="0"/>
                              <w:divBdr>
                                <w:top w:val="none" w:sz="0" w:space="0" w:color="auto"/>
                                <w:left w:val="none" w:sz="0" w:space="0" w:color="auto"/>
                                <w:bottom w:val="none" w:sz="0" w:space="0" w:color="auto"/>
                                <w:right w:val="none" w:sz="0" w:space="0" w:color="auto"/>
                              </w:divBdr>
                              <w:divsChild>
                                <w:div w:id="1722165725">
                                  <w:marLeft w:val="0"/>
                                  <w:marRight w:val="0"/>
                                  <w:marTop w:val="0"/>
                                  <w:marBottom w:val="0"/>
                                  <w:divBdr>
                                    <w:top w:val="none" w:sz="0" w:space="0" w:color="auto"/>
                                    <w:left w:val="none" w:sz="0" w:space="0" w:color="auto"/>
                                    <w:bottom w:val="none" w:sz="0" w:space="0" w:color="auto"/>
                                    <w:right w:val="none" w:sz="0" w:space="0" w:color="auto"/>
                                  </w:divBdr>
                                  <w:divsChild>
                                    <w:div w:id="139959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096679">
      <w:bodyDiv w:val="1"/>
      <w:marLeft w:val="0"/>
      <w:marRight w:val="0"/>
      <w:marTop w:val="0"/>
      <w:marBottom w:val="0"/>
      <w:divBdr>
        <w:top w:val="none" w:sz="0" w:space="0" w:color="auto"/>
        <w:left w:val="none" w:sz="0" w:space="0" w:color="auto"/>
        <w:bottom w:val="none" w:sz="0" w:space="0" w:color="auto"/>
        <w:right w:val="none" w:sz="0" w:space="0" w:color="auto"/>
      </w:divBdr>
      <w:divsChild>
        <w:div w:id="1571967502">
          <w:marLeft w:val="562"/>
          <w:marRight w:val="0"/>
          <w:marTop w:val="100"/>
          <w:marBottom w:val="0"/>
          <w:divBdr>
            <w:top w:val="none" w:sz="0" w:space="0" w:color="auto"/>
            <w:left w:val="none" w:sz="0" w:space="0" w:color="auto"/>
            <w:bottom w:val="none" w:sz="0" w:space="0" w:color="auto"/>
            <w:right w:val="none" w:sz="0" w:space="0" w:color="auto"/>
          </w:divBdr>
        </w:div>
        <w:div w:id="1059592289">
          <w:marLeft w:val="562"/>
          <w:marRight w:val="0"/>
          <w:marTop w:val="100"/>
          <w:marBottom w:val="0"/>
          <w:divBdr>
            <w:top w:val="none" w:sz="0" w:space="0" w:color="auto"/>
            <w:left w:val="none" w:sz="0" w:space="0" w:color="auto"/>
            <w:bottom w:val="none" w:sz="0" w:space="0" w:color="auto"/>
            <w:right w:val="none" w:sz="0" w:space="0" w:color="auto"/>
          </w:divBdr>
        </w:div>
        <w:div w:id="1494025204">
          <w:marLeft w:val="562"/>
          <w:marRight w:val="0"/>
          <w:marTop w:val="100"/>
          <w:marBottom w:val="0"/>
          <w:divBdr>
            <w:top w:val="none" w:sz="0" w:space="0" w:color="auto"/>
            <w:left w:val="none" w:sz="0" w:space="0" w:color="auto"/>
            <w:bottom w:val="none" w:sz="0" w:space="0" w:color="auto"/>
            <w:right w:val="none" w:sz="0" w:space="0" w:color="auto"/>
          </w:divBdr>
        </w:div>
        <w:div w:id="999385137">
          <w:marLeft w:val="562"/>
          <w:marRight w:val="0"/>
          <w:marTop w:val="100"/>
          <w:marBottom w:val="0"/>
          <w:divBdr>
            <w:top w:val="none" w:sz="0" w:space="0" w:color="auto"/>
            <w:left w:val="none" w:sz="0" w:space="0" w:color="auto"/>
            <w:bottom w:val="none" w:sz="0" w:space="0" w:color="auto"/>
            <w:right w:val="none" w:sz="0" w:space="0" w:color="auto"/>
          </w:divBdr>
        </w:div>
        <w:div w:id="211306987">
          <w:marLeft w:val="562"/>
          <w:marRight w:val="0"/>
          <w:marTop w:val="100"/>
          <w:marBottom w:val="0"/>
          <w:divBdr>
            <w:top w:val="none" w:sz="0" w:space="0" w:color="auto"/>
            <w:left w:val="none" w:sz="0" w:space="0" w:color="auto"/>
            <w:bottom w:val="none" w:sz="0" w:space="0" w:color="auto"/>
            <w:right w:val="none" w:sz="0" w:space="0" w:color="auto"/>
          </w:divBdr>
        </w:div>
      </w:divsChild>
    </w:div>
    <w:div w:id="1487013785">
      <w:bodyDiv w:val="1"/>
      <w:marLeft w:val="0"/>
      <w:marRight w:val="0"/>
      <w:marTop w:val="0"/>
      <w:marBottom w:val="0"/>
      <w:divBdr>
        <w:top w:val="none" w:sz="0" w:space="0" w:color="auto"/>
        <w:left w:val="none" w:sz="0" w:space="0" w:color="auto"/>
        <w:bottom w:val="none" w:sz="0" w:space="0" w:color="auto"/>
        <w:right w:val="none" w:sz="0" w:space="0" w:color="auto"/>
      </w:divBdr>
    </w:div>
    <w:div w:id="1491947979">
      <w:bodyDiv w:val="1"/>
      <w:marLeft w:val="0"/>
      <w:marRight w:val="0"/>
      <w:marTop w:val="0"/>
      <w:marBottom w:val="0"/>
      <w:divBdr>
        <w:top w:val="none" w:sz="0" w:space="0" w:color="auto"/>
        <w:left w:val="none" w:sz="0" w:space="0" w:color="auto"/>
        <w:bottom w:val="none" w:sz="0" w:space="0" w:color="auto"/>
        <w:right w:val="none" w:sz="0" w:space="0" w:color="auto"/>
      </w:divBdr>
    </w:div>
    <w:div w:id="1499930075">
      <w:bodyDiv w:val="1"/>
      <w:marLeft w:val="0"/>
      <w:marRight w:val="0"/>
      <w:marTop w:val="0"/>
      <w:marBottom w:val="0"/>
      <w:divBdr>
        <w:top w:val="none" w:sz="0" w:space="0" w:color="auto"/>
        <w:left w:val="none" w:sz="0" w:space="0" w:color="auto"/>
        <w:bottom w:val="none" w:sz="0" w:space="0" w:color="auto"/>
        <w:right w:val="none" w:sz="0" w:space="0" w:color="auto"/>
      </w:divBdr>
    </w:div>
    <w:div w:id="1500775050">
      <w:bodyDiv w:val="1"/>
      <w:marLeft w:val="0"/>
      <w:marRight w:val="0"/>
      <w:marTop w:val="0"/>
      <w:marBottom w:val="0"/>
      <w:divBdr>
        <w:top w:val="none" w:sz="0" w:space="0" w:color="auto"/>
        <w:left w:val="none" w:sz="0" w:space="0" w:color="auto"/>
        <w:bottom w:val="none" w:sz="0" w:space="0" w:color="auto"/>
        <w:right w:val="none" w:sz="0" w:space="0" w:color="auto"/>
      </w:divBdr>
    </w:div>
    <w:div w:id="1565800957">
      <w:bodyDiv w:val="1"/>
      <w:marLeft w:val="0"/>
      <w:marRight w:val="0"/>
      <w:marTop w:val="0"/>
      <w:marBottom w:val="0"/>
      <w:divBdr>
        <w:top w:val="none" w:sz="0" w:space="0" w:color="auto"/>
        <w:left w:val="none" w:sz="0" w:space="0" w:color="auto"/>
        <w:bottom w:val="none" w:sz="0" w:space="0" w:color="auto"/>
        <w:right w:val="none" w:sz="0" w:space="0" w:color="auto"/>
      </w:divBdr>
      <w:divsChild>
        <w:div w:id="1555893495">
          <w:marLeft w:val="0"/>
          <w:marRight w:val="0"/>
          <w:marTop w:val="0"/>
          <w:marBottom w:val="0"/>
          <w:divBdr>
            <w:top w:val="none" w:sz="0" w:space="0" w:color="auto"/>
            <w:left w:val="none" w:sz="0" w:space="0" w:color="auto"/>
            <w:bottom w:val="none" w:sz="0" w:space="0" w:color="auto"/>
            <w:right w:val="none" w:sz="0" w:space="0" w:color="auto"/>
          </w:divBdr>
          <w:divsChild>
            <w:div w:id="881482988">
              <w:marLeft w:val="0"/>
              <w:marRight w:val="0"/>
              <w:marTop w:val="0"/>
              <w:marBottom w:val="0"/>
              <w:divBdr>
                <w:top w:val="none" w:sz="0" w:space="0" w:color="auto"/>
                <w:left w:val="none" w:sz="0" w:space="0" w:color="auto"/>
                <w:bottom w:val="none" w:sz="0" w:space="0" w:color="auto"/>
                <w:right w:val="none" w:sz="0" w:space="0" w:color="auto"/>
              </w:divBdr>
              <w:divsChild>
                <w:div w:id="659576819">
                  <w:marLeft w:val="0"/>
                  <w:marRight w:val="0"/>
                  <w:marTop w:val="0"/>
                  <w:marBottom w:val="0"/>
                  <w:divBdr>
                    <w:top w:val="none" w:sz="0" w:space="0" w:color="auto"/>
                    <w:left w:val="none" w:sz="0" w:space="0" w:color="auto"/>
                    <w:bottom w:val="none" w:sz="0" w:space="0" w:color="auto"/>
                    <w:right w:val="none" w:sz="0" w:space="0" w:color="auto"/>
                  </w:divBdr>
                  <w:divsChild>
                    <w:div w:id="620456835">
                      <w:marLeft w:val="0"/>
                      <w:marRight w:val="0"/>
                      <w:marTop w:val="0"/>
                      <w:marBottom w:val="0"/>
                      <w:divBdr>
                        <w:top w:val="none" w:sz="0" w:space="0" w:color="auto"/>
                        <w:left w:val="none" w:sz="0" w:space="0" w:color="auto"/>
                        <w:bottom w:val="none" w:sz="0" w:space="0" w:color="auto"/>
                        <w:right w:val="none" w:sz="0" w:space="0" w:color="auto"/>
                      </w:divBdr>
                      <w:divsChild>
                        <w:div w:id="1501001437">
                          <w:marLeft w:val="0"/>
                          <w:marRight w:val="0"/>
                          <w:marTop w:val="0"/>
                          <w:marBottom w:val="0"/>
                          <w:divBdr>
                            <w:top w:val="none" w:sz="0" w:space="0" w:color="auto"/>
                            <w:left w:val="none" w:sz="0" w:space="0" w:color="auto"/>
                            <w:bottom w:val="none" w:sz="0" w:space="0" w:color="auto"/>
                            <w:right w:val="none" w:sz="0" w:space="0" w:color="auto"/>
                          </w:divBdr>
                          <w:divsChild>
                            <w:div w:id="1539515260">
                              <w:marLeft w:val="0"/>
                              <w:marRight w:val="0"/>
                              <w:marTop w:val="0"/>
                              <w:marBottom w:val="0"/>
                              <w:divBdr>
                                <w:top w:val="none" w:sz="0" w:space="0" w:color="auto"/>
                                <w:left w:val="none" w:sz="0" w:space="0" w:color="auto"/>
                                <w:bottom w:val="none" w:sz="0" w:space="0" w:color="auto"/>
                                <w:right w:val="none" w:sz="0" w:space="0" w:color="auto"/>
                              </w:divBdr>
                              <w:divsChild>
                                <w:div w:id="2140872585">
                                  <w:marLeft w:val="0"/>
                                  <w:marRight w:val="0"/>
                                  <w:marTop w:val="0"/>
                                  <w:marBottom w:val="0"/>
                                  <w:divBdr>
                                    <w:top w:val="none" w:sz="0" w:space="0" w:color="auto"/>
                                    <w:left w:val="none" w:sz="0" w:space="0" w:color="auto"/>
                                    <w:bottom w:val="none" w:sz="0" w:space="0" w:color="auto"/>
                                    <w:right w:val="none" w:sz="0" w:space="0" w:color="auto"/>
                                  </w:divBdr>
                                  <w:divsChild>
                                    <w:div w:id="110051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50886">
      <w:bodyDiv w:val="1"/>
      <w:marLeft w:val="0"/>
      <w:marRight w:val="0"/>
      <w:marTop w:val="0"/>
      <w:marBottom w:val="0"/>
      <w:divBdr>
        <w:top w:val="none" w:sz="0" w:space="0" w:color="auto"/>
        <w:left w:val="none" w:sz="0" w:space="0" w:color="auto"/>
        <w:bottom w:val="none" w:sz="0" w:space="0" w:color="auto"/>
        <w:right w:val="none" w:sz="0" w:space="0" w:color="auto"/>
      </w:divBdr>
    </w:div>
    <w:div w:id="1589116974">
      <w:bodyDiv w:val="1"/>
      <w:marLeft w:val="0"/>
      <w:marRight w:val="0"/>
      <w:marTop w:val="0"/>
      <w:marBottom w:val="0"/>
      <w:divBdr>
        <w:top w:val="none" w:sz="0" w:space="0" w:color="auto"/>
        <w:left w:val="none" w:sz="0" w:space="0" w:color="auto"/>
        <w:bottom w:val="none" w:sz="0" w:space="0" w:color="auto"/>
        <w:right w:val="none" w:sz="0" w:space="0" w:color="auto"/>
      </w:divBdr>
      <w:divsChild>
        <w:div w:id="1170486198">
          <w:marLeft w:val="0"/>
          <w:marRight w:val="0"/>
          <w:marTop w:val="0"/>
          <w:marBottom w:val="0"/>
          <w:divBdr>
            <w:top w:val="none" w:sz="0" w:space="0" w:color="auto"/>
            <w:left w:val="none" w:sz="0" w:space="0" w:color="auto"/>
            <w:bottom w:val="none" w:sz="0" w:space="0" w:color="auto"/>
            <w:right w:val="none" w:sz="0" w:space="0" w:color="auto"/>
          </w:divBdr>
          <w:divsChild>
            <w:div w:id="1298484992">
              <w:marLeft w:val="0"/>
              <w:marRight w:val="0"/>
              <w:marTop w:val="0"/>
              <w:marBottom w:val="0"/>
              <w:divBdr>
                <w:top w:val="none" w:sz="0" w:space="0" w:color="auto"/>
                <w:left w:val="none" w:sz="0" w:space="0" w:color="auto"/>
                <w:bottom w:val="none" w:sz="0" w:space="0" w:color="auto"/>
                <w:right w:val="none" w:sz="0" w:space="0" w:color="auto"/>
              </w:divBdr>
              <w:divsChild>
                <w:div w:id="635524764">
                  <w:marLeft w:val="0"/>
                  <w:marRight w:val="0"/>
                  <w:marTop w:val="0"/>
                  <w:marBottom w:val="0"/>
                  <w:divBdr>
                    <w:top w:val="none" w:sz="0" w:space="0" w:color="auto"/>
                    <w:left w:val="none" w:sz="0" w:space="0" w:color="auto"/>
                    <w:bottom w:val="none" w:sz="0" w:space="0" w:color="auto"/>
                    <w:right w:val="none" w:sz="0" w:space="0" w:color="auto"/>
                  </w:divBdr>
                  <w:divsChild>
                    <w:div w:id="674309744">
                      <w:marLeft w:val="0"/>
                      <w:marRight w:val="0"/>
                      <w:marTop w:val="0"/>
                      <w:marBottom w:val="0"/>
                      <w:divBdr>
                        <w:top w:val="none" w:sz="0" w:space="0" w:color="auto"/>
                        <w:left w:val="none" w:sz="0" w:space="0" w:color="auto"/>
                        <w:bottom w:val="none" w:sz="0" w:space="0" w:color="auto"/>
                        <w:right w:val="none" w:sz="0" w:space="0" w:color="auto"/>
                      </w:divBdr>
                      <w:divsChild>
                        <w:div w:id="1520125257">
                          <w:marLeft w:val="0"/>
                          <w:marRight w:val="0"/>
                          <w:marTop w:val="0"/>
                          <w:marBottom w:val="0"/>
                          <w:divBdr>
                            <w:top w:val="none" w:sz="0" w:space="0" w:color="auto"/>
                            <w:left w:val="none" w:sz="0" w:space="0" w:color="auto"/>
                            <w:bottom w:val="none" w:sz="0" w:space="0" w:color="auto"/>
                            <w:right w:val="none" w:sz="0" w:space="0" w:color="auto"/>
                          </w:divBdr>
                          <w:divsChild>
                            <w:div w:id="682630171">
                              <w:marLeft w:val="0"/>
                              <w:marRight w:val="0"/>
                              <w:marTop w:val="0"/>
                              <w:marBottom w:val="0"/>
                              <w:divBdr>
                                <w:top w:val="none" w:sz="0" w:space="0" w:color="auto"/>
                                <w:left w:val="none" w:sz="0" w:space="0" w:color="auto"/>
                                <w:bottom w:val="none" w:sz="0" w:space="0" w:color="auto"/>
                                <w:right w:val="none" w:sz="0" w:space="0" w:color="auto"/>
                              </w:divBdr>
                              <w:divsChild>
                                <w:div w:id="1820027976">
                                  <w:marLeft w:val="0"/>
                                  <w:marRight w:val="0"/>
                                  <w:marTop w:val="0"/>
                                  <w:marBottom w:val="0"/>
                                  <w:divBdr>
                                    <w:top w:val="none" w:sz="0" w:space="0" w:color="auto"/>
                                    <w:left w:val="none" w:sz="0" w:space="0" w:color="auto"/>
                                    <w:bottom w:val="none" w:sz="0" w:space="0" w:color="auto"/>
                                    <w:right w:val="none" w:sz="0" w:space="0" w:color="auto"/>
                                  </w:divBdr>
                                  <w:divsChild>
                                    <w:div w:id="10743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9516681">
      <w:bodyDiv w:val="1"/>
      <w:marLeft w:val="0"/>
      <w:marRight w:val="0"/>
      <w:marTop w:val="0"/>
      <w:marBottom w:val="0"/>
      <w:divBdr>
        <w:top w:val="none" w:sz="0" w:space="0" w:color="auto"/>
        <w:left w:val="none" w:sz="0" w:space="0" w:color="auto"/>
        <w:bottom w:val="none" w:sz="0" w:space="0" w:color="auto"/>
        <w:right w:val="none" w:sz="0" w:space="0" w:color="auto"/>
      </w:divBdr>
    </w:div>
    <w:div w:id="1866941076">
      <w:bodyDiv w:val="1"/>
      <w:marLeft w:val="0"/>
      <w:marRight w:val="0"/>
      <w:marTop w:val="0"/>
      <w:marBottom w:val="0"/>
      <w:divBdr>
        <w:top w:val="none" w:sz="0" w:space="0" w:color="auto"/>
        <w:left w:val="none" w:sz="0" w:space="0" w:color="auto"/>
        <w:bottom w:val="none" w:sz="0" w:space="0" w:color="auto"/>
        <w:right w:val="none" w:sz="0" w:space="0" w:color="auto"/>
      </w:divBdr>
      <w:divsChild>
        <w:div w:id="924919884">
          <w:marLeft w:val="0"/>
          <w:marRight w:val="0"/>
          <w:marTop w:val="0"/>
          <w:marBottom w:val="0"/>
          <w:divBdr>
            <w:top w:val="none" w:sz="0" w:space="0" w:color="auto"/>
            <w:left w:val="none" w:sz="0" w:space="0" w:color="auto"/>
            <w:bottom w:val="none" w:sz="0" w:space="0" w:color="auto"/>
            <w:right w:val="none" w:sz="0" w:space="0" w:color="auto"/>
          </w:divBdr>
          <w:divsChild>
            <w:div w:id="940719960">
              <w:marLeft w:val="0"/>
              <w:marRight w:val="0"/>
              <w:marTop w:val="0"/>
              <w:marBottom w:val="0"/>
              <w:divBdr>
                <w:top w:val="none" w:sz="0" w:space="0" w:color="auto"/>
                <w:left w:val="none" w:sz="0" w:space="0" w:color="auto"/>
                <w:bottom w:val="none" w:sz="0" w:space="0" w:color="auto"/>
                <w:right w:val="none" w:sz="0" w:space="0" w:color="auto"/>
              </w:divBdr>
              <w:divsChild>
                <w:div w:id="880895595">
                  <w:marLeft w:val="0"/>
                  <w:marRight w:val="0"/>
                  <w:marTop w:val="0"/>
                  <w:marBottom w:val="0"/>
                  <w:divBdr>
                    <w:top w:val="none" w:sz="0" w:space="0" w:color="auto"/>
                    <w:left w:val="none" w:sz="0" w:space="0" w:color="auto"/>
                    <w:bottom w:val="none" w:sz="0" w:space="0" w:color="auto"/>
                    <w:right w:val="none" w:sz="0" w:space="0" w:color="auto"/>
                  </w:divBdr>
                  <w:divsChild>
                    <w:div w:id="2123959668">
                      <w:marLeft w:val="0"/>
                      <w:marRight w:val="0"/>
                      <w:marTop w:val="0"/>
                      <w:marBottom w:val="0"/>
                      <w:divBdr>
                        <w:top w:val="none" w:sz="0" w:space="0" w:color="auto"/>
                        <w:left w:val="none" w:sz="0" w:space="0" w:color="auto"/>
                        <w:bottom w:val="none" w:sz="0" w:space="0" w:color="auto"/>
                        <w:right w:val="none" w:sz="0" w:space="0" w:color="auto"/>
                      </w:divBdr>
                      <w:divsChild>
                        <w:div w:id="149367000">
                          <w:marLeft w:val="0"/>
                          <w:marRight w:val="0"/>
                          <w:marTop w:val="0"/>
                          <w:marBottom w:val="0"/>
                          <w:divBdr>
                            <w:top w:val="none" w:sz="0" w:space="0" w:color="auto"/>
                            <w:left w:val="none" w:sz="0" w:space="0" w:color="auto"/>
                            <w:bottom w:val="none" w:sz="0" w:space="0" w:color="auto"/>
                            <w:right w:val="none" w:sz="0" w:space="0" w:color="auto"/>
                          </w:divBdr>
                          <w:divsChild>
                            <w:div w:id="718826861">
                              <w:marLeft w:val="0"/>
                              <w:marRight w:val="0"/>
                              <w:marTop w:val="0"/>
                              <w:marBottom w:val="0"/>
                              <w:divBdr>
                                <w:top w:val="none" w:sz="0" w:space="0" w:color="auto"/>
                                <w:left w:val="none" w:sz="0" w:space="0" w:color="auto"/>
                                <w:bottom w:val="none" w:sz="0" w:space="0" w:color="auto"/>
                                <w:right w:val="none" w:sz="0" w:space="0" w:color="auto"/>
                              </w:divBdr>
                              <w:divsChild>
                                <w:div w:id="1360860059">
                                  <w:marLeft w:val="0"/>
                                  <w:marRight w:val="0"/>
                                  <w:marTop w:val="0"/>
                                  <w:marBottom w:val="0"/>
                                  <w:divBdr>
                                    <w:top w:val="none" w:sz="0" w:space="0" w:color="auto"/>
                                    <w:left w:val="none" w:sz="0" w:space="0" w:color="auto"/>
                                    <w:bottom w:val="none" w:sz="0" w:space="0" w:color="auto"/>
                                    <w:right w:val="none" w:sz="0" w:space="0" w:color="auto"/>
                                  </w:divBdr>
                                  <w:divsChild>
                                    <w:div w:id="88926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6924707">
      <w:bodyDiv w:val="1"/>
      <w:marLeft w:val="0"/>
      <w:marRight w:val="0"/>
      <w:marTop w:val="0"/>
      <w:marBottom w:val="0"/>
      <w:divBdr>
        <w:top w:val="none" w:sz="0" w:space="0" w:color="auto"/>
        <w:left w:val="none" w:sz="0" w:space="0" w:color="auto"/>
        <w:bottom w:val="none" w:sz="0" w:space="0" w:color="auto"/>
        <w:right w:val="none" w:sz="0" w:space="0" w:color="auto"/>
      </w:divBdr>
    </w:div>
    <w:div w:id="2059939352">
      <w:bodyDiv w:val="1"/>
      <w:marLeft w:val="0"/>
      <w:marRight w:val="0"/>
      <w:marTop w:val="0"/>
      <w:marBottom w:val="0"/>
      <w:divBdr>
        <w:top w:val="none" w:sz="0" w:space="0" w:color="auto"/>
        <w:left w:val="none" w:sz="0" w:space="0" w:color="auto"/>
        <w:bottom w:val="none" w:sz="0" w:space="0" w:color="auto"/>
        <w:right w:val="none" w:sz="0" w:space="0" w:color="auto"/>
      </w:divBdr>
    </w:div>
    <w:div w:id="212680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copyright@education.gov.au"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education.gov.au/national-school-resourcing-board"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s://creativecommons.org/licenses/by/4.0/legalcode"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creativecommons.org/licenses/by/4.0/" TargetMode="External"/><Relationship Id="rId20" Type="http://schemas.openxmlformats.org/officeDocument/2006/relationships/image" Target="media/image4.png"/><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cid:image001.jpg@01D31CE9.E303EF80"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ccd.edu.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yperlink" Target="http://www.education.gov.au/review-loading-students-disability-swd" TargetMode="External"/><Relationship Id="rId27" Type="http://schemas.openxmlformats.org/officeDocument/2006/relationships/header" Target="header4.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nccd.edu.au/help-and-support/glossary" TargetMode="External"/><Relationship Id="rId2" Type="http://schemas.openxmlformats.org/officeDocument/2006/relationships/hyperlink" Target="http://www.education.gov.au/quality-schools-package-factsheet" TargetMode="External"/><Relationship Id="rId1" Type="http://schemas.openxmlformats.org/officeDocument/2006/relationships/hyperlink" Target="http://www.education.gov.au/quality-schools-package-factsheet" TargetMode="External"/><Relationship Id="rId4" Type="http://schemas.openxmlformats.org/officeDocument/2006/relationships/hyperlink" Target="https://www.education.gov.au/what-government-doing-support-students-disabili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E2357075524C81A39A0138D01ABA2A"/>
        <w:category>
          <w:name w:val="General"/>
          <w:gallery w:val="placeholder"/>
        </w:category>
        <w:types>
          <w:type w:val="bbPlcHdr"/>
        </w:types>
        <w:behaviors>
          <w:behavior w:val="content"/>
        </w:behaviors>
        <w:guid w:val="{4656A66F-1158-489C-91A2-4995C97BD1B2}"/>
      </w:docPartPr>
      <w:docPartBody>
        <w:p w:rsidR="00984F8D" w:rsidRDefault="00EA4DCA" w:rsidP="00EA4DCA">
          <w:pPr>
            <w:pStyle w:val="5DE2357075524C81A39A0138D01ABA2A"/>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CA"/>
    <w:rsid w:val="00061A93"/>
    <w:rsid w:val="003A6002"/>
    <w:rsid w:val="00813D0F"/>
    <w:rsid w:val="00984F8D"/>
    <w:rsid w:val="00A577FE"/>
    <w:rsid w:val="00C90388"/>
    <w:rsid w:val="00E9606E"/>
    <w:rsid w:val="00EA4DCA"/>
    <w:rsid w:val="00FC3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4DCA"/>
    <w:rPr>
      <w:color w:val="808080"/>
    </w:rPr>
  </w:style>
  <w:style w:type="paragraph" w:customStyle="1" w:styleId="A700E698FF88486A902EC36F94FD6D7C">
    <w:name w:val="A700E698FF88486A902EC36F94FD6D7C"/>
    <w:rsid w:val="00EA4DCA"/>
  </w:style>
  <w:style w:type="paragraph" w:customStyle="1" w:styleId="5DE2357075524C81A39A0138D01ABA2A">
    <w:name w:val="5DE2357075524C81A39A0138D01ABA2A"/>
    <w:rsid w:val="00EA4DCA"/>
  </w:style>
  <w:style w:type="paragraph" w:customStyle="1" w:styleId="07A8C52F8A4345DFAFD154912223298C">
    <w:name w:val="07A8C52F8A4345DFAFD154912223298C"/>
    <w:rsid w:val="00E9606E"/>
  </w:style>
  <w:style w:type="paragraph" w:customStyle="1" w:styleId="D36EFC89EFC94544AA2916C0930D663D">
    <w:name w:val="D36EFC89EFC94544AA2916C0930D663D"/>
    <w:rsid w:val="00E960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Excellence in Schools">
      <a:dk1>
        <a:sysClr val="windowText" lastClr="000000"/>
      </a:dk1>
      <a:lt1>
        <a:srgbClr val="FFFFFF"/>
      </a:lt1>
      <a:dk2>
        <a:srgbClr val="0066FF"/>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Review into Education">
      <a:majorFont>
        <a:latin typeface="Century Gothic"/>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_x0020_Classification xmlns="c5a0bbd5-585e-4472-9791-5df67fe41a90" xsi:nil="true"/>
    <Security_x0020_DLM xmlns="c5a0bbd5-585e-4472-9791-5df67fe41a90" xsi:nil="true"/>
    <PublishingExpirationDate xmlns="http://schemas.microsoft.com/sharepoint/v3" xsi:nil="true"/>
    <Categories0 xmlns="c5a0bbd5-585e-4472-9791-5df67fe41a90">Other</Categories0>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7BAE2FE061684EB3543C79CA2162FA" ma:contentTypeVersion="4" ma:contentTypeDescription="Create a new document." ma:contentTypeScope="" ma:versionID="322f1e438b2c069304a148ad3fdd0edf">
  <xsd:schema xmlns:xsd="http://www.w3.org/2001/XMLSchema" xmlns:xs="http://www.w3.org/2001/XMLSchema" xmlns:p="http://schemas.microsoft.com/office/2006/metadata/properties" xmlns:ns1="http://schemas.microsoft.com/sharepoint/v3" xmlns:ns2="c5a0bbd5-585e-4472-9791-5df67fe41a90" targetNamespace="http://schemas.microsoft.com/office/2006/metadata/properties" ma:root="true" ma:fieldsID="a69a8e7eae4f38d994653e821ef7a014" ns1:_="" ns2:_="">
    <xsd:import namespace="http://schemas.microsoft.com/sharepoint/v3"/>
    <xsd:import namespace="c5a0bbd5-585e-4472-9791-5df67fe41a90"/>
    <xsd:element name="properties">
      <xsd:complexType>
        <xsd:sequence>
          <xsd:element name="documentManagement">
            <xsd:complexType>
              <xsd:all>
                <xsd:element ref="ns1:PublishingStartDate" minOccurs="0"/>
                <xsd:element ref="ns1:PublishingExpirationDate" minOccurs="0"/>
                <xsd:element ref="ns2:Categories0" minOccurs="0"/>
                <xsd:element ref="ns2:Security_x0020_DLM" minOccurs="0"/>
                <xsd:element ref="ns2:Security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a0bbd5-585e-4472-9791-5df67fe41a90" elementFormDefault="qualified">
    <xsd:import namespace="http://schemas.microsoft.com/office/2006/documentManagement/types"/>
    <xsd:import namespace="http://schemas.microsoft.com/office/infopath/2007/PartnerControls"/>
    <xsd:element name="Categories0" ma:index="10" nillable="true" ma:displayName="Categories" ma:format="Dropdown" ma:internalName="Categories0">
      <xsd:simpleType>
        <xsd:restriction base="dms:Choice">
          <xsd:enumeration value="Fax"/>
          <xsd:enumeration value="Letter - Deputy or Associate Secretary"/>
          <xsd:enumeration value="Letter - Other"/>
          <xsd:enumeration value="Minutes"/>
          <xsd:enumeration value="Meetings"/>
          <xsd:enumeration value="Other"/>
          <xsd:enumeration value="PowerPoint"/>
          <xsd:enumeration value="Secretary"/>
          <xsd:enumeration value="Education - Fax"/>
          <xsd:enumeration value="Education - Letter - Deputy or Associate Secretary"/>
          <xsd:enumeration value="Education - Letter - Other"/>
          <xsd:enumeration value="Education - Minutes and meetings"/>
          <xsd:enumeration value="Education - Other"/>
          <xsd:enumeration value="Education - PowerPoint"/>
          <xsd:enumeration value="Education - Secretary"/>
          <xsd:enumeration value="Email"/>
        </xsd:restriction>
      </xsd:simpleType>
    </xsd:element>
    <xsd:element name="Security_x0020_DLM" ma:index="11" nillable="true" ma:displayName="Security DLM" ma:format="Dropdown" ma:internalName="Security_x0020_DLM">
      <xsd:simpleType>
        <xsd:restriction base="dms:Choice">
          <xsd:enumeration value=""/>
          <xsd:enumeration value="For Official Use Only"/>
          <xsd:enumeration value="Sensitive"/>
          <xsd:enumeration value="Sensitive: Personal"/>
          <xsd:enumeration value="Sensitive: Legal"/>
        </xsd:restriction>
      </xsd:simpleType>
    </xsd:element>
    <xsd:element name="Security_x0020_Classification" ma:index="12" nillable="true" ma:displayName="Security Classification" ma:format="Dropdown" ma:internalName="Security_x0020_Classification">
      <xsd:simpleType>
        <xsd:restriction base="dms:Choice">
          <xsd:enumeration value=""/>
          <xsd:enumeration value="UNOFFICIAL"/>
          <xsd:enumeration value="UNCLASSIFI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EC45F-5108-4DFB-9409-93A12F348B98}">
  <ds:schemaRefs>
    <ds:schemaRef ds:uri="http://schemas.microsoft.com/sharepoint/v3/contenttype/forms"/>
  </ds:schemaRefs>
</ds:datastoreItem>
</file>

<file path=customXml/itemProps2.xml><?xml version="1.0" encoding="utf-8"?>
<ds:datastoreItem xmlns:ds="http://schemas.openxmlformats.org/officeDocument/2006/customXml" ds:itemID="{7EBB4C30-6D86-487A-8B5B-3A5DEC448181}">
  <ds:schemaRefs>
    <ds:schemaRef ds:uri="c5a0bbd5-585e-4472-9791-5df67fe41a90"/>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D1780DFF-3045-4E92-857E-D77B4377E2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a0bbd5-585e-4472-9791-5df67fe41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BB03C5-F8B1-4D0F-A3DA-E21BDA68B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E67E612.dotm</Template>
  <TotalTime>0</TotalTime>
  <Pages>14</Pages>
  <Words>4757</Words>
  <Characters>27117</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Appendix 1:</vt:lpstr>
    </vt:vector>
  </TitlesOfParts>
  <Company>Australian Government</Company>
  <LinksUpToDate>false</LinksUpToDate>
  <CharactersWithSpaces>31811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dc:title>
  <dc:subject/>
  <dc:creator>PERUSCO,Anne</dc:creator>
  <cp:keywords/>
  <dc:description/>
  <cp:lastModifiedBy>PERUSCO,Anne</cp:lastModifiedBy>
  <cp:revision>2</cp:revision>
  <cp:lastPrinted>2019-06-27T04:38:00Z</cp:lastPrinted>
  <dcterms:created xsi:type="dcterms:W3CDTF">2019-07-07T23:57:00Z</dcterms:created>
  <dcterms:modified xsi:type="dcterms:W3CDTF">2019-07-07T23:57:00Z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0x010100CB7BAE2FE061684EB3543C79CA2162FA</vt:lpwstr>
  </property>
</Properties>
</file>