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4.xml" ContentType="application/vnd.openxmlformats-officedocument.wordprocessingml.header+xml"/>
  <Override PartName="/word/footer4.xml" ContentType="application/vnd.openxmlformats-officedocument.wordprocessingml.footer+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drawings/drawing1.xml" ContentType="application/vnd.openxmlformats-officedocument.drawingml.chartshapes+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drawings/drawing2.xml" ContentType="application/vnd.openxmlformats-officedocument.drawingml.chartshapes+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1B497" w14:textId="77777777" w:rsidR="001E349B" w:rsidRDefault="008B20E8" w:rsidP="001E349B">
      <w:r w:rsidRPr="008B20E8">
        <w:rPr>
          <w:noProof/>
          <w:lang w:eastAsia="en-AU"/>
        </w:rPr>
        <w:drawing>
          <wp:anchor distT="0" distB="0" distL="114300" distR="114300" simplePos="0" relativeHeight="251684864" behindDoc="0" locked="0" layoutInCell="1" allowOverlap="1" wp14:anchorId="03E79A62" wp14:editId="671A559A">
            <wp:simplePos x="0" y="0"/>
            <wp:positionH relativeFrom="page">
              <wp:posOffset>431800</wp:posOffset>
            </wp:positionH>
            <wp:positionV relativeFrom="page">
              <wp:posOffset>431800</wp:posOffset>
            </wp:positionV>
            <wp:extent cx="3185786" cy="914400"/>
            <wp:effectExtent l="0" t="0" r="0" b="0"/>
            <wp:wrapNone/>
            <wp:docPr id="1" name="Frontpage_Logo_Negativ" descr="D:\Tortoise\DeloitteAU\Templafy\Graphics\White_Logo_Access_Economics.emf"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Tortoise\DeloitteAU\Templafy\Graphics\White_Logo_Access_Economics.e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5786"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A061C" w14:textId="77777777" w:rsidR="001E349B" w:rsidRPr="004A7D78" w:rsidRDefault="001E349B" w:rsidP="001E349B">
      <w:r w:rsidRPr="004A7D78">
        <w:rPr>
          <w:noProof/>
          <w:lang w:eastAsia="en-AU"/>
        </w:rPr>
        <mc:AlternateContent>
          <mc:Choice Requires="wps">
            <w:drawing>
              <wp:anchor distT="0" distB="0" distL="114300" distR="114300" simplePos="0" relativeHeight="251681792" behindDoc="1" locked="1" layoutInCell="1" allowOverlap="1" wp14:anchorId="7852D107" wp14:editId="1C2A02D0">
                <wp:simplePos x="0" y="0"/>
                <wp:positionH relativeFrom="page">
                  <wp:align>left</wp:align>
                </wp:positionH>
                <wp:positionV relativeFrom="page">
                  <wp:align>top</wp:align>
                </wp:positionV>
                <wp:extent cx="7596000" cy="10728000"/>
                <wp:effectExtent l="0" t="0" r="5080" b="0"/>
                <wp:wrapNone/>
                <wp:docPr id="35" name="FrontpageBackground"/>
                <wp:cNvGraphicFramePr/>
                <a:graphic xmlns:a="http://schemas.openxmlformats.org/drawingml/2006/main">
                  <a:graphicData uri="http://schemas.microsoft.com/office/word/2010/wordprocessingShape">
                    <wps:wsp>
                      <wps:cNvSpPr/>
                      <wps:spPr>
                        <a:xfrm>
                          <a:off x="0" y="0"/>
                          <a:ext cx="7596000" cy="10728000"/>
                        </a:xfrm>
                        <a:prstGeom prst="rect">
                          <a:avLst/>
                        </a:prstGeom>
                        <a:solidFill>
                          <a:srgbClr val="FFFFF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47E94F8" w14:textId="77777777" w:rsidR="0081649B" w:rsidRDefault="0081649B" w:rsidP="00F12EFB">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52D107" id="FrontpageBackground" o:spid="_x0000_s1026" style="position:absolute;margin-left:0;margin-top:0;width:598.1pt;height:844.7pt;z-index:-251634688;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" stroked="f" strokeweight="2pt">
                <v:textbox>
                  <w:txbxContent>
                    <w:p w14:paraId="747E94F8" w14:textId="77777777" w:rsidR="0081649B" w:rsidRDefault="0081649B" w:rsidP="00F12EFB">
                      <w:pPr>
                        <w:jc w:val="center"/>
                      </w:pPr>
                    </w:p>
                  </w:txbxContent>
                </v:textbox>
                <w10:wrap anchorx="page" anchory="page"/>
                <w10:anchorlock/>
              </v:rect>
            </w:pict>
          </mc:Fallback>
        </mc:AlternateContent>
      </w:r>
      <w:r w:rsidRPr="004A7D78">
        <w:rPr>
          <w:noProof/>
          <w:lang w:eastAsia="en-AU"/>
        </w:rPr>
        <mc:AlternateContent>
          <mc:Choice Requires="wps">
            <w:drawing>
              <wp:anchor distT="0" distB="0" distL="114300" distR="114300" simplePos="0" relativeHeight="251682816" behindDoc="0" locked="1" layoutInCell="1" allowOverlap="1" wp14:anchorId="12BAB66A" wp14:editId="1FF4B39C">
                <wp:simplePos x="0" y="0"/>
                <wp:positionH relativeFrom="page">
                  <wp:posOffset>428625</wp:posOffset>
                </wp:positionH>
                <wp:positionV relativeFrom="page">
                  <wp:posOffset>428625</wp:posOffset>
                </wp:positionV>
                <wp:extent cx="6746875" cy="9677400"/>
                <wp:effectExtent l="0" t="0" r="0" b="0"/>
                <wp:wrapNone/>
                <wp:docPr id="36" name="Logo and frontpagepicture"/>
                <wp:cNvGraphicFramePr/>
                <a:graphic xmlns:a="http://schemas.openxmlformats.org/drawingml/2006/main">
                  <a:graphicData uri="http://schemas.microsoft.com/office/word/2010/wordprocessingShape">
                    <wps:wsp>
                      <wps:cNvSpPr txBox="1"/>
                      <wps:spPr>
                        <a:xfrm>
                          <a:off x="0" y="0"/>
                          <a:ext cx="6746875" cy="9677400"/>
                        </a:xfrm>
                        <a:prstGeom prst="rect">
                          <a:avLst/>
                        </a:prstGeom>
                        <a:noFill/>
                        <a:ln w="6350">
                          <a:noFill/>
                        </a:ln>
                        <a:effectLst/>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tbl>
                            <w:tblPr>
                              <w:tblStyle w:val="TableGrid"/>
                              <w:tblW w:w="0" w:type="auto"/>
                              <w:tblLayout w:type="fixed"/>
                              <w:tblLook w:val="04A0" w:firstRow="1" w:lastRow="0" w:firstColumn="1" w:lastColumn="0" w:noHBand="0" w:noVBand="1"/>
                            </w:tblPr>
                            <w:tblGrid>
                              <w:gridCol w:w="10603"/>
                            </w:tblGrid>
                            <w:tr w:rsidR="0081649B" w:rsidRPr="00AA1B91" w14:paraId="56820B23" w14:textId="77777777" w:rsidTr="00C002A2">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4589E77A" w14:textId="77777777" w:rsidR="0081649B" w:rsidRPr="00AA1B91" w:rsidRDefault="0081649B" w:rsidP="00C002A2">
                                  <w:r>
                                    <w:rPr>
                                      <w:noProof/>
                                      <w:lang w:eastAsia="en-AU"/>
                                    </w:rPr>
                                    <w:drawing>
                                      <wp:inline distT="0" distB="0" distL="0" distR="0" wp14:anchorId="6DA475DC" wp14:editId="594A77ED">
                                        <wp:extent cx="2084070" cy="914400"/>
                                        <wp:effectExtent l="0" t="0" r="0" b="0"/>
                                        <wp:docPr id="9" name="Frontpage_Logo_Positiv"/>
                                        <wp:cNvGraphicFramePr/>
                                        <a:graphic xmlns:a="http://schemas.openxmlformats.org/drawingml/2006/main">
                                          <a:graphicData uri="http://schemas.openxmlformats.org/drawingml/2006/picture">
                                            <pic:pic xmlns:pic="http://schemas.openxmlformats.org/drawingml/2006/picture">
                                              <pic:nvPicPr>
                                                <pic:cNvPr id="1" name="Frontpage_Logo_Positiv"/>
                                                <pic:cNvPicPr/>
                                              </pic:nvPicPr>
                                              <pic:blipFill>
                                                <a:blip r:embed="rId9"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81649B" w:rsidRPr="00AA1B91" w14:paraId="42D1FC04" w14:textId="77777777" w:rsidTr="00981018">
                              <w:trPr>
                                <w:trHeight w:hRule="exact" w:val="10603"/>
                              </w:trPr>
                              <w:tc>
                                <w:tcPr>
                                  <w:tcW w:w="10603" w:type="dxa"/>
                                </w:tcPr>
                                <w:p w14:paraId="55F2130F" w14:textId="77777777" w:rsidR="0081649B" w:rsidRPr="00AA1B91" w:rsidRDefault="0081649B" w:rsidP="00C002A2">
                                  <w:pPr>
                                    <w:pStyle w:val="FPPicture"/>
                                  </w:pPr>
                                  <w:r w:rsidRPr="00810613">
                                    <w:rPr>
                                      <w:noProof/>
                                      <w:lang w:eastAsia="en-AU"/>
                                    </w:rPr>
                                    <w:drawing>
                                      <wp:inline distT="0" distB="0" distL="0" distR="0" wp14:anchorId="18E79472" wp14:editId="0736889F">
                                        <wp:extent cx="6732905" cy="67329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732905" cy="6732905"/>
                                                </a:xfrm>
                                                <a:prstGeom prst="rect">
                                                  <a:avLst/>
                                                </a:prstGeom>
                                              </pic:spPr>
                                            </pic:pic>
                                          </a:graphicData>
                                        </a:graphic>
                                      </wp:inline>
                                    </w:drawing>
                                  </w:r>
                                </w:p>
                              </w:tc>
                            </w:tr>
                          </w:tbl>
                          <w:p w14:paraId="0CBE0FEE" w14:textId="77777777" w:rsidR="0081649B" w:rsidRDefault="0081649B" w:rsidP="00981018">
                            <w:pPr>
                              <w:pStyle w:val="NoSpacing"/>
                            </w:pPr>
                          </w:p>
                          <w:p w14:paraId="7275D534" w14:textId="77777777" w:rsidR="0081649B" w:rsidRPr="00AA1B91" w:rsidRDefault="0081649B" w:rsidP="00981018">
                            <w:pPr>
                              <w:pStyle w:val="NoSpacing"/>
                            </w:pPr>
                          </w:p>
                          <w:tbl>
                            <w:tblPr>
                              <w:tblStyle w:val="Tabel-Gitter1"/>
                              <w:tblOverlap w:val="never"/>
                              <w:tblW w:w="0" w:type="auto"/>
                              <w:tblLayout w:type="fixed"/>
                              <w:tblLook w:val="04A0" w:firstRow="1" w:lastRow="0" w:firstColumn="1" w:lastColumn="0" w:noHBand="0" w:noVBand="1"/>
                            </w:tblPr>
                            <w:tblGrid>
                              <w:gridCol w:w="6804"/>
                            </w:tblGrid>
                            <w:tr w:rsidR="0081649B" w14:paraId="77AAD08E" w14:textId="77777777" w:rsidTr="006118C2">
                              <w:trPr>
                                <w:cnfStyle w:val="100000000000" w:firstRow="1" w:lastRow="0" w:firstColumn="0" w:lastColumn="0" w:oddVBand="0" w:evenVBand="0" w:oddHBand="0" w:evenHBand="0" w:firstRowFirstColumn="0" w:firstRowLastColumn="0" w:lastRowFirstColumn="0" w:lastRowLastColumn="0"/>
                                <w:trHeight w:val="2438"/>
                              </w:trPr>
                              <w:tc>
                                <w:tcPr>
                                  <w:tcW w:w="6804" w:type="dxa"/>
                                  <w:vAlign w:val="bottom"/>
                                  <w:hideMark/>
                                </w:tcPr>
                                <w:bookmarkStart w:id="0" w:name="start" w:displacedByCustomXml="next"/>
                                <w:sdt>
                                  <w:sdtPr>
                                    <w:alias w:val="Titel"/>
                                    <w:id w:val="-749505301"/>
                                    <w:dataBinding w:prefixMappings="xmlns:ns0='http://purl.org/dc/elements/1.1/' xmlns:ns1='http://schemas.openxmlformats.org/package/2006/metadata/core-properties' " w:xpath="/ns1:coreProperties[1]/ns0:title[1]" w:storeItemID="{6C3C8BC8-F283-45AE-878A-BAB7291924A1}"/>
                                    <w:text/>
                                  </w:sdtPr>
                                  <w:sdtContent>
                                    <w:p w14:paraId="2D81317D" w14:textId="77777777" w:rsidR="0081649B" w:rsidRPr="00A96769" w:rsidRDefault="0081649B" w:rsidP="00C002A2">
                                      <w:pPr>
                                        <w:pStyle w:val="Documenttitle"/>
                                      </w:pPr>
                                      <w:r>
                                        <w:t>Transparency in Higher Education Expenditure</w:t>
                                      </w:r>
                                    </w:p>
                                  </w:sdtContent>
                                </w:sdt>
                                <w:bookmarkEnd w:id="0" w:displacedByCustomXml="prev"/>
                                <w:p w14:paraId="50545D27" w14:textId="77777777" w:rsidR="0081649B" w:rsidRPr="00F73B6C" w:rsidRDefault="0081649B" w:rsidP="005D3CA2">
                                  <w:pPr>
                                    <w:pStyle w:val="Documentsubtitle"/>
                                    <w:rPr>
                                      <w:sz w:val="24"/>
                                    </w:rPr>
                                  </w:pPr>
                                  <w:r w:rsidRPr="00F73B6C">
                                    <w:rPr>
                                      <w:sz w:val="24"/>
                                    </w:rPr>
                                    <w:t xml:space="preserve">Australian Government Department of Education and Training </w:t>
                                  </w:r>
                                </w:p>
                                <w:p w14:paraId="4F868BB7" w14:textId="5C95503D" w:rsidR="0081649B" w:rsidRDefault="0081649B" w:rsidP="00645A8A">
                                  <w:pPr>
                                    <w:pStyle w:val="Documentdate"/>
                                  </w:pPr>
                                  <w:r>
                                    <w:t>January 2019</w:t>
                                  </w:r>
                                </w:p>
                              </w:tc>
                            </w:tr>
                          </w:tbl>
                          <w:p w14:paraId="6F0FD90F" w14:textId="77777777" w:rsidR="0081649B" w:rsidRPr="00AA1B91" w:rsidRDefault="0081649B" w:rsidP="00F73B6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BAB66A" id="_x0000_t202" coordsize="21600,21600" o:spt="202" path="m,l,21600r21600,l21600,xe">
                <v:stroke joinstyle="miter"/>
                <v:path gradientshapeok="t" o:connecttype="rect"/>
              </v:shapetype>
              <v:shape id="Logo and frontpagepicture" o:spid="_x0000_s1027" type="#_x0000_t202" style="position:absolute;margin-left:33.75pt;margin-top:33.75pt;width:531.25pt;height:762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" filled="f" fillcolor="white [3201]" stroked="f" strokeweight=".5pt">
                <v:textbox inset="0,0,0,0">
                  <w:txbxContent>
                    <w:tbl>
                      <w:tblPr>
                        <w:tblStyle w:val="TableGrid"/>
                        <w:tblW w:w="0" w:type="auto"/>
                        <w:tblLayout w:type="fixed"/>
                        <w:tblLook w:val="04A0" w:firstRow="1" w:lastRow="0" w:firstColumn="1" w:lastColumn="0" w:noHBand="0" w:noVBand="1"/>
                      </w:tblPr>
                      <w:tblGrid>
                        <w:gridCol w:w="10603"/>
                      </w:tblGrid>
                      <w:tr w:rsidR="0081649B" w:rsidRPr="00AA1B91" w14:paraId="56820B23" w14:textId="77777777" w:rsidTr="00C002A2">
                        <w:trPr>
                          <w:cnfStyle w:val="100000000000" w:firstRow="1" w:lastRow="0" w:firstColumn="0" w:lastColumn="0" w:oddVBand="0" w:evenVBand="0" w:oddHBand="0" w:evenHBand="0" w:firstRowFirstColumn="0" w:firstRowLastColumn="0" w:lastRowFirstColumn="0" w:lastRowLastColumn="0"/>
                          <w:trHeight w:val="1604"/>
                        </w:trPr>
                        <w:tc>
                          <w:tcPr>
                            <w:tcW w:w="10603" w:type="dxa"/>
                          </w:tcPr>
                          <w:p w14:paraId="4589E77A" w14:textId="77777777" w:rsidR="0081649B" w:rsidRPr="00AA1B91" w:rsidRDefault="0081649B" w:rsidP="00C002A2">
                            <w:r>
                              <w:rPr>
                                <w:noProof/>
                                <w:lang w:eastAsia="en-AU"/>
                              </w:rPr>
                              <w:drawing>
                                <wp:inline distT="0" distB="0" distL="0" distR="0" wp14:anchorId="6DA475DC" wp14:editId="594A77ED">
                                  <wp:extent cx="2084070" cy="914400"/>
                                  <wp:effectExtent l="0" t="0" r="0" b="0"/>
                                  <wp:docPr id="9" name="Frontpage_Logo_Positiv"/>
                                  <wp:cNvGraphicFramePr/>
                                  <a:graphic xmlns:a="http://schemas.openxmlformats.org/drawingml/2006/main">
                                    <a:graphicData uri="http://schemas.openxmlformats.org/drawingml/2006/picture">
                                      <pic:pic xmlns:pic="http://schemas.openxmlformats.org/drawingml/2006/picture">
                                        <pic:nvPicPr>
                                          <pic:cNvPr id="1" name="Frontpage_Logo_Positiv"/>
                                          <pic:cNvPicPr/>
                                        </pic:nvPicPr>
                                        <pic:blipFill>
                                          <a:blip r:embed="rId9" cstate="print">
                                            <a:extLst>
                                              <a:ext uri="{28A0092B-C50C-407E-A947-70E740481C1C}">
                                                <a14:useLocalDpi xmlns:a14="http://schemas.microsoft.com/office/drawing/2010/main" val="0"/>
                                              </a:ext>
                                            </a:extLst>
                                          </a:blip>
                                          <a:srcRect/>
                                          <a:stretch/>
                                        </pic:blipFill>
                                        <pic:spPr>
                                          <a:xfrm>
                                            <a:off x="0" y="0"/>
                                            <a:ext cx="2084070" cy="914400"/>
                                          </a:xfrm>
                                          <a:prstGeom prst="rect">
                                            <a:avLst/>
                                          </a:prstGeom>
                                        </pic:spPr>
                                      </pic:pic>
                                    </a:graphicData>
                                  </a:graphic>
                                </wp:inline>
                              </w:drawing>
                            </w:r>
                          </w:p>
                        </w:tc>
                      </w:tr>
                      <w:tr w:rsidR="0081649B" w:rsidRPr="00AA1B91" w14:paraId="42D1FC04" w14:textId="77777777" w:rsidTr="00981018">
                        <w:trPr>
                          <w:trHeight w:hRule="exact" w:val="10603"/>
                        </w:trPr>
                        <w:tc>
                          <w:tcPr>
                            <w:tcW w:w="10603" w:type="dxa"/>
                          </w:tcPr>
                          <w:p w14:paraId="55F2130F" w14:textId="77777777" w:rsidR="0081649B" w:rsidRPr="00AA1B91" w:rsidRDefault="0081649B" w:rsidP="00C002A2">
                            <w:pPr>
                              <w:pStyle w:val="FPPicture"/>
                            </w:pPr>
                            <w:r w:rsidRPr="00810613">
                              <w:rPr>
                                <w:noProof/>
                                <w:lang w:eastAsia="en-AU"/>
                              </w:rPr>
                              <w:drawing>
                                <wp:inline distT="0" distB="0" distL="0" distR="0" wp14:anchorId="18E79472" wp14:editId="0736889F">
                                  <wp:extent cx="6732905" cy="6732905"/>
                                  <wp:effectExtent l="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6732905" cy="6732905"/>
                                          </a:xfrm>
                                          <a:prstGeom prst="rect">
                                            <a:avLst/>
                                          </a:prstGeom>
                                        </pic:spPr>
                                      </pic:pic>
                                    </a:graphicData>
                                  </a:graphic>
                                </wp:inline>
                              </w:drawing>
                            </w:r>
                          </w:p>
                        </w:tc>
                      </w:tr>
                    </w:tbl>
                    <w:p w14:paraId="0CBE0FEE" w14:textId="77777777" w:rsidR="0081649B" w:rsidRDefault="0081649B" w:rsidP="00981018">
                      <w:pPr>
                        <w:pStyle w:val="NoSpacing"/>
                      </w:pPr>
                    </w:p>
                    <w:p w14:paraId="7275D534" w14:textId="77777777" w:rsidR="0081649B" w:rsidRPr="00AA1B91" w:rsidRDefault="0081649B" w:rsidP="00981018">
                      <w:pPr>
                        <w:pStyle w:val="NoSpacing"/>
                      </w:pPr>
                    </w:p>
                    <w:tbl>
                      <w:tblPr>
                        <w:tblStyle w:val="Tabel-Gitter1"/>
                        <w:tblOverlap w:val="never"/>
                        <w:tblW w:w="0" w:type="auto"/>
                        <w:tblLayout w:type="fixed"/>
                        <w:tblLook w:val="04A0" w:firstRow="1" w:lastRow="0" w:firstColumn="1" w:lastColumn="0" w:noHBand="0" w:noVBand="1"/>
                      </w:tblPr>
                      <w:tblGrid>
                        <w:gridCol w:w="6804"/>
                      </w:tblGrid>
                      <w:tr w:rsidR="0081649B" w14:paraId="77AAD08E" w14:textId="77777777" w:rsidTr="006118C2">
                        <w:trPr>
                          <w:cnfStyle w:val="100000000000" w:firstRow="1" w:lastRow="0" w:firstColumn="0" w:lastColumn="0" w:oddVBand="0" w:evenVBand="0" w:oddHBand="0" w:evenHBand="0" w:firstRowFirstColumn="0" w:firstRowLastColumn="0" w:lastRowFirstColumn="0" w:lastRowLastColumn="0"/>
                          <w:trHeight w:val="2438"/>
                        </w:trPr>
                        <w:tc>
                          <w:tcPr>
                            <w:tcW w:w="6804" w:type="dxa"/>
                            <w:vAlign w:val="bottom"/>
                            <w:hideMark/>
                          </w:tcPr>
                          <w:bookmarkStart w:id="1" w:name="start" w:displacedByCustomXml="next"/>
                          <w:sdt>
                            <w:sdtPr>
                              <w:alias w:val="Titel"/>
                              <w:id w:val="-749505301"/>
                              <w:dataBinding w:prefixMappings="xmlns:ns0='http://purl.org/dc/elements/1.1/' xmlns:ns1='http://schemas.openxmlformats.org/package/2006/metadata/core-properties' " w:xpath="/ns1:coreProperties[1]/ns0:title[1]" w:storeItemID="{6C3C8BC8-F283-45AE-878A-BAB7291924A1}"/>
                              <w:text/>
                            </w:sdtPr>
                            <w:sdtContent>
                              <w:p w14:paraId="2D81317D" w14:textId="77777777" w:rsidR="0081649B" w:rsidRPr="00A96769" w:rsidRDefault="0081649B" w:rsidP="00C002A2">
                                <w:pPr>
                                  <w:pStyle w:val="Documenttitle"/>
                                </w:pPr>
                                <w:r>
                                  <w:t>Transparency in Higher Education Expenditure</w:t>
                                </w:r>
                              </w:p>
                            </w:sdtContent>
                          </w:sdt>
                          <w:bookmarkEnd w:id="1" w:displacedByCustomXml="prev"/>
                          <w:p w14:paraId="50545D27" w14:textId="77777777" w:rsidR="0081649B" w:rsidRPr="00F73B6C" w:rsidRDefault="0081649B" w:rsidP="005D3CA2">
                            <w:pPr>
                              <w:pStyle w:val="Documentsubtitle"/>
                              <w:rPr>
                                <w:sz w:val="24"/>
                              </w:rPr>
                            </w:pPr>
                            <w:r w:rsidRPr="00F73B6C">
                              <w:rPr>
                                <w:sz w:val="24"/>
                              </w:rPr>
                              <w:t xml:space="preserve">Australian Government Department of Education and Training </w:t>
                            </w:r>
                          </w:p>
                          <w:p w14:paraId="4F868BB7" w14:textId="5C95503D" w:rsidR="0081649B" w:rsidRDefault="0081649B" w:rsidP="00645A8A">
                            <w:pPr>
                              <w:pStyle w:val="Documentdate"/>
                            </w:pPr>
                            <w:r>
                              <w:t>January 2019</w:t>
                            </w:r>
                          </w:p>
                        </w:tc>
                      </w:tr>
                    </w:tbl>
                    <w:p w14:paraId="6F0FD90F" w14:textId="77777777" w:rsidR="0081649B" w:rsidRPr="00AA1B91" w:rsidRDefault="0081649B" w:rsidP="00F73B6C"/>
                  </w:txbxContent>
                </v:textbox>
                <w10:wrap anchorx="page" anchory="page"/>
                <w10:anchorlock/>
              </v:shape>
            </w:pict>
          </mc:Fallback>
        </mc:AlternateContent>
      </w:r>
      <w:bookmarkStart w:id="2" w:name="BIT_CoverPage"/>
    </w:p>
    <w:p w14:paraId="0B692064" w14:textId="77777777" w:rsidR="001E349B" w:rsidRPr="004A7D78" w:rsidRDefault="001E349B" w:rsidP="001E349B"/>
    <w:bookmarkEnd w:id="2"/>
    <w:p w14:paraId="5B0C42FD" w14:textId="77777777" w:rsidR="001E349B" w:rsidRDefault="001E349B" w:rsidP="00A31EF9"/>
    <w:p w14:paraId="0072D9A0" w14:textId="77777777" w:rsidR="001E349B" w:rsidRPr="000F05E4" w:rsidRDefault="00FF08B6" w:rsidP="00A31EF9">
      <w:r>
        <w:rPr>
          <w:noProof/>
          <w:lang w:eastAsia="en-AU"/>
        </w:rPr>
        <w:drawing>
          <wp:anchor distT="0" distB="0" distL="114300" distR="114300" simplePos="0" relativeHeight="251686912" behindDoc="0" locked="0" layoutInCell="1" allowOverlap="1" wp14:anchorId="099B3CDE" wp14:editId="237AD848">
            <wp:simplePos x="0" y="0"/>
            <wp:positionH relativeFrom="page">
              <wp:posOffset>5148580</wp:posOffset>
            </wp:positionH>
            <wp:positionV relativeFrom="page">
              <wp:posOffset>9571990</wp:posOffset>
            </wp:positionV>
            <wp:extent cx="2004695" cy="528955"/>
            <wp:effectExtent l="0" t="0" r="0" b="0"/>
            <wp:wrapNone/>
            <wp:docPr id="12" name="Frontpage_Logo_Positiv"/>
            <wp:cNvGraphicFramePr/>
            <a:graphic xmlns:a="http://schemas.openxmlformats.org/drawingml/2006/main">
              <a:graphicData uri="http://schemas.openxmlformats.org/drawingml/2006/picture">
                <pic:pic xmlns:pic="http://schemas.openxmlformats.org/drawingml/2006/picture">
                  <pic:nvPicPr>
                    <pic:cNvPr id="475882791" name="Frontpage_Logo_Positiv"/>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4695" cy="528955"/>
                    </a:xfrm>
                    <a:prstGeom prst="rect">
                      <a:avLst/>
                    </a:prstGeom>
                  </pic:spPr>
                </pic:pic>
              </a:graphicData>
            </a:graphic>
            <wp14:sizeRelH relativeFrom="margin">
              <wp14:pctWidth>0</wp14:pctWidth>
            </wp14:sizeRelH>
            <wp14:sizeRelV relativeFrom="margin">
              <wp14:pctHeight>0</wp14:pctHeight>
            </wp14:sizeRelV>
          </wp:anchor>
        </w:drawing>
      </w:r>
    </w:p>
    <w:p w14:paraId="51139050" w14:textId="77777777" w:rsidR="00D96296" w:rsidRDefault="00D96296" w:rsidP="008C16DC">
      <w:pPr>
        <w:pageBreakBefore/>
        <w:sectPr w:rsidR="00D96296" w:rsidSect="00372238">
          <w:headerReference w:type="default" r:id="rId12"/>
          <w:footerReference w:type="default" r:id="rId13"/>
          <w:pgSz w:w="11906" w:h="16838" w:code="9"/>
          <w:pgMar w:top="1985" w:right="4281" w:bottom="1134" w:left="680" w:header="680" w:footer="425" w:gutter="0"/>
          <w:cols w:space="284"/>
          <w:docGrid w:linePitch="360"/>
        </w:sectPr>
      </w:pPr>
    </w:p>
    <w:p w14:paraId="769427F3" w14:textId="77777777" w:rsidR="002268CC" w:rsidRDefault="00A3438E" w:rsidP="002268CC">
      <w:pPr>
        <w:pStyle w:val="TOCHeading"/>
      </w:pPr>
      <w:bookmarkStart w:id="3" w:name="LAN_ContentsRP"/>
      <w:r>
        <w:lastRenderedPageBreak/>
        <w:t>C</w:t>
      </w:r>
      <w:r w:rsidR="002268CC">
        <w:t>ontents</w:t>
      </w:r>
      <w:bookmarkEnd w:id="3"/>
    </w:p>
    <w:p w14:paraId="3FEF7961" w14:textId="1715CCA4" w:rsidR="001B01D0" w:rsidRDefault="00BC1C07">
      <w:pPr>
        <w:pStyle w:val="TOC1"/>
        <w:rPr>
          <w:rFonts w:asciiTheme="minorHAnsi" w:eastAsiaTheme="minorEastAsia" w:hAnsiTheme="minorHAnsi"/>
          <w:noProof/>
          <w:sz w:val="22"/>
          <w:szCs w:val="22"/>
          <w:lang w:eastAsia="en-AU"/>
        </w:rPr>
      </w:pPr>
      <w:r>
        <w:fldChar w:fldCharType="begin"/>
      </w:r>
      <w:r>
        <w:instrText xml:space="preserve"> TOC \o "1-2" \h \z \u </w:instrText>
      </w:r>
      <w:r>
        <w:fldChar w:fldCharType="separate"/>
      </w:r>
      <w:hyperlink w:anchor="_Toc534713778" w:history="1">
        <w:r w:rsidR="001B01D0" w:rsidRPr="007E2C1E">
          <w:rPr>
            <w:rStyle w:val="Hyperlink"/>
            <w:noProof/>
          </w:rPr>
          <w:t>Glossary</w:t>
        </w:r>
        <w:r w:rsidR="001B01D0">
          <w:rPr>
            <w:noProof/>
            <w:webHidden/>
          </w:rPr>
          <w:tab/>
        </w:r>
        <w:r w:rsidR="001B01D0">
          <w:rPr>
            <w:noProof/>
            <w:webHidden/>
          </w:rPr>
          <w:fldChar w:fldCharType="begin"/>
        </w:r>
        <w:r w:rsidR="001B01D0">
          <w:rPr>
            <w:noProof/>
            <w:webHidden/>
          </w:rPr>
          <w:instrText xml:space="preserve"> PAGEREF _Toc534713778 \h </w:instrText>
        </w:r>
        <w:r w:rsidR="001B01D0">
          <w:rPr>
            <w:noProof/>
            <w:webHidden/>
          </w:rPr>
        </w:r>
        <w:r w:rsidR="001B01D0">
          <w:rPr>
            <w:noProof/>
            <w:webHidden/>
          </w:rPr>
          <w:fldChar w:fldCharType="separate"/>
        </w:r>
        <w:r w:rsidR="00F47C96">
          <w:rPr>
            <w:noProof/>
            <w:webHidden/>
          </w:rPr>
          <w:t>iii</w:t>
        </w:r>
        <w:r w:rsidR="001B01D0">
          <w:rPr>
            <w:noProof/>
            <w:webHidden/>
          </w:rPr>
          <w:fldChar w:fldCharType="end"/>
        </w:r>
      </w:hyperlink>
    </w:p>
    <w:p w14:paraId="61104EC9" w14:textId="6755A949" w:rsidR="001B01D0" w:rsidRDefault="0081649B">
      <w:pPr>
        <w:pStyle w:val="TOC2"/>
        <w:rPr>
          <w:rFonts w:asciiTheme="minorHAnsi" w:eastAsiaTheme="minorEastAsia" w:hAnsiTheme="minorHAnsi"/>
          <w:noProof/>
          <w:sz w:val="22"/>
          <w:szCs w:val="22"/>
          <w:lang w:eastAsia="en-AU"/>
        </w:rPr>
      </w:pPr>
      <w:hyperlink w:anchor="_Toc534713779" w:history="1">
        <w:r w:rsidR="001B01D0" w:rsidRPr="007E2C1E">
          <w:rPr>
            <w:rStyle w:val="Hyperlink"/>
            <w:noProof/>
          </w:rPr>
          <w:t>Acronyms</w:t>
        </w:r>
        <w:r w:rsidR="001B01D0">
          <w:rPr>
            <w:noProof/>
            <w:webHidden/>
          </w:rPr>
          <w:tab/>
        </w:r>
        <w:r w:rsidR="001B01D0">
          <w:rPr>
            <w:noProof/>
            <w:webHidden/>
          </w:rPr>
          <w:fldChar w:fldCharType="begin"/>
        </w:r>
        <w:r w:rsidR="001B01D0">
          <w:rPr>
            <w:noProof/>
            <w:webHidden/>
          </w:rPr>
          <w:instrText xml:space="preserve"> PAGEREF _Toc534713779 \h </w:instrText>
        </w:r>
        <w:r w:rsidR="001B01D0">
          <w:rPr>
            <w:noProof/>
            <w:webHidden/>
          </w:rPr>
        </w:r>
        <w:r w:rsidR="001B01D0">
          <w:rPr>
            <w:noProof/>
            <w:webHidden/>
          </w:rPr>
          <w:fldChar w:fldCharType="separate"/>
        </w:r>
        <w:r w:rsidR="00F47C96">
          <w:rPr>
            <w:noProof/>
            <w:webHidden/>
          </w:rPr>
          <w:t>iii</w:t>
        </w:r>
        <w:r w:rsidR="001B01D0">
          <w:rPr>
            <w:noProof/>
            <w:webHidden/>
          </w:rPr>
          <w:fldChar w:fldCharType="end"/>
        </w:r>
      </w:hyperlink>
    </w:p>
    <w:p w14:paraId="49AB58F9" w14:textId="7650B996" w:rsidR="001B01D0" w:rsidRDefault="0081649B">
      <w:pPr>
        <w:pStyle w:val="TOC2"/>
        <w:rPr>
          <w:rFonts w:asciiTheme="minorHAnsi" w:eastAsiaTheme="minorEastAsia" w:hAnsiTheme="minorHAnsi"/>
          <w:noProof/>
          <w:sz w:val="22"/>
          <w:szCs w:val="22"/>
          <w:lang w:eastAsia="en-AU"/>
        </w:rPr>
      </w:pPr>
      <w:hyperlink w:anchor="_Toc534713780" w:history="1">
        <w:r w:rsidR="001B01D0" w:rsidRPr="007E2C1E">
          <w:rPr>
            <w:rStyle w:val="Hyperlink"/>
            <w:noProof/>
          </w:rPr>
          <w:t>Field of education abbreviations</w:t>
        </w:r>
        <w:r w:rsidR="001B01D0">
          <w:rPr>
            <w:noProof/>
            <w:webHidden/>
          </w:rPr>
          <w:tab/>
        </w:r>
        <w:r w:rsidR="001B01D0">
          <w:rPr>
            <w:noProof/>
            <w:webHidden/>
          </w:rPr>
          <w:fldChar w:fldCharType="begin"/>
        </w:r>
        <w:r w:rsidR="001B01D0">
          <w:rPr>
            <w:noProof/>
            <w:webHidden/>
          </w:rPr>
          <w:instrText xml:space="preserve"> PAGEREF _Toc534713780 \h </w:instrText>
        </w:r>
        <w:r w:rsidR="001B01D0">
          <w:rPr>
            <w:noProof/>
            <w:webHidden/>
          </w:rPr>
        </w:r>
        <w:r w:rsidR="001B01D0">
          <w:rPr>
            <w:noProof/>
            <w:webHidden/>
          </w:rPr>
          <w:fldChar w:fldCharType="separate"/>
        </w:r>
        <w:r w:rsidR="00F47C96">
          <w:rPr>
            <w:noProof/>
            <w:webHidden/>
          </w:rPr>
          <w:t>iv</w:t>
        </w:r>
        <w:r w:rsidR="001B01D0">
          <w:rPr>
            <w:noProof/>
            <w:webHidden/>
          </w:rPr>
          <w:fldChar w:fldCharType="end"/>
        </w:r>
      </w:hyperlink>
    </w:p>
    <w:p w14:paraId="4D812E22" w14:textId="3C853ACC" w:rsidR="001B01D0" w:rsidRDefault="0081649B">
      <w:pPr>
        <w:pStyle w:val="TOC1"/>
        <w:rPr>
          <w:rFonts w:asciiTheme="minorHAnsi" w:eastAsiaTheme="minorEastAsia" w:hAnsiTheme="minorHAnsi"/>
          <w:noProof/>
          <w:sz w:val="22"/>
          <w:szCs w:val="22"/>
          <w:lang w:eastAsia="en-AU"/>
        </w:rPr>
      </w:pPr>
      <w:hyperlink w:anchor="_Toc534713781" w:history="1">
        <w:r w:rsidR="001B01D0" w:rsidRPr="007E2C1E">
          <w:rPr>
            <w:rStyle w:val="Hyperlink"/>
            <w:noProof/>
          </w:rPr>
          <w:t>Executive summary</w:t>
        </w:r>
        <w:r w:rsidR="001B01D0">
          <w:rPr>
            <w:noProof/>
            <w:webHidden/>
          </w:rPr>
          <w:tab/>
        </w:r>
        <w:r w:rsidR="001B01D0">
          <w:rPr>
            <w:noProof/>
            <w:webHidden/>
          </w:rPr>
          <w:fldChar w:fldCharType="begin"/>
        </w:r>
        <w:r w:rsidR="001B01D0">
          <w:rPr>
            <w:noProof/>
            <w:webHidden/>
          </w:rPr>
          <w:instrText xml:space="preserve"> PAGEREF _Toc534713781 \h </w:instrText>
        </w:r>
        <w:r w:rsidR="001B01D0">
          <w:rPr>
            <w:noProof/>
            <w:webHidden/>
          </w:rPr>
        </w:r>
        <w:r w:rsidR="001B01D0">
          <w:rPr>
            <w:noProof/>
            <w:webHidden/>
          </w:rPr>
          <w:fldChar w:fldCharType="separate"/>
        </w:r>
        <w:r w:rsidR="00F47C96">
          <w:rPr>
            <w:noProof/>
            <w:webHidden/>
          </w:rPr>
          <w:t>v</w:t>
        </w:r>
        <w:r w:rsidR="001B01D0">
          <w:rPr>
            <w:noProof/>
            <w:webHidden/>
          </w:rPr>
          <w:fldChar w:fldCharType="end"/>
        </w:r>
      </w:hyperlink>
    </w:p>
    <w:p w14:paraId="6FD3BAD8" w14:textId="0FA7E316" w:rsidR="001B01D0" w:rsidRDefault="0081649B">
      <w:pPr>
        <w:pStyle w:val="TOC2"/>
        <w:rPr>
          <w:rFonts w:asciiTheme="minorHAnsi" w:eastAsiaTheme="minorEastAsia" w:hAnsiTheme="minorHAnsi"/>
          <w:noProof/>
          <w:sz w:val="22"/>
          <w:szCs w:val="22"/>
          <w:lang w:eastAsia="en-AU"/>
        </w:rPr>
      </w:pPr>
      <w:hyperlink w:anchor="_Toc534713782" w:history="1">
        <w:r w:rsidR="001B01D0" w:rsidRPr="007E2C1E">
          <w:rPr>
            <w:rStyle w:val="Hyperlink"/>
            <w:noProof/>
          </w:rPr>
          <w:t>Approach to the data collection</w:t>
        </w:r>
        <w:r w:rsidR="001B01D0">
          <w:rPr>
            <w:noProof/>
            <w:webHidden/>
          </w:rPr>
          <w:tab/>
        </w:r>
        <w:r w:rsidR="001B01D0">
          <w:rPr>
            <w:noProof/>
            <w:webHidden/>
          </w:rPr>
          <w:fldChar w:fldCharType="begin"/>
        </w:r>
        <w:r w:rsidR="001B01D0">
          <w:rPr>
            <w:noProof/>
            <w:webHidden/>
          </w:rPr>
          <w:instrText xml:space="preserve"> PAGEREF _Toc534713782 \h </w:instrText>
        </w:r>
        <w:r w:rsidR="001B01D0">
          <w:rPr>
            <w:noProof/>
            <w:webHidden/>
          </w:rPr>
        </w:r>
        <w:r w:rsidR="001B01D0">
          <w:rPr>
            <w:noProof/>
            <w:webHidden/>
          </w:rPr>
          <w:fldChar w:fldCharType="separate"/>
        </w:r>
        <w:r w:rsidR="00F47C96">
          <w:rPr>
            <w:noProof/>
            <w:webHidden/>
          </w:rPr>
          <w:t>v</w:t>
        </w:r>
        <w:r w:rsidR="001B01D0">
          <w:rPr>
            <w:noProof/>
            <w:webHidden/>
          </w:rPr>
          <w:fldChar w:fldCharType="end"/>
        </w:r>
      </w:hyperlink>
    </w:p>
    <w:p w14:paraId="28B3F146" w14:textId="6A4A8A19" w:rsidR="001B01D0" w:rsidRDefault="0081649B">
      <w:pPr>
        <w:pStyle w:val="TOC2"/>
        <w:rPr>
          <w:rFonts w:asciiTheme="minorHAnsi" w:eastAsiaTheme="minorEastAsia" w:hAnsiTheme="minorHAnsi"/>
          <w:noProof/>
          <w:sz w:val="22"/>
          <w:szCs w:val="22"/>
          <w:lang w:eastAsia="en-AU"/>
        </w:rPr>
      </w:pPr>
      <w:hyperlink w:anchor="_Toc534713783" w:history="1">
        <w:r w:rsidR="001B01D0" w:rsidRPr="007E2C1E">
          <w:rPr>
            <w:rStyle w:val="Hyperlink"/>
            <w:noProof/>
          </w:rPr>
          <w:t>The cost of teaching and scholarship in higher education in Australia</w:t>
        </w:r>
        <w:r w:rsidR="001B01D0">
          <w:rPr>
            <w:noProof/>
            <w:webHidden/>
          </w:rPr>
          <w:tab/>
        </w:r>
        <w:r w:rsidR="001B01D0">
          <w:rPr>
            <w:noProof/>
            <w:webHidden/>
          </w:rPr>
          <w:fldChar w:fldCharType="begin"/>
        </w:r>
        <w:r w:rsidR="001B01D0">
          <w:rPr>
            <w:noProof/>
            <w:webHidden/>
          </w:rPr>
          <w:instrText xml:space="preserve"> PAGEREF _Toc534713783 \h </w:instrText>
        </w:r>
        <w:r w:rsidR="001B01D0">
          <w:rPr>
            <w:noProof/>
            <w:webHidden/>
          </w:rPr>
        </w:r>
        <w:r w:rsidR="001B01D0">
          <w:rPr>
            <w:noProof/>
            <w:webHidden/>
          </w:rPr>
          <w:fldChar w:fldCharType="separate"/>
        </w:r>
        <w:r w:rsidR="00F47C96">
          <w:rPr>
            <w:noProof/>
            <w:webHidden/>
          </w:rPr>
          <w:t>vii</w:t>
        </w:r>
        <w:r w:rsidR="001B01D0">
          <w:rPr>
            <w:noProof/>
            <w:webHidden/>
          </w:rPr>
          <w:fldChar w:fldCharType="end"/>
        </w:r>
      </w:hyperlink>
    </w:p>
    <w:p w14:paraId="1A3BC733" w14:textId="5F0F1DC4" w:rsidR="001B01D0" w:rsidRDefault="0081649B">
      <w:pPr>
        <w:pStyle w:val="TOC2"/>
        <w:rPr>
          <w:rFonts w:asciiTheme="minorHAnsi" w:eastAsiaTheme="minorEastAsia" w:hAnsiTheme="minorHAnsi"/>
          <w:noProof/>
          <w:sz w:val="22"/>
          <w:szCs w:val="22"/>
          <w:lang w:eastAsia="en-AU"/>
        </w:rPr>
      </w:pPr>
      <w:hyperlink w:anchor="_Toc534713784" w:history="1">
        <w:r w:rsidR="001B01D0" w:rsidRPr="007E2C1E">
          <w:rPr>
            <w:rStyle w:val="Hyperlink"/>
            <w:noProof/>
          </w:rPr>
          <w:t>How these findings compare to previous studies</w:t>
        </w:r>
        <w:r w:rsidR="001B01D0">
          <w:rPr>
            <w:noProof/>
            <w:webHidden/>
          </w:rPr>
          <w:tab/>
        </w:r>
        <w:r w:rsidR="001B01D0">
          <w:rPr>
            <w:noProof/>
            <w:webHidden/>
          </w:rPr>
          <w:fldChar w:fldCharType="begin"/>
        </w:r>
        <w:r w:rsidR="001B01D0">
          <w:rPr>
            <w:noProof/>
            <w:webHidden/>
          </w:rPr>
          <w:instrText xml:space="preserve"> PAGEREF _Toc534713784 \h </w:instrText>
        </w:r>
        <w:r w:rsidR="001B01D0">
          <w:rPr>
            <w:noProof/>
            <w:webHidden/>
          </w:rPr>
        </w:r>
        <w:r w:rsidR="001B01D0">
          <w:rPr>
            <w:noProof/>
            <w:webHidden/>
          </w:rPr>
          <w:fldChar w:fldCharType="separate"/>
        </w:r>
        <w:r w:rsidR="00F47C96">
          <w:rPr>
            <w:noProof/>
            <w:webHidden/>
          </w:rPr>
          <w:t>xi</w:t>
        </w:r>
        <w:r w:rsidR="001B01D0">
          <w:rPr>
            <w:noProof/>
            <w:webHidden/>
          </w:rPr>
          <w:fldChar w:fldCharType="end"/>
        </w:r>
      </w:hyperlink>
    </w:p>
    <w:p w14:paraId="0255AEEC" w14:textId="30C51C42" w:rsidR="001B01D0" w:rsidRDefault="0081649B">
      <w:pPr>
        <w:pStyle w:val="TOC2"/>
        <w:rPr>
          <w:rFonts w:asciiTheme="minorHAnsi" w:eastAsiaTheme="minorEastAsia" w:hAnsiTheme="minorHAnsi"/>
          <w:noProof/>
          <w:sz w:val="22"/>
          <w:szCs w:val="22"/>
          <w:lang w:eastAsia="en-AU"/>
        </w:rPr>
      </w:pPr>
      <w:hyperlink w:anchor="_Toc534713785" w:history="1">
        <w:r w:rsidR="001B01D0" w:rsidRPr="007E2C1E">
          <w:rPr>
            <w:rStyle w:val="Hyperlink"/>
            <w:noProof/>
          </w:rPr>
          <w:t>Costs and funding</w:t>
        </w:r>
        <w:r w:rsidR="001B01D0">
          <w:rPr>
            <w:noProof/>
            <w:webHidden/>
          </w:rPr>
          <w:tab/>
        </w:r>
        <w:r w:rsidR="001B01D0">
          <w:rPr>
            <w:noProof/>
            <w:webHidden/>
          </w:rPr>
          <w:fldChar w:fldCharType="begin"/>
        </w:r>
        <w:r w:rsidR="001B01D0">
          <w:rPr>
            <w:noProof/>
            <w:webHidden/>
          </w:rPr>
          <w:instrText xml:space="preserve"> PAGEREF _Toc534713785 \h </w:instrText>
        </w:r>
        <w:r w:rsidR="001B01D0">
          <w:rPr>
            <w:noProof/>
            <w:webHidden/>
          </w:rPr>
        </w:r>
        <w:r w:rsidR="001B01D0">
          <w:rPr>
            <w:noProof/>
            <w:webHidden/>
          </w:rPr>
          <w:fldChar w:fldCharType="separate"/>
        </w:r>
        <w:r w:rsidR="00F47C96">
          <w:rPr>
            <w:noProof/>
            <w:webHidden/>
          </w:rPr>
          <w:t>xiii</w:t>
        </w:r>
        <w:r w:rsidR="001B01D0">
          <w:rPr>
            <w:noProof/>
            <w:webHidden/>
          </w:rPr>
          <w:fldChar w:fldCharType="end"/>
        </w:r>
      </w:hyperlink>
    </w:p>
    <w:p w14:paraId="2C243A79" w14:textId="04C10190" w:rsidR="001B01D0" w:rsidRDefault="0081649B">
      <w:pPr>
        <w:pStyle w:val="TOC2"/>
        <w:rPr>
          <w:rFonts w:asciiTheme="minorHAnsi" w:eastAsiaTheme="minorEastAsia" w:hAnsiTheme="minorHAnsi"/>
          <w:noProof/>
          <w:sz w:val="22"/>
          <w:szCs w:val="22"/>
          <w:lang w:eastAsia="en-AU"/>
        </w:rPr>
      </w:pPr>
      <w:hyperlink w:anchor="_Toc534713786" w:history="1">
        <w:r w:rsidR="001B01D0" w:rsidRPr="007E2C1E">
          <w:rPr>
            <w:rStyle w:val="Hyperlink"/>
            <w:noProof/>
          </w:rPr>
          <w:t>Concluding remarks</w:t>
        </w:r>
        <w:r w:rsidR="001B01D0">
          <w:rPr>
            <w:noProof/>
            <w:webHidden/>
          </w:rPr>
          <w:tab/>
        </w:r>
        <w:r w:rsidR="001B01D0">
          <w:rPr>
            <w:noProof/>
            <w:webHidden/>
          </w:rPr>
          <w:fldChar w:fldCharType="begin"/>
        </w:r>
        <w:r w:rsidR="001B01D0">
          <w:rPr>
            <w:noProof/>
            <w:webHidden/>
          </w:rPr>
          <w:instrText xml:space="preserve"> PAGEREF _Toc534713786 \h </w:instrText>
        </w:r>
        <w:r w:rsidR="001B01D0">
          <w:rPr>
            <w:noProof/>
            <w:webHidden/>
          </w:rPr>
        </w:r>
        <w:r w:rsidR="001B01D0">
          <w:rPr>
            <w:noProof/>
            <w:webHidden/>
          </w:rPr>
          <w:fldChar w:fldCharType="separate"/>
        </w:r>
        <w:r w:rsidR="00F47C96">
          <w:rPr>
            <w:noProof/>
            <w:webHidden/>
          </w:rPr>
          <w:t>xiv</w:t>
        </w:r>
        <w:r w:rsidR="001B01D0">
          <w:rPr>
            <w:noProof/>
            <w:webHidden/>
          </w:rPr>
          <w:fldChar w:fldCharType="end"/>
        </w:r>
      </w:hyperlink>
    </w:p>
    <w:p w14:paraId="04E40A48" w14:textId="03D49D8D" w:rsidR="001B01D0" w:rsidRDefault="0081649B">
      <w:pPr>
        <w:pStyle w:val="TOC1"/>
        <w:rPr>
          <w:rFonts w:asciiTheme="minorHAnsi" w:eastAsiaTheme="minorEastAsia" w:hAnsiTheme="minorHAnsi"/>
          <w:noProof/>
          <w:sz w:val="22"/>
          <w:szCs w:val="22"/>
          <w:lang w:eastAsia="en-AU"/>
        </w:rPr>
      </w:pPr>
      <w:hyperlink w:anchor="_Toc534713787" w:history="1">
        <w:r w:rsidR="001B01D0" w:rsidRPr="007E2C1E">
          <w:rPr>
            <w:rStyle w:val="Hyperlink"/>
            <w:noProof/>
          </w:rPr>
          <w:t>1</w:t>
        </w:r>
        <w:r w:rsidR="001B01D0">
          <w:rPr>
            <w:rFonts w:asciiTheme="minorHAnsi" w:eastAsiaTheme="minorEastAsia" w:hAnsiTheme="minorHAnsi"/>
            <w:noProof/>
            <w:sz w:val="22"/>
            <w:szCs w:val="22"/>
            <w:lang w:eastAsia="en-AU"/>
          </w:rPr>
          <w:tab/>
        </w:r>
        <w:r w:rsidR="001B01D0" w:rsidRPr="007E2C1E">
          <w:rPr>
            <w:rStyle w:val="Hyperlink"/>
            <w:noProof/>
          </w:rPr>
          <w:t>Background</w:t>
        </w:r>
        <w:r w:rsidR="001B01D0">
          <w:rPr>
            <w:noProof/>
            <w:webHidden/>
          </w:rPr>
          <w:tab/>
        </w:r>
        <w:r w:rsidR="001B01D0">
          <w:rPr>
            <w:noProof/>
            <w:webHidden/>
          </w:rPr>
          <w:fldChar w:fldCharType="begin"/>
        </w:r>
        <w:r w:rsidR="001B01D0">
          <w:rPr>
            <w:noProof/>
            <w:webHidden/>
          </w:rPr>
          <w:instrText xml:space="preserve"> PAGEREF _Toc534713787 \h </w:instrText>
        </w:r>
        <w:r w:rsidR="001B01D0">
          <w:rPr>
            <w:noProof/>
            <w:webHidden/>
          </w:rPr>
        </w:r>
        <w:r w:rsidR="001B01D0">
          <w:rPr>
            <w:noProof/>
            <w:webHidden/>
          </w:rPr>
          <w:fldChar w:fldCharType="separate"/>
        </w:r>
        <w:r w:rsidR="00F47C96">
          <w:rPr>
            <w:noProof/>
            <w:webHidden/>
          </w:rPr>
          <w:t>16</w:t>
        </w:r>
        <w:r w:rsidR="001B01D0">
          <w:rPr>
            <w:noProof/>
            <w:webHidden/>
          </w:rPr>
          <w:fldChar w:fldCharType="end"/>
        </w:r>
      </w:hyperlink>
    </w:p>
    <w:p w14:paraId="3B6B19DD" w14:textId="1AC7566C" w:rsidR="001B01D0" w:rsidRDefault="0081649B">
      <w:pPr>
        <w:pStyle w:val="TOC2"/>
        <w:tabs>
          <w:tab w:val="left" w:pos="1134"/>
        </w:tabs>
        <w:rPr>
          <w:rFonts w:asciiTheme="minorHAnsi" w:eastAsiaTheme="minorEastAsia" w:hAnsiTheme="minorHAnsi"/>
          <w:noProof/>
          <w:sz w:val="22"/>
          <w:szCs w:val="22"/>
          <w:lang w:eastAsia="en-AU"/>
        </w:rPr>
      </w:pPr>
      <w:hyperlink w:anchor="_Toc534713788" w:history="1">
        <w:r w:rsidR="001B01D0" w:rsidRPr="007E2C1E">
          <w:rPr>
            <w:rStyle w:val="Hyperlink"/>
            <w:noProof/>
          </w:rPr>
          <w:t>1.1</w:t>
        </w:r>
        <w:r w:rsidR="001B01D0">
          <w:rPr>
            <w:rFonts w:asciiTheme="minorHAnsi" w:eastAsiaTheme="minorEastAsia" w:hAnsiTheme="minorHAnsi"/>
            <w:noProof/>
            <w:sz w:val="22"/>
            <w:szCs w:val="22"/>
            <w:lang w:eastAsia="en-AU"/>
          </w:rPr>
          <w:tab/>
        </w:r>
        <w:r w:rsidR="001B01D0" w:rsidRPr="007E2C1E">
          <w:rPr>
            <w:rStyle w:val="Hyperlink"/>
            <w:noProof/>
          </w:rPr>
          <w:t>Purpose and objectives</w:t>
        </w:r>
        <w:r w:rsidR="001B01D0">
          <w:rPr>
            <w:noProof/>
            <w:webHidden/>
          </w:rPr>
          <w:tab/>
        </w:r>
        <w:r w:rsidR="001B01D0">
          <w:rPr>
            <w:noProof/>
            <w:webHidden/>
          </w:rPr>
          <w:fldChar w:fldCharType="begin"/>
        </w:r>
        <w:r w:rsidR="001B01D0">
          <w:rPr>
            <w:noProof/>
            <w:webHidden/>
          </w:rPr>
          <w:instrText xml:space="preserve"> PAGEREF _Toc534713788 \h </w:instrText>
        </w:r>
        <w:r w:rsidR="001B01D0">
          <w:rPr>
            <w:noProof/>
            <w:webHidden/>
          </w:rPr>
        </w:r>
        <w:r w:rsidR="001B01D0">
          <w:rPr>
            <w:noProof/>
            <w:webHidden/>
          </w:rPr>
          <w:fldChar w:fldCharType="separate"/>
        </w:r>
        <w:r w:rsidR="00F47C96">
          <w:rPr>
            <w:noProof/>
            <w:webHidden/>
          </w:rPr>
          <w:t>16</w:t>
        </w:r>
        <w:r w:rsidR="001B01D0">
          <w:rPr>
            <w:noProof/>
            <w:webHidden/>
          </w:rPr>
          <w:fldChar w:fldCharType="end"/>
        </w:r>
      </w:hyperlink>
    </w:p>
    <w:p w14:paraId="16CC057C" w14:textId="1CF2CC99" w:rsidR="001B01D0" w:rsidRDefault="0081649B">
      <w:pPr>
        <w:pStyle w:val="TOC2"/>
        <w:tabs>
          <w:tab w:val="left" w:pos="1134"/>
        </w:tabs>
        <w:rPr>
          <w:rFonts w:asciiTheme="minorHAnsi" w:eastAsiaTheme="minorEastAsia" w:hAnsiTheme="minorHAnsi"/>
          <w:noProof/>
          <w:sz w:val="22"/>
          <w:szCs w:val="22"/>
          <w:lang w:eastAsia="en-AU"/>
        </w:rPr>
      </w:pPr>
      <w:hyperlink w:anchor="_Toc534713789" w:history="1">
        <w:r w:rsidR="001B01D0" w:rsidRPr="007E2C1E">
          <w:rPr>
            <w:rStyle w:val="Hyperlink"/>
            <w:noProof/>
          </w:rPr>
          <w:t>1.2</w:t>
        </w:r>
        <w:r w:rsidR="001B01D0">
          <w:rPr>
            <w:rFonts w:asciiTheme="minorHAnsi" w:eastAsiaTheme="minorEastAsia" w:hAnsiTheme="minorHAnsi"/>
            <w:noProof/>
            <w:sz w:val="22"/>
            <w:szCs w:val="22"/>
            <w:lang w:eastAsia="en-AU"/>
          </w:rPr>
          <w:tab/>
        </w:r>
        <w:r w:rsidR="001B01D0" w:rsidRPr="007E2C1E">
          <w:rPr>
            <w:rStyle w:val="Hyperlink"/>
            <w:noProof/>
          </w:rPr>
          <w:t>Changes to the exercise in 2018</w:t>
        </w:r>
        <w:r w:rsidR="001B01D0">
          <w:rPr>
            <w:noProof/>
            <w:webHidden/>
          </w:rPr>
          <w:tab/>
        </w:r>
        <w:r w:rsidR="001B01D0">
          <w:rPr>
            <w:noProof/>
            <w:webHidden/>
          </w:rPr>
          <w:fldChar w:fldCharType="begin"/>
        </w:r>
        <w:r w:rsidR="001B01D0">
          <w:rPr>
            <w:noProof/>
            <w:webHidden/>
          </w:rPr>
          <w:instrText xml:space="preserve"> PAGEREF _Toc534713789 \h </w:instrText>
        </w:r>
        <w:r w:rsidR="001B01D0">
          <w:rPr>
            <w:noProof/>
            <w:webHidden/>
          </w:rPr>
        </w:r>
        <w:r w:rsidR="001B01D0">
          <w:rPr>
            <w:noProof/>
            <w:webHidden/>
          </w:rPr>
          <w:fldChar w:fldCharType="separate"/>
        </w:r>
        <w:r w:rsidR="00F47C96">
          <w:rPr>
            <w:noProof/>
            <w:webHidden/>
          </w:rPr>
          <w:t>17</w:t>
        </w:r>
        <w:r w:rsidR="001B01D0">
          <w:rPr>
            <w:noProof/>
            <w:webHidden/>
          </w:rPr>
          <w:fldChar w:fldCharType="end"/>
        </w:r>
      </w:hyperlink>
    </w:p>
    <w:p w14:paraId="2BFB237D" w14:textId="70C5B2E0" w:rsidR="001B01D0" w:rsidRDefault="0081649B">
      <w:pPr>
        <w:pStyle w:val="TOC2"/>
        <w:tabs>
          <w:tab w:val="left" w:pos="1134"/>
        </w:tabs>
        <w:rPr>
          <w:rFonts w:asciiTheme="minorHAnsi" w:eastAsiaTheme="minorEastAsia" w:hAnsiTheme="minorHAnsi"/>
          <w:noProof/>
          <w:sz w:val="22"/>
          <w:szCs w:val="22"/>
          <w:lang w:eastAsia="en-AU"/>
        </w:rPr>
      </w:pPr>
      <w:hyperlink w:anchor="_Toc534713790" w:history="1">
        <w:r w:rsidR="001B01D0" w:rsidRPr="007E2C1E">
          <w:rPr>
            <w:rStyle w:val="Hyperlink"/>
            <w:noProof/>
          </w:rPr>
          <w:t>1.3</w:t>
        </w:r>
        <w:r w:rsidR="001B01D0">
          <w:rPr>
            <w:rFonts w:asciiTheme="minorHAnsi" w:eastAsiaTheme="minorEastAsia" w:hAnsiTheme="minorHAnsi"/>
            <w:noProof/>
            <w:sz w:val="22"/>
            <w:szCs w:val="22"/>
            <w:lang w:eastAsia="en-AU"/>
          </w:rPr>
          <w:tab/>
        </w:r>
        <w:r w:rsidR="001B01D0" w:rsidRPr="007E2C1E">
          <w:rPr>
            <w:rStyle w:val="Hyperlink"/>
            <w:noProof/>
          </w:rPr>
          <w:t>University sample</w:t>
        </w:r>
        <w:r w:rsidR="001B01D0">
          <w:rPr>
            <w:noProof/>
            <w:webHidden/>
          </w:rPr>
          <w:tab/>
        </w:r>
        <w:r w:rsidR="001B01D0">
          <w:rPr>
            <w:noProof/>
            <w:webHidden/>
          </w:rPr>
          <w:fldChar w:fldCharType="begin"/>
        </w:r>
        <w:r w:rsidR="001B01D0">
          <w:rPr>
            <w:noProof/>
            <w:webHidden/>
          </w:rPr>
          <w:instrText xml:space="preserve"> PAGEREF _Toc534713790 \h </w:instrText>
        </w:r>
        <w:r w:rsidR="001B01D0">
          <w:rPr>
            <w:noProof/>
            <w:webHidden/>
          </w:rPr>
        </w:r>
        <w:r w:rsidR="001B01D0">
          <w:rPr>
            <w:noProof/>
            <w:webHidden/>
          </w:rPr>
          <w:fldChar w:fldCharType="separate"/>
        </w:r>
        <w:r w:rsidR="00F47C96">
          <w:rPr>
            <w:noProof/>
            <w:webHidden/>
          </w:rPr>
          <w:t>19</w:t>
        </w:r>
        <w:r w:rsidR="001B01D0">
          <w:rPr>
            <w:noProof/>
            <w:webHidden/>
          </w:rPr>
          <w:fldChar w:fldCharType="end"/>
        </w:r>
      </w:hyperlink>
    </w:p>
    <w:p w14:paraId="5C8D4A26" w14:textId="320E3053" w:rsidR="001B01D0" w:rsidRDefault="0081649B">
      <w:pPr>
        <w:pStyle w:val="TOC2"/>
        <w:tabs>
          <w:tab w:val="left" w:pos="1134"/>
        </w:tabs>
        <w:rPr>
          <w:rFonts w:asciiTheme="minorHAnsi" w:eastAsiaTheme="minorEastAsia" w:hAnsiTheme="minorHAnsi"/>
          <w:noProof/>
          <w:sz w:val="22"/>
          <w:szCs w:val="22"/>
          <w:lang w:eastAsia="en-AU"/>
        </w:rPr>
      </w:pPr>
      <w:hyperlink w:anchor="_Toc534713791" w:history="1">
        <w:r w:rsidR="001B01D0" w:rsidRPr="007E2C1E">
          <w:rPr>
            <w:rStyle w:val="Hyperlink"/>
            <w:noProof/>
          </w:rPr>
          <w:t>1.4</w:t>
        </w:r>
        <w:r w:rsidR="001B01D0">
          <w:rPr>
            <w:rFonts w:asciiTheme="minorHAnsi" w:eastAsiaTheme="minorEastAsia" w:hAnsiTheme="minorHAnsi"/>
            <w:noProof/>
            <w:sz w:val="22"/>
            <w:szCs w:val="22"/>
            <w:lang w:eastAsia="en-AU"/>
          </w:rPr>
          <w:tab/>
        </w:r>
        <w:r w:rsidR="001B01D0" w:rsidRPr="007E2C1E">
          <w:rPr>
            <w:rStyle w:val="Hyperlink"/>
            <w:noProof/>
          </w:rPr>
          <w:t>Trends in higher education delivery</w:t>
        </w:r>
        <w:r w:rsidR="001B01D0">
          <w:rPr>
            <w:noProof/>
            <w:webHidden/>
          </w:rPr>
          <w:tab/>
        </w:r>
        <w:r w:rsidR="001B01D0">
          <w:rPr>
            <w:noProof/>
            <w:webHidden/>
          </w:rPr>
          <w:fldChar w:fldCharType="begin"/>
        </w:r>
        <w:r w:rsidR="001B01D0">
          <w:rPr>
            <w:noProof/>
            <w:webHidden/>
          </w:rPr>
          <w:instrText xml:space="preserve"> PAGEREF _Toc534713791 \h </w:instrText>
        </w:r>
        <w:r w:rsidR="001B01D0">
          <w:rPr>
            <w:noProof/>
            <w:webHidden/>
          </w:rPr>
        </w:r>
        <w:r w:rsidR="001B01D0">
          <w:rPr>
            <w:noProof/>
            <w:webHidden/>
          </w:rPr>
          <w:fldChar w:fldCharType="separate"/>
        </w:r>
        <w:r w:rsidR="00F47C96">
          <w:rPr>
            <w:noProof/>
            <w:webHidden/>
          </w:rPr>
          <w:t>22</w:t>
        </w:r>
        <w:r w:rsidR="001B01D0">
          <w:rPr>
            <w:noProof/>
            <w:webHidden/>
          </w:rPr>
          <w:fldChar w:fldCharType="end"/>
        </w:r>
      </w:hyperlink>
    </w:p>
    <w:p w14:paraId="3362888B" w14:textId="48EEEC6A" w:rsidR="001B01D0" w:rsidRDefault="0081649B">
      <w:pPr>
        <w:pStyle w:val="TOC2"/>
        <w:tabs>
          <w:tab w:val="left" w:pos="1134"/>
        </w:tabs>
        <w:rPr>
          <w:rFonts w:asciiTheme="minorHAnsi" w:eastAsiaTheme="minorEastAsia" w:hAnsiTheme="minorHAnsi"/>
          <w:noProof/>
          <w:sz w:val="22"/>
          <w:szCs w:val="22"/>
          <w:lang w:eastAsia="en-AU"/>
        </w:rPr>
      </w:pPr>
      <w:hyperlink w:anchor="_Toc534713792" w:history="1">
        <w:r w:rsidR="001B01D0" w:rsidRPr="007E2C1E">
          <w:rPr>
            <w:rStyle w:val="Hyperlink"/>
            <w:noProof/>
          </w:rPr>
          <w:t>1.5</w:t>
        </w:r>
        <w:r w:rsidR="001B01D0">
          <w:rPr>
            <w:rFonts w:asciiTheme="minorHAnsi" w:eastAsiaTheme="minorEastAsia" w:hAnsiTheme="minorHAnsi"/>
            <w:noProof/>
            <w:sz w:val="22"/>
            <w:szCs w:val="22"/>
            <w:lang w:eastAsia="en-AU"/>
          </w:rPr>
          <w:tab/>
        </w:r>
        <w:r w:rsidR="001B01D0" w:rsidRPr="007E2C1E">
          <w:rPr>
            <w:rStyle w:val="Hyperlink"/>
            <w:noProof/>
          </w:rPr>
          <w:t>Report structure</w:t>
        </w:r>
        <w:r w:rsidR="001B01D0">
          <w:rPr>
            <w:noProof/>
            <w:webHidden/>
          </w:rPr>
          <w:tab/>
        </w:r>
        <w:r w:rsidR="001B01D0">
          <w:rPr>
            <w:noProof/>
            <w:webHidden/>
          </w:rPr>
          <w:fldChar w:fldCharType="begin"/>
        </w:r>
        <w:r w:rsidR="001B01D0">
          <w:rPr>
            <w:noProof/>
            <w:webHidden/>
          </w:rPr>
          <w:instrText xml:space="preserve"> PAGEREF _Toc534713792 \h </w:instrText>
        </w:r>
        <w:r w:rsidR="001B01D0">
          <w:rPr>
            <w:noProof/>
            <w:webHidden/>
          </w:rPr>
        </w:r>
        <w:r w:rsidR="001B01D0">
          <w:rPr>
            <w:noProof/>
            <w:webHidden/>
          </w:rPr>
          <w:fldChar w:fldCharType="separate"/>
        </w:r>
        <w:r w:rsidR="00F47C96">
          <w:rPr>
            <w:noProof/>
            <w:webHidden/>
          </w:rPr>
          <w:t>25</w:t>
        </w:r>
        <w:r w:rsidR="001B01D0">
          <w:rPr>
            <w:noProof/>
            <w:webHidden/>
          </w:rPr>
          <w:fldChar w:fldCharType="end"/>
        </w:r>
      </w:hyperlink>
    </w:p>
    <w:p w14:paraId="661D162F" w14:textId="733D4BE6" w:rsidR="001B01D0" w:rsidRDefault="0081649B">
      <w:pPr>
        <w:pStyle w:val="TOC1"/>
        <w:rPr>
          <w:rFonts w:asciiTheme="minorHAnsi" w:eastAsiaTheme="minorEastAsia" w:hAnsiTheme="minorHAnsi"/>
          <w:noProof/>
          <w:sz w:val="22"/>
          <w:szCs w:val="22"/>
          <w:lang w:eastAsia="en-AU"/>
        </w:rPr>
      </w:pPr>
      <w:hyperlink w:anchor="_Toc534713793" w:history="1">
        <w:r w:rsidR="001B01D0" w:rsidRPr="007E2C1E">
          <w:rPr>
            <w:rStyle w:val="Hyperlink"/>
            <w:noProof/>
          </w:rPr>
          <w:t>2</w:t>
        </w:r>
        <w:r w:rsidR="001B01D0">
          <w:rPr>
            <w:rFonts w:asciiTheme="minorHAnsi" w:eastAsiaTheme="minorEastAsia" w:hAnsiTheme="minorHAnsi"/>
            <w:noProof/>
            <w:sz w:val="22"/>
            <w:szCs w:val="22"/>
            <w:lang w:eastAsia="en-AU"/>
          </w:rPr>
          <w:tab/>
        </w:r>
        <w:r w:rsidR="001B01D0" w:rsidRPr="007E2C1E">
          <w:rPr>
            <w:rStyle w:val="Hyperlink"/>
            <w:noProof/>
          </w:rPr>
          <w:t>Cost of teaching and scholarship</w:t>
        </w:r>
        <w:r w:rsidR="001B01D0">
          <w:rPr>
            <w:noProof/>
            <w:webHidden/>
          </w:rPr>
          <w:tab/>
        </w:r>
        <w:r w:rsidR="001B01D0">
          <w:rPr>
            <w:noProof/>
            <w:webHidden/>
          </w:rPr>
          <w:fldChar w:fldCharType="begin"/>
        </w:r>
        <w:r w:rsidR="001B01D0">
          <w:rPr>
            <w:noProof/>
            <w:webHidden/>
          </w:rPr>
          <w:instrText xml:space="preserve"> PAGEREF _Toc534713793 \h </w:instrText>
        </w:r>
        <w:r w:rsidR="001B01D0">
          <w:rPr>
            <w:noProof/>
            <w:webHidden/>
          </w:rPr>
        </w:r>
        <w:r w:rsidR="001B01D0">
          <w:rPr>
            <w:noProof/>
            <w:webHidden/>
          </w:rPr>
          <w:fldChar w:fldCharType="separate"/>
        </w:r>
        <w:r w:rsidR="00F47C96">
          <w:rPr>
            <w:noProof/>
            <w:webHidden/>
          </w:rPr>
          <w:t>26</w:t>
        </w:r>
        <w:r w:rsidR="001B01D0">
          <w:rPr>
            <w:noProof/>
            <w:webHidden/>
          </w:rPr>
          <w:fldChar w:fldCharType="end"/>
        </w:r>
      </w:hyperlink>
    </w:p>
    <w:p w14:paraId="04E8F32D" w14:textId="36D34AC2" w:rsidR="001B01D0" w:rsidRDefault="0081649B">
      <w:pPr>
        <w:pStyle w:val="TOC2"/>
        <w:tabs>
          <w:tab w:val="left" w:pos="1134"/>
        </w:tabs>
        <w:rPr>
          <w:rFonts w:asciiTheme="minorHAnsi" w:eastAsiaTheme="minorEastAsia" w:hAnsiTheme="minorHAnsi"/>
          <w:noProof/>
          <w:sz w:val="22"/>
          <w:szCs w:val="22"/>
          <w:lang w:eastAsia="en-AU"/>
        </w:rPr>
      </w:pPr>
      <w:hyperlink w:anchor="_Toc534713794" w:history="1">
        <w:r w:rsidR="001B01D0" w:rsidRPr="007E2C1E">
          <w:rPr>
            <w:rStyle w:val="Hyperlink"/>
            <w:noProof/>
          </w:rPr>
          <w:t>2.1</w:t>
        </w:r>
        <w:r w:rsidR="001B01D0">
          <w:rPr>
            <w:rFonts w:asciiTheme="minorHAnsi" w:eastAsiaTheme="minorEastAsia" w:hAnsiTheme="minorHAnsi"/>
            <w:noProof/>
            <w:sz w:val="22"/>
            <w:szCs w:val="22"/>
            <w:lang w:eastAsia="en-AU"/>
          </w:rPr>
          <w:tab/>
        </w:r>
        <w:r w:rsidR="001B01D0" w:rsidRPr="007E2C1E">
          <w:rPr>
            <w:rStyle w:val="Hyperlink"/>
            <w:noProof/>
          </w:rPr>
          <w:t>Distribution of types of costs</w:t>
        </w:r>
        <w:r w:rsidR="001B01D0">
          <w:rPr>
            <w:noProof/>
            <w:webHidden/>
          </w:rPr>
          <w:tab/>
        </w:r>
        <w:r w:rsidR="001B01D0">
          <w:rPr>
            <w:noProof/>
            <w:webHidden/>
          </w:rPr>
          <w:fldChar w:fldCharType="begin"/>
        </w:r>
        <w:r w:rsidR="001B01D0">
          <w:rPr>
            <w:noProof/>
            <w:webHidden/>
          </w:rPr>
          <w:instrText xml:space="preserve"> PAGEREF _Toc534713794 \h </w:instrText>
        </w:r>
        <w:r w:rsidR="001B01D0">
          <w:rPr>
            <w:noProof/>
            <w:webHidden/>
          </w:rPr>
        </w:r>
        <w:r w:rsidR="001B01D0">
          <w:rPr>
            <w:noProof/>
            <w:webHidden/>
          </w:rPr>
          <w:fldChar w:fldCharType="separate"/>
        </w:r>
        <w:r w:rsidR="00F47C96">
          <w:rPr>
            <w:noProof/>
            <w:webHidden/>
          </w:rPr>
          <w:t>26</w:t>
        </w:r>
        <w:r w:rsidR="001B01D0">
          <w:rPr>
            <w:noProof/>
            <w:webHidden/>
          </w:rPr>
          <w:fldChar w:fldCharType="end"/>
        </w:r>
      </w:hyperlink>
    </w:p>
    <w:p w14:paraId="77C5C09D" w14:textId="736119E5" w:rsidR="001B01D0" w:rsidRDefault="0081649B">
      <w:pPr>
        <w:pStyle w:val="TOC2"/>
        <w:tabs>
          <w:tab w:val="left" w:pos="1134"/>
        </w:tabs>
        <w:rPr>
          <w:rFonts w:asciiTheme="minorHAnsi" w:eastAsiaTheme="minorEastAsia" w:hAnsiTheme="minorHAnsi"/>
          <w:noProof/>
          <w:sz w:val="22"/>
          <w:szCs w:val="22"/>
          <w:lang w:eastAsia="en-AU"/>
        </w:rPr>
      </w:pPr>
      <w:hyperlink w:anchor="_Toc534713795" w:history="1">
        <w:r w:rsidR="001B01D0" w:rsidRPr="007E2C1E">
          <w:rPr>
            <w:rStyle w:val="Hyperlink"/>
            <w:noProof/>
          </w:rPr>
          <w:t>2.2</w:t>
        </w:r>
        <w:r w:rsidR="001B01D0">
          <w:rPr>
            <w:rFonts w:asciiTheme="minorHAnsi" w:eastAsiaTheme="minorEastAsia" w:hAnsiTheme="minorHAnsi"/>
            <w:noProof/>
            <w:sz w:val="22"/>
            <w:szCs w:val="22"/>
            <w:lang w:eastAsia="en-AU"/>
          </w:rPr>
          <w:tab/>
        </w:r>
        <w:r w:rsidR="001B01D0" w:rsidRPr="007E2C1E">
          <w:rPr>
            <w:rStyle w:val="Hyperlink"/>
            <w:noProof/>
          </w:rPr>
          <w:t>Costs by field and level of education</w:t>
        </w:r>
        <w:r w:rsidR="001B01D0">
          <w:rPr>
            <w:noProof/>
            <w:webHidden/>
          </w:rPr>
          <w:tab/>
        </w:r>
        <w:r w:rsidR="001B01D0">
          <w:rPr>
            <w:noProof/>
            <w:webHidden/>
          </w:rPr>
          <w:fldChar w:fldCharType="begin"/>
        </w:r>
        <w:r w:rsidR="001B01D0">
          <w:rPr>
            <w:noProof/>
            <w:webHidden/>
          </w:rPr>
          <w:instrText xml:space="preserve"> PAGEREF _Toc534713795 \h </w:instrText>
        </w:r>
        <w:r w:rsidR="001B01D0">
          <w:rPr>
            <w:noProof/>
            <w:webHidden/>
          </w:rPr>
        </w:r>
        <w:r w:rsidR="001B01D0">
          <w:rPr>
            <w:noProof/>
            <w:webHidden/>
          </w:rPr>
          <w:fldChar w:fldCharType="separate"/>
        </w:r>
        <w:r w:rsidR="00F47C96">
          <w:rPr>
            <w:noProof/>
            <w:webHidden/>
          </w:rPr>
          <w:t>29</w:t>
        </w:r>
        <w:r w:rsidR="001B01D0">
          <w:rPr>
            <w:noProof/>
            <w:webHidden/>
          </w:rPr>
          <w:fldChar w:fldCharType="end"/>
        </w:r>
      </w:hyperlink>
    </w:p>
    <w:p w14:paraId="787B3ADF" w14:textId="6D4C364C" w:rsidR="001B01D0" w:rsidRDefault="0081649B">
      <w:pPr>
        <w:pStyle w:val="TOC2"/>
        <w:tabs>
          <w:tab w:val="left" w:pos="1134"/>
        </w:tabs>
        <w:rPr>
          <w:rFonts w:asciiTheme="minorHAnsi" w:eastAsiaTheme="minorEastAsia" w:hAnsiTheme="minorHAnsi"/>
          <w:noProof/>
          <w:sz w:val="22"/>
          <w:szCs w:val="22"/>
          <w:lang w:eastAsia="en-AU"/>
        </w:rPr>
      </w:pPr>
      <w:hyperlink w:anchor="_Toc534713796" w:history="1">
        <w:r w:rsidR="001B01D0" w:rsidRPr="007E2C1E">
          <w:rPr>
            <w:rStyle w:val="Hyperlink"/>
            <w:noProof/>
          </w:rPr>
          <w:t>2.3</w:t>
        </w:r>
        <w:r w:rsidR="001B01D0">
          <w:rPr>
            <w:rFonts w:asciiTheme="minorHAnsi" w:eastAsiaTheme="minorEastAsia" w:hAnsiTheme="minorHAnsi"/>
            <w:noProof/>
            <w:sz w:val="22"/>
            <w:szCs w:val="22"/>
            <w:lang w:eastAsia="en-AU"/>
          </w:rPr>
          <w:tab/>
        </w:r>
        <w:r w:rsidR="001B01D0" w:rsidRPr="007E2C1E">
          <w:rPr>
            <w:rStyle w:val="Hyperlink"/>
            <w:noProof/>
          </w:rPr>
          <w:t>Comparing costs to base funding levels</w:t>
        </w:r>
        <w:r w:rsidR="001B01D0">
          <w:rPr>
            <w:noProof/>
            <w:webHidden/>
          </w:rPr>
          <w:tab/>
        </w:r>
        <w:r w:rsidR="001B01D0">
          <w:rPr>
            <w:noProof/>
            <w:webHidden/>
          </w:rPr>
          <w:fldChar w:fldCharType="begin"/>
        </w:r>
        <w:r w:rsidR="001B01D0">
          <w:rPr>
            <w:noProof/>
            <w:webHidden/>
          </w:rPr>
          <w:instrText xml:space="preserve"> PAGEREF _Toc534713796 \h </w:instrText>
        </w:r>
        <w:r w:rsidR="001B01D0">
          <w:rPr>
            <w:noProof/>
            <w:webHidden/>
          </w:rPr>
        </w:r>
        <w:r w:rsidR="001B01D0">
          <w:rPr>
            <w:noProof/>
            <w:webHidden/>
          </w:rPr>
          <w:fldChar w:fldCharType="separate"/>
        </w:r>
        <w:r w:rsidR="00F47C96">
          <w:rPr>
            <w:noProof/>
            <w:webHidden/>
          </w:rPr>
          <w:t>36</w:t>
        </w:r>
        <w:r w:rsidR="001B01D0">
          <w:rPr>
            <w:noProof/>
            <w:webHidden/>
          </w:rPr>
          <w:fldChar w:fldCharType="end"/>
        </w:r>
      </w:hyperlink>
    </w:p>
    <w:p w14:paraId="2A8E7652" w14:textId="6F37E846" w:rsidR="001B01D0" w:rsidRDefault="0081649B">
      <w:pPr>
        <w:pStyle w:val="TOC2"/>
        <w:tabs>
          <w:tab w:val="left" w:pos="1134"/>
        </w:tabs>
        <w:rPr>
          <w:rFonts w:asciiTheme="minorHAnsi" w:eastAsiaTheme="minorEastAsia" w:hAnsiTheme="minorHAnsi"/>
          <w:noProof/>
          <w:sz w:val="22"/>
          <w:szCs w:val="22"/>
          <w:lang w:eastAsia="en-AU"/>
        </w:rPr>
      </w:pPr>
      <w:hyperlink w:anchor="_Toc534713797" w:history="1">
        <w:r w:rsidR="001B01D0" w:rsidRPr="007E2C1E">
          <w:rPr>
            <w:rStyle w:val="Hyperlink"/>
            <w:noProof/>
          </w:rPr>
          <w:t>2.4</w:t>
        </w:r>
        <w:r w:rsidR="001B01D0">
          <w:rPr>
            <w:rFonts w:asciiTheme="minorHAnsi" w:eastAsiaTheme="minorEastAsia" w:hAnsiTheme="minorHAnsi"/>
            <w:noProof/>
            <w:sz w:val="22"/>
            <w:szCs w:val="22"/>
            <w:lang w:eastAsia="en-AU"/>
          </w:rPr>
          <w:tab/>
        </w:r>
        <w:r w:rsidR="001B01D0" w:rsidRPr="007E2C1E">
          <w:rPr>
            <w:rStyle w:val="Hyperlink"/>
            <w:noProof/>
          </w:rPr>
          <w:t>Comparing costs to the 2016 study</w:t>
        </w:r>
        <w:r w:rsidR="001B01D0">
          <w:rPr>
            <w:noProof/>
            <w:webHidden/>
          </w:rPr>
          <w:tab/>
        </w:r>
        <w:r w:rsidR="001B01D0">
          <w:rPr>
            <w:noProof/>
            <w:webHidden/>
          </w:rPr>
          <w:fldChar w:fldCharType="begin"/>
        </w:r>
        <w:r w:rsidR="001B01D0">
          <w:rPr>
            <w:noProof/>
            <w:webHidden/>
          </w:rPr>
          <w:instrText xml:space="preserve"> PAGEREF _Toc534713797 \h </w:instrText>
        </w:r>
        <w:r w:rsidR="001B01D0">
          <w:rPr>
            <w:noProof/>
            <w:webHidden/>
          </w:rPr>
        </w:r>
        <w:r w:rsidR="001B01D0">
          <w:rPr>
            <w:noProof/>
            <w:webHidden/>
          </w:rPr>
          <w:fldChar w:fldCharType="separate"/>
        </w:r>
        <w:r w:rsidR="00F47C96">
          <w:rPr>
            <w:noProof/>
            <w:webHidden/>
          </w:rPr>
          <w:t>38</w:t>
        </w:r>
        <w:r w:rsidR="001B01D0">
          <w:rPr>
            <w:noProof/>
            <w:webHidden/>
          </w:rPr>
          <w:fldChar w:fldCharType="end"/>
        </w:r>
      </w:hyperlink>
    </w:p>
    <w:p w14:paraId="365E04A0" w14:textId="1F1858CF" w:rsidR="001B01D0" w:rsidRDefault="0081649B">
      <w:pPr>
        <w:pStyle w:val="TOC2"/>
        <w:tabs>
          <w:tab w:val="left" w:pos="1134"/>
        </w:tabs>
        <w:rPr>
          <w:rFonts w:asciiTheme="minorHAnsi" w:eastAsiaTheme="minorEastAsia" w:hAnsiTheme="minorHAnsi"/>
          <w:noProof/>
          <w:sz w:val="22"/>
          <w:szCs w:val="22"/>
          <w:lang w:eastAsia="en-AU"/>
        </w:rPr>
      </w:pPr>
      <w:hyperlink w:anchor="_Toc534713798" w:history="1">
        <w:r w:rsidR="001B01D0" w:rsidRPr="007E2C1E">
          <w:rPr>
            <w:rStyle w:val="Hyperlink"/>
            <w:noProof/>
          </w:rPr>
          <w:t>2.5</w:t>
        </w:r>
        <w:r w:rsidR="001B01D0">
          <w:rPr>
            <w:rFonts w:asciiTheme="minorHAnsi" w:eastAsiaTheme="minorEastAsia" w:hAnsiTheme="minorHAnsi"/>
            <w:noProof/>
            <w:sz w:val="22"/>
            <w:szCs w:val="22"/>
            <w:lang w:eastAsia="en-AU"/>
          </w:rPr>
          <w:tab/>
        </w:r>
        <w:r w:rsidR="001B01D0" w:rsidRPr="007E2C1E">
          <w:rPr>
            <w:rStyle w:val="Hyperlink"/>
            <w:noProof/>
          </w:rPr>
          <w:t>Examining costs ‘below the line’</w:t>
        </w:r>
        <w:r w:rsidR="001B01D0">
          <w:rPr>
            <w:noProof/>
            <w:webHidden/>
          </w:rPr>
          <w:tab/>
        </w:r>
        <w:r w:rsidR="001B01D0">
          <w:rPr>
            <w:noProof/>
            <w:webHidden/>
          </w:rPr>
          <w:fldChar w:fldCharType="begin"/>
        </w:r>
        <w:r w:rsidR="001B01D0">
          <w:rPr>
            <w:noProof/>
            <w:webHidden/>
          </w:rPr>
          <w:instrText xml:space="preserve"> PAGEREF _Toc534713798 \h </w:instrText>
        </w:r>
        <w:r w:rsidR="001B01D0">
          <w:rPr>
            <w:noProof/>
            <w:webHidden/>
          </w:rPr>
        </w:r>
        <w:r w:rsidR="001B01D0">
          <w:rPr>
            <w:noProof/>
            <w:webHidden/>
          </w:rPr>
          <w:fldChar w:fldCharType="separate"/>
        </w:r>
        <w:r w:rsidR="00F47C96">
          <w:rPr>
            <w:noProof/>
            <w:webHidden/>
          </w:rPr>
          <w:t>44</w:t>
        </w:r>
        <w:r w:rsidR="001B01D0">
          <w:rPr>
            <w:noProof/>
            <w:webHidden/>
          </w:rPr>
          <w:fldChar w:fldCharType="end"/>
        </w:r>
      </w:hyperlink>
    </w:p>
    <w:p w14:paraId="4FE449FD" w14:textId="01F7D3D3" w:rsidR="001B01D0" w:rsidRDefault="0081649B">
      <w:pPr>
        <w:pStyle w:val="TOC2"/>
        <w:tabs>
          <w:tab w:val="left" w:pos="1134"/>
        </w:tabs>
        <w:rPr>
          <w:rFonts w:asciiTheme="minorHAnsi" w:eastAsiaTheme="minorEastAsia" w:hAnsiTheme="minorHAnsi"/>
          <w:noProof/>
          <w:sz w:val="22"/>
          <w:szCs w:val="22"/>
          <w:lang w:eastAsia="en-AU"/>
        </w:rPr>
      </w:pPr>
      <w:hyperlink w:anchor="_Toc534713799" w:history="1">
        <w:r w:rsidR="001B01D0" w:rsidRPr="007E2C1E">
          <w:rPr>
            <w:rStyle w:val="Hyperlink"/>
            <w:noProof/>
          </w:rPr>
          <w:t>2.6</w:t>
        </w:r>
        <w:r w:rsidR="001B01D0">
          <w:rPr>
            <w:rFonts w:asciiTheme="minorHAnsi" w:eastAsiaTheme="minorEastAsia" w:hAnsiTheme="minorHAnsi"/>
            <w:noProof/>
            <w:sz w:val="22"/>
            <w:szCs w:val="22"/>
            <w:lang w:eastAsia="en-AU"/>
          </w:rPr>
          <w:tab/>
        </w:r>
        <w:r w:rsidR="001B01D0" w:rsidRPr="007E2C1E">
          <w:rPr>
            <w:rStyle w:val="Hyperlink"/>
            <w:noProof/>
          </w:rPr>
          <w:t>Consideration of contextual factors</w:t>
        </w:r>
        <w:r w:rsidR="001B01D0">
          <w:rPr>
            <w:noProof/>
            <w:webHidden/>
          </w:rPr>
          <w:tab/>
        </w:r>
        <w:r w:rsidR="001B01D0">
          <w:rPr>
            <w:noProof/>
            <w:webHidden/>
          </w:rPr>
          <w:fldChar w:fldCharType="begin"/>
        </w:r>
        <w:r w:rsidR="001B01D0">
          <w:rPr>
            <w:noProof/>
            <w:webHidden/>
          </w:rPr>
          <w:instrText xml:space="preserve"> PAGEREF _Toc534713799 \h </w:instrText>
        </w:r>
        <w:r w:rsidR="001B01D0">
          <w:rPr>
            <w:noProof/>
            <w:webHidden/>
          </w:rPr>
        </w:r>
        <w:r w:rsidR="001B01D0">
          <w:rPr>
            <w:noProof/>
            <w:webHidden/>
          </w:rPr>
          <w:fldChar w:fldCharType="separate"/>
        </w:r>
        <w:r w:rsidR="00F47C96">
          <w:rPr>
            <w:noProof/>
            <w:webHidden/>
          </w:rPr>
          <w:t>47</w:t>
        </w:r>
        <w:r w:rsidR="001B01D0">
          <w:rPr>
            <w:noProof/>
            <w:webHidden/>
          </w:rPr>
          <w:fldChar w:fldCharType="end"/>
        </w:r>
      </w:hyperlink>
    </w:p>
    <w:p w14:paraId="03F73CEA" w14:textId="7FF4FEAA" w:rsidR="001B01D0" w:rsidRDefault="0081649B">
      <w:pPr>
        <w:pStyle w:val="TOC1"/>
        <w:rPr>
          <w:rFonts w:asciiTheme="minorHAnsi" w:eastAsiaTheme="minorEastAsia" w:hAnsiTheme="minorHAnsi"/>
          <w:noProof/>
          <w:sz w:val="22"/>
          <w:szCs w:val="22"/>
          <w:lang w:eastAsia="en-AU"/>
        </w:rPr>
      </w:pPr>
      <w:hyperlink w:anchor="_Toc534713800" w:history="1">
        <w:r w:rsidR="001B01D0" w:rsidRPr="007E2C1E">
          <w:rPr>
            <w:rStyle w:val="Hyperlink"/>
            <w:noProof/>
          </w:rPr>
          <w:t>3</w:t>
        </w:r>
        <w:r w:rsidR="001B01D0">
          <w:rPr>
            <w:rFonts w:asciiTheme="minorHAnsi" w:eastAsiaTheme="minorEastAsia" w:hAnsiTheme="minorHAnsi"/>
            <w:noProof/>
            <w:sz w:val="22"/>
            <w:szCs w:val="22"/>
            <w:lang w:eastAsia="en-AU"/>
          </w:rPr>
          <w:tab/>
        </w:r>
        <w:r w:rsidR="001B01D0" w:rsidRPr="007E2C1E">
          <w:rPr>
            <w:rStyle w:val="Hyperlink"/>
            <w:noProof/>
          </w:rPr>
          <w:t>Discussion and key limitations</w:t>
        </w:r>
        <w:r w:rsidR="001B01D0">
          <w:rPr>
            <w:noProof/>
            <w:webHidden/>
          </w:rPr>
          <w:tab/>
        </w:r>
        <w:r w:rsidR="001B01D0">
          <w:rPr>
            <w:noProof/>
            <w:webHidden/>
          </w:rPr>
          <w:fldChar w:fldCharType="begin"/>
        </w:r>
        <w:r w:rsidR="001B01D0">
          <w:rPr>
            <w:noProof/>
            <w:webHidden/>
          </w:rPr>
          <w:instrText xml:space="preserve"> PAGEREF _Toc534713800 \h </w:instrText>
        </w:r>
        <w:r w:rsidR="001B01D0">
          <w:rPr>
            <w:noProof/>
            <w:webHidden/>
          </w:rPr>
        </w:r>
        <w:r w:rsidR="001B01D0">
          <w:rPr>
            <w:noProof/>
            <w:webHidden/>
          </w:rPr>
          <w:fldChar w:fldCharType="separate"/>
        </w:r>
        <w:r w:rsidR="00F47C96">
          <w:rPr>
            <w:noProof/>
            <w:webHidden/>
          </w:rPr>
          <w:t>52</w:t>
        </w:r>
        <w:r w:rsidR="001B01D0">
          <w:rPr>
            <w:noProof/>
            <w:webHidden/>
          </w:rPr>
          <w:fldChar w:fldCharType="end"/>
        </w:r>
      </w:hyperlink>
    </w:p>
    <w:p w14:paraId="3EE893DB" w14:textId="06FD5260" w:rsidR="001B01D0" w:rsidRDefault="0081649B">
      <w:pPr>
        <w:pStyle w:val="TOC2"/>
        <w:tabs>
          <w:tab w:val="left" w:pos="1134"/>
        </w:tabs>
        <w:rPr>
          <w:rFonts w:asciiTheme="minorHAnsi" w:eastAsiaTheme="minorEastAsia" w:hAnsiTheme="minorHAnsi"/>
          <w:noProof/>
          <w:sz w:val="22"/>
          <w:szCs w:val="22"/>
          <w:lang w:eastAsia="en-AU"/>
        </w:rPr>
      </w:pPr>
      <w:hyperlink w:anchor="_Toc534713801" w:history="1">
        <w:r w:rsidR="001B01D0" w:rsidRPr="007E2C1E">
          <w:rPr>
            <w:rStyle w:val="Hyperlink"/>
            <w:noProof/>
          </w:rPr>
          <w:t>3.1</w:t>
        </w:r>
        <w:r w:rsidR="001B01D0">
          <w:rPr>
            <w:rFonts w:asciiTheme="minorHAnsi" w:eastAsiaTheme="minorEastAsia" w:hAnsiTheme="minorHAnsi"/>
            <w:noProof/>
            <w:sz w:val="22"/>
            <w:szCs w:val="22"/>
            <w:lang w:eastAsia="en-AU"/>
          </w:rPr>
          <w:tab/>
        </w:r>
        <w:r w:rsidR="001B01D0" w:rsidRPr="007E2C1E">
          <w:rPr>
            <w:rStyle w:val="Hyperlink"/>
            <w:noProof/>
          </w:rPr>
          <w:t>Key considerations in interpreting the analysis</w:t>
        </w:r>
        <w:r w:rsidR="001B01D0">
          <w:rPr>
            <w:noProof/>
            <w:webHidden/>
          </w:rPr>
          <w:tab/>
        </w:r>
        <w:r w:rsidR="001B01D0">
          <w:rPr>
            <w:noProof/>
            <w:webHidden/>
          </w:rPr>
          <w:fldChar w:fldCharType="begin"/>
        </w:r>
        <w:r w:rsidR="001B01D0">
          <w:rPr>
            <w:noProof/>
            <w:webHidden/>
          </w:rPr>
          <w:instrText xml:space="preserve"> PAGEREF _Toc534713801 \h </w:instrText>
        </w:r>
        <w:r w:rsidR="001B01D0">
          <w:rPr>
            <w:noProof/>
            <w:webHidden/>
          </w:rPr>
        </w:r>
        <w:r w:rsidR="001B01D0">
          <w:rPr>
            <w:noProof/>
            <w:webHidden/>
          </w:rPr>
          <w:fldChar w:fldCharType="separate"/>
        </w:r>
        <w:r w:rsidR="00F47C96">
          <w:rPr>
            <w:noProof/>
            <w:webHidden/>
          </w:rPr>
          <w:t>52</w:t>
        </w:r>
        <w:r w:rsidR="001B01D0">
          <w:rPr>
            <w:noProof/>
            <w:webHidden/>
          </w:rPr>
          <w:fldChar w:fldCharType="end"/>
        </w:r>
      </w:hyperlink>
    </w:p>
    <w:p w14:paraId="7B7D10E5" w14:textId="2BDDD4C3" w:rsidR="001B01D0" w:rsidRDefault="0081649B">
      <w:pPr>
        <w:pStyle w:val="TOC2"/>
        <w:tabs>
          <w:tab w:val="left" w:pos="1134"/>
        </w:tabs>
        <w:rPr>
          <w:rFonts w:asciiTheme="minorHAnsi" w:eastAsiaTheme="minorEastAsia" w:hAnsiTheme="minorHAnsi"/>
          <w:noProof/>
          <w:sz w:val="22"/>
          <w:szCs w:val="22"/>
          <w:lang w:eastAsia="en-AU"/>
        </w:rPr>
      </w:pPr>
      <w:hyperlink w:anchor="_Toc534713802" w:history="1">
        <w:r w:rsidR="001B01D0" w:rsidRPr="007E2C1E">
          <w:rPr>
            <w:rStyle w:val="Hyperlink"/>
            <w:noProof/>
          </w:rPr>
          <w:t>3.2</w:t>
        </w:r>
        <w:r w:rsidR="001B01D0">
          <w:rPr>
            <w:rFonts w:asciiTheme="minorHAnsi" w:eastAsiaTheme="minorEastAsia" w:hAnsiTheme="minorHAnsi"/>
            <w:noProof/>
            <w:sz w:val="22"/>
            <w:szCs w:val="22"/>
            <w:lang w:eastAsia="en-AU"/>
          </w:rPr>
          <w:tab/>
        </w:r>
        <w:r w:rsidR="001B01D0" w:rsidRPr="007E2C1E">
          <w:rPr>
            <w:rStyle w:val="Hyperlink"/>
            <w:noProof/>
          </w:rPr>
          <w:t>Reflections on splitting teaching and research</w:t>
        </w:r>
        <w:r w:rsidR="001B01D0">
          <w:rPr>
            <w:noProof/>
            <w:webHidden/>
          </w:rPr>
          <w:tab/>
        </w:r>
        <w:r w:rsidR="001B01D0">
          <w:rPr>
            <w:noProof/>
            <w:webHidden/>
          </w:rPr>
          <w:fldChar w:fldCharType="begin"/>
        </w:r>
        <w:r w:rsidR="001B01D0">
          <w:rPr>
            <w:noProof/>
            <w:webHidden/>
          </w:rPr>
          <w:instrText xml:space="preserve"> PAGEREF _Toc534713802 \h </w:instrText>
        </w:r>
        <w:r w:rsidR="001B01D0">
          <w:rPr>
            <w:noProof/>
            <w:webHidden/>
          </w:rPr>
        </w:r>
        <w:r w:rsidR="001B01D0">
          <w:rPr>
            <w:noProof/>
            <w:webHidden/>
          </w:rPr>
          <w:fldChar w:fldCharType="separate"/>
        </w:r>
        <w:r w:rsidR="00F47C96">
          <w:rPr>
            <w:noProof/>
            <w:webHidden/>
          </w:rPr>
          <w:t>54</w:t>
        </w:r>
        <w:r w:rsidR="001B01D0">
          <w:rPr>
            <w:noProof/>
            <w:webHidden/>
          </w:rPr>
          <w:fldChar w:fldCharType="end"/>
        </w:r>
      </w:hyperlink>
    </w:p>
    <w:p w14:paraId="07FE2751" w14:textId="192CF582" w:rsidR="001B01D0" w:rsidRDefault="0081649B">
      <w:pPr>
        <w:pStyle w:val="TOC2"/>
        <w:tabs>
          <w:tab w:val="left" w:pos="1134"/>
        </w:tabs>
        <w:rPr>
          <w:rFonts w:asciiTheme="minorHAnsi" w:eastAsiaTheme="minorEastAsia" w:hAnsiTheme="minorHAnsi"/>
          <w:noProof/>
          <w:sz w:val="22"/>
          <w:szCs w:val="22"/>
          <w:lang w:eastAsia="en-AU"/>
        </w:rPr>
      </w:pPr>
      <w:hyperlink w:anchor="_Toc534713803" w:history="1">
        <w:r w:rsidR="001B01D0" w:rsidRPr="007E2C1E">
          <w:rPr>
            <w:rStyle w:val="Hyperlink"/>
            <w:noProof/>
          </w:rPr>
          <w:t>3.3</w:t>
        </w:r>
        <w:r w:rsidR="001B01D0">
          <w:rPr>
            <w:rFonts w:asciiTheme="minorHAnsi" w:eastAsiaTheme="minorEastAsia" w:hAnsiTheme="minorHAnsi"/>
            <w:noProof/>
            <w:sz w:val="22"/>
            <w:szCs w:val="22"/>
            <w:lang w:eastAsia="en-AU"/>
          </w:rPr>
          <w:tab/>
        </w:r>
        <w:r w:rsidR="001B01D0" w:rsidRPr="007E2C1E">
          <w:rPr>
            <w:rStyle w:val="Hyperlink"/>
            <w:noProof/>
          </w:rPr>
          <w:t>Treatment and accounting for capital costs</w:t>
        </w:r>
        <w:r w:rsidR="001B01D0">
          <w:rPr>
            <w:noProof/>
            <w:webHidden/>
          </w:rPr>
          <w:tab/>
        </w:r>
        <w:r w:rsidR="001B01D0">
          <w:rPr>
            <w:noProof/>
            <w:webHidden/>
          </w:rPr>
          <w:fldChar w:fldCharType="begin"/>
        </w:r>
        <w:r w:rsidR="001B01D0">
          <w:rPr>
            <w:noProof/>
            <w:webHidden/>
          </w:rPr>
          <w:instrText xml:space="preserve"> PAGEREF _Toc534713803 \h </w:instrText>
        </w:r>
        <w:r w:rsidR="001B01D0">
          <w:rPr>
            <w:noProof/>
            <w:webHidden/>
          </w:rPr>
        </w:r>
        <w:r w:rsidR="001B01D0">
          <w:rPr>
            <w:noProof/>
            <w:webHidden/>
          </w:rPr>
          <w:fldChar w:fldCharType="separate"/>
        </w:r>
        <w:r w:rsidR="00F47C96">
          <w:rPr>
            <w:noProof/>
            <w:webHidden/>
          </w:rPr>
          <w:t>54</w:t>
        </w:r>
        <w:r w:rsidR="001B01D0">
          <w:rPr>
            <w:noProof/>
            <w:webHidden/>
          </w:rPr>
          <w:fldChar w:fldCharType="end"/>
        </w:r>
      </w:hyperlink>
    </w:p>
    <w:p w14:paraId="3C37074C" w14:textId="7F803F8A" w:rsidR="001B01D0" w:rsidRDefault="0081649B">
      <w:pPr>
        <w:pStyle w:val="TOC2"/>
        <w:tabs>
          <w:tab w:val="left" w:pos="1134"/>
        </w:tabs>
        <w:rPr>
          <w:rFonts w:asciiTheme="minorHAnsi" w:eastAsiaTheme="minorEastAsia" w:hAnsiTheme="minorHAnsi"/>
          <w:noProof/>
          <w:sz w:val="22"/>
          <w:szCs w:val="22"/>
          <w:lang w:eastAsia="en-AU"/>
        </w:rPr>
      </w:pPr>
      <w:hyperlink w:anchor="_Toc534713804" w:history="1">
        <w:r w:rsidR="001B01D0" w:rsidRPr="007E2C1E">
          <w:rPr>
            <w:rStyle w:val="Hyperlink"/>
            <w:noProof/>
          </w:rPr>
          <w:t>3.4</w:t>
        </w:r>
        <w:r w:rsidR="001B01D0">
          <w:rPr>
            <w:rFonts w:asciiTheme="minorHAnsi" w:eastAsiaTheme="minorEastAsia" w:hAnsiTheme="minorHAnsi"/>
            <w:noProof/>
            <w:sz w:val="22"/>
            <w:szCs w:val="22"/>
            <w:lang w:eastAsia="en-AU"/>
          </w:rPr>
          <w:tab/>
        </w:r>
        <w:r w:rsidR="001B01D0" w:rsidRPr="007E2C1E">
          <w:rPr>
            <w:rStyle w:val="Hyperlink"/>
            <w:noProof/>
          </w:rPr>
          <w:t>Top-down vs bottom-up methodology</w:t>
        </w:r>
        <w:r w:rsidR="001B01D0">
          <w:rPr>
            <w:noProof/>
            <w:webHidden/>
          </w:rPr>
          <w:tab/>
        </w:r>
        <w:r w:rsidR="001B01D0">
          <w:rPr>
            <w:noProof/>
            <w:webHidden/>
          </w:rPr>
          <w:fldChar w:fldCharType="begin"/>
        </w:r>
        <w:r w:rsidR="001B01D0">
          <w:rPr>
            <w:noProof/>
            <w:webHidden/>
          </w:rPr>
          <w:instrText xml:space="preserve"> PAGEREF _Toc534713804 \h </w:instrText>
        </w:r>
        <w:r w:rsidR="001B01D0">
          <w:rPr>
            <w:noProof/>
            <w:webHidden/>
          </w:rPr>
        </w:r>
        <w:r w:rsidR="001B01D0">
          <w:rPr>
            <w:noProof/>
            <w:webHidden/>
          </w:rPr>
          <w:fldChar w:fldCharType="separate"/>
        </w:r>
        <w:r w:rsidR="00F47C96">
          <w:rPr>
            <w:noProof/>
            <w:webHidden/>
          </w:rPr>
          <w:t>57</w:t>
        </w:r>
        <w:r w:rsidR="001B01D0">
          <w:rPr>
            <w:noProof/>
            <w:webHidden/>
          </w:rPr>
          <w:fldChar w:fldCharType="end"/>
        </w:r>
      </w:hyperlink>
    </w:p>
    <w:p w14:paraId="261FC348" w14:textId="3F4D79C9" w:rsidR="001B01D0" w:rsidRDefault="0081649B">
      <w:pPr>
        <w:pStyle w:val="TOC2"/>
        <w:tabs>
          <w:tab w:val="left" w:pos="1134"/>
        </w:tabs>
        <w:rPr>
          <w:rFonts w:asciiTheme="minorHAnsi" w:eastAsiaTheme="minorEastAsia" w:hAnsiTheme="minorHAnsi"/>
          <w:noProof/>
          <w:sz w:val="22"/>
          <w:szCs w:val="22"/>
          <w:lang w:eastAsia="en-AU"/>
        </w:rPr>
      </w:pPr>
      <w:hyperlink w:anchor="_Toc534713805" w:history="1">
        <w:r w:rsidR="001B01D0" w:rsidRPr="007E2C1E">
          <w:rPr>
            <w:rStyle w:val="Hyperlink"/>
            <w:noProof/>
          </w:rPr>
          <w:t>3.5</w:t>
        </w:r>
        <w:r w:rsidR="001B01D0">
          <w:rPr>
            <w:rFonts w:asciiTheme="minorHAnsi" w:eastAsiaTheme="minorEastAsia" w:hAnsiTheme="minorHAnsi"/>
            <w:noProof/>
            <w:sz w:val="22"/>
            <w:szCs w:val="22"/>
            <w:lang w:eastAsia="en-AU"/>
          </w:rPr>
          <w:tab/>
        </w:r>
        <w:r w:rsidR="001B01D0" w:rsidRPr="007E2C1E">
          <w:rPr>
            <w:rStyle w:val="Hyperlink"/>
            <w:noProof/>
          </w:rPr>
          <w:t>Other reflections from universities</w:t>
        </w:r>
        <w:r w:rsidR="001B01D0">
          <w:rPr>
            <w:noProof/>
            <w:webHidden/>
          </w:rPr>
          <w:tab/>
        </w:r>
        <w:r w:rsidR="001B01D0">
          <w:rPr>
            <w:noProof/>
            <w:webHidden/>
          </w:rPr>
          <w:fldChar w:fldCharType="begin"/>
        </w:r>
        <w:r w:rsidR="001B01D0">
          <w:rPr>
            <w:noProof/>
            <w:webHidden/>
          </w:rPr>
          <w:instrText xml:space="preserve"> PAGEREF _Toc534713805 \h </w:instrText>
        </w:r>
        <w:r w:rsidR="001B01D0">
          <w:rPr>
            <w:noProof/>
            <w:webHidden/>
          </w:rPr>
        </w:r>
        <w:r w:rsidR="001B01D0">
          <w:rPr>
            <w:noProof/>
            <w:webHidden/>
          </w:rPr>
          <w:fldChar w:fldCharType="separate"/>
        </w:r>
        <w:r w:rsidR="00F47C96">
          <w:rPr>
            <w:noProof/>
            <w:webHidden/>
          </w:rPr>
          <w:t>57</w:t>
        </w:r>
        <w:r w:rsidR="001B01D0">
          <w:rPr>
            <w:noProof/>
            <w:webHidden/>
          </w:rPr>
          <w:fldChar w:fldCharType="end"/>
        </w:r>
      </w:hyperlink>
    </w:p>
    <w:p w14:paraId="2B935E60" w14:textId="0766E6BC" w:rsidR="001B01D0" w:rsidRDefault="0081649B">
      <w:pPr>
        <w:pStyle w:val="TOC1"/>
        <w:rPr>
          <w:rFonts w:asciiTheme="minorHAnsi" w:eastAsiaTheme="minorEastAsia" w:hAnsiTheme="minorHAnsi"/>
          <w:noProof/>
          <w:sz w:val="22"/>
          <w:szCs w:val="22"/>
          <w:lang w:eastAsia="en-AU"/>
        </w:rPr>
      </w:pPr>
      <w:hyperlink w:anchor="_Toc534713806" w:history="1">
        <w:r w:rsidR="001B01D0" w:rsidRPr="007E2C1E">
          <w:rPr>
            <w:rStyle w:val="Hyperlink"/>
            <w:noProof/>
          </w:rPr>
          <w:t>4</w:t>
        </w:r>
        <w:r w:rsidR="001B01D0">
          <w:rPr>
            <w:rFonts w:asciiTheme="minorHAnsi" w:eastAsiaTheme="minorEastAsia" w:hAnsiTheme="minorHAnsi"/>
            <w:noProof/>
            <w:sz w:val="22"/>
            <w:szCs w:val="22"/>
            <w:lang w:eastAsia="en-AU"/>
          </w:rPr>
          <w:tab/>
        </w:r>
        <w:r w:rsidR="001B01D0" w:rsidRPr="007E2C1E">
          <w:rPr>
            <w:rStyle w:val="Hyperlink"/>
            <w:noProof/>
          </w:rPr>
          <w:t>Potential areas for improvement in 2019</w:t>
        </w:r>
        <w:r w:rsidR="001B01D0">
          <w:rPr>
            <w:noProof/>
            <w:webHidden/>
          </w:rPr>
          <w:tab/>
        </w:r>
        <w:r w:rsidR="001B01D0">
          <w:rPr>
            <w:noProof/>
            <w:webHidden/>
          </w:rPr>
          <w:fldChar w:fldCharType="begin"/>
        </w:r>
        <w:r w:rsidR="001B01D0">
          <w:rPr>
            <w:noProof/>
            <w:webHidden/>
          </w:rPr>
          <w:instrText xml:space="preserve"> PAGEREF _Toc534713806 \h </w:instrText>
        </w:r>
        <w:r w:rsidR="001B01D0">
          <w:rPr>
            <w:noProof/>
            <w:webHidden/>
          </w:rPr>
        </w:r>
        <w:r w:rsidR="001B01D0">
          <w:rPr>
            <w:noProof/>
            <w:webHidden/>
          </w:rPr>
          <w:fldChar w:fldCharType="separate"/>
        </w:r>
        <w:r w:rsidR="00F47C96">
          <w:rPr>
            <w:noProof/>
            <w:webHidden/>
          </w:rPr>
          <w:t>60</w:t>
        </w:r>
        <w:r w:rsidR="001B01D0">
          <w:rPr>
            <w:noProof/>
            <w:webHidden/>
          </w:rPr>
          <w:fldChar w:fldCharType="end"/>
        </w:r>
      </w:hyperlink>
    </w:p>
    <w:p w14:paraId="4F984BB6" w14:textId="6E28BA68" w:rsidR="001B01D0" w:rsidRDefault="0081649B">
      <w:pPr>
        <w:pStyle w:val="TOC2"/>
        <w:tabs>
          <w:tab w:val="left" w:pos="1134"/>
        </w:tabs>
        <w:rPr>
          <w:rFonts w:asciiTheme="minorHAnsi" w:eastAsiaTheme="minorEastAsia" w:hAnsiTheme="minorHAnsi"/>
          <w:noProof/>
          <w:sz w:val="22"/>
          <w:szCs w:val="22"/>
          <w:lang w:eastAsia="en-AU"/>
        </w:rPr>
      </w:pPr>
      <w:hyperlink w:anchor="_Toc534713807" w:history="1">
        <w:r w:rsidR="001B01D0" w:rsidRPr="007E2C1E">
          <w:rPr>
            <w:rStyle w:val="Hyperlink"/>
            <w:noProof/>
          </w:rPr>
          <w:t>4.1</w:t>
        </w:r>
        <w:r w:rsidR="001B01D0">
          <w:rPr>
            <w:rFonts w:asciiTheme="minorHAnsi" w:eastAsiaTheme="minorEastAsia" w:hAnsiTheme="minorHAnsi"/>
            <w:noProof/>
            <w:sz w:val="22"/>
            <w:szCs w:val="22"/>
            <w:lang w:eastAsia="en-AU"/>
          </w:rPr>
          <w:tab/>
        </w:r>
        <w:r w:rsidR="001B01D0" w:rsidRPr="007E2C1E">
          <w:rPr>
            <w:rStyle w:val="Hyperlink"/>
            <w:noProof/>
          </w:rPr>
          <w:t>Potential changes to the Transparent Costing Worksheet</w:t>
        </w:r>
        <w:r w:rsidR="001B01D0">
          <w:rPr>
            <w:noProof/>
            <w:webHidden/>
          </w:rPr>
          <w:tab/>
        </w:r>
        <w:r w:rsidR="001B01D0">
          <w:rPr>
            <w:noProof/>
            <w:webHidden/>
          </w:rPr>
          <w:fldChar w:fldCharType="begin"/>
        </w:r>
        <w:r w:rsidR="001B01D0">
          <w:rPr>
            <w:noProof/>
            <w:webHidden/>
          </w:rPr>
          <w:instrText xml:space="preserve"> PAGEREF _Toc534713807 \h </w:instrText>
        </w:r>
        <w:r w:rsidR="001B01D0">
          <w:rPr>
            <w:noProof/>
            <w:webHidden/>
          </w:rPr>
        </w:r>
        <w:r w:rsidR="001B01D0">
          <w:rPr>
            <w:noProof/>
            <w:webHidden/>
          </w:rPr>
          <w:fldChar w:fldCharType="separate"/>
        </w:r>
        <w:r w:rsidR="00F47C96">
          <w:rPr>
            <w:noProof/>
            <w:webHidden/>
          </w:rPr>
          <w:t>60</w:t>
        </w:r>
        <w:r w:rsidR="001B01D0">
          <w:rPr>
            <w:noProof/>
            <w:webHidden/>
          </w:rPr>
          <w:fldChar w:fldCharType="end"/>
        </w:r>
      </w:hyperlink>
    </w:p>
    <w:p w14:paraId="209D5FDC" w14:textId="05865CC0" w:rsidR="001B01D0" w:rsidRDefault="0081649B">
      <w:pPr>
        <w:pStyle w:val="TOC2"/>
        <w:tabs>
          <w:tab w:val="left" w:pos="1134"/>
        </w:tabs>
        <w:rPr>
          <w:rFonts w:asciiTheme="minorHAnsi" w:eastAsiaTheme="minorEastAsia" w:hAnsiTheme="minorHAnsi"/>
          <w:noProof/>
          <w:sz w:val="22"/>
          <w:szCs w:val="22"/>
          <w:lang w:eastAsia="en-AU"/>
        </w:rPr>
      </w:pPr>
      <w:hyperlink w:anchor="_Toc534713808" w:history="1">
        <w:r w:rsidR="001B01D0" w:rsidRPr="007E2C1E">
          <w:rPr>
            <w:rStyle w:val="Hyperlink"/>
            <w:noProof/>
          </w:rPr>
          <w:t>4.2</w:t>
        </w:r>
        <w:r w:rsidR="001B01D0">
          <w:rPr>
            <w:rFonts w:asciiTheme="minorHAnsi" w:eastAsiaTheme="minorEastAsia" w:hAnsiTheme="minorHAnsi"/>
            <w:noProof/>
            <w:sz w:val="22"/>
            <w:szCs w:val="22"/>
            <w:lang w:eastAsia="en-AU"/>
          </w:rPr>
          <w:tab/>
        </w:r>
        <w:r w:rsidR="001B01D0" w:rsidRPr="007E2C1E">
          <w:rPr>
            <w:rStyle w:val="Hyperlink"/>
            <w:noProof/>
          </w:rPr>
          <w:t>Potential changes to the data collection process</w:t>
        </w:r>
        <w:r w:rsidR="001B01D0">
          <w:rPr>
            <w:noProof/>
            <w:webHidden/>
          </w:rPr>
          <w:tab/>
        </w:r>
        <w:r w:rsidR="001B01D0">
          <w:rPr>
            <w:noProof/>
            <w:webHidden/>
          </w:rPr>
          <w:fldChar w:fldCharType="begin"/>
        </w:r>
        <w:r w:rsidR="001B01D0">
          <w:rPr>
            <w:noProof/>
            <w:webHidden/>
          </w:rPr>
          <w:instrText xml:space="preserve"> PAGEREF _Toc534713808 \h </w:instrText>
        </w:r>
        <w:r w:rsidR="001B01D0">
          <w:rPr>
            <w:noProof/>
            <w:webHidden/>
          </w:rPr>
        </w:r>
        <w:r w:rsidR="001B01D0">
          <w:rPr>
            <w:noProof/>
            <w:webHidden/>
          </w:rPr>
          <w:fldChar w:fldCharType="separate"/>
        </w:r>
        <w:r w:rsidR="00F47C96">
          <w:rPr>
            <w:noProof/>
            <w:webHidden/>
          </w:rPr>
          <w:t>61</w:t>
        </w:r>
        <w:r w:rsidR="001B01D0">
          <w:rPr>
            <w:noProof/>
            <w:webHidden/>
          </w:rPr>
          <w:fldChar w:fldCharType="end"/>
        </w:r>
      </w:hyperlink>
    </w:p>
    <w:p w14:paraId="50732D20" w14:textId="4C6460CE" w:rsidR="001B01D0" w:rsidRDefault="0081649B">
      <w:pPr>
        <w:pStyle w:val="TOC1"/>
        <w:rPr>
          <w:rFonts w:asciiTheme="minorHAnsi" w:eastAsiaTheme="minorEastAsia" w:hAnsiTheme="minorHAnsi"/>
          <w:noProof/>
          <w:sz w:val="22"/>
          <w:szCs w:val="22"/>
          <w:lang w:eastAsia="en-AU"/>
        </w:rPr>
      </w:pPr>
      <w:hyperlink w:anchor="_Toc534713809" w:history="1">
        <w:r w:rsidR="001B01D0" w:rsidRPr="007E2C1E">
          <w:rPr>
            <w:rStyle w:val="Hyperlink"/>
            <w:noProof/>
          </w:rPr>
          <w:t>Limitation of our work</w:t>
        </w:r>
        <w:r w:rsidR="001B01D0">
          <w:rPr>
            <w:noProof/>
            <w:webHidden/>
          </w:rPr>
          <w:tab/>
        </w:r>
        <w:r w:rsidR="001B01D0">
          <w:rPr>
            <w:noProof/>
            <w:webHidden/>
          </w:rPr>
          <w:fldChar w:fldCharType="begin"/>
        </w:r>
        <w:r w:rsidR="001B01D0">
          <w:rPr>
            <w:noProof/>
            <w:webHidden/>
          </w:rPr>
          <w:instrText xml:space="preserve"> PAGEREF _Toc534713809 \h </w:instrText>
        </w:r>
        <w:r w:rsidR="001B01D0">
          <w:rPr>
            <w:noProof/>
            <w:webHidden/>
          </w:rPr>
        </w:r>
        <w:r w:rsidR="001B01D0">
          <w:rPr>
            <w:noProof/>
            <w:webHidden/>
          </w:rPr>
          <w:fldChar w:fldCharType="separate"/>
        </w:r>
        <w:r w:rsidR="00F47C96">
          <w:rPr>
            <w:noProof/>
            <w:webHidden/>
          </w:rPr>
          <w:t>76</w:t>
        </w:r>
        <w:r w:rsidR="001B01D0">
          <w:rPr>
            <w:noProof/>
            <w:webHidden/>
          </w:rPr>
          <w:fldChar w:fldCharType="end"/>
        </w:r>
      </w:hyperlink>
    </w:p>
    <w:p w14:paraId="6D96F2EC" w14:textId="2C196141" w:rsidR="001B01D0" w:rsidRDefault="0081649B">
      <w:pPr>
        <w:pStyle w:val="TOC2"/>
        <w:rPr>
          <w:rFonts w:asciiTheme="minorHAnsi" w:eastAsiaTheme="minorEastAsia" w:hAnsiTheme="minorHAnsi"/>
          <w:noProof/>
          <w:sz w:val="22"/>
          <w:szCs w:val="22"/>
          <w:lang w:eastAsia="en-AU"/>
        </w:rPr>
      </w:pPr>
      <w:hyperlink w:anchor="_Toc534713810" w:history="1">
        <w:r w:rsidR="001B01D0" w:rsidRPr="007E2C1E">
          <w:rPr>
            <w:rStyle w:val="Hyperlink"/>
            <w:noProof/>
          </w:rPr>
          <w:t>General use restriction</w:t>
        </w:r>
        <w:r w:rsidR="001B01D0">
          <w:rPr>
            <w:noProof/>
            <w:webHidden/>
          </w:rPr>
          <w:tab/>
        </w:r>
        <w:r w:rsidR="001B01D0">
          <w:rPr>
            <w:noProof/>
            <w:webHidden/>
          </w:rPr>
          <w:fldChar w:fldCharType="begin"/>
        </w:r>
        <w:r w:rsidR="001B01D0">
          <w:rPr>
            <w:noProof/>
            <w:webHidden/>
          </w:rPr>
          <w:instrText xml:space="preserve"> PAGEREF _Toc534713810 \h </w:instrText>
        </w:r>
        <w:r w:rsidR="001B01D0">
          <w:rPr>
            <w:noProof/>
            <w:webHidden/>
          </w:rPr>
        </w:r>
        <w:r w:rsidR="001B01D0">
          <w:rPr>
            <w:noProof/>
            <w:webHidden/>
          </w:rPr>
          <w:fldChar w:fldCharType="separate"/>
        </w:r>
        <w:r w:rsidR="00F47C96">
          <w:rPr>
            <w:noProof/>
            <w:webHidden/>
          </w:rPr>
          <w:t>76</w:t>
        </w:r>
        <w:r w:rsidR="001B01D0">
          <w:rPr>
            <w:noProof/>
            <w:webHidden/>
          </w:rPr>
          <w:fldChar w:fldCharType="end"/>
        </w:r>
      </w:hyperlink>
    </w:p>
    <w:p w14:paraId="2851DB63" w14:textId="77777777" w:rsidR="00315C25" w:rsidRDefault="00BC1C07" w:rsidP="002268CC">
      <w:r>
        <w:fldChar w:fldCharType="end"/>
      </w:r>
    </w:p>
    <w:p w14:paraId="675A1F7B" w14:textId="77777777" w:rsidR="0080001F" w:rsidRPr="00315C25" w:rsidRDefault="0080001F" w:rsidP="002268CC"/>
    <w:p w14:paraId="0776AC92" w14:textId="77777777" w:rsidR="00A6563E" w:rsidRDefault="00A6563E" w:rsidP="00FC6122">
      <w:pPr>
        <w:sectPr w:rsidR="00A6563E" w:rsidSect="00554A5F">
          <w:headerReference w:type="default" r:id="rId14"/>
          <w:footerReference w:type="default" r:id="rId15"/>
          <w:pgSz w:w="11906" w:h="16838" w:code="9"/>
          <w:pgMar w:top="1985" w:right="1416" w:bottom="1134" w:left="1418" w:header="680" w:footer="425" w:gutter="0"/>
          <w:cols w:space="284"/>
          <w:docGrid w:linePitch="360"/>
        </w:sectPr>
      </w:pPr>
    </w:p>
    <w:p w14:paraId="6EC70C51" w14:textId="77777777" w:rsidR="00FC6122" w:rsidRDefault="00FC6122" w:rsidP="00810613">
      <w:pPr>
        <w:pStyle w:val="TOCHeading"/>
      </w:pPr>
      <w:bookmarkStart w:id="4" w:name="_Hlk482167878"/>
      <w:r>
        <w:lastRenderedPageBreak/>
        <w:t>Charts</w:t>
      </w:r>
    </w:p>
    <w:p w14:paraId="1FCEB013" w14:textId="0A714F95" w:rsidR="001B01D0" w:rsidRDefault="00FC6122">
      <w:pPr>
        <w:pStyle w:val="TOC6"/>
        <w:tabs>
          <w:tab w:val="right" w:pos="9062"/>
        </w:tabs>
        <w:rPr>
          <w:rFonts w:asciiTheme="minorHAnsi" w:eastAsiaTheme="minorEastAsia" w:hAnsiTheme="minorHAnsi"/>
          <w:noProof/>
          <w:sz w:val="22"/>
          <w:szCs w:val="22"/>
          <w:lang w:eastAsia="en-AU"/>
        </w:rPr>
      </w:pPr>
      <w:r w:rsidRPr="00810613">
        <w:rPr>
          <w:rStyle w:val="Hyperlink"/>
          <w:noProof/>
        </w:rPr>
        <w:fldChar w:fldCharType="begin"/>
      </w:r>
      <w:r w:rsidRPr="00810613">
        <w:rPr>
          <w:rStyle w:val="Hyperlink"/>
          <w:noProof/>
        </w:rPr>
        <w:instrText xml:space="preserve"> TOC \h \z \t "Caption_Chart,6,Exec Chart Caption,6,Appendix Chart Caption,6" </w:instrText>
      </w:r>
      <w:r w:rsidRPr="00810613">
        <w:rPr>
          <w:rStyle w:val="Hyperlink"/>
          <w:noProof/>
        </w:rPr>
        <w:fldChar w:fldCharType="separate"/>
      </w:r>
      <w:hyperlink w:anchor="_Toc534713811" w:history="1">
        <w:r w:rsidR="001B01D0" w:rsidRPr="00591D14">
          <w:rPr>
            <w:rStyle w:val="Hyperlink"/>
            <w:noProof/>
          </w:rPr>
          <w:t>Chart i : Average bachelor unit costs per EFTSL by university</w:t>
        </w:r>
        <w:r w:rsidR="001B01D0">
          <w:rPr>
            <w:noProof/>
            <w:webHidden/>
          </w:rPr>
          <w:tab/>
        </w:r>
        <w:r w:rsidR="001B01D0">
          <w:rPr>
            <w:noProof/>
            <w:webHidden/>
          </w:rPr>
          <w:fldChar w:fldCharType="begin"/>
        </w:r>
        <w:r w:rsidR="001B01D0">
          <w:rPr>
            <w:noProof/>
            <w:webHidden/>
          </w:rPr>
          <w:instrText xml:space="preserve"> PAGEREF _Toc534713811 \h </w:instrText>
        </w:r>
        <w:r w:rsidR="001B01D0">
          <w:rPr>
            <w:noProof/>
            <w:webHidden/>
          </w:rPr>
        </w:r>
        <w:r w:rsidR="001B01D0">
          <w:rPr>
            <w:noProof/>
            <w:webHidden/>
          </w:rPr>
          <w:fldChar w:fldCharType="separate"/>
        </w:r>
        <w:r w:rsidR="00F47C96">
          <w:rPr>
            <w:noProof/>
            <w:webHidden/>
          </w:rPr>
          <w:t>viii</w:t>
        </w:r>
        <w:r w:rsidR="001B01D0">
          <w:rPr>
            <w:noProof/>
            <w:webHidden/>
          </w:rPr>
          <w:fldChar w:fldCharType="end"/>
        </w:r>
      </w:hyperlink>
    </w:p>
    <w:p w14:paraId="57457BDA" w14:textId="77F1DE4B" w:rsidR="001B01D0" w:rsidRDefault="0081649B">
      <w:pPr>
        <w:pStyle w:val="TOC6"/>
        <w:tabs>
          <w:tab w:val="right" w:pos="9062"/>
        </w:tabs>
        <w:rPr>
          <w:rFonts w:asciiTheme="minorHAnsi" w:eastAsiaTheme="minorEastAsia" w:hAnsiTheme="minorHAnsi"/>
          <w:noProof/>
          <w:sz w:val="22"/>
          <w:szCs w:val="22"/>
          <w:lang w:eastAsia="en-AU"/>
        </w:rPr>
      </w:pPr>
      <w:hyperlink w:anchor="_Toc534713812" w:history="1">
        <w:r w:rsidR="001B01D0" w:rsidRPr="00591D14">
          <w:rPr>
            <w:rStyle w:val="Hyperlink"/>
            <w:noProof/>
          </w:rPr>
          <w:t>Chart ii : Distribution of unit costs by field for bachelor studies</w:t>
        </w:r>
        <w:r w:rsidR="001B01D0">
          <w:rPr>
            <w:noProof/>
            <w:webHidden/>
          </w:rPr>
          <w:tab/>
        </w:r>
        <w:r w:rsidR="001B01D0">
          <w:rPr>
            <w:noProof/>
            <w:webHidden/>
          </w:rPr>
          <w:fldChar w:fldCharType="begin"/>
        </w:r>
        <w:r w:rsidR="001B01D0">
          <w:rPr>
            <w:noProof/>
            <w:webHidden/>
          </w:rPr>
          <w:instrText xml:space="preserve"> PAGEREF _Toc534713812 \h </w:instrText>
        </w:r>
        <w:r w:rsidR="001B01D0">
          <w:rPr>
            <w:noProof/>
            <w:webHidden/>
          </w:rPr>
        </w:r>
        <w:r w:rsidR="001B01D0">
          <w:rPr>
            <w:noProof/>
            <w:webHidden/>
          </w:rPr>
          <w:fldChar w:fldCharType="separate"/>
        </w:r>
        <w:r w:rsidR="00F47C96">
          <w:rPr>
            <w:noProof/>
            <w:webHidden/>
          </w:rPr>
          <w:t>ix</w:t>
        </w:r>
        <w:r w:rsidR="001B01D0">
          <w:rPr>
            <w:noProof/>
            <w:webHidden/>
          </w:rPr>
          <w:fldChar w:fldCharType="end"/>
        </w:r>
      </w:hyperlink>
    </w:p>
    <w:p w14:paraId="1FAD47D1" w14:textId="69E1BA74" w:rsidR="001B01D0" w:rsidRDefault="0081649B">
      <w:pPr>
        <w:pStyle w:val="TOC6"/>
        <w:tabs>
          <w:tab w:val="right" w:pos="9062"/>
        </w:tabs>
        <w:rPr>
          <w:rFonts w:asciiTheme="minorHAnsi" w:eastAsiaTheme="minorEastAsia" w:hAnsiTheme="minorHAnsi"/>
          <w:noProof/>
          <w:sz w:val="22"/>
          <w:szCs w:val="22"/>
          <w:lang w:eastAsia="en-AU"/>
        </w:rPr>
      </w:pPr>
      <w:hyperlink w:anchor="_Toc534713813" w:history="1">
        <w:r w:rsidR="001B01D0" w:rsidRPr="00591D14">
          <w:rPr>
            <w:rStyle w:val="Hyperlink"/>
            <w:noProof/>
          </w:rPr>
          <w:t>Chart iii : Distribution of unit costs by field for postgraduate studies</w:t>
        </w:r>
        <w:r w:rsidR="001B01D0">
          <w:rPr>
            <w:noProof/>
            <w:webHidden/>
          </w:rPr>
          <w:tab/>
        </w:r>
        <w:r w:rsidR="001B01D0">
          <w:rPr>
            <w:noProof/>
            <w:webHidden/>
          </w:rPr>
          <w:fldChar w:fldCharType="begin"/>
        </w:r>
        <w:r w:rsidR="001B01D0">
          <w:rPr>
            <w:noProof/>
            <w:webHidden/>
          </w:rPr>
          <w:instrText xml:space="preserve"> PAGEREF _Toc534713813 \h </w:instrText>
        </w:r>
        <w:r w:rsidR="001B01D0">
          <w:rPr>
            <w:noProof/>
            <w:webHidden/>
          </w:rPr>
        </w:r>
        <w:r w:rsidR="001B01D0">
          <w:rPr>
            <w:noProof/>
            <w:webHidden/>
          </w:rPr>
          <w:fldChar w:fldCharType="separate"/>
        </w:r>
        <w:r w:rsidR="00F47C96">
          <w:rPr>
            <w:noProof/>
            <w:webHidden/>
          </w:rPr>
          <w:t>x</w:t>
        </w:r>
        <w:r w:rsidR="001B01D0">
          <w:rPr>
            <w:noProof/>
            <w:webHidden/>
          </w:rPr>
          <w:fldChar w:fldCharType="end"/>
        </w:r>
      </w:hyperlink>
    </w:p>
    <w:p w14:paraId="55A8ECCC" w14:textId="0365665D" w:rsidR="001B01D0" w:rsidRDefault="0081649B">
      <w:pPr>
        <w:pStyle w:val="TOC6"/>
        <w:tabs>
          <w:tab w:val="right" w:pos="9062"/>
        </w:tabs>
        <w:rPr>
          <w:rFonts w:asciiTheme="minorHAnsi" w:eastAsiaTheme="minorEastAsia" w:hAnsiTheme="minorHAnsi"/>
          <w:noProof/>
          <w:sz w:val="22"/>
          <w:szCs w:val="22"/>
          <w:lang w:eastAsia="en-AU"/>
        </w:rPr>
      </w:pPr>
      <w:hyperlink w:anchor="_Toc534713814" w:history="1">
        <w:r w:rsidR="001B01D0" w:rsidRPr="00591D14">
          <w:rPr>
            <w:rStyle w:val="Hyperlink"/>
            <w:noProof/>
          </w:rPr>
          <w:t>Chart iv : Distribution of units costs by field for sub-bachelor studies</w:t>
        </w:r>
        <w:r w:rsidR="001B01D0">
          <w:rPr>
            <w:noProof/>
            <w:webHidden/>
          </w:rPr>
          <w:tab/>
        </w:r>
        <w:r w:rsidR="001B01D0">
          <w:rPr>
            <w:noProof/>
            <w:webHidden/>
          </w:rPr>
          <w:fldChar w:fldCharType="begin"/>
        </w:r>
        <w:r w:rsidR="001B01D0">
          <w:rPr>
            <w:noProof/>
            <w:webHidden/>
          </w:rPr>
          <w:instrText xml:space="preserve"> PAGEREF _Toc534713814 \h </w:instrText>
        </w:r>
        <w:r w:rsidR="001B01D0">
          <w:rPr>
            <w:noProof/>
            <w:webHidden/>
          </w:rPr>
        </w:r>
        <w:r w:rsidR="001B01D0">
          <w:rPr>
            <w:noProof/>
            <w:webHidden/>
          </w:rPr>
          <w:fldChar w:fldCharType="separate"/>
        </w:r>
        <w:r w:rsidR="00F47C96">
          <w:rPr>
            <w:noProof/>
            <w:webHidden/>
          </w:rPr>
          <w:t>x</w:t>
        </w:r>
        <w:r w:rsidR="001B01D0">
          <w:rPr>
            <w:noProof/>
            <w:webHidden/>
          </w:rPr>
          <w:fldChar w:fldCharType="end"/>
        </w:r>
      </w:hyperlink>
    </w:p>
    <w:p w14:paraId="4C914013" w14:textId="09D57E06" w:rsidR="001B01D0" w:rsidRDefault="0081649B">
      <w:pPr>
        <w:pStyle w:val="TOC6"/>
        <w:tabs>
          <w:tab w:val="right" w:pos="9062"/>
        </w:tabs>
        <w:rPr>
          <w:rFonts w:asciiTheme="minorHAnsi" w:eastAsiaTheme="minorEastAsia" w:hAnsiTheme="minorHAnsi"/>
          <w:noProof/>
          <w:sz w:val="22"/>
          <w:szCs w:val="22"/>
          <w:lang w:eastAsia="en-AU"/>
        </w:rPr>
      </w:pPr>
      <w:hyperlink w:anchor="_Toc534713815" w:history="1">
        <w:r w:rsidR="001B01D0" w:rsidRPr="00591D14">
          <w:rPr>
            <w:rStyle w:val="Hyperlink"/>
            <w:noProof/>
          </w:rPr>
          <w:t>Chart v : Comparing unit costs between 2016 and 2018 studies for bachelor, common sample</w:t>
        </w:r>
        <w:r w:rsidR="001B01D0">
          <w:rPr>
            <w:noProof/>
            <w:webHidden/>
          </w:rPr>
          <w:tab/>
        </w:r>
        <w:r w:rsidR="001B01D0">
          <w:rPr>
            <w:noProof/>
            <w:webHidden/>
          </w:rPr>
          <w:fldChar w:fldCharType="begin"/>
        </w:r>
        <w:r w:rsidR="001B01D0">
          <w:rPr>
            <w:noProof/>
            <w:webHidden/>
          </w:rPr>
          <w:instrText xml:space="preserve"> PAGEREF _Toc534713815 \h </w:instrText>
        </w:r>
        <w:r w:rsidR="001B01D0">
          <w:rPr>
            <w:noProof/>
            <w:webHidden/>
          </w:rPr>
        </w:r>
        <w:r w:rsidR="001B01D0">
          <w:rPr>
            <w:noProof/>
            <w:webHidden/>
          </w:rPr>
          <w:fldChar w:fldCharType="separate"/>
        </w:r>
        <w:r w:rsidR="00F47C96">
          <w:rPr>
            <w:noProof/>
            <w:webHidden/>
          </w:rPr>
          <w:t>xi</w:t>
        </w:r>
        <w:r w:rsidR="001B01D0">
          <w:rPr>
            <w:noProof/>
            <w:webHidden/>
          </w:rPr>
          <w:fldChar w:fldCharType="end"/>
        </w:r>
      </w:hyperlink>
    </w:p>
    <w:p w14:paraId="7B53FD4E" w14:textId="4BA0AB25" w:rsidR="001B01D0" w:rsidRDefault="0081649B">
      <w:pPr>
        <w:pStyle w:val="TOC6"/>
        <w:tabs>
          <w:tab w:val="right" w:pos="9062"/>
        </w:tabs>
        <w:rPr>
          <w:rFonts w:asciiTheme="minorHAnsi" w:eastAsiaTheme="minorEastAsia" w:hAnsiTheme="minorHAnsi"/>
          <w:noProof/>
          <w:sz w:val="22"/>
          <w:szCs w:val="22"/>
          <w:lang w:eastAsia="en-AU"/>
        </w:rPr>
      </w:pPr>
      <w:hyperlink w:anchor="_Toc534713816" w:history="1">
        <w:r w:rsidR="001B01D0" w:rsidRPr="00591D14">
          <w:rPr>
            <w:rStyle w:val="Hyperlink"/>
            <w:noProof/>
          </w:rPr>
          <w:t>Chart vi : Average unit costs as a proportion of base funding for bachelor, full sample</w:t>
        </w:r>
        <w:r w:rsidR="001B01D0">
          <w:rPr>
            <w:noProof/>
            <w:webHidden/>
          </w:rPr>
          <w:tab/>
        </w:r>
        <w:r w:rsidR="001B01D0">
          <w:rPr>
            <w:noProof/>
            <w:webHidden/>
          </w:rPr>
          <w:fldChar w:fldCharType="begin"/>
        </w:r>
        <w:r w:rsidR="001B01D0">
          <w:rPr>
            <w:noProof/>
            <w:webHidden/>
          </w:rPr>
          <w:instrText xml:space="preserve"> PAGEREF _Toc534713816 \h </w:instrText>
        </w:r>
        <w:r w:rsidR="001B01D0">
          <w:rPr>
            <w:noProof/>
            <w:webHidden/>
          </w:rPr>
        </w:r>
        <w:r w:rsidR="001B01D0">
          <w:rPr>
            <w:noProof/>
            <w:webHidden/>
          </w:rPr>
          <w:fldChar w:fldCharType="separate"/>
        </w:r>
        <w:r w:rsidR="00F47C96">
          <w:rPr>
            <w:noProof/>
            <w:webHidden/>
          </w:rPr>
          <w:t>xiv</w:t>
        </w:r>
        <w:r w:rsidR="001B01D0">
          <w:rPr>
            <w:noProof/>
            <w:webHidden/>
          </w:rPr>
          <w:fldChar w:fldCharType="end"/>
        </w:r>
      </w:hyperlink>
    </w:p>
    <w:p w14:paraId="60298275" w14:textId="3F2F7B14" w:rsidR="001B01D0" w:rsidRDefault="0081649B">
      <w:pPr>
        <w:pStyle w:val="TOC6"/>
        <w:tabs>
          <w:tab w:val="right" w:pos="9062"/>
        </w:tabs>
        <w:rPr>
          <w:rFonts w:asciiTheme="minorHAnsi" w:eastAsiaTheme="minorEastAsia" w:hAnsiTheme="minorHAnsi"/>
          <w:noProof/>
          <w:sz w:val="22"/>
          <w:szCs w:val="22"/>
          <w:lang w:eastAsia="en-AU"/>
        </w:rPr>
      </w:pPr>
      <w:hyperlink w:anchor="_Toc534713817" w:history="1">
        <w:r w:rsidR="001B01D0" w:rsidRPr="00591D14">
          <w:rPr>
            <w:rStyle w:val="Hyperlink"/>
            <w:noProof/>
          </w:rPr>
          <w:t>Chart 1.1 : EFTSL coverage of the 2018 sample by level (2017 EFTSL)</w:t>
        </w:r>
        <w:r w:rsidR="001B01D0">
          <w:rPr>
            <w:noProof/>
            <w:webHidden/>
          </w:rPr>
          <w:tab/>
        </w:r>
        <w:r w:rsidR="001B01D0">
          <w:rPr>
            <w:noProof/>
            <w:webHidden/>
          </w:rPr>
          <w:fldChar w:fldCharType="begin"/>
        </w:r>
        <w:r w:rsidR="001B01D0">
          <w:rPr>
            <w:noProof/>
            <w:webHidden/>
          </w:rPr>
          <w:instrText xml:space="preserve"> PAGEREF _Toc534713817 \h </w:instrText>
        </w:r>
        <w:r w:rsidR="001B01D0">
          <w:rPr>
            <w:noProof/>
            <w:webHidden/>
          </w:rPr>
        </w:r>
        <w:r w:rsidR="001B01D0">
          <w:rPr>
            <w:noProof/>
            <w:webHidden/>
          </w:rPr>
          <w:fldChar w:fldCharType="separate"/>
        </w:r>
        <w:r w:rsidR="00F47C96">
          <w:rPr>
            <w:noProof/>
            <w:webHidden/>
          </w:rPr>
          <w:t>22</w:t>
        </w:r>
        <w:r w:rsidR="001B01D0">
          <w:rPr>
            <w:noProof/>
            <w:webHidden/>
          </w:rPr>
          <w:fldChar w:fldCharType="end"/>
        </w:r>
      </w:hyperlink>
    </w:p>
    <w:p w14:paraId="337EBCB7" w14:textId="3B0DAF3D" w:rsidR="001B01D0" w:rsidRDefault="0081649B">
      <w:pPr>
        <w:pStyle w:val="TOC6"/>
        <w:tabs>
          <w:tab w:val="right" w:pos="9062"/>
        </w:tabs>
        <w:rPr>
          <w:rFonts w:asciiTheme="minorHAnsi" w:eastAsiaTheme="minorEastAsia" w:hAnsiTheme="minorHAnsi"/>
          <w:noProof/>
          <w:sz w:val="22"/>
          <w:szCs w:val="22"/>
          <w:lang w:eastAsia="en-AU"/>
        </w:rPr>
      </w:pPr>
      <w:hyperlink w:anchor="_Toc534713818" w:history="1">
        <w:r w:rsidR="001B01D0" w:rsidRPr="00591D14">
          <w:rPr>
            <w:rStyle w:val="Hyperlink"/>
            <w:noProof/>
          </w:rPr>
          <w:t>Chart 1.2 : EFTSL coverage of the 2018 sample by field (2017 EFTSL)</w:t>
        </w:r>
        <w:r w:rsidR="001B01D0">
          <w:rPr>
            <w:noProof/>
            <w:webHidden/>
          </w:rPr>
          <w:tab/>
        </w:r>
        <w:r w:rsidR="001B01D0">
          <w:rPr>
            <w:noProof/>
            <w:webHidden/>
          </w:rPr>
          <w:fldChar w:fldCharType="begin"/>
        </w:r>
        <w:r w:rsidR="001B01D0">
          <w:rPr>
            <w:noProof/>
            <w:webHidden/>
          </w:rPr>
          <w:instrText xml:space="preserve"> PAGEREF _Toc534713818 \h </w:instrText>
        </w:r>
        <w:r w:rsidR="001B01D0">
          <w:rPr>
            <w:noProof/>
            <w:webHidden/>
          </w:rPr>
        </w:r>
        <w:r w:rsidR="001B01D0">
          <w:rPr>
            <w:noProof/>
            <w:webHidden/>
          </w:rPr>
          <w:fldChar w:fldCharType="separate"/>
        </w:r>
        <w:r w:rsidR="00F47C96">
          <w:rPr>
            <w:noProof/>
            <w:webHidden/>
          </w:rPr>
          <w:t>22</w:t>
        </w:r>
        <w:r w:rsidR="001B01D0">
          <w:rPr>
            <w:noProof/>
            <w:webHidden/>
          </w:rPr>
          <w:fldChar w:fldCharType="end"/>
        </w:r>
      </w:hyperlink>
    </w:p>
    <w:p w14:paraId="201A75C6" w14:textId="3BE0DF01" w:rsidR="001B01D0" w:rsidRDefault="0081649B">
      <w:pPr>
        <w:pStyle w:val="TOC6"/>
        <w:tabs>
          <w:tab w:val="right" w:pos="9062"/>
        </w:tabs>
        <w:rPr>
          <w:rFonts w:asciiTheme="minorHAnsi" w:eastAsiaTheme="minorEastAsia" w:hAnsiTheme="minorHAnsi"/>
          <w:noProof/>
          <w:sz w:val="22"/>
          <w:szCs w:val="22"/>
          <w:lang w:eastAsia="en-AU"/>
        </w:rPr>
      </w:pPr>
      <w:hyperlink w:anchor="_Toc534713819" w:history="1">
        <w:r w:rsidR="001B01D0" w:rsidRPr="00591D14">
          <w:rPr>
            <w:rStyle w:val="Hyperlink"/>
            <w:noProof/>
          </w:rPr>
          <w:t>Chart 1.3 : Student enrolments over time by field of education</w:t>
        </w:r>
        <w:r w:rsidR="001B01D0">
          <w:rPr>
            <w:noProof/>
            <w:webHidden/>
          </w:rPr>
          <w:tab/>
        </w:r>
        <w:r w:rsidR="001B01D0">
          <w:rPr>
            <w:noProof/>
            <w:webHidden/>
          </w:rPr>
          <w:fldChar w:fldCharType="begin"/>
        </w:r>
        <w:r w:rsidR="001B01D0">
          <w:rPr>
            <w:noProof/>
            <w:webHidden/>
          </w:rPr>
          <w:instrText xml:space="preserve"> PAGEREF _Toc534713819 \h </w:instrText>
        </w:r>
        <w:r w:rsidR="001B01D0">
          <w:rPr>
            <w:noProof/>
            <w:webHidden/>
          </w:rPr>
        </w:r>
        <w:r w:rsidR="001B01D0">
          <w:rPr>
            <w:noProof/>
            <w:webHidden/>
          </w:rPr>
          <w:fldChar w:fldCharType="separate"/>
        </w:r>
        <w:r w:rsidR="00F47C96">
          <w:rPr>
            <w:noProof/>
            <w:webHidden/>
          </w:rPr>
          <w:t>23</w:t>
        </w:r>
        <w:r w:rsidR="001B01D0">
          <w:rPr>
            <w:noProof/>
            <w:webHidden/>
          </w:rPr>
          <w:fldChar w:fldCharType="end"/>
        </w:r>
      </w:hyperlink>
    </w:p>
    <w:p w14:paraId="3224F6BC" w14:textId="4519BDE9" w:rsidR="001B01D0" w:rsidRDefault="0081649B">
      <w:pPr>
        <w:pStyle w:val="TOC6"/>
        <w:tabs>
          <w:tab w:val="right" w:pos="9062"/>
        </w:tabs>
        <w:rPr>
          <w:rFonts w:asciiTheme="minorHAnsi" w:eastAsiaTheme="minorEastAsia" w:hAnsiTheme="minorHAnsi"/>
          <w:noProof/>
          <w:sz w:val="22"/>
          <w:szCs w:val="22"/>
          <w:lang w:eastAsia="en-AU"/>
        </w:rPr>
      </w:pPr>
      <w:hyperlink w:anchor="_Toc534713820" w:history="1">
        <w:r w:rsidR="001B01D0" w:rsidRPr="00591D14">
          <w:rPr>
            <w:rStyle w:val="Hyperlink"/>
            <w:noProof/>
          </w:rPr>
          <w:t>Chart 1.4 : Student enrolments over time by state</w:t>
        </w:r>
        <w:r w:rsidR="001B01D0">
          <w:rPr>
            <w:noProof/>
            <w:webHidden/>
          </w:rPr>
          <w:tab/>
        </w:r>
        <w:r w:rsidR="001B01D0">
          <w:rPr>
            <w:noProof/>
            <w:webHidden/>
          </w:rPr>
          <w:fldChar w:fldCharType="begin"/>
        </w:r>
        <w:r w:rsidR="001B01D0">
          <w:rPr>
            <w:noProof/>
            <w:webHidden/>
          </w:rPr>
          <w:instrText xml:space="preserve"> PAGEREF _Toc534713820 \h </w:instrText>
        </w:r>
        <w:r w:rsidR="001B01D0">
          <w:rPr>
            <w:noProof/>
            <w:webHidden/>
          </w:rPr>
        </w:r>
        <w:r w:rsidR="001B01D0">
          <w:rPr>
            <w:noProof/>
            <w:webHidden/>
          </w:rPr>
          <w:fldChar w:fldCharType="separate"/>
        </w:r>
        <w:r w:rsidR="00F47C96">
          <w:rPr>
            <w:noProof/>
            <w:webHidden/>
          </w:rPr>
          <w:t>23</w:t>
        </w:r>
        <w:r w:rsidR="001B01D0">
          <w:rPr>
            <w:noProof/>
            <w:webHidden/>
          </w:rPr>
          <w:fldChar w:fldCharType="end"/>
        </w:r>
      </w:hyperlink>
    </w:p>
    <w:p w14:paraId="4F1A60EA" w14:textId="54E8DB65" w:rsidR="001B01D0" w:rsidRDefault="0081649B">
      <w:pPr>
        <w:pStyle w:val="TOC6"/>
        <w:tabs>
          <w:tab w:val="right" w:pos="9062"/>
        </w:tabs>
        <w:rPr>
          <w:rFonts w:asciiTheme="minorHAnsi" w:eastAsiaTheme="minorEastAsia" w:hAnsiTheme="minorHAnsi"/>
          <w:noProof/>
          <w:sz w:val="22"/>
          <w:szCs w:val="22"/>
          <w:lang w:eastAsia="en-AU"/>
        </w:rPr>
      </w:pPr>
      <w:hyperlink w:anchor="_Toc534713821" w:history="1">
        <w:r w:rsidR="001B01D0" w:rsidRPr="00591D14">
          <w:rPr>
            <w:rStyle w:val="Hyperlink"/>
            <w:noProof/>
          </w:rPr>
          <w:t>Chart 1.5 : Total expenses and net operating result for Australian public universities (2011-16)</w:t>
        </w:r>
        <w:r w:rsidR="001B01D0">
          <w:rPr>
            <w:noProof/>
            <w:webHidden/>
          </w:rPr>
          <w:tab/>
        </w:r>
        <w:r w:rsidR="001B01D0">
          <w:rPr>
            <w:noProof/>
            <w:webHidden/>
          </w:rPr>
          <w:fldChar w:fldCharType="begin"/>
        </w:r>
        <w:r w:rsidR="001B01D0">
          <w:rPr>
            <w:noProof/>
            <w:webHidden/>
          </w:rPr>
          <w:instrText xml:space="preserve"> PAGEREF _Toc534713821 \h </w:instrText>
        </w:r>
        <w:r w:rsidR="001B01D0">
          <w:rPr>
            <w:noProof/>
            <w:webHidden/>
          </w:rPr>
        </w:r>
        <w:r w:rsidR="001B01D0">
          <w:rPr>
            <w:noProof/>
            <w:webHidden/>
          </w:rPr>
          <w:fldChar w:fldCharType="separate"/>
        </w:r>
        <w:r w:rsidR="00F47C96">
          <w:rPr>
            <w:noProof/>
            <w:webHidden/>
          </w:rPr>
          <w:t>24</w:t>
        </w:r>
        <w:r w:rsidR="001B01D0">
          <w:rPr>
            <w:noProof/>
            <w:webHidden/>
          </w:rPr>
          <w:fldChar w:fldCharType="end"/>
        </w:r>
      </w:hyperlink>
    </w:p>
    <w:p w14:paraId="4204C9F3" w14:textId="151433A2" w:rsidR="001B01D0" w:rsidRDefault="0081649B">
      <w:pPr>
        <w:pStyle w:val="TOC6"/>
        <w:tabs>
          <w:tab w:val="right" w:pos="9062"/>
        </w:tabs>
        <w:rPr>
          <w:rFonts w:asciiTheme="minorHAnsi" w:eastAsiaTheme="minorEastAsia" w:hAnsiTheme="minorHAnsi"/>
          <w:noProof/>
          <w:sz w:val="22"/>
          <w:szCs w:val="22"/>
          <w:lang w:eastAsia="en-AU"/>
        </w:rPr>
      </w:pPr>
      <w:hyperlink w:anchor="_Toc534713822" w:history="1">
        <w:r w:rsidR="001B01D0" w:rsidRPr="00591D14">
          <w:rPr>
            <w:rStyle w:val="Hyperlink"/>
            <w:noProof/>
          </w:rPr>
          <w:t>Chart 1.6 : Total revenue for Australian public universities (2011-16)</w:t>
        </w:r>
        <w:r w:rsidR="001B01D0">
          <w:rPr>
            <w:noProof/>
            <w:webHidden/>
          </w:rPr>
          <w:tab/>
        </w:r>
        <w:r w:rsidR="001B01D0">
          <w:rPr>
            <w:noProof/>
            <w:webHidden/>
          </w:rPr>
          <w:fldChar w:fldCharType="begin"/>
        </w:r>
        <w:r w:rsidR="001B01D0">
          <w:rPr>
            <w:noProof/>
            <w:webHidden/>
          </w:rPr>
          <w:instrText xml:space="preserve"> PAGEREF _Toc534713822 \h </w:instrText>
        </w:r>
        <w:r w:rsidR="001B01D0">
          <w:rPr>
            <w:noProof/>
            <w:webHidden/>
          </w:rPr>
        </w:r>
        <w:r w:rsidR="001B01D0">
          <w:rPr>
            <w:noProof/>
            <w:webHidden/>
          </w:rPr>
          <w:fldChar w:fldCharType="separate"/>
        </w:r>
        <w:r w:rsidR="00F47C96">
          <w:rPr>
            <w:noProof/>
            <w:webHidden/>
          </w:rPr>
          <w:t>24</w:t>
        </w:r>
        <w:r w:rsidR="001B01D0">
          <w:rPr>
            <w:noProof/>
            <w:webHidden/>
          </w:rPr>
          <w:fldChar w:fldCharType="end"/>
        </w:r>
      </w:hyperlink>
    </w:p>
    <w:p w14:paraId="4CC43A0E" w14:textId="79BF72D2" w:rsidR="001B01D0" w:rsidRDefault="0081649B">
      <w:pPr>
        <w:pStyle w:val="TOC6"/>
        <w:tabs>
          <w:tab w:val="right" w:pos="9062"/>
        </w:tabs>
        <w:rPr>
          <w:rFonts w:asciiTheme="minorHAnsi" w:eastAsiaTheme="minorEastAsia" w:hAnsiTheme="minorHAnsi"/>
          <w:noProof/>
          <w:sz w:val="22"/>
          <w:szCs w:val="22"/>
          <w:lang w:eastAsia="en-AU"/>
        </w:rPr>
      </w:pPr>
      <w:hyperlink w:anchor="_Toc534713823" w:history="1">
        <w:r w:rsidR="001B01D0" w:rsidRPr="00591D14">
          <w:rPr>
            <w:rStyle w:val="Hyperlink"/>
            <w:noProof/>
          </w:rPr>
          <w:t>Chart 1.7 : Cost growth decomposed by growth in EFTSL and growth in unit costs (2012-16)</w:t>
        </w:r>
        <w:r w:rsidR="001B01D0">
          <w:rPr>
            <w:noProof/>
            <w:webHidden/>
          </w:rPr>
          <w:tab/>
        </w:r>
        <w:r w:rsidR="001B01D0">
          <w:rPr>
            <w:noProof/>
            <w:webHidden/>
          </w:rPr>
          <w:fldChar w:fldCharType="begin"/>
        </w:r>
        <w:r w:rsidR="001B01D0">
          <w:rPr>
            <w:noProof/>
            <w:webHidden/>
          </w:rPr>
          <w:instrText xml:space="preserve"> PAGEREF _Toc534713823 \h </w:instrText>
        </w:r>
        <w:r w:rsidR="001B01D0">
          <w:rPr>
            <w:noProof/>
            <w:webHidden/>
          </w:rPr>
        </w:r>
        <w:r w:rsidR="001B01D0">
          <w:rPr>
            <w:noProof/>
            <w:webHidden/>
          </w:rPr>
          <w:fldChar w:fldCharType="separate"/>
        </w:r>
        <w:r w:rsidR="00F47C96">
          <w:rPr>
            <w:noProof/>
            <w:webHidden/>
          </w:rPr>
          <w:t>25</w:t>
        </w:r>
        <w:r w:rsidR="001B01D0">
          <w:rPr>
            <w:noProof/>
            <w:webHidden/>
          </w:rPr>
          <w:fldChar w:fldCharType="end"/>
        </w:r>
      </w:hyperlink>
    </w:p>
    <w:p w14:paraId="1EF40F91" w14:textId="0F0ADF1D" w:rsidR="001B01D0" w:rsidRDefault="0081649B">
      <w:pPr>
        <w:pStyle w:val="TOC6"/>
        <w:tabs>
          <w:tab w:val="right" w:pos="9062"/>
        </w:tabs>
        <w:rPr>
          <w:rFonts w:asciiTheme="minorHAnsi" w:eastAsiaTheme="minorEastAsia" w:hAnsiTheme="minorHAnsi"/>
          <w:noProof/>
          <w:sz w:val="22"/>
          <w:szCs w:val="22"/>
          <w:lang w:eastAsia="en-AU"/>
        </w:rPr>
      </w:pPr>
      <w:hyperlink w:anchor="_Toc534713824" w:history="1">
        <w:r w:rsidR="001B01D0" w:rsidRPr="00591D14">
          <w:rPr>
            <w:rStyle w:val="Hyperlink"/>
            <w:noProof/>
          </w:rPr>
          <w:t>Chart 2.1 : Proportion of total costs attributable to teaching</w:t>
        </w:r>
        <w:r w:rsidR="001B01D0">
          <w:rPr>
            <w:noProof/>
            <w:webHidden/>
          </w:rPr>
          <w:tab/>
        </w:r>
        <w:r w:rsidR="001B01D0">
          <w:rPr>
            <w:noProof/>
            <w:webHidden/>
          </w:rPr>
          <w:fldChar w:fldCharType="begin"/>
        </w:r>
        <w:r w:rsidR="001B01D0">
          <w:rPr>
            <w:noProof/>
            <w:webHidden/>
          </w:rPr>
          <w:instrText xml:space="preserve"> PAGEREF _Toc534713824 \h </w:instrText>
        </w:r>
        <w:r w:rsidR="001B01D0">
          <w:rPr>
            <w:noProof/>
            <w:webHidden/>
          </w:rPr>
        </w:r>
        <w:r w:rsidR="001B01D0">
          <w:rPr>
            <w:noProof/>
            <w:webHidden/>
          </w:rPr>
          <w:fldChar w:fldCharType="separate"/>
        </w:r>
        <w:r w:rsidR="00F47C96">
          <w:rPr>
            <w:noProof/>
            <w:webHidden/>
          </w:rPr>
          <w:t>27</w:t>
        </w:r>
        <w:r w:rsidR="001B01D0">
          <w:rPr>
            <w:noProof/>
            <w:webHidden/>
          </w:rPr>
          <w:fldChar w:fldCharType="end"/>
        </w:r>
      </w:hyperlink>
    </w:p>
    <w:p w14:paraId="1405F769" w14:textId="2DEDE660" w:rsidR="001B01D0" w:rsidRDefault="0081649B">
      <w:pPr>
        <w:pStyle w:val="TOC6"/>
        <w:tabs>
          <w:tab w:val="right" w:pos="9062"/>
        </w:tabs>
        <w:rPr>
          <w:rFonts w:asciiTheme="minorHAnsi" w:eastAsiaTheme="minorEastAsia" w:hAnsiTheme="minorHAnsi"/>
          <w:noProof/>
          <w:sz w:val="22"/>
          <w:szCs w:val="22"/>
          <w:lang w:eastAsia="en-AU"/>
        </w:rPr>
      </w:pPr>
      <w:hyperlink w:anchor="_Toc534713825" w:history="1">
        <w:r w:rsidR="001B01D0" w:rsidRPr="00591D14">
          <w:rPr>
            <w:rStyle w:val="Hyperlink"/>
            <w:noProof/>
          </w:rPr>
          <w:t>Chart 2.2 : Proportion of costs attributable to teaching by university affiliation</w:t>
        </w:r>
        <w:r w:rsidR="001B01D0">
          <w:rPr>
            <w:noProof/>
            <w:webHidden/>
          </w:rPr>
          <w:tab/>
        </w:r>
        <w:r w:rsidR="001B01D0">
          <w:rPr>
            <w:noProof/>
            <w:webHidden/>
          </w:rPr>
          <w:fldChar w:fldCharType="begin"/>
        </w:r>
        <w:r w:rsidR="001B01D0">
          <w:rPr>
            <w:noProof/>
            <w:webHidden/>
          </w:rPr>
          <w:instrText xml:space="preserve"> PAGEREF _Toc534713825 \h </w:instrText>
        </w:r>
        <w:r w:rsidR="001B01D0">
          <w:rPr>
            <w:noProof/>
            <w:webHidden/>
          </w:rPr>
        </w:r>
        <w:r w:rsidR="001B01D0">
          <w:rPr>
            <w:noProof/>
            <w:webHidden/>
          </w:rPr>
          <w:fldChar w:fldCharType="separate"/>
        </w:r>
        <w:r w:rsidR="00F47C96">
          <w:rPr>
            <w:noProof/>
            <w:webHidden/>
          </w:rPr>
          <w:t>27</w:t>
        </w:r>
        <w:r w:rsidR="001B01D0">
          <w:rPr>
            <w:noProof/>
            <w:webHidden/>
          </w:rPr>
          <w:fldChar w:fldCharType="end"/>
        </w:r>
      </w:hyperlink>
    </w:p>
    <w:p w14:paraId="43F1206E" w14:textId="4C4777BF" w:rsidR="001B01D0" w:rsidRDefault="0081649B">
      <w:pPr>
        <w:pStyle w:val="TOC6"/>
        <w:tabs>
          <w:tab w:val="right" w:pos="9062"/>
        </w:tabs>
        <w:rPr>
          <w:rFonts w:asciiTheme="minorHAnsi" w:eastAsiaTheme="minorEastAsia" w:hAnsiTheme="minorHAnsi"/>
          <w:noProof/>
          <w:sz w:val="22"/>
          <w:szCs w:val="22"/>
          <w:lang w:eastAsia="en-AU"/>
        </w:rPr>
      </w:pPr>
      <w:hyperlink w:anchor="_Toc534713826" w:history="1">
        <w:r w:rsidR="001B01D0" w:rsidRPr="00591D14">
          <w:rPr>
            <w:rStyle w:val="Hyperlink"/>
            <w:noProof/>
          </w:rPr>
          <w:t>Chart 2.3 : Proportion of teaching costs attributable to staff (versus non-staff)</w:t>
        </w:r>
        <w:r w:rsidR="001B01D0">
          <w:rPr>
            <w:noProof/>
            <w:webHidden/>
          </w:rPr>
          <w:tab/>
        </w:r>
        <w:r w:rsidR="001B01D0">
          <w:rPr>
            <w:noProof/>
            <w:webHidden/>
          </w:rPr>
          <w:fldChar w:fldCharType="begin"/>
        </w:r>
        <w:r w:rsidR="001B01D0">
          <w:rPr>
            <w:noProof/>
            <w:webHidden/>
          </w:rPr>
          <w:instrText xml:space="preserve"> PAGEREF _Toc534713826 \h </w:instrText>
        </w:r>
        <w:r w:rsidR="001B01D0">
          <w:rPr>
            <w:noProof/>
            <w:webHidden/>
          </w:rPr>
        </w:r>
        <w:r w:rsidR="001B01D0">
          <w:rPr>
            <w:noProof/>
            <w:webHidden/>
          </w:rPr>
          <w:fldChar w:fldCharType="separate"/>
        </w:r>
        <w:r w:rsidR="00F47C96">
          <w:rPr>
            <w:noProof/>
            <w:webHidden/>
          </w:rPr>
          <w:t>28</w:t>
        </w:r>
        <w:r w:rsidR="001B01D0">
          <w:rPr>
            <w:noProof/>
            <w:webHidden/>
          </w:rPr>
          <w:fldChar w:fldCharType="end"/>
        </w:r>
      </w:hyperlink>
    </w:p>
    <w:p w14:paraId="1475F906" w14:textId="111C865B" w:rsidR="001B01D0" w:rsidRDefault="0081649B">
      <w:pPr>
        <w:pStyle w:val="TOC6"/>
        <w:tabs>
          <w:tab w:val="right" w:pos="9062"/>
        </w:tabs>
        <w:rPr>
          <w:rFonts w:asciiTheme="minorHAnsi" w:eastAsiaTheme="minorEastAsia" w:hAnsiTheme="minorHAnsi"/>
          <w:noProof/>
          <w:sz w:val="22"/>
          <w:szCs w:val="22"/>
          <w:lang w:eastAsia="en-AU"/>
        </w:rPr>
      </w:pPr>
      <w:hyperlink w:anchor="_Toc534713827" w:history="1">
        <w:r w:rsidR="001B01D0" w:rsidRPr="00591D14">
          <w:rPr>
            <w:rStyle w:val="Hyperlink"/>
            <w:noProof/>
          </w:rPr>
          <w:t>Chart 2.4 : Average unit costs by university (all fields and levels)</w:t>
        </w:r>
        <w:r w:rsidR="001B01D0">
          <w:rPr>
            <w:noProof/>
            <w:webHidden/>
          </w:rPr>
          <w:tab/>
        </w:r>
        <w:r w:rsidR="001B01D0">
          <w:rPr>
            <w:noProof/>
            <w:webHidden/>
          </w:rPr>
          <w:fldChar w:fldCharType="begin"/>
        </w:r>
        <w:r w:rsidR="001B01D0">
          <w:rPr>
            <w:noProof/>
            <w:webHidden/>
          </w:rPr>
          <w:instrText xml:space="preserve"> PAGEREF _Toc534713827 \h </w:instrText>
        </w:r>
        <w:r w:rsidR="001B01D0">
          <w:rPr>
            <w:noProof/>
            <w:webHidden/>
          </w:rPr>
        </w:r>
        <w:r w:rsidR="001B01D0">
          <w:rPr>
            <w:noProof/>
            <w:webHidden/>
          </w:rPr>
          <w:fldChar w:fldCharType="separate"/>
        </w:r>
        <w:r w:rsidR="00F47C96">
          <w:rPr>
            <w:noProof/>
            <w:webHidden/>
          </w:rPr>
          <w:t>29</w:t>
        </w:r>
        <w:r w:rsidR="001B01D0">
          <w:rPr>
            <w:noProof/>
            <w:webHidden/>
          </w:rPr>
          <w:fldChar w:fldCharType="end"/>
        </w:r>
      </w:hyperlink>
    </w:p>
    <w:p w14:paraId="0CDF2596" w14:textId="58A0E136" w:rsidR="001B01D0" w:rsidRDefault="0081649B">
      <w:pPr>
        <w:pStyle w:val="TOC6"/>
        <w:tabs>
          <w:tab w:val="right" w:pos="9062"/>
        </w:tabs>
        <w:rPr>
          <w:rFonts w:asciiTheme="minorHAnsi" w:eastAsiaTheme="minorEastAsia" w:hAnsiTheme="minorHAnsi"/>
          <w:noProof/>
          <w:sz w:val="22"/>
          <w:szCs w:val="22"/>
          <w:lang w:eastAsia="en-AU"/>
        </w:rPr>
      </w:pPr>
      <w:hyperlink w:anchor="_Toc534713828" w:history="1">
        <w:r w:rsidR="001B01D0" w:rsidRPr="00591D14">
          <w:rPr>
            <w:rStyle w:val="Hyperlink"/>
            <w:noProof/>
          </w:rPr>
          <w:t xml:space="preserve">Chart 2.5 : Sample of cost observations by field and level of education </w:t>
        </w:r>
        <w:r w:rsidR="001B01D0">
          <w:rPr>
            <w:noProof/>
            <w:webHidden/>
          </w:rPr>
          <w:tab/>
        </w:r>
        <w:r w:rsidR="001B01D0">
          <w:rPr>
            <w:noProof/>
            <w:webHidden/>
          </w:rPr>
          <w:fldChar w:fldCharType="begin"/>
        </w:r>
        <w:r w:rsidR="001B01D0">
          <w:rPr>
            <w:noProof/>
            <w:webHidden/>
          </w:rPr>
          <w:instrText xml:space="preserve"> PAGEREF _Toc534713828 \h </w:instrText>
        </w:r>
        <w:r w:rsidR="001B01D0">
          <w:rPr>
            <w:noProof/>
            <w:webHidden/>
          </w:rPr>
        </w:r>
        <w:r w:rsidR="001B01D0">
          <w:rPr>
            <w:noProof/>
            <w:webHidden/>
          </w:rPr>
          <w:fldChar w:fldCharType="separate"/>
        </w:r>
        <w:r w:rsidR="00F47C96">
          <w:rPr>
            <w:noProof/>
            <w:webHidden/>
          </w:rPr>
          <w:t>30</w:t>
        </w:r>
        <w:r w:rsidR="001B01D0">
          <w:rPr>
            <w:noProof/>
            <w:webHidden/>
          </w:rPr>
          <w:fldChar w:fldCharType="end"/>
        </w:r>
      </w:hyperlink>
    </w:p>
    <w:p w14:paraId="67B1AD21" w14:textId="4A5D7F9F" w:rsidR="001B01D0" w:rsidRDefault="0081649B">
      <w:pPr>
        <w:pStyle w:val="TOC6"/>
        <w:tabs>
          <w:tab w:val="right" w:pos="9062"/>
        </w:tabs>
        <w:rPr>
          <w:rFonts w:asciiTheme="minorHAnsi" w:eastAsiaTheme="minorEastAsia" w:hAnsiTheme="minorHAnsi"/>
          <w:noProof/>
          <w:sz w:val="22"/>
          <w:szCs w:val="22"/>
          <w:lang w:eastAsia="en-AU"/>
        </w:rPr>
      </w:pPr>
      <w:hyperlink w:anchor="_Toc534713829" w:history="1">
        <w:r w:rsidR="001B01D0" w:rsidRPr="00591D14">
          <w:rPr>
            <w:rStyle w:val="Hyperlink"/>
            <w:noProof/>
          </w:rPr>
          <w:t>Chart 2.6 : Count of outlier cost observations removed by field and level of education</w:t>
        </w:r>
        <w:r w:rsidR="001B01D0">
          <w:rPr>
            <w:noProof/>
            <w:webHidden/>
          </w:rPr>
          <w:tab/>
        </w:r>
        <w:r w:rsidR="001B01D0">
          <w:rPr>
            <w:noProof/>
            <w:webHidden/>
          </w:rPr>
          <w:fldChar w:fldCharType="begin"/>
        </w:r>
        <w:r w:rsidR="001B01D0">
          <w:rPr>
            <w:noProof/>
            <w:webHidden/>
          </w:rPr>
          <w:instrText xml:space="preserve"> PAGEREF _Toc534713829 \h </w:instrText>
        </w:r>
        <w:r w:rsidR="001B01D0">
          <w:rPr>
            <w:noProof/>
            <w:webHidden/>
          </w:rPr>
        </w:r>
        <w:r w:rsidR="001B01D0">
          <w:rPr>
            <w:noProof/>
            <w:webHidden/>
          </w:rPr>
          <w:fldChar w:fldCharType="separate"/>
        </w:r>
        <w:r w:rsidR="00F47C96">
          <w:rPr>
            <w:noProof/>
            <w:webHidden/>
          </w:rPr>
          <w:t>30</w:t>
        </w:r>
        <w:r w:rsidR="001B01D0">
          <w:rPr>
            <w:noProof/>
            <w:webHidden/>
          </w:rPr>
          <w:fldChar w:fldCharType="end"/>
        </w:r>
      </w:hyperlink>
    </w:p>
    <w:p w14:paraId="264BA953" w14:textId="15AF25D8" w:rsidR="001B01D0" w:rsidRDefault="0081649B">
      <w:pPr>
        <w:pStyle w:val="TOC6"/>
        <w:tabs>
          <w:tab w:val="right" w:pos="9062"/>
        </w:tabs>
        <w:rPr>
          <w:rFonts w:asciiTheme="minorHAnsi" w:eastAsiaTheme="minorEastAsia" w:hAnsiTheme="minorHAnsi"/>
          <w:noProof/>
          <w:sz w:val="22"/>
          <w:szCs w:val="22"/>
          <w:lang w:eastAsia="en-AU"/>
        </w:rPr>
      </w:pPr>
      <w:hyperlink w:anchor="_Toc534713830" w:history="1">
        <w:r w:rsidR="001B01D0" w:rsidRPr="00591D14">
          <w:rPr>
            <w:rStyle w:val="Hyperlink"/>
            <w:noProof/>
          </w:rPr>
          <w:t>Chart 2.7 : Average unit costs by field for sub-bachelor</w:t>
        </w:r>
        <w:r w:rsidR="001B01D0">
          <w:rPr>
            <w:noProof/>
            <w:webHidden/>
          </w:rPr>
          <w:tab/>
        </w:r>
        <w:r w:rsidR="001B01D0">
          <w:rPr>
            <w:noProof/>
            <w:webHidden/>
          </w:rPr>
          <w:fldChar w:fldCharType="begin"/>
        </w:r>
        <w:r w:rsidR="001B01D0">
          <w:rPr>
            <w:noProof/>
            <w:webHidden/>
          </w:rPr>
          <w:instrText xml:space="preserve"> PAGEREF _Toc534713830 \h </w:instrText>
        </w:r>
        <w:r w:rsidR="001B01D0">
          <w:rPr>
            <w:noProof/>
            <w:webHidden/>
          </w:rPr>
        </w:r>
        <w:r w:rsidR="001B01D0">
          <w:rPr>
            <w:noProof/>
            <w:webHidden/>
          </w:rPr>
          <w:fldChar w:fldCharType="separate"/>
        </w:r>
        <w:r w:rsidR="00F47C96">
          <w:rPr>
            <w:noProof/>
            <w:webHidden/>
          </w:rPr>
          <w:t>32</w:t>
        </w:r>
        <w:r w:rsidR="001B01D0">
          <w:rPr>
            <w:noProof/>
            <w:webHidden/>
          </w:rPr>
          <w:fldChar w:fldCharType="end"/>
        </w:r>
      </w:hyperlink>
    </w:p>
    <w:p w14:paraId="3FABA2EE" w14:textId="1A3ED759" w:rsidR="001B01D0" w:rsidRDefault="0081649B">
      <w:pPr>
        <w:pStyle w:val="TOC6"/>
        <w:tabs>
          <w:tab w:val="right" w:pos="9062"/>
        </w:tabs>
        <w:rPr>
          <w:rFonts w:asciiTheme="minorHAnsi" w:eastAsiaTheme="minorEastAsia" w:hAnsiTheme="minorHAnsi"/>
          <w:noProof/>
          <w:sz w:val="22"/>
          <w:szCs w:val="22"/>
          <w:lang w:eastAsia="en-AU"/>
        </w:rPr>
      </w:pPr>
      <w:hyperlink w:anchor="_Toc534713831" w:history="1">
        <w:r w:rsidR="001B01D0" w:rsidRPr="00591D14">
          <w:rPr>
            <w:rStyle w:val="Hyperlink"/>
            <w:noProof/>
          </w:rPr>
          <w:t>Chart 2.8 : Distribution of unit costs by field for bachelor</w:t>
        </w:r>
        <w:r w:rsidR="001B01D0">
          <w:rPr>
            <w:noProof/>
            <w:webHidden/>
          </w:rPr>
          <w:tab/>
        </w:r>
        <w:r w:rsidR="001B01D0">
          <w:rPr>
            <w:noProof/>
            <w:webHidden/>
          </w:rPr>
          <w:fldChar w:fldCharType="begin"/>
        </w:r>
        <w:r w:rsidR="001B01D0">
          <w:rPr>
            <w:noProof/>
            <w:webHidden/>
          </w:rPr>
          <w:instrText xml:space="preserve"> PAGEREF _Toc534713831 \h </w:instrText>
        </w:r>
        <w:r w:rsidR="001B01D0">
          <w:rPr>
            <w:noProof/>
            <w:webHidden/>
          </w:rPr>
        </w:r>
        <w:r w:rsidR="001B01D0">
          <w:rPr>
            <w:noProof/>
            <w:webHidden/>
          </w:rPr>
          <w:fldChar w:fldCharType="separate"/>
        </w:r>
        <w:r w:rsidR="00F47C96">
          <w:rPr>
            <w:noProof/>
            <w:webHidden/>
          </w:rPr>
          <w:t>33</w:t>
        </w:r>
        <w:r w:rsidR="001B01D0">
          <w:rPr>
            <w:noProof/>
            <w:webHidden/>
          </w:rPr>
          <w:fldChar w:fldCharType="end"/>
        </w:r>
      </w:hyperlink>
    </w:p>
    <w:p w14:paraId="36964CC5" w14:textId="3C8CCDE7" w:rsidR="001B01D0" w:rsidRDefault="0081649B">
      <w:pPr>
        <w:pStyle w:val="TOC6"/>
        <w:tabs>
          <w:tab w:val="right" w:pos="9062"/>
        </w:tabs>
        <w:rPr>
          <w:rFonts w:asciiTheme="minorHAnsi" w:eastAsiaTheme="minorEastAsia" w:hAnsiTheme="minorHAnsi"/>
          <w:noProof/>
          <w:sz w:val="22"/>
          <w:szCs w:val="22"/>
          <w:lang w:eastAsia="en-AU"/>
        </w:rPr>
      </w:pPr>
      <w:hyperlink w:anchor="_Toc534713832" w:history="1">
        <w:r w:rsidR="001B01D0" w:rsidRPr="00591D14">
          <w:rPr>
            <w:rStyle w:val="Hyperlink"/>
            <w:noProof/>
          </w:rPr>
          <w:t>Chart 2.9 : Average unit cost and dispersion by field for bachelor</w:t>
        </w:r>
        <w:r w:rsidR="001B01D0">
          <w:rPr>
            <w:noProof/>
            <w:webHidden/>
          </w:rPr>
          <w:tab/>
        </w:r>
        <w:r w:rsidR="001B01D0">
          <w:rPr>
            <w:noProof/>
            <w:webHidden/>
          </w:rPr>
          <w:fldChar w:fldCharType="begin"/>
        </w:r>
        <w:r w:rsidR="001B01D0">
          <w:rPr>
            <w:noProof/>
            <w:webHidden/>
          </w:rPr>
          <w:instrText xml:space="preserve"> PAGEREF _Toc534713832 \h </w:instrText>
        </w:r>
        <w:r w:rsidR="001B01D0">
          <w:rPr>
            <w:noProof/>
            <w:webHidden/>
          </w:rPr>
        </w:r>
        <w:r w:rsidR="001B01D0">
          <w:rPr>
            <w:noProof/>
            <w:webHidden/>
          </w:rPr>
          <w:fldChar w:fldCharType="separate"/>
        </w:r>
        <w:r w:rsidR="00F47C96">
          <w:rPr>
            <w:noProof/>
            <w:webHidden/>
          </w:rPr>
          <w:t>34</w:t>
        </w:r>
        <w:r w:rsidR="001B01D0">
          <w:rPr>
            <w:noProof/>
            <w:webHidden/>
          </w:rPr>
          <w:fldChar w:fldCharType="end"/>
        </w:r>
      </w:hyperlink>
    </w:p>
    <w:p w14:paraId="3F0BDFE8" w14:textId="779098CD" w:rsidR="001B01D0" w:rsidRDefault="0081649B">
      <w:pPr>
        <w:pStyle w:val="TOC6"/>
        <w:tabs>
          <w:tab w:val="right" w:pos="9062"/>
        </w:tabs>
        <w:rPr>
          <w:rFonts w:asciiTheme="minorHAnsi" w:eastAsiaTheme="minorEastAsia" w:hAnsiTheme="minorHAnsi"/>
          <w:noProof/>
          <w:sz w:val="22"/>
          <w:szCs w:val="22"/>
          <w:lang w:eastAsia="en-AU"/>
        </w:rPr>
      </w:pPr>
      <w:hyperlink w:anchor="_Toc534713833" w:history="1">
        <w:r w:rsidR="001B01D0" w:rsidRPr="00591D14">
          <w:rPr>
            <w:rStyle w:val="Hyperlink"/>
            <w:noProof/>
          </w:rPr>
          <w:t>Chart 2.10 : Average unit costs by field for postgraduate</w:t>
        </w:r>
        <w:r w:rsidR="001B01D0">
          <w:rPr>
            <w:noProof/>
            <w:webHidden/>
          </w:rPr>
          <w:tab/>
        </w:r>
        <w:r w:rsidR="001B01D0">
          <w:rPr>
            <w:noProof/>
            <w:webHidden/>
          </w:rPr>
          <w:fldChar w:fldCharType="begin"/>
        </w:r>
        <w:r w:rsidR="001B01D0">
          <w:rPr>
            <w:noProof/>
            <w:webHidden/>
          </w:rPr>
          <w:instrText xml:space="preserve"> PAGEREF _Toc534713833 \h </w:instrText>
        </w:r>
        <w:r w:rsidR="001B01D0">
          <w:rPr>
            <w:noProof/>
            <w:webHidden/>
          </w:rPr>
        </w:r>
        <w:r w:rsidR="001B01D0">
          <w:rPr>
            <w:noProof/>
            <w:webHidden/>
          </w:rPr>
          <w:fldChar w:fldCharType="separate"/>
        </w:r>
        <w:r w:rsidR="00F47C96">
          <w:rPr>
            <w:noProof/>
            <w:webHidden/>
          </w:rPr>
          <w:t>35</w:t>
        </w:r>
        <w:r w:rsidR="001B01D0">
          <w:rPr>
            <w:noProof/>
            <w:webHidden/>
          </w:rPr>
          <w:fldChar w:fldCharType="end"/>
        </w:r>
      </w:hyperlink>
    </w:p>
    <w:p w14:paraId="4599A5EA" w14:textId="7F4343B3" w:rsidR="001B01D0" w:rsidRDefault="0081649B">
      <w:pPr>
        <w:pStyle w:val="TOC6"/>
        <w:tabs>
          <w:tab w:val="right" w:pos="9062"/>
        </w:tabs>
        <w:rPr>
          <w:rFonts w:asciiTheme="minorHAnsi" w:eastAsiaTheme="minorEastAsia" w:hAnsiTheme="minorHAnsi"/>
          <w:noProof/>
          <w:sz w:val="22"/>
          <w:szCs w:val="22"/>
          <w:lang w:eastAsia="en-AU"/>
        </w:rPr>
      </w:pPr>
      <w:hyperlink w:anchor="_Toc534713834" w:history="1">
        <w:r w:rsidR="001B01D0" w:rsidRPr="00591D14">
          <w:rPr>
            <w:rStyle w:val="Hyperlink"/>
            <w:noProof/>
          </w:rPr>
          <w:t>Chart 2.11 : Average unit costs by level of education</w:t>
        </w:r>
        <w:r w:rsidR="001B01D0">
          <w:rPr>
            <w:noProof/>
            <w:webHidden/>
          </w:rPr>
          <w:tab/>
        </w:r>
        <w:r w:rsidR="001B01D0">
          <w:rPr>
            <w:noProof/>
            <w:webHidden/>
          </w:rPr>
          <w:fldChar w:fldCharType="begin"/>
        </w:r>
        <w:r w:rsidR="001B01D0">
          <w:rPr>
            <w:noProof/>
            <w:webHidden/>
          </w:rPr>
          <w:instrText xml:space="preserve"> PAGEREF _Toc534713834 \h </w:instrText>
        </w:r>
        <w:r w:rsidR="001B01D0">
          <w:rPr>
            <w:noProof/>
            <w:webHidden/>
          </w:rPr>
        </w:r>
        <w:r w:rsidR="001B01D0">
          <w:rPr>
            <w:noProof/>
            <w:webHidden/>
          </w:rPr>
          <w:fldChar w:fldCharType="separate"/>
        </w:r>
        <w:r w:rsidR="00F47C96">
          <w:rPr>
            <w:noProof/>
            <w:webHidden/>
          </w:rPr>
          <w:t>36</w:t>
        </w:r>
        <w:r w:rsidR="001B01D0">
          <w:rPr>
            <w:noProof/>
            <w:webHidden/>
          </w:rPr>
          <w:fldChar w:fldCharType="end"/>
        </w:r>
      </w:hyperlink>
    </w:p>
    <w:p w14:paraId="327EEBA8" w14:textId="73AD1090" w:rsidR="001B01D0" w:rsidRDefault="0081649B">
      <w:pPr>
        <w:pStyle w:val="TOC6"/>
        <w:tabs>
          <w:tab w:val="right" w:pos="9062"/>
        </w:tabs>
        <w:rPr>
          <w:rFonts w:asciiTheme="minorHAnsi" w:eastAsiaTheme="minorEastAsia" w:hAnsiTheme="minorHAnsi"/>
          <w:noProof/>
          <w:sz w:val="22"/>
          <w:szCs w:val="22"/>
          <w:lang w:eastAsia="en-AU"/>
        </w:rPr>
      </w:pPr>
      <w:hyperlink w:anchor="_Toc534713835" w:history="1">
        <w:r w:rsidR="001B01D0" w:rsidRPr="00591D14">
          <w:rPr>
            <w:rStyle w:val="Hyperlink"/>
            <w:noProof/>
          </w:rPr>
          <w:t>Chart 2.12 : Average unit costs as a proportion of base funding for bachelor (full sample)</w:t>
        </w:r>
        <w:r w:rsidR="001B01D0">
          <w:rPr>
            <w:noProof/>
            <w:webHidden/>
          </w:rPr>
          <w:tab/>
        </w:r>
        <w:r w:rsidR="001B01D0">
          <w:rPr>
            <w:noProof/>
            <w:webHidden/>
          </w:rPr>
          <w:fldChar w:fldCharType="begin"/>
        </w:r>
        <w:r w:rsidR="001B01D0">
          <w:rPr>
            <w:noProof/>
            <w:webHidden/>
          </w:rPr>
          <w:instrText xml:space="preserve"> PAGEREF _Toc534713835 \h </w:instrText>
        </w:r>
        <w:r w:rsidR="001B01D0">
          <w:rPr>
            <w:noProof/>
            <w:webHidden/>
          </w:rPr>
        </w:r>
        <w:r w:rsidR="001B01D0">
          <w:rPr>
            <w:noProof/>
            <w:webHidden/>
          </w:rPr>
          <w:fldChar w:fldCharType="separate"/>
        </w:r>
        <w:r w:rsidR="00F47C96">
          <w:rPr>
            <w:noProof/>
            <w:webHidden/>
          </w:rPr>
          <w:t>37</w:t>
        </w:r>
        <w:r w:rsidR="001B01D0">
          <w:rPr>
            <w:noProof/>
            <w:webHidden/>
          </w:rPr>
          <w:fldChar w:fldCharType="end"/>
        </w:r>
      </w:hyperlink>
    </w:p>
    <w:p w14:paraId="4A236A37" w14:textId="1FD89399" w:rsidR="001B01D0" w:rsidRDefault="0081649B">
      <w:pPr>
        <w:pStyle w:val="TOC6"/>
        <w:tabs>
          <w:tab w:val="right" w:pos="9062"/>
        </w:tabs>
        <w:rPr>
          <w:rFonts w:asciiTheme="minorHAnsi" w:eastAsiaTheme="minorEastAsia" w:hAnsiTheme="minorHAnsi"/>
          <w:noProof/>
          <w:sz w:val="22"/>
          <w:szCs w:val="22"/>
          <w:lang w:eastAsia="en-AU"/>
        </w:rPr>
      </w:pPr>
      <w:hyperlink w:anchor="_Toc534713836" w:history="1">
        <w:r w:rsidR="001B01D0" w:rsidRPr="00591D14">
          <w:rPr>
            <w:rStyle w:val="Hyperlink"/>
            <w:noProof/>
          </w:rPr>
          <w:t>Chart 2.13 : Distribution of the average unit costs to base funding ratio in comparison to the 2016 study for bachelor, common sample</w:t>
        </w:r>
        <w:r w:rsidR="001B01D0">
          <w:rPr>
            <w:noProof/>
            <w:webHidden/>
          </w:rPr>
          <w:tab/>
        </w:r>
        <w:r w:rsidR="001B01D0">
          <w:rPr>
            <w:noProof/>
            <w:webHidden/>
          </w:rPr>
          <w:fldChar w:fldCharType="begin"/>
        </w:r>
        <w:r w:rsidR="001B01D0">
          <w:rPr>
            <w:noProof/>
            <w:webHidden/>
          </w:rPr>
          <w:instrText xml:space="preserve"> PAGEREF _Toc534713836 \h </w:instrText>
        </w:r>
        <w:r w:rsidR="001B01D0">
          <w:rPr>
            <w:noProof/>
            <w:webHidden/>
          </w:rPr>
        </w:r>
        <w:r w:rsidR="001B01D0">
          <w:rPr>
            <w:noProof/>
            <w:webHidden/>
          </w:rPr>
          <w:fldChar w:fldCharType="separate"/>
        </w:r>
        <w:r w:rsidR="00F47C96">
          <w:rPr>
            <w:noProof/>
            <w:webHidden/>
          </w:rPr>
          <w:t>37</w:t>
        </w:r>
        <w:r w:rsidR="001B01D0">
          <w:rPr>
            <w:noProof/>
            <w:webHidden/>
          </w:rPr>
          <w:fldChar w:fldCharType="end"/>
        </w:r>
      </w:hyperlink>
    </w:p>
    <w:p w14:paraId="4BAEA62F" w14:textId="548A0CD6" w:rsidR="001B01D0" w:rsidRDefault="0081649B">
      <w:pPr>
        <w:pStyle w:val="TOC6"/>
        <w:tabs>
          <w:tab w:val="right" w:pos="9062"/>
        </w:tabs>
        <w:rPr>
          <w:rFonts w:asciiTheme="minorHAnsi" w:eastAsiaTheme="minorEastAsia" w:hAnsiTheme="minorHAnsi"/>
          <w:noProof/>
          <w:sz w:val="22"/>
          <w:szCs w:val="22"/>
          <w:lang w:eastAsia="en-AU"/>
        </w:rPr>
      </w:pPr>
      <w:hyperlink w:anchor="_Toc534713837" w:history="1">
        <w:r w:rsidR="001B01D0" w:rsidRPr="00591D14">
          <w:rPr>
            <w:rStyle w:val="Hyperlink"/>
            <w:noProof/>
          </w:rPr>
          <w:t>Chart 2.14 : Comparing average costs between 2016 and 2018 studies by field (all levels), common sample</w:t>
        </w:r>
        <w:r w:rsidR="001B01D0">
          <w:rPr>
            <w:noProof/>
            <w:webHidden/>
          </w:rPr>
          <w:tab/>
        </w:r>
        <w:r w:rsidR="001B01D0">
          <w:rPr>
            <w:noProof/>
            <w:webHidden/>
          </w:rPr>
          <w:fldChar w:fldCharType="begin"/>
        </w:r>
        <w:r w:rsidR="001B01D0">
          <w:rPr>
            <w:noProof/>
            <w:webHidden/>
          </w:rPr>
          <w:instrText xml:space="preserve"> PAGEREF _Toc534713837 \h </w:instrText>
        </w:r>
        <w:r w:rsidR="001B01D0">
          <w:rPr>
            <w:noProof/>
            <w:webHidden/>
          </w:rPr>
        </w:r>
        <w:r w:rsidR="001B01D0">
          <w:rPr>
            <w:noProof/>
            <w:webHidden/>
          </w:rPr>
          <w:fldChar w:fldCharType="separate"/>
        </w:r>
        <w:r w:rsidR="00F47C96">
          <w:rPr>
            <w:noProof/>
            <w:webHidden/>
          </w:rPr>
          <w:t>38</w:t>
        </w:r>
        <w:r w:rsidR="001B01D0">
          <w:rPr>
            <w:noProof/>
            <w:webHidden/>
          </w:rPr>
          <w:fldChar w:fldCharType="end"/>
        </w:r>
      </w:hyperlink>
    </w:p>
    <w:p w14:paraId="062A29A0" w14:textId="6356DF27" w:rsidR="001B01D0" w:rsidRDefault="0081649B">
      <w:pPr>
        <w:pStyle w:val="TOC6"/>
        <w:tabs>
          <w:tab w:val="right" w:pos="9062"/>
        </w:tabs>
        <w:rPr>
          <w:rFonts w:asciiTheme="minorHAnsi" w:eastAsiaTheme="minorEastAsia" w:hAnsiTheme="minorHAnsi"/>
          <w:noProof/>
          <w:sz w:val="22"/>
          <w:szCs w:val="22"/>
          <w:lang w:eastAsia="en-AU"/>
        </w:rPr>
      </w:pPr>
      <w:hyperlink w:anchor="_Toc534713838" w:history="1">
        <w:r w:rsidR="001B01D0" w:rsidRPr="00591D14">
          <w:rPr>
            <w:rStyle w:val="Hyperlink"/>
            <w:noProof/>
          </w:rPr>
          <w:t>Chart 2.15 : Comparing costs between 2016 and 2018 studies for sub-bachelor, common sample</w:t>
        </w:r>
        <w:r w:rsidR="001B01D0">
          <w:rPr>
            <w:noProof/>
            <w:webHidden/>
          </w:rPr>
          <w:tab/>
        </w:r>
        <w:r w:rsidR="001B01D0">
          <w:rPr>
            <w:noProof/>
            <w:webHidden/>
          </w:rPr>
          <w:fldChar w:fldCharType="begin"/>
        </w:r>
        <w:r w:rsidR="001B01D0">
          <w:rPr>
            <w:noProof/>
            <w:webHidden/>
          </w:rPr>
          <w:instrText xml:space="preserve"> PAGEREF _Toc534713838 \h </w:instrText>
        </w:r>
        <w:r w:rsidR="001B01D0">
          <w:rPr>
            <w:noProof/>
            <w:webHidden/>
          </w:rPr>
        </w:r>
        <w:r w:rsidR="001B01D0">
          <w:rPr>
            <w:noProof/>
            <w:webHidden/>
          </w:rPr>
          <w:fldChar w:fldCharType="separate"/>
        </w:r>
        <w:r w:rsidR="00F47C96">
          <w:rPr>
            <w:noProof/>
            <w:webHidden/>
          </w:rPr>
          <w:t>39</w:t>
        </w:r>
        <w:r w:rsidR="001B01D0">
          <w:rPr>
            <w:noProof/>
            <w:webHidden/>
          </w:rPr>
          <w:fldChar w:fldCharType="end"/>
        </w:r>
      </w:hyperlink>
    </w:p>
    <w:p w14:paraId="1A8B9CB8" w14:textId="3F5A4301" w:rsidR="001B01D0" w:rsidRDefault="0081649B">
      <w:pPr>
        <w:pStyle w:val="TOC6"/>
        <w:tabs>
          <w:tab w:val="right" w:pos="9062"/>
        </w:tabs>
        <w:rPr>
          <w:rFonts w:asciiTheme="minorHAnsi" w:eastAsiaTheme="minorEastAsia" w:hAnsiTheme="minorHAnsi"/>
          <w:noProof/>
          <w:sz w:val="22"/>
          <w:szCs w:val="22"/>
          <w:lang w:eastAsia="en-AU"/>
        </w:rPr>
      </w:pPr>
      <w:hyperlink w:anchor="_Toc534713839" w:history="1">
        <w:r w:rsidR="001B01D0" w:rsidRPr="00591D14">
          <w:rPr>
            <w:rStyle w:val="Hyperlink"/>
            <w:noProof/>
          </w:rPr>
          <w:t>Chart 2.16 : Comparing costs between 2016 and 2018 studies for bachelor, common sample</w:t>
        </w:r>
        <w:r w:rsidR="001B01D0">
          <w:rPr>
            <w:noProof/>
            <w:webHidden/>
          </w:rPr>
          <w:tab/>
        </w:r>
        <w:r w:rsidR="001B01D0">
          <w:rPr>
            <w:noProof/>
            <w:webHidden/>
          </w:rPr>
          <w:fldChar w:fldCharType="begin"/>
        </w:r>
        <w:r w:rsidR="001B01D0">
          <w:rPr>
            <w:noProof/>
            <w:webHidden/>
          </w:rPr>
          <w:instrText xml:space="preserve"> PAGEREF _Toc534713839 \h </w:instrText>
        </w:r>
        <w:r w:rsidR="001B01D0">
          <w:rPr>
            <w:noProof/>
            <w:webHidden/>
          </w:rPr>
        </w:r>
        <w:r w:rsidR="001B01D0">
          <w:rPr>
            <w:noProof/>
            <w:webHidden/>
          </w:rPr>
          <w:fldChar w:fldCharType="separate"/>
        </w:r>
        <w:r w:rsidR="00F47C96">
          <w:rPr>
            <w:noProof/>
            <w:webHidden/>
          </w:rPr>
          <w:t>39</w:t>
        </w:r>
        <w:r w:rsidR="001B01D0">
          <w:rPr>
            <w:noProof/>
            <w:webHidden/>
          </w:rPr>
          <w:fldChar w:fldCharType="end"/>
        </w:r>
      </w:hyperlink>
    </w:p>
    <w:p w14:paraId="7907FE28" w14:textId="3A1DA355" w:rsidR="001B01D0" w:rsidRDefault="0081649B">
      <w:pPr>
        <w:pStyle w:val="TOC6"/>
        <w:tabs>
          <w:tab w:val="right" w:pos="9062"/>
        </w:tabs>
        <w:rPr>
          <w:rFonts w:asciiTheme="minorHAnsi" w:eastAsiaTheme="minorEastAsia" w:hAnsiTheme="minorHAnsi"/>
          <w:noProof/>
          <w:sz w:val="22"/>
          <w:szCs w:val="22"/>
          <w:lang w:eastAsia="en-AU"/>
        </w:rPr>
      </w:pPr>
      <w:hyperlink w:anchor="_Toc534713840" w:history="1">
        <w:r w:rsidR="001B01D0" w:rsidRPr="00591D14">
          <w:rPr>
            <w:rStyle w:val="Hyperlink"/>
            <w:noProof/>
          </w:rPr>
          <w:t>Chart 2.17 : Comparing costs between 2016 and 2018 studies for postgraduate, common sample</w:t>
        </w:r>
        <w:r w:rsidR="001B01D0">
          <w:rPr>
            <w:noProof/>
            <w:webHidden/>
          </w:rPr>
          <w:tab/>
        </w:r>
        <w:r w:rsidR="001B01D0">
          <w:rPr>
            <w:noProof/>
            <w:webHidden/>
          </w:rPr>
          <w:fldChar w:fldCharType="begin"/>
        </w:r>
        <w:r w:rsidR="001B01D0">
          <w:rPr>
            <w:noProof/>
            <w:webHidden/>
          </w:rPr>
          <w:instrText xml:space="preserve"> PAGEREF _Toc534713840 \h </w:instrText>
        </w:r>
        <w:r w:rsidR="001B01D0">
          <w:rPr>
            <w:noProof/>
            <w:webHidden/>
          </w:rPr>
        </w:r>
        <w:r w:rsidR="001B01D0">
          <w:rPr>
            <w:noProof/>
            <w:webHidden/>
          </w:rPr>
          <w:fldChar w:fldCharType="separate"/>
        </w:r>
        <w:r w:rsidR="00F47C96">
          <w:rPr>
            <w:noProof/>
            <w:webHidden/>
          </w:rPr>
          <w:t>40</w:t>
        </w:r>
        <w:r w:rsidR="001B01D0">
          <w:rPr>
            <w:noProof/>
            <w:webHidden/>
          </w:rPr>
          <w:fldChar w:fldCharType="end"/>
        </w:r>
      </w:hyperlink>
    </w:p>
    <w:p w14:paraId="42AE3107" w14:textId="5DF80D2A" w:rsidR="001B01D0" w:rsidRDefault="0081649B">
      <w:pPr>
        <w:pStyle w:val="TOC6"/>
        <w:tabs>
          <w:tab w:val="right" w:pos="9062"/>
        </w:tabs>
        <w:rPr>
          <w:rFonts w:asciiTheme="minorHAnsi" w:eastAsiaTheme="minorEastAsia" w:hAnsiTheme="minorHAnsi"/>
          <w:noProof/>
          <w:sz w:val="22"/>
          <w:szCs w:val="22"/>
          <w:lang w:eastAsia="en-AU"/>
        </w:rPr>
      </w:pPr>
      <w:hyperlink w:anchor="_Toc534713841" w:history="1">
        <w:r w:rsidR="001B01D0" w:rsidRPr="00591D14">
          <w:rPr>
            <w:rStyle w:val="Hyperlink"/>
            <w:noProof/>
          </w:rPr>
          <w:t>Chart 2.18 : EFTSL growth, common sample, 2007 to 2017</w:t>
        </w:r>
        <w:r w:rsidR="001B01D0">
          <w:rPr>
            <w:noProof/>
            <w:webHidden/>
          </w:rPr>
          <w:tab/>
        </w:r>
        <w:r w:rsidR="001B01D0">
          <w:rPr>
            <w:noProof/>
            <w:webHidden/>
          </w:rPr>
          <w:fldChar w:fldCharType="begin"/>
        </w:r>
        <w:r w:rsidR="001B01D0">
          <w:rPr>
            <w:noProof/>
            <w:webHidden/>
          </w:rPr>
          <w:instrText xml:space="preserve"> PAGEREF _Toc534713841 \h </w:instrText>
        </w:r>
        <w:r w:rsidR="001B01D0">
          <w:rPr>
            <w:noProof/>
            <w:webHidden/>
          </w:rPr>
        </w:r>
        <w:r w:rsidR="001B01D0">
          <w:rPr>
            <w:noProof/>
            <w:webHidden/>
          </w:rPr>
          <w:fldChar w:fldCharType="separate"/>
        </w:r>
        <w:r w:rsidR="00F47C96">
          <w:rPr>
            <w:noProof/>
            <w:webHidden/>
          </w:rPr>
          <w:t>42</w:t>
        </w:r>
        <w:r w:rsidR="001B01D0">
          <w:rPr>
            <w:noProof/>
            <w:webHidden/>
          </w:rPr>
          <w:fldChar w:fldCharType="end"/>
        </w:r>
      </w:hyperlink>
    </w:p>
    <w:p w14:paraId="2F9BB3FC" w14:textId="64CA17A8" w:rsidR="001B01D0" w:rsidRDefault="0081649B">
      <w:pPr>
        <w:pStyle w:val="TOC6"/>
        <w:tabs>
          <w:tab w:val="right" w:pos="9062"/>
        </w:tabs>
        <w:rPr>
          <w:rFonts w:asciiTheme="minorHAnsi" w:eastAsiaTheme="minorEastAsia" w:hAnsiTheme="minorHAnsi"/>
          <w:noProof/>
          <w:sz w:val="22"/>
          <w:szCs w:val="22"/>
          <w:lang w:eastAsia="en-AU"/>
        </w:rPr>
      </w:pPr>
      <w:hyperlink w:anchor="_Toc534713842" w:history="1">
        <w:r w:rsidR="001B01D0" w:rsidRPr="00591D14">
          <w:rPr>
            <w:rStyle w:val="Hyperlink"/>
            <w:noProof/>
          </w:rPr>
          <w:t>Chart 2.19 : Unit costs and deviation from average using different EFTSL thresholds, by level</w:t>
        </w:r>
        <w:r w:rsidR="001B01D0">
          <w:rPr>
            <w:noProof/>
            <w:webHidden/>
          </w:rPr>
          <w:tab/>
        </w:r>
        <w:r w:rsidR="001B01D0">
          <w:rPr>
            <w:noProof/>
            <w:webHidden/>
          </w:rPr>
          <w:fldChar w:fldCharType="begin"/>
        </w:r>
        <w:r w:rsidR="001B01D0">
          <w:rPr>
            <w:noProof/>
            <w:webHidden/>
          </w:rPr>
          <w:instrText xml:space="preserve"> PAGEREF _Toc534713842 \h </w:instrText>
        </w:r>
        <w:r w:rsidR="001B01D0">
          <w:rPr>
            <w:noProof/>
            <w:webHidden/>
          </w:rPr>
        </w:r>
        <w:r w:rsidR="001B01D0">
          <w:rPr>
            <w:noProof/>
            <w:webHidden/>
          </w:rPr>
          <w:fldChar w:fldCharType="separate"/>
        </w:r>
        <w:r w:rsidR="00F47C96">
          <w:rPr>
            <w:noProof/>
            <w:webHidden/>
          </w:rPr>
          <w:t>48</w:t>
        </w:r>
        <w:r w:rsidR="001B01D0">
          <w:rPr>
            <w:noProof/>
            <w:webHidden/>
          </w:rPr>
          <w:fldChar w:fldCharType="end"/>
        </w:r>
      </w:hyperlink>
    </w:p>
    <w:p w14:paraId="0354873E" w14:textId="1FCAE8AC" w:rsidR="001B01D0" w:rsidRDefault="0081649B">
      <w:pPr>
        <w:pStyle w:val="TOC6"/>
        <w:tabs>
          <w:tab w:val="right" w:pos="9062"/>
        </w:tabs>
        <w:rPr>
          <w:rFonts w:asciiTheme="minorHAnsi" w:eastAsiaTheme="minorEastAsia" w:hAnsiTheme="minorHAnsi"/>
          <w:noProof/>
          <w:sz w:val="22"/>
          <w:szCs w:val="22"/>
          <w:lang w:eastAsia="en-AU"/>
        </w:rPr>
      </w:pPr>
      <w:hyperlink w:anchor="_Toc534713843" w:history="1">
        <w:r w:rsidR="001B01D0" w:rsidRPr="00591D14">
          <w:rPr>
            <w:rStyle w:val="Hyperlink"/>
            <w:noProof/>
          </w:rPr>
          <w:t>Chart 2.20 : Correlation between scale and unit costs</w:t>
        </w:r>
        <w:r w:rsidR="001B01D0">
          <w:rPr>
            <w:noProof/>
            <w:webHidden/>
          </w:rPr>
          <w:tab/>
        </w:r>
        <w:r w:rsidR="001B01D0">
          <w:rPr>
            <w:noProof/>
            <w:webHidden/>
          </w:rPr>
          <w:fldChar w:fldCharType="begin"/>
        </w:r>
        <w:r w:rsidR="001B01D0">
          <w:rPr>
            <w:noProof/>
            <w:webHidden/>
          </w:rPr>
          <w:instrText xml:space="preserve"> PAGEREF _Toc534713843 \h </w:instrText>
        </w:r>
        <w:r w:rsidR="001B01D0">
          <w:rPr>
            <w:noProof/>
            <w:webHidden/>
          </w:rPr>
        </w:r>
        <w:r w:rsidR="001B01D0">
          <w:rPr>
            <w:noProof/>
            <w:webHidden/>
          </w:rPr>
          <w:fldChar w:fldCharType="separate"/>
        </w:r>
        <w:r w:rsidR="00F47C96">
          <w:rPr>
            <w:noProof/>
            <w:webHidden/>
          </w:rPr>
          <w:t>49</w:t>
        </w:r>
        <w:r w:rsidR="001B01D0">
          <w:rPr>
            <w:noProof/>
            <w:webHidden/>
          </w:rPr>
          <w:fldChar w:fldCharType="end"/>
        </w:r>
      </w:hyperlink>
    </w:p>
    <w:p w14:paraId="4FCC055D" w14:textId="77777777" w:rsidR="00FC6122" w:rsidRDefault="00FC6122" w:rsidP="00810613">
      <w:pPr>
        <w:pStyle w:val="TOC6"/>
        <w:tabs>
          <w:tab w:val="right" w:pos="9062"/>
        </w:tabs>
      </w:pPr>
      <w:r w:rsidRPr="00810613">
        <w:rPr>
          <w:rStyle w:val="Hyperlink"/>
          <w:noProof/>
        </w:rPr>
        <w:fldChar w:fldCharType="end"/>
      </w:r>
    </w:p>
    <w:p w14:paraId="60F6AC28" w14:textId="77777777" w:rsidR="00810613" w:rsidRDefault="00810613">
      <w:pPr>
        <w:spacing w:after="0"/>
        <w:rPr>
          <w:rFonts w:eastAsiaTheme="majorEastAsia" w:cstheme="majorBidi"/>
          <w:bCs/>
          <w:sz w:val="60"/>
          <w:szCs w:val="28"/>
        </w:rPr>
      </w:pPr>
      <w:r>
        <w:br w:type="page"/>
      </w:r>
    </w:p>
    <w:p w14:paraId="72375F88" w14:textId="77777777" w:rsidR="00FC6122" w:rsidRDefault="00FC6122" w:rsidP="00810613">
      <w:pPr>
        <w:pStyle w:val="TOCHeading"/>
      </w:pPr>
      <w:r>
        <w:lastRenderedPageBreak/>
        <w:t>Tables</w:t>
      </w:r>
    </w:p>
    <w:p w14:paraId="30040A55" w14:textId="0B4F19CF" w:rsidR="001B01D0" w:rsidRDefault="00FC6122">
      <w:pPr>
        <w:pStyle w:val="TOC8"/>
        <w:tabs>
          <w:tab w:val="right" w:pos="9062"/>
        </w:tabs>
        <w:rPr>
          <w:rFonts w:asciiTheme="minorHAnsi" w:eastAsiaTheme="minorEastAsia" w:hAnsiTheme="minorHAnsi"/>
          <w:noProof/>
          <w:sz w:val="22"/>
          <w:szCs w:val="22"/>
          <w:lang w:eastAsia="en-AU"/>
        </w:rPr>
      </w:pPr>
      <w:r>
        <w:fldChar w:fldCharType="begin"/>
      </w:r>
      <w:r>
        <w:instrText xml:space="preserve"> TOC \h \z \t "Caption_Table,8,Exec Table Caption,8,Appendix Table Caption,8" </w:instrText>
      </w:r>
      <w:r>
        <w:fldChar w:fldCharType="separate"/>
      </w:r>
      <w:hyperlink w:anchor="_Toc534713844" w:history="1">
        <w:r w:rsidR="001B01D0" w:rsidRPr="00CF2A37">
          <w:rPr>
            <w:rStyle w:val="Hyperlink"/>
            <w:noProof/>
          </w:rPr>
          <w:t>Table i : Average unit cost per EFTSL</w:t>
        </w:r>
        <w:r w:rsidR="001B01D0">
          <w:rPr>
            <w:noProof/>
            <w:webHidden/>
          </w:rPr>
          <w:tab/>
        </w:r>
        <w:r w:rsidR="001B01D0">
          <w:rPr>
            <w:noProof/>
            <w:webHidden/>
          </w:rPr>
          <w:fldChar w:fldCharType="begin"/>
        </w:r>
        <w:r w:rsidR="001B01D0">
          <w:rPr>
            <w:noProof/>
            <w:webHidden/>
          </w:rPr>
          <w:instrText xml:space="preserve"> PAGEREF _Toc534713844 \h </w:instrText>
        </w:r>
        <w:r w:rsidR="001B01D0">
          <w:rPr>
            <w:noProof/>
            <w:webHidden/>
          </w:rPr>
        </w:r>
        <w:r w:rsidR="001B01D0">
          <w:rPr>
            <w:noProof/>
            <w:webHidden/>
          </w:rPr>
          <w:fldChar w:fldCharType="separate"/>
        </w:r>
        <w:r w:rsidR="00F47C96">
          <w:rPr>
            <w:noProof/>
            <w:webHidden/>
          </w:rPr>
          <w:t>xii</w:t>
        </w:r>
        <w:r w:rsidR="001B01D0">
          <w:rPr>
            <w:noProof/>
            <w:webHidden/>
          </w:rPr>
          <w:fldChar w:fldCharType="end"/>
        </w:r>
      </w:hyperlink>
    </w:p>
    <w:p w14:paraId="260D1FFE" w14:textId="63FF61FE" w:rsidR="001B01D0" w:rsidRDefault="0081649B">
      <w:pPr>
        <w:pStyle w:val="TOC8"/>
        <w:tabs>
          <w:tab w:val="right" w:pos="9062"/>
        </w:tabs>
        <w:rPr>
          <w:rFonts w:asciiTheme="minorHAnsi" w:eastAsiaTheme="minorEastAsia" w:hAnsiTheme="minorHAnsi"/>
          <w:noProof/>
          <w:sz w:val="22"/>
          <w:szCs w:val="22"/>
          <w:lang w:eastAsia="en-AU"/>
        </w:rPr>
      </w:pPr>
      <w:hyperlink w:anchor="_Toc534713845" w:history="1">
        <w:r w:rsidR="001B01D0" w:rsidRPr="00CF2A37">
          <w:rPr>
            <w:rStyle w:val="Hyperlink"/>
            <w:noProof/>
          </w:rPr>
          <w:t>Table ii : Growth over time in average unit cost per EFTSL</w:t>
        </w:r>
        <w:r w:rsidR="001B01D0">
          <w:rPr>
            <w:noProof/>
            <w:webHidden/>
          </w:rPr>
          <w:tab/>
        </w:r>
        <w:r w:rsidR="001B01D0">
          <w:rPr>
            <w:noProof/>
            <w:webHidden/>
          </w:rPr>
          <w:fldChar w:fldCharType="begin"/>
        </w:r>
        <w:r w:rsidR="001B01D0">
          <w:rPr>
            <w:noProof/>
            <w:webHidden/>
          </w:rPr>
          <w:instrText xml:space="preserve"> PAGEREF _Toc534713845 \h </w:instrText>
        </w:r>
        <w:r w:rsidR="001B01D0">
          <w:rPr>
            <w:noProof/>
            <w:webHidden/>
          </w:rPr>
        </w:r>
        <w:r w:rsidR="001B01D0">
          <w:rPr>
            <w:noProof/>
            <w:webHidden/>
          </w:rPr>
          <w:fldChar w:fldCharType="separate"/>
        </w:r>
        <w:r w:rsidR="00F47C96">
          <w:rPr>
            <w:noProof/>
            <w:webHidden/>
          </w:rPr>
          <w:t>xii</w:t>
        </w:r>
        <w:r w:rsidR="001B01D0">
          <w:rPr>
            <w:noProof/>
            <w:webHidden/>
          </w:rPr>
          <w:fldChar w:fldCharType="end"/>
        </w:r>
      </w:hyperlink>
    </w:p>
    <w:p w14:paraId="60912731" w14:textId="7C65E76C" w:rsidR="001B01D0" w:rsidRDefault="0081649B">
      <w:pPr>
        <w:pStyle w:val="TOC8"/>
        <w:tabs>
          <w:tab w:val="right" w:pos="9062"/>
        </w:tabs>
        <w:rPr>
          <w:rFonts w:asciiTheme="minorHAnsi" w:eastAsiaTheme="minorEastAsia" w:hAnsiTheme="minorHAnsi"/>
          <w:noProof/>
          <w:sz w:val="22"/>
          <w:szCs w:val="22"/>
          <w:lang w:eastAsia="en-AU"/>
        </w:rPr>
      </w:pPr>
      <w:hyperlink w:anchor="_Toc534713846" w:history="1">
        <w:r w:rsidR="001B01D0" w:rsidRPr="00CF2A37">
          <w:rPr>
            <w:rStyle w:val="Hyperlink"/>
            <w:noProof/>
          </w:rPr>
          <w:t>Table iii : Change in costs between 2015 and 2017</w:t>
        </w:r>
        <w:r w:rsidR="001B01D0">
          <w:rPr>
            <w:noProof/>
            <w:webHidden/>
          </w:rPr>
          <w:tab/>
        </w:r>
        <w:r w:rsidR="001B01D0">
          <w:rPr>
            <w:noProof/>
            <w:webHidden/>
          </w:rPr>
          <w:fldChar w:fldCharType="begin"/>
        </w:r>
        <w:r w:rsidR="001B01D0">
          <w:rPr>
            <w:noProof/>
            <w:webHidden/>
          </w:rPr>
          <w:instrText xml:space="preserve"> PAGEREF _Toc534713846 \h </w:instrText>
        </w:r>
        <w:r w:rsidR="001B01D0">
          <w:rPr>
            <w:noProof/>
            <w:webHidden/>
          </w:rPr>
        </w:r>
        <w:r w:rsidR="001B01D0">
          <w:rPr>
            <w:noProof/>
            <w:webHidden/>
          </w:rPr>
          <w:fldChar w:fldCharType="separate"/>
        </w:r>
        <w:r w:rsidR="00F47C96">
          <w:rPr>
            <w:noProof/>
            <w:webHidden/>
          </w:rPr>
          <w:t>xiii</w:t>
        </w:r>
        <w:r w:rsidR="001B01D0">
          <w:rPr>
            <w:noProof/>
            <w:webHidden/>
          </w:rPr>
          <w:fldChar w:fldCharType="end"/>
        </w:r>
      </w:hyperlink>
    </w:p>
    <w:p w14:paraId="3B996D6D" w14:textId="0A058F06" w:rsidR="001B01D0" w:rsidRDefault="0081649B">
      <w:pPr>
        <w:pStyle w:val="TOC8"/>
        <w:tabs>
          <w:tab w:val="right" w:pos="9062"/>
        </w:tabs>
        <w:rPr>
          <w:rFonts w:asciiTheme="minorHAnsi" w:eastAsiaTheme="minorEastAsia" w:hAnsiTheme="minorHAnsi"/>
          <w:noProof/>
          <w:sz w:val="22"/>
          <w:szCs w:val="22"/>
          <w:lang w:eastAsia="en-AU"/>
        </w:rPr>
      </w:pPr>
      <w:hyperlink w:anchor="_Toc534713847" w:history="1">
        <w:r w:rsidR="001B01D0" w:rsidRPr="00CF2A37">
          <w:rPr>
            <w:rStyle w:val="Hyperlink"/>
            <w:noProof/>
          </w:rPr>
          <w:t>Table iv : Teaching costs relative to CSP funding for bachelor studies</w:t>
        </w:r>
        <w:r w:rsidR="001B01D0">
          <w:rPr>
            <w:noProof/>
            <w:webHidden/>
          </w:rPr>
          <w:tab/>
        </w:r>
        <w:r w:rsidR="001B01D0">
          <w:rPr>
            <w:noProof/>
            <w:webHidden/>
          </w:rPr>
          <w:fldChar w:fldCharType="begin"/>
        </w:r>
        <w:r w:rsidR="001B01D0">
          <w:rPr>
            <w:noProof/>
            <w:webHidden/>
          </w:rPr>
          <w:instrText xml:space="preserve"> PAGEREF _Toc534713847 \h </w:instrText>
        </w:r>
        <w:r w:rsidR="001B01D0">
          <w:rPr>
            <w:noProof/>
            <w:webHidden/>
          </w:rPr>
        </w:r>
        <w:r w:rsidR="001B01D0">
          <w:rPr>
            <w:noProof/>
            <w:webHidden/>
          </w:rPr>
          <w:fldChar w:fldCharType="separate"/>
        </w:r>
        <w:r w:rsidR="00F47C96">
          <w:rPr>
            <w:noProof/>
            <w:webHidden/>
          </w:rPr>
          <w:t>xiv</w:t>
        </w:r>
        <w:r w:rsidR="001B01D0">
          <w:rPr>
            <w:noProof/>
            <w:webHidden/>
          </w:rPr>
          <w:fldChar w:fldCharType="end"/>
        </w:r>
      </w:hyperlink>
    </w:p>
    <w:p w14:paraId="0807B449" w14:textId="1F94457F" w:rsidR="001B01D0" w:rsidRDefault="0081649B">
      <w:pPr>
        <w:pStyle w:val="TOC8"/>
        <w:tabs>
          <w:tab w:val="right" w:pos="9062"/>
        </w:tabs>
        <w:rPr>
          <w:rFonts w:asciiTheme="minorHAnsi" w:eastAsiaTheme="minorEastAsia" w:hAnsiTheme="minorHAnsi"/>
          <w:noProof/>
          <w:sz w:val="22"/>
          <w:szCs w:val="22"/>
          <w:lang w:eastAsia="en-AU"/>
        </w:rPr>
      </w:pPr>
      <w:hyperlink w:anchor="_Toc534713860" w:history="1">
        <w:r w:rsidR="001B01D0" w:rsidRPr="00CF2A37">
          <w:rPr>
            <w:rStyle w:val="Hyperlink"/>
            <w:noProof/>
          </w:rPr>
          <w:t>Table 1.1 : Key changes to the template for 2018</w:t>
        </w:r>
        <w:r w:rsidR="001B01D0">
          <w:rPr>
            <w:noProof/>
            <w:webHidden/>
          </w:rPr>
          <w:tab/>
        </w:r>
        <w:r w:rsidR="001B01D0">
          <w:rPr>
            <w:noProof/>
            <w:webHidden/>
          </w:rPr>
          <w:fldChar w:fldCharType="begin"/>
        </w:r>
        <w:r w:rsidR="001B01D0">
          <w:rPr>
            <w:noProof/>
            <w:webHidden/>
          </w:rPr>
          <w:instrText xml:space="preserve"> PAGEREF _Toc534713860 \h </w:instrText>
        </w:r>
        <w:r w:rsidR="001B01D0">
          <w:rPr>
            <w:noProof/>
            <w:webHidden/>
          </w:rPr>
        </w:r>
        <w:r w:rsidR="001B01D0">
          <w:rPr>
            <w:noProof/>
            <w:webHidden/>
          </w:rPr>
          <w:fldChar w:fldCharType="separate"/>
        </w:r>
        <w:r w:rsidR="00F47C96">
          <w:rPr>
            <w:noProof/>
            <w:webHidden/>
          </w:rPr>
          <w:t>18</w:t>
        </w:r>
        <w:r w:rsidR="001B01D0">
          <w:rPr>
            <w:noProof/>
            <w:webHidden/>
          </w:rPr>
          <w:fldChar w:fldCharType="end"/>
        </w:r>
      </w:hyperlink>
    </w:p>
    <w:p w14:paraId="2A9C0526" w14:textId="6AEA9C22" w:rsidR="001B01D0" w:rsidRDefault="0081649B">
      <w:pPr>
        <w:pStyle w:val="TOC8"/>
        <w:tabs>
          <w:tab w:val="right" w:pos="9062"/>
        </w:tabs>
        <w:rPr>
          <w:rFonts w:asciiTheme="minorHAnsi" w:eastAsiaTheme="minorEastAsia" w:hAnsiTheme="minorHAnsi"/>
          <w:noProof/>
          <w:sz w:val="22"/>
          <w:szCs w:val="22"/>
          <w:lang w:eastAsia="en-AU"/>
        </w:rPr>
      </w:pPr>
      <w:hyperlink w:anchor="_Toc534713861" w:history="1">
        <w:r w:rsidR="001B01D0" w:rsidRPr="00CF2A37">
          <w:rPr>
            <w:rStyle w:val="Hyperlink"/>
            <w:noProof/>
          </w:rPr>
          <w:t>Table 1.2 : Planned participation by universities</w:t>
        </w:r>
        <w:r w:rsidR="001B01D0">
          <w:rPr>
            <w:noProof/>
            <w:webHidden/>
          </w:rPr>
          <w:tab/>
        </w:r>
        <w:r w:rsidR="001B01D0">
          <w:rPr>
            <w:noProof/>
            <w:webHidden/>
          </w:rPr>
          <w:fldChar w:fldCharType="begin"/>
        </w:r>
        <w:r w:rsidR="001B01D0">
          <w:rPr>
            <w:noProof/>
            <w:webHidden/>
          </w:rPr>
          <w:instrText xml:space="preserve"> PAGEREF _Toc534713861 \h </w:instrText>
        </w:r>
        <w:r w:rsidR="001B01D0">
          <w:rPr>
            <w:noProof/>
            <w:webHidden/>
          </w:rPr>
        </w:r>
        <w:r w:rsidR="001B01D0">
          <w:rPr>
            <w:noProof/>
            <w:webHidden/>
          </w:rPr>
          <w:fldChar w:fldCharType="separate"/>
        </w:r>
        <w:r w:rsidR="00F47C96">
          <w:rPr>
            <w:noProof/>
            <w:webHidden/>
          </w:rPr>
          <w:t>20</w:t>
        </w:r>
        <w:r w:rsidR="001B01D0">
          <w:rPr>
            <w:noProof/>
            <w:webHidden/>
          </w:rPr>
          <w:fldChar w:fldCharType="end"/>
        </w:r>
      </w:hyperlink>
    </w:p>
    <w:p w14:paraId="3E7E5839" w14:textId="29386945" w:rsidR="001B01D0" w:rsidRDefault="0081649B">
      <w:pPr>
        <w:pStyle w:val="TOC8"/>
        <w:tabs>
          <w:tab w:val="right" w:pos="9062"/>
        </w:tabs>
        <w:rPr>
          <w:rFonts w:asciiTheme="minorHAnsi" w:eastAsiaTheme="minorEastAsia" w:hAnsiTheme="minorHAnsi"/>
          <w:noProof/>
          <w:sz w:val="22"/>
          <w:szCs w:val="22"/>
          <w:lang w:eastAsia="en-AU"/>
        </w:rPr>
      </w:pPr>
      <w:hyperlink w:anchor="_Toc534713872" w:history="1">
        <w:r w:rsidR="001B01D0" w:rsidRPr="00CF2A37">
          <w:rPr>
            <w:rStyle w:val="Hyperlink"/>
            <w:noProof/>
          </w:rPr>
          <w:t>Table 1.3 : Proportion of population captured by key university characteristics</w:t>
        </w:r>
        <w:r w:rsidR="001B01D0">
          <w:rPr>
            <w:noProof/>
            <w:webHidden/>
          </w:rPr>
          <w:tab/>
        </w:r>
        <w:r w:rsidR="001B01D0">
          <w:rPr>
            <w:noProof/>
            <w:webHidden/>
          </w:rPr>
          <w:fldChar w:fldCharType="begin"/>
        </w:r>
        <w:r w:rsidR="001B01D0">
          <w:rPr>
            <w:noProof/>
            <w:webHidden/>
          </w:rPr>
          <w:instrText xml:space="preserve"> PAGEREF _Toc534713872 \h </w:instrText>
        </w:r>
        <w:r w:rsidR="001B01D0">
          <w:rPr>
            <w:noProof/>
            <w:webHidden/>
          </w:rPr>
        </w:r>
        <w:r w:rsidR="001B01D0">
          <w:rPr>
            <w:noProof/>
            <w:webHidden/>
          </w:rPr>
          <w:fldChar w:fldCharType="separate"/>
        </w:r>
        <w:r w:rsidR="00F47C96">
          <w:rPr>
            <w:noProof/>
            <w:webHidden/>
          </w:rPr>
          <w:t>21</w:t>
        </w:r>
        <w:r w:rsidR="001B01D0">
          <w:rPr>
            <w:noProof/>
            <w:webHidden/>
          </w:rPr>
          <w:fldChar w:fldCharType="end"/>
        </w:r>
      </w:hyperlink>
    </w:p>
    <w:p w14:paraId="100B5F3F" w14:textId="39F0C078" w:rsidR="001B01D0" w:rsidRDefault="0081649B">
      <w:pPr>
        <w:pStyle w:val="TOC8"/>
        <w:tabs>
          <w:tab w:val="right" w:pos="9062"/>
        </w:tabs>
        <w:rPr>
          <w:rFonts w:asciiTheme="minorHAnsi" w:eastAsiaTheme="minorEastAsia" w:hAnsiTheme="minorHAnsi"/>
          <w:noProof/>
          <w:sz w:val="22"/>
          <w:szCs w:val="22"/>
          <w:lang w:eastAsia="en-AU"/>
        </w:rPr>
      </w:pPr>
      <w:hyperlink w:anchor="_Toc534713873" w:history="1">
        <w:r w:rsidR="001B01D0" w:rsidRPr="00CF2A37">
          <w:rPr>
            <w:rStyle w:val="Hyperlink"/>
            <w:noProof/>
          </w:rPr>
          <w:t>Table 2.1 : Average unit cost per EFTSL</w:t>
        </w:r>
        <w:r w:rsidR="001B01D0">
          <w:rPr>
            <w:noProof/>
            <w:webHidden/>
          </w:rPr>
          <w:tab/>
        </w:r>
        <w:r w:rsidR="001B01D0">
          <w:rPr>
            <w:noProof/>
            <w:webHidden/>
          </w:rPr>
          <w:fldChar w:fldCharType="begin"/>
        </w:r>
        <w:r w:rsidR="001B01D0">
          <w:rPr>
            <w:noProof/>
            <w:webHidden/>
          </w:rPr>
          <w:instrText xml:space="preserve"> PAGEREF _Toc534713873 \h </w:instrText>
        </w:r>
        <w:r w:rsidR="001B01D0">
          <w:rPr>
            <w:noProof/>
            <w:webHidden/>
          </w:rPr>
        </w:r>
        <w:r w:rsidR="001B01D0">
          <w:rPr>
            <w:noProof/>
            <w:webHidden/>
          </w:rPr>
          <w:fldChar w:fldCharType="separate"/>
        </w:r>
        <w:r w:rsidR="00F47C96">
          <w:rPr>
            <w:noProof/>
            <w:webHidden/>
          </w:rPr>
          <w:t>40</w:t>
        </w:r>
        <w:r w:rsidR="001B01D0">
          <w:rPr>
            <w:noProof/>
            <w:webHidden/>
          </w:rPr>
          <w:fldChar w:fldCharType="end"/>
        </w:r>
      </w:hyperlink>
    </w:p>
    <w:p w14:paraId="1F51B3E1" w14:textId="01AD77EB" w:rsidR="001B01D0" w:rsidRDefault="0081649B">
      <w:pPr>
        <w:pStyle w:val="TOC8"/>
        <w:tabs>
          <w:tab w:val="right" w:pos="9062"/>
        </w:tabs>
        <w:rPr>
          <w:rFonts w:asciiTheme="minorHAnsi" w:eastAsiaTheme="minorEastAsia" w:hAnsiTheme="minorHAnsi"/>
          <w:noProof/>
          <w:sz w:val="22"/>
          <w:szCs w:val="22"/>
          <w:lang w:eastAsia="en-AU"/>
        </w:rPr>
      </w:pPr>
      <w:hyperlink w:anchor="_Toc534713874" w:history="1">
        <w:r w:rsidR="001B01D0" w:rsidRPr="00CF2A37">
          <w:rPr>
            <w:rStyle w:val="Hyperlink"/>
            <w:noProof/>
          </w:rPr>
          <w:t>Table 2.2 : Growth over time in average unit cost per EFTSL</w:t>
        </w:r>
        <w:r w:rsidR="001B01D0">
          <w:rPr>
            <w:noProof/>
            <w:webHidden/>
          </w:rPr>
          <w:tab/>
        </w:r>
        <w:r w:rsidR="001B01D0">
          <w:rPr>
            <w:noProof/>
            <w:webHidden/>
          </w:rPr>
          <w:fldChar w:fldCharType="begin"/>
        </w:r>
        <w:r w:rsidR="001B01D0">
          <w:rPr>
            <w:noProof/>
            <w:webHidden/>
          </w:rPr>
          <w:instrText xml:space="preserve"> PAGEREF _Toc534713874 \h </w:instrText>
        </w:r>
        <w:r w:rsidR="001B01D0">
          <w:rPr>
            <w:noProof/>
            <w:webHidden/>
          </w:rPr>
        </w:r>
        <w:r w:rsidR="001B01D0">
          <w:rPr>
            <w:noProof/>
            <w:webHidden/>
          </w:rPr>
          <w:fldChar w:fldCharType="separate"/>
        </w:r>
        <w:r w:rsidR="00F47C96">
          <w:rPr>
            <w:noProof/>
            <w:webHidden/>
          </w:rPr>
          <w:t>41</w:t>
        </w:r>
        <w:r w:rsidR="001B01D0">
          <w:rPr>
            <w:noProof/>
            <w:webHidden/>
          </w:rPr>
          <w:fldChar w:fldCharType="end"/>
        </w:r>
      </w:hyperlink>
    </w:p>
    <w:p w14:paraId="1C6E76DD" w14:textId="43534806" w:rsidR="001B01D0" w:rsidRDefault="0081649B">
      <w:pPr>
        <w:pStyle w:val="TOC8"/>
        <w:tabs>
          <w:tab w:val="right" w:pos="9062"/>
        </w:tabs>
        <w:rPr>
          <w:rFonts w:asciiTheme="minorHAnsi" w:eastAsiaTheme="minorEastAsia" w:hAnsiTheme="minorHAnsi"/>
          <w:noProof/>
          <w:sz w:val="22"/>
          <w:szCs w:val="22"/>
          <w:lang w:eastAsia="en-AU"/>
        </w:rPr>
      </w:pPr>
      <w:hyperlink w:anchor="_Toc534713875" w:history="1">
        <w:r w:rsidR="001B01D0" w:rsidRPr="00CF2A37">
          <w:rPr>
            <w:rStyle w:val="Hyperlink"/>
            <w:noProof/>
          </w:rPr>
          <w:t>Table 2.3 : Change in costs between 2015 and 2017</w:t>
        </w:r>
        <w:r w:rsidR="001B01D0">
          <w:rPr>
            <w:noProof/>
            <w:webHidden/>
          </w:rPr>
          <w:tab/>
        </w:r>
        <w:r w:rsidR="001B01D0">
          <w:rPr>
            <w:noProof/>
            <w:webHidden/>
          </w:rPr>
          <w:fldChar w:fldCharType="begin"/>
        </w:r>
        <w:r w:rsidR="001B01D0">
          <w:rPr>
            <w:noProof/>
            <w:webHidden/>
          </w:rPr>
          <w:instrText xml:space="preserve"> PAGEREF _Toc534713875 \h </w:instrText>
        </w:r>
        <w:r w:rsidR="001B01D0">
          <w:rPr>
            <w:noProof/>
            <w:webHidden/>
          </w:rPr>
        </w:r>
        <w:r w:rsidR="001B01D0">
          <w:rPr>
            <w:noProof/>
            <w:webHidden/>
          </w:rPr>
          <w:fldChar w:fldCharType="separate"/>
        </w:r>
        <w:r w:rsidR="00F47C96">
          <w:rPr>
            <w:noProof/>
            <w:webHidden/>
          </w:rPr>
          <w:t>42</w:t>
        </w:r>
        <w:r w:rsidR="001B01D0">
          <w:rPr>
            <w:noProof/>
            <w:webHidden/>
          </w:rPr>
          <w:fldChar w:fldCharType="end"/>
        </w:r>
      </w:hyperlink>
    </w:p>
    <w:p w14:paraId="54D2B1A2" w14:textId="0A349833" w:rsidR="001B01D0" w:rsidRDefault="0081649B">
      <w:pPr>
        <w:pStyle w:val="TOC8"/>
        <w:tabs>
          <w:tab w:val="right" w:pos="9062"/>
        </w:tabs>
        <w:rPr>
          <w:rFonts w:asciiTheme="minorHAnsi" w:eastAsiaTheme="minorEastAsia" w:hAnsiTheme="minorHAnsi"/>
          <w:noProof/>
          <w:sz w:val="22"/>
          <w:szCs w:val="22"/>
          <w:lang w:eastAsia="en-AU"/>
        </w:rPr>
      </w:pPr>
      <w:hyperlink w:anchor="_Toc534713876" w:history="1">
        <w:r w:rsidR="001B01D0" w:rsidRPr="00CF2A37">
          <w:rPr>
            <w:rStyle w:val="Hyperlink"/>
            <w:noProof/>
          </w:rPr>
          <w:t>Table 2.4 : Change in costs per EFTSL between 2015 and 2017, common sample, by line item</w:t>
        </w:r>
        <w:r w:rsidR="001B01D0">
          <w:rPr>
            <w:noProof/>
            <w:webHidden/>
          </w:rPr>
          <w:tab/>
        </w:r>
        <w:r w:rsidR="001B01D0">
          <w:rPr>
            <w:noProof/>
            <w:webHidden/>
          </w:rPr>
          <w:fldChar w:fldCharType="begin"/>
        </w:r>
        <w:r w:rsidR="001B01D0">
          <w:rPr>
            <w:noProof/>
            <w:webHidden/>
          </w:rPr>
          <w:instrText xml:space="preserve"> PAGEREF _Toc534713876 \h </w:instrText>
        </w:r>
        <w:r w:rsidR="001B01D0">
          <w:rPr>
            <w:noProof/>
            <w:webHidden/>
          </w:rPr>
        </w:r>
        <w:r w:rsidR="001B01D0">
          <w:rPr>
            <w:noProof/>
            <w:webHidden/>
          </w:rPr>
          <w:fldChar w:fldCharType="separate"/>
        </w:r>
        <w:r w:rsidR="00F47C96">
          <w:rPr>
            <w:noProof/>
            <w:webHidden/>
          </w:rPr>
          <w:t>43</w:t>
        </w:r>
        <w:r w:rsidR="001B01D0">
          <w:rPr>
            <w:noProof/>
            <w:webHidden/>
          </w:rPr>
          <w:fldChar w:fldCharType="end"/>
        </w:r>
      </w:hyperlink>
    </w:p>
    <w:p w14:paraId="31F57A48" w14:textId="3585CDBA" w:rsidR="001B01D0" w:rsidRDefault="0081649B">
      <w:pPr>
        <w:pStyle w:val="TOC8"/>
        <w:tabs>
          <w:tab w:val="right" w:pos="9062"/>
        </w:tabs>
        <w:rPr>
          <w:rFonts w:asciiTheme="minorHAnsi" w:eastAsiaTheme="minorEastAsia" w:hAnsiTheme="minorHAnsi"/>
          <w:noProof/>
          <w:sz w:val="22"/>
          <w:szCs w:val="22"/>
          <w:lang w:eastAsia="en-AU"/>
        </w:rPr>
      </w:pPr>
      <w:hyperlink w:anchor="_Toc534713877" w:history="1">
        <w:r w:rsidR="001B01D0" w:rsidRPr="00CF2A37">
          <w:rPr>
            <w:rStyle w:val="Hyperlink"/>
            <w:noProof/>
          </w:rPr>
          <w:t>Table 2.5 : Total average impact of ‘below the line’ costs on teaching and scholarship costs</w:t>
        </w:r>
        <w:r w:rsidR="001B01D0">
          <w:rPr>
            <w:noProof/>
            <w:webHidden/>
          </w:rPr>
          <w:tab/>
        </w:r>
        <w:r w:rsidR="001B01D0">
          <w:rPr>
            <w:noProof/>
            <w:webHidden/>
          </w:rPr>
          <w:fldChar w:fldCharType="begin"/>
        </w:r>
        <w:r w:rsidR="001B01D0">
          <w:rPr>
            <w:noProof/>
            <w:webHidden/>
          </w:rPr>
          <w:instrText xml:space="preserve"> PAGEREF _Toc534713877 \h </w:instrText>
        </w:r>
        <w:r w:rsidR="001B01D0">
          <w:rPr>
            <w:noProof/>
            <w:webHidden/>
          </w:rPr>
        </w:r>
        <w:r w:rsidR="001B01D0">
          <w:rPr>
            <w:noProof/>
            <w:webHidden/>
          </w:rPr>
          <w:fldChar w:fldCharType="separate"/>
        </w:r>
        <w:r w:rsidR="00F47C96">
          <w:rPr>
            <w:noProof/>
            <w:webHidden/>
          </w:rPr>
          <w:t>45</w:t>
        </w:r>
        <w:r w:rsidR="001B01D0">
          <w:rPr>
            <w:noProof/>
            <w:webHidden/>
          </w:rPr>
          <w:fldChar w:fldCharType="end"/>
        </w:r>
      </w:hyperlink>
    </w:p>
    <w:p w14:paraId="3160DB3F" w14:textId="44210AB3" w:rsidR="001B01D0" w:rsidRDefault="0081649B">
      <w:pPr>
        <w:pStyle w:val="TOC8"/>
        <w:tabs>
          <w:tab w:val="right" w:pos="9062"/>
        </w:tabs>
        <w:rPr>
          <w:rFonts w:asciiTheme="minorHAnsi" w:eastAsiaTheme="minorEastAsia" w:hAnsiTheme="minorHAnsi"/>
          <w:noProof/>
          <w:sz w:val="22"/>
          <w:szCs w:val="22"/>
          <w:lang w:eastAsia="en-AU"/>
        </w:rPr>
      </w:pPr>
      <w:hyperlink w:anchor="_Toc534713878" w:history="1">
        <w:r w:rsidR="001B01D0" w:rsidRPr="00CF2A37">
          <w:rPr>
            <w:rStyle w:val="Hyperlink"/>
            <w:noProof/>
          </w:rPr>
          <w:t>Table 2.6 : Impact of in-kind costs on total teaching and scholarship costs</w:t>
        </w:r>
        <w:r w:rsidR="001B01D0">
          <w:rPr>
            <w:noProof/>
            <w:webHidden/>
          </w:rPr>
          <w:tab/>
        </w:r>
        <w:r w:rsidR="001B01D0">
          <w:rPr>
            <w:noProof/>
            <w:webHidden/>
          </w:rPr>
          <w:fldChar w:fldCharType="begin"/>
        </w:r>
        <w:r w:rsidR="001B01D0">
          <w:rPr>
            <w:noProof/>
            <w:webHidden/>
          </w:rPr>
          <w:instrText xml:space="preserve"> PAGEREF _Toc534713878 \h </w:instrText>
        </w:r>
        <w:r w:rsidR="001B01D0">
          <w:rPr>
            <w:noProof/>
            <w:webHidden/>
          </w:rPr>
        </w:r>
        <w:r w:rsidR="001B01D0">
          <w:rPr>
            <w:noProof/>
            <w:webHidden/>
          </w:rPr>
          <w:fldChar w:fldCharType="separate"/>
        </w:r>
        <w:r w:rsidR="00F47C96">
          <w:rPr>
            <w:noProof/>
            <w:webHidden/>
          </w:rPr>
          <w:t>46</w:t>
        </w:r>
        <w:r w:rsidR="001B01D0">
          <w:rPr>
            <w:noProof/>
            <w:webHidden/>
          </w:rPr>
          <w:fldChar w:fldCharType="end"/>
        </w:r>
      </w:hyperlink>
    </w:p>
    <w:p w14:paraId="6BC7D77A" w14:textId="328F820C" w:rsidR="001B01D0" w:rsidRDefault="0081649B">
      <w:pPr>
        <w:pStyle w:val="TOC8"/>
        <w:tabs>
          <w:tab w:val="right" w:pos="9062"/>
        </w:tabs>
        <w:rPr>
          <w:rFonts w:asciiTheme="minorHAnsi" w:eastAsiaTheme="minorEastAsia" w:hAnsiTheme="minorHAnsi"/>
          <w:noProof/>
          <w:sz w:val="22"/>
          <w:szCs w:val="22"/>
          <w:lang w:eastAsia="en-AU"/>
        </w:rPr>
      </w:pPr>
      <w:hyperlink w:anchor="_Toc534713879" w:history="1">
        <w:r w:rsidR="001B01D0" w:rsidRPr="00CF2A37">
          <w:rPr>
            <w:rStyle w:val="Hyperlink"/>
            <w:noProof/>
          </w:rPr>
          <w:t>Table 2.7 : Impact of additional partnership costs on total teaching and scholarship costs</w:t>
        </w:r>
        <w:r w:rsidR="001B01D0">
          <w:rPr>
            <w:noProof/>
            <w:webHidden/>
          </w:rPr>
          <w:tab/>
        </w:r>
        <w:r w:rsidR="001B01D0">
          <w:rPr>
            <w:noProof/>
            <w:webHidden/>
          </w:rPr>
          <w:fldChar w:fldCharType="begin"/>
        </w:r>
        <w:r w:rsidR="001B01D0">
          <w:rPr>
            <w:noProof/>
            <w:webHidden/>
          </w:rPr>
          <w:instrText xml:space="preserve"> PAGEREF _Toc534713879 \h </w:instrText>
        </w:r>
        <w:r w:rsidR="001B01D0">
          <w:rPr>
            <w:noProof/>
            <w:webHidden/>
          </w:rPr>
        </w:r>
        <w:r w:rsidR="001B01D0">
          <w:rPr>
            <w:noProof/>
            <w:webHidden/>
          </w:rPr>
          <w:fldChar w:fldCharType="separate"/>
        </w:r>
        <w:r w:rsidR="00F47C96">
          <w:rPr>
            <w:noProof/>
            <w:webHidden/>
          </w:rPr>
          <w:t>47</w:t>
        </w:r>
        <w:r w:rsidR="001B01D0">
          <w:rPr>
            <w:noProof/>
            <w:webHidden/>
          </w:rPr>
          <w:fldChar w:fldCharType="end"/>
        </w:r>
      </w:hyperlink>
    </w:p>
    <w:p w14:paraId="6CA24A1F" w14:textId="3FE593DF" w:rsidR="001B01D0" w:rsidRDefault="0081649B">
      <w:pPr>
        <w:pStyle w:val="TOC8"/>
        <w:tabs>
          <w:tab w:val="right" w:pos="9062"/>
        </w:tabs>
        <w:rPr>
          <w:rFonts w:asciiTheme="minorHAnsi" w:eastAsiaTheme="minorEastAsia" w:hAnsiTheme="minorHAnsi"/>
          <w:noProof/>
          <w:sz w:val="22"/>
          <w:szCs w:val="22"/>
          <w:lang w:eastAsia="en-AU"/>
        </w:rPr>
      </w:pPr>
      <w:hyperlink w:anchor="_Toc534713880" w:history="1">
        <w:r w:rsidR="001B01D0" w:rsidRPr="00CF2A37">
          <w:rPr>
            <w:rStyle w:val="Hyperlink"/>
            <w:noProof/>
          </w:rPr>
          <w:t>Table 3.1 : Key limitations of the exercise</w:t>
        </w:r>
        <w:r w:rsidR="001B01D0">
          <w:rPr>
            <w:noProof/>
            <w:webHidden/>
          </w:rPr>
          <w:tab/>
        </w:r>
        <w:r w:rsidR="001B01D0">
          <w:rPr>
            <w:noProof/>
            <w:webHidden/>
          </w:rPr>
          <w:fldChar w:fldCharType="begin"/>
        </w:r>
        <w:r w:rsidR="001B01D0">
          <w:rPr>
            <w:noProof/>
            <w:webHidden/>
          </w:rPr>
          <w:instrText xml:space="preserve"> PAGEREF _Toc534713880 \h </w:instrText>
        </w:r>
        <w:r w:rsidR="001B01D0">
          <w:rPr>
            <w:noProof/>
            <w:webHidden/>
          </w:rPr>
        </w:r>
        <w:r w:rsidR="001B01D0">
          <w:rPr>
            <w:noProof/>
            <w:webHidden/>
          </w:rPr>
          <w:fldChar w:fldCharType="separate"/>
        </w:r>
        <w:r w:rsidR="00F47C96">
          <w:rPr>
            <w:noProof/>
            <w:webHidden/>
          </w:rPr>
          <w:t>52</w:t>
        </w:r>
        <w:r w:rsidR="001B01D0">
          <w:rPr>
            <w:noProof/>
            <w:webHidden/>
          </w:rPr>
          <w:fldChar w:fldCharType="end"/>
        </w:r>
      </w:hyperlink>
    </w:p>
    <w:p w14:paraId="29026932" w14:textId="2F2C183F" w:rsidR="001B01D0" w:rsidRDefault="0081649B">
      <w:pPr>
        <w:pStyle w:val="TOC8"/>
        <w:tabs>
          <w:tab w:val="right" w:pos="9062"/>
        </w:tabs>
        <w:rPr>
          <w:rFonts w:asciiTheme="minorHAnsi" w:eastAsiaTheme="minorEastAsia" w:hAnsiTheme="minorHAnsi"/>
          <w:noProof/>
          <w:sz w:val="22"/>
          <w:szCs w:val="22"/>
          <w:lang w:eastAsia="en-AU"/>
        </w:rPr>
      </w:pPr>
      <w:hyperlink w:anchor="_Toc534713881" w:history="1">
        <w:r w:rsidR="001B01D0" w:rsidRPr="00CF2A37">
          <w:rPr>
            <w:rStyle w:val="Hyperlink"/>
            <w:noProof/>
          </w:rPr>
          <w:t>Table 4.1 : Suggested changes to the Transparent Costing Worksheet based on university feedback</w:t>
        </w:r>
        <w:r w:rsidR="001B01D0">
          <w:rPr>
            <w:noProof/>
            <w:webHidden/>
          </w:rPr>
          <w:tab/>
        </w:r>
        <w:r w:rsidR="001B01D0">
          <w:rPr>
            <w:noProof/>
            <w:webHidden/>
          </w:rPr>
          <w:fldChar w:fldCharType="begin"/>
        </w:r>
        <w:r w:rsidR="001B01D0">
          <w:rPr>
            <w:noProof/>
            <w:webHidden/>
          </w:rPr>
          <w:instrText xml:space="preserve"> PAGEREF _Toc534713881 \h </w:instrText>
        </w:r>
        <w:r w:rsidR="001B01D0">
          <w:rPr>
            <w:noProof/>
            <w:webHidden/>
          </w:rPr>
        </w:r>
        <w:r w:rsidR="001B01D0">
          <w:rPr>
            <w:noProof/>
            <w:webHidden/>
          </w:rPr>
          <w:fldChar w:fldCharType="separate"/>
        </w:r>
        <w:r w:rsidR="00F47C96">
          <w:rPr>
            <w:noProof/>
            <w:webHidden/>
          </w:rPr>
          <w:t>60</w:t>
        </w:r>
        <w:r w:rsidR="001B01D0">
          <w:rPr>
            <w:noProof/>
            <w:webHidden/>
          </w:rPr>
          <w:fldChar w:fldCharType="end"/>
        </w:r>
      </w:hyperlink>
    </w:p>
    <w:p w14:paraId="5C8A6639" w14:textId="4077AC89" w:rsidR="001B01D0" w:rsidRDefault="0081649B">
      <w:pPr>
        <w:pStyle w:val="TOC8"/>
        <w:tabs>
          <w:tab w:val="right" w:pos="9062"/>
        </w:tabs>
        <w:rPr>
          <w:rFonts w:asciiTheme="minorHAnsi" w:eastAsiaTheme="minorEastAsia" w:hAnsiTheme="minorHAnsi"/>
          <w:noProof/>
          <w:sz w:val="22"/>
          <w:szCs w:val="22"/>
          <w:lang w:eastAsia="en-AU"/>
        </w:rPr>
      </w:pPr>
      <w:hyperlink w:anchor="_Toc534713882" w:history="1">
        <w:r w:rsidR="001B01D0" w:rsidRPr="00CF2A37">
          <w:rPr>
            <w:rStyle w:val="Hyperlink"/>
            <w:noProof/>
          </w:rPr>
          <w:t>Table B.1 : Levels of education</w:t>
        </w:r>
        <w:r w:rsidR="001B01D0">
          <w:rPr>
            <w:noProof/>
            <w:webHidden/>
          </w:rPr>
          <w:tab/>
        </w:r>
        <w:r w:rsidR="001B01D0">
          <w:rPr>
            <w:noProof/>
            <w:webHidden/>
          </w:rPr>
          <w:fldChar w:fldCharType="begin"/>
        </w:r>
        <w:r w:rsidR="001B01D0">
          <w:rPr>
            <w:noProof/>
            <w:webHidden/>
          </w:rPr>
          <w:instrText xml:space="preserve"> PAGEREF _Toc534713882 \h </w:instrText>
        </w:r>
        <w:r w:rsidR="001B01D0">
          <w:rPr>
            <w:noProof/>
            <w:webHidden/>
          </w:rPr>
        </w:r>
        <w:r w:rsidR="001B01D0">
          <w:rPr>
            <w:noProof/>
            <w:webHidden/>
          </w:rPr>
          <w:fldChar w:fldCharType="separate"/>
        </w:r>
        <w:r w:rsidR="00F47C96">
          <w:rPr>
            <w:noProof/>
            <w:webHidden/>
          </w:rPr>
          <w:t>69</w:t>
        </w:r>
        <w:r w:rsidR="001B01D0">
          <w:rPr>
            <w:noProof/>
            <w:webHidden/>
          </w:rPr>
          <w:fldChar w:fldCharType="end"/>
        </w:r>
      </w:hyperlink>
    </w:p>
    <w:p w14:paraId="4480885A" w14:textId="36F87735" w:rsidR="001B01D0" w:rsidRDefault="0081649B">
      <w:pPr>
        <w:pStyle w:val="TOC8"/>
        <w:tabs>
          <w:tab w:val="right" w:pos="9062"/>
        </w:tabs>
        <w:rPr>
          <w:rFonts w:asciiTheme="minorHAnsi" w:eastAsiaTheme="minorEastAsia" w:hAnsiTheme="minorHAnsi"/>
          <w:noProof/>
          <w:sz w:val="22"/>
          <w:szCs w:val="22"/>
          <w:lang w:eastAsia="en-AU"/>
        </w:rPr>
      </w:pPr>
      <w:hyperlink w:anchor="_Toc534713883" w:history="1">
        <w:r w:rsidR="001B01D0" w:rsidRPr="00CF2A37">
          <w:rPr>
            <w:rStyle w:val="Hyperlink"/>
            <w:noProof/>
          </w:rPr>
          <w:t>Table B.2 : Fields of education</w:t>
        </w:r>
        <w:r w:rsidR="001B01D0">
          <w:rPr>
            <w:noProof/>
            <w:webHidden/>
          </w:rPr>
          <w:tab/>
        </w:r>
        <w:r w:rsidR="001B01D0">
          <w:rPr>
            <w:noProof/>
            <w:webHidden/>
          </w:rPr>
          <w:fldChar w:fldCharType="begin"/>
        </w:r>
        <w:r w:rsidR="001B01D0">
          <w:rPr>
            <w:noProof/>
            <w:webHidden/>
          </w:rPr>
          <w:instrText xml:space="preserve"> PAGEREF _Toc534713883 \h </w:instrText>
        </w:r>
        <w:r w:rsidR="001B01D0">
          <w:rPr>
            <w:noProof/>
            <w:webHidden/>
          </w:rPr>
        </w:r>
        <w:r w:rsidR="001B01D0">
          <w:rPr>
            <w:noProof/>
            <w:webHidden/>
          </w:rPr>
          <w:fldChar w:fldCharType="separate"/>
        </w:r>
        <w:r w:rsidR="00F47C96">
          <w:rPr>
            <w:noProof/>
            <w:webHidden/>
          </w:rPr>
          <w:t>70</w:t>
        </w:r>
        <w:r w:rsidR="001B01D0">
          <w:rPr>
            <w:noProof/>
            <w:webHidden/>
          </w:rPr>
          <w:fldChar w:fldCharType="end"/>
        </w:r>
      </w:hyperlink>
    </w:p>
    <w:p w14:paraId="2484D29B" w14:textId="77777777" w:rsidR="00F9113D" w:rsidRDefault="00FC6122" w:rsidP="00810613">
      <w:r>
        <w:fldChar w:fldCharType="end"/>
      </w:r>
      <w:bookmarkEnd w:id="4"/>
    </w:p>
    <w:p w14:paraId="16903CA8" w14:textId="77777777" w:rsidR="00F9113D" w:rsidRPr="00672300" w:rsidRDefault="00F9113D" w:rsidP="00672300">
      <w:pPr>
        <w:sectPr w:rsidR="00F9113D" w:rsidRPr="00672300" w:rsidSect="00810613">
          <w:headerReference w:type="default" r:id="rId16"/>
          <w:footerReference w:type="default" r:id="rId17"/>
          <w:pgSz w:w="11906" w:h="16838" w:code="9"/>
          <w:pgMar w:top="1985" w:right="1416" w:bottom="1134" w:left="1418" w:header="680" w:footer="425" w:gutter="0"/>
          <w:pgNumType w:fmt="lowerRoman" w:start="1"/>
          <w:cols w:space="284"/>
          <w:docGrid w:linePitch="360"/>
        </w:sectPr>
      </w:pPr>
    </w:p>
    <w:p w14:paraId="3673C349" w14:textId="77777777" w:rsidR="00717E9F" w:rsidRDefault="00717E9F" w:rsidP="00717E9F">
      <w:pPr>
        <w:pStyle w:val="Heading1"/>
        <w:keepNext w:val="0"/>
        <w:keepLines w:val="0"/>
        <w:numPr>
          <w:ilvl w:val="0"/>
          <w:numId w:val="0"/>
        </w:numPr>
        <w:ind w:left="794" w:hanging="794"/>
        <w:rPr>
          <w:noProof/>
        </w:rPr>
      </w:pPr>
      <w:bookmarkStart w:id="5" w:name="_Toc462313127"/>
      <w:bookmarkStart w:id="6" w:name="_Toc462317836"/>
      <w:bookmarkStart w:id="7" w:name="_Toc462397801"/>
      <w:bookmarkStart w:id="8" w:name="_Toc463002428"/>
      <w:bookmarkStart w:id="9" w:name="_Toc472586340"/>
      <w:bookmarkStart w:id="10" w:name="_Toc482168118"/>
      <w:bookmarkStart w:id="11" w:name="_Toc482174905"/>
      <w:bookmarkStart w:id="12" w:name="_Toc516844698"/>
      <w:bookmarkStart w:id="13" w:name="_Toc529874464"/>
      <w:bookmarkStart w:id="14" w:name="_Toc534713778"/>
      <w:bookmarkStart w:id="15" w:name="_Toc215906318"/>
      <w:bookmarkStart w:id="16" w:name="_Toc227746675"/>
      <w:bookmarkStart w:id="17" w:name="_Toc227746679"/>
      <w:bookmarkStart w:id="18" w:name="_Toc227746683"/>
      <w:bookmarkStart w:id="19" w:name="_Toc227746687"/>
      <w:bookmarkStart w:id="20" w:name="_Toc227748309"/>
      <w:bookmarkStart w:id="21" w:name="_Toc227748327"/>
      <w:bookmarkStart w:id="22" w:name="_Toc227748331"/>
      <w:bookmarkStart w:id="23" w:name="_Toc227748335"/>
      <w:bookmarkStart w:id="24" w:name="_Toc227748374"/>
      <w:bookmarkStart w:id="25" w:name="_Toc227748378"/>
      <w:bookmarkStart w:id="26" w:name="_Toc227748382"/>
      <w:bookmarkStart w:id="27" w:name="_Toc227748494"/>
      <w:bookmarkStart w:id="28" w:name="_Toc227748498"/>
      <w:bookmarkStart w:id="29" w:name="_Toc228005205"/>
      <w:bookmarkStart w:id="30" w:name="_Toc228092496"/>
      <w:bookmarkStart w:id="31" w:name="_Toc228264951"/>
      <w:bookmarkStart w:id="32" w:name="_Toc228264973"/>
      <w:bookmarkStart w:id="33" w:name="_Toc228264977"/>
      <w:bookmarkStart w:id="34" w:name="_Toc228264981"/>
      <w:bookmarkStart w:id="35" w:name="_Toc228264985"/>
      <w:bookmarkStart w:id="36" w:name="_Toc228265215"/>
      <w:bookmarkStart w:id="37" w:name="_Toc288198024"/>
      <w:bookmarkStart w:id="38" w:name="_Toc448829185"/>
      <w:bookmarkStart w:id="39" w:name="_Toc456353381"/>
      <w:bookmarkStart w:id="40" w:name="_Toc462313128"/>
      <w:bookmarkStart w:id="41" w:name="_Toc462317837"/>
      <w:bookmarkStart w:id="42" w:name="_Toc462397802"/>
      <w:bookmarkStart w:id="43" w:name="_Toc463002429"/>
      <w:bookmarkStart w:id="44" w:name="_Toc472586341"/>
      <w:bookmarkStart w:id="45" w:name="_Toc482168119"/>
      <w:bookmarkStart w:id="46" w:name="_Toc482174906"/>
      <w:r w:rsidRPr="00344CAE">
        <w:rPr>
          <w:noProof/>
        </w:rPr>
        <w:lastRenderedPageBreak/>
        <w:t>Glossary</w:t>
      </w:r>
      <w:bookmarkEnd w:id="5"/>
      <w:bookmarkEnd w:id="6"/>
      <w:bookmarkEnd w:id="7"/>
      <w:bookmarkEnd w:id="8"/>
      <w:bookmarkEnd w:id="9"/>
      <w:bookmarkEnd w:id="10"/>
      <w:bookmarkEnd w:id="11"/>
      <w:bookmarkEnd w:id="12"/>
      <w:bookmarkEnd w:id="13"/>
      <w:bookmarkEnd w:id="14"/>
    </w:p>
    <w:p w14:paraId="1217A196" w14:textId="77777777" w:rsidR="00717E9F" w:rsidRDefault="001D312C" w:rsidP="006118C2">
      <w:pPr>
        <w:pStyle w:val="Heading2"/>
        <w:numPr>
          <w:ilvl w:val="0"/>
          <w:numId w:val="0"/>
        </w:numPr>
        <w:spacing w:after="240"/>
      </w:pPr>
      <w:bookmarkStart w:id="47" w:name="_Toc534713779"/>
      <w:r>
        <w:t>Acronyms</w:t>
      </w:r>
      <w:bookmarkEnd w:id="47"/>
    </w:p>
    <w:tbl>
      <w:tblPr>
        <w:tblStyle w:val="Deloittetable"/>
        <w:tblW w:w="9498" w:type="dxa"/>
        <w:tblLayout w:type="fixed"/>
        <w:tblLook w:val="04A0" w:firstRow="1" w:lastRow="0" w:firstColumn="1" w:lastColumn="0" w:noHBand="0" w:noVBand="1"/>
      </w:tblPr>
      <w:tblGrid>
        <w:gridCol w:w="2132"/>
        <w:gridCol w:w="7366"/>
      </w:tblGrid>
      <w:tr w:rsidR="001E5234" w:rsidRPr="004B4D01" w14:paraId="7F6C3300" w14:textId="77777777" w:rsidTr="001E5234">
        <w:trPr>
          <w:cnfStyle w:val="100000000000" w:firstRow="1" w:lastRow="0" w:firstColumn="0" w:lastColumn="0" w:oddVBand="0" w:evenVBand="0" w:oddHBand="0" w:evenHBand="0" w:firstRowFirstColumn="0" w:firstRowLastColumn="0" w:lastRowFirstColumn="0" w:lastRowLastColumn="0"/>
        </w:trPr>
        <w:tc>
          <w:tcPr>
            <w:tcW w:w="2132" w:type="dxa"/>
          </w:tcPr>
          <w:p w14:paraId="2F9EB7B5" w14:textId="77777777" w:rsidR="001E5234" w:rsidRPr="00344CAE" w:rsidRDefault="001E5234">
            <w:pPr>
              <w:pStyle w:val="TabletextLeft"/>
              <w:rPr>
                <w:b/>
                <w:noProof/>
              </w:rPr>
            </w:pPr>
            <w:r w:rsidRPr="00344CAE">
              <w:rPr>
                <w:b/>
                <w:noProof/>
              </w:rPr>
              <w:t>Acronym</w:t>
            </w:r>
          </w:p>
        </w:tc>
        <w:tc>
          <w:tcPr>
            <w:tcW w:w="7366" w:type="dxa"/>
          </w:tcPr>
          <w:p w14:paraId="76FA67C7" w14:textId="77777777" w:rsidR="001E5234" w:rsidRPr="00344CAE" w:rsidRDefault="001E5234" w:rsidP="001E5234">
            <w:pPr>
              <w:pStyle w:val="TabletextLeft"/>
              <w:rPr>
                <w:b/>
                <w:noProof/>
              </w:rPr>
            </w:pPr>
            <w:r w:rsidRPr="00344CAE">
              <w:rPr>
                <w:b/>
                <w:noProof/>
              </w:rPr>
              <w:t>Full name</w:t>
            </w:r>
          </w:p>
        </w:tc>
      </w:tr>
      <w:tr w:rsidR="001E5234" w:rsidRPr="004B4D01" w14:paraId="27901488" w14:textId="77777777" w:rsidTr="001E5234">
        <w:tc>
          <w:tcPr>
            <w:tcW w:w="2132" w:type="dxa"/>
            <w:vAlign w:val="center"/>
          </w:tcPr>
          <w:p w14:paraId="74ED94FC" w14:textId="77777777" w:rsidR="001E5234" w:rsidRPr="00344CAE" w:rsidRDefault="001E5234" w:rsidP="001E5234">
            <w:pPr>
              <w:pStyle w:val="TabletextLeft"/>
              <w:rPr>
                <w:noProof/>
              </w:rPr>
            </w:pPr>
            <w:r w:rsidRPr="00344CAE">
              <w:rPr>
                <w:rFonts w:cs="Arial"/>
                <w:noProof/>
                <w:szCs w:val="22"/>
                <w:lang w:eastAsia="en-AU"/>
              </w:rPr>
              <w:t>ABC</w:t>
            </w:r>
          </w:p>
        </w:tc>
        <w:tc>
          <w:tcPr>
            <w:tcW w:w="7366" w:type="dxa"/>
            <w:vAlign w:val="center"/>
          </w:tcPr>
          <w:p w14:paraId="59798FD7" w14:textId="77777777" w:rsidR="001E5234" w:rsidRPr="00344CAE" w:rsidRDefault="001E5234" w:rsidP="001E5234">
            <w:pPr>
              <w:pStyle w:val="TabletextLeft"/>
              <w:rPr>
                <w:noProof/>
              </w:rPr>
            </w:pPr>
            <w:r w:rsidRPr="00344CAE">
              <w:rPr>
                <w:rFonts w:cs="Arial"/>
                <w:noProof/>
                <w:szCs w:val="22"/>
                <w:lang w:eastAsia="en-AU"/>
              </w:rPr>
              <w:t>Activity Based Costing</w:t>
            </w:r>
          </w:p>
        </w:tc>
      </w:tr>
      <w:tr w:rsidR="001E5234" w:rsidRPr="004B4D01" w14:paraId="39518E81" w14:textId="77777777" w:rsidTr="001E5234">
        <w:tc>
          <w:tcPr>
            <w:tcW w:w="2132" w:type="dxa"/>
            <w:vAlign w:val="center"/>
          </w:tcPr>
          <w:p w14:paraId="5D706EAF" w14:textId="77777777" w:rsidR="001E5234" w:rsidRPr="00503A40" w:rsidRDefault="001E5234" w:rsidP="001E5234">
            <w:pPr>
              <w:pStyle w:val="TabletextLeft"/>
              <w:rPr>
                <w:rFonts w:cs="Arial"/>
                <w:noProof/>
                <w:szCs w:val="22"/>
                <w:lang w:eastAsia="en-AU"/>
              </w:rPr>
            </w:pPr>
            <w:r>
              <w:rPr>
                <w:rFonts w:cs="Arial"/>
                <w:noProof/>
                <w:szCs w:val="22"/>
                <w:lang w:eastAsia="en-AU"/>
              </w:rPr>
              <w:t>ACU</w:t>
            </w:r>
          </w:p>
        </w:tc>
        <w:tc>
          <w:tcPr>
            <w:tcW w:w="7366" w:type="dxa"/>
            <w:vAlign w:val="center"/>
          </w:tcPr>
          <w:p w14:paraId="3D532224" w14:textId="77777777" w:rsidR="001E5234" w:rsidRPr="00503A40" w:rsidRDefault="001E5234" w:rsidP="001E5234">
            <w:pPr>
              <w:pStyle w:val="TabletextLeft"/>
              <w:rPr>
                <w:rFonts w:cs="Arial"/>
                <w:noProof/>
                <w:szCs w:val="22"/>
                <w:lang w:eastAsia="en-AU"/>
              </w:rPr>
            </w:pPr>
            <w:r>
              <w:rPr>
                <w:rFonts w:cs="Arial"/>
                <w:noProof/>
                <w:szCs w:val="22"/>
                <w:lang w:eastAsia="en-AU"/>
              </w:rPr>
              <w:t>Australian Catholic University</w:t>
            </w:r>
          </w:p>
        </w:tc>
      </w:tr>
      <w:tr w:rsidR="001E5234" w:rsidRPr="004B4D01" w14:paraId="777E4401" w14:textId="77777777" w:rsidTr="001E5234">
        <w:tc>
          <w:tcPr>
            <w:tcW w:w="2132" w:type="dxa"/>
            <w:vAlign w:val="center"/>
          </w:tcPr>
          <w:p w14:paraId="08D4B306" w14:textId="77777777" w:rsidR="001E5234" w:rsidRPr="00344CAE" w:rsidRDefault="001E5234" w:rsidP="001E5234">
            <w:pPr>
              <w:pStyle w:val="TabletextLeft"/>
              <w:rPr>
                <w:noProof/>
              </w:rPr>
            </w:pPr>
            <w:r w:rsidRPr="00344CAE">
              <w:rPr>
                <w:rFonts w:cs="Arial"/>
                <w:noProof/>
                <w:szCs w:val="22"/>
                <w:lang w:eastAsia="en-AU"/>
              </w:rPr>
              <w:t>CGS</w:t>
            </w:r>
          </w:p>
        </w:tc>
        <w:tc>
          <w:tcPr>
            <w:tcW w:w="7366" w:type="dxa"/>
            <w:vAlign w:val="center"/>
          </w:tcPr>
          <w:p w14:paraId="62E49D95" w14:textId="77777777" w:rsidR="001E5234" w:rsidRPr="00344CAE" w:rsidRDefault="001E5234" w:rsidP="001E5234">
            <w:pPr>
              <w:pStyle w:val="TabletextLeft"/>
              <w:rPr>
                <w:noProof/>
              </w:rPr>
            </w:pPr>
            <w:r w:rsidRPr="00344CAE">
              <w:rPr>
                <w:rFonts w:cs="Arial"/>
                <w:noProof/>
                <w:szCs w:val="22"/>
                <w:lang w:eastAsia="en-AU"/>
              </w:rPr>
              <w:t>Commonwealth Grant Scheme</w:t>
            </w:r>
          </w:p>
        </w:tc>
      </w:tr>
      <w:tr w:rsidR="001E5234" w:rsidRPr="004B4D01" w14:paraId="72DC91B9" w14:textId="77777777" w:rsidTr="001E5234">
        <w:tc>
          <w:tcPr>
            <w:tcW w:w="2132" w:type="dxa"/>
            <w:vAlign w:val="center"/>
          </w:tcPr>
          <w:p w14:paraId="4203C343" w14:textId="77777777" w:rsidR="001E5234" w:rsidRPr="00344CAE" w:rsidRDefault="001E5234" w:rsidP="001E5234">
            <w:pPr>
              <w:pStyle w:val="TabletextLeft"/>
              <w:rPr>
                <w:noProof/>
              </w:rPr>
            </w:pPr>
            <w:r w:rsidRPr="00344CAE">
              <w:rPr>
                <w:rFonts w:cs="Arial"/>
                <w:noProof/>
                <w:szCs w:val="22"/>
                <w:lang w:eastAsia="en-AU"/>
              </w:rPr>
              <w:t>CSP</w:t>
            </w:r>
          </w:p>
        </w:tc>
        <w:tc>
          <w:tcPr>
            <w:tcW w:w="7366" w:type="dxa"/>
            <w:vAlign w:val="center"/>
          </w:tcPr>
          <w:p w14:paraId="2566C692" w14:textId="77777777" w:rsidR="001E5234" w:rsidRPr="00344CAE" w:rsidRDefault="001E5234" w:rsidP="001E5234">
            <w:pPr>
              <w:pStyle w:val="TabletextLeft"/>
              <w:rPr>
                <w:noProof/>
              </w:rPr>
            </w:pPr>
            <w:r w:rsidRPr="00344CAE">
              <w:rPr>
                <w:rFonts w:cs="Arial"/>
                <w:noProof/>
                <w:szCs w:val="22"/>
                <w:lang w:eastAsia="en-AU"/>
              </w:rPr>
              <w:t>Commonwealth Supported Place</w:t>
            </w:r>
          </w:p>
        </w:tc>
      </w:tr>
      <w:tr w:rsidR="001E5234" w:rsidRPr="004B4D01" w14:paraId="3AC56136" w14:textId="77777777" w:rsidTr="001E5234">
        <w:tc>
          <w:tcPr>
            <w:tcW w:w="2132" w:type="dxa"/>
            <w:vAlign w:val="center"/>
          </w:tcPr>
          <w:p w14:paraId="12CF5960" w14:textId="77777777" w:rsidR="001E5234" w:rsidRPr="00503A40" w:rsidRDefault="001E5234" w:rsidP="001E5234">
            <w:pPr>
              <w:pStyle w:val="TabletextLeft"/>
              <w:rPr>
                <w:rFonts w:cs="Arial"/>
                <w:noProof/>
                <w:szCs w:val="22"/>
                <w:lang w:eastAsia="en-AU"/>
              </w:rPr>
            </w:pPr>
            <w:r>
              <w:rPr>
                <w:rFonts w:cs="Arial"/>
                <w:noProof/>
                <w:szCs w:val="22"/>
                <w:lang w:eastAsia="en-AU"/>
              </w:rPr>
              <w:t>EBITDA</w:t>
            </w:r>
          </w:p>
        </w:tc>
        <w:tc>
          <w:tcPr>
            <w:tcW w:w="7366" w:type="dxa"/>
            <w:vAlign w:val="center"/>
          </w:tcPr>
          <w:p w14:paraId="37A47265" w14:textId="77777777" w:rsidR="001E5234" w:rsidRPr="00503A40" w:rsidRDefault="001E5234" w:rsidP="001E5234">
            <w:pPr>
              <w:pStyle w:val="TabletextLeft"/>
              <w:rPr>
                <w:rFonts w:cs="Arial"/>
                <w:noProof/>
                <w:szCs w:val="22"/>
                <w:lang w:eastAsia="en-AU"/>
              </w:rPr>
            </w:pPr>
            <w:r>
              <w:rPr>
                <w:rFonts w:cs="Arial"/>
                <w:noProof/>
                <w:szCs w:val="22"/>
                <w:lang w:eastAsia="en-AU"/>
              </w:rPr>
              <w:t>Earnings Before Interest, Tax, Depreciation and Amortisation</w:t>
            </w:r>
          </w:p>
        </w:tc>
      </w:tr>
      <w:tr w:rsidR="001E5234" w:rsidRPr="004B4D01" w14:paraId="2C103DDD" w14:textId="77777777" w:rsidTr="001E5234">
        <w:tc>
          <w:tcPr>
            <w:tcW w:w="2132" w:type="dxa"/>
            <w:vAlign w:val="center"/>
          </w:tcPr>
          <w:p w14:paraId="412F2A43" w14:textId="77777777" w:rsidR="001E5234" w:rsidRPr="00344CAE" w:rsidRDefault="001E5234" w:rsidP="001E5234">
            <w:pPr>
              <w:pStyle w:val="TabletextLeft"/>
              <w:rPr>
                <w:noProof/>
              </w:rPr>
            </w:pPr>
            <w:r w:rsidRPr="00344CAE">
              <w:rPr>
                <w:rFonts w:cs="Arial"/>
                <w:noProof/>
                <w:szCs w:val="22"/>
                <w:lang w:eastAsia="en-AU"/>
              </w:rPr>
              <w:t>EFTSL</w:t>
            </w:r>
          </w:p>
        </w:tc>
        <w:tc>
          <w:tcPr>
            <w:tcW w:w="7366" w:type="dxa"/>
            <w:vAlign w:val="center"/>
          </w:tcPr>
          <w:p w14:paraId="4975176B" w14:textId="77777777" w:rsidR="001E5234" w:rsidRPr="00344CAE" w:rsidRDefault="001E5234" w:rsidP="001E5234">
            <w:pPr>
              <w:pStyle w:val="TabletextLeft"/>
              <w:rPr>
                <w:noProof/>
              </w:rPr>
            </w:pPr>
            <w:r w:rsidRPr="00344CAE">
              <w:rPr>
                <w:rFonts w:cs="Arial"/>
                <w:noProof/>
                <w:szCs w:val="22"/>
                <w:lang w:eastAsia="en-AU"/>
              </w:rPr>
              <w:t>Equivalent Full Time Student Load</w:t>
            </w:r>
          </w:p>
        </w:tc>
      </w:tr>
      <w:tr w:rsidR="001E5234" w:rsidRPr="004B4D01" w14:paraId="4E4F408F" w14:textId="77777777" w:rsidTr="001E5234">
        <w:tc>
          <w:tcPr>
            <w:tcW w:w="2132" w:type="dxa"/>
            <w:vAlign w:val="center"/>
          </w:tcPr>
          <w:p w14:paraId="06220089" w14:textId="77777777" w:rsidR="001E5234" w:rsidRPr="00344CAE" w:rsidRDefault="001E5234" w:rsidP="001E5234">
            <w:pPr>
              <w:pStyle w:val="TabletextLeft"/>
              <w:rPr>
                <w:noProof/>
              </w:rPr>
            </w:pPr>
            <w:r w:rsidRPr="00344CAE">
              <w:rPr>
                <w:rFonts w:cs="Arial"/>
                <w:noProof/>
                <w:szCs w:val="22"/>
                <w:lang w:eastAsia="en-AU"/>
              </w:rPr>
              <w:t>FOE</w:t>
            </w:r>
          </w:p>
        </w:tc>
        <w:tc>
          <w:tcPr>
            <w:tcW w:w="7366" w:type="dxa"/>
            <w:vAlign w:val="center"/>
          </w:tcPr>
          <w:p w14:paraId="617B328D" w14:textId="77777777" w:rsidR="001E5234" w:rsidRPr="00344CAE" w:rsidRDefault="001E5234" w:rsidP="001E5234">
            <w:pPr>
              <w:pStyle w:val="TabletextLeft"/>
              <w:rPr>
                <w:noProof/>
              </w:rPr>
            </w:pPr>
            <w:r w:rsidRPr="00344CAE">
              <w:rPr>
                <w:rFonts w:cs="Arial"/>
                <w:noProof/>
                <w:szCs w:val="22"/>
                <w:lang w:eastAsia="en-AU"/>
              </w:rPr>
              <w:t>Field of Education</w:t>
            </w:r>
          </w:p>
        </w:tc>
      </w:tr>
      <w:tr w:rsidR="001E5234" w:rsidRPr="004B4D01" w14:paraId="39446F54" w14:textId="77777777" w:rsidTr="001E5234">
        <w:tc>
          <w:tcPr>
            <w:tcW w:w="2132" w:type="dxa"/>
            <w:vAlign w:val="center"/>
          </w:tcPr>
          <w:p w14:paraId="516C9905" w14:textId="77777777" w:rsidR="001E5234" w:rsidRPr="00344CAE" w:rsidRDefault="001E5234" w:rsidP="001E5234">
            <w:pPr>
              <w:pStyle w:val="TabletextLeft"/>
              <w:rPr>
                <w:noProof/>
              </w:rPr>
            </w:pPr>
            <w:r w:rsidRPr="00344CAE">
              <w:rPr>
                <w:rFonts w:cs="Arial"/>
                <w:noProof/>
                <w:szCs w:val="22"/>
                <w:lang w:eastAsia="en-AU"/>
              </w:rPr>
              <w:t>FTE</w:t>
            </w:r>
          </w:p>
        </w:tc>
        <w:tc>
          <w:tcPr>
            <w:tcW w:w="7366" w:type="dxa"/>
            <w:vAlign w:val="center"/>
          </w:tcPr>
          <w:p w14:paraId="4E37444F" w14:textId="77777777" w:rsidR="001E5234" w:rsidRPr="00344CAE" w:rsidRDefault="001E5234" w:rsidP="001E5234">
            <w:pPr>
              <w:pStyle w:val="TabletextLeft"/>
              <w:rPr>
                <w:noProof/>
              </w:rPr>
            </w:pPr>
            <w:r w:rsidRPr="00344CAE">
              <w:rPr>
                <w:rFonts w:cs="Arial"/>
                <w:noProof/>
                <w:szCs w:val="22"/>
                <w:lang w:eastAsia="en-AU"/>
              </w:rPr>
              <w:t>Full-Time Equivalent</w:t>
            </w:r>
          </w:p>
        </w:tc>
      </w:tr>
      <w:tr w:rsidR="001E5234" w:rsidRPr="004B4D01" w14:paraId="13BA1F7F" w14:textId="77777777" w:rsidTr="001E5234">
        <w:tc>
          <w:tcPr>
            <w:tcW w:w="2132" w:type="dxa"/>
            <w:vAlign w:val="center"/>
          </w:tcPr>
          <w:p w14:paraId="116FC12F" w14:textId="77777777" w:rsidR="001E5234" w:rsidRPr="00344CAE" w:rsidRDefault="001E5234" w:rsidP="001E5234">
            <w:pPr>
              <w:pStyle w:val="TabletextLeft"/>
              <w:rPr>
                <w:noProof/>
              </w:rPr>
            </w:pPr>
            <w:r w:rsidRPr="00344CAE">
              <w:rPr>
                <w:rFonts w:cs="Arial"/>
                <w:noProof/>
                <w:szCs w:val="22"/>
                <w:lang w:eastAsia="en-AU"/>
              </w:rPr>
              <w:t>HDR</w:t>
            </w:r>
          </w:p>
        </w:tc>
        <w:tc>
          <w:tcPr>
            <w:tcW w:w="7366" w:type="dxa"/>
            <w:vAlign w:val="center"/>
          </w:tcPr>
          <w:p w14:paraId="0752EF7C" w14:textId="77777777" w:rsidR="001E5234" w:rsidRPr="00344CAE" w:rsidRDefault="001E5234" w:rsidP="001E5234">
            <w:pPr>
              <w:pStyle w:val="TabletextLeft"/>
              <w:rPr>
                <w:noProof/>
              </w:rPr>
            </w:pPr>
            <w:r w:rsidRPr="00344CAE">
              <w:rPr>
                <w:rFonts w:cs="Arial"/>
                <w:noProof/>
                <w:szCs w:val="22"/>
                <w:lang w:eastAsia="en-AU"/>
              </w:rPr>
              <w:t>Higher Degree Research</w:t>
            </w:r>
          </w:p>
        </w:tc>
      </w:tr>
      <w:tr w:rsidR="001E5234" w:rsidRPr="004B4D01" w14:paraId="448F0FF7" w14:textId="77777777" w:rsidTr="001E5234">
        <w:tc>
          <w:tcPr>
            <w:tcW w:w="2132" w:type="dxa"/>
            <w:vAlign w:val="center"/>
          </w:tcPr>
          <w:p w14:paraId="66570E7F" w14:textId="77777777" w:rsidR="001E5234" w:rsidRPr="00344CAE" w:rsidRDefault="001E5234" w:rsidP="001E5234">
            <w:pPr>
              <w:pStyle w:val="TabletextLeft"/>
              <w:rPr>
                <w:noProof/>
              </w:rPr>
            </w:pPr>
            <w:r w:rsidRPr="00344CAE">
              <w:rPr>
                <w:rFonts w:cs="Arial"/>
                <w:noProof/>
                <w:szCs w:val="22"/>
                <w:lang w:eastAsia="en-AU"/>
              </w:rPr>
              <w:t>IQR</w:t>
            </w:r>
          </w:p>
        </w:tc>
        <w:tc>
          <w:tcPr>
            <w:tcW w:w="7366" w:type="dxa"/>
            <w:vAlign w:val="center"/>
          </w:tcPr>
          <w:p w14:paraId="34D4034A" w14:textId="77777777" w:rsidR="001E5234" w:rsidRPr="00344CAE" w:rsidRDefault="001E5234" w:rsidP="001E5234">
            <w:pPr>
              <w:pStyle w:val="TabletextLeft"/>
              <w:rPr>
                <w:noProof/>
              </w:rPr>
            </w:pPr>
            <w:r w:rsidRPr="00344CAE">
              <w:rPr>
                <w:rFonts w:cs="Arial"/>
                <w:noProof/>
                <w:szCs w:val="22"/>
                <w:lang w:eastAsia="en-AU"/>
              </w:rPr>
              <w:t>Interquartile Range</w:t>
            </w:r>
          </w:p>
        </w:tc>
      </w:tr>
      <w:tr w:rsidR="001E5234" w:rsidRPr="004B4D01" w14:paraId="5F466084" w14:textId="77777777" w:rsidTr="001E5234">
        <w:tc>
          <w:tcPr>
            <w:tcW w:w="2132" w:type="dxa"/>
            <w:vAlign w:val="center"/>
          </w:tcPr>
          <w:p w14:paraId="3F6447A7" w14:textId="77777777" w:rsidR="001E5234" w:rsidRPr="00503A40" w:rsidRDefault="001E5234" w:rsidP="001E5234">
            <w:pPr>
              <w:pStyle w:val="TabletextLeft"/>
              <w:rPr>
                <w:rFonts w:cs="Arial"/>
                <w:noProof/>
                <w:szCs w:val="22"/>
                <w:lang w:eastAsia="en-AU"/>
              </w:rPr>
            </w:pPr>
            <w:r>
              <w:rPr>
                <w:rFonts w:cs="Arial"/>
                <w:noProof/>
                <w:szCs w:val="22"/>
                <w:lang w:eastAsia="en-AU"/>
              </w:rPr>
              <w:t>MSI</w:t>
            </w:r>
          </w:p>
        </w:tc>
        <w:tc>
          <w:tcPr>
            <w:tcW w:w="7366" w:type="dxa"/>
            <w:vAlign w:val="center"/>
          </w:tcPr>
          <w:p w14:paraId="051DB21B" w14:textId="77777777" w:rsidR="001E5234" w:rsidRPr="00503A40" w:rsidRDefault="001E5234" w:rsidP="001E5234">
            <w:pPr>
              <w:pStyle w:val="TabletextLeft"/>
              <w:rPr>
                <w:rFonts w:cs="Arial"/>
                <w:noProof/>
                <w:szCs w:val="22"/>
                <w:lang w:eastAsia="en-AU"/>
              </w:rPr>
            </w:pPr>
            <w:r>
              <w:rPr>
                <w:rFonts w:cs="Arial"/>
                <w:noProof/>
                <w:szCs w:val="22"/>
                <w:lang w:eastAsia="en-AU"/>
              </w:rPr>
              <w:t>Margin for Sustainability and Investment</w:t>
            </w:r>
          </w:p>
        </w:tc>
      </w:tr>
      <w:tr w:rsidR="001E5234" w:rsidRPr="004B4D01" w14:paraId="6618AA4D" w14:textId="77777777" w:rsidTr="001E5234">
        <w:tc>
          <w:tcPr>
            <w:tcW w:w="2132" w:type="dxa"/>
            <w:vAlign w:val="center"/>
          </w:tcPr>
          <w:p w14:paraId="29F19653" w14:textId="77777777" w:rsidR="001E5234" w:rsidRDefault="001E5234" w:rsidP="001E5234">
            <w:pPr>
              <w:pStyle w:val="TabletextLeft"/>
              <w:rPr>
                <w:rFonts w:cs="Arial"/>
                <w:noProof/>
                <w:szCs w:val="22"/>
                <w:lang w:eastAsia="en-AU"/>
              </w:rPr>
            </w:pPr>
            <w:r>
              <w:rPr>
                <w:rFonts w:cs="Arial"/>
                <w:noProof/>
                <w:szCs w:val="22"/>
                <w:lang w:eastAsia="en-AU"/>
              </w:rPr>
              <w:t>SCA</w:t>
            </w:r>
          </w:p>
        </w:tc>
        <w:tc>
          <w:tcPr>
            <w:tcW w:w="7366" w:type="dxa"/>
            <w:vAlign w:val="center"/>
          </w:tcPr>
          <w:p w14:paraId="3420B6FC" w14:textId="77777777" w:rsidR="001E5234" w:rsidRDefault="001E5234" w:rsidP="001E5234">
            <w:pPr>
              <w:pStyle w:val="TabletextLeft"/>
              <w:rPr>
                <w:rFonts w:cs="Arial"/>
                <w:noProof/>
                <w:szCs w:val="22"/>
                <w:lang w:eastAsia="en-AU"/>
              </w:rPr>
            </w:pPr>
            <w:r>
              <w:rPr>
                <w:rFonts w:cs="Arial"/>
                <w:noProof/>
                <w:szCs w:val="22"/>
                <w:lang w:eastAsia="en-AU"/>
              </w:rPr>
              <w:t>Student Contribution Amount</w:t>
            </w:r>
          </w:p>
        </w:tc>
      </w:tr>
      <w:tr w:rsidR="001E5234" w:rsidRPr="004B4D01" w14:paraId="4DAFCE4D" w14:textId="77777777" w:rsidTr="001E5234">
        <w:tc>
          <w:tcPr>
            <w:tcW w:w="2132" w:type="dxa"/>
            <w:vAlign w:val="center"/>
          </w:tcPr>
          <w:p w14:paraId="5B4A341F" w14:textId="77777777" w:rsidR="001E5234" w:rsidRDefault="001E5234" w:rsidP="001E5234">
            <w:pPr>
              <w:pStyle w:val="TabletextLeft"/>
              <w:rPr>
                <w:rFonts w:cs="Arial"/>
                <w:noProof/>
                <w:szCs w:val="22"/>
                <w:lang w:eastAsia="en-AU"/>
              </w:rPr>
            </w:pPr>
            <w:r>
              <w:rPr>
                <w:rFonts w:cs="Arial"/>
                <w:noProof/>
                <w:szCs w:val="22"/>
                <w:lang w:eastAsia="en-AU"/>
              </w:rPr>
              <w:t>TCW</w:t>
            </w:r>
          </w:p>
        </w:tc>
        <w:tc>
          <w:tcPr>
            <w:tcW w:w="7366" w:type="dxa"/>
            <w:vAlign w:val="center"/>
          </w:tcPr>
          <w:p w14:paraId="48BE7588" w14:textId="77777777" w:rsidR="001E5234" w:rsidRDefault="001E5234" w:rsidP="001E5234">
            <w:pPr>
              <w:pStyle w:val="TabletextLeft"/>
              <w:rPr>
                <w:rFonts w:cs="Arial"/>
                <w:noProof/>
                <w:szCs w:val="22"/>
                <w:lang w:eastAsia="en-AU"/>
              </w:rPr>
            </w:pPr>
            <w:r>
              <w:rPr>
                <w:rFonts w:cs="Arial"/>
                <w:noProof/>
                <w:szCs w:val="22"/>
                <w:lang w:eastAsia="en-AU"/>
              </w:rPr>
              <w:t>Transparent Costing Worksheet</w:t>
            </w:r>
          </w:p>
        </w:tc>
      </w:tr>
      <w:tr w:rsidR="001E5234" w:rsidRPr="004B4D01" w14:paraId="5C71A1D9" w14:textId="77777777" w:rsidTr="001E5234">
        <w:tc>
          <w:tcPr>
            <w:tcW w:w="2132" w:type="dxa"/>
            <w:shd w:val="clear" w:color="auto" w:fill="auto"/>
            <w:vAlign w:val="center"/>
          </w:tcPr>
          <w:p w14:paraId="6C8A4F63" w14:textId="77777777" w:rsidR="001E5234" w:rsidRPr="00344CAE" w:rsidRDefault="001E5234" w:rsidP="001E5234">
            <w:pPr>
              <w:pStyle w:val="TabletextLeft"/>
              <w:rPr>
                <w:noProof/>
              </w:rPr>
            </w:pPr>
            <w:r w:rsidRPr="00344CAE">
              <w:rPr>
                <w:rFonts w:cs="Arial"/>
                <w:noProof/>
                <w:szCs w:val="22"/>
                <w:lang w:eastAsia="en-AU"/>
              </w:rPr>
              <w:t>TRAC</w:t>
            </w:r>
          </w:p>
        </w:tc>
        <w:tc>
          <w:tcPr>
            <w:tcW w:w="7366" w:type="dxa"/>
            <w:vAlign w:val="center"/>
          </w:tcPr>
          <w:p w14:paraId="11148CFE" w14:textId="77777777" w:rsidR="001E5234" w:rsidRPr="00AA7E2B" w:rsidRDefault="001E5234" w:rsidP="001E5234">
            <w:pPr>
              <w:pStyle w:val="TabletextLeft"/>
              <w:rPr>
                <w:rFonts w:cs="Arial"/>
                <w:noProof/>
                <w:szCs w:val="22"/>
                <w:lang w:eastAsia="en-AU"/>
              </w:rPr>
            </w:pPr>
            <w:r w:rsidRPr="00344CAE">
              <w:rPr>
                <w:rFonts w:cs="Arial"/>
                <w:noProof/>
                <w:szCs w:val="22"/>
                <w:lang w:eastAsia="en-AU"/>
              </w:rPr>
              <w:t>Transparent Approach to Costing</w:t>
            </w:r>
          </w:p>
        </w:tc>
      </w:tr>
      <w:tr w:rsidR="001E5234" w:rsidRPr="004B4D01" w14:paraId="70CC2006" w14:textId="77777777" w:rsidTr="001E5234">
        <w:tc>
          <w:tcPr>
            <w:tcW w:w="2132" w:type="dxa"/>
            <w:shd w:val="clear" w:color="auto" w:fill="auto"/>
            <w:vAlign w:val="center"/>
          </w:tcPr>
          <w:p w14:paraId="0E5AD6CE" w14:textId="77777777" w:rsidR="001E5234" w:rsidRPr="00503A40" w:rsidRDefault="001E5234" w:rsidP="001E5234">
            <w:pPr>
              <w:pStyle w:val="TabletextLeft"/>
              <w:rPr>
                <w:rFonts w:cs="Arial"/>
                <w:noProof/>
                <w:szCs w:val="22"/>
                <w:lang w:eastAsia="en-AU"/>
              </w:rPr>
            </w:pPr>
            <w:r>
              <w:rPr>
                <w:rFonts w:cs="Arial"/>
                <w:noProof/>
                <w:szCs w:val="22"/>
                <w:lang w:eastAsia="en-AU"/>
              </w:rPr>
              <w:t>UA</w:t>
            </w:r>
          </w:p>
        </w:tc>
        <w:tc>
          <w:tcPr>
            <w:tcW w:w="7366" w:type="dxa"/>
            <w:vAlign w:val="center"/>
          </w:tcPr>
          <w:p w14:paraId="4DEF4F90" w14:textId="77777777" w:rsidR="001E5234" w:rsidRPr="00503A40" w:rsidRDefault="001E5234" w:rsidP="001E5234">
            <w:pPr>
              <w:pStyle w:val="TabletextLeft"/>
              <w:rPr>
                <w:rFonts w:cs="Arial"/>
                <w:noProof/>
                <w:szCs w:val="22"/>
                <w:lang w:eastAsia="en-AU"/>
              </w:rPr>
            </w:pPr>
            <w:r>
              <w:rPr>
                <w:rFonts w:cs="Arial"/>
                <w:noProof/>
                <w:szCs w:val="22"/>
                <w:lang w:eastAsia="en-AU"/>
              </w:rPr>
              <w:t>Universities Australia</w:t>
            </w:r>
          </w:p>
        </w:tc>
      </w:tr>
    </w:tbl>
    <w:p w14:paraId="61F588C7" w14:textId="77777777" w:rsidR="001E5234" w:rsidRDefault="001E5234" w:rsidP="00717E9F">
      <w:pPr>
        <w:rPr>
          <w:noProof/>
        </w:rPr>
      </w:pPr>
    </w:p>
    <w:p w14:paraId="238D2B36" w14:textId="77777777" w:rsidR="001E5234" w:rsidRDefault="001E5234">
      <w:pPr>
        <w:spacing w:after="0"/>
        <w:rPr>
          <w:noProof/>
        </w:rPr>
      </w:pPr>
      <w:r>
        <w:rPr>
          <w:noProof/>
        </w:rPr>
        <w:br w:type="page"/>
      </w:r>
    </w:p>
    <w:p w14:paraId="79BF8630" w14:textId="77777777" w:rsidR="001E5234" w:rsidRDefault="001E5234" w:rsidP="006118C2">
      <w:pPr>
        <w:pStyle w:val="Heading2"/>
        <w:numPr>
          <w:ilvl w:val="0"/>
          <w:numId w:val="0"/>
        </w:numPr>
        <w:spacing w:after="240"/>
      </w:pPr>
      <w:bookmarkStart w:id="48" w:name="_Toc534713780"/>
      <w:r>
        <w:lastRenderedPageBreak/>
        <w:t>Field of education abbreviations</w:t>
      </w:r>
      <w:bookmarkEnd w:id="48"/>
    </w:p>
    <w:tbl>
      <w:tblPr>
        <w:tblStyle w:val="Deloittetable"/>
        <w:tblW w:w="9498" w:type="dxa"/>
        <w:tblLayout w:type="fixed"/>
        <w:tblLook w:val="04A0" w:firstRow="1" w:lastRow="0" w:firstColumn="1" w:lastColumn="0" w:noHBand="0" w:noVBand="1"/>
      </w:tblPr>
      <w:tblGrid>
        <w:gridCol w:w="2132"/>
        <w:gridCol w:w="7366"/>
      </w:tblGrid>
      <w:tr w:rsidR="001E5234" w:rsidRPr="004B4D01" w14:paraId="286169FB" w14:textId="77777777" w:rsidTr="001E5234">
        <w:trPr>
          <w:cnfStyle w:val="100000000000" w:firstRow="1" w:lastRow="0" w:firstColumn="0" w:lastColumn="0" w:oddVBand="0" w:evenVBand="0" w:oddHBand="0" w:evenHBand="0" w:firstRowFirstColumn="0" w:firstRowLastColumn="0" w:lastRowFirstColumn="0" w:lastRowLastColumn="0"/>
        </w:trPr>
        <w:tc>
          <w:tcPr>
            <w:tcW w:w="2132" w:type="dxa"/>
          </w:tcPr>
          <w:p w14:paraId="438BDBE5" w14:textId="77777777" w:rsidR="001E5234" w:rsidRPr="00344CAE" w:rsidRDefault="001E5234" w:rsidP="001E5234">
            <w:pPr>
              <w:pStyle w:val="TabletextLeft"/>
              <w:rPr>
                <w:b/>
                <w:noProof/>
              </w:rPr>
            </w:pPr>
            <w:r>
              <w:rPr>
                <w:b/>
                <w:noProof/>
              </w:rPr>
              <w:t>Abbreviation</w:t>
            </w:r>
          </w:p>
        </w:tc>
        <w:tc>
          <w:tcPr>
            <w:tcW w:w="7366" w:type="dxa"/>
          </w:tcPr>
          <w:p w14:paraId="677FAECA" w14:textId="77777777" w:rsidR="001E5234" w:rsidRPr="00344CAE" w:rsidRDefault="001E5234" w:rsidP="001E5234">
            <w:pPr>
              <w:pStyle w:val="TabletextLeft"/>
              <w:rPr>
                <w:b/>
                <w:noProof/>
              </w:rPr>
            </w:pPr>
            <w:r w:rsidRPr="00344CAE">
              <w:rPr>
                <w:b/>
                <w:noProof/>
              </w:rPr>
              <w:t>Full name</w:t>
            </w:r>
          </w:p>
        </w:tc>
      </w:tr>
      <w:tr w:rsidR="001E5234" w:rsidRPr="004B4D01" w14:paraId="263635E2" w14:textId="77777777" w:rsidTr="006118C2">
        <w:tc>
          <w:tcPr>
            <w:tcW w:w="2132" w:type="dxa"/>
            <w:tcBorders>
              <w:top w:val="nil"/>
              <w:left w:val="nil"/>
              <w:bottom w:val="single" w:sz="4" w:space="0" w:color="auto"/>
              <w:right w:val="nil"/>
            </w:tcBorders>
            <w:shd w:val="clear" w:color="auto" w:fill="auto"/>
            <w:vAlign w:val="bottom"/>
          </w:tcPr>
          <w:p w14:paraId="3C2B798E" w14:textId="77777777" w:rsidR="001E5234" w:rsidRPr="006118C2" w:rsidRDefault="001E5234" w:rsidP="00EC63FF">
            <w:pPr>
              <w:pStyle w:val="TabletextLeft"/>
              <w:rPr>
                <w:rFonts w:cs="Arial"/>
                <w:noProof/>
                <w:szCs w:val="22"/>
                <w:lang w:eastAsia="en-AU"/>
              </w:rPr>
            </w:pPr>
            <w:r w:rsidRPr="006118C2">
              <w:rPr>
                <w:rFonts w:cs="Arial"/>
                <w:noProof/>
                <w:szCs w:val="22"/>
                <w:lang w:eastAsia="en-AU"/>
              </w:rPr>
              <w:t>MathSci</w:t>
            </w:r>
          </w:p>
        </w:tc>
        <w:tc>
          <w:tcPr>
            <w:tcW w:w="7366" w:type="dxa"/>
            <w:tcBorders>
              <w:bottom w:val="single" w:sz="4" w:space="0" w:color="auto"/>
            </w:tcBorders>
          </w:tcPr>
          <w:p w14:paraId="6AE31F57" w14:textId="77777777" w:rsidR="001E5234" w:rsidRPr="006118C2" w:rsidRDefault="001E5234">
            <w:pPr>
              <w:pStyle w:val="TabletextLeft"/>
              <w:rPr>
                <w:rFonts w:cs="Arial"/>
                <w:noProof/>
                <w:szCs w:val="22"/>
                <w:lang w:eastAsia="en-AU"/>
              </w:rPr>
            </w:pPr>
            <w:r>
              <w:rPr>
                <w:rFonts w:cs="Arial"/>
                <w:noProof/>
                <w:szCs w:val="22"/>
                <w:lang w:eastAsia="en-AU"/>
              </w:rPr>
              <w:t>Mathematical Sciences</w:t>
            </w:r>
          </w:p>
        </w:tc>
      </w:tr>
      <w:tr w:rsidR="001E5234" w:rsidRPr="004B4D01" w14:paraId="00E9FF7E" w14:textId="77777777" w:rsidTr="006118C2">
        <w:tc>
          <w:tcPr>
            <w:tcW w:w="2132" w:type="dxa"/>
            <w:tcBorders>
              <w:top w:val="single" w:sz="4" w:space="0" w:color="auto"/>
              <w:left w:val="nil"/>
              <w:bottom w:val="single" w:sz="4" w:space="0" w:color="auto"/>
              <w:right w:val="nil"/>
            </w:tcBorders>
            <w:shd w:val="clear" w:color="auto" w:fill="auto"/>
            <w:vAlign w:val="bottom"/>
          </w:tcPr>
          <w:p w14:paraId="08BDDA86"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MedicalSci</w:t>
            </w:r>
          </w:p>
        </w:tc>
        <w:tc>
          <w:tcPr>
            <w:tcW w:w="7366" w:type="dxa"/>
            <w:tcBorders>
              <w:top w:val="single" w:sz="4" w:space="0" w:color="auto"/>
              <w:bottom w:val="single" w:sz="4" w:space="0" w:color="auto"/>
            </w:tcBorders>
          </w:tcPr>
          <w:p w14:paraId="7674FBBA" w14:textId="77777777" w:rsidR="001E5234" w:rsidRPr="00503A40" w:rsidRDefault="001E5234" w:rsidP="001E5234">
            <w:pPr>
              <w:pStyle w:val="TabletextLeft"/>
              <w:rPr>
                <w:rFonts w:cs="Arial"/>
                <w:noProof/>
                <w:szCs w:val="22"/>
                <w:lang w:eastAsia="en-AU"/>
              </w:rPr>
            </w:pPr>
            <w:r>
              <w:rPr>
                <w:rFonts w:cs="Arial"/>
                <w:noProof/>
                <w:szCs w:val="22"/>
                <w:lang w:eastAsia="en-AU"/>
              </w:rPr>
              <w:t>Medical Science</w:t>
            </w:r>
          </w:p>
        </w:tc>
      </w:tr>
      <w:tr w:rsidR="001E5234" w:rsidRPr="004B4D01" w14:paraId="78F2C17E" w14:textId="77777777" w:rsidTr="006118C2">
        <w:tc>
          <w:tcPr>
            <w:tcW w:w="2132" w:type="dxa"/>
            <w:tcBorders>
              <w:top w:val="single" w:sz="4" w:space="0" w:color="auto"/>
              <w:left w:val="nil"/>
              <w:bottom w:val="single" w:sz="4" w:space="0" w:color="auto"/>
              <w:right w:val="nil"/>
            </w:tcBorders>
            <w:shd w:val="clear" w:color="auto" w:fill="auto"/>
            <w:vAlign w:val="bottom"/>
          </w:tcPr>
          <w:p w14:paraId="2BFB2E0F"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OthNat-PhysSci</w:t>
            </w:r>
          </w:p>
        </w:tc>
        <w:tc>
          <w:tcPr>
            <w:tcW w:w="7366" w:type="dxa"/>
            <w:tcBorders>
              <w:top w:val="single" w:sz="4" w:space="0" w:color="auto"/>
              <w:bottom w:val="single" w:sz="4" w:space="0" w:color="auto"/>
            </w:tcBorders>
          </w:tcPr>
          <w:p w14:paraId="5E22D283" w14:textId="77777777" w:rsidR="001E5234" w:rsidRPr="006118C2" w:rsidRDefault="001E5234" w:rsidP="001E5234">
            <w:pPr>
              <w:pStyle w:val="TabletextLeft"/>
              <w:rPr>
                <w:rFonts w:cs="Arial"/>
                <w:noProof/>
                <w:szCs w:val="22"/>
                <w:lang w:eastAsia="en-AU"/>
              </w:rPr>
            </w:pPr>
            <w:r>
              <w:rPr>
                <w:rFonts w:cs="Arial"/>
                <w:noProof/>
                <w:szCs w:val="22"/>
                <w:lang w:eastAsia="en-AU"/>
              </w:rPr>
              <w:t>Other Natural and Physical Sciences</w:t>
            </w:r>
          </w:p>
        </w:tc>
      </w:tr>
      <w:tr w:rsidR="001E5234" w:rsidRPr="004B4D01" w14:paraId="08CFC90D" w14:textId="77777777" w:rsidTr="006118C2">
        <w:tc>
          <w:tcPr>
            <w:tcW w:w="2132" w:type="dxa"/>
            <w:tcBorders>
              <w:top w:val="single" w:sz="4" w:space="0" w:color="auto"/>
              <w:left w:val="nil"/>
              <w:bottom w:val="single" w:sz="4" w:space="0" w:color="auto"/>
              <w:right w:val="nil"/>
            </w:tcBorders>
            <w:shd w:val="clear" w:color="auto" w:fill="auto"/>
            <w:vAlign w:val="bottom"/>
          </w:tcPr>
          <w:p w14:paraId="13F5F576"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InfoTech</w:t>
            </w:r>
          </w:p>
        </w:tc>
        <w:tc>
          <w:tcPr>
            <w:tcW w:w="7366" w:type="dxa"/>
            <w:tcBorders>
              <w:top w:val="single" w:sz="4" w:space="0" w:color="auto"/>
              <w:bottom w:val="single" w:sz="4" w:space="0" w:color="auto"/>
            </w:tcBorders>
          </w:tcPr>
          <w:p w14:paraId="5DD67EEA" w14:textId="77777777" w:rsidR="001E5234" w:rsidRPr="006118C2" w:rsidRDefault="001E5234" w:rsidP="001E5234">
            <w:pPr>
              <w:pStyle w:val="TabletextLeft"/>
              <w:rPr>
                <w:rFonts w:cs="Arial"/>
                <w:noProof/>
                <w:szCs w:val="22"/>
                <w:lang w:eastAsia="en-AU"/>
              </w:rPr>
            </w:pPr>
            <w:r>
              <w:rPr>
                <w:rFonts w:cs="Arial"/>
                <w:noProof/>
                <w:szCs w:val="22"/>
                <w:lang w:eastAsia="en-AU"/>
              </w:rPr>
              <w:t>Information Technology</w:t>
            </w:r>
          </w:p>
        </w:tc>
      </w:tr>
      <w:tr w:rsidR="001E5234" w:rsidRPr="004B4D01" w14:paraId="5C896955" w14:textId="77777777" w:rsidTr="006118C2">
        <w:tc>
          <w:tcPr>
            <w:tcW w:w="2132" w:type="dxa"/>
            <w:tcBorders>
              <w:top w:val="single" w:sz="4" w:space="0" w:color="auto"/>
              <w:left w:val="nil"/>
              <w:bottom w:val="single" w:sz="4" w:space="0" w:color="auto"/>
              <w:right w:val="nil"/>
            </w:tcBorders>
            <w:shd w:val="clear" w:color="auto" w:fill="auto"/>
            <w:vAlign w:val="bottom"/>
          </w:tcPr>
          <w:p w14:paraId="2660BCBC"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Eng&amp;Related</w:t>
            </w:r>
          </w:p>
        </w:tc>
        <w:tc>
          <w:tcPr>
            <w:tcW w:w="7366" w:type="dxa"/>
            <w:tcBorders>
              <w:top w:val="single" w:sz="4" w:space="0" w:color="auto"/>
            </w:tcBorders>
          </w:tcPr>
          <w:p w14:paraId="683536EF" w14:textId="77777777" w:rsidR="001E5234" w:rsidRPr="00503A40" w:rsidRDefault="001E5234" w:rsidP="001E5234">
            <w:pPr>
              <w:pStyle w:val="TabletextLeft"/>
              <w:rPr>
                <w:rFonts w:cs="Arial"/>
                <w:noProof/>
                <w:szCs w:val="22"/>
                <w:lang w:eastAsia="en-AU"/>
              </w:rPr>
            </w:pPr>
            <w:r>
              <w:rPr>
                <w:rFonts w:cs="Arial"/>
                <w:noProof/>
                <w:szCs w:val="22"/>
                <w:lang w:eastAsia="en-AU"/>
              </w:rPr>
              <w:t>Engineering and Related Technologies</w:t>
            </w:r>
          </w:p>
        </w:tc>
      </w:tr>
      <w:tr w:rsidR="001E5234" w:rsidRPr="004B4D01" w14:paraId="5FB70F53" w14:textId="77777777" w:rsidTr="006118C2">
        <w:tc>
          <w:tcPr>
            <w:tcW w:w="2132" w:type="dxa"/>
            <w:tcBorders>
              <w:top w:val="single" w:sz="4" w:space="0" w:color="auto"/>
              <w:left w:val="nil"/>
              <w:bottom w:val="single" w:sz="4" w:space="0" w:color="auto"/>
              <w:right w:val="nil"/>
            </w:tcBorders>
            <w:shd w:val="clear" w:color="auto" w:fill="auto"/>
            <w:vAlign w:val="bottom"/>
          </w:tcPr>
          <w:p w14:paraId="1E9ABB0C"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Archi&amp;Build</w:t>
            </w:r>
          </w:p>
        </w:tc>
        <w:tc>
          <w:tcPr>
            <w:tcW w:w="7366" w:type="dxa"/>
            <w:tcBorders>
              <w:bottom w:val="single" w:sz="4" w:space="0" w:color="auto"/>
            </w:tcBorders>
          </w:tcPr>
          <w:p w14:paraId="310674AE" w14:textId="77777777" w:rsidR="001E5234" w:rsidRPr="006118C2" w:rsidRDefault="001E5234" w:rsidP="001E5234">
            <w:pPr>
              <w:pStyle w:val="TabletextLeft"/>
              <w:rPr>
                <w:rFonts w:cs="Arial"/>
                <w:noProof/>
                <w:szCs w:val="22"/>
                <w:lang w:eastAsia="en-AU"/>
              </w:rPr>
            </w:pPr>
            <w:r>
              <w:rPr>
                <w:rFonts w:cs="Arial"/>
                <w:noProof/>
                <w:szCs w:val="22"/>
                <w:lang w:eastAsia="en-AU"/>
              </w:rPr>
              <w:t>Architecutre and Building</w:t>
            </w:r>
          </w:p>
        </w:tc>
      </w:tr>
      <w:tr w:rsidR="001E5234" w:rsidRPr="004B4D01" w14:paraId="17EE8431" w14:textId="77777777" w:rsidTr="006118C2">
        <w:tc>
          <w:tcPr>
            <w:tcW w:w="2132" w:type="dxa"/>
            <w:tcBorders>
              <w:top w:val="single" w:sz="4" w:space="0" w:color="auto"/>
              <w:left w:val="nil"/>
              <w:bottom w:val="single" w:sz="4" w:space="0" w:color="auto"/>
              <w:right w:val="nil"/>
            </w:tcBorders>
            <w:shd w:val="clear" w:color="auto" w:fill="auto"/>
            <w:vAlign w:val="bottom"/>
          </w:tcPr>
          <w:p w14:paraId="0CD3D45F" w14:textId="77777777" w:rsidR="001E5234" w:rsidRPr="006118C2" w:rsidRDefault="001E5234" w:rsidP="001E5234">
            <w:pPr>
              <w:pStyle w:val="TabletextLeft"/>
              <w:rPr>
                <w:rFonts w:cs="Arial"/>
                <w:noProof/>
                <w:szCs w:val="22"/>
                <w:lang w:eastAsia="en-AU"/>
              </w:rPr>
            </w:pPr>
            <w:r>
              <w:rPr>
                <w:rFonts w:cs="Arial"/>
                <w:noProof/>
                <w:szCs w:val="22"/>
                <w:lang w:eastAsia="en-AU"/>
              </w:rPr>
              <w:t>Environment</w:t>
            </w:r>
          </w:p>
        </w:tc>
        <w:tc>
          <w:tcPr>
            <w:tcW w:w="7366" w:type="dxa"/>
            <w:tcBorders>
              <w:top w:val="single" w:sz="4" w:space="0" w:color="auto"/>
              <w:bottom w:val="single" w:sz="4" w:space="0" w:color="auto"/>
            </w:tcBorders>
          </w:tcPr>
          <w:p w14:paraId="35870599" w14:textId="77777777" w:rsidR="001E5234" w:rsidRPr="006118C2" w:rsidRDefault="001E5234" w:rsidP="001E5234">
            <w:pPr>
              <w:pStyle w:val="TabletextLeft"/>
              <w:rPr>
                <w:rFonts w:cs="Arial"/>
                <w:noProof/>
                <w:szCs w:val="22"/>
                <w:lang w:eastAsia="en-AU"/>
              </w:rPr>
            </w:pPr>
            <w:r>
              <w:rPr>
                <w:rFonts w:cs="Arial"/>
                <w:noProof/>
                <w:szCs w:val="22"/>
                <w:lang w:eastAsia="en-AU"/>
              </w:rPr>
              <w:t>Environmental Studies</w:t>
            </w:r>
          </w:p>
        </w:tc>
      </w:tr>
      <w:tr w:rsidR="001E5234" w:rsidRPr="004B4D01" w14:paraId="6B71FEF6" w14:textId="77777777" w:rsidTr="006118C2">
        <w:tc>
          <w:tcPr>
            <w:tcW w:w="2132" w:type="dxa"/>
            <w:tcBorders>
              <w:top w:val="single" w:sz="4" w:space="0" w:color="auto"/>
              <w:left w:val="nil"/>
              <w:bottom w:val="single" w:sz="4" w:space="0" w:color="auto"/>
              <w:right w:val="nil"/>
            </w:tcBorders>
            <w:shd w:val="clear" w:color="auto" w:fill="auto"/>
            <w:vAlign w:val="bottom"/>
          </w:tcPr>
          <w:p w14:paraId="34521BD3" w14:textId="77777777" w:rsidR="001E5234" w:rsidRPr="006118C2" w:rsidRDefault="001E5234" w:rsidP="001E5234">
            <w:pPr>
              <w:pStyle w:val="TabletextLeft"/>
              <w:rPr>
                <w:rFonts w:cs="Arial"/>
                <w:noProof/>
                <w:szCs w:val="22"/>
                <w:lang w:eastAsia="en-AU"/>
              </w:rPr>
            </w:pPr>
            <w:r w:rsidRPr="00EC63FF">
              <w:rPr>
                <w:rFonts w:cs="Arial"/>
                <w:noProof/>
                <w:szCs w:val="22"/>
                <w:lang w:eastAsia="en-AU"/>
              </w:rPr>
              <w:t>OthAg</w:t>
            </w:r>
            <w:r w:rsidRPr="006118C2">
              <w:rPr>
                <w:rFonts w:cs="Arial"/>
                <w:noProof/>
                <w:szCs w:val="22"/>
                <w:lang w:eastAsia="en-AU"/>
              </w:rPr>
              <w:t>&amp;Enviro</w:t>
            </w:r>
          </w:p>
        </w:tc>
        <w:tc>
          <w:tcPr>
            <w:tcW w:w="7366" w:type="dxa"/>
            <w:tcBorders>
              <w:top w:val="single" w:sz="4" w:space="0" w:color="auto"/>
              <w:bottom w:val="single" w:sz="4" w:space="0" w:color="auto"/>
            </w:tcBorders>
          </w:tcPr>
          <w:p w14:paraId="4D024731" w14:textId="77777777" w:rsidR="001E5234" w:rsidRPr="006118C2" w:rsidRDefault="001E5234" w:rsidP="001E5234">
            <w:pPr>
              <w:pStyle w:val="TabletextLeft"/>
              <w:rPr>
                <w:rFonts w:cs="Arial"/>
                <w:noProof/>
                <w:szCs w:val="22"/>
                <w:lang w:eastAsia="en-AU"/>
              </w:rPr>
            </w:pPr>
            <w:r>
              <w:rPr>
                <w:rFonts w:cs="Arial"/>
                <w:noProof/>
                <w:szCs w:val="22"/>
                <w:lang w:eastAsia="en-AU"/>
              </w:rPr>
              <w:t>Other Agriculture, Environmental and Related Studies</w:t>
            </w:r>
          </w:p>
        </w:tc>
      </w:tr>
      <w:tr w:rsidR="001E5234" w:rsidRPr="004B4D01" w14:paraId="4E33E0F6" w14:textId="77777777" w:rsidTr="006118C2">
        <w:tc>
          <w:tcPr>
            <w:tcW w:w="2132" w:type="dxa"/>
            <w:tcBorders>
              <w:top w:val="single" w:sz="4" w:space="0" w:color="auto"/>
              <w:left w:val="nil"/>
              <w:bottom w:val="single" w:sz="4" w:space="0" w:color="auto"/>
              <w:right w:val="nil"/>
            </w:tcBorders>
            <w:shd w:val="clear" w:color="auto" w:fill="auto"/>
            <w:vAlign w:val="bottom"/>
          </w:tcPr>
          <w:p w14:paraId="0F4F0D3F"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MedicalStudies</w:t>
            </w:r>
          </w:p>
        </w:tc>
        <w:tc>
          <w:tcPr>
            <w:tcW w:w="7366" w:type="dxa"/>
            <w:tcBorders>
              <w:top w:val="single" w:sz="4" w:space="0" w:color="auto"/>
              <w:bottom w:val="single" w:sz="4" w:space="0" w:color="auto"/>
            </w:tcBorders>
          </w:tcPr>
          <w:p w14:paraId="66BBD053" w14:textId="77777777" w:rsidR="001E5234" w:rsidRPr="006118C2" w:rsidRDefault="001E5234" w:rsidP="001E5234">
            <w:pPr>
              <w:pStyle w:val="TabletextLeft"/>
              <w:rPr>
                <w:rFonts w:cs="Arial"/>
                <w:noProof/>
                <w:szCs w:val="22"/>
                <w:lang w:eastAsia="en-AU"/>
              </w:rPr>
            </w:pPr>
            <w:r>
              <w:rPr>
                <w:rFonts w:cs="Arial"/>
                <w:noProof/>
                <w:szCs w:val="22"/>
                <w:lang w:eastAsia="en-AU"/>
              </w:rPr>
              <w:t>Medical Studies</w:t>
            </w:r>
          </w:p>
        </w:tc>
      </w:tr>
      <w:tr w:rsidR="001E5234" w:rsidRPr="004B4D01" w14:paraId="2692106C" w14:textId="77777777" w:rsidTr="006118C2">
        <w:tc>
          <w:tcPr>
            <w:tcW w:w="2132" w:type="dxa"/>
            <w:tcBorders>
              <w:top w:val="single" w:sz="4" w:space="0" w:color="auto"/>
              <w:left w:val="nil"/>
              <w:bottom w:val="single" w:sz="4" w:space="0" w:color="auto"/>
              <w:right w:val="nil"/>
            </w:tcBorders>
            <w:shd w:val="clear" w:color="auto" w:fill="auto"/>
            <w:vAlign w:val="bottom"/>
          </w:tcPr>
          <w:p w14:paraId="374A0AEB"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Nursing</w:t>
            </w:r>
          </w:p>
        </w:tc>
        <w:tc>
          <w:tcPr>
            <w:tcW w:w="7366" w:type="dxa"/>
            <w:tcBorders>
              <w:top w:val="single" w:sz="4" w:space="0" w:color="auto"/>
              <w:bottom w:val="single" w:sz="4" w:space="0" w:color="auto"/>
            </w:tcBorders>
          </w:tcPr>
          <w:p w14:paraId="2E91B323" w14:textId="77777777" w:rsidR="001E5234" w:rsidRPr="006118C2" w:rsidRDefault="001E5234" w:rsidP="001E5234">
            <w:pPr>
              <w:pStyle w:val="TabletextLeft"/>
              <w:rPr>
                <w:rFonts w:cs="Arial"/>
                <w:noProof/>
                <w:szCs w:val="22"/>
                <w:lang w:eastAsia="en-AU"/>
              </w:rPr>
            </w:pPr>
            <w:r>
              <w:rPr>
                <w:rFonts w:cs="Arial"/>
                <w:noProof/>
                <w:szCs w:val="22"/>
                <w:lang w:eastAsia="en-AU"/>
              </w:rPr>
              <w:t>Nursing</w:t>
            </w:r>
          </w:p>
        </w:tc>
      </w:tr>
      <w:tr w:rsidR="001E5234" w:rsidRPr="004B4D01" w14:paraId="4F81806A" w14:textId="77777777" w:rsidTr="006118C2">
        <w:tc>
          <w:tcPr>
            <w:tcW w:w="2132" w:type="dxa"/>
            <w:tcBorders>
              <w:top w:val="single" w:sz="4" w:space="0" w:color="auto"/>
              <w:left w:val="nil"/>
              <w:bottom w:val="single" w:sz="4" w:space="0" w:color="auto"/>
              <w:right w:val="nil"/>
            </w:tcBorders>
            <w:shd w:val="clear" w:color="auto" w:fill="auto"/>
            <w:vAlign w:val="bottom"/>
          </w:tcPr>
          <w:p w14:paraId="4C8CB662"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Dental</w:t>
            </w:r>
          </w:p>
        </w:tc>
        <w:tc>
          <w:tcPr>
            <w:tcW w:w="7366" w:type="dxa"/>
            <w:tcBorders>
              <w:top w:val="single" w:sz="4" w:space="0" w:color="auto"/>
              <w:bottom w:val="single" w:sz="4" w:space="0" w:color="auto"/>
            </w:tcBorders>
          </w:tcPr>
          <w:p w14:paraId="4D3D9B74" w14:textId="77777777" w:rsidR="001E5234" w:rsidRPr="00503A40" w:rsidRDefault="001E5234" w:rsidP="001E5234">
            <w:pPr>
              <w:pStyle w:val="TabletextLeft"/>
              <w:rPr>
                <w:rFonts w:cs="Arial"/>
                <w:noProof/>
                <w:szCs w:val="22"/>
                <w:lang w:eastAsia="en-AU"/>
              </w:rPr>
            </w:pPr>
            <w:r>
              <w:rPr>
                <w:rFonts w:cs="Arial"/>
                <w:noProof/>
                <w:szCs w:val="22"/>
                <w:lang w:eastAsia="en-AU"/>
              </w:rPr>
              <w:t>Dental Studies</w:t>
            </w:r>
          </w:p>
        </w:tc>
      </w:tr>
      <w:tr w:rsidR="001E5234" w:rsidRPr="004B4D01" w14:paraId="1821DDEA" w14:textId="77777777" w:rsidTr="006118C2">
        <w:tc>
          <w:tcPr>
            <w:tcW w:w="2132" w:type="dxa"/>
            <w:tcBorders>
              <w:top w:val="single" w:sz="4" w:space="0" w:color="auto"/>
              <w:left w:val="nil"/>
              <w:bottom w:val="single" w:sz="4" w:space="0" w:color="auto"/>
              <w:right w:val="nil"/>
            </w:tcBorders>
            <w:shd w:val="clear" w:color="auto" w:fill="auto"/>
            <w:vAlign w:val="bottom"/>
          </w:tcPr>
          <w:p w14:paraId="36284317" w14:textId="77777777" w:rsidR="001E5234" w:rsidRDefault="001E5234" w:rsidP="001E5234">
            <w:pPr>
              <w:pStyle w:val="TabletextLeft"/>
              <w:rPr>
                <w:rFonts w:cs="Arial"/>
                <w:noProof/>
                <w:szCs w:val="22"/>
                <w:lang w:eastAsia="en-AU"/>
              </w:rPr>
            </w:pPr>
            <w:r w:rsidRPr="006118C2">
              <w:rPr>
                <w:rFonts w:cs="Arial"/>
                <w:noProof/>
                <w:szCs w:val="22"/>
                <w:lang w:eastAsia="en-AU"/>
              </w:rPr>
              <w:t>Veterinary</w:t>
            </w:r>
          </w:p>
        </w:tc>
        <w:tc>
          <w:tcPr>
            <w:tcW w:w="7366" w:type="dxa"/>
            <w:tcBorders>
              <w:top w:val="single" w:sz="4" w:space="0" w:color="auto"/>
              <w:bottom w:val="single" w:sz="4" w:space="0" w:color="auto"/>
            </w:tcBorders>
          </w:tcPr>
          <w:p w14:paraId="41A2A85D" w14:textId="77777777" w:rsidR="001E5234" w:rsidRDefault="001E5234" w:rsidP="001E5234">
            <w:pPr>
              <w:pStyle w:val="TabletextLeft"/>
              <w:rPr>
                <w:rFonts w:cs="Arial"/>
                <w:noProof/>
                <w:szCs w:val="22"/>
                <w:lang w:eastAsia="en-AU"/>
              </w:rPr>
            </w:pPr>
            <w:r>
              <w:rPr>
                <w:rFonts w:cs="Arial"/>
                <w:noProof/>
                <w:szCs w:val="22"/>
                <w:lang w:eastAsia="en-AU"/>
              </w:rPr>
              <w:t>Veterinary Studies</w:t>
            </w:r>
          </w:p>
        </w:tc>
      </w:tr>
      <w:tr w:rsidR="001E5234" w:rsidRPr="004B4D01" w14:paraId="1E5EB4FB" w14:textId="77777777" w:rsidTr="006118C2">
        <w:tc>
          <w:tcPr>
            <w:tcW w:w="2132" w:type="dxa"/>
            <w:tcBorders>
              <w:top w:val="single" w:sz="4" w:space="0" w:color="auto"/>
              <w:left w:val="nil"/>
              <w:bottom w:val="single" w:sz="4" w:space="0" w:color="auto"/>
              <w:right w:val="nil"/>
            </w:tcBorders>
            <w:shd w:val="clear" w:color="auto" w:fill="auto"/>
            <w:vAlign w:val="bottom"/>
          </w:tcPr>
          <w:p w14:paraId="664B2396" w14:textId="77777777" w:rsidR="001E5234" w:rsidRDefault="001E5234" w:rsidP="001E5234">
            <w:pPr>
              <w:pStyle w:val="TabletextLeft"/>
              <w:rPr>
                <w:rFonts w:cs="Arial"/>
                <w:noProof/>
                <w:szCs w:val="22"/>
                <w:lang w:eastAsia="en-AU"/>
              </w:rPr>
            </w:pPr>
            <w:r w:rsidRPr="006118C2">
              <w:rPr>
                <w:rFonts w:cs="Arial"/>
                <w:noProof/>
                <w:szCs w:val="22"/>
                <w:lang w:eastAsia="en-AU"/>
              </w:rPr>
              <w:t>OthHealth</w:t>
            </w:r>
          </w:p>
        </w:tc>
        <w:tc>
          <w:tcPr>
            <w:tcW w:w="7366" w:type="dxa"/>
            <w:tcBorders>
              <w:top w:val="single" w:sz="4" w:space="0" w:color="auto"/>
              <w:bottom w:val="single" w:sz="4" w:space="0" w:color="auto"/>
            </w:tcBorders>
          </w:tcPr>
          <w:p w14:paraId="6BA11991" w14:textId="77777777" w:rsidR="001E5234" w:rsidRDefault="001E5234" w:rsidP="001E5234">
            <w:pPr>
              <w:pStyle w:val="TabletextLeft"/>
              <w:rPr>
                <w:rFonts w:cs="Arial"/>
                <w:noProof/>
                <w:szCs w:val="22"/>
                <w:lang w:eastAsia="en-AU"/>
              </w:rPr>
            </w:pPr>
            <w:r>
              <w:rPr>
                <w:rFonts w:cs="Arial"/>
                <w:noProof/>
                <w:szCs w:val="22"/>
                <w:lang w:eastAsia="en-AU"/>
              </w:rPr>
              <w:t>Other Health</w:t>
            </w:r>
          </w:p>
        </w:tc>
      </w:tr>
      <w:tr w:rsidR="001E5234" w:rsidRPr="004B4D01" w14:paraId="42DD9A34" w14:textId="77777777" w:rsidTr="006118C2">
        <w:tc>
          <w:tcPr>
            <w:tcW w:w="2132" w:type="dxa"/>
            <w:tcBorders>
              <w:top w:val="single" w:sz="4" w:space="0" w:color="auto"/>
              <w:left w:val="nil"/>
              <w:bottom w:val="single" w:sz="4" w:space="0" w:color="auto"/>
              <w:right w:val="nil"/>
            </w:tcBorders>
            <w:shd w:val="clear" w:color="auto" w:fill="auto"/>
            <w:vAlign w:val="bottom"/>
          </w:tcPr>
          <w:p w14:paraId="3251CAD7"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Education</w:t>
            </w:r>
          </w:p>
        </w:tc>
        <w:tc>
          <w:tcPr>
            <w:tcW w:w="7366" w:type="dxa"/>
            <w:tcBorders>
              <w:top w:val="single" w:sz="4" w:space="0" w:color="auto"/>
              <w:bottom w:val="single" w:sz="4" w:space="0" w:color="auto"/>
            </w:tcBorders>
          </w:tcPr>
          <w:p w14:paraId="06DF62CA" w14:textId="77777777" w:rsidR="001E5234" w:rsidRPr="00AA7E2B" w:rsidRDefault="001E5234" w:rsidP="001E5234">
            <w:pPr>
              <w:pStyle w:val="TabletextLeft"/>
              <w:rPr>
                <w:rFonts w:cs="Arial"/>
                <w:noProof/>
                <w:szCs w:val="22"/>
                <w:lang w:eastAsia="en-AU"/>
              </w:rPr>
            </w:pPr>
            <w:r>
              <w:rPr>
                <w:rFonts w:cs="Arial"/>
                <w:noProof/>
                <w:szCs w:val="22"/>
                <w:lang w:eastAsia="en-AU"/>
              </w:rPr>
              <w:t>Education</w:t>
            </w:r>
          </w:p>
        </w:tc>
      </w:tr>
      <w:tr w:rsidR="001E5234" w:rsidRPr="004B4D01" w14:paraId="5DC7ADC4" w14:textId="77777777" w:rsidTr="006118C2">
        <w:tc>
          <w:tcPr>
            <w:tcW w:w="2132" w:type="dxa"/>
            <w:tcBorders>
              <w:top w:val="single" w:sz="4" w:space="0" w:color="auto"/>
              <w:left w:val="nil"/>
              <w:bottom w:val="single" w:sz="4" w:space="0" w:color="auto"/>
              <w:right w:val="nil"/>
            </w:tcBorders>
            <w:shd w:val="clear" w:color="auto" w:fill="auto"/>
            <w:vAlign w:val="bottom"/>
          </w:tcPr>
          <w:p w14:paraId="4A7186EB"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Mgmt&amp;Comm</w:t>
            </w:r>
          </w:p>
        </w:tc>
        <w:tc>
          <w:tcPr>
            <w:tcW w:w="7366" w:type="dxa"/>
            <w:tcBorders>
              <w:top w:val="single" w:sz="4" w:space="0" w:color="auto"/>
              <w:bottom w:val="single" w:sz="4" w:space="0" w:color="auto"/>
            </w:tcBorders>
          </w:tcPr>
          <w:p w14:paraId="0051D0E6" w14:textId="77777777" w:rsidR="001E5234" w:rsidRPr="00503A40" w:rsidRDefault="001E5234" w:rsidP="001E5234">
            <w:pPr>
              <w:pStyle w:val="TabletextLeft"/>
              <w:rPr>
                <w:rFonts w:cs="Arial"/>
                <w:noProof/>
                <w:szCs w:val="22"/>
                <w:lang w:eastAsia="en-AU"/>
              </w:rPr>
            </w:pPr>
            <w:r>
              <w:rPr>
                <w:rFonts w:cs="Arial"/>
                <w:noProof/>
                <w:szCs w:val="22"/>
                <w:lang w:eastAsia="en-AU"/>
              </w:rPr>
              <w:t>Management and Commerce</w:t>
            </w:r>
          </w:p>
        </w:tc>
      </w:tr>
      <w:tr w:rsidR="001E5234" w:rsidRPr="004B4D01" w14:paraId="772E9608" w14:textId="77777777" w:rsidTr="006118C2">
        <w:tc>
          <w:tcPr>
            <w:tcW w:w="2132" w:type="dxa"/>
            <w:tcBorders>
              <w:top w:val="single" w:sz="4" w:space="0" w:color="auto"/>
              <w:left w:val="nil"/>
              <w:bottom w:val="single" w:sz="4" w:space="0" w:color="auto"/>
              <w:right w:val="nil"/>
            </w:tcBorders>
            <w:shd w:val="clear" w:color="auto" w:fill="auto"/>
            <w:vAlign w:val="bottom"/>
          </w:tcPr>
          <w:p w14:paraId="50622A78"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ForeignLang</w:t>
            </w:r>
          </w:p>
        </w:tc>
        <w:tc>
          <w:tcPr>
            <w:tcW w:w="7366" w:type="dxa"/>
            <w:tcBorders>
              <w:top w:val="single" w:sz="4" w:space="0" w:color="auto"/>
              <w:bottom w:val="single" w:sz="4" w:space="0" w:color="auto"/>
            </w:tcBorders>
          </w:tcPr>
          <w:p w14:paraId="610425E4" w14:textId="77777777" w:rsidR="001E5234" w:rsidRPr="00503A40" w:rsidRDefault="001E5234" w:rsidP="001E5234">
            <w:pPr>
              <w:pStyle w:val="TabletextLeft"/>
              <w:rPr>
                <w:rFonts w:cs="Arial"/>
                <w:noProof/>
                <w:szCs w:val="22"/>
                <w:lang w:eastAsia="en-AU"/>
              </w:rPr>
            </w:pPr>
            <w:r>
              <w:rPr>
                <w:rFonts w:cs="Arial"/>
                <w:noProof/>
                <w:szCs w:val="22"/>
                <w:lang w:eastAsia="en-AU"/>
              </w:rPr>
              <w:t>Foreign Languages and Translating</w:t>
            </w:r>
          </w:p>
        </w:tc>
      </w:tr>
      <w:tr w:rsidR="001E5234" w:rsidRPr="004B4D01" w14:paraId="06C13748" w14:textId="77777777" w:rsidTr="006118C2">
        <w:tc>
          <w:tcPr>
            <w:tcW w:w="2132" w:type="dxa"/>
            <w:tcBorders>
              <w:top w:val="single" w:sz="4" w:space="0" w:color="auto"/>
              <w:left w:val="nil"/>
              <w:bottom w:val="single" w:sz="4" w:space="0" w:color="auto"/>
              <w:right w:val="nil"/>
            </w:tcBorders>
            <w:shd w:val="clear" w:color="auto" w:fill="auto"/>
            <w:vAlign w:val="bottom"/>
          </w:tcPr>
          <w:p w14:paraId="513EBAEC"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Psych</w:t>
            </w:r>
          </w:p>
        </w:tc>
        <w:tc>
          <w:tcPr>
            <w:tcW w:w="7366" w:type="dxa"/>
            <w:tcBorders>
              <w:top w:val="single" w:sz="4" w:space="0" w:color="auto"/>
              <w:bottom w:val="single" w:sz="4" w:space="0" w:color="auto"/>
            </w:tcBorders>
          </w:tcPr>
          <w:p w14:paraId="6E95E00D" w14:textId="77777777" w:rsidR="001E5234" w:rsidRPr="00503A40" w:rsidRDefault="001E5234" w:rsidP="001E5234">
            <w:pPr>
              <w:pStyle w:val="TabletextLeft"/>
              <w:rPr>
                <w:rFonts w:cs="Arial"/>
                <w:noProof/>
                <w:szCs w:val="22"/>
                <w:lang w:eastAsia="en-AU"/>
              </w:rPr>
            </w:pPr>
            <w:r>
              <w:rPr>
                <w:rFonts w:cs="Arial"/>
                <w:noProof/>
                <w:szCs w:val="22"/>
                <w:lang w:eastAsia="en-AU"/>
              </w:rPr>
              <w:t>Psychology</w:t>
            </w:r>
          </w:p>
        </w:tc>
      </w:tr>
      <w:tr w:rsidR="001E5234" w:rsidRPr="004B4D01" w14:paraId="11A13B31" w14:textId="77777777" w:rsidTr="006118C2">
        <w:tc>
          <w:tcPr>
            <w:tcW w:w="2132" w:type="dxa"/>
            <w:tcBorders>
              <w:top w:val="single" w:sz="4" w:space="0" w:color="auto"/>
              <w:left w:val="nil"/>
              <w:bottom w:val="single" w:sz="4" w:space="0" w:color="auto"/>
              <w:right w:val="nil"/>
            </w:tcBorders>
            <w:shd w:val="clear" w:color="auto" w:fill="auto"/>
            <w:vAlign w:val="bottom"/>
          </w:tcPr>
          <w:p w14:paraId="3D726FA4"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OtherSoc&amp;Cult</w:t>
            </w:r>
          </w:p>
        </w:tc>
        <w:tc>
          <w:tcPr>
            <w:tcW w:w="7366" w:type="dxa"/>
            <w:tcBorders>
              <w:top w:val="single" w:sz="4" w:space="0" w:color="auto"/>
              <w:bottom w:val="single" w:sz="4" w:space="0" w:color="auto"/>
            </w:tcBorders>
          </w:tcPr>
          <w:p w14:paraId="6A31C00A" w14:textId="77777777" w:rsidR="001E5234" w:rsidRPr="00503A40" w:rsidRDefault="001E5234" w:rsidP="001E5234">
            <w:pPr>
              <w:pStyle w:val="TabletextLeft"/>
              <w:rPr>
                <w:rFonts w:cs="Arial"/>
                <w:noProof/>
                <w:szCs w:val="22"/>
                <w:lang w:eastAsia="en-AU"/>
              </w:rPr>
            </w:pPr>
            <w:r>
              <w:rPr>
                <w:rFonts w:cs="Arial"/>
                <w:noProof/>
                <w:szCs w:val="22"/>
                <w:lang w:eastAsia="en-AU"/>
              </w:rPr>
              <w:t>Other Society and Culture</w:t>
            </w:r>
          </w:p>
        </w:tc>
      </w:tr>
      <w:tr w:rsidR="001E5234" w:rsidRPr="004B4D01" w14:paraId="01193E4A" w14:textId="77777777" w:rsidTr="006118C2">
        <w:tc>
          <w:tcPr>
            <w:tcW w:w="2132" w:type="dxa"/>
            <w:tcBorders>
              <w:top w:val="single" w:sz="4" w:space="0" w:color="auto"/>
              <w:left w:val="nil"/>
              <w:bottom w:val="single" w:sz="4" w:space="0" w:color="auto"/>
              <w:right w:val="nil"/>
            </w:tcBorders>
            <w:shd w:val="clear" w:color="auto" w:fill="auto"/>
            <w:vAlign w:val="bottom"/>
          </w:tcPr>
          <w:p w14:paraId="71688E6E"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Comms&amp;Media</w:t>
            </w:r>
          </w:p>
        </w:tc>
        <w:tc>
          <w:tcPr>
            <w:tcW w:w="7366" w:type="dxa"/>
            <w:tcBorders>
              <w:top w:val="single" w:sz="4" w:space="0" w:color="auto"/>
              <w:bottom w:val="single" w:sz="4" w:space="0" w:color="auto"/>
            </w:tcBorders>
          </w:tcPr>
          <w:p w14:paraId="532D04AD" w14:textId="77777777" w:rsidR="001E5234" w:rsidRPr="00503A40" w:rsidRDefault="001E5234" w:rsidP="001E5234">
            <w:pPr>
              <w:pStyle w:val="TabletextLeft"/>
              <w:rPr>
                <w:rFonts w:cs="Arial"/>
                <w:noProof/>
                <w:szCs w:val="22"/>
                <w:lang w:eastAsia="en-AU"/>
              </w:rPr>
            </w:pPr>
            <w:r>
              <w:rPr>
                <w:rFonts w:cs="Arial"/>
                <w:noProof/>
                <w:szCs w:val="22"/>
                <w:lang w:eastAsia="en-AU"/>
              </w:rPr>
              <w:t>Communiation and Media Studies</w:t>
            </w:r>
          </w:p>
        </w:tc>
      </w:tr>
      <w:tr w:rsidR="001E5234" w:rsidRPr="004B4D01" w14:paraId="4EE3F63C" w14:textId="77777777" w:rsidTr="006118C2">
        <w:tc>
          <w:tcPr>
            <w:tcW w:w="2132" w:type="dxa"/>
            <w:tcBorders>
              <w:top w:val="single" w:sz="4" w:space="0" w:color="auto"/>
              <w:left w:val="nil"/>
              <w:bottom w:val="single" w:sz="4" w:space="0" w:color="auto"/>
              <w:right w:val="nil"/>
            </w:tcBorders>
            <w:shd w:val="clear" w:color="auto" w:fill="auto"/>
            <w:vAlign w:val="bottom"/>
          </w:tcPr>
          <w:p w14:paraId="40773D67" w14:textId="77777777" w:rsidR="001E5234" w:rsidRPr="00503A40" w:rsidRDefault="001E5234" w:rsidP="001E5234">
            <w:pPr>
              <w:pStyle w:val="TabletextLeft"/>
              <w:rPr>
                <w:rFonts w:cs="Arial"/>
                <w:noProof/>
                <w:szCs w:val="22"/>
                <w:lang w:eastAsia="en-AU"/>
              </w:rPr>
            </w:pPr>
            <w:r w:rsidRPr="006118C2">
              <w:rPr>
                <w:rFonts w:cs="Arial"/>
                <w:noProof/>
                <w:szCs w:val="22"/>
                <w:lang w:eastAsia="en-AU"/>
              </w:rPr>
              <w:t>OthCreative</w:t>
            </w:r>
          </w:p>
        </w:tc>
        <w:tc>
          <w:tcPr>
            <w:tcW w:w="7366" w:type="dxa"/>
            <w:tcBorders>
              <w:top w:val="single" w:sz="4" w:space="0" w:color="auto"/>
              <w:bottom w:val="single" w:sz="4" w:space="0" w:color="auto"/>
            </w:tcBorders>
          </w:tcPr>
          <w:p w14:paraId="397B6BD1" w14:textId="77777777" w:rsidR="001E5234" w:rsidRPr="00503A40" w:rsidRDefault="001E5234" w:rsidP="001E5234">
            <w:pPr>
              <w:pStyle w:val="TabletextLeft"/>
              <w:rPr>
                <w:rFonts w:cs="Arial"/>
                <w:noProof/>
                <w:szCs w:val="22"/>
                <w:lang w:eastAsia="en-AU"/>
              </w:rPr>
            </w:pPr>
            <w:r>
              <w:rPr>
                <w:rFonts w:cs="Arial"/>
                <w:noProof/>
                <w:szCs w:val="22"/>
                <w:lang w:eastAsia="en-AU"/>
              </w:rPr>
              <w:t>Other Creative Arts</w:t>
            </w:r>
          </w:p>
        </w:tc>
      </w:tr>
      <w:tr w:rsidR="001E5234" w:rsidRPr="004B4D01" w14:paraId="10E8B9E0" w14:textId="77777777" w:rsidTr="00790472">
        <w:tc>
          <w:tcPr>
            <w:tcW w:w="2132" w:type="dxa"/>
            <w:tcBorders>
              <w:top w:val="single" w:sz="4" w:space="0" w:color="auto"/>
              <w:left w:val="nil"/>
              <w:bottom w:val="single" w:sz="4" w:space="0" w:color="auto"/>
              <w:right w:val="nil"/>
            </w:tcBorders>
            <w:shd w:val="clear" w:color="auto" w:fill="auto"/>
            <w:vAlign w:val="bottom"/>
          </w:tcPr>
          <w:p w14:paraId="1A6A3650"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FoodHosp&amp;Person</w:t>
            </w:r>
          </w:p>
        </w:tc>
        <w:tc>
          <w:tcPr>
            <w:tcW w:w="7366" w:type="dxa"/>
            <w:tcBorders>
              <w:top w:val="single" w:sz="4" w:space="0" w:color="auto"/>
              <w:bottom w:val="single" w:sz="4" w:space="0" w:color="auto"/>
            </w:tcBorders>
          </w:tcPr>
          <w:p w14:paraId="77B25EB8" w14:textId="77777777" w:rsidR="001E5234" w:rsidRPr="00503A40" w:rsidRDefault="001E5234" w:rsidP="001E5234">
            <w:pPr>
              <w:pStyle w:val="TabletextLeft"/>
              <w:rPr>
                <w:rFonts w:cs="Arial"/>
                <w:noProof/>
                <w:szCs w:val="22"/>
                <w:lang w:eastAsia="en-AU"/>
              </w:rPr>
            </w:pPr>
            <w:r>
              <w:rPr>
                <w:rFonts w:cs="Arial"/>
                <w:noProof/>
                <w:szCs w:val="22"/>
                <w:lang w:eastAsia="en-AU"/>
              </w:rPr>
              <w:t>Food, Hospitality and Personal Services</w:t>
            </w:r>
          </w:p>
        </w:tc>
      </w:tr>
      <w:tr w:rsidR="001E5234" w:rsidRPr="004B4D01" w14:paraId="11027ED9" w14:textId="77777777" w:rsidTr="00790472">
        <w:tc>
          <w:tcPr>
            <w:tcW w:w="2132" w:type="dxa"/>
            <w:tcBorders>
              <w:top w:val="single" w:sz="4" w:space="0" w:color="auto"/>
              <w:left w:val="nil"/>
              <w:bottom w:val="single" w:sz="4" w:space="0" w:color="auto"/>
              <w:right w:val="nil"/>
            </w:tcBorders>
            <w:shd w:val="clear" w:color="auto" w:fill="auto"/>
            <w:vAlign w:val="bottom"/>
          </w:tcPr>
          <w:p w14:paraId="4B2F71C2" w14:textId="77777777" w:rsidR="001E5234" w:rsidRPr="006118C2" w:rsidRDefault="001E5234" w:rsidP="001E5234">
            <w:pPr>
              <w:pStyle w:val="TabletextLeft"/>
              <w:rPr>
                <w:rFonts w:cs="Arial"/>
                <w:noProof/>
                <w:szCs w:val="22"/>
                <w:lang w:eastAsia="en-AU"/>
              </w:rPr>
            </w:pPr>
            <w:r w:rsidRPr="006118C2">
              <w:rPr>
                <w:rFonts w:cs="Arial"/>
                <w:noProof/>
                <w:szCs w:val="22"/>
                <w:lang w:eastAsia="en-AU"/>
              </w:rPr>
              <w:t>MixedField</w:t>
            </w:r>
          </w:p>
        </w:tc>
        <w:tc>
          <w:tcPr>
            <w:tcW w:w="7366" w:type="dxa"/>
            <w:tcBorders>
              <w:top w:val="single" w:sz="4" w:space="0" w:color="auto"/>
              <w:bottom w:val="single" w:sz="4" w:space="0" w:color="auto"/>
            </w:tcBorders>
          </w:tcPr>
          <w:p w14:paraId="762BFFD5" w14:textId="77777777" w:rsidR="001E5234" w:rsidRPr="00503A40" w:rsidRDefault="001E5234" w:rsidP="001E5234">
            <w:pPr>
              <w:pStyle w:val="TabletextLeft"/>
              <w:rPr>
                <w:rFonts w:cs="Arial"/>
                <w:noProof/>
                <w:szCs w:val="22"/>
                <w:lang w:eastAsia="en-AU"/>
              </w:rPr>
            </w:pPr>
            <w:r>
              <w:rPr>
                <w:rFonts w:cs="Arial"/>
                <w:noProof/>
                <w:szCs w:val="22"/>
                <w:lang w:eastAsia="en-AU"/>
              </w:rPr>
              <w:t>Mixed Field Programmes</w:t>
            </w:r>
          </w:p>
        </w:tc>
      </w:tr>
    </w:tbl>
    <w:p w14:paraId="27C91709" w14:textId="77777777" w:rsidR="00F9113D" w:rsidRPr="001060BA" w:rsidRDefault="00F9113D" w:rsidP="0012388F">
      <w:pPr>
        <w:pStyle w:val="ExecutiveHeading"/>
      </w:pPr>
      <w:bookmarkStart w:id="49" w:name="_Toc534713781"/>
      <w:r w:rsidRPr="001060BA">
        <w:lastRenderedPageBreak/>
        <w:t>Executive summary</w:t>
      </w:r>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9"/>
    </w:p>
    <w:p w14:paraId="688583B1" w14:textId="77777777" w:rsidR="00537973" w:rsidRPr="0043034A" w:rsidRDefault="00537973" w:rsidP="00537973">
      <w:pPr>
        <w:rPr>
          <w:rFonts w:asciiTheme="minorHAnsi" w:hAnsiTheme="minorHAnsi"/>
        </w:rPr>
      </w:pPr>
      <w:bookmarkStart w:id="50" w:name="_Toc529454503"/>
      <w:bookmarkStart w:id="51" w:name="_Toc529454595"/>
      <w:bookmarkStart w:id="52" w:name="_Toc529460007"/>
      <w:bookmarkStart w:id="53" w:name="_Toc529454519"/>
      <w:bookmarkStart w:id="54" w:name="_Toc529454611"/>
      <w:bookmarkStart w:id="55" w:name="_Toc529460023"/>
      <w:bookmarkStart w:id="56" w:name="_Toc529454520"/>
      <w:bookmarkStart w:id="57" w:name="_Toc529454612"/>
      <w:bookmarkStart w:id="58" w:name="_Toc529460024"/>
      <w:bookmarkStart w:id="59" w:name="_Toc529454521"/>
      <w:bookmarkStart w:id="60" w:name="_Toc529454613"/>
      <w:bookmarkStart w:id="61" w:name="_Toc529460025"/>
      <w:bookmarkStart w:id="62" w:name="_Toc529454522"/>
      <w:bookmarkStart w:id="63" w:name="_Toc529454614"/>
      <w:bookmarkStart w:id="64" w:name="_Toc529460026"/>
      <w:bookmarkStart w:id="65" w:name="_Toc529454523"/>
      <w:bookmarkStart w:id="66" w:name="_Toc529454615"/>
      <w:bookmarkStart w:id="67" w:name="_Toc529460027"/>
      <w:bookmarkStart w:id="68" w:name="_Toc529546311"/>
      <w:bookmarkStart w:id="69" w:name="_Toc529546959"/>
      <w:bookmarkStart w:id="70" w:name="_Toc529454443"/>
      <w:bookmarkStart w:id="71" w:name="_Toc529454535"/>
      <w:bookmarkStart w:id="72" w:name="_Toc529459940"/>
      <w:bookmarkStart w:id="73" w:name="_Toc529546312"/>
      <w:bookmarkStart w:id="74" w:name="_Toc529546960"/>
      <w:bookmarkStart w:id="75" w:name="_Toc529454444"/>
      <w:bookmarkStart w:id="76" w:name="_Toc529454536"/>
      <w:bookmarkStart w:id="77" w:name="_Toc529459941"/>
      <w:bookmarkStart w:id="78" w:name="_Toc529546313"/>
      <w:bookmarkStart w:id="79" w:name="_Toc529546961"/>
      <w:bookmarkStart w:id="80" w:name="_Toc529454445"/>
      <w:bookmarkStart w:id="81" w:name="_Toc529454537"/>
      <w:bookmarkStart w:id="82" w:name="_Toc529459942"/>
      <w:bookmarkStart w:id="83" w:name="_Toc529546314"/>
      <w:bookmarkStart w:id="84" w:name="_Toc529546962"/>
      <w:bookmarkStart w:id="85" w:name="_Toc46231783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r>
        <w:t xml:space="preserve">Universities are complex institutions with a range of missions and environments. The </w:t>
      </w:r>
      <w:r w:rsidRPr="00ED2C1B">
        <w:rPr>
          <w:i/>
        </w:rPr>
        <w:t>Higher Education Support Act 2003</w:t>
      </w:r>
      <w:r>
        <w:t xml:space="preserve"> creates the legislative framework for government support for higher education </w:t>
      </w:r>
      <w:r w:rsidRPr="00D53381">
        <w:rPr>
          <w:rFonts w:asciiTheme="minorHAnsi" w:hAnsiTheme="minorHAnsi"/>
        </w:rPr>
        <w:t>in order to support the “distin</w:t>
      </w:r>
      <w:r w:rsidRPr="0043034A">
        <w:rPr>
          <w:rFonts w:asciiTheme="minorHAnsi" w:hAnsiTheme="minorHAnsi"/>
        </w:rPr>
        <w:t>ctive purpose of universities, which are:</w:t>
      </w:r>
    </w:p>
    <w:p w14:paraId="651A0BD1" w14:textId="77777777" w:rsidR="00537973" w:rsidRPr="00D53381" w:rsidRDefault="00537973" w:rsidP="00537973">
      <w:pPr>
        <w:pStyle w:val="ListParagraph"/>
        <w:numPr>
          <w:ilvl w:val="0"/>
          <w:numId w:val="60"/>
        </w:numPr>
        <w:rPr>
          <w:rFonts w:asciiTheme="minorHAnsi" w:hAnsiTheme="minorHAnsi" w:cs="Segoe UI"/>
          <w:color w:val="000000"/>
        </w:rPr>
      </w:pPr>
      <w:r w:rsidRPr="00D53381">
        <w:rPr>
          <w:rFonts w:asciiTheme="minorHAnsi" w:hAnsiTheme="minorHAnsi" w:cs="Segoe UI"/>
          <w:color w:val="000000"/>
        </w:rPr>
        <w:t xml:space="preserve">the education of persons, enabling them to take a leadership role in the intellectual, cultural, economic and social development of their communities; and </w:t>
      </w:r>
    </w:p>
    <w:p w14:paraId="33444E0F" w14:textId="77777777" w:rsidR="00537973" w:rsidRDefault="00537973" w:rsidP="00537973">
      <w:pPr>
        <w:pStyle w:val="ListParagraph"/>
        <w:numPr>
          <w:ilvl w:val="0"/>
          <w:numId w:val="60"/>
        </w:numPr>
        <w:rPr>
          <w:rFonts w:asciiTheme="minorHAnsi" w:hAnsiTheme="minorHAnsi" w:cs="Segoe UI"/>
          <w:color w:val="000000"/>
        </w:rPr>
      </w:pPr>
      <w:r w:rsidRPr="00D53381">
        <w:rPr>
          <w:rFonts w:asciiTheme="minorHAnsi" w:hAnsiTheme="minorHAnsi" w:cs="Segoe UI"/>
          <w:color w:val="000000"/>
        </w:rPr>
        <w:t xml:space="preserve">the creation and advancement of knowledge; and </w:t>
      </w:r>
    </w:p>
    <w:p w14:paraId="5E7355F6" w14:textId="77777777" w:rsidR="00537973" w:rsidRPr="00D53381" w:rsidRDefault="00537973" w:rsidP="00537973">
      <w:pPr>
        <w:pStyle w:val="ListParagraph"/>
        <w:numPr>
          <w:ilvl w:val="0"/>
          <w:numId w:val="60"/>
        </w:numPr>
        <w:rPr>
          <w:rFonts w:asciiTheme="minorHAnsi" w:hAnsiTheme="minorHAnsi" w:cs="Segoe UI"/>
          <w:color w:val="000000"/>
        </w:rPr>
      </w:pPr>
      <w:proofErr w:type="gramStart"/>
      <w:r w:rsidRPr="00D53381">
        <w:rPr>
          <w:rFonts w:asciiTheme="minorHAnsi" w:hAnsiTheme="minorHAnsi" w:cs="Segoe UI"/>
          <w:color w:val="000000"/>
        </w:rPr>
        <w:t>the</w:t>
      </w:r>
      <w:proofErr w:type="gramEnd"/>
      <w:r w:rsidRPr="00D53381">
        <w:rPr>
          <w:rFonts w:asciiTheme="minorHAnsi" w:hAnsiTheme="minorHAnsi" w:cs="Segoe UI"/>
          <w:color w:val="000000"/>
        </w:rPr>
        <w:t xml:space="preserve"> application of knowledge and discoveries to the betterment of communities in Australia and internationally."</w:t>
      </w:r>
      <w:r>
        <w:rPr>
          <w:rStyle w:val="FootnoteReference"/>
          <w:rFonts w:asciiTheme="minorHAnsi" w:hAnsiTheme="minorHAnsi" w:cs="Segoe UI"/>
          <w:color w:val="000000"/>
        </w:rPr>
        <w:footnoteReference w:id="1"/>
      </w:r>
      <w:r w:rsidRPr="00D53381">
        <w:rPr>
          <w:rFonts w:asciiTheme="minorHAnsi" w:hAnsiTheme="minorHAnsi" w:cs="Segoe UI"/>
          <w:color w:val="000000"/>
        </w:rPr>
        <w:t xml:space="preserve"> </w:t>
      </w:r>
    </w:p>
    <w:p w14:paraId="09B5A745" w14:textId="77777777" w:rsidR="00537973" w:rsidRPr="00344CAE" w:rsidRDefault="00537973" w:rsidP="00537973">
      <w:pPr>
        <w:rPr>
          <w:rFonts w:asciiTheme="minorHAnsi" w:hAnsiTheme="minorHAnsi"/>
        </w:rPr>
      </w:pPr>
      <w:r>
        <w:rPr>
          <w:rFonts w:asciiTheme="minorHAnsi" w:hAnsiTheme="minorHAnsi" w:cs="Segoe UI"/>
          <w:color w:val="000000"/>
        </w:rPr>
        <w:t>Governments</w:t>
      </w:r>
      <w:r w:rsidRPr="00D53381">
        <w:rPr>
          <w:rFonts w:asciiTheme="minorHAnsi" w:hAnsiTheme="minorHAnsi" w:cs="Segoe UI"/>
          <w:color w:val="000000"/>
        </w:rPr>
        <w:t xml:space="preserve"> support</w:t>
      </w:r>
      <w:r>
        <w:rPr>
          <w:rFonts w:asciiTheme="minorHAnsi" w:hAnsiTheme="minorHAnsi" w:cs="Segoe UI"/>
          <w:color w:val="000000"/>
        </w:rPr>
        <w:t>s</w:t>
      </w:r>
      <w:r w:rsidRPr="00D53381">
        <w:rPr>
          <w:rFonts w:asciiTheme="minorHAnsi" w:hAnsiTheme="minorHAnsi" w:cs="Segoe UI"/>
          <w:color w:val="000000"/>
        </w:rPr>
        <w:t xml:space="preserve"> teaching and scholarship activities at Australian universities </w:t>
      </w:r>
      <w:r>
        <w:rPr>
          <w:rFonts w:asciiTheme="minorHAnsi" w:hAnsiTheme="minorHAnsi" w:cs="Segoe UI"/>
          <w:color w:val="000000"/>
        </w:rPr>
        <w:t>through</w:t>
      </w:r>
      <w:r w:rsidRPr="00D53381">
        <w:rPr>
          <w:rFonts w:asciiTheme="minorHAnsi" w:hAnsiTheme="minorHAnsi" w:cs="Segoe UI"/>
          <w:color w:val="000000"/>
        </w:rPr>
        <w:t xml:space="preserve"> the provision of funding.</w:t>
      </w:r>
      <w:r w:rsidRPr="00D53381">
        <w:rPr>
          <w:rFonts w:asciiTheme="minorHAnsi" w:hAnsiTheme="minorHAnsi"/>
        </w:rPr>
        <w:t xml:space="preserve"> </w:t>
      </w:r>
      <w:proofErr w:type="gramStart"/>
      <w:r>
        <w:t>There is a collective interest in transparency regarding the use of these funds and the allocation of resources across the various activities that universities engage in.</w:t>
      </w:r>
      <w:proofErr w:type="gramEnd"/>
      <w:r>
        <w:t xml:space="preserve"> Understanding the extent to which funding is used across different activities and fields of education is a key enabler of effective decision-making both within universities, and across the individuals, organisations and </w:t>
      </w:r>
      <w:r w:rsidR="00423E67">
        <w:t xml:space="preserve">the </w:t>
      </w:r>
      <w:r>
        <w:t xml:space="preserve">Governments which fund them. </w:t>
      </w:r>
    </w:p>
    <w:p w14:paraId="18DEC0EF" w14:textId="77777777" w:rsidR="00537973" w:rsidRDefault="00537973" w:rsidP="00537973">
      <w:r>
        <w:t xml:space="preserve">For the Australian Government, the funding of teaching and scholarship via the Commonwealth Grant Scheme (CGS) is provided </w:t>
      </w:r>
      <w:proofErr w:type="gramStart"/>
      <w:r>
        <w:t>on the basis of</w:t>
      </w:r>
      <w:proofErr w:type="gramEnd"/>
      <w:r>
        <w:t xml:space="preserve"> funding </w:t>
      </w:r>
      <w:r w:rsidRPr="00D112D5">
        <w:t>clusters</w:t>
      </w:r>
      <w:r>
        <w:t xml:space="preserve"> and student contribution bands,</w:t>
      </w:r>
      <w:r w:rsidRPr="00D112D5">
        <w:t xml:space="preserve"> designed to allocate aggregate base funding amounts to universities </w:t>
      </w:r>
      <w:r>
        <w:t xml:space="preserve">in a way </w:t>
      </w:r>
      <w:r w:rsidRPr="00D112D5">
        <w:t xml:space="preserve">that </w:t>
      </w:r>
      <w:r>
        <w:t>appropriately</w:t>
      </w:r>
      <w:r w:rsidRPr="00D112D5">
        <w:t xml:space="preserve"> reflect</w:t>
      </w:r>
      <w:r>
        <w:t>s</w:t>
      </w:r>
      <w:r w:rsidRPr="00D112D5">
        <w:t xml:space="preserve"> their respective </w:t>
      </w:r>
      <w:r>
        <w:t xml:space="preserve">mix of </w:t>
      </w:r>
      <w:r w:rsidRPr="00D112D5">
        <w:t>discipline</w:t>
      </w:r>
      <w:r>
        <w:t>s</w:t>
      </w:r>
      <w:r w:rsidRPr="00D112D5">
        <w:t>.</w:t>
      </w:r>
      <w:r>
        <w:t xml:space="preserve"> </w:t>
      </w:r>
    </w:p>
    <w:p w14:paraId="349C5383" w14:textId="77777777" w:rsidR="00537973" w:rsidRDefault="00537973" w:rsidP="00537973">
      <w:r>
        <w:t xml:space="preserve">This model, notionally intended to </w:t>
      </w:r>
      <w:r w:rsidRPr="00200518">
        <w:t>captur</w:t>
      </w:r>
      <w:r>
        <w:t>e</w:t>
      </w:r>
      <w:r w:rsidRPr="00200518">
        <w:t xml:space="preserve"> relative average costs across disciplines</w:t>
      </w:r>
      <w:r>
        <w:t xml:space="preserve">, </w:t>
      </w:r>
      <w:proofErr w:type="gramStart"/>
      <w:r>
        <w:t>has been periodically informed</w:t>
      </w:r>
      <w:proofErr w:type="gramEnd"/>
      <w:r>
        <w:t xml:space="preserve"> by research into the costs of teaching and scholarship at universities. The most recent comprehensive analysis was undertaken in 2016 by Deloitte Access Economics (related to activity in the 2015 calendar year) and followed a similar exercise undertaken in 2011 (related to 2010 calendar year activity </w:t>
      </w:r>
      <w:proofErr w:type="gramStart"/>
      <w:r w:rsidRPr="004779FA">
        <w:t>and</w:t>
      </w:r>
      <w:r>
        <w:t xml:space="preserve"> </w:t>
      </w:r>
      <w:r w:rsidRPr="004779FA">
        <w:t>also</w:t>
      </w:r>
      <w:proofErr w:type="gramEnd"/>
      <w:r>
        <w:t xml:space="preserve"> by Deloitte Access Economics). </w:t>
      </w:r>
    </w:p>
    <w:p w14:paraId="6C3C9564" w14:textId="77777777" w:rsidR="00537973" w:rsidRPr="00FD5A31" w:rsidRDefault="00537973" w:rsidP="00537973">
      <w:r w:rsidRPr="00FD5A31">
        <w:t>In this context,</w:t>
      </w:r>
      <w:r w:rsidRPr="00337E62">
        <w:t xml:space="preserve"> the Australian </w:t>
      </w:r>
      <w:r w:rsidRPr="00C75847">
        <w:t xml:space="preserve">Department of Education and Training (the Department) </w:t>
      </w:r>
      <w:r w:rsidRPr="00337E62">
        <w:t xml:space="preserve">is seeking to </w:t>
      </w:r>
      <w:r>
        <w:t xml:space="preserve">establish an annual data collection relating to costs of teaching and scholarship at Australian universities, which will ultimately involve participation by all Australian public universities. Deloitte Access Economics </w:t>
      </w:r>
      <w:proofErr w:type="gramStart"/>
      <w:r>
        <w:t>has been commissioned</w:t>
      </w:r>
      <w:proofErr w:type="gramEnd"/>
      <w:r>
        <w:t xml:space="preserve"> to undertake this collection in 2018, 2019 and 2020. This report presents the results derived from the first year of that process, relating to university activity in the 2017 calendar year. </w:t>
      </w:r>
    </w:p>
    <w:p w14:paraId="6B3BFE22" w14:textId="77777777" w:rsidR="00537973" w:rsidRDefault="00537973" w:rsidP="00537973">
      <w:pPr>
        <w:pStyle w:val="Heading2"/>
        <w:numPr>
          <w:ilvl w:val="0"/>
          <w:numId w:val="0"/>
        </w:numPr>
      </w:pPr>
      <w:bookmarkStart w:id="86" w:name="_Toc534713782"/>
      <w:r>
        <w:t>Approach to the data collection</w:t>
      </w:r>
      <w:bookmarkEnd w:id="86"/>
    </w:p>
    <w:p w14:paraId="77915243" w14:textId="7FBBDEF8" w:rsidR="00537973" w:rsidRPr="00337E62" w:rsidRDefault="00537973" w:rsidP="00537973">
      <w:r>
        <w:t>Building on the 2016 data collection</w:t>
      </w:r>
      <w:r w:rsidR="00E56E86">
        <w:t>,</w:t>
      </w:r>
      <w:r w:rsidR="00F6787F">
        <w:rPr>
          <w:rStyle w:val="FootnoteReference"/>
        </w:rPr>
        <w:footnoteReference w:id="2"/>
      </w:r>
      <w:r>
        <w:t xml:space="preserve"> the approach developed for this study </w:t>
      </w:r>
      <w:proofErr w:type="gramStart"/>
      <w:r>
        <w:t>was guided</w:t>
      </w:r>
      <w:proofErr w:type="gramEnd"/>
      <w:r>
        <w:t xml:space="preserve"> by two key objectives</w:t>
      </w:r>
      <w:r w:rsidRPr="00337E62">
        <w:t>, namely:</w:t>
      </w:r>
    </w:p>
    <w:p w14:paraId="1D0DD48B" w14:textId="78500311" w:rsidR="00537973" w:rsidRPr="00337E62" w:rsidRDefault="00537973" w:rsidP="00537973">
      <w:pPr>
        <w:pStyle w:val="ListParagraph"/>
        <w:numPr>
          <w:ilvl w:val="0"/>
          <w:numId w:val="52"/>
        </w:numPr>
      </w:pPr>
      <w:r>
        <w:t>A</w:t>
      </w:r>
      <w:r w:rsidRPr="00337E62">
        <w:t>ccurately measur</w:t>
      </w:r>
      <w:r>
        <w:t>ing</w:t>
      </w:r>
      <w:r w:rsidRPr="00337E62">
        <w:t xml:space="preserve"> the costs of teaching and scholarship</w:t>
      </w:r>
      <w:r w:rsidR="0081649B">
        <w:rPr>
          <w:rStyle w:val="FootnoteReference"/>
        </w:rPr>
        <w:footnoteReference w:id="3"/>
      </w:r>
      <w:r w:rsidRPr="00337E62">
        <w:t xml:space="preserve"> by field and level of education</w:t>
      </w:r>
      <w:r w:rsidR="00423E67">
        <w:t>.</w:t>
      </w:r>
      <w:r w:rsidRPr="00337E62">
        <w:t xml:space="preserve"> </w:t>
      </w:r>
    </w:p>
    <w:p w14:paraId="369FAA3E" w14:textId="77777777" w:rsidR="00537973" w:rsidRPr="00337E62" w:rsidRDefault="00537973" w:rsidP="00537973">
      <w:pPr>
        <w:pStyle w:val="ListParagraph"/>
        <w:numPr>
          <w:ilvl w:val="0"/>
          <w:numId w:val="52"/>
        </w:numPr>
      </w:pPr>
      <w:r>
        <w:t>Supporting</w:t>
      </w:r>
      <w:r w:rsidRPr="00337E62">
        <w:t xml:space="preserve"> the continued transition to a more comprehensive, systematic and streamlined data collection process over time.  </w:t>
      </w:r>
    </w:p>
    <w:p w14:paraId="2652ECE2" w14:textId="77777777" w:rsidR="00537973" w:rsidRDefault="00537973" w:rsidP="00537973">
      <w:r>
        <w:t xml:space="preserve">To support the achievement of these objectives, the collection process, data template (or Transparent Costing Worksheet (TCW)) and an associated set of comprehensive guidelines </w:t>
      </w:r>
      <w:proofErr w:type="gramStart"/>
      <w:r>
        <w:t>were developed</w:t>
      </w:r>
      <w:proofErr w:type="gramEnd"/>
      <w:r>
        <w:t xml:space="preserve"> in close collaboration with the university sector and the Department. This included </w:t>
      </w:r>
      <w:r>
        <w:lastRenderedPageBreak/>
        <w:t>endorsement of the template and guidelines by a</w:t>
      </w:r>
      <w:r w:rsidRPr="003E783C">
        <w:t xml:space="preserve"> U</w:t>
      </w:r>
      <w:r>
        <w:t xml:space="preserve">niversities </w:t>
      </w:r>
      <w:r w:rsidRPr="003E783C">
        <w:t>A</w:t>
      </w:r>
      <w:r>
        <w:t>ustralia (UA)</w:t>
      </w:r>
      <w:r w:rsidRPr="003E783C">
        <w:t xml:space="preserve"> </w:t>
      </w:r>
      <w:r>
        <w:t>R</w:t>
      </w:r>
      <w:r w:rsidRPr="003E783C">
        <w:t xml:space="preserve">eference </w:t>
      </w:r>
      <w:r>
        <w:t>G</w:t>
      </w:r>
      <w:r w:rsidRPr="003E783C">
        <w:t>roup (consisting of university representatives, representatives from UA, the Department, and Deloitte Access Economics)</w:t>
      </w:r>
      <w:r>
        <w:t xml:space="preserve"> </w:t>
      </w:r>
      <w:r w:rsidRPr="003E783C">
        <w:t xml:space="preserve">and a whole-of-sector one-day forum </w:t>
      </w:r>
      <w:r>
        <w:t xml:space="preserve">organised by UA </w:t>
      </w:r>
      <w:r w:rsidRPr="003E783C">
        <w:t xml:space="preserve">to </w:t>
      </w:r>
      <w:r>
        <w:t>introduce</w:t>
      </w:r>
      <w:r w:rsidRPr="003E783C">
        <w:t xml:space="preserve"> and discuss </w:t>
      </w:r>
      <w:r>
        <w:t>the</w:t>
      </w:r>
      <w:r w:rsidRPr="003E783C">
        <w:t xml:space="preserve"> exercise</w:t>
      </w:r>
      <w:r>
        <w:t xml:space="preserve"> with universities</w:t>
      </w:r>
      <w:r w:rsidRPr="003E783C">
        <w:t xml:space="preserve">. </w:t>
      </w:r>
      <w:r>
        <w:t xml:space="preserve"> </w:t>
      </w:r>
    </w:p>
    <w:p w14:paraId="56566434" w14:textId="77777777" w:rsidR="00537973" w:rsidRPr="00B27AD1" w:rsidRDefault="00537973" w:rsidP="00537973">
      <w:r>
        <w:t xml:space="preserve">The final approach sought to establish a </w:t>
      </w:r>
      <w:proofErr w:type="gramStart"/>
      <w:r>
        <w:t>dataset which</w:t>
      </w:r>
      <w:proofErr w:type="gramEnd"/>
      <w:r>
        <w:t>, to the greatest extent possible, was</w:t>
      </w:r>
      <w:r w:rsidRPr="00B27AD1">
        <w:t xml:space="preserve">: </w:t>
      </w:r>
    </w:p>
    <w:p w14:paraId="4B4F1161" w14:textId="77777777" w:rsidR="00537973" w:rsidRPr="00B27AD1" w:rsidRDefault="00537973" w:rsidP="00537973">
      <w:pPr>
        <w:pStyle w:val="ListBullet"/>
        <w:numPr>
          <w:ilvl w:val="0"/>
          <w:numId w:val="23"/>
        </w:numPr>
      </w:pPr>
      <w:r w:rsidRPr="00B27AD1">
        <w:t xml:space="preserve">Reliable – such that a suitable level of assurance </w:t>
      </w:r>
      <w:proofErr w:type="gramStart"/>
      <w:r w:rsidRPr="00B27AD1">
        <w:t>can be established</w:t>
      </w:r>
      <w:proofErr w:type="gramEnd"/>
      <w:r w:rsidRPr="00B27AD1">
        <w:t xml:space="preserve"> regarding the underlying data.</w:t>
      </w:r>
    </w:p>
    <w:p w14:paraId="335AA50F" w14:textId="77777777" w:rsidR="00537973" w:rsidRPr="00B27AD1" w:rsidRDefault="00537973" w:rsidP="00537973">
      <w:pPr>
        <w:pStyle w:val="ListBullet"/>
        <w:numPr>
          <w:ilvl w:val="0"/>
          <w:numId w:val="23"/>
        </w:numPr>
      </w:pPr>
      <w:r w:rsidRPr="00B27AD1">
        <w:t xml:space="preserve">Comparable – across universities, given differences in university context, and over time. </w:t>
      </w:r>
    </w:p>
    <w:p w14:paraId="377AFCBA" w14:textId="77777777" w:rsidR="00537973" w:rsidRPr="00B27AD1" w:rsidRDefault="00537973" w:rsidP="00537973">
      <w:pPr>
        <w:pStyle w:val="ListBullet"/>
        <w:numPr>
          <w:ilvl w:val="0"/>
          <w:numId w:val="23"/>
        </w:numPr>
      </w:pPr>
      <w:r w:rsidRPr="00B27AD1">
        <w:t xml:space="preserve">Attributable – ensuring costs are captured only to the extent that they are incurred </w:t>
      </w:r>
      <w:proofErr w:type="gramStart"/>
      <w:r w:rsidRPr="00B27AD1">
        <w:t>as a result</w:t>
      </w:r>
      <w:proofErr w:type="gramEnd"/>
      <w:r w:rsidRPr="00B27AD1">
        <w:t xml:space="preserve"> of a defined and in-scope activity.</w:t>
      </w:r>
    </w:p>
    <w:p w14:paraId="043E41F7" w14:textId="77777777" w:rsidR="00537973" w:rsidRDefault="00537973" w:rsidP="00537973">
      <w:pPr>
        <w:pStyle w:val="ListBullet"/>
        <w:numPr>
          <w:ilvl w:val="0"/>
          <w:numId w:val="23"/>
        </w:numPr>
      </w:pPr>
      <w:r w:rsidRPr="00B27AD1">
        <w:t>Actual – in that the economic rather than the accounting measure of cost is of primary interest.</w:t>
      </w:r>
    </w:p>
    <w:p w14:paraId="637564C3" w14:textId="77777777" w:rsidR="00537973" w:rsidRPr="00337E62" w:rsidRDefault="00537973" w:rsidP="00537973">
      <w:r>
        <w:t xml:space="preserve">Emphasis </w:t>
      </w:r>
      <w:proofErr w:type="gramStart"/>
      <w:r>
        <w:t>was also placed</w:t>
      </w:r>
      <w:proofErr w:type="gramEnd"/>
      <w:r>
        <w:t xml:space="preserve"> on minimising the burden placed</w:t>
      </w:r>
      <w:r w:rsidRPr="00EC50E5">
        <w:t xml:space="preserve"> on universities</w:t>
      </w:r>
      <w:r>
        <w:t xml:space="preserve"> in completing the data collection</w:t>
      </w:r>
      <w:r w:rsidRPr="00EC50E5">
        <w:t>.</w:t>
      </w:r>
      <w:r>
        <w:t xml:space="preserve"> </w:t>
      </w:r>
      <w:r w:rsidRPr="00337E62">
        <w:t>The resulting refinements to the process from the 2016 exercise included:</w:t>
      </w:r>
    </w:p>
    <w:p w14:paraId="29A78A59" w14:textId="77777777" w:rsidR="00537973" w:rsidRPr="00337E62" w:rsidRDefault="00537973" w:rsidP="00537973">
      <w:pPr>
        <w:pStyle w:val="ListBullet"/>
        <w:numPr>
          <w:ilvl w:val="0"/>
          <w:numId w:val="23"/>
        </w:numPr>
      </w:pPr>
      <w:r>
        <w:t xml:space="preserve">Minor adjustments </w:t>
      </w:r>
      <w:r w:rsidRPr="00337E62">
        <w:t xml:space="preserve">to the </w:t>
      </w:r>
      <w:r>
        <w:t>f</w:t>
      </w:r>
      <w:r w:rsidRPr="00337E62">
        <w:t xml:space="preserve">ield of </w:t>
      </w:r>
      <w:r>
        <w:t>e</w:t>
      </w:r>
      <w:r w:rsidRPr="00337E62">
        <w:t>ducation categories contained in the data collection</w:t>
      </w:r>
      <w:r>
        <w:t xml:space="preserve"> (22 fields compared</w:t>
      </w:r>
      <w:r w:rsidRPr="00430B71">
        <w:t xml:space="preserve"> to 19 in the 2016 study</w:t>
      </w:r>
      <w:r>
        <w:t>).</w:t>
      </w:r>
    </w:p>
    <w:p w14:paraId="1B733554" w14:textId="77777777" w:rsidR="00537973" w:rsidRPr="00337E62" w:rsidRDefault="00537973" w:rsidP="00537973">
      <w:pPr>
        <w:pStyle w:val="ListBullet"/>
        <w:numPr>
          <w:ilvl w:val="0"/>
          <w:numId w:val="23"/>
        </w:numPr>
      </w:pPr>
      <w:r>
        <w:t>Removing</w:t>
      </w:r>
      <w:r w:rsidRPr="00337E62">
        <w:t xml:space="preserve"> the collection of </w:t>
      </w:r>
      <w:r>
        <w:t>f</w:t>
      </w:r>
      <w:r w:rsidRPr="00337E62">
        <w:t>ull-time equivalent (FTE) employment data from the 2018 collection.</w:t>
      </w:r>
      <w:r w:rsidRPr="00663ED4">
        <w:t xml:space="preserve"> </w:t>
      </w:r>
    </w:p>
    <w:p w14:paraId="2DD18573" w14:textId="77777777" w:rsidR="00537973" w:rsidRDefault="00537973" w:rsidP="00537973">
      <w:pPr>
        <w:pStyle w:val="ListBullet"/>
        <w:numPr>
          <w:ilvl w:val="0"/>
          <w:numId w:val="23"/>
        </w:numPr>
      </w:pPr>
      <w:r w:rsidRPr="00337E62">
        <w:t xml:space="preserve">The addition of two ‘below the line’ cost items (in-kind and partnership costs), which would not </w:t>
      </w:r>
      <w:r>
        <w:t xml:space="preserve">necessarily </w:t>
      </w:r>
      <w:r w:rsidRPr="00337E62">
        <w:t>appear in a university’s financial reporting, but nonetheless represent costs attributable to delivery by that institution.</w:t>
      </w:r>
    </w:p>
    <w:p w14:paraId="59F94D84" w14:textId="77777777" w:rsidR="00537973" w:rsidRDefault="00537973" w:rsidP="00537973">
      <w:pPr>
        <w:pStyle w:val="ListBullet"/>
        <w:numPr>
          <w:ilvl w:val="0"/>
          <w:numId w:val="23"/>
        </w:numPr>
      </w:pPr>
      <w:r>
        <w:t>The r</w:t>
      </w:r>
      <w:r w:rsidRPr="00663ED4">
        <w:t xml:space="preserve">estructuring </w:t>
      </w:r>
      <w:r>
        <w:t>of the sub-categories contained within budgetary unit level</w:t>
      </w:r>
      <w:r w:rsidRPr="00663ED4">
        <w:t xml:space="preserve"> and centralised </w:t>
      </w:r>
      <w:proofErr w:type="gramStart"/>
      <w:r>
        <w:t>non staff</w:t>
      </w:r>
      <w:proofErr w:type="gramEnd"/>
      <w:r>
        <w:t xml:space="preserve"> </w:t>
      </w:r>
      <w:r w:rsidRPr="00663ED4">
        <w:t>costs</w:t>
      </w:r>
      <w:r>
        <w:t>, to better align with internal university structures and minimise unnecessary reporting burdens for universities.</w:t>
      </w:r>
    </w:p>
    <w:p w14:paraId="4C1F9865" w14:textId="77777777" w:rsidR="00537973" w:rsidRPr="00B32F2D" w:rsidRDefault="00537973" w:rsidP="00537973">
      <w:r w:rsidRPr="007E36B1">
        <w:t xml:space="preserve">Universities </w:t>
      </w:r>
      <w:proofErr w:type="gramStart"/>
      <w:r w:rsidRPr="007E36B1">
        <w:t xml:space="preserve">were </w:t>
      </w:r>
      <w:r w:rsidRPr="001060BA">
        <w:t>presented</w:t>
      </w:r>
      <w:proofErr w:type="gramEnd"/>
      <w:r w:rsidRPr="001060BA">
        <w:t xml:space="preserve"> a draft version of the cost collection template at a UA convened forum on </w:t>
      </w:r>
      <w:r w:rsidRPr="00495A65">
        <w:t>2</w:t>
      </w:r>
      <w:r>
        <w:t xml:space="preserve"> </w:t>
      </w:r>
      <w:r w:rsidRPr="00495A65">
        <w:t>July 2018</w:t>
      </w:r>
      <w:r w:rsidRPr="001060BA">
        <w:t>, and</w:t>
      </w:r>
      <w:r>
        <w:t xml:space="preserve"> were provided with the final</w:t>
      </w:r>
      <w:r w:rsidRPr="007E36B1">
        <w:t xml:space="preserve"> costing template </w:t>
      </w:r>
      <w:r w:rsidRPr="001060BA">
        <w:t xml:space="preserve">on </w:t>
      </w:r>
      <w:r w:rsidRPr="00495A65">
        <w:t>13</w:t>
      </w:r>
      <w:r>
        <w:t xml:space="preserve"> </w:t>
      </w:r>
      <w:r w:rsidRPr="00495A65">
        <w:t>August 2018</w:t>
      </w:r>
      <w:r w:rsidRPr="001060BA">
        <w:t>, for</w:t>
      </w:r>
      <w:r>
        <w:t xml:space="preserve"> completion by 21 </w:t>
      </w:r>
      <w:r w:rsidRPr="00495A65">
        <w:t>September 2018</w:t>
      </w:r>
      <w:r w:rsidRPr="001060BA">
        <w:t>. Following submission of the template, the</w:t>
      </w:r>
      <w:r w:rsidRPr="00B32F2D">
        <w:t xml:space="preserve"> data was moderated and synthesised</w:t>
      </w:r>
      <w:r>
        <w:t xml:space="preserve"> by the Deloitte Access Economics team</w:t>
      </w:r>
      <w:r w:rsidRPr="00B32F2D">
        <w:t xml:space="preserve">, with follow-up discussions </w:t>
      </w:r>
      <w:r>
        <w:t>initiated</w:t>
      </w:r>
      <w:r w:rsidRPr="00B32F2D">
        <w:t xml:space="preserve"> where outliers or other uncertainties </w:t>
      </w:r>
      <w:proofErr w:type="gramStart"/>
      <w:r w:rsidRPr="00B32F2D">
        <w:t>were identified</w:t>
      </w:r>
      <w:proofErr w:type="gramEnd"/>
      <w:r>
        <w:t xml:space="preserve">. </w:t>
      </w:r>
    </w:p>
    <w:p w14:paraId="7326338E" w14:textId="77777777" w:rsidR="00537973" w:rsidRDefault="00537973" w:rsidP="00537973">
      <w:r>
        <w:t>All 25 universities selected to participate in the 2018 data collection returned a full dataset. This sample included the 17 universities that participated in the 2016 study. The inclusion of the eight additional universities for 20</w:t>
      </w:r>
      <w:r w:rsidRPr="005C444C">
        <w:t xml:space="preserve">18 increased the </w:t>
      </w:r>
      <w:r w:rsidRPr="00495A65">
        <w:t>coverage of the sample to 65% of enrolments by EFTSL</w:t>
      </w:r>
      <w:r>
        <w:t xml:space="preserve"> (equivalent full-time student load). The additional eight universities </w:t>
      </w:r>
      <w:proofErr w:type="gramStart"/>
      <w:r>
        <w:t>were specifically chosen</w:t>
      </w:r>
      <w:proofErr w:type="gramEnd"/>
      <w:r>
        <w:t xml:space="preserve"> to ensure that the sample included a </w:t>
      </w:r>
      <w:r w:rsidRPr="002A52C1">
        <w:t>university from every state and territory</w:t>
      </w:r>
      <w:r>
        <w:t xml:space="preserve"> and achieved a minimum of 50% of the sector’s EFTSL across the following dimensions: </w:t>
      </w:r>
    </w:p>
    <w:p w14:paraId="1B94B8C3" w14:textId="77777777" w:rsidR="00537973" w:rsidRDefault="00537973" w:rsidP="00537973">
      <w:pPr>
        <w:pStyle w:val="ListBullet"/>
        <w:numPr>
          <w:ilvl w:val="0"/>
          <w:numId w:val="23"/>
        </w:numPr>
      </w:pPr>
      <w:r>
        <w:t>Regional universities;</w:t>
      </w:r>
    </w:p>
    <w:p w14:paraId="3380D327" w14:textId="77777777" w:rsidR="00537973" w:rsidRDefault="00537973" w:rsidP="00537973">
      <w:pPr>
        <w:pStyle w:val="ListBullet"/>
        <w:numPr>
          <w:ilvl w:val="0"/>
          <w:numId w:val="23"/>
        </w:numPr>
      </w:pPr>
      <w:r>
        <w:t>Dual sector universities;</w:t>
      </w:r>
    </w:p>
    <w:p w14:paraId="70314F7D" w14:textId="77777777" w:rsidR="00537973" w:rsidRDefault="00537973" w:rsidP="00537973">
      <w:pPr>
        <w:pStyle w:val="ListBullet"/>
        <w:numPr>
          <w:ilvl w:val="0"/>
          <w:numId w:val="23"/>
        </w:numPr>
      </w:pPr>
      <w:r w:rsidRPr="00765DC4">
        <w:t xml:space="preserve">Smaller universities </w:t>
      </w:r>
      <w:r w:rsidRPr="00495A65">
        <w:t>(fewer than 15,000 domestic enrolments</w:t>
      </w:r>
      <w:r w:rsidRPr="00765DC4">
        <w:t>)</w:t>
      </w:r>
      <w:r>
        <w:t xml:space="preserve">; </w:t>
      </w:r>
    </w:p>
    <w:p w14:paraId="2EC363D3" w14:textId="77777777" w:rsidR="00537973" w:rsidRDefault="00537973" w:rsidP="00537973">
      <w:pPr>
        <w:pStyle w:val="ListBullet"/>
        <w:numPr>
          <w:ilvl w:val="0"/>
          <w:numId w:val="23"/>
        </w:numPr>
      </w:pPr>
      <w:r>
        <w:t>Study level (sub-bachelor, bachelor and postgraduate); and</w:t>
      </w:r>
    </w:p>
    <w:p w14:paraId="18D96168" w14:textId="77777777" w:rsidR="00537973" w:rsidRDefault="00537973" w:rsidP="00537973">
      <w:pPr>
        <w:pStyle w:val="ListBullet"/>
        <w:numPr>
          <w:ilvl w:val="0"/>
          <w:numId w:val="23"/>
        </w:numPr>
      </w:pPr>
      <w:r>
        <w:t>University affiliation</w:t>
      </w:r>
      <w:r w:rsidR="00423E67">
        <w:t>.</w:t>
      </w:r>
      <w:r>
        <w:rPr>
          <w:rStyle w:val="FootnoteReference"/>
        </w:rPr>
        <w:footnoteReference w:id="4"/>
      </w:r>
      <w:r>
        <w:t xml:space="preserve"> </w:t>
      </w:r>
    </w:p>
    <w:p w14:paraId="667A9EC2" w14:textId="77777777" w:rsidR="00537973" w:rsidRDefault="00537973" w:rsidP="00537973">
      <w:r>
        <w:t>As such</w:t>
      </w:r>
      <w:r w:rsidRPr="00991A4C">
        <w:t xml:space="preserve">, </w:t>
      </w:r>
      <w:r>
        <w:t xml:space="preserve">the sample </w:t>
      </w:r>
      <w:proofErr w:type="gramStart"/>
      <w:r>
        <w:t>can be considered</w:t>
      </w:r>
      <w:proofErr w:type="gramEnd"/>
      <w:r>
        <w:t xml:space="preserve"> to </w:t>
      </w:r>
      <w:r w:rsidRPr="00991A4C">
        <w:t>provid</w:t>
      </w:r>
      <w:r>
        <w:t>e</w:t>
      </w:r>
      <w:r w:rsidRPr="00991A4C">
        <w:t xml:space="preserve"> a robust foundation for analys</w:t>
      </w:r>
      <w:r>
        <w:t xml:space="preserve">ing the level of </w:t>
      </w:r>
      <w:r w:rsidRPr="00991A4C">
        <w:t xml:space="preserve">and variation in costs across the sector.  </w:t>
      </w:r>
    </w:p>
    <w:p w14:paraId="0929595D" w14:textId="77777777" w:rsidR="00537973" w:rsidRDefault="00537973" w:rsidP="00537973">
      <w:r>
        <w:t xml:space="preserve">During the data collection window, </w:t>
      </w:r>
      <w:r w:rsidRPr="0026450B">
        <w:t xml:space="preserve">Deloitte Access Economics consulted </w:t>
      </w:r>
      <w:r>
        <w:t>with</w:t>
      </w:r>
      <w:r w:rsidRPr="0026450B">
        <w:t xml:space="preserve"> participating universities to di</w:t>
      </w:r>
      <w:r>
        <w:t xml:space="preserve">scuss the costing approaches </w:t>
      </w:r>
      <w:proofErr w:type="gramStart"/>
      <w:r>
        <w:t>being taken</w:t>
      </w:r>
      <w:proofErr w:type="gramEnd"/>
      <w:r>
        <w:t xml:space="preserve"> and to </w:t>
      </w:r>
      <w:r w:rsidRPr="0026450B">
        <w:t>ensure that the template was completed appropriately and as consistent</w:t>
      </w:r>
      <w:r>
        <w:t>ly</w:t>
      </w:r>
      <w:r w:rsidRPr="0026450B">
        <w:t xml:space="preserve"> as possible across institutions.</w:t>
      </w:r>
      <w:r w:rsidRPr="005C6324">
        <w:t xml:space="preserve"> </w:t>
      </w:r>
      <w:r>
        <w:t>Universities we</w:t>
      </w:r>
      <w:r w:rsidRPr="005C6324">
        <w:t xml:space="preserve">re also able to provide a </w:t>
      </w:r>
      <w:r>
        <w:t>S</w:t>
      </w:r>
      <w:r w:rsidRPr="005C6324">
        <w:t xml:space="preserve">upporting </w:t>
      </w:r>
      <w:r>
        <w:t>S</w:t>
      </w:r>
      <w:r w:rsidRPr="005C6324">
        <w:t xml:space="preserve">tatement alongside the </w:t>
      </w:r>
      <w:r>
        <w:t xml:space="preserve">collection template, outlining the methodology applied, any unique contextual considerations and relevant concerns. This process of </w:t>
      </w:r>
      <w:r>
        <w:lastRenderedPageBreak/>
        <w:t>consultation, as was the case in the 2016 exercise, reiterated both the complexity and diversity of costing approaches and organisational practices across the sector. Key findings from this process were that:</w:t>
      </w:r>
    </w:p>
    <w:p w14:paraId="1255F2F2" w14:textId="77777777" w:rsidR="00537973" w:rsidRPr="00495A65" w:rsidRDefault="00537973" w:rsidP="00537973">
      <w:pPr>
        <w:pStyle w:val="ListParagraph"/>
        <w:numPr>
          <w:ilvl w:val="0"/>
          <w:numId w:val="56"/>
        </w:numPr>
        <w:spacing w:after="60"/>
        <w:ind w:left="357" w:hanging="357"/>
        <w:contextualSpacing w:val="0"/>
      </w:pPr>
      <w:r w:rsidRPr="005C444C">
        <w:t xml:space="preserve">Universities varied in the sophistication of their cost data collection and reporting abilities. Several utilise activity-based costing (ABC) models and software platforms, which are capable of reporting costs at a unit of study level. Others rely on more aggregated financial information, which </w:t>
      </w:r>
      <w:proofErr w:type="gramStart"/>
      <w:r w:rsidRPr="005C444C">
        <w:t>is then allocated</w:t>
      </w:r>
      <w:proofErr w:type="gramEnd"/>
      <w:r w:rsidRPr="005C444C">
        <w:t xml:space="preserve"> to more granular activities and functions. </w:t>
      </w:r>
      <w:r w:rsidRPr="00495A65">
        <w:t xml:space="preserve">Despite these differences, similar assumptions and drivers tended to </w:t>
      </w:r>
      <w:proofErr w:type="gramStart"/>
      <w:r w:rsidRPr="00495A65">
        <w:t>be applied</w:t>
      </w:r>
      <w:proofErr w:type="gramEnd"/>
      <w:r w:rsidRPr="00495A65">
        <w:t xml:space="preserve"> in allocating costs across field of education</w:t>
      </w:r>
      <w:r>
        <w:t xml:space="preserve">s. </w:t>
      </w:r>
      <w:r w:rsidRPr="00495A65">
        <w:t xml:space="preserve"> </w:t>
      </w:r>
      <w:r>
        <w:t>Most universities recognised there was scope for improving the accuracy of their cost allocation process over time and many were actively taking steps to do so.</w:t>
      </w:r>
    </w:p>
    <w:p w14:paraId="0655DD33" w14:textId="77777777" w:rsidR="00537973" w:rsidRDefault="00537973" w:rsidP="00537973">
      <w:pPr>
        <w:pStyle w:val="ListParagraph"/>
        <w:numPr>
          <w:ilvl w:val="0"/>
          <w:numId w:val="56"/>
        </w:numPr>
        <w:spacing w:after="60"/>
        <w:ind w:left="357" w:hanging="357"/>
        <w:contextualSpacing w:val="0"/>
      </w:pPr>
      <w:r>
        <w:t xml:space="preserve">There continue to be challenges for many universities in separating the costs of teaching and scholarship from research activities. This is because resources </w:t>
      </w:r>
      <w:proofErr w:type="gramStart"/>
      <w:r>
        <w:t>are often shared</w:t>
      </w:r>
      <w:proofErr w:type="gramEnd"/>
      <w:r>
        <w:t xml:space="preserve"> between different activities and collecting data on how those resources are shared poses practical difficulties.  This is particularly the case for staff time, although the use of regular staff time surveys can help provide a more accurate measure of staff time across different activities.</w:t>
      </w:r>
    </w:p>
    <w:p w14:paraId="2713923E" w14:textId="77777777" w:rsidR="00537973" w:rsidRPr="00337E62" w:rsidRDefault="00537973" w:rsidP="00537973">
      <w:pPr>
        <w:pStyle w:val="ListParagraph"/>
        <w:numPr>
          <w:ilvl w:val="0"/>
          <w:numId w:val="56"/>
        </w:numPr>
        <w:spacing w:after="60"/>
        <w:ind w:left="357" w:hanging="357"/>
        <w:contextualSpacing w:val="0"/>
      </w:pPr>
      <w:r>
        <w:t xml:space="preserve">The reporting of data based on fields of education is not commonplace for universities and does not </w:t>
      </w:r>
      <w:r w:rsidRPr="00F449BE">
        <w:t>reflect</w:t>
      </w:r>
      <w:r>
        <w:t xml:space="preserve"> universities’ underlying operating structures, which are organised around faculties and schools. While universities have relatively refined data on, for example, teaching costs at the faculty or school level, mapping this to individual fields of education often requires several additional assumptions</w:t>
      </w:r>
      <w:r w:rsidRPr="00337E62">
        <w:t xml:space="preserve">. To the extent that individual course costs vary and universities provide different mixes of courses within a field of education, variation in course composition will </w:t>
      </w:r>
      <w:proofErr w:type="gramStart"/>
      <w:r w:rsidRPr="00337E62">
        <w:t>impact</w:t>
      </w:r>
      <w:proofErr w:type="gramEnd"/>
      <w:r w:rsidRPr="00337E62">
        <w:t xml:space="preserve"> cost relativities between universities.</w:t>
      </w:r>
    </w:p>
    <w:p w14:paraId="34DE2E83" w14:textId="77777777" w:rsidR="00537973" w:rsidRDefault="00537973" w:rsidP="00537973">
      <w:pPr>
        <w:pStyle w:val="ListParagraph"/>
        <w:numPr>
          <w:ilvl w:val="0"/>
          <w:numId w:val="56"/>
        </w:numPr>
        <w:spacing w:after="60"/>
        <w:ind w:left="357" w:hanging="357"/>
        <w:contextualSpacing w:val="0"/>
      </w:pPr>
      <w:r w:rsidRPr="00337E62">
        <w:t xml:space="preserve">The separation of costs between different levels of study within a field of education was challenging for a number of universities, and several were unable to differentiate costs </w:t>
      </w:r>
      <w:r>
        <w:t xml:space="preserve">at a school or faculty level </w:t>
      </w:r>
      <w:r w:rsidRPr="00337E62">
        <w:t>by level of education.</w:t>
      </w:r>
      <w:r>
        <w:t xml:space="preserve"> In these cases, costs </w:t>
      </w:r>
      <w:proofErr w:type="gramStart"/>
      <w:r>
        <w:t>were allocated</w:t>
      </w:r>
      <w:proofErr w:type="gramEnd"/>
      <w:r>
        <w:t xml:space="preserve"> across levels proportionally using EFTSL numbers, such that each level had the same average unit cost.</w:t>
      </w:r>
      <w:r w:rsidRPr="00337E62">
        <w:t xml:space="preserve"> </w:t>
      </w:r>
    </w:p>
    <w:p w14:paraId="4AAB3733" w14:textId="77777777" w:rsidR="00537973" w:rsidRDefault="00537973" w:rsidP="00537973">
      <w:pPr>
        <w:pStyle w:val="ListParagraph"/>
        <w:numPr>
          <w:ilvl w:val="0"/>
          <w:numId w:val="56"/>
        </w:numPr>
        <w:spacing w:after="60"/>
        <w:contextualSpacing w:val="0"/>
      </w:pPr>
      <w:r w:rsidRPr="00337E62">
        <w:t xml:space="preserve">Universities incur once-off or irregular costs, for example </w:t>
      </w:r>
      <w:proofErr w:type="gramStart"/>
      <w:r w:rsidRPr="00337E62">
        <w:t>as a result</w:t>
      </w:r>
      <w:proofErr w:type="gramEnd"/>
      <w:r w:rsidRPr="00337E62">
        <w:t xml:space="preserve"> of faculty restructures, redundancies and the cost of creating new faculties or offerings, meaning that the results from any one year may not reflect genuine ongoing costs.</w:t>
      </w:r>
      <w:r>
        <w:t xml:space="preserve"> It </w:t>
      </w:r>
      <w:proofErr w:type="gramStart"/>
      <w:r>
        <w:t>is anticipated</w:t>
      </w:r>
      <w:proofErr w:type="gramEnd"/>
      <w:r>
        <w:t xml:space="preserve"> that the continued periodic collection of this data will provide a mechanism for controlling for this over time. </w:t>
      </w:r>
    </w:p>
    <w:p w14:paraId="257170AD" w14:textId="77777777" w:rsidR="00537973" w:rsidRPr="00337E62" w:rsidRDefault="00537973" w:rsidP="00537973">
      <w:pPr>
        <w:pStyle w:val="ListParagraph"/>
        <w:numPr>
          <w:ilvl w:val="0"/>
          <w:numId w:val="56"/>
        </w:numPr>
        <w:spacing w:after="60"/>
        <w:contextualSpacing w:val="0"/>
      </w:pPr>
      <w:r>
        <w:t xml:space="preserve">Results can be highly sensitive to minor changes in costing methodology in instances of low EFTSL delivery within a field of education. For this reason, field and level cost observations with a student load of less than five EFTSL </w:t>
      </w:r>
      <w:proofErr w:type="gramStart"/>
      <w:r>
        <w:t>were omitted</w:t>
      </w:r>
      <w:proofErr w:type="gramEnd"/>
      <w:r>
        <w:t xml:space="preserve"> from the reporting.</w:t>
      </w:r>
      <w:r>
        <w:rPr>
          <w:rStyle w:val="FootnoteReference"/>
        </w:rPr>
        <w:footnoteReference w:id="5"/>
      </w:r>
    </w:p>
    <w:p w14:paraId="0BFC6BD3" w14:textId="77777777" w:rsidR="00537973" w:rsidRDefault="00537973" w:rsidP="00537973">
      <w:pPr>
        <w:spacing w:before="240"/>
      </w:pPr>
      <w:r>
        <w:t>T</w:t>
      </w:r>
      <w:r w:rsidRPr="00337E62">
        <w:t xml:space="preserve">he data collection and </w:t>
      </w:r>
      <w:r>
        <w:t>statistical</w:t>
      </w:r>
      <w:r w:rsidRPr="00337E62">
        <w:t xml:space="preserve"> methods applied in this study were specifically designed to mitigate these limitations </w:t>
      </w:r>
      <w:r>
        <w:t>wherever</w:t>
      </w:r>
      <w:r w:rsidRPr="00337E62">
        <w:t xml:space="preserve"> possible</w:t>
      </w:r>
      <w:r>
        <w:t xml:space="preserve"> – noting that in most cases they were limitations that had been encountered in a similar form in prior years – </w:t>
      </w:r>
      <w:r w:rsidRPr="00337E62">
        <w:t xml:space="preserve"> and to improve the robustness and comparability of the results over time. </w:t>
      </w:r>
    </w:p>
    <w:p w14:paraId="6DC1425C" w14:textId="77777777" w:rsidR="00537973" w:rsidRDefault="00537973" w:rsidP="00537973">
      <w:r>
        <w:t xml:space="preserve">It </w:t>
      </w:r>
      <w:proofErr w:type="gramStart"/>
      <w:r>
        <w:t>should be recognised</w:t>
      </w:r>
      <w:proofErr w:type="gramEnd"/>
      <w:r>
        <w:t xml:space="preserve"> that the results of this study seek to capture the actual costs of teaching and scholarship for Australian public universities in 2017. They do not seek to capture the costs of teaching and scholarship required to meet specific quality benchmarks or to assess the relative efficiency of universities in delivering teaching and scholarship. These are nonetheless important policy questions – which </w:t>
      </w:r>
      <w:proofErr w:type="gramStart"/>
      <w:r>
        <w:t>were raised</w:t>
      </w:r>
      <w:proofErr w:type="gramEnd"/>
      <w:r>
        <w:t xml:space="preserve"> by a number of universities throughout consultations with the sector – that could be explored in future work. </w:t>
      </w:r>
    </w:p>
    <w:p w14:paraId="2A1BB2EB" w14:textId="77777777" w:rsidR="00537973" w:rsidRDefault="00537973" w:rsidP="00537973">
      <w:pPr>
        <w:pStyle w:val="Heading2"/>
        <w:numPr>
          <w:ilvl w:val="0"/>
          <w:numId w:val="0"/>
        </w:numPr>
      </w:pPr>
      <w:bookmarkStart w:id="87" w:name="_Toc534713783"/>
      <w:r>
        <w:t>The cost of teaching and scholarship in higher education in Australia</w:t>
      </w:r>
      <w:bookmarkEnd w:id="87"/>
    </w:p>
    <w:p w14:paraId="03AB9FA4" w14:textId="3CABDD66" w:rsidR="00537973" w:rsidRDefault="00537973" w:rsidP="00537973">
      <w:r>
        <w:t xml:space="preserve">Across all levels, the average cost of bachelor teaching per EFTSL across the 25 universities sampled as part of this study was </w:t>
      </w:r>
      <w:r w:rsidRPr="00495A65">
        <w:t>$</w:t>
      </w:r>
      <w:r>
        <w:t>17,</w:t>
      </w:r>
      <w:r w:rsidR="006439A8">
        <w:t xml:space="preserve">300 </w:t>
      </w:r>
      <w:r>
        <w:t xml:space="preserve">in 2017. </w:t>
      </w:r>
      <w:r w:rsidR="00547EB3">
        <w:fldChar w:fldCharType="begin"/>
      </w:r>
      <w:r w:rsidR="00547EB3">
        <w:instrText xml:space="preserve"> REF _Ref534722494 \r \h </w:instrText>
      </w:r>
      <w:r w:rsidR="00547EB3">
        <w:fldChar w:fldCharType="separate"/>
      </w:r>
      <w:r w:rsidR="00F47C96">
        <w:t xml:space="preserve">Chart </w:t>
      </w:r>
      <w:proofErr w:type="spellStart"/>
      <w:r w:rsidR="00F47C96">
        <w:t>i</w:t>
      </w:r>
      <w:proofErr w:type="spellEnd"/>
      <w:r w:rsidR="00547EB3">
        <w:fldChar w:fldCharType="end"/>
      </w:r>
      <w:r>
        <w:t xml:space="preserve"> below shows the distribution</w:t>
      </w:r>
      <w:r w:rsidRPr="00D162C8">
        <w:t xml:space="preserve"> of the </w:t>
      </w:r>
      <w:r w:rsidRPr="00D162C8">
        <w:lastRenderedPageBreak/>
        <w:t>estimated</w:t>
      </w:r>
      <w:r>
        <w:t xml:space="preserve"> </w:t>
      </w:r>
      <w:r w:rsidRPr="005C444C">
        <w:t>average cost per EFTSL across universities</w:t>
      </w:r>
      <w:r>
        <w:t xml:space="preserve"> in the sample</w:t>
      </w:r>
      <w:r w:rsidRPr="005C444C">
        <w:t xml:space="preserve">, which ranged from </w:t>
      </w:r>
      <w:r w:rsidRPr="00495A65">
        <w:t>$</w:t>
      </w:r>
      <w:r>
        <w:t>13,800</w:t>
      </w:r>
      <w:r w:rsidRPr="005C444C">
        <w:t xml:space="preserve"> (2</w:t>
      </w:r>
      <w:r w:rsidR="006439A8">
        <w:t>0</w:t>
      </w:r>
      <w:r w:rsidRPr="005C444C">
        <w:t xml:space="preserve">% below average) to </w:t>
      </w:r>
      <w:r w:rsidRPr="00495A65">
        <w:t>$</w:t>
      </w:r>
      <w:r>
        <w:t>22,700</w:t>
      </w:r>
      <w:r w:rsidRPr="005C444C">
        <w:t xml:space="preserve"> (3</w:t>
      </w:r>
      <w:r>
        <w:t>1</w:t>
      </w:r>
      <w:r w:rsidRPr="005C444C">
        <w:t>% above average).</w:t>
      </w:r>
      <w:r>
        <w:t xml:space="preserve"> </w:t>
      </w:r>
    </w:p>
    <w:p w14:paraId="6A1807E1" w14:textId="77777777" w:rsidR="00537973" w:rsidRPr="00307E5F" w:rsidRDefault="00537973" w:rsidP="00537973">
      <w:pPr>
        <w:pStyle w:val="ExecChartCaption"/>
      </w:pPr>
      <w:bookmarkStart w:id="88" w:name="_Toc534713811"/>
      <w:bookmarkStart w:id="89" w:name="_Ref534722494"/>
      <w:r w:rsidRPr="00307E5F">
        <w:t xml:space="preserve">: Average </w:t>
      </w:r>
      <w:r w:rsidRPr="00ED2C1B">
        <w:t xml:space="preserve">bachelor </w:t>
      </w:r>
      <w:r w:rsidRPr="00307E5F">
        <w:t>unit costs per EFTSL by university</w:t>
      </w:r>
      <w:bookmarkEnd w:id="88"/>
      <w:bookmarkEnd w:id="89"/>
      <w:r w:rsidRPr="00307E5F">
        <w:t xml:space="preserve"> </w:t>
      </w:r>
    </w:p>
    <w:p w14:paraId="36F33082" w14:textId="45CE2715" w:rsidR="00537973" w:rsidRDefault="006439A8" w:rsidP="00537973">
      <w:r>
        <w:rPr>
          <w:noProof/>
          <w:lang w:eastAsia="en-AU"/>
        </w:rPr>
        <w:drawing>
          <wp:inline distT="0" distB="0" distL="0" distR="0" wp14:anchorId="0E5C56C6" wp14:editId="74C73869">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A98C90A" w14:textId="77777777" w:rsidR="00537973" w:rsidRDefault="00537973" w:rsidP="00537973">
      <w:r>
        <w:t xml:space="preserve">The variation in average costs reflects a range of contextual factors (such as </w:t>
      </w:r>
      <w:r w:rsidRPr="00D446FD">
        <w:t xml:space="preserve">differences </w:t>
      </w:r>
      <w:r>
        <w:t xml:space="preserve">arising </w:t>
      </w:r>
      <w:r w:rsidRPr="00D446FD">
        <w:t>from geograph</w:t>
      </w:r>
      <w:r>
        <w:t>y, scale, student mix, subject focus, and research intensity),</w:t>
      </w:r>
      <w:r>
        <w:rPr>
          <w:rStyle w:val="FootnoteReference"/>
        </w:rPr>
        <w:footnoteReference w:id="6"/>
      </w:r>
      <w:r>
        <w:t xml:space="preserve"> as well as institution-specific commercial strategies.   </w:t>
      </w:r>
    </w:p>
    <w:p w14:paraId="426547FE" w14:textId="09002834" w:rsidR="00537973" w:rsidRDefault="00537973" w:rsidP="00537973">
      <w:r>
        <w:t xml:space="preserve">By field of education, average costs at the bachelor level range from </w:t>
      </w:r>
      <w:r w:rsidRPr="00495A65">
        <w:t>$9,</w:t>
      </w:r>
      <w:r>
        <w:t xml:space="preserve">600 per EFTSL in Mixed Field Programmes to </w:t>
      </w:r>
      <w:r w:rsidRPr="00495A65">
        <w:t>$4</w:t>
      </w:r>
      <w:r>
        <w:t>6,800 in Veterinary Studies (</w:t>
      </w:r>
      <w:r w:rsidR="00547EB3">
        <w:fldChar w:fldCharType="begin"/>
      </w:r>
      <w:r w:rsidR="00547EB3">
        <w:instrText xml:space="preserve"> REF _Ref534722534 \r \h </w:instrText>
      </w:r>
      <w:r w:rsidR="00547EB3">
        <w:fldChar w:fldCharType="separate"/>
      </w:r>
      <w:r w:rsidR="00F47C96">
        <w:t>Chart ii</w:t>
      </w:r>
      <w:r w:rsidR="00547EB3">
        <w:fldChar w:fldCharType="end"/>
      </w:r>
      <w:r>
        <w:t xml:space="preserve">). However, noting that there were relatively few EFTSL (46) in Mixed Field Programmes, the next lowest cost per EFTSL was $14,200 for Other Society and Culture. </w:t>
      </w:r>
    </w:p>
    <w:p w14:paraId="4287C06D" w14:textId="77777777" w:rsidR="00537973" w:rsidRDefault="00537973" w:rsidP="00537973">
      <w:r>
        <w:t xml:space="preserve">Two other </w:t>
      </w:r>
      <w:r w:rsidRPr="00D61743">
        <w:t>health science fields</w:t>
      </w:r>
      <w:r>
        <w:t xml:space="preserve"> – </w:t>
      </w:r>
      <w:r w:rsidRPr="00D61743">
        <w:t>Dental</w:t>
      </w:r>
      <w:r>
        <w:t xml:space="preserve"> </w:t>
      </w:r>
      <w:r w:rsidRPr="00D61743">
        <w:t>Studies</w:t>
      </w:r>
      <w:r>
        <w:t xml:space="preserve"> </w:t>
      </w:r>
      <w:r w:rsidRPr="005C444C">
        <w:t>(</w:t>
      </w:r>
      <w:r w:rsidRPr="00495A65">
        <w:t>$</w:t>
      </w:r>
      <w:r w:rsidRPr="005C444C">
        <w:t>37,</w:t>
      </w:r>
      <w:r>
        <w:t xml:space="preserve">400) </w:t>
      </w:r>
      <w:r w:rsidRPr="00D61743">
        <w:t>and Medical Studies</w:t>
      </w:r>
      <w:r>
        <w:t xml:space="preserve"> </w:t>
      </w:r>
      <w:r w:rsidRPr="005C444C">
        <w:t>(</w:t>
      </w:r>
      <w:r w:rsidRPr="00495A65">
        <w:t>$30,</w:t>
      </w:r>
      <w:r>
        <w:t>500</w:t>
      </w:r>
      <w:r w:rsidRPr="005C444C">
        <w:t>)</w:t>
      </w:r>
      <w:r>
        <w:t xml:space="preserve"> – along with </w:t>
      </w:r>
      <w:r w:rsidRPr="00BE468C">
        <w:t xml:space="preserve">Other Agriculture and Environmental Studies </w:t>
      </w:r>
      <w:r w:rsidRPr="005C444C">
        <w:t>(</w:t>
      </w:r>
      <w:r w:rsidRPr="00495A65">
        <w:t>$</w:t>
      </w:r>
      <w:r w:rsidRPr="005C444C">
        <w:t>27,</w:t>
      </w:r>
      <w:r>
        <w:t>700) are the next most costly, on average, at the bachelor level. Ten fields exhibit average costs pe</w:t>
      </w:r>
      <w:r w:rsidRPr="005C444C">
        <w:t xml:space="preserve">r EFTSL at the bachelor level of between </w:t>
      </w:r>
      <w:r w:rsidRPr="00495A65">
        <w:t>$14,000 and $18,000</w:t>
      </w:r>
      <w:r w:rsidRPr="005C444C">
        <w:t xml:space="preserve"> while a further seven exhibit average costs of between </w:t>
      </w:r>
      <w:r w:rsidRPr="00495A65">
        <w:t>$19,000 and $24,000</w:t>
      </w:r>
      <w:r w:rsidRPr="005C444C">
        <w:t>.</w:t>
      </w:r>
      <w:r w:rsidRPr="00D61743">
        <w:t xml:space="preserve"> </w:t>
      </w:r>
    </w:p>
    <w:p w14:paraId="6CEDF7AD" w14:textId="77777777" w:rsidR="00537973" w:rsidRDefault="00537973" w:rsidP="00537973">
      <w:r>
        <w:t xml:space="preserve">Variation in cost at the bachelor level occurs not only across fields of education, but also across different universities delivering in the same field. Fields with higher average cost per EFTSL, such as Veterinary Studies and Dental Studies, tend to exhibit the widest variation in cost between universities.  </w:t>
      </w:r>
    </w:p>
    <w:p w14:paraId="00439F23" w14:textId="77777777" w:rsidR="00537973" w:rsidRDefault="00537973" w:rsidP="00537973">
      <w:pPr>
        <w:pStyle w:val="ExecChartCaption"/>
      </w:pPr>
      <w:bookmarkStart w:id="90" w:name="_Toc534713812"/>
      <w:bookmarkStart w:id="91" w:name="_Ref534722534"/>
      <w:r>
        <w:lastRenderedPageBreak/>
        <w:t>: Distribution of unit costs by field for bachelor studies</w:t>
      </w:r>
      <w:bookmarkEnd w:id="90"/>
      <w:bookmarkEnd w:id="91"/>
    </w:p>
    <w:p w14:paraId="3D3CBBC9" w14:textId="6B25271E" w:rsidR="00537973" w:rsidRDefault="00101F62" w:rsidP="00537973">
      <w:r w:rsidRPr="00101F62">
        <w:rPr>
          <w:noProof/>
          <w:lang w:eastAsia="en-AU"/>
        </w:rPr>
        <w:drawing>
          <wp:inline distT="0" distB="0" distL="0" distR="0" wp14:anchorId="3500D859" wp14:editId="7C789429">
            <wp:extent cx="4564380" cy="27355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64380" cy="2735580"/>
                    </a:xfrm>
                    <a:prstGeom prst="rect">
                      <a:avLst/>
                    </a:prstGeom>
                    <a:noFill/>
                    <a:ln>
                      <a:noFill/>
                    </a:ln>
                  </pic:spPr>
                </pic:pic>
              </a:graphicData>
            </a:graphic>
          </wp:inline>
        </w:drawing>
      </w:r>
    </w:p>
    <w:p w14:paraId="5DFCDF18" w14:textId="77777777" w:rsidR="00537973" w:rsidRPr="005D4FB6" w:rsidRDefault="00537973" w:rsidP="00537973">
      <w:pPr>
        <w:pStyle w:val="Source"/>
      </w:pPr>
      <w:r>
        <w:t>Note: 439 cost observations across 25 universities. Outliers excluded. Marker at mean</w:t>
      </w:r>
      <w:r w:rsidRPr="00337E62">
        <w:t>,</w:t>
      </w:r>
      <w:r>
        <w:t xml:space="preserve"> box width between 25</w:t>
      </w:r>
      <w:r w:rsidRPr="00E67283">
        <w:rPr>
          <w:vertAlign w:val="superscript"/>
        </w:rPr>
        <w:t>th</w:t>
      </w:r>
      <w:r>
        <w:t xml:space="preserve"> and 75</w:t>
      </w:r>
      <w:r w:rsidRPr="00E67283">
        <w:rPr>
          <w:vertAlign w:val="superscript"/>
        </w:rPr>
        <w:t>th</w:t>
      </w:r>
      <w:r>
        <w:t xml:space="preserve"> percentile, and tails at minimum and maximum. Total EFTSL counts are in parentheses after field labels. </w:t>
      </w:r>
    </w:p>
    <w:p w14:paraId="4907721C" w14:textId="045AE524" w:rsidR="00537973" w:rsidRDefault="00537973" w:rsidP="00537973">
      <w:r>
        <w:t xml:space="preserve">Similar results by field of </w:t>
      </w:r>
      <w:r w:rsidRPr="005C444C">
        <w:t xml:space="preserve">education </w:t>
      </w:r>
      <w:proofErr w:type="gramStart"/>
      <w:r w:rsidRPr="005C444C">
        <w:t>are observed</w:t>
      </w:r>
      <w:proofErr w:type="gramEnd"/>
      <w:r w:rsidRPr="005C444C">
        <w:t xml:space="preserve"> regarding costs per EFTSL at the postgraduate level </w:t>
      </w:r>
      <w:r w:rsidRPr="00495A65">
        <w:t>(</w:t>
      </w:r>
      <w:r w:rsidR="00547EB3">
        <w:fldChar w:fldCharType="begin"/>
      </w:r>
      <w:r w:rsidR="00547EB3">
        <w:instrText xml:space="preserve"> REF _Ref534722662 \r \h </w:instrText>
      </w:r>
      <w:r w:rsidR="00547EB3">
        <w:fldChar w:fldCharType="separate"/>
      </w:r>
      <w:r w:rsidR="00F47C96">
        <w:t>Chart iii</w:t>
      </w:r>
      <w:r w:rsidR="00547EB3">
        <w:fldChar w:fldCharType="end"/>
      </w:r>
      <w:r w:rsidRPr="00495A65">
        <w:t>)</w:t>
      </w:r>
      <w:r w:rsidRPr="005C444C">
        <w:t xml:space="preserve">. The </w:t>
      </w:r>
      <w:r>
        <w:t>h</w:t>
      </w:r>
      <w:r w:rsidRPr="005C444C">
        <w:t xml:space="preserve">ealth </w:t>
      </w:r>
      <w:r>
        <w:t>s</w:t>
      </w:r>
      <w:r w:rsidRPr="005C444C">
        <w:t xml:space="preserve">ciences fields – Veterinary Studies </w:t>
      </w:r>
      <w:r w:rsidRPr="00495A65">
        <w:t>($82,</w:t>
      </w:r>
      <w:r>
        <w:t>600</w:t>
      </w:r>
      <w:r w:rsidRPr="00495A65">
        <w:t>)</w:t>
      </w:r>
      <w:r w:rsidRPr="005C444C">
        <w:t xml:space="preserve">, Dental Studies </w:t>
      </w:r>
      <w:r w:rsidRPr="00495A65">
        <w:t>($44,</w:t>
      </w:r>
      <w:r>
        <w:t>500</w:t>
      </w:r>
      <w:r w:rsidRPr="00495A65">
        <w:t>)</w:t>
      </w:r>
      <w:r w:rsidRPr="005C444C">
        <w:t xml:space="preserve"> and Other Agricultural and Environmental studies </w:t>
      </w:r>
      <w:r w:rsidRPr="00495A65">
        <w:t>($</w:t>
      </w:r>
      <w:r>
        <w:t>39,800</w:t>
      </w:r>
      <w:r w:rsidRPr="00134C0F">
        <w:t>)</w:t>
      </w:r>
      <w:r>
        <w:t xml:space="preserve"> – exhibit the highest average cost per EFTSL at t</w:t>
      </w:r>
      <w:r w:rsidRPr="005C444C">
        <w:t xml:space="preserve">he postgraduate level, while Communications and Media </w:t>
      </w:r>
      <w:r w:rsidRPr="00495A65">
        <w:t>($16,</w:t>
      </w:r>
      <w:r>
        <w:t>900</w:t>
      </w:r>
      <w:r w:rsidRPr="00495A65">
        <w:t>)</w:t>
      </w:r>
      <w:r w:rsidRPr="005C444C">
        <w:t xml:space="preserve">, Education </w:t>
      </w:r>
      <w:r w:rsidRPr="00495A65">
        <w:t>($17,</w:t>
      </w:r>
      <w:r w:rsidR="00EC2F8D">
        <w:t>500</w:t>
      </w:r>
      <w:r w:rsidRPr="00495A65">
        <w:t>)</w:t>
      </w:r>
      <w:r w:rsidRPr="005C444C">
        <w:t xml:space="preserve">, and Management and Commerce </w:t>
      </w:r>
      <w:r w:rsidRPr="00495A65">
        <w:t>($18,</w:t>
      </w:r>
      <w:r w:rsidR="00EC2F8D">
        <w:t>300</w:t>
      </w:r>
      <w:r w:rsidRPr="00495A65">
        <w:t>)</w:t>
      </w:r>
      <w:r>
        <w:t xml:space="preserve"> recorded the lowest average cost per EFTSL.</w:t>
      </w:r>
      <w:r w:rsidRPr="005C444C">
        <w:rPr>
          <w:rStyle w:val="FootnoteReference"/>
        </w:rPr>
        <w:footnoteReference w:id="7"/>
      </w:r>
      <w:r>
        <w:t xml:space="preserve"> </w:t>
      </w:r>
    </w:p>
    <w:p w14:paraId="3DB18692" w14:textId="77777777" w:rsidR="00537973" w:rsidRDefault="00537973" w:rsidP="00537973">
      <w:r>
        <w:t xml:space="preserve">On average, the </w:t>
      </w:r>
      <w:r w:rsidRPr="00134C0F">
        <w:t xml:space="preserve">cost </w:t>
      </w:r>
      <w:r>
        <w:t xml:space="preserve">of </w:t>
      </w:r>
      <w:r w:rsidRPr="00134C0F">
        <w:t>postgraduate stud</w:t>
      </w:r>
      <w:r>
        <w:t>y</w:t>
      </w:r>
      <w:r w:rsidRPr="00134C0F">
        <w:t xml:space="preserve"> </w:t>
      </w:r>
      <w:r>
        <w:t xml:space="preserve">per EFTSL </w:t>
      </w:r>
      <w:r w:rsidRPr="00870C2E">
        <w:t xml:space="preserve">is </w:t>
      </w:r>
      <w:r w:rsidRPr="00495A65">
        <w:t>2</w:t>
      </w:r>
      <w:r>
        <w:t>8</w:t>
      </w:r>
      <w:r w:rsidRPr="00495A65">
        <w:t>% ($4,</w:t>
      </w:r>
      <w:r>
        <w:t>900</w:t>
      </w:r>
      <w:r w:rsidRPr="00870C2E">
        <w:t xml:space="preserve">) higher than at the </w:t>
      </w:r>
      <w:r>
        <w:t>b</w:t>
      </w:r>
      <w:r w:rsidRPr="00870C2E">
        <w:t>achelor level</w:t>
      </w:r>
      <w:r>
        <w:t xml:space="preserve">. This may reflect differences in the way these qualifications </w:t>
      </w:r>
      <w:proofErr w:type="gramStart"/>
      <w:r>
        <w:t>are taught</w:t>
      </w:r>
      <w:proofErr w:type="gramEnd"/>
      <w:r>
        <w:t xml:space="preserve"> including potentially </w:t>
      </w:r>
      <w:r w:rsidRPr="00134C0F">
        <w:t>smaller class sizes, more senior teaching staff</w:t>
      </w:r>
      <w:r>
        <w:t xml:space="preserve"> and different forms of instruction</w:t>
      </w:r>
      <w:r w:rsidRPr="00134C0F">
        <w:t>, among other reasons</w:t>
      </w:r>
      <w:r>
        <w:t xml:space="preserve">, such as the mix of fields taught (again noting that these potential </w:t>
      </w:r>
      <w:proofErr w:type="spellStart"/>
      <w:r>
        <w:t>explanators</w:t>
      </w:r>
      <w:proofErr w:type="spellEnd"/>
      <w:r>
        <w:t xml:space="preserve"> are not examined in detail in this report or its associated analysis). Variation in costs within fields also tends to be greater at the postgraduate level than for bachelor level studies, with the greatest variation observed</w:t>
      </w:r>
      <w:r w:rsidRPr="00870C2E">
        <w:t xml:space="preserve"> in Environmental Science and </w:t>
      </w:r>
      <w:r w:rsidRPr="00495A65">
        <w:t>Other Natural and Physical Sciences</w:t>
      </w:r>
      <w:r>
        <w:t>.</w:t>
      </w:r>
    </w:p>
    <w:p w14:paraId="5E84662E" w14:textId="77777777" w:rsidR="00537973" w:rsidRDefault="00537973" w:rsidP="00537973">
      <w:pPr>
        <w:pStyle w:val="ExecChartCaption"/>
      </w:pPr>
      <w:bookmarkStart w:id="92" w:name="_Toc534713813"/>
      <w:bookmarkStart w:id="93" w:name="_Ref534722662"/>
      <w:r>
        <w:lastRenderedPageBreak/>
        <w:t>: Distribution of unit costs by field for postgraduate studies</w:t>
      </w:r>
      <w:bookmarkEnd w:id="92"/>
      <w:bookmarkEnd w:id="93"/>
    </w:p>
    <w:p w14:paraId="1850D612" w14:textId="2B53DD35" w:rsidR="00537973" w:rsidRDefault="00EC2F8D" w:rsidP="00537973">
      <w:r w:rsidRPr="00EC2F8D">
        <w:rPr>
          <w:noProof/>
          <w:lang w:eastAsia="en-AU"/>
        </w:rPr>
        <w:drawing>
          <wp:inline distT="0" distB="0" distL="0" distR="0" wp14:anchorId="439A1E31" wp14:editId="0A851924">
            <wp:extent cx="4549775" cy="2720975"/>
            <wp:effectExtent l="0" t="0" r="3175" b="317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49775" cy="2720975"/>
                    </a:xfrm>
                    <a:prstGeom prst="rect">
                      <a:avLst/>
                    </a:prstGeom>
                    <a:noFill/>
                    <a:ln>
                      <a:noFill/>
                    </a:ln>
                  </pic:spPr>
                </pic:pic>
              </a:graphicData>
            </a:graphic>
          </wp:inline>
        </w:drawing>
      </w:r>
    </w:p>
    <w:p w14:paraId="70311E78" w14:textId="77777777" w:rsidR="00537973" w:rsidRPr="005D4FB6" w:rsidRDefault="00537973" w:rsidP="00537973">
      <w:pPr>
        <w:pStyle w:val="Source"/>
      </w:pPr>
      <w:r>
        <w:t>Note: 350 cost observations across 24 universities. Outliers excluded. Marker at mean</w:t>
      </w:r>
      <w:r w:rsidRPr="00337E62">
        <w:t>,</w:t>
      </w:r>
      <w:r>
        <w:t xml:space="preserve"> box width between 25</w:t>
      </w:r>
      <w:r w:rsidRPr="00E67283">
        <w:rPr>
          <w:vertAlign w:val="superscript"/>
        </w:rPr>
        <w:t>th</w:t>
      </w:r>
      <w:r>
        <w:t xml:space="preserve"> and 75</w:t>
      </w:r>
      <w:r w:rsidRPr="00E67283">
        <w:rPr>
          <w:vertAlign w:val="superscript"/>
        </w:rPr>
        <w:t>th</w:t>
      </w:r>
      <w:r>
        <w:t xml:space="preserve"> percentile, and tails at minimum and maximum. Total EFTSL counts are in parentheses after field labels. </w:t>
      </w:r>
    </w:p>
    <w:p w14:paraId="276AC8B2" w14:textId="02743599" w:rsidR="00537973" w:rsidRDefault="00537973" w:rsidP="00537973">
      <w:pPr>
        <w:rPr>
          <w:highlight w:val="yellow"/>
        </w:rPr>
      </w:pPr>
      <w:r>
        <w:t>In contrast to the postgraduate level, studies at the sub-bach</w:t>
      </w:r>
      <w:r w:rsidRPr="00870C2E">
        <w:t>elor level tend to exhibit on average lower costs per EFTSL (</w:t>
      </w:r>
      <w:r>
        <w:t>8</w:t>
      </w:r>
      <w:r w:rsidRPr="00495A65">
        <w:t>% or $1,</w:t>
      </w:r>
      <w:r>
        <w:t>400</w:t>
      </w:r>
      <w:r w:rsidRPr="00495A65">
        <w:t xml:space="preserve"> lower</w:t>
      </w:r>
      <w:r w:rsidRPr="00870C2E">
        <w:t>) than at the bachelor level.</w:t>
      </w:r>
      <w:r>
        <w:t xml:space="preserve"> </w:t>
      </w:r>
      <w:r w:rsidRPr="00337E62">
        <w:t>At the sub-bachelor level, while there is less variation in average costs per EFTSL across fields compared to postgraduate and bachelor level studies, there is nonetheless comparable variation within fields</w:t>
      </w:r>
      <w:r>
        <w:t xml:space="preserve"> (</w:t>
      </w:r>
      <w:r w:rsidR="00892DAA">
        <w:fldChar w:fldCharType="begin"/>
      </w:r>
      <w:r w:rsidR="00892DAA">
        <w:instrText xml:space="preserve"> REF _Ref534723943 \r \h </w:instrText>
      </w:r>
      <w:r w:rsidR="00892DAA">
        <w:fldChar w:fldCharType="separate"/>
      </w:r>
      <w:r w:rsidR="00F47C96">
        <w:t xml:space="preserve">Chart </w:t>
      </w:r>
      <w:proofErr w:type="gramStart"/>
      <w:r w:rsidR="00F47C96">
        <w:t>iv</w:t>
      </w:r>
      <w:proofErr w:type="gramEnd"/>
      <w:r w:rsidR="00892DAA">
        <w:fldChar w:fldCharType="end"/>
      </w:r>
      <w:r>
        <w:t>)</w:t>
      </w:r>
      <w:r w:rsidRPr="00337E62">
        <w:t>.</w:t>
      </w:r>
    </w:p>
    <w:p w14:paraId="46A22C1B" w14:textId="77777777" w:rsidR="00537973" w:rsidRPr="00495A65" w:rsidRDefault="00537973" w:rsidP="00537973">
      <w:pPr>
        <w:pStyle w:val="ExecChartCaption"/>
      </w:pPr>
      <w:bookmarkStart w:id="94" w:name="_Toc534713814"/>
      <w:bookmarkStart w:id="95" w:name="_Ref534723943"/>
      <w:r w:rsidRPr="00495A65">
        <w:t xml:space="preserve">: Distribution of units costs by field for sub-bachelor </w:t>
      </w:r>
      <w:r>
        <w:t>studies</w:t>
      </w:r>
      <w:bookmarkEnd w:id="94"/>
      <w:bookmarkEnd w:id="95"/>
    </w:p>
    <w:p w14:paraId="5682E0AC" w14:textId="55803F67" w:rsidR="00537973" w:rsidRPr="00932C20" w:rsidRDefault="00EC2F8D" w:rsidP="00537973">
      <w:r w:rsidRPr="00EC2F8D">
        <w:rPr>
          <w:noProof/>
          <w:lang w:eastAsia="en-AU"/>
        </w:rPr>
        <w:drawing>
          <wp:inline distT="0" distB="0" distL="0" distR="0" wp14:anchorId="736115DB" wp14:editId="6E906AF7">
            <wp:extent cx="4549775" cy="2720975"/>
            <wp:effectExtent l="0" t="0" r="3175"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49775" cy="2720975"/>
                    </a:xfrm>
                    <a:prstGeom prst="rect">
                      <a:avLst/>
                    </a:prstGeom>
                    <a:noFill/>
                    <a:ln>
                      <a:noFill/>
                    </a:ln>
                  </pic:spPr>
                </pic:pic>
              </a:graphicData>
            </a:graphic>
          </wp:inline>
        </w:drawing>
      </w:r>
    </w:p>
    <w:p w14:paraId="75F210A8" w14:textId="77777777" w:rsidR="00537973" w:rsidRPr="005D4FB6" w:rsidRDefault="00537973" w:rsidP="00537973">
      <w:pPr>
        <w:pStyle w:val="Source"/>
      </w:pPr>
      <w:r>
        <w:t>Note: 144 cost observations across 20 universities. Outliers excluded. Marker at mean</w:t>
      </w:r>
      <w:r w:rsidRPr="00337E62">
        <w:t>,</w:t>
      </w:r>
      <w:r>
        <w:t xml:space="preserve"> box width between 25</w:t>
      </w:r>
      <w:r w:rsidRPr="00E67283">
        <w:rPr>
          <w:vertAlign w:val="superscript"/>
        </w:rPr>
        <w:t>th</w:t>
      </w:r>
      <w:r>
        <w:t xml:space="preserve"> and 75</w:t>
      </w:r>
      <w:r w:rsidRPr="00E67283">
        <w:rPr>
          <w:vertAlign w:val="superscript"/>
        </w:rPr>
        <w:t>th</w:t>
      </w:r>
      <w:r>
        <w:t xml:space="preserve"> percentile, and tails at minimum and maximum. Total EFTSL counts are in parentheses after field labels. </w:t>
      </w:r>
    </w:p>
    <w:p w14:paraId="6275E5A1" w14:textId="77777777" w:rsidR="00932C20" w:rsidRDefault="00932C20">
      <w:pPr>
        <w:spacing w:after="0"/>
        <w:rPr>
          <w:rFonts w:eastAsiaTheme="majorEastAsia" w:cstheme="majorBidi"/>
          <w:b/>
          <w:bCs/>
          <w:color w:val="62B5E5" w:themeColor="accent3"/>
          <w:szCs w:val="26"/>
        </w:rPr>
      </w:pPr>
      <w:r>
        <w:br w:type="page"/>
      </w:r>
    </w:p>
    <w:p w14:paraId="5FF74134" w14:textId="77777777" w:rsidR="00537973" w:rsidRDefault="00537973" w:rsidP="00537973">
      <w:pPr>
        <w:pStyle w:val="Heading2"/>
        <w:numPr>
          <w:ilvl w:val="0"/>
          <w:numId w:val="0"/>
        </w:numPr>
      </w:pPr>
      <w:bookmarkStart w:id="96" w:name="_Toc534713784"/>
      <w:r>
        <w:lastRenderedPageBreak/>
        <w:t>How these findings compare to previous studies</w:t>
      </w:r>
      <w:bookmarkEnd w:id="96"/>
      <w:r>
        <w:t xml:space="preserve"> </w:t>
      </w:r>
    </w:p>
    <w:p w14:paraId="2B8D616D" w14:textId="77777777" w:rsidR="00537973" w:rsidRDefault="00537973" w:rsidP="00537973">
      <w:r>
        <w:t xml:space="preserve">Of the 25 universities included in this study, 17 participated in the 2016 exercise. Examining the results of the common sample of universities between the two studies provides an indication of how the cost of teaching changed between 2015 and 2017, on average and across fields. </w:t>
      </w:r>
    </w:p>
    <w:p w14:paraId="69DF5DE6" w14:textId="77777777" w:rsidR="00537973" w:rsidRDefault="00537973" w:rsidP="00537973">
      <w:r>
        <w:t xml:space="preserve">As outlined above, a small number of modifications </w:t>
      </w:r>
      <w:proofErr w:type="gramStart"/>
      <w:r>
        <w:t>were made</w:t>
      </w:r>
      <w:proofErr w:type="gramEnd"/>
      <w:r>
        <w:t xml:space="preserve"> to the data collection methodology and process between the two studies. These </w:t>
      </w:r>
      <w:proofErr w:type="gramStart"/>
      <w:r>
        <w:t>are not deemed</w:t>
      </w:r>
      <w:proofErr w:type="gramEnd"/>
      <w:r>
        <w:t xml:space="preserve"> to materially influence the ability to compare results between the studies. </w:t>
      </w:r>
    </w:p>
    <w:p w14:paraId="39222F73" w14:textId="77777777" w:rsidR="00537973" w:rsidRDefault="00537973" w:rsidP="00537973">
      <w:r>
        <w:t xml:space="preserve">Nevertheless, comparability </w:t>
      </w:r>
      <w:proofErr w:type="gramStart"/>
      <w:r>
        <w:t>can be influenced</w:t>
      </w:r>
      <w:proofErr w:type="gramEnd"/>
      <w:r>
        <w:t xml:space="preserve"> by factors such as one-off costs, changes to university structures (within a given university) and ongoing policy and strategic changes in the sector.  These factors </w:t>
      </w:r>
      <w:proofErr w:type="gramStart"/>
      <w:r>
        <w:t>are not readily controlled</w:t>
      </w:r>
      <w:proofErr w:type="gramEnd"/>
      <w:r>
        <w:t xml:space="preserve"> for in an exercise such as this. </w:t>
      </w:r>
    </w:p>
    <w:p w14:paraId="6F832205" w14:textId="031198F7" w:rsidR="00537973" w:rsidRDefault="00537973" w:rsidP="00537973">
      <w:r>
        <w:t>These points noted, an analysis of costs over time reveals that, on average, costs per EFTSL</w:t>
      </w:r>
      <w:r w:rsidR="00A07C35">
        <w:t xml:space="preserve"> for bachelor studies</w:t>
      </w:r>
      <w:r>
        <w:t xml:space="preserve"> among the common sample universities </w:t>
      </w:r>
      <w:r w:rsidR="00A07C35">
        <w:t>increased</w:t>
      </w:r>
      <w:r w:rsidR="00892DAA">
        <w:t xml:space="preserve"> </w:t>
      </w:r>
      <w:r w:rsidRPr="00D9748B">
        <w:t xml:space="preserve">in </w:t>
      </w:r>
      <w:r w:rsidR="00A07C35">
        <w:t xml:space="preserve">11 </w:t>
      </w:r>
      <w:r w:rsidRPr="00D9748B">
        <w:t xml:space="preserve">of 19 fields of education, </w:t>
      </w:r>
      <w:r w:rsidR="00A07C35">
        <w:t xml:space="preserve">and </w:t>
      </w:r>
      <w:r w:rsidRPr="00D9748B">
        <w:t xml:space="preserve">decreased in </w:t>
      </w:r>
      <w:r w:rsidR="00A07C35">
        <w:t xml:space="preserve">eight </w:t>
      </w:r>
      <w:r w:rsidRPr="00D9748B">
        <w:t>(</w:t>
      </w:r>
      <w:r w:rsidR="00892DAA">
        <w:fldChar w:fldCharType="begin"/>
      </w:r>
      <w:r w:rsidR="00892DAA">
        <w:instrText xml:space="preserve"> REF _Ref534724080 \r \h </w:instrText>
      </w:r>
      <w:r w:rsidR="00892DAA">
        <w:fldChar w:fldCharType="separate"/>
      </w:r>
      <w:r w:rsidR="00F47C96">
        <w:t>Chart v</w:t>
      </w:r>
      <w:r w:rsidR="00892DAA">
        <w:fldChar w:fldCharType="end"/>
      </w:r>
      <w:r w:rsidRPr="00D9748B">
        <w:t xml:space="preserve">). </w:t>
      </w:r>
      <w:r w:rsidRPr="00495A65">
        <w:t>The largest proportional increases tend to be in fields with lower costs per EFTSL, such as Management and Commerce (+1</w:t>
      </w:r>
      <w:r w:rsidR="00A07C35">
        <w:t>3</w:t>
      </w:r>
      <w:r w:rsidRPr="00495A65">
        <w:t>%), Foreign Languages (+1</w:t>
      </w:r>
      <w:r w:rsidR="00A07C35">
        <w:t>3</w:t>
      </w:r>
      <w:r w:rsidRPr="00495A65">
        <w:t xml:space="preserve">%), and </w:t>
      </w:r>
      <w:r w:rsidR="00892DAA">
        <w:t>Other Society and Culture</w:t>
      </w:r>
      <w:r w:rsidR="00892DAA" w:rsidRPr="00495A65">
        <w:t xml:space="preserve"> </w:t>
      </w:r>
      <w:r w:rsidRPr="00495A65">
        <w:t>(+1</w:t>
      </w:r>
      <w:r w:rsidR="00A07C35">
        <w:t>0</w:t>
      </w:r>
      <w:r w:rsidRPr="00495A65">
        <w:t>%).</w:t>
      </w:r>
      <w:r w:rsidRPr="00D9748B">
        <w:t xml:space="preserve"> The </w:t>
      </w:r>
      <w:r w:rsidR="00AA1E00">
        <w:t>largest proportional decreases occurred in Dental Studies (-</w:t>
      </w:r>
      <w:r w:rsidR="00A07C35">
        <w:t>18</w:t>
      </w:r>
      <w:r w:rsidR="00AA1E00">
        <w:t>%), Other Agricultural and Environmental Studies (-</w:t>
      </w:r>
      <w:r w:rsidR="00A07C35">
        <w:t>9</w:t>
      </w:r>
      <w:r w:rsidR="00AA1E00">
        <w:t xml:space="preserve">%), and </w:t>
      </w:r>
      <w:r w:rsidR="00A07C35">
        <w:t xml:space="preserve">Information Technology </w:t>
      </w:r>
      <w:r w:rsidR="00AA1E00">
        <w:t>(-</w:t>
      </w:r>
      <w:r w:rsidR="00A07C35">
        <w:t>5</w:t>
      </w:r>
      <w:r w:rsidR="00AA1E00">
        <w:t>%).</w:t>
      </w:r>
      <w:r>
        <w:t xml:space="preserve">   </w:t>
      </w:r>
      <w:r w:rsidRPr="00E75E47">
        <w:t xml:space="preserve"> </w:t>
      </w:r>
    </w:p>
    <w:p w14:paraId="14BD1274" w14:textId="77777777" w:rsidR="00537973" w:rsidRDefault="00537973" w:rsidP="00537973">
      <w:pPr>
        <w:pStyle w:val="ExecChartCaption"/>
      </w:pPr>
      <w:bookmarkStart w:id="97" w:name="_Toc534713815"/>
      <w:bookmarkStart w:id="98" w:name="_Ref534724080"/>
      <w:r>
        <w:t>: Comparing unit costs between 2016 and 2018 studies for bachelor, common sample</w:t>
      </w:r>
      <w:bookmarkEnd w:id="97"/>
      <w:bookmarkEnd w:id="98"/>
      <w:r>
        <w:t xml:space="preserve"> </w:t>
      </w:r>
    </w:p>
    <w:p w14:paraId="3479B0B3" w14:textId="48E2C6CB" w:rsidR="00537973" w:rsidRDefault="003F2FE3" w:rsidP="00537973">
      <w:r w:rsidRPr="003F2FE3">
        <w:rPr>
          <w:noProof/>
          <w:lang w:eastAsia="en-AU"/>
        </w:rPr>
        <w:drawing>
          <wp:inline distT="0" distB="0" distL="0" distR="0" wp14:anchorId="0049BFDB" wp14:editId="2851DD8C">
            <wp:extent cx="5760720" cy="2814086"/>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2814086"/>
                    </a:xfrm>
                    <a:prstGeom prst="rect">
                      <a:avLst/>
                    </a:prstGeom>
                    <a:noFill/>
                    <a:ln>
                      <a:noFill/>
                    </a:ln>
                  </pic:spPr>
                </pic:pic>
              </a:graphicData>
            </a:graphic>
          </wp:inline>
        </w:drawing>
      </w:r>
    </w:p>
    <w:p w14:paraId="3B7CA496" w14:textId="77777777" w:rsidR="00537973" w:rsidRDefault="00537973" w:rsidP="00537973">
      <w:pPr>
        <w:pStyle w:val="Source"/>
      </w:pPr>
      <w:r w:rsidRPr="004F307D">
        <w:t xml:space="preserve">Note: </w:t>
      </w:r>
      <w:r>
        <w:t>For comparability, only the 17 universities common to both studies are included. Markers are at mean.</w:t>
      </w:r>
    </w:p>
    <w:p w14:paraId="37C2D500" w14:textId="089856D0" w:rsidR="00537973" w:rsidRDefault="00537973" w:rsidP="00537973">
      <w:r>
        <w:t xml:space="preserve">The figures in Table </w:t>
      </w:r>
      <w:proofErr w:type="spellStart"/>
      <w:r>
        <w:t>i</w:t>
      </w:r>
      <w:proofErr w:type="spellEnd"/>
      <w:r>
        <w:t xml:space="preserve"> show that the average cost per EFTSL of bachelor level study rose from $16,200 in 2015 to $</w:t>
      </w:r>
      <w:r w:rsidR="00A95D6E">
        <w:t>16,900</w:t>
      </w:r>
      <w:r>
        <w:t xml:space="preserve"> in 2017 among the common sample universities, an increase of </w:t>
      </w:r>
      <w:r w:rsidR="00A95D6E">
        <w:t>4.6</w:t>
      </w:r>
      <w:r>
        <w:t xml:space="preserve">% (as shown in </w:t>
      </w:r>
      <w:r w:rsidR="00A97F13">
        <w:t>Table i</w:t>
      </w:r>
      <w:r w:rsidR="009C5E08">
        <w:t>i</w:t>
      </w:r>
      <w:r>
        <w:t>). Average unit costs for the full sample of 25 universities was higher at $17,</w:t>
      </w:r>
      <w:r w:rsidR="00A95D6E">
        <w:t xml:space="preserve">300 </w:t>
      </w:r>
      <w:r>
        <w:t>(noting that the full sample includes universities in the common sample). Growth in postgraduate costs grew at a faster rate over the last two years of 6.</w:t>
      </w:r>
      <w:r w:rsidR="00A95D6E">
        <w:t>4</w:t>
      </w:r>
      <w:r>
        <w:t>% for the common sample.</w:t>
      </w:r>
    </w:p>
    <w:p w14:paraId="487237EB" w14:textId="77777777" w:rsidR="00537973" w:rsidRDefault="00537973" w:rsidP="00537973">
      <w:pPr>
        <w:spacing w:after="0"/>
      </w:pPr>
      <w:r>
        <w:br w:type="page"/>
      </w:r>
    </w:p>
    <w:p w14:paraId="60D800D2" w14:textId="77777777" w:rsidR="00537973" w:rsidRDefault="00537973" w:rsidP="00537973">
      <w:pPr>
        <w:pStyle w:val="ExecTableCaption"/>
      </w:pPr>
      <w:bookmarkStart w:id="99" w:name="_Ref534627707"/>
      <w:bookmarkStart w:id="100" w:name="_Toc534713844"/>
      <w:r>
        <w:lastRenderedPageBreak/>
        <w:t>: Average unit cost per EFTSL</w:t>
      </w:r>
      <w:bookmarkEnd w:id="99"/>
      <w:bookmarkEnd w:id="100"/>
      <w:r>
        <w:t xml:space="preserve"> </w:t>
      </w:r>
    </w:p>
    <w:tbl>
      <w:tblPr>
        <w:tblStyle w:val="Deloittetable"/>
        <w:tblW w:w="8505" w:type="dxa"/>
        <w:tblLayout w:type="fixed"/>
        <w:tblLook w:val="04A0" w:firstRow="1" w:lastRow="0" w:firstColumn="1" w:lastColumn="0" w:noHBand="0" w:noVBand="1"/>
      </w:tblPr>
      <w:tblGrid>
        <w:gridCol w:w="1418"/>
        <w:gridCol w:w="1417"/>
        <w:gridCol w:w="1417"/>
        <w:gridCol w:w="1418"/>
        <w:gridCol w:w="1303"/>
        <w:gridCol w:w="1532"/>
      </w:tblGrid>
      <w:tr w:rsidR="00537973" w14:paraId="7694020A" w14:textId="77777777" w:rsidTr="001E5234">
        <w:trPr>
          <w:cnfStyle w:val="100000000000" w:firstRow="1" w:lastRow="0" w:firstColumn="0" w:lastColumn="0" w:oddVBand="0" w:evenVBand="0" w:oddHBand="0" w:evenHBand="0" w:firstRowFirstColumn="0" w:firstRowLastColumn="0" w:lastRowFirstColumn="0" w:lastRowLastColumn="0"/>
          <w:trHeight w:val="235"/>
        </w:trPr>
        <w:tc>
          <w:tcPr>
            <w:tcW w:w="1418" w:type="dxa"/>
            <w:noWrap/>
            <w:hideMark/>
          </w:tcPr>
          <w:p w14:paraId="59A458F2" w14:textId="77777777" w:rsidR="00537973" w:rsidRPr="007E7352" w:rsidRDefault="00537973" w:rsidP="001E5234">
            <w:pPr>
              <w:spacing w:after="0"/>
              <w:rPr>
                <w:sz w:val="16"/>
                <w:szCs w:val="16"/>
              </w:rPr>
            </w:pPr>
          </w:p>
        </w:tc>
        <w:tc>
          <w:tcPr>
            <w:tcW w:w="1417" w:type="dxa"/>
          </w:tcPr>
          <w:p w14:paraId="10F521E5" w14:textId="77777777" w:rsidR="00537973" w:rsidRPr="007E7352" w:rsidRDefault="00537973" w:rsidP="001E5234">
            <w:pPr>
              <w:spacing w:after="0"/>
              <w:jc w:val="center"/>
              <w:rPr>
                <w:b/>
                <w:bCs/>
                <w:sz w:val="16"/>
                <w:szCs w:val="16"/>
              </w:rPr>
            </w:pPr>
          </w:p>
        </w:tc>
        <w:tc>
          <w:tcPr>
            <w:tcW w:w="1417" w:type="dxa"/>
            <w:noWrap/>
            <w:hideMark/>
          </w:tcPr>
          <w:p w14:paraId="272209D6" w14:textId="77777777" w:rsidR="00537973" w:rsidRPr="007E7352" w:rsidRDefault="00537973" w:rsidP="001E5234">
            <w:pPr>
              <w:spacing w:after="0"/>
              <w:jc w:val="center"/>
              <w:rPr>
                <w:sz w:val="16"/>
                <w:szCs w:val="16"/>
              </w:rPr>
            </w:pPr>
            <w:r w:rsidRPr="007E7352">
              <w:rPr>
                <w:b/>
                <w:bCs/>
                <w:sz w:val="16"/>
                <w:szCs w:val="16"/>
              </w:rPr>
              <w:t>2010</w:t>
            </w:r>
          </w:p>
        </w:tc>
        <w:tc>
          <w:tcPr>
            <w:tcW w:w="1418" w:type="dxa"/>
            <w:noWrap/>
            <w:hideMark/>
          </w:tcPr>
          <w:p w14:paraId="5FE020B2" w14:textId="77777777" w:rsidR="00537973" w:rsidRPr="007E7352" w:rsidRDefault="00537973" w:rsidP="001E5234">
            <w:pPr>
              <w:spacing w:after="0"/>
              <w:jc w:val="center"/>
              <w:rPr>
                <w:b/>
                <w:bCs/>
                <w:sz w:val="16"/>
                <w:szCs w:val="16"/>
              </w:rPr>
            </w:pPr>
            <w:r w:rsidRPr="007E7352">
              <w:rPr>
                <w:b/>
                <w:bCs/>
                <w:sz w:val="16"/>
                <w:szCs w:val="16"/>
              </w:rPr>
              <w:t>2015</w:t>
            </w:r>
          </w:p>
        </w:tc>
        <w:tc>
          <w:tcPr>
            <w:tcW w:w="2835" w:type="dxa"/>
            <w:gridSpan w:val="2"/>
            <w:hideMark/>
          </w:tcPr>
          <w:p w14:paraId="34533138" w14:textId="77777777" w:rsidR="00537973" w:rsidRPr="007E7352" w:rsidRDefault="00537973" w:rsidP="001E5234">
            <w:pPr>
              <w:spacing w:after="0"/>
              <w:jc w:val="center"/>
              <w:rPr>
                <w:b/>
                <w:bCs/>
                <w:sz w:val="16"/>
                <w:szCs w:val="16"/>
              </w:rPr>
            </w:pPr>
            <w:r w:rsidRPr="007E7352">
              <w:rPr>
                <w:b/>
                <w:bCs/>
                <w:sz w:val="16"/>
                <w:szCs w:val="16"/>
              </w:rPr>
              <w:t>2017</w:t>
            </w:r>
          </w:p>
        </w:tc>
      </w:tr>
      <w:tr w:rsidR="00537973" w14:paraId="2328D10D" w14:textId="77777777" w:rsidTr="001E5234">
        <w:trPr>
          <w:trHeight w:val="263"/>
        </w:trPr>
        <w:tc>
          <w:tcPr>
            <w:tcW w:w="1418" w:type="dxa"/>
            <w:noWrap/>
          </w:tcPr>
          <w:p w14:paraId="271F2B87" w14:textId="77777777" w:rsidR="00537973" w:rsidRPr="007E7352" w:rsidRDefault="00537973" w:rsidP="001E5234">
            <w:pPr>
              <w:spacing w:after="0"/>
              <w:rPr>
                <w:sz w:val="16"/>
                <w:szCs w:val="16"/>
              </w:rPr>
            </w:pPr>
          </w:p>
        </w:tc>
        <w:tc>
          <w:tcPr>
            <w:tcW w:w="1417" w:type="dxa"/>
          </w:tcPr>
          <w:p w14:paraId="71D5911D" w14:textId="77777777" w:rsidR="00537973" w:rsidRPr="007E7352" w:rsidRDefault="00537973" w:rsidP="001E5234">
            <w:pPr>
              <w:spacing w:after="0"/>
              <w:jc w:val="center"/>
              <w:rPr>
                <w:sz w:val="16"/>
                <w:szCs w:val="16"/>
              </w:rPr>
            </w:pPr>
            <w:r>
              <w:rPr>
                <w:sz w:val="16"/>
                <w:szCs w:val="16"/>
              </w:rPr>
              <w:t>FOE mix</w:t>
            </w:r>
          </w:p>
        </w:tc>
        <w:tc>
          <w:tcPr>
            <w:tcW w:w="1417" w:type="dxa"/>
            <w:noWrap/>
            <w:hideMark/>
          </w:tcPr>
          <w:p w14:paraId="292CF2C8" w14:textId="77777777" w:rsidR="00537973" w:rsidRPr="007E7352" w:rsidRDefault="00537973" w:rsidP="001E5234">
            <w:pPr>
              <w:spacing w:after="0"/>
              <w:jc w:val="center"/>
              <w:rPr>
                <w:sz w:val="16"/>
                <w:szCs w:val="16"/>
              </w:rPr>
            </w:pPr>
            <w:r w:rsidRPr="007E7352">
              <w:rPr>
                <w:sz w:val="16"/>
                <w:szCs w:val="16"/>
              </w:rPr>
              <w:t>8</w:t>
            </w:r>
            <w:r>
              <w:rPr>
                <w:sz w:val="16"/>
                <w:szCs w:val="16"/>
              </w:rPr>
              <w:t xml:space="preserve"> universities</w:t>
            </w:r>
          </w:p>
        </w:tc>
        <w:tc>
          <w:tcPr>
            <w:tcW w:w="1418" w:type="dxa"/>
            <w:noWrap/>
            <w:hideMark/>
          </w:tcPr>
          <w:p w14:paraId="3C6AB634" w14:textId="77777777" w:rsidR="00537973" w:rsidRPr="007E7352" w:rsidRDefault="00537973" w:rsidP="001E5234">
            <w:pPr>
              <w:spacing w:after="0"/>
              <w:jc w:val="center"/>
              <w:rPr>
                <w:sz w:val="16"/>
                <w:szCs w:val="16"/>
              </w:rPr>
            </w:pPr>
            <w:r w:rsidRPr="007E7352">
              <w:rPr>
                <w:sz w:val="16"/>
                <w:szCs w:val="16"/>
              </w:rPr>
              <w:t>17</w:t>
            </w:r>
            <w:r>
              <w:rPr>
                <w:sz w:val="16"/>
                <w:szCs w:val="16"/>
              </w:rPr>
              <w:t xml:space="preserve"> universities</w:t>
            </w:r>
          </w:p>
        </w:tc>
        <w:tc>
          <w:tcPr>
            <w:tcW w:w="1303" w:type="dxa"/>
            <w:hideMark/>
          </w:tcPr>
          <w:p w14:paraId="64DCB0AC" w14:textId="77777777" w:rsidR="00537973" w:rsidRPr="007E7352" w:rsidRDefault="00537973" w:rsidP="001E5234">
            <w:pPr>
              <w:spacing w:after="0"/>
              <w:jc w:val="center"/>
              <w:rPr>
                <w:sz w:val="16"/>
                <w:szCs w:val="16"/>
              </w:rPr>
            </w:pPr>
            <w:r w:rsidRPr="007E7352">
              <w:rPr>
                <w:sz w:val="16"/>
                <w:szCs w:val="16"/>
              </w:rPr>
              <w:t>Full sample (25)</w:t>
            </w:r>
          </w:p>
        </w:tc>
        <w:tc>
          <w:tcPr>
            <w:tcW w:w="1532" w:type="dxa"/>
            <w:hideMark/>
          </w:tcPr>
          <w:p w14:paraId="017290C7" w14:textId="77777777" w:rsidR="00537973" w:rsidRPr="007E7352" w:rsidRDefault="00537973" w:rsidP="001E5234">
            <w:pPr>
              <w:spacing w:after="0"/>
              <w:jc w:val="center"/>
              <w:rPr>
                <w:sz w:val="16"/>
                <w:szCs w:val="16"/>
                <w:lang w:eastAsia="en-AU"/>
              </w:rPr>
            </w:pPr>
            <w:r w:rsidRPr="007E7352">
              <w:rPr>
                <w:sz w:val="16"/>
                <w:szCs w:val="16"/>
                <w:lang w:eastAsia="en-AU"/>
              </w:rPr>
              <w:t>Common sample (17)</w:t>
            </w:r>
          </w:p>
        </w:tc>
      </w:tr>
      <w:tr w:rsidR="00AB1285" w14:paraId="39877D3C" w14:textId="77777777" w:rsidTr="00146B33">
        <w:trPr>
          <w:trHeight w:val="235"/>
        </w:trPr>
        <w:tc>
          <w:tcPr>
            <w:tcW w:w="1418" w:type="dxa"/>
            <w:vMerge w:val="restart"/>
            <w:noWrap/>
            <w:hideMark/>
          </w:tcPr>
          <w:p w14:paraId="6FE8A062" w14:textId="77777777" w:rsidR="00AB1285" w:rsidRPr="007E7352" w:rsidRDefault="00AB1285" w:rsidP="00AB1285">
            <w:pPr>
              <w:spacing w:after="0"/>
              <w:rPr>
                <w:sz w:val="16"/>
                <w:szCs w:val="16"/>
              </w:rPr>
            </w:pPr>
            <w:r>
              <w:rPr>
                <w:b/>
                <w:bCs/>
                <w:sz w:val="16"/>
                <w:szCs w:val="16"/>
              </w:rPr>
              <w:t>Bachelor</w:t>
            </w:r>
          </w:p>
        </w:tc>
        <w:tc>
          <w:tcPr>
            <w:tcW w:w="1417" w:type="dxa"/>
            <w:shd w:val="clear" w:color="auto" w:fill="auto"/>
          </w:tcPr>
          <w:p w14:paraId="4A5DD1F0" w14:textId="77777777" w:rsidR="00AB1285" w:rsidRDefault="00AB1285" w:rsidP="00AB1285">
            <w:pPr>
              <w:spacing w:after="0"/>
              <w:jc w:val="center"/>
              <w:rPr>
                <w:rFonts w:cs="Arial"/>
                <w:sz w:val="16"/>
                <w:szCs w:val="16"/>
              </w:rPr>
            </w:pPr>
            <w:r w:rsidRPr="001150A4">
              <w:rPr>
                <w:rFonts w:cs="Arial"/>
                <w:i/>
                <w:sz w:val="16"/>
                <w:szCs w:val="16"/>
              </w:rPr>
              <w:t xml:space="preserve">Actual </w:t>
            </w:r>
          </w:p>
        </w:tc>
        <w:tc>
          <w:tcPr>
            <w:tcW w:w="1417" w:type="dxa"/>
            <w:shd w:val="clear" w:color="auto" w:fill="auto"/>
            <w:noWrap/>
            <w:hideMark/>
          </w:tcPr>
          <w:p w14:paraId="0C4BCFDD" w14:textId="77777777" w:rsidR="00AB1285" w:rsidRPr="007E7352" w:rsidRDefault="00AB1285" w:rsidP="00AB1285">
            <w:pPr>
              <w:spacing w:after="0"/>
              <w:jc w:val="center"/>
              <w:rPr>
                <w:sz w:val="16"/>
                <w:szCs w:val="16"/>
              </w:rPr>
            </w:pPr>
            <w:r>
              <w:rPr>
                <w:rFonts w:cs="Arial"/>
                <w:sz w:val="16"/>
                <w:szCs w:val="16"/>
              </w:rPr>
              <w:t>$15,100</w:t>
            </w:r>
          </w:p>
        </w:tc>
        <w:tc>
          <w:tcPr>
            <w:tcW w:w="1418" w:type="dxa"/>
            <w:shd w:val="clear" w:color="auto" w:fill="auto"/>
            <w:noWrap/>
            <w:hideMark/>
          </w:tcPr>
          <w:p w14:paraId="5372056F" w14:textId="77777777" w:rsidR="00AB1285" w:rsidRPr="007E7352" w:rsidRDefault="00AB1285" w:rsidP="00AB1285">
            <w:pPr>
              <w:spacing w:after="0"/>
              <w:jc w:val="center"/>
              <w:rPr>
                <w:sz w:val="16"/>
                <w:szCs w:val="16"/>
              </w:rPr>
            </w:pPr>
            <w:r>
              <w:rPr>
                <w:rFonts w:cs="Arial"/>
                <w:sz w:val="16"/>
                <w:szCs w:val="16"/>
              </w:rPr>
              <w:t>$16,200</w:t>
            </w:r>
          </w:p>
        </w:tc>
        <w:tc>
          <w:tcPr>
            <w:tcW w:w="1303" w:type="dxa"/>
            <w:tcBorders>
              <w:top w:val="nil"/>
              <w:left w:val="nil"/>
              <w:bottom w:val="single" w:sz="4" w:space="0" w:color="auto"/>
              <w:right w:val="nil"/>
            </w:tcBorders>
            <w:shd w:val="clear" w:color="auto" w:fill="auto"/>
            <w:noWrap/>
            <w:vAlign w:val="bottom"/>
            <w:hideMark/>
          </w:tcPr>
          <w:p w14:paraId="58475D59" w14:textId="57472355" w:rsidR="00AB1285" w:rsidRPr="007E7352" w:rsidRDefault="00AB1285" w:rsidP="00AB1285">
            <w:pPr>
              <w:spacing w:after="0"/>
              <w:jc w:val="center"/>
              <w:rPr>
                <w:sz w:val="16"/>
                <w:szCs w:val="16"/>
              </w:rPr>
            </w:pPr>
            <w:r>
              <w:rPr>
                <w:rFonts w:cs="Arial"/>
                <w:sz w:val="16"/>
                <w:szCs w:val="16"/>
              </w:rPr>
              <w:t>$17,300</w:t>
            </w:r>
          </w:p>
        </w:tc>
        <w:tc>
          <w:tcPr>
            <w:tcW w:w="1532" w:type="dxa"/>
            <w:tcBorders>
              <w:top w:val="nil"/>
              <w:left w:val="nil"/>
              <w:bottom w:val="single" w:sz="4" w:space="0" w:color="auto"/>
              <w:right w:val="nil"/>
            </w:tcBorders>
            <w:shd w:val="clear" w:color="auto" w:fill="auto"/>
            <w:noWrap/>
            <w:vAlign w:val="bottom"/>
            <w:hideMark/>
          </w:tcPr>
          <w:p w14:paraId="44D4F9FF" w14:textId="5F23666F" w:rsidR="00AB1285" w:rsidRPr="007E7352" w:rsidRDefault="00AB1285" w:rsidP="00AB1285">
            <w:pPr>
              <w:spacing w:after="0"/>
              <w:jc w:val="center"/>
              <w:rPr>
                <w:sz w:val="16"/>
                <w:szCs w:val="16"/>
                <w:lang w:eastAsia="en-AU"/>
              </w:rPr>
            </w:pPr>
            <w:r>
              <w:rPr>
                <w:rFonts w:cs="Arial"/>
                <w:sz w:val="16"/>
                <w:szCs w:val="16"/>
              </w:rPr>
              <w:t>$16,900</w:t>
            </w:r>
          </w:p>
        </w:tc>
      </w:tr>
      <w:tr w:rsidR="00AB1285" w14:paraId="6A8278DF" w14:textId="77777777" w:rsidTr="00146B33">
        <w:trPr>
          <w:trHeight w:val="235"/>
        </w:trPr>
        <w:tc>
          <w:tcPr>
            <w:tcW w:w="1418" w:type="dxa"/>
            <w:vMerge/>
            <w:noWrap/>
          </w:tcPr>
          <w:p w14:paraId="1DDC3938" w14:textId="77777777" w:rsidR="00AB1285" w:rsidRDefault="00AB1285" w:rsidP="00AB1285">
            <w:pPr>
              <w:spacing w:after="0"/>
              <w:rPr>
                <w:b/>
                <w:bCs/>
                <w:sz w:val="16"/>
                <w:szCs w:val="16"/>
              </w:rPr>
            </w:pPr>
          </w:p>
        </w:tc>
        <w:tc>
          <w:tcPr>
            <w:tcW w:w="1417" w:type="dxa"/>
            <w:shd w:val="clear" w:color="auto" w:fill="auto"/>
          </w:tcPr>
          <w:p w14:paraId="248BEBB1" w14:textId="77777777" w:rsidR="00AB1285" w:rsidRDefault="00AB1285" w:rsidP="00AB1285">
            <w:pPr>
              <w:spacing w:after="0"/>
              <w:jc w:val="center"/>
              <w:rPr>
                <w:rFonts w:cs="Arial"/>
                <w:sz w:val="16"/>
                <w:szCs w:val="16"/>
              </w:rPr>
            </w:pPr>
            <w:r w:rsidRPr="001150A4">
              <w:rPr>
                <w:rFonts w:cs="Arial"/>
                <w:i/>
                <w:sz w:val="16"/>
                <w:szCs w:val="16"/>
              </w:rPr>
              <w:t xml:space="preserve">Whole sector </w:t>
            </w:r>
          </w:p>
        </w:tc>
        <w:tc>
          <w:tcPr>
            <w:tcW w:w="1417" w:type="dxa"/>
            <w:shd w:val="clear" w:color="auto" w:fill="auto"/>
            <w:noWrap/>
          </w:tcPr>
          <w:p w14:paraId="26DDB0AE" w14:textId="77777777" w:rsidR="00AB1285" w:rsidRDefault="00AB1285" w:rsidP="00AB1285">
            <w:pPr>
              <w:spacing w:after="0"/>
              <w:jc w:val="center"/>
              <w:rPr>
                <w:rFonts w:cs="Arial"/>
                <w:sz w:val="16"/>
                <w:szCs w:val="16"/>
              </w:rPr>
            </w:pPr>
            <w:r>
              <w:rPr>
                <w:rFonts w:cs="Arial"/>
                <w:sz w:val="16"/>
                <w:szCs w:val="16"/>
              </w:rPr>
              <w:t>$15,000</w:t>
            </w:r>
          </w:p>
        </w:tc>
        <w:tc>
          <w:tcPr>
            <w:tcW w:w="1418" w:type="dxa"/>
            <w:shd w:val="clear" w:color="auto" w:fill="auto"/>
            <w:noWrap/>
          </w:tcPr>
          <w:p w14:paraId="21CFD2B6" w14:textId="77777777" w:rsidR="00AB1285" w:rsidRDefault="00AB1285" w:rsidP="00AB1285">
            <w:pPr>
              <w:spacing w:after="0"/>
              <w:jc w:val="center"/>
              <w:rPr>
                <w:rFonts w:cs="Arial"/>
                <w:sz w:val="16"/>
                <w:szCs w:val="16"/>
              </w:rPr>
            </w:pPr>
            <w:r>
              <w:rPr>
                <w:rFonts w:cs="Arial"/>
                <w:sz w:val="16"/>
                <w:szCs w:val="16"/>
              </w:rPr>
              <w:t>$16,000</w:t>
            </w:r>
          </w:p>
        </w:tc>
        <w:tc>
          <w:tcPr>
            <w:tcW w:w="1303" w:type="dxa"/>
            <w:tcBorders>
              <w:top w:val="nil"/>
              <w:left w:val="nil"/>
              <w:bottom w:val="single" w:sz="4" w:space="0" w:color="auto"/>
              <w:right w:val="nil"/>
            </w:tcBorders>
            <w:shd w:val="clear" w:color="auto" w:fill="auto"/>
            <w:noWrap/>
            <w:vAlign w:val="bottom"/>
          </w:tcPr>
          <w:p w14:paraId="3CD35F3E" w14:textId="6C1D96D3" w:rsidR="00AB1285" w:rsidRDefault="00AB1285" w:rsidP="00AB1285">
            <w:pPr>
              <w:spacing w:after="0"/>
              <w:jc w:val="center"/>
              <w:rPr>
                <w:rFonts w:cs="Arial"/>
                <w:sz w:val="16"/>
                <w:szCs w:val="16"/>
              </w:rPr>
            </w:pPr>
            <w:r>
              <w:rPr>
                <w:rFonts w:cs="Arial"/>
                <w:sz w:val="16"/>
                <w:szCs w:val="16"/>
              </w:rPr>
              <w:t>$17,200</w:t>
            </w:r>
          </w:p>
        </w:tc>
        <w:tc>
          <w:tcPr>
            <w:tcW w:w="1532" w:type="dxa"/>
            <w:tcBorders>
              <w:top w:val="nil"/>
              <w:left w:val="nil"/>
              <w:bottom w:val="single" w:sz="4" w:space="0" w:color="auto"/>
              <w:right w:val="nil"/>
            </w:tcBorders>
            <w:shd w:val="clear" w:color="auto" w:fill="auto"/>
            <w:noWrap/>
            <w:vAlign w:val="bottom"/>
          </w:tcPr>
          <w:p w14:paraId="13F9A02C" w14:textId="46300913" w:rsidR="00AB1285" w:rsidRDefault="00AB1285" w:rsidP="00AB1285">
            <w:pPr>
              <w:spacing w:after="0"/>
              <w:jc w:val="center"/>
              <w:rPr>
                <w:rFonts w:cs="Arial"/>
                <w:sz w:val="16"/>
                <w:szCs w:val="16"/>
              </w:rPr>
            </w:pPr>
            <w:r>
              <w:rPr>
                <w:rFonts w:cs="Arial"/>
                <w:sz w:val="16"/>
                <w:szCs w:val="16"/>
              </w:rPr>
              <w:t>$16,800</w:t>
            </w:r>
          </w:p>
        </w:tc>
      </w:tr>
      <w:tr w:rsidR="00AB1285" w14:paraId="72C25151" w14:textId="77777777" w:rsidTr="00146B33">
        <w:trPr>
          <w:trHeight w:val="235"/>
        </w:trPr>
        <w:tc>
          <w:tcPr>
            <w:tcW w:w="1418" w:type="dxa"/>
            <w:vMerge w:val="restart"/>
            <w:noWrap/>
            <w:hideMark/>
          </w:tcPr>
          <w:p w14:paraId="2A63E864" w14:textId="77777777" w:rsidR="00AB1285" w:rsidRPr="007E7352" w:rsidRDefault="00AB1285" w:rsidP="00AB1285">
            <w:pPr>
              <w:spacing w:after="0"/>
              <w:rPr>
                <w:sz w:val="16"/>
                <w:szCs w:val="16"/>
              </w:rPr>
            </w:pPr>
            <w:r w:rsidRPr="007E7352">
              <w:rPr>
                <w:b/>
                <w:bCs/>
                <w:sz w:val="16"/>
                <w:szCs w:val="16"/>
              </w:rPr>
              <w:t>Postgraduate</w:t>
            </w:r>
          </w:p>
        </w:tc>
        <w:tc>
          <w:tcPr>
            <w:tcW w:w="1417" w:type="dxa"/>
            <w:shd w:val="clear" w:color="auto" w:fill="auto"/>
          </w:tcPr>
          <w:p w14:paraId="55D714F3" w14:textId="77777777" w:rsidR="00AB1285" w:rsidRDefault="00AB1285" w:rsidP="00AB1285">
            <w:pPr>
              <w:spacing w:after="0"/>
              <w:jc w:val="center"/>
              <w:rPr>
                <w:rFonts w:cs="Arial"/>
                <w:sz w:val="16"/>
                <w:szCs w:val="16"/>
              </w:rPr>
            </w:pPr>
            <w:r w:rsidRPr="001150A4">
              <w:rPr>
                <w:rFonts w:cs="Arial"/>
                <w:i/>
                <w:sz w:val="16"/>
                <w:szCs w:val="16"/>
              </w:rPr>
              <w:t xml:space="preserve">Actual </w:t>
            </w:r>
          </w:p>
        </w:tc>
        <w:tc>
          <w:tcPr>
            <w:tcW w:w="1417" w:type="dxa"/>
            <w:shd w:val="clear" w:color="auto" w:fill="auto"/>
            <w:noWrap/>
            <w:hideMark/>
          </w:tcPr>
          <w:p w14:paraId="374B9933" w14:textId="77777777" w:rsidR="00AB1285" w:rsidRPr="007E7352" w:rsidRDefault="00AB1285" w:rsidP="00AB1285">
            <w:pPr>
              <w:spacing w:after="0"/>
              <w:jc w:val="center"/>
              <w:rPr>
                <w:sz w:val="16"/>
                <w:szCs w:val="16"/>
              </w:rPr>
            </w:pPr>
            <w:r>
              <w:rPr>
                <w:rFonts w:cs="Arial"/>
                <w:sz w:val="16"/>
                <w:szCs w:val="16"/>
              </w:rPr>
              <w:t>$17,400</w:t>
            </w:r>
          </w:p>
        </w:tc>
        <w:tc>
          <w:tcPr>
            <w:tcW w:w="1418" w:type="dxa"/>
            <w:shd w:val="clear" w:color="auto" w:fill="auto"/>
            <w:noWrap/>
            <w:hideMark/>
          </w:tcPr>
          <w:p w14:paraId="6A411B15" w14:textId="77777777" w:rsidR="00AB1285" w:rsidRPr="007E7352" w:rsidRDefault="00AB1285" w:rsidP="00AB1285">
            <w:pPr>
              <w:spacing w:after="0"/>
              <w:jc w:val="center"/>
              <w:rPr>
                <w:sz w:val="16"/>
                <w:szCs w:val="16"/>
              </w:rPr>
            </w:pPr>
            <w:r>
              <w:rPr>
                <w:rFonts w:cs="Arial"/>
                <w:sz w:val="16"/>
                <w:szCs w:val="16"/>
              </w:rPr>
              <w:t>$20,500</w:t>
            </w:r>
          </w:p>
        </w:tc>
        <w:tc>
          <w:tcPr>
            <w:tcW w:w="1303" w:type="dxa"/>
            <w:tcBorders>
              <w:top w:val="nil"/>
              <w:left w:val="nil"/>
              <w:bottom w:val="single" w:sz="4" w:space="0" w:color="auto"/>
              <w:right w:val="nil"/>
            </w:tcBorders>
            <w:shd w:val="clear" w:color="auto" w:fill="auto"/>
            <w:noWrap/>
            <w:vAlign w:val="bottom"/>
            <w:hideMark/>
          </w:tcPr>
          <w:p w14:paraId="5EB8E180" w14:textId="3BD8F173" w:rsidR="00AB1285" w:rsidRPr="007E7352" w:rsidRDefault="00AB1285" w:rsidP="00AB1285">
            <w:pPr>
              <w:spacing w:after="0"/>
              <w:jc w:val="center"/>
              <w:rPr>
                <w:sz w:val="16"/>
                <w:szCs w:val="16"/>
              </w:rPr>
            </w:pPr>
            <w:r>
              <w:rPr>
                <w:rFonts w:cs="Arial"/>
                <w:sz w:val="16"/>
                <w:szCs w:val="16"/>
              </w:rPr>
              <w:t>$22,200</w:t>
            </w:r>
          </w:p>
        </w:tc>
        <w:tc>
          <w:tcPr>
            <w:tcW w:w="1532" w:type="dxa"/>
            <w:tcBorders>
              <w:top w:val="nil"/>
              <w:left w:val="nil"/>
              <w:bottom w:val="single" w:sz="4" w:space="0" w:color="auto"/>
              <w:right w:val="nil"/>
            </w:tcBorders>
            <w:shd w:val="clear" w:color="auto" w:fill="auto"/>
            <w:noWrap/>
            <w:vAlign w:val="bottom"/>
            <w:hideMark/>
          </w:tcPr>
          <w:p w14:paraId="75AFC26A" w14:textId="0CB39090" w:rsidR="00AB1285" w:rsidRPr="007E7352" w:rsidRDefault="00AB1285" w:rsidP="00AB1285">
            <w:pPr>
              <w:spacing w:after="0"/>
              <w:jc w:val="center"/>
              <w:rPr>
                <w:sz w:val="16"/>
                <w:szCs w:val="16"/>
                <w:lang w:eastAsia="en-AU"/>
              </w:rPr>
            </w:pPr>
            <w:r>
              <w:rPr>
                <w:rFonts w:cs="Arial"/>
                <w:sz w:val="16"/>
                <w:szCs w:val="16"/>
              </w:rPr>
              <w:t>$21,800</w:t>
            </w:r>
          </w:p>
        </w:tc>
      </w:tr>
      <w:tr w:rsidR="00AB1285" w14:paraId="71AA4915" w14:textId="77777777" w:rsidTr="00146B33">
        <w:trPr>
          <w:trHeight w:val="235"/>
        </w:trPr>
        <w:tc>
          <w:tcPr>
            <w:tcW w:w="1418" w:type="dxa"/>
            <w:vMerge/>
            <w:noWrap/>
          </w:tcPr>
          <w:p w14:paraId="23B69786" w14:textId="77777777" w:rsidR="00AB1285" w:rsidRPr="007E7352" w:rsidRDefault="00AB1285" w:rsidP="00AB1285">
            <w:pPr>
              <w:spacing w:after="0"/>
              <w:rPr>
                <w:b/>
                <w:bCs/>
                <w:sz w:val="16"/>
                <w:szCs w:val="16"/>
              </w:rPr>
            </w:pPr>
          </w:p>
        </w:tc>
        <w:tc>
          <w:tcPr>
            <w:tcW w:w="1417" w:type="dxa"/>
            <w:shd w:val="clear" w:color="auto" w:fill="auto"/>
          </w:tcPr>
          <w:p w14:paraId="2EDFB657" w14:textId="77777777" w:rsidR="00AB1285" w:rsidRDefault="00AB1285" w:rsidP="00AB1285">
            <w:pPr>
              <w:spacing w:after="0"/>
              <w:jc w:val="center"/>
              <w:rPr>
                <w:rFonts w:cs="Arial"/>
                <w:sz w:val="16"/>
                <w:szCs w:val="16"/>
              </w:rPr>
            </w:pPr>
            <w:r w:rsidRPr="001150A4">
              <w:rPr>
                <w:rFonts w:cs="Arial"/>
                <w:i/>
                <w:sz w:val="16"/>
                <w:szCs w:val="16"/>
              </w:rPr>
              <w:t xml:space="preserve">Whole sector </w:t>
            </w:r>
          </w:p>
        </w:tc>
        <w:tc>
          <w:tcPr>
            <w:tcW w:w="1417" w:type="dxa"/>
            <w:shd w:val="clear" w:color="auto" w:fill="auto"/>
            <w:noWrap/>
          </w:tcPr>
          <w:p w14:paraId="5762E618" w14:textId="77777777" w:rsidR="00AB1285" w:rsidRDefault="00AB1285" w:rsidP="00AB1285">
            <w:pPr>
              <w:spacing w:after="0"/>
              <w:jc w:val="center"/>
              <w:rPr>
                <w:rFonts w:cs="Arial"/>
                <w:sz w:val="16"/>
                <w:szCs w:val="16"/>
              </w:rPr>
            </w:pPr>
            <w:r>
              <w:rPr>
                <w:rFonts w:cs="Arial"/>
                <w:sz w:val="16"/>
                <w:szCs w:val="16"/>
              </w:rPr>
              <w:t>$17,000</w:t>
            </w:r>
          </w:p>
        </w:tc>
        <w:tc>
          <w:tcPr>
            <w:tcW w:w="1418" w:type="dxa"/>
            <w:shd w:val="clear" w:color="auto" w:fill="auto"/>
            <w:noWrap/>
          </w:tcPr>
          <w:p w14:paraId="0822134B" w14:textId="77777777" w:rsidR="00AB1285" w:rsidRDefault="00AB1285" w:rsidP="00AB1285">
            <w:pPr>
              <w:spacing w:after="0"/>
              <w:jc w:val="center"/>
              <w:rPr>
                <w:rFonts w:cs="Arial"/>
                <w:sz w:val="16"/>
                <w:szCs w:val="16"/>
              </w:rPr>
            </w:pPr>
            <w:r>
              <w:rPr>
                <w:rFonts w:cs="Arial"/>
                <w:sz w:val="16"/>
                <w:szCs w:val="16"/>
              </w:rPr>
              <w:t>$20,100</w:t>
            </w:r>
          </w:p>
        </w:tc>
        <w:tc>
          <w:tcPr>
            <w:tcW w:w="1303" w:type="dxa"/>
            <w:tcBorders>
              <w:top w:val="nil"/>
              <w:left w:val="nil"/>
              <w:bottom w:val="single" w:sz="4" w:space="0" w:color="auto"/>
              <w:right w:val="nil"/>
            </w:tcBorders>
            <w:shd w:val="clear" w:color="auto" w:fill="auto"/>
            <w:noWrap/>
            <w:vAlign w:val="bottom"/>
          </w:tcPr>
          <w:p w14:paraId="1E4ADF4B" w14:textId="5FBD983C" w:rsidR="00AB1285" w:rsidRDefault="00AB1285" w:rsidP="00AB1285">
            <w:pPr>
              <w:spacing w:after="0"/>
              <w:jc w:val="center"/>
              <w:rPr>
                <w:rFonts w:cs="Arial"/>
                <w:sz w:val="16"/>
                <w:szCs w:val="16"/>
              </w:rPr>
            </w:pPr>
            <w:r>
              <w:rPr>
                <w:rFonts w:cs="Arial"/>
                <w:sz w:val="16"/>
                <w:szCs w:val="16"/>
              </w:rPr>
              <w:t>$21,600</w:t>
            </w:r>
          </w:p>
        </w:tc>
        <w:tc>
          <w:tcPr>
            <w:tcW w:w="1532" w:type="dxa"/>
            <w:tcBorders>
              <w:top w:val="nil"/>
              <w:left w:val="nil"/>
              <w:bottom w:val="single" w:sz="4" w:space="0" w:color="auto"/>
              <w:right w:val="nil"/>
            </w:tcBorders>
            <w:shd w:val="clear" w:color="auto" w:fill="auto"/>
            <w:noWrap/>
            <w:vAlign w:val="bottom"/>
          </w:tcPr>
          <w:p w14:paraId="3964F8D1" w14:textId="07863148" w:rsidR="00AB1285" w:rsidRDefault="00AB1285" w:rsidP="00AB1285">
            <w:pPr>
              <w:spacing w:after="0"/>
              <w:jc w:val="center"/>
              <w:rPr>
                <w:rFonts w:cs="Arial"/>
                <w:sz w:val="16"/>
                <w:szCs w:val="16"/>
              </w:rPr>
            </w:pPr>
            <w:r>
              <w:rPr>
                <w:rFonts w:cs="Arial"/>
                <w:sz w:val="16"/>
                <w:szCs w:val="16"/>
              </w:rPr>
              <w:t>$21,400</w:t>
            </w:r>
          </w:p>
        </w:tc>
      </w:tr>
      <w:tr w:rsidR="00AB1285" w14:paraId="179630AD" w14:textId="77777777" w:rsidTr="00146B33">
        <w:trPr>
          <w:trHeight w:val="235"/>
        </w:trPr>
        <w:tc>
          <w:tcPr>
            <w:tcW w:w="1418" w:type="dxa"/>
            <w:vMerge w:val="restart"/>
            <w:noWrap/>
            <w:hideMark/>
          </w:tcPr>
          <w:p w14:paraId="2CC29EB2" w14:textId="77777777" w:rsidR="00AB1285" w:rsidRPr="007E7352" w:rsidRDefault="00AB1285" w:rsidP="00AB1285">
            <w:pPr>
              <w:spacing w:after="0"/>
              <w:rPr>
                <w:sz w:val="16"/>
                <w:szCs w:val="16"/>
              </w:rPr>
            </w:pPr>
            <w:r w:rsidRPr="007E7352">
              <w:rPr>
                <w:b/>
                <w:bCs/>
                <w:sz w:val="16"/>
                <w:szCs w:val="16"/>
              </w:rPr>
              <w:t>Total</w:t>
            </w:r>
          </w:p>
        </w:tc>
        <w:tc>
          <w:tcPr>
            <w:tcW w:w="1417" w:type="dxa"/>
            <w:shd w:val="clear" w:color="auto" w:fill="auto"/>
          </w:tcPr>
          <w:p w14:paraId="414ED414" w14:textId="77777777" w:rsidR="00AB1285" w:rsidRDefault="00AB1285" w:rsidP="00AB1285">
            <w:pPr>
              <w:spacing w:after="0"/>
              <w:jc w:val="center"/>
              <w:rPr>
                <w:rFonts w:cs="Arial"/>
                <w:sz w:val="16"/>
                <w:szCs w:val="16"/>
              </w:rPr>
            </w:pPr>
            <w:r w:rsidRPr="001150A4">
              <w:rPr>
                <w:rFonts w:cs="Arial"/>
                <w:i/>
                <w:sz w:val="16"/>
                <w:szCs w:val="16"/>
              </w:rPr>
              <w:t xml:space="preserve">Actual </w:t>
            </w:r>
          </w:p>
        </w:tc>
        <w:tc>
          <w:tcPr>
            <w:tcW w:w="1417" w:type="dxa"/>
            <w:shd w:val="clear" w:color="auto" w:fill="auto"/>
            <w:noWrap/>
            <w:hideMark/>
          </w:tcPr>
          <w:p w14:paraId="082ACCB3" w14:textId="77777777" w:rsidR="00AB1285" w:rsidRPr="007E7352" w:rsidRDefault="00AB1285" w:rsidP="00AB1285">
            <w:pPr>
              <w:spacing w:after="0"/>
              <w:jc w:val="center"/>
              <w:rPr>
                <w:sz w:val="16"/>
                <w:szCs w:val="16"/>
              </w:rPr>
            </w:pPr>
            <w:r>
              <w:rPr>
                <w:rFonts w:cs="Arial"/>
                <w:sz w:val="16"/>
                <w:szCs w:val="16"/>
              </w:rPr>
              <w:t>$15,500</w:t>
            </w:r>
          </w:p>
        </w:tc>
        <w:tc>
          <w:tcPr>
            <w:tcW w:w="1418" w:type="dxa"/>
            <w:shd w:val="clear" w:color="auto" w:fill="auto"/>
            <w:noWrap/>
            <w:hideMark/>
          </w:tcPr>
          <w:p w14:paraId="6CFBA2CD" w14:textId="77777777" w:rsidR="00AB1285" w:rsidRPr="007E7352" w:rsidRDefault="00AB1285" w:rsidP="00AB1285">
            <w:pPr>
              <w:spacing w:after="0"/>
              <w:jc w:val="center"/>
              <w:rPr>
                <w:sz w:val="16"/>
                <w:szCs w:val="16"/>
              </w:rPr>
            </w:pPr>
            <w:r>
              <w:rPr>
                <w:rFonts w:cs="Arial"/>
                <w:sz w:val="16"/>
                <w:szCs w:val="16"/>
              </w:rPr>
              <w:t>$17,000</w:t>
            </w:r>
          </w:p>
        </w:tc>
        <w:tc>
          <w:tcPr>
            <w:tcW w:w="1303" w:type="dxa"/>
            <w:tcBorders>
              <w:top w:val="nil"/>
              <w:left w:val="nil"/>
              <w:bottom w:val="single" w:sz="4" w:space="0" w:color="auto"/>
              <w:right w:val="nil"/>
            </w:tcBorders>
            <w:shd w:val="clear" w:color="auto" w:fill="auto"/>
            <w:noWrap/>
            <w:vAlign w:val="bottom"/>
            <w:hideMark/>
          </w:tcPr>
          <w:p w14:paraId="0CA18005" w14:textId="421D57D2" w:rsidR="00AB1285" w:rsidRPr="007E7352" w:rsidRDefault="00AB1285" w:rsidP="00AB1285">
            <w:pPr>
              <w:spacing w:after="0"/>
              <w:jc w:val="center"/>
              <w:rPr>
                <w:sz w:val="16"/>
                <w:szCs w:val="16"/>
              </w:rPr>
            </w:pPr>
            <w:r>
              <w:rPr>
                <w:rFonts w:cs="Arial"/>
                <w:sz w:val="16"/>
                <w:szCs w:val="16"/>
              </w:rPr>
              <w:t>$18,400</w:t>
            </w:r>
          </w:p>
        </w:tc>
        <w:tc>
          <w:tcPr>
            <w:tcW w:w="1532" w:type="dxa"/>
            <w:tcBorders>
              <w:top w:val="nil"/>
              <w:left w:val="nil"/>
              <w:bottom w:val="single" w:sz="4" w:space="0" w:color="auto"/>
              <w:right w:val="nil"/>
            </w:tcBorders>
            <w:shd w:val="clear" w:color="auto" w:fill="auto"/>
            <w:noWrap/>
            <w:vAlign w:val="bottom"/>
            <w:hideMark/>
          </w:tcPr>
          <w:p w14:paraId="2AB908E0" w14:textId="7ABEE3C2" w:rsidR="00AB1285" w:rsidRPr="007E7352" w:rsidRDefault="00AB1285" w:rsidP="00AB1285">
            <w:pPr>
              <w:spacing w:after="0"/>
              <w:jc w:val="center"/>
              <w:rPr>
                <w:sz w:val="16"/>
                <w:szCs w:val="16"/>
                <w:lang w:eastAsia="en-AU"/>
              </w:rPr>
            </w:pPr>
            <w:r>
              <w:rPr>
                <w:rFonts w:cs="Arial"/>
                <w:sz w:val="16"/>
                <w:szCs w:val="16"/>
              </w:rPr>
              <w:t>$18,100</w:t>
            </w:r>
          </w:p>
        </w:tc>
      </w:tr>
      <w:tr w:rsidR="00AB1285" w14:paraId="48C56826" w14:textId="77777777" w:rsidTr="00146B33">
        <w:trPr>
          <w:trHeight w:val="235"/>
        </w:trPr>
        <w:tc>
          <w:tcPr>
            <w:tcW w:w="1418" w:type="dxa"/>
            <w:vMerge/>
            <w:noWrap/>
          </w:tcPr>
          <w:p w14:paraId="77D61245" w14:textId="77777777" w:rsidR="00AB1285" w:rsidRPr="007E7352" w:rsidRDefault="00AB1285" w:rsidP="00AB1285">
            <w:pPr>
              <w:spacing w:after="0"/>
              <w:rPr>
                <w:b/>
                <w:bCs/>
                <w:sz w:val="16"/>
                <w:szCs w:val="16"/>
              </w:rPr>
            </w:pPr>
          </w:p>
        </w:tc>
        <w:tc>
          <w:tcPr>
            <w:tcW w:w="1417" w:type="dxa"/>
            <w:shd w:val="clear" w:color="auto" w:fill="auto"/>
          </w:tcPr>
          <w:p w14:paraId="6A87CE76" w14:textId="77777777" w:rsidR="00AB1285" w:rsidRDefault="00AB1285" w:rsidP="00AB1285">
            <w:pPr>
              <w:spacing w:after="0"/>
              <w:jc w:val="center"/>
              <w:rPr>
                <w:rFonts w:cs="Arial"/>
                <w:sz w:val="16"/>
                <w:szCs w:val="16"/>
              </w:rPr>
            </w:pPr>
            <w:r w:rsidRPr="001150A4">
              <w:rPr>
                <w:rFonts w:cs="Arial"/>
                <w:i/>
                <w:sz w:val="16"/>
                <w:szCs w:val="16"/>
              </w:rPr>
              <w:t xml:space="preserve">Whole sector </w:t>
            </w:r>
          </w:p>
        </w:tc>
        <w:tc>
          <w:tcPr>
            <w:tcW w:w="1417" w:type="dxa"/>
            <w:shd w:val="clear" w:color="auto" w:fill="auto"/>
            <w:noWrap/>
          </w:tcPr>
          <w:p w14:paraId="77086632" w14:textId="77777777" w:rsidR="00AB1285" w:rsidRDefault="00AB1285" w:rsidP="00AB1285">
            <w:pPr>
              <w:spacing w:after="0"/>
              <w:jc w:val="center"/>
              <w:rPr>
                <w:rFonts w:cs="Arial"/>
                <w:sz w:val="16"/>
                <w:szCs w:val="16"/>
              </w:rPr>
            </w:pPr>
            <w:r>
              <w:rPr>
                <w:rFonts w:cs="Arial"/>
                <w:sz w:val="16"/>
                <w:szCs w:val="16"/>
              </w:rPr>
              <w:t>$15,400</w:t>
            </w:r>
          </w:p>
        </w:tc>
        <w:tc>
          <w:tcPr>
            <w:tcW w:w="1418" w:type="dxa"/>
            <w:shd w:val="clear" w:color="auto" w:fill="auto"/>
            <w:noWrap/>
          </w:tcPr>
          <w:p w14:paraId="18458A7F" w14:textId="77777777" w:rsidR="00AB1285" w:rsidRDefault="00AB1285" w:rsidP="00AB1285">
            <w:pPr>
              <w:spacing w:after="0"/>
              <w:jc w:val="center"/>
              <w:rPr>
                <w:rFonts w:cs="Arial"/>
                <w:sz w:val="16"/>
                <w:szCs w:val="16"/>
              </w:rPr>
            </w:pPr>
            <w:r>
              <w:rPr>
                <w:rFonts w:cs="Arial"/>
                <w:sz w:val="16"/>
                <w:szCs w:val="16"/>
              </w:rPr>
              <w:t>$16,800</w:t>
            </w:r>
          </w:p>
        </w:tc>
        <w:tc>
          <w:tcPr>
            <w:tcW w:w="1303" w:type="dxa"/>
            <w:tcBorders>
              <w:top w:val="nil"/>
              <w:left w:val="nil"/>
              <w:bottom w:val="single" w:sz="4" w:space="0" w:color="auto"/>
              <w:right w:val="nil"/>
            </w:tcBorders>
            <w:shd w:val="clear" w:color="auto" w:fill="auto"/>
            <w:noWrap/>
            <w:vAlign w:val="bottom"/>
          </w:tcPr>
          <w:p w14:paraId="3EDEE734" w14:textId="08348CD4" w:rsidR="00AB1285" w:rsidRDefault="00AB1285" w:rsidP="00AB1285">
            <w:pPr>
              <w:spacing w:after="0"/>
              <w:jc w:val="center"/>
              <w:rPr>
                <w:rFonts w:cs="Arial"/>
                <w:sz w:val="16"/>
                <w:szCs w:val="16"/>
              </w:rPr>
            </w:pPr>
            <w:r>
              <w:rPr>
                <w:rFonts w:cs="Arial"/>
                <w:sz w:val="16"/>
                <w:szCs w:val="16"/>
              </w:rPr>
              <w:t>$18,200</w:t>
            </w:r>
          </w:p>
        </w:tc>
        <w:tc>
          <w:tcPr>
            <w:tcW w:w="1532" w:type="dxa"/>
            <w:tcBorders>
              <w:top w:val="nil"/>
              <w:left w:val="nil"/>
              <w:bottom w:val="single" w:sz="4" w:space="0" w:color="auto"/>
              <w:right w:val="nil"/>
            </w:tcBorders>
            <w:shd w:val="clear" w:color="auto" w:fill="auto"/>
            <w:noWrap/>
            <w:vAlign w:val="bottom"/>
          </w:tcPr>
          <w:p w14:paraId="08589128" w14:textId="630B6486" w:rsidR="00AB1285" w:rsidRDefault="00AB1285" w:rsidP="00AB1285">
            <w:pPr>
              <w:spacing w:after="0"/>
              <w:jc w:val="center"/>
              <w:rPr>
                <w:rFonts w:cs="Arial"/>
                <w:sz w:val="16"/>
                <w:szCs w:val="16"/>
              </w:rPr>
            </w:pPr>
            <w:r>
              <w:rPr>
                <w:rFonts w:cs="Arial"/>
                <w:sz w:val="16"/>
                <w:szCs w:val="16"/>
              </w:rPr>
              <w:t>$17,800</w:t>
            </w:r>
          </w:p>
        </w:tc>
      </w:tr>
    </w:tbl>
    <w:p w14:paraId="5839519F" w14:textId="77777777" w:rsidR="00537973" w:rsidRDefault="00537973" w:rsidP="00537973"/>
    <w:p w14:paraId="29FD161B" w14:textId="77777777" w:rsidR="00537973" w:rsidRDefault="00537973" w:rsidP="00537973">
      <w:pPr>
        <w:pStyle w:val="ExecTableCaption"/>
      </w:pPr>
      <w:bookmarkStart w:id="101" w:name="_Ref534627551"/>
      <w:bookmarkStart w:id="102" w:name="_Toc534713845"/>
      <w:r>
        <w:t>: Growth over time in average unit cost per EFTSL</w:t>
      </w:r>
      <w:bookmarkEnd w:id="101"/>
      <w:bookmarkEnd w:id="102"/>
      <w:r>
        <w:t xml:space="preserve"> </w:t>
      </w:r>
    </w:p>
    <w:tbl>
      <w:tblPr>
        <w:tblStyle w:val="Deloittetable"/>
        <w:tblW w:w="8505" w:type="dxa"/>
        <w:tblLayout w:type="fixed"/>
        <w:tblLook w:val="04A0" w:firstRow="1" w:lastRow="0" w:firstColumn="1" w:lastColumn="0" w:noHBand="0" w:noVBand="1"/>
      </w:tblPr>
      <w:tblGrid>
        <w:gridCol w:w="1418"/>
        <w:gridCol w:w="1417"/>
        <w:gridCol w:w="1843"/>
        <w:gridCol w:w="1937"/>
        <w:gridCol w:w="1890"/>
      </w:tblGrid>
      <w:tr w:rsidR="00537973" w14:paraId="41316914" w14:textId="77777777" w:rsidTr="001E5234">
        <w:trPr>
          <w:cnfStyle w:val="100000000000" w:firstRow="1" w:lastRow="0" w:firstColumn="0" w:lastColumn="0" w:oddVBand="0" w:evenVBand="0" w:oddHBand="0" w:evenHBand="0" w:firstRowFirstColumn="0" w:firstRowLastColumn="0" w:lastRowFirstColumn="0" w:lastRowLastColumn="0"/>
          <w:trHeight w:val="235"/>
        </w:trPr>
        <w:tc>
          <w:tcPr>
            <w:tcW w:w="1418" w:type="dxa"/>
            <w:noWrap/>
            <w:hideMark/>
          </w:tcPr>
          <w:p w14:paraId="6D45DF60" w14:textId="77777777" w:rsidR="00537973" w:rsidRPr="007E7352" w:rsidRDefault="00537973" w:rsidP="001E5234">
            <w:pPr>
              <w:spacing w:after="0"/>
              <w:rPr>
                <w:sz w:val="16"/>
                <w:szCs w:val="16"/>
              </w:rPr>
            </w:pPr>
          </w:p>
        </w:tc>
        <w:tc>
          <w:tcPr>
            <w:tcW w:w="1417" w:type="dxa"/>
          </w:tcPr>
          <w:p w14:paraId="2C97505A" w14:textId="77777777" w:rsidR="00537973" w:rsidRDefault="00537973" w:rsidP="001E5234">
            <w:pPr>
              <w:spacing w:after="0"/>
              <w:jc w:val="center"/>
              <w:rPr>
                <w:b/>
                <w:bCs/>
                <w:sz w:val="16"/>
                <w:szCs w:val="16"/>
              </w:rPr>
            </w:pPr>
          </w:p>
        </w:tc>
        <w:tc>
          <w:tcPr>
            <w:tcW w:w="1843" w:type="dxa"/>
            <w:noWrap/>
            <w:hideMark/>
          </w:tcPr>
          <w:p w14:paraId="43F24484" w14:textId="77777777" w:rsidR="00537973" w:rsidRPr="007E7352" w:rsidRDefault="00537973" w:rsidP="001E5234">
            <w:pPr>
              <w:spacing w:after="0"/>
              <w:jc w:val="center"/>
              <w:rPr>
                <w:b/>
                <w:bCs/>
                <w:sz w:val="16"/>
                <w:szCs w:val="16"/>
              </w:rPr>
            </w:pPr>
            <w:r>
              <w:rPr>
                <w:b/>
                <w:bCs/>
                <w:sz w:val="16"/>
                <w:szCs w:val="16"/>
              </w:rPr>
              <w:t xml:space="preserve">2010 - </w:t>
            </w:r>
            <w:r w:rsidRPr="007E7352">
              <w:rPr>
                <w:b/>
                <w:bCs/>
                <w:sz w:val="16"/>
                <w:szCs w:val="16"/>
              </w:rPr>
              <w:t>2015</w:t>
            </w:r>
          </w:p>
        </w:tc>
        <w:tc>
          <w:tcPr>
            <w:tcW w:w="3827" w:type="dxa"/>
            <w:gridSpan w:val="2"/>
            <w:hideMark/>
          </w:tcPr>
          <w:p w14:paraId="403B6228" w14:textId="77777777" w:rsidR="00537973" w:rsidRPr="007E7352" w:rsidRDefault="00537973" w:rsidP="001E5234">
            <w:pPr>
              <w:spacing w:after="0"/>
              <w:jc w:val="center"/>
              <w:rPr>
                <w:b/>
                <w:bCs/>
                <w:sz w:val="16"/>
                <w:szCs w:val="16"/>
              </w:rPr>
            </w:pPr>
            <w:r>
              <w:rPr>
                <w:b/>
                <w:bCs/>
                <w:sz w:val="16"/>
                <w:szCs w:val="16"/>
              </w:rPr>
              <w:t xml:space="preserve">2015 - </w:t>
            </w:r>
            <w:r w:rsidRPr="007E7352">
              <w:rPr>
                <w:b/>
                <w:bCs/>
                <w:sz w:val="16"/>
                <w:szCs w:val="16"/>
              </w:rPr>
              <w:t>2017</w:t>
            </w:r>
          </w:p>
        </w:tc>
      </w:tr>
      <w:tr w:rsidR="00537973" w14:paraId="37E25085" w14:textId="77777777" w:rsidTr="001E5234">
        <w:trPr>
          <w:trHeight w:val="263"/>
        </w:trPr>
        <w:tc>
          <w:tcPr>
            <w:tcW w:w="1418" w:type="dxa"/>
            <w:noWrap/>
          </w:tcPr>
          <w:p w14:paraId="1F990839" w14:textId="77777777" w:rsidR="00537973" w:rsidRPr="007E7352" w:rsidRDefault="00537973" w:rsidP="001E5234">
            <w:pPr>
              <w:spacing w:after="0"/>
              <w:rPr>
                <w:sz w:val="16"/>
                <w:szCs w:val="16"/>
              </w:rPr>
            </w:pPr>
          </w:p>
        </w:tc>
        <w:tc>
          <w:tcPr>
            <w:tcW w:w="1417" w:type="dxa"/>
          </w:tcPr>
          <w:p w14:paraId="4CDD3205" w14:textId="77777777" w:rsidR="00537973" w:rsidRPr="007E7352" w:rsidRDefault="00537973" w:rsidP="001E5234">
            <w:pPr>
              <w:spacing w:after="0"/>
              <w:jc w:val="center"/>
              <w:rPr>
                <w:sz w:val="16"/>
                <w:szCs w:val="16"/>
              </w:rPr>
            </w:pPr>
            <w:r>
              <w:rPr>
                <w:sz w:val="16"/>
                <w:szCs w:val="16"/>
              </w:rPr>
              <w:t>FOE mix</w:t>
            </w:r>
          </w:p>
        </w:tc>
        <w:tc>
          <w:tcPr>
            <w:tcW w:w="1843" w:type="dxa"/>
            <w:noWrap/>
            <w:hideMark/>
          </w:tcPr>
          <w:p w14:paraId="5CD4D650" w14:textId="77777777" w:rsidR="00537973" w:rsidRPr="007E7352" w:rsidRDefault="00537973" w:rsidP="001E5234">
            <w:pPr>
              <w:spacing w:after="0"/>
              <w:jc w:val="center"/>
              <w:rPr>
                <w:sz w:val="16"/>
                <w:szCs w:val="16"/>
              </w:rPr>
            </w:pPr>
            <w:r w:rsidRPr="007E7352">
              <w:rPr>
                <w:sz w:val="16"/>
                <w:szCs w:val="16"/>
              </w:rPr>
              <w:t>17</w:t>
            </w:r>
            <w:r>
              <w:rPr>
                <w:sz w:val="16"/>
                <w:szCs w:val="16"/>
              </w:rPr>
              <w:t xml:space="preserve"> universities</w:t>
            </w:r>
          </w:p>
        </w:tc>
        <w:tc>
          <w:tcPr>
            <w:tcW w:w="1937" w:type="dxa"/>
            <w:hideMark/>
          </w:tcPr>
          <w:p w14:paraId="6C2E9580" w14:textId="77777777" w:rsidR="00537973" w:rsidRPr="007E7352" w:rsidRDefault="00537973" w:rsidP="001E5234">
            <w:pPr>
              <w:spacing w:after="0"/>
              <w:jc w:val="center"/>
              <w:rPr>
                <w:sz w:val="16"/>
                <w:szCs w:val="16"/>
              </w:rPr>
            </w:pPr>
            <w:r w:rsidRPr="007E7352">
              <w:rPr>
                <w:sz w:val="16"/>
                <w:szCs w:val="16"/>
              </w:rPr>
              <w:t>Full sample (25)</w:t>
            </w:r>
          </w:p>
        </w:tc>
        <w:tc>
          <w:tcPr>
            <w:tcW w:w="1890" w:type="dxa"/>
            <w:hideMark/>
          </w:tcPr>
          <w:p w14:paraId="522A328E" w14:textId="77777777" w:rsidR="00537973" w:rsidRPr="007E7352" w:rsidRDefault="00537973" w:rsidP="001E5234">
            <w:pPr>
              <w:spacing w:after="0"/>
              <w:jc w:val="center"/>
              <w:rPr>
                <w:sz w:val="16"/>
                <w:szCs w:val="16"/>
                <w:lang w:eastAsia="en-AU"/>
              </w:rPr>
            </w:pPr>
            <w:r w:rsidRPr="007E7352">
              <w:rPr>
                <w:sz w:val="16"/>
                <w:szCs w:val="16"/>
                <w:lang w:eastAsia="en-AU"/>
              </w:rPr>
              <w:t>Common sample (17)</w:t>
            </w:r>
          </w:p>
        </w:tc>
      </w:tr>
      <w:tr w:rsidR="00537973" w14:paraId="01CCDC74" w14:textId="77777777" w:rsidTr="001E5234">
        <w:trPr>
          <w:trHeight w:val="235"/>
        </w:trPr>
        <w:tc>
          <w:tcPr>
            <w:tcW w:w="1418" w:type="dxa"/>
            <w:vMerge w:val="restart"/>
            <w:noWrap/>
            <w:vAlign w:val="center"/>
            <w:hideMark/>
          </w:tcPr>
          <w:p w14:paraId="0037DD7B" w14:textId="77777777" w:rsidR="00537973" w:rsidRDefault="00537973" w:rsidP="001E5234">
            <w:pPr>
              <w:spacing w:after="0"/>
              <w:rPr>
                <w:b/>
                <w:bCs/>
                <w:sz w:val="16"/>
                <w:szCs w:val="16"/>
              </w:rPr>
            </w:pPr>
            <w:r>
              <w:rPr>
                <w:b/>
                <w:bCs/>
                <w:sz w:val="16"/>
                <w:szCs w:val="16"/>
              </w:rPr>
              <w:t>Bachelor</w:t>
            </w:r>
          </w:p>
          <w:p w14:paraId="7A385F05" w14:textId="77777777" w:rsidR="00537973" w:rsidRPr="007E7352" w:rsidRDefault="00537973" w:rsidP="001E5234">
            <w:pPr>
              <w:spacing w:after="0"/>
              <w:rPr>
                <w:sz w:val="16"/>
                <w:szCs w:val="16"/>
              </w:rPr>
            </w:pPr>
            <w:r>
              <w:rPr>
                <w:b/>
                <w:bCs/>
                <w:sz w:val="16"/>
                <w:szCs w:val="16"/>
              </w:rPr>
              <w:t>(CAGR)</w:t>
            </w:r>
          </w:p>
        </w:tc>
        <w:tc>
          <w:tcPr>
            <w:tcW w:w="1417" w:type="dxa"/>
            <w:tcBorders>
              <w:bottom w:val="single" w:sz="4" w:space="0" w:color="auto"/>
            </w:tcBorders>
          </w:tcPr>
          <w:p w14:paraId="5FA22A84" w14:textId="77777777" w:rsidR="00537973" w:rsidRDefault="00537973" w:rsidP="001E5234">
            <w:pPr>
              <w:spacing w:after="0"/>
              <w:jc w:val="center"/>
              <w:rPr>
                <w:rFonts w:cs="Arial"/>
                <w:sz w:val="16"/>
                <w:szCs w:val="16"/>
              </w:rPr>
            </w:pPr>
            <w:r w:rsidRPr="001150A4">
              <w:rPr>
                <w:rFonts w:cs="Arial"/>
                <w:i/>
                <w:sz w:val="16"/>
                <w:szCs w:val="16"/>
              </w:rPr>
              <w:t xml:space="preserve">Actual </w:t>
            </w:r>
          </w:p>
        </w:tc>
        <w:tc>
          <w:tcPr>
            <w:tcW w:w="1843" w:type="dxa"/>
            <w:tcBorders>
              <w:top w:val="nil"/>
              <w:left w:val="nil"/>
              <w:bottom w:val="single" w:sz="4" w:space="0" w:color="auto"/>
              <w:right w:val="nil"/>
            </w:tcBorders>
            <w:shd w:val="clear" w:color="auto" w:fill="auto"/>
            <w:noWrap/>
            <w:vAlign w:val="bottom"/>
            <w:hideMark/>
          </w:tcPr>
          <w:p w14:paraId="6B460129" w14:textId="77777777" w:rsidR="00537973" w:rsidRDefault="00537973" w:rsidP="001E5234">
            <w:pPr>
              <w:spacing w:after="0"/>
              <w:jc w:val="center"/>
              <w:rPr>
                <w:rFonts w:cs="Arial"/>
                <w:sz w:val="16"/>
                <w:szCs w:val="16"/>
              </w:rPr>
            </w:pPr>
            <w:r>
              <w:rPr>
                <w:rFonts w:cs="Arial"/>
                <w:sz w:val="16"/>
                <w:szCs w:val="16"/>
              </w:rPr>
              <w:t>7.6%</w:t>
            </w:r>
          </w:p>
          <w:p w14:paraId="77A781B8" w14:textId="77777777" w:rsidR="00537973" w:rsidRPr="007E7352" w:rsidRDefault="00537973" w:rsidP="001E5234">
            <w:pPr>
              <w:spacing w:after="0"/>
              <w:jc w:val="center"/>
              <w:rPr>
                <w:sz w:val="16"/>
                <w:szCs w:val="16"/>
              </w:rPr>
            </w:pPr>
            <w:r>
              <w:rPr>
                <w:rFonts w:cs="Arial"/>
                <w:sz w:val="16"/>
                <w:szCs w:val="16"/>
              </w:rPr>
              <w:t>(1.5%)</w:t>
            </w:r>
          </w:p>
        </w:tc>
        <w:tc>
          <w:tcPr>
            <w:tcW w:w="1937" w:type="dxa"/>
            <w:tcBorders>
              <w:top w:val="nil"/>
              <w:left w:val="nil"/>
              <w:bottom w:val="single" w:sz="4" w:space="0" w:color="auto"/>
              <w:right w:val="nil"/>
            </w:tcBorders>
            <w:shd w:val="clear" w:color="auto" w:fill="auto"/>
            <w:noWrap/>
            <w:vAlign w:val="bottom"/>
            <w:hideMark/>
          </w:tcPr>
          <w:p w14:paraId="70286B8C" w14:textId="471C5BC5" w:rsidR="00537973" w:rsidRDefault="00A95D6E" w:rsidP="001E5234">
            <w:pPr>
              <w:spacing w:after="0"/>
              <w:jc w:val="center"/>
              <w:rPr>
                <w:rFonts w:cs="Arial"/>
                <w:sz w:val="16"/>
                <w:szCs w:val="16"/>
              </w:rPr>
            </w:pPr>
            <w:r>
              <w:rPr>
                <w:rFonts w:cs="Arial"/>
                <w:sz w:val="16"/>
                <w:szCs w:val="16"/>
              </w:rPr>
              <w:t>6.9</w:t>
            </w:r>
            <w:r w:rsidR="00537973">
              <w:rPr>
                <w:rFonts w:cs="Arial"/>
                <w:sz w:val="16"/>
                <w:szCs w:val="16"/>
              </w:rPr>
              <w:t>%</w:t>
            </w:r>
          </w:p>
          <w:p w14:paraId="59B2D5DD" w14:textId="25F96E68" w:rsidR="00537973" w:rsidRPr="007E7352" w:rsidRDefault="00537973" w:rsidP="0038428B">
            <w:pPr>
              <w:spacing w:after="0"/>
              <w:jc w:val="center"/>
              <w:rPr>
                <w:sz w:val="16"/>
                <w:szCs w:val="16"/>
              </w:rPr>
            </w:pPr>
            <w:r>
              <w:rPr>
                <w:rFonts w:cs="Arial"/>
                <w:sz w:val="16"/>
                <w:szCs w:val="16"/>
              </w:rPr>
              <w:t>(</w:t>
            </w:r>
            <w:r w:rsidR="00A95D6E">
              <w:rPr>
                <w:rFonts w:cs="Arial"/>
                <w:sz w:val="16"/>
                <w:szCs w:val="16"/>
              </w:rPr>
              <w:t>3.4</w:t>
            </w:r>
            <w:r>
              <w:rPr>
                <w:rFonts w:cs="Arial"/>
                <w:sz w:val="16"/>
                <w:szCs w:val="16"/>
              </w:rPr>
              <w:t>%)</w:t>
            </w:r>
          </w:p>
        </w:tc>
        <w:tc>
          <w:tcPr>
            <w:tcW w:w="1890" w:type="dxa"/>
            <w:tcBorders>
              <w:top w:val="nil"/>
              <w:left w:val="nil"/>
              <w:bottom w:val="single" w:sz="4" w:space="0" w:color="auto"/>
              <w:right w:val="nil"/>
            </w:tcBorders>
            <w:shd w:val="clear" w:color="auto" w:fill="auto"/>
            <w:noWrap/>
            <w:vAlign w:val="bottom"/>
            <w:hideMark/>
          </w:tcPr>
          <w:p w14:paraId="3CC370CD" w14:textId="6D0D5D73" w:rsidR="00537973" w:rsidRDefault="00A95D6E" w:rsidP="001E5234">
            <w:pPr>
              <w:spacing w:after="0"/>
              <w:jc w:val="center"/>
              <w:rPr>
                <w:rFonts w:cs="Arial"/>
                <w:sz w:val="16"/>
                <w:szCs w:val="16"/>
              </w:rPr>
            </w:pPr>
            <w:r>
              <w:rPr>
                <w:rFonts w:cs="Arial"/>
                <w:sz w:val="16"/>
                <w:szCs w:val="16"/>
              </w:rPr>
              <w:t>4.6</w:t>
            </w:r>
            <w:r w:rsidR="00537973">
              <w:rPr>
                <w:rFonts w:cs="Arial"/>
                <w:sz w:val="16"/>
                <w:szCs w:val="16"/>
              </w:rPr>
              <w:t>%</w:t>
            </w:r>
          </w:p>
          <w:p w14:paraId="30CB496E" w14:textId="34C70488" w:rsidR="00537973" w:rsidRPr="007E7352" w:rsidRDefault="00537973" w:rsidP="0038428B">
            <w:pPr>
              <w:spacing w:after="0"/>
              <w:jc w:val="center"/>
              <w:rPr>
                <w:sz w:val="16"/>
                <w:szCs w:val="16"/>
              </w:rPr>
            </w:pPr>
            <w:r>
              <w:rPr>
                <w:rFonts w:cs="Arial"/>
                <w:sz w:val="16"/>
                <w:szCs w:val="16"/>
              </w:rPr>
              <w:t>(</w:t>
            </w:r>
            <w:r w:rsidR="00A95D6E">
              <w:rPr>
                <w:rFonts w:cs="Arial"/>
                <w:sz w:val="16"/>
                <w:szCs w:val="16"/>
              </w:rPr>
              <w:t>2.2</w:t>
            </w:r>
            <w:r>
              <w:rPr>
                <w:rFonts w:cs="Arial"/>
                <w:sz w:val="16"/>
                <w:szCs w:val="16"/>
              </w:rPr>
              <w:t>%)</w:t>
            </w:r>
          </w:p>
        </w:tc>
      </w:tr>
      <w:tr w:rsidR="00537973" w14:paraId="0563E4A8" w14:textId="77777777" w:rsidTr="001E5234">
        <w:trPr>
          <w:trHeight w:val="235"/>
        </w:trPr>
        <w:tc>
          <w:tcPr>
            <w:tcW w:w="1418" w:type="dxa"/>
            <w:vMerge/>
            <w:tcBorders>
              <w:bottom w:val="single" w:sz="4" w:space="0" w:color="auto"/>
            </w:tcBorders>
            <w:noWrap/>
          </w:tcPr>
          <w:p w14:paraId="2B31F94D" w14:textId="77777777" w:rsidR="00537973" w:rsidRDefault="00537973" w:rsidP="001E5234">
            <w:pPr>
              <w:spacing w:after="0"/>
              <w:rPr>
                <w:b/>
                <w:bCs/>
                <w:sz w:val="16"/>
                <w:szCs w:val="16"/>
              </w:rPr>
            </w:pPr>
          </w:p>
        </w:tc>
        <w:tc>
          <w:tcPr>
            <w:tcW w:w="1417" w:type="dxa"/>
            <w:tcBorders>
              <w:bottom w:val="single" w:sz="4" w:space="0" w:color="auto"/>
            </w:tcBorders>
          </w:tcPr>
          <w:p w14:paraId="3735CA6E" w14:textId="77777777" w:rsidR="00537973" w:rsidRDefault="00537973" w:rsidP="001E5234">
            <w:pPr>
              <w:spacing w:after="0"/>
              <w:jc w:val="center"/>
              <w:rPr>
                <w:rFonts w:cs="Arial"/>
                <w:sz w:val="16"/>
                <w:szCs w:val="16"/>
              </w:rPr>
            </w:pPr>
            <w:r w:rsidRPr="001150A4">
              <w:rPr>
                <w:rFonts w:cs="Arial"/>
                <w:i/>
                <w:sz w:val="16"/>
                <w:szCs w:val="16"/>
              </w:rPr>
              <w:t xml:space="preserve">Whole sector </w:t>
            </w:r>
          </w:p>
        </w:tc>
        <w:tc>
          <w:tcPr>
            <w:tcW w:w="1843" w:type="dxa"/>
            <w:tcBorders>
              <w:top w:val="nil"/>
              <w:left w:val="nil"/>
              <w:bottom w:val="single" w:sz="4" w:space="0" w:color="auto"/>
              <w:right w:val="nil"/>
            </w:tcBorders>
            <w:shd w:val="clear" w:color="auto" w:fill="auto"/>
            <w:noWrap/>
            <w:vAlign w:val="bottom"/>
          </w:tcPr>
          <w:p w14:paraId="25A3A512" w14:textId="77777777" w:rsidR="00537973" w:rsidRDefault="00537973" w:rsidP="001E5234">
            <w:pPr>
              <w:spacing w:after="0"/>
              <w:jc w:val="center"/>
              <w:rPr>
                <w:rFonts w:cs="Arial"/>
                <w:sz w:val="16"/>
                <w:szCs w:val="16"/>
              </w:rPr>
            </w:pPr>
            <w:r>
              <w:rPr>
                <w:rFonts w:cs="Arial"/>
                <w:sz w:val="16"/>
                <w:szCs w:val="16"/>
              </w:rPr>
              <w:t>6.7%</w:t>
            </w:r>
          </w:p>
          <w:p w14:paraId="1200657B" w14:textId="77777777" w:rsidR="00537973" w:rsidRDefault="00537973" w:rsidP="001E5234">
            <w:pPr>
              <w:spacing w:after="0"/>
              <w:jc w:val="center"/>
              <w:rPr>
                <w:rFonts w:cs="Arial"/>
                <w:sz w:val="16"/>
                <w:szCs w:val="16"/>
              </w:rPr>
            </w:pPr>
            <w:r>
              <w:rPr>
                <w:rFonts w:cs="Arial"/>
                <w:sz w:val="16"/>
                <w:szCs w:val="16"/>
              </w:rPr>
              <w:t>(1.3%)</w:t>
            </w:r>
          </w:p>
        </w:tc>
        <w:tc>
          <w:tcPr>
            <w:tcW w:w="1937" w:type="dxa"/>
            <w:tcBorders>
              <w:top w:val="nil"/>
              <w:left w:val="nil"/>
              <w:bottom w:val="single" w:sz="4" w:space="0" w:color="auto"/>
              <w:right w:val="nil"/>
            </w:tcBorders>
            <w:shd w:val="clear" w:color="auto" w:fill="auto"/>
            <w:noWrap/>
            <w:vAlign w:val="bottom"/>
          </w:tcPr>
          <w:p w14:paraId="3441CD2B" w14:textId="5205A3B5" w:rsidR="00537973" w:rsidRDefault="00A95D6E" w:rsidP="001E5234">
            <w:pPr>
              <w:spacing w:after="0"/>
              <w:jc w:val="center"/>
              <w:rPr>
                <w:rFonts w:cs="Arial"/>
                <w:sz w:val="16"/>
                <w:szCs w:val="16"/>
              </w:rPr>
            </w:pPr>
            <w:r>
              <w:rPr>
                <w:rFonts w:cs="Arial"/>
                <w:sz w:val="16"/>
                <w:szCs w:val="16"/>
              </w:rPr>
              <w:t>7.1</w:t>
            </w:r>
            <w:r w:rsidR="00537973">
              <w:rPr>
                <w:rFonts w:cs="Arial"/>
                <w:sz w:val="16"/>
                <w:szCs w:val="16"/>
              </w:rPr>
              <w:t>%</w:t>
            </w:r>
          </w:p>
          <w:p w14:paraId="5B68A7E9" w14:textId="3D66297A" w:rsidR="00537973" w:rsidRDefault="00537973" w:rsidP="0038428B">
            <w:pPr>
              <w:spacing w:after="0"/>
              <w:jc w:val="center"/>
              <w:rPr>
                <w:rFonts w:cs="Arial"/>
                <w:sz w:val="16"/>
                <w:szCs w:val="16"/>
              </w:rPr>
            </w:pPr>
            <w:r>
              <w:rPr>
                <w:rFonts w:cs="Arial"/>
                <w:sz w:val="16"/>
                <w:szCs w:val="16"/>
              </w:rPr>
              <w:t>(</w:t>
            </w:r>
            <w:r w:rsidR="00A95D6E">
              <w:rPr>
                <w:rFonts w:cs="Arial"/>
                <w:sz w:val="16"/>
                <w:szCs w:val="16"/>
              </w:rPr>
              <w:t>3.5</w:t>
            </w:r>
            <w:r>
              <w:rPr>
                <w:rFonts w:cs="Arial"/>
                <w:sz w:val="16"/>
                <w:szCs w:val="16"/>
              </w:rPr>
              <w:t>%)</w:t>
            </w:r>
          </w:p>
        </w:tc>
        <w:tc>
          <w:tcPr>
            <w:tcW w:w="1890" w:type="dxa"/>
            <w:tcBorders>
              <w:top w:val="nil"/>
              <w:left w:val="nil"/>
              <w:bottom w:val="single" w:sz="4" w:space="0" w:color="auto"/>
              <w:right w:val="nil"/>
            </w:tcBorders>
            <w:shd w:val="clear" w:color="auto" w:fill="auto"/>
            <w:noWrap/>
            <w:vAlign w:val="bottom"/>
          </w:tcPr>
          <w:p w14:paraId="58FE85D0" w14:textId="1351F52E" w:rsidR="00537973" w:rsidRDefault="00A95D6E" w:rsidP="001E5234">
            <w:pPr>
              <w:spacing w:after="0"/>
              <w:jc w:val="center"/>
              <w:rPr>
                <w:rFonts w:cs="Arial"/>
                <w:sz w:val="16"/>
                <w:szCs w:val="16"/>
              </w:rPr>
            </w:pPr>
            <w:r>
              <w:rPr>
                <w:rFonts w:cs="Arial"/>
                <w:sz w:val="16"/>
                <w:szCs w:val="16"/>
              </w:rPr>
              <w:t>5.1</w:t>
            </w:r>
            <w:r w:rsidR="00537973">
              <w:rPr>
                <w:rFonts w:cs="Arial"/>
                <w:sz w:val="16"/>
                <w:szCs w:val="16"/>
              </w:rPr>
              <w:t>%</w:t>
            </w:r>
          </w:p>
          <w:p w14:paraId="3760532E" w14:textId="4A37A09B" w:rsidR="00537973" w:rsidRDefault="00537973" w:rsidP="001E5234">
            <w:pPr>
              <w:spacing w:after="0"/>
              <w:jc w:val="center"/>
              <w:rPr>
                <w:rFonts w:cs="Arial"/>
                <w:sz w:val="16"/>
                <w:szCs w:val="16"/>
              </w:rPr>
            </w:pPr>
            <w:r>
              <w:rPr>
                <w:rFonts w:cs="Arial"/>
                <w:sz w:val="16"/>
                <w:szCs w:val="16"/>
              </w:rPr>
              <w:t>(</w:t>
            </w:r>
            <w:r w:rsidR="00A95D6E">
              <w:rPr>
                <w:rFonts w:cs="Arial"/>
                <w:sz w:val="16"/>
                <w:szCs w:val="16"/>
              </w:rPr>
              <w:t>2.5</w:t>
            </w:r>
            <w:r>
              <w:rPr>
                <w:rFonts w:cs="Arial"/>
                <w:sz w:val="16"/>
                <w:szCs w:val="16"/>
              </w:rPr>
              <w:t>%)</w:t>
            </w:r>
          </w:p>
        </w:tc>
      </w:tr>
      <w:tr w:rsidR="00537973" w14:paraId="25D3FC78" w14:textId="77777777" w:rsidTr="001E5234">
        <w:trPr>
          <w:trHeight w:val="235"/>
        </w:trPr>
        <w:tc>
          <w:tcPr>
            <w:tcW w:w="1418" w:type="dxa"/>
            <w:vMerge w:val="restart"/>
            <w:noWrap/>
            <w:vAlign w:val="center"/>
            <w:hideMark/>
          </w:tcPr>
          <w:p w14:paraId="6447A572" w14:textId="77777777" w:rsidR="00537973" w:rsidRDefault="00537973" w:rsidP="001E5234">
            <w:pPr>
              <w:spacing w:after="0"/>
              <w:rPr>
                <w:b/>
                <w:bCs/>
                <w:sz w:val="16"/>
                <w:szCs w:val="16"/>
              </w:rPr>
            </w:pPr>
            <w:r w:rsidRPr="007E7352">
              <w:rPr>
                <w:b/>
                <w:bCs/>
                <w:sz w:val="16"/>
                <w:szCs w:val="16"/>
              </w:rPr>
              <w:t>Postgraduate</w:t>
            </w:r>
          </w:p>
          <w:p w14:paraId="2BA2EAE5" w14:textId="77777777" w:rsidR="00537973" w:rsidRPr="007E7352" w:rsidRDefault="00537973" w:rsidP="001E5234">
            <w:pPr>
              <w:spacing w:after="0"/>
              <w:rPr>
                <w:sz w:val="16"/>
                <w:szCs w:val="16"/>
              </w:rPr>
            </w:pPr>
            <w:r>
              <w:rPr>
                <w:b/>
                <w:bCs/>
                <w:sz w:val="16"/>
                <w:szCs w:val="16"/>
              </w:rPr>
              <w:t>(CAGR)</w:t>
            </w:r>
          </w:p>
        </w:tc>
        <w:tc>
          <w:tcPr>
            <w:tcW w:w="1417" w:type="dxa"/>
            <w:tcBorders>
              <w:bottom w:val="single" w:sz="4" w:space="0" w:color="auto"/>
            </w:tcBorders>
          </w:tcPr>
          <w:p w14:paraId="241A1CEC" w14:textId="77777777" w:rsidR="00537973" w:rsidRDefault="00537973" w:rsidP="001E5234">
            <w:pPr>
              <w:spacing w:after="0"/>
              <w:jc w:val="center"/>
              <w:rPr>
                <w:rFonts w:cs="Arial"/>
                <w:sz w:val="16"/>
                <w:szCs w:val="16"/>
              </w:rPr>
            </w:pPr>
            <w:r w:rsidRPr="001150A4">
              <w:rPr>
                <w:rFonts w:cs="Arial"/>
                <w:i/>
                <w:sz w:val="16"/>
                <w:szCs w:val="16"/>
              </w:rPr>
              <w:t xml:space="preserve">Actual </w:t>
            </w:r>
          </w:p>
        </w:tc>
        <w:tc>
          <w:tcPr>
            <w:tcW w:w="1843" w:type="dxa"/>
            <w:tcBorders>
              <w:top w:val="nil"/>
              <w:left w:val="nil"/>
              <w:bottom w:val="single" w:sz="4" w:space="0" w:color="auto"/>
              <w:right w:val="nil"/>
            </w:tcBorders>
            <w:shd w:val="clear" w:color="auto" w:fill="auto"/>
            <w:noWrap/>
            <w:vAlign w:val="bottom"/>
            <w:hideMark/>
          </w:tcPr>
          <w:p w14:paraId="18D45963" w14:textId="77777777" w:rsidR="00537973" w:rsidRDefault="00537973" w:rsidP="001E5234">
            <w:pPr>
              <w:spacing w:after="0"/>
              <w:jc w:val="center"/>
              <w:rPr>
                <w:rFonts w:cs="Arial"/>
                <w:sz w:val="16"/>
                <w:szCs w:val="16"/>
              </w:rPr>
            </w:pPr>
            <w:r>
              <w:rPr>
                <w:rFonts w:cs="Arial"/>
                <w:sz w:val="16"/>
                <w:szCs w:val="16"/>
              </w:rPr>
              <w:t>18.1%</w:t>
            </w:r>
          </w:p>
          <w:p w14:paraId="2575E1AA" w14:textId="77777777" w:rsidR="00537973" w:rsidRPr="007E7352" w:rsidRDefault="00537973" w:rsidP="001E5234">
            <w:pPr>
              <w:spacing w:after="0"/>
              <w:jc w:val="center"/>
              <w:rPr>
                <w:sz w:val="16"/>
                <w:szCs w:val="16"/>
              </w:rPr>
            </w:pPr>
            <w:r>
              <w:rPr>
                <w:rFonts w:cs="Arial"/>
                <w:sz w:val="16"/>
                <w:szCs w:val="16"/>
              </w:rPr>
              <w:t>(3.4%)</w:t>
            </w:r>
          </w:p>
        </w:tc>
        <w:tc>
          <w:tcPr>
            <w:tcW w:w="1937" w:type="dxa"/>
            <w:tcBorders>
              <w:top w:val="nil"/>
              <w:left w:val="nil"/>
              <w:bottom w:val="single" w:sz="4" w:space="0" w:color="auto"/>
              <w:right w:val="nil"/>
            </w:tcBorders>
            <w:shd w:val="clear" w:color="auto" w:fill="auto"/>
            <w:noWrap/>
            <w:vAlign w:val="bottom"/>
            <w:hideMark/>
          </w:tcPr>
          <w:p w14:paraId="365F012A" w14:textId="53192B4E" w:rsidR="00537973" w:rsidRDefault="00A95D6E" w:rsidP="001E5234">
            <w:pPr>
              <w:spacing w:after="0"/>
              <w:jc w:val="center"/>
              <w:rPr>
                <w:rFonts w:cs="Arial"/>
                <w:sz w:val="16"/>
                <w:szCs w:val="16"/>
              </w:rPr>
            </w:pPr>
            <w:r>
              <w:rPr>
                <w:rFonts w:cs="Arial"/>
                <w:sz w:val="16"/>
                <w:szCs w:val="16"/>
              </w:rPr>
              <w:t>8.2</w:t>
            </w:r>
            <w:r w:rsidR="00537973">
              <w:rPr>
                <w:rFonts w:cs="Arial"/>
                <w:sz w:val="16"/>
                <w:szCs w:val="16"/>
              </w:rPr>
              <w:t>%</w:t>
            </w:r>
          </w:p>
          <w:p w14:paraId="75BC69E4" w14:textId="079F36BE" w:rsidR="00537973" w:rsidRPr="007E7352" w:rsidRDefault="00537973" w:rsidP="001E5234">
            <w:pPr>
              <w:spacing w:after="0"/>
              <w:jc w:val="center"/>
              <w:rPr>
                <w:sz w:val="16"/>
                <w:szCs w:val="16"/>
              </w:rPr>
            </w:pPr>
            <w:r>
              <w:rPr>
                <w:rFonts w:cs="Arial"/>
                <w:sz w:val="16"/>
                <w:szCs w:val="16"/>
              </w:rPr>
              <w:t>(</w:t>
            </w:r>
            <w:r w:rsidR="00A95D6E">
              <w:rPr>
                <w:rFonts w:cs="Arial"/>
                <w:sz w:val="16"/>
                <w:szCs w:val="16"/>
              </w:rPr>
              <w:t>4.0</w:t>
            </w:r>
            <w:r>
              <w:rPr>
                <w:rFonts w:cs="Arial"/>
                <w:sz w:val="16"/>
                <w:szCs w:val="16"/>
              </w:rPr>
              <w:t>%)</w:t>
            </w:r>
          </w:p>
        </w:tc>
        <w:tc>
          <w:tcPr>
            <w:tcW w:w="1890" w:type="dxa"/>
            <w:tcBorders>
              <w:top w:val="nil"/>
              <w:left w:val="nil"/>
              <w:bottom w:val="single" w:sz="4" w:space="0" w:color="auto"/>
              <w:right w:val="nil"/>
            </w:tcBorders>
            <w:shd w:val="clear" w:color="auto" w:fill="auto"/>
            <w:noWrap/>
            <w:vAlign w:val="bottom"/>
            <w:hideMark/>
          </w:tcPr>
          <w:p w14:paraId="58375486" w14:textId="0203BD9E" w:rsidR="00537973" w:rsidRDefault="00A95D6E" w:rsidP="001E5234">
            <w:pPr>
              <w:spacing w:after="0"/>
              <w:jc w:val="center"/>
              <w:rPr>
                <w:rFonts w:cs="Arial"/>
                <w:sz w:val="16"/>
                <w:szCs w:val="16"/>
              </w:rPr>
            </w:pPr>
            <w:r>
              <w:rPr>
                <w:rFonts w:cs="Arial"/>
                <w:sz w:val="16"/>
                <w:szCs w:val="16"/>
              </w:rPr>
              <w:t>6.4</w:t>
            </w:r>
            <w:r w:rsidR="00537973">
              <w:rPr>
                <w:rFonts w:cs="Arial"/>
                <w:sz w:val="16"/>
                <w:szCs w:val="16"/>
              </w:rPr>
              <w:t>%</w:t>
            </w:r>
          </w:p>
          <w:p w14:paraId="5DB28CE4" w14:textId="648DF86A" w:rsidR="00537973" w:rsidRPr="007E7352" w:rsidRDefault="00537973" w:rsidP="001E5234">
            <w:pPr>
              <w:spacing w:after="0"/>
              <w:jc w:val="center"/>
              <w:rPr>
                <w:sz w:val="16"/>
                <w:szCs w:val="16"/>
              </w:rPr>
            </w:pPr>
            <w:r>
              <w:rPr>
                <w:rFonts w:cs="Arial"/>
                <w:sz w:val="16"/>
                <w:szCs w:val="16"/>
              </w:rPr>
              <w:t>(</w:t>
            </w:r>
            <w:r w:rsidR="00A95D6E">
              <w:rPr>
                <w:rFonts w:cs="Arial"/>
                <w:sz w:val="16"/>
                <w:szCs w:val="16"/>
              </w:rPr>
              <w:t>3.1</w:t>
            </w:r>
            <w:r>
              <w:rPr>
                <w:rFonts w:cs="Arial"/>
                <w:sz w:val="16"/>
                <w:szCs w:val="16"/>
              </w:rPr>
              <w:t>%)</w:t>
            </w:r>
          </w:p>
        </w:tc>
      </w:tr>
      <w:tr w:rsidR="00537973" w14:paraId="261AE48D" w14:textId="77777777" w:rsidTr="001E5234">
        <w:trPr>
          <w:trHeight w:val="235"/>
        </w:trPr>
        <w:tc>
          <w:tcPr>
            <w:tcW w:w="1418" w:type="dxa"/>
            <w:vMerge/>
            <w:tcBorders>
              <w:bottom w:val="single" w:sz="4" w:space="0" w:color="auto"/>
            </w:tcBorders>
            <w:noWrap/>
          </w:tcPr>
          <w:p w14:paraId="508941D0" w14:textId="77777777" w:rsidR="00537973" w:rsidRPr="007E7352" w:rsidRDefault="00537973" w:rsidP="001E5234">
            <w:pPr>
              <w:spacing w:after="0"/>
              <w:rPr>
                <w:b/>
                <w:bCs/>
                <w:sz w:val="16"/>
                <w:szCs w:val="16"/>
              </w:rPr>
            </w:pPr>
          </w:p>
        </w:tc>
        <w:tc>
          <w:tcPr>
            <w:tcW w:w="1417" w:type="dxa"/>
            <w:tcBorders>
              <w:bottom w:val="single" w:sz="4" w:space="0" w:color="auto"/>
            </w:tcBorders>
          </w:tcPr>
          <w:p w14:paraId="3CAEA792" w14:textId="77777777" w:rsidR="00537973" w:rsidRDefault="00537973" w:rsidP="001E5234">
            <w:pPr>
              <w:spacing w:after="0"/>
              <w:jc w:val="center"/>
              <w:rPr>
                <w:rFonts w:cs="Arial"/>
                <w:sz w:val="16"/>
                <w:szCs w:val="16"/>
              </w:rPr>
            </w:pPr>
            <w:r w:rsidRPr="001150A4">
              <w:rPr>
                <w:rFonts w:cs="Arial"/>
                <w:i/>
                <w:sz w:val="16"/>
                <w:szCs w:val="16"/>
              </w:rPr>
              <w:t xml:space="preserve">Whole sector </w:t>
            </w:r>
          </w:p>
        </w:tc>
        <w:tc>
          <w:tcPr>
            <w:tcW w:w="1843" w:type="dxa"/>
            <w:tcBorders>
              <w:top w:val="nil"/>
              <w:left w:val="nil"/>
              <w:bottom w:val="single" w:sz="4" w:space="0" w:color="auto"/>
              <w:right w:val="nil"/>
            </w:tcBorders>
            <w:shd w:val="clear" w:color="auto" w:fill="auto"/>
            <w:noWrap/>
            <w:vAlign w:val="bottom"/>
          </w:tcPr>
          <w:p w14:paraId="135F722B" w14:textId="77777777" w:rsidR="00537973" w:rsidRDefault="00537973" w:rsidP="001E5234">
            <w:pPr>
              <w:spacing w:after="0"/>
              <w:jc w:val="center"/>
              <w:rPr>
                <w:rFonts w:cs="Arial"/>
                <w:sz w:val="16"/>
                <w:szCs w:val="16"/>
              </w:rPr>
            </w:pPr>
            <w:r>
              <w:rPr>
                <w:rFonts w:cs="Arial"/>
                <w:sz w:val="16"/>
                <w:szCs w:val="16"/>
              </w:rPr>
              <w:t>18.1%</w:t>
            </w:r>
          </w:p>
          <w:p w14:paraId="4FABA533" w14:textId="77777777" w:rsidR="00537973" w:rsidRDefault="00537973" w:rsidP="001E5234">
            <w:pPr>
              <w:spacing w:after="0"/>
              <w:jc w:val="center"/>
              <w:rPr>
                <w:rFonts w:cs="Arial"/>
                <w:sz w:val="16"/>
                <w:szCs w:val="16"/>
              </w:rPr>
            </w:pPr>
            <w:r>
              <w:rPr>
                <w:rFonts w:cs="Arial"/>
                <w:sz w:val="16"/>
                <w:szCs w:val="16"/>
              </w:rPr>
              <w:t>(3.4%)</w:t>
            </w:r>
          </w:p>
        </w:tc>
        <w:tc>
          <w:tcPr>
            <w:tcW w:w="1937" w:type="dxa"/>
            <w:tcBorders>
              <w:top w:val="nil"/>
              <w:left w:val="nil"/>
              <w:bottom w:val="single" w:sz="4" w:space="0" w:color="auto"/>
              <w:right w:val="nil"/>
            </w:tcBorders>
            <w:shd w:val="clear" w:color="auto" w:fill="auto"/>
            <w:noWrap/>
            <w:vAlign w:val="bottom"/>
          </w:tcPr>
          <w:p w14:paraId="06ED7D9B" w14:textId="357FE62F" w:rsidR="00537973" w:rsidRDefault="00A95D6E" w:rsidP="001E5234">
            <w:pPr>
              <w:spacing w:after="0"/>
              <w:jc w:val="center"/>
              <w:rPr>
                <w:rFonts w:cs="Arial"/>
                <w:sz w:val="16"/>
                <w:szCs w:val="16"/>
              </w:rPr>
            </w:pPr>
            <w:r>
              <w:rPr>
                <w:rFonts w:cs="Arial"/>
                <w:sz w:val="16"/>
                <w:szCs w:val="16"/>
              </w:rPr>
              <w:t>7.8</w:t>
            </w:r>
            <w:r w:rsidR="00537973">
              <w:rPr>
                <w:rFonts w:cs="Arial"/>
                <w:sz w:val="16"/>
                <w:szCs w:val="16"/>
              </w:rPr>
              <w:t>%</w:t>
            </w:r>
          </w:p>
          <w:p w14:paraId="5FF8623F" w14:textId="06AE643B" w:rsidR="00537973" w:rsidRDefault="00537973" w:rsidP="0038428B">
            <w:pPr>
              <w:spacing w:after="0"/>
              <w:jc w:val="center"/>
              <w:rPr>
                <w:rFonts w:cs="Arial"/>
                <w:sz w:val="16"/>
                <w:szCs w:val="16"/>
              </w:rPr>
            </w:pPr>
            <w:r>
              <w:rPr>
                <w:rFonts w:cs="Arial"/>
                <w:sz w:val="16"/>
                <w:szCs w:val="16"/>
              </w:rPr>
              <w:t>(</w:t>
            </w:r>
            <w:r w:rsidR="00A95D6E">
              <w:rPr>
                <w:rFonts w:cs="Arial"/>
                <w:sz w:val="16"/>
                <w:szCs w:val="16"/>
              </w:rPr>
              <w:t>3.8</w:t>
            </w:r>
            <w:r>
              <w:rPr>
                <w:rFonts w:cs="Arial"/>
                <w:sz w:val="16"/>
                <w:szCs w:val="16"/>
              </w:rPr>
              <w:t>%)</w:t>
            </w:r>
          </w:p>
        </w:tc>
        <w:tc>
          <w:tcPr>
            <w:tcW w:w="1890" w:type="dxa"/>
            <w:tcBorders>
              <w:top w:val="nil"/>
              <w:left w:val="nil"/>
              <w:bottom w:val="single" w:sz="4" w:space="0" w:color="auto"/>
              <w:right w:val="nil"/>
            </w:tcBorders>
            <w:shd w:val="clear" w:color="auto" w:fill="auto"/>
            <w:noWrap/>
            <w:vAlign w:val="bottom"/>
          </w:tcPr>
          <w:p w14:paraId="56DDFAE7" w14:textId="6B47E606" w:rsidR="00537973" w:rsidRDefault="00A95D6E" w:rsidP="001E5234">
            <w:pPr>
              <w:spacing w:after="0"/>
              <w:jc w:val="center"/>
              <w:rPr>
                <w:rFonts w:cs="Arial"/>
                <w:sz w:val="16"/>
                <w:szCs w:val="16"/>
              </w:rPr>
            </w:pPr>
            <w:r>
              <w:rPr>
                <w:rFonts w:cs="Arial"/>
                <w:sz w:val="16"/>
                <w:szCs w:val="16"/>
              </w:rPr>
              <w:t>6.6</w:t>
            </w:r>
            <w:r w:rsidR="00537973">
              <w:rPr>
                <w:rFonts w:cs="Arial"/>
                <w:sz w:val="16"/>
                <w:szCs w:val="16"/>
              </w:rPr>
              <w:t>%</w:t>
            </w:r>
          </w:p>
          <w:p w14:paraId="1CEF5EF7" w14:textId="40507608" w:rsidR="00537973" w:rsidRDefault="00537973" w:rsidP="0038428B">
            <w:pPr>
              <w:spacing w:after="0"/>
              <w:jc w:val="center"/>
              <w:rPr>
                <w:rFonts w:cs="Arial"/>
                <w:sz w:val="16"/>
                <w:szCs w:val="16"/>
              </w:rPr>
            </w:pPr>
            <w:r>
              <w:rPr>
                <w:rFonts w:cs="Arial"/>
                <w:sz w:val="16"/>
                <w:szCs w:val="16"/>
              </w:rPr>
              <w:t>(</w:t>
            </w:r>
            <w:r w:rsidR="00A95D6E">
              <w:rPr>
                <w:rFonts w:cs="Arial"/>
                <w:sz w:val="16"/>
                <w:szCs w:val="16"/>
              </w:rPr>
              <w:t>3.2</w:t>
            </w:r>
            <w:r>
              <w:rPr>
                <w:rFonts w:cs="Arial"/>
                <w:sz w:val="16"/>
                <w:szCs w:val="16"/>
              </w:rPr>
              <w:t>%)</w:t>
            </w:r>
          </w:p>
        </w:tc>
      </w:tr>
      <w:tr w:rsidR="00537973" w14:paraId="08438C67" w14:textId="77777777" w:rsidTr="001E5234">
        <w:trPr>
          <w:trHeight w:val="235"/>
        </w:trPr>
        <w:tc>
          <w:tcPr>
            <w:tcW w:w="1418" w:type="dxa"/>
            <w:vMerge w:val="restart"/>
            <w:tcBorders>
              <w:top w:val="single" w:sz="4" w:space="0" w:color="auto"/>
            </w:tcBorders>
            <w:noWrap/>
            <w:vAlign w:val="center"/>
            <w:hideMark/>
          </w:tcPr>
          <w:p w14:paraId="70BEBF40" w14:textId="77777777" w:rsidR="00537973" w:rsidRDefault="00537973" w:rsidP="001E5234">
            <w:pPr>
              <w:spacing w:after="0"/>
              <w:rPr>
                <w:b/>
                <w:bCs/>
                <w:sz w:val="16"/>
                <w:szCs w:val="16"/>
              </w:rPr>
            </w:pPr>
            <w:r w:rsidRPr="007E7352">
              <w:rPr>
                <w:b/>
                <w:bCs/>
                <w:sz w:val="16"/>
                <w:szCs w:val="16"/>
              </w:rPr>
              <w:t>Total</w:t>
            </w:r>
          </w:p>
          <w:p w14:paraId="60BBE5C5" w14:textId="77777777" w:rsidR="00537973" w:rsidRPr="007E7352" w:rsidRDefault="00537973" w:rsidP="001E5234">
            <w:pPr>
              <w:spacing w:after="0"/>
              <w:rPr>
                <w:sz w:val="16"/>
                <w:szCs w:val="16"/>
              </w:rPr>
            </w:pPr>
            <w:r>
              <w:rPr>
                <w:b/>
                <w:bCs/>
                <w:sz w:val="16"/>
                <w:szCs w:val="16"/>
              </w:rPr>
              <w:t>(CAGR)</w:t>
            </w:r>
          </w:p>
        </w:tc>
        <w:tc>
          <w:tcPr>
            <w:tcW w:w="1417" w:type="dxa"/>
            <w:tcBorders>
              <w:top w:val="single" w:sz="4" w:space="0" w:color="auto"/>
              <w:bottom w:val="single" w:sz="4" w:space="0" w:color="auto"/>
            </w:tcBorders>
          </w:tcPr>
          <w:p w14:paraId="236AA995" w14:textId="77777777" w:rsidR="00537973" w:rsidRDefault="00537973" w:rsidP="001E5234">
            <w:pPr>
              <w:spacing w:after="0"/>
              <w:jc w:val="center"/>
              <w:rPr>
                <w:rFonts w:cs="Arial"/>
                <w:sz w:val="16"/>
                <w:szCs w:val="16"/>
              </w:rPr>
            </w:pPr>
            <w:r w:rsidRPr="001150A4">
              <w:rPr>
                <w:rFonts w:cs="Arial"/>
                <w:i/>
                <w:sz w:val="16"/>
                <w:szCs w:val="16"/>
              </w:rPr>
              <w:t xml:space="preserve">Actual </w:t>
            </w:r>
          </w:p>
        </w:tc>
        <w:tc>
          <w:tcPr>
            <w:tcW w:w="1843" w:type="dxa"/>
            <w:tcBorders>
              <w:top w:val="single" w:sz="4" w:space="0" w:color="auto"/>
              <w:left w:val="nil"/>
              <w:bottom w:val="single" w:sz="4" w:space="0" w:color="auto"/>
              <w:right w:val="nil"/>
            </w:tcBorders>
            <w:shd w:val="clear" w:color="auto" w:fill="auto"/>
            <w:noWrap/>
            <w:vAlign w:val="bottom"/>
            <w:hideMark/>
          </w:tcPr>
          <w:p w14:paraId="4DF88C00" w14:textId="77777777" w:rsidR="00537973" w:rsidRDefault="00537973" w:rsidP="001E5234">
            <w:pPr>
              <w:spacing w:after="0"/>
              <w:jc w:val="center"/>
              <w:rPr>
                <w:rFonts w:cs="Arial"/>
                <w:sz w:val="16"/>
                <w:szCs w:val="16"/>
              </w:rPr>
            </w:pPr>
            <w:r>
              <w:rPr>
                <w:rFonts w:cs="Arial"/>
                <w:sz w:val="16"/>
                <w:szCs w:val="16"/>
              </w:rPr>
              <w:t>10.1%</w:t>
            </w:r>
          </w:p>
          <w:p w14:paraId="531FB1CB" w14:textId="77777777" w:rsidR="00537973" w:rsidRPr="007E7352" w:rsidRDefault="00537973" w:rsidP="001E5234">
            <w:pPr>
              <w:spacing w:after="0"/>
              <w:jc w:val="center"/>
              <w:rPr>
                <w:sz w:val="16"/>
                <w:szCs w:val="16"/>
              </w:rPr>
            </w:pPr>
            <w:r>
              <w:rPr>
                <w:rFonts w:cs="Arial"/>
                <w:sz w:val="16"/>
                <w:szCs w:val="16"/>
              </w:rPr>
              <w:t>(1.9%)</w:t>
            </w:r>
          </w:p>
        </w:tc>
        <w:tc>
          <w:tcPr>
            <w:tcW w:w="1937" w:type="dxa"/>
            <w:tcBorders>
              <w:top w:val="single" w:sz="4" w:space="0" w:color="auto"/>
              <w:left w:val="nil"/>
              <w:bottom w:val="single" w:sz="4" w:space="0" w:color="auto"/>
              <w:right w:val="nil"/>
            </w:tcBorders>
            <w:shd w:val="clear" w:color="auto" w:fill="auto"/>
            <w:noWrap/>
            <w:vAlign w:val="bottom"/>
            <w:hideMark/>
          </w:tcPr>
          <w:p w14:paraId="01F491C4" w14:textId="69CCE280" w:rsidR="00537973" w:rsidRDefault="00A95D6E" w:rsidP="001E5234">
            <w:pPr>
              <w:spacing w:after="0"/>
              <w:jc w:val="center"/>
              <w:rPr>
                <w:rFonts w:cs="Arial"/>
                <w:sz w:val="16"/>
                <w:szCs w:val="16"/>
              </w:rPr>
            </w:pPr>
            <w:r>
              <w:rPr>
                <w:rFonts w:cs="Arial"/>
                <w:sz w:val="16"/>
                <w:szCs w:val="16"/>
              </w:rPr>
              <w:t>7.9</w:t>
            </w:r>
            <w:r w:rsidR="00537973">
              <w:rPr>
                <w:rFonts w:cs="Arial"/>
                <w:sz w:val="16"/>
                <w:szCs w:val="16"/>
              </w:rPr>
              <w:t>%</w:t>
            </w:r>
          </w:p>
          <w:p w14:paraId="1E88B797" w14:textId="741A4148" w:rsidR="00537973" w:rsidRPr="007E7352" w:rsidRDefault="00537973" w:rsidP="0038428B">
            <w:pPr>
              <w:spacing w:after="0"/>
              <w:jc w:val="center"/>
              <w:rPr>
                <w:sz w:val="16"/>
                <w:szCs w:val="16"/>
              </w:rPr>
            </w:pPr>
            <w:r>
              <w:rPr>
                <w:rFonts w:cs="Arial"/>
                <w:sz w:val="16"/>
                <w:szCs w:val="16"/>
              </w:rPr>
              <w:t>(</w:t>
            </w:r>
            <w:r w:rsidR="00A95D6E">
              <w:rPr>
                <w:rFonts w:cs="Arial"/>
                <w:sz w:val="16"/>
                <w:szCs w:val="16"/>
              </w:rPr>
              <w:t>3.9</w:t>
            </w:r>
            <w:r>
              <w:rPr>
                <w:rFonts w:cs="Arial"/>
                <w:sz w:val="16"/>
                <w:szCs w:val="16"/>
              </w:rPr>
              <w:t>%)</w:t>
            </w:r>
          </w:p>
        </w:tc>
        <w:tc>
          <w:tcPr>
            <w:tcW w:w="1890" w:type="dxa"/>
            <w:tcBorders>
              <w:top w:val="single" w:sz="4" w:space="0" w:color="auto"/>
              <w:left w:val="nil"/>
              <w:bottom w:val="single" w:sz="4" w:space="0" w:color="auto"/>
              <w:right w:val="nil"/>
            </w:tcBorders>
            <w:shd w:val="clear" w:color="auto" w:fill="auto"/>
            <w:noWrap/>
            <w:vAlign w:val="bottom"/>
            <w:hideMark/>
          </w:tcPr>
          <w:p w14:paraId="7DF7D5D9" w14:textId="2E475FDE" w:rsidR="00537973" w:rsidRDefault="00A95D6E" w:rsidP="001E5234">
            <w:pPr>
              <w:spacing w:after="0"/>
              <w:jc w:val="center"/>
              <w:rPr>
                <w:rFonts w:cs="Arial"/>
                <w:sz w:val="16"/>
                <w:szCs w:val="16"/>
              </w:rPr>
            </w:pPr>
            <w:r>
              <w:rPr>
                <w:rFonts w:cs="Arial"/>
                <w:sz w:val="16"/>
                <w:szCs w:val="16"/>
              </w:rPr>
              <w:t>5.9</w:t>
            </w:r>
            <w:r w:rsidR="00537973">
              <w:rPr>
                <w:rFonts w:cs="Arial"/>
                <w:sz w:val="16"/>
                <w:szCs w:val="16"/>
              </w:rPr>
              <w:t>%</w:t>
            </w:r>
          </w:p>
          <w:p w14:paraId="27D3ED4E" w14:textId="0335931B" w:rsidR="00537973" w:rsidRPr="007E7352" w:rsidRDefault="00537973" w:rsidP="0038428B">
            <w:pPr>
              <w:spacing w:after="0"/>
              <w:jc w:val="center"/>
              <w:rPr>
                <w:sz w:val="16"/>
                <w:szCs w:val="16"/>
              </w:rPr>
            </w:pPr>
            <w:r>
              <w:rPr>
                <w:rFonts w:cs="Arial"/>
                <w:sz w:val="16"/>
                <w:szCs w:val="16"/>
              </w:rPr>
              <w:t>(</w:t>
            </w:r>
            <w:r w:rsidR="00A95D6E">
              <w:rPr>
                <w:rFonts w:cs="Arial"/>
                <w:sz w:val="16"/>
                <w:szCs w:val="16"/>
              </w:rPr>
              <w:t>2.9</w:t>
            </w:r>
            <w:r>
              <w:rPr>
                <w:rFonts w:cs="Arial"/>
                <w:sz w:val="16"/>
                <w:szCs w:val="16"/>
              </w:rPr>
              <w:t>%)</w:t>
            </w:r>
          </w:p>
        </w:tc>
      </w:tr>
      <w:tr w:rsidR="00537973" w14:paraId="3B4C8988" w14:textId="77777777" w:rsidTr="001E5234">
        <w:trPr>
          <w:trHeight w:val="235"/>
        </w:trPr>
        <w:tc>
          <w:tcPr>
            <w:tcW w:w="1418" w:type="dxa"/>
            <w:vMerge/>
            <w:tcBorders>
              <w:bottom w:val="single" w:sz="4" w:space="0" w:color="auto"/>
            </w:tcBorders>
            <w:noWrap/>
          </w:tcPr>
          <w:p w14:paraId="226DEE56" w14:textId="77777777" w:rsidR="00537973" w:rsidRPr="007E7352" w:rsidRDefault="00537973" w:rsidP="001E5234">
            <w:pPr>
              <w:spacing w:after="0"/>
              <w:rPr>
                <w:b/>
                <w:bCs/>
                <w:sz w:val="16"/>
                <w:szCs w:val="16"/>
              </w:rPr>
            </w:pPr>
          </w:p>
        </w:tc>
        <w:tc>
          <w:tcPr>
            <w:tcW w:w="1417" w:type="dxa"/>
            <w:tcBorders>
              <w:top w:val="single" w:sz="4" w:space="0" w:color="auto"/>
              <w:bottom w:val="single" w:sz="4" w:space="0" w:color="auto"/>
            </w:tcBorders>
          </w:tcPr>
          <w:p w14:paraId="6E5D2571" w14:textId="77777777" w:rsidR="00537973" w:rsidRDefault="00537973" w:rsidP="001E5234">
            <w:pPr>
              <w:spacing w:after="0"/>
              <w:jc w:val="center"/>
              <w:rPr>
                <w:rFonts w:cs="Arial"/>
                <w:sz w:val="16"/>
                <w:szCs w:val="16"/>
              </w:rPr>
            </w:pPr>
            <w:r w:rsidRPr="001150A4">
              <w:rPr>
                <w:rFonts w:cs="Arial"/>
                <w:i/>
                <w:sz w:val="16"/>
                <w:szCs w:val="16"/>
              </w:rPr>
              <w:t xml:space="preserve">Whole sector </w:t>
            </w:r>
          </w:p>
        </w:tc>
        <w:tc>
          <w:tcPr>
            <w:tcW w:w="1843" w:type="dxa"/>
            <w:tcBorders>
              <w:top w:val="single" w:sz="4" w:space="0" w:color="auto"/>
              <w:left w:val="nil"/>
              <w:bottom w:val="single" w:sz="4" w:space="0" w:color="auto"/>
              <w:right w:val="nil"/>
            </w:tcBorders>
            <w:shd w:val="clear" w:color="auto" w:fill="auto"/>
            <w:noWrap/>
            <w:vAlign w:val="bottom"/>
          </w:tcPr>
          <w:p w14:paraId="067255D8" w14:textId="77777777" w:rsidR="00537973" w:rsidRDefault="00537973" w:rsidP="001E5234">
            <w:pPr>
              <w:spacing w:after="0"/>
              <w:jc w:val="center"/>
              <w:rPr>
                <w:rFonts w:cs="Arial"/>
                <w:sz w:val="16"/>
                <w:szCs w:val="16"/>
              </w:rPr>
            </w:pPr>
            <w:r>
              <w:rPr>
                <w:rFonts w:cs="Arial"/>
                <w:sz w:val="16"/>
                <w:szCs w:val="16"/>
              </w:rPr>
              <w:t>9.5%</w:t>
            </w:r>
          </w:p>
          <w:p w14:paraId="6B53E142" w14:textId="77777777" w:rsidR="00537973" w:rsidRDefault="00537973" w:rsidP="001E5234">
            <w:pPr>
              <w:spacing w:after="0"/>
              <w:jc w:val="center"/>
              <w:rPr>
                <w:rFonts w:cs="Arial"/>
                <w:sz w:val="16"/>
                <w:szCs w:val="16"/>
              </w:rPr>
            </w:pPr>
            <w:r>
              <w:rPr>
                <w:rFonts w:cs="Arial"/>
                <w:sz w:val="16"/>
                <w:szCs w:val="16"/>
              </w:rPr>
              <w:t>(1.8%)</w:t>
            </w:r>
          </w:p>
        </w:tc>
        <w:tc>
          <w:tcPr>
            <w:tcW w:w="1937" w:type="dxa"/>
            <w:tcBorders>
              <w:top w:val="single" w:sz="4" w:space="0" w:color="auto"/>
              <w:left w:val="nil"/>
              <w:bottom w:val="single" w:sz="4" w:space="0" w:color="auto"/>
              <w:right w:val="nil"/>
            </w:tcBorders>
            <w:shd w:val="clear" w:color="auto" w:fill="auto"/>
            <w:noWrap/>
            <w:vAlign w:val="bottom"/>
          </w:tcPr>
          <w:p w14:paraId="0BF59E1C" w14:textId="395922EA" w:rsidR="00537973" w:rsidRDefault="00A95D6E" w:rsidP="001E5234">
            <w:pPr>
              <w:spacing w:after="0"/>
              <w:jc w:val="center"/>
              <w:rPr>
                <w:rFonts w:cs="Arial"/>
                <w:sz w:val="16"/>
                <w:szCs w:val="16"/>
              </w:rPr>
            </w:pPr>
            <w:r>
              <w:rPr>
                <w:rFonts w:cs="Arial"/>
                <w:sz w:val="16"/>
                <w:szCs w:val="16"/>
              </w:rPr>
              <w:t>7.9</w:t>
            </w:r>
            <w:r w:rsidR="00537973">
              <w:rPr>
                <w:rFonts w:cs="Arial"/>
                <w:sz w:val="16"/>
                <w:szCs w:val="16"/>
              </w:rPr>
              <w:t>%</w:t>
            </w:r>
          </w:p>
          <w:p w14:paraId="68BF58D5" w14:textId="2B9D3604" w:rsidR="00537973" w:rsidRDefault="00537973" w:rsidP="0038428B">
            <w:pPr>
              <w:spacing w:after="0"/>
              <w:jc w:val="center"/>
              <w:rPr>
                <w:rFonts w:cs="Arial"/>
                <w:sz w:val="16"/>
                <w:szCs w:val="16"/>
              </w:rPr>
            </w:pPr>
            <w:r>
              <w:rPr>
                <w:rFonts w:cs="Arial"/>
                <w:sz w:val="16"/>
                <w:szCs w:val="16"/>
              </w:rPr>
              <w:t>(</w:t>
            </w:r>
            <w:r w:rsidR="00A95D6E">
              <w:rPr>
                <w:rFonts w:cs="Arial"/>
                <w:sz w:val="16"/>
                <w:szCs w:val="16"/>
              </w:rPr>
              <w:t>3.9</w:t>
            </w:r>
            <w:r>
              <w:rPr>
                <w:rFonts w:cs="Arial"/>
                <w:sz w:val="16"/>
                <w:szCs w:val="16"/>
              </w:rPr>
              <w:t>%)</w:t>
            </w:r>
          </w:p>
        </w:tc>
        <w:tc>
          <w:tcPr>
            <w:tcW w:w="1890" w:type="dxa"/>
            <w:tcBorders>
              <w:top w:val="single" w:sz="4" w:space="0" w:color="auto"/>
              <w:left w:val="nil"/>
              <w:bottom w:val="single" w:sz="4" w:space="0" w:color="auto"/>
              <w:right w:val="nil"/>
            </w:tcBorders>
            <w:shd w:val="clear" w:color="auto" w:fill="auto"/>
            <w:noWrap/>
            <w:vAlign w:val="bottom"/>
          </w:tcPr>
          <w:p w14:paraId="0FBFDA38" w14:textId="492DFB1D" w:rsidR="00537973" w:rsidRDefault="00A95D6E" w:rsidP="001E5234">
            <w:pPr>
              <w:spacing w:after="0"/>
              <w:jc w:val="center"/>
              <w:rPr>
                <w:rFonts w:cs="Arial"/>
                <w:sz w:val="16"/>
                <w:szCs w:val="16"/>
              </w:rPr>
            </w:pPr>
            <w:r>
              <w:rPr>
                <w:rFonts w:cs="Arial"/>
                <w:sz w:val="16"/>
                <w:szCs w:val="16"/>
              </w:rPr>
              <w:t>6.0</w:t>
            </w:r>
            <w:r w:rsidR="00537973">
              <w:rPr>
                <w:rFonts w:cs="Arial"/>
                <w:sz w:val="16"/>
                <w:szCs w:val="16"/>
              </w:rPr>
              <w:t>%</w:t>
            </w:r>
          </w:p>
          <w:p w14:paraId="4E234CF7" w14:textId="04076234" w:rsidR="00537973" w:rsidRDefault="00537973" w:rsidP="0038428B">
            <w:pPr>
              <w:spacing w:after="0"/>
              <w:jc w:val="center"/>
              <w:rPr>
                <w:rFonts w:cs="Arial"/>
                <w:sz w:val="16"/>
                <w:szCs w:val="16"/>
              </w:rPr>
            </w:pPr>
            <w:r>
              <w:rPr>
                <w:rFonts w:cs="Arial"/>
                <w:sz w:val="16"/>
                <w:szCs w:val="16"/>
              </w:rPr>
              <w:t>(</w:t>
            </w:r>
            <w:r w:rsidR="00A95D6E">
              <w:rPr>
                <w:rFonts w:cs="Arial"/>
                <w:sz w:val="16"/>
                <w:szCs w:val="16"/>
              </w:rPr>
              <w:t>3.0</w:t>
            </w:r>
            <w:r>
              <w:rPr>
                <w:rFonts w:cs="Arial"/>
                <w:sz w:val="16"/>
                <w:szCs w:val="16"/>
              </w:rPr>
              <w:t>%)</w:t>
            </w:r>
          </w:p>
        </w:tc>
      </w:tr>
    </w:tbl>
    <w:p w14:paraId="0244EC2B" w14:textId="77777777" w:rsidR="00537973" w:rsidRPr="00C33BFD" w:rsidRDefault="00537973" w:rsidP="00537973">
      <w:pPr>
        <w:pStyle w:val="Source"/>
      </w:pPr>
      <w:r>
        <w:t xml:space="preserve">Note: Results in parentheses reflect compound annual growth rates over the relevant period. ‘Actual’ FOE mix refers to unit costs based on the actual mix of enrolments in the specified sample, ‘whole sector’ refers to the unit costs re-weighted by the mix of enrolments across all universities. </w:t>
      </w:r>
    </w:p>
    <w:p w14:paraId="2924E538" w14:textId="362A6E0C" w:rsidR="00537973" w:rsidRDefault="00537973" w:rsidP="00537973">
      <w:r>
        <w:t xml:space="preserve">Table iii benchmarks the changes in teaching cost per EFTSL since 2015 to changes in expenditure by the sector since 2015 for the common sample, all universities sampled in 2018 and all public universities. Over this period, EFTSL grew by between 3.0% and 4.7% across the different groups of universities and expenditure per EFTSL grew by 6.7% for all universities and by 8.2% for the common sample. Given that overall teaching costs per EFTSL for all levels in the common sample grew by </w:t>
      </w:r>
      <w:r w:rsidR="00A8741F">
        <w:t>5.9</w:t>
      </w:r>
      <w:r>
        <w:t xml:space="preserve">%, this suggests that </w:t>
      </w:r>
      <w:r w:rsidRPr="003731A9">
        <w:t>changes in teaching and scholarship costs have grown broad</w:t>
      </w:r>
      <w:r w:rsidRPr="00107DB5">
        <w:t>ly in line</w:t>
      </w:r>
      <w:r w:rsidR="00223783">
        <w:t xml:space="preserve"> albeit slightly less than</w:t>
      </w:r>
      <w:r w:rsidRPr="00107DB5">
        <w:t xml:space="preserve"> changes in overall expenditure.</w:t>
      </w:r>
      <w:r>
        <w:t xml:space="preserve"> </w:t>
      </w:r>
    </w:p>
    <w:p w14:paraId="077A66A6" w14:textId="77777777" w:rsidR="00537973" w:rsidRDefault="00537973" w:rsidP="00537973">
      <w:r>
        <w:t xml:space="preserve">While the growth in costs per EFTSL for the common sample provides a valid comparison over time for a common sample of universities, it is not strictly a measure of cost per EFTSL for the sector over time. </w:t>
      </w:r>
      <w:proofErr w:type="gramStart"/>
      <w:r>
        <w:t>It is possible that growth in cost</w:t>
      </w:r>
      <w:r w:rsidR="00F9138B">
        <w:t>s</w:t>
      </w:r>
      <w:r>
        <w:t xml:space="preserve"> per EFTSL may</w:t>
      </w:r>
      <w:proofErr w:type="gramEnd"/>
      <w:r>
        <w:t xml:space="preserve"> differ for universities not in the common sample. However, the figures in </w:t>
      </w:r>
      <w:r w:rsidR="00A97F13">
        <w:t>Table iii</w:t>
      </w:r>
      <w:r>
        <w:t xml:space="preserve"> suggest that changes in continuing expenditure per EFTSL have not differed vastly </w:t>
      </w:r>
      <w:r w:rsidR="00F9138B">
        <w:t>between the common sample and</w:t>
      </w:r>
      <w:r>
        <w:t xml:space="preserve"> the sector as a whole. This indicates that the growth in costs for the common sample is likely to be a reasonable, if imperfect, proxy for changes in costs for all universities. </w:t>
      </w:r>
    </w:p>
    <w:p w14:paraId="7DC0957D" w14:textId="77777777" w:rsidR="00537973" w:rsidRDefault="00537973" w:rsidP="00537973">
      <w:pPr>
        <w:pStyle w:val="ExecTableCaption"/>
      </w:pPr>
      <w:bookmarkStart w:id="103" w:name="_Ref534627559"/>
      <w:bookmarkStart w:id="104" w:name="_Toc534713846"/>
      <w:r>
        <w:lastRenderedPageBreak/>
        <w:t>: Change in costs between 2015 and 2017</w:t>
      </w:r>
      <w:bookmarkEnd w:id="103"/>
      <w:bookmarkEnd w:id="104"/>
      <w:r>
        <w:t xml:space="preserve"> </w:t>
      </w:r>
    </w:p>
    <w:tbl>
      <w:tblPr>
        <w:tblStyle w:val="Deloittetable"/>
        <w:tblW w:w="7230" w:type="dxa"/>
        <w:tblLayout w:type="fixed"/>
        <w:tblLook w:val="04A0" w:firstRow="1" w:lastRow="0" w:firstColumn="1" w:lastColumn="0" w:noHBand="0" w:noVBand="1"/>
      </w:tblPr>
      <w:tblGrid>
        <w:gridCol w:w="2694"/>
        <w:gridCol w:w="1512"/>
        <w:gridCol w:w="1512"/>
        <w:gridCol w:w="1512"/>
      </w:tblGrid>
      <w:tr w:rsidR="00537973" w14:paraId="17F3EA30" w14:textId="77777777" w:rsidTr="001E5234">
        <w:trPr>
          <w:cnfStyle w:val="100000000000" w:firstRow="1" w:lastRow="0" w:firstColumn="0" w:lastColumn="0" w:oddVBand="0" w:evenVBand="0" w:oddHBand="0" w:evenHBand="0" w:firstRowFirstColumn="0" w:firstRowLastColumn="0" w:lastRowFirstColumn="0" w:lastRowLastColumn="0"/>
        </w:trPr>
        <w:tc>
          <w:tcPr>
            <w:tcW w:w="2694" w:type="dxa"/>
          </w:tcPr>
          <w:p w14:paraId="6033DC89" w14:textId="77777777" w:rsidR="00537973" w:rsidRPr="007E7352" w:rsidRDefault="00537973" w:rsidP="001E5234">
            <w:pPr>
              <w:spacing w:after="0"/>
              <w:jc w:val="center"/>
              <w:rPr>
                <w:b/>
                <w:sz w:val="16"/>
              </w:rPr>
            </w:pPr>
            <w:r w:rsidRPr="007E7352">
              <w:rPr>
                <w:b/>
                <w:sz w:val="16"/>
                <w:lang w:eastAsia="en-AU"/>
              </w:rPr>
              <w:t>% growth 2015 to 2017</w:t>
            </w:r>
          </w:p>
        </w:tc>
        <w:tc>
          <w:tcPr>
            <w:tcW w:w="1512" w:type="dxa"/>
          </w:tcPr>
          <w:p w14:paraId="40A064FD" w14:textId="77777777" w:rsidR="00537973" w:rsidRPr="007E7352" w:rsidRDefault="00537973" w:rsidP="001E5234">
            <w:pPr>
              <w:spacing w:after="0"/>
              <w:jc w:val="center"/>
              <w:rPr>
                <w:b/>
                <w:sz w:val="16"/>
              </w:rPr>
            </w:pPr>
            <w:r w:rsidRPr="007E7352">
              <w:rPr>
                <w:b/>
                <w:sz w:val="16"/>
                <w:lang w:eastAsia="en-AU"/>
              </w:rPr>
              <w:t>Common sample</w:t>
            </w:r>
            <w:r>
              <w:rPr>
                <w:b/>
                <w:sz w:val="16"/>
                <w:lang w:eastAsia="en-AU"/>
              </w:rPr>
              <w:t xml:space="preserve"> (17 universities)</w:t>
            </w:r>
          </w:p>
        </w:tc>
        <w:tc>
          <w:tcPr>
            <w:tcW w:w="1512" w:type="dxa"/>
          </w:tcPr>
          <w:p w14:paraId="644F02FE" w14:textId="77777777" w:rsidR="00537973" w:rsidRDefault="00537973" w:rsidP="001E5234">
            <w:pPr>
              <w:spacing w:after="0"/>
              <w:jc w:val="center"/>
              <w:rPr>
                <w:b/>
                <w:sz w:val="16"/>
                <w:lang w:eastAsia="en-AU"/>
              </w:rPr>
            </w:pPr>
            <w:r w:rsidRPr="007E7352">
              <w:rPr>
                <w:b/>
                <w:sz w:val="16"/>
                <w:lang w:eastAsia="en-AU"/>
              </w:rPr>
              <w:t>Full sample</w:t>
            </w:r>
            <w:r>
              <w:rPr>
                <w:b/>
                <w:sz w:val="16"/>
                <w:lang w:eastAsia="en-AU"/>
              </w:rPr>
              <w:t xml:space="preserve"> </w:t>
            </w:r>
          </w:p>
          <w:p w14:paraId="4632B63F" w14:textId="77777777" w:rsidR="00537973" w:rsidRPr="007E7352" w:rsidRDefault="00537973" w:rsidP="001E5234">
            <w:pPr>
              <w:spacing w:after="0"/>
              <w:jc w:val="center"/>
              <w:rPr>
                <w:b/>
                <w:sz w:val="16"/>
              </w:rPr>
            </w:pPr>
            <w:r>
              <w:rPr>
                <w:b/>
                <w:sz w:val="16"/>
                <w:lang w:eastAsia="en-AU"/>
              </w:rPr>
              <w:t>(25 universities)</w:t>
            </w:r>
          </w:p>
        </w:tc>
        <w:tc>
          <w:tcPr>
            <w:tcW w:w="1512" w:type="dxa"/>
          </w:tcPr>
          <w:p w14:paraId="22865EEA" w14:textId="77777777" w:rsidR="00537973" w:rsidRPr="007E7352" w:rsidRDefault="00537973" w:rsidP="001E5234">
            <w:pPr>
              <w:spacing w:after="0"/>
              <w:jc w:val="center"/>
              <w:rPr>
                <w:b/>
                <w:sz w:val="16"/>
                <w:lang w:eastAsia="en-AU"/>
              </w:rPr>
            </w:pPr>
            <w:r>
              <w:rPr>
                <w:b/>
                <w:sz w:val="16"/>
                <w:lang w:eastAsia="en-AU"/>
              </w:rPr>
              <w:t>All universities</w:t>
            </w:r>
          </w:p>
        </w:tc>
      </w:tr>
      <w:tr w:rsidR="00537973" w14:paraId="650E0E2C" w14:textId="77777777" w:rsidTr="001E5234">
        <w:tc>
          <w:tcPr>
            <w:tcW w:w="2694" w:type="dxa"/>
            <w:tcBorders>
              <w:bottom w:val="single" w:sz="4" w:space="0" w:color="auto"/>
            </w:tcBorders>
          </w:tcPr>
          <w:p w14:paraId="036BE93D" w14:textId="77777777" w:rsidR="00537973" w:rsidRPr="007E7352" w:rsidRDefault="00537973" w:rsidP="001E5234">
            <w:pPr>
              <w:spacing w:after="0"/>
              <w:rPr>
                <w:sz w:val="16"/>
              </w:rPr>
            </w:pPr>
            <w:r>
              <w:rPr>
                <w:sz w:val="16"/>
                <w:lang w:eastAsia="en-AU"/>
              </w:rPr>
              <w:t>C</w:t>
            </w:r>
            <w:r w:rsidRPr="007E7352">
              <w:rPr>
                <w:sz w:val="16"/>
                <w:lang w:eastAsia="en-AU"/>
              </w:rPr>
              <w:t>ost per EFTSL - all levels</w:t>
            </w:r>
          </w:p>
        </w:tc>
        <w:tc>
          <w:tcPr>
            <w:tcW w:w="1512" w:type="dxa"/>
            <w:tcBorders>
              <w:top w:val="nil"/>
              <w:left w:val="nil"/>
              <w:bottom w:val="single" w:sz="4" w:space="0" w:color="auto"/>
              <w:right w:val="nil"/>
            </w:tcBorders>
            <w:shd w:val="clear" w:color="auto" w:fill="auto"/>
            <w:vAlign w:val="bottom"/>
          </w:tcPr>
          <w:p w14:paraId="5DDF8CAB" w14:textId="14CC94B5" w:rsidR="00537973" w:rsidRPr="007E7352" w:rsidRDefault="00A95D6E" w:rsidP="001E5234">
            <w:pPr>
              <w:spacing w:after="0"/>
              <w:jc w:val="center"/>
              <w:rPr>
                <w:sz w:val="16"/>
              </w:rPr>
            </w:pPr>
            <w:r>
              <w:rPr>
                <w:rFonts w:cs="Arial"/>
                <w:sz w:val="16"/>
                <w:szCs w:val="16"/>
              </w:rPr>
              <w:t>5.9%</w:t>
            </w:r>
          </w:p>
        </w:tc>
        <w:tc>
          <w:tcPr>
            <w:tcW w:w="1512" w:type="dxa"/>
            <w:tcBorders>
              <w:top w:val="nil"/>
              <w:left w:val="nil"/>
              <w:bottom w:val="single" w:sz="4" w:space="0" w:color="auto"/>
              <w:right w:val="nil"/>
            </w:tcBorders>
            <w:shd w:val="clear" w:color="auto" w:fill="auto"/>
            <w:vAlign w:val="bottom"/>
          </w:tcPr>
          <w:p w14:paraId="64246F36" w14:textId="0771AF23" w:rsidR="00537973" w:rsidRPr="007E7352" w:rsidRDefault="00A95D6E" w:rsidP="001E5234">
            <w:pPr>
              <w:spacing w:after="0"/>
              <w:jc w:val="center"/>
              <w:rPr>
                <w:sz w:val="16"/>
              </w:rPr>
            </w:pPr>
            <w:r>
              <w:rPr>
                <w:rFonts w:cs="Arial"/>
                <w:sz w:val="16"/>
                <w:szCs w:val="16"/>
              </w:rPr>
              <w:t>7.9%</w:t>
            </w:r>
          </w:p>
        </w:tc>
        <w:tc>
          <w:tcPr>
            <w:tcW w:w="1512" w:type="dxa"/>
            <w:tcBorders>
              <w:bottom w:val="single" w:sz="4" w:space="0" w:color="auto"/>
            </w:tcBorders>
          </w:tcPr>
          <w:p w14:paraId="64CB4474" w14:textId="77777777" w:rsidR="00537973" w:rsidRPr="007E7352" w:rsidRDefault="00537973" w:rsidP="001E5234">
            <w:pPr>
              <w:spacing w:after="0"/>
              <w:jc w:val="center"/>
              <w:rPr>
                <w:sz w:val="16"/>
                <w:lang w:eastAsia="en-AU"/>
              </w:rPr>
            </w:pPr>
          </w:p>
        </w:tc>
      </w:tr>
      <w:tr w:rsidR="00537973" w14:paraId="7814C7D1" w14:textId="77777777" w:rsidTr="001E5234">
        <w:tc>
          <w:tcPr>
            <w:tcW w:w="2694" w:type="dxa"/>
            <w:tcBorders>
              <w:top w:val="single" w:sz="4" w:space="0" w:color="auto"/>
              <w:bottom w:val="single" w:sz="4" w:space="0" w:color="auto"/>
            </w:tcBorders>
          </w:tcPr>
          <w:p w14:paraId="6742ADBC" w14:textId="77777777" w:rsidR="00537973" w:rsidRPr="007E7352" w:rsidRDefault="00537973" w:rsidP="001E5234">
            <w:pPr>
              <w:spacing w:after="0"/>
              <w:rPr>
                <w:sz w:val="16"/>
              </w:rPr>
            </w:pPr>
            <w:r>
              <w:rPr>
                <w:sz w:val="16"/>
                <w:lang w:eastAsia="en-AU"/>
              </w:rPr>
              <w:t>C</w:t>
            </w:r>
            <w:r w:rsidRPr="007E7352">
              <w:rPr>
                <w:sz w:val="16"/>
                <w:lang w:eastAsia="en-AU"/>
              </w:rPr>
              <w:t>ost per EFTSL - bachelor</w:t>
            </w:r>
          </w:p>
        </w:tc>
        <w:tc>
          <w:tcPr>
            <w:tcW w:w="1512" w:type="dxa"/>
            <w:tcBorders>
              <w:top w:val="single" w:sz="4" w:space="0" w:color="auto"/>
              <w:left w:val="nil"/>
              <w:bottom w:val="single" w:sz="4" w:space="0" w:color="auto"/>
              <w:right w:val="nil"/>
            </w:tcBorders>
            <w:shd w:val="clear" w:color="auto" w:fill="auto"/>
            <w:vAlign w:val="bottom"/>
          </w:tcPr>
          <w:p w14:paraId="040FF9E4" w14:textId="2F587ADA" w:rsidR="00537973" w:rsidRPr="007E7352" w:rsidRDefault="00A95D6E" w:rsidP="001E5234">
            <w:pPr>
              <w:spacing w:after="0"/>
              <w:jc w:val="center"/>
              <w:rPr>
                <w:sz w:val="16"/>
              </w:rPr>
            </w:pPr>
            <w:r>
              <w:rPr>
                <w:rFonts w:cs="Arial"/>
                <w:sz w:val="16"/>
                <w:szCs w:val="16"/>
              </w:rPr>
              <w:t>4.6%</w:t>
            </w:r>
          </w:p>
        </w:tc>
        <w:tc>
          <w:tcPr>
            <w:tcW w:w="1512" w:type="dxa"/>
            <w:tcBorders>
              <w:top w:val="single" w:sz="4" w:space="0" w:color="auto"/>
              <w:left w:val="nil"/>
              <w:bottom w:val="single" w:sz="4" w:space="0" w:color="auto"/>
              <w:right w:val="nil"/>
            </w:tcBorders>
            <w:shd w:val="clear" w:color="auto" w:fill="auto"/>
            <w:vAlign w:val="bottom"/>
          </w:tcPr>
          <w:p w14:paraId="73F24537" w14:textId="706DCC51" w:rsidR="00537973" w:rsidRPr="007E7352" w:rsidRDefault="00A95D6E" w:rsidP="001E5234">
            <w:pPr>
              <w:spacing w:after="0"/>
              <w:jc w:val="center"/>
              <w:rPr>
                <w:sz w:val="16"/>
              </w:rPr>
            </w:pPr>
            <w:r>
              <w:rPr>
                <w:rFonts w:cs="Arial"/>
                <w:sz w:val="16"/>
                <w:szCs w:val="16"/>
              </w:rPr>
              <w:t>6.9%</w:t>
            </w:r>
          </w:p>
        </w:tc>
        <w:tc>
          <w:tcPr>
            <w:tcW w:w="1512" w:type="dxa"/>
            <w:tcBorders>
              <w:bottom w:val="single" w:sz="4" w:space="0" w:color="auto"/>
            </w:tcBorders>
          </w:tcPr>
          <w:p w14:paraId="30564153" w14:textId="77777777" w:rsidR="00537973" w:rsidRPr="007E7352" w:rsidRDefault="00537973" w:rsidP="001E5234">
            <w:pPr>
              <w:spacing w:after="0"/>
              <w:jc w:val="center"/>
              <w:rPr>
                <w:sz w:val="16"/>
                <w:lang w:eastAsia="en-AU"/>
              </w:rPr>
            </w:pPr>
          </w:p>
        </w:tc>
      </w:tr>
      <w:tr w:rsidR="00537973" w14:paraId="41683D8E" w14:textId="77777777" w:rsidTr="001E5234">
        <w:tc>
          <w:tcPr>
            <w:tcW w:w="2694" w:type="dxa"/>
            <w:tcBorders>
              <w:top w:val="single" w:sz="4" w:space="0" w:color="auto"/>
            </w:tcBorders>
          </w:tcPr>
          <w:p w14:paraId="5042A5BF" w14:textId="77777777" w:rsidR="00537973" w:rsidRPr="007E7352" w:rsidRDefault="00537973" w:rsidP="001E5234">
            <w:pPr>
              <w:spacing w:after="0"/>
              <w:rPr>
                <w:sz w:val="16"/>
              </w:rPr>
            </w:pPr>
            <w:r>
              <w:rPr>
                <w:sz w:val="16"/>
                <w:lang w:eastAsia="en-AU"/>
              </w:rPr>
              <w:t>C</w:t>
            </w:r>
            <w:r w:rsidRPr="007E7352">
              <w:rPr>
                <w:sz w:val="16"/>
                <w:lang w:eastAsia="en-AU"/>
              </w:rPr>
              <w:t>ost per EFTSL - postgraduate</w:t>
            </w:r>
          </w:p>
        </w:tc>
        <w:tc>
          <w:tcPr>
            <w:tcW w:w="1512" w:type="dxa"/>
            <w:tcBorders>
              <w:top w:val="single" w:sz="4" w:space="0" w:color="auto"/>
              <w:left w:val="nil"/>
              <w:bottom w:val="nil"/>
              <w:right w:val="nil"/>
            </w:tcBorders>
            <w:shd w:val="clear" w:color="auto" w:fill="auto"/>
            <w:vAlign w:val="bottom"/>
          </w:tcPr>
          <w:p w14:paraId="27DD5DF0" w14:textId="3F44386F" w:rsidR="00537973" w:rsidRPr="007E7352" w:rsidRDefault="00A95D6E" w:rsidP="001E5234">
            <w:pPr>
              <w:spacing w:after="0"/>
              <w:jc w:val="center"/>
              <w:rPr>
                <w:sz w:val="16"/>
              </w:rPr>
            </w:pPr>
            <w:r>
              <w:rPr>
                <w:rFonts w:cs="Arial"/>
                <w:sz w:val="16"/>
                <w:szCs w:val="16"/>
              </w:rPr>
              <w:t>6.4%</w:t>
            </w:r>
          </w:p>
        </w:tc>
        <w:tc>
          <w:tcPr>
            <w:tcW w:w="1512" w:type="dxa"/>
            <w:tcBorders>
              <w:top w:val="single" w:sz="4" w:space="0" w:color="auto"/>
              <w:left w:val="nil"/>
              <w:bottom w:val="nil"/>
              <w:right w:val="nil"/>
            </w:tcBorders>
            <w:shd w:val="clear" w:color="auto" w:fill="auto"/>
            <w:vAlign w:val="bottom"/>
          </w:tcPr>
          <w:p w14:paraId="726999F3" w14:textId="3735E1A7" w:rsidR="00537973" w:rsidRPr="007E7352" w:rsidRDefault="00A95D6E" w:rsidP="001E5234">
            <w:pPr>
              <w:spacing w:after="0"/>
              <w:jc w:val="center"/>
              <w:rPr>
                <w:sz w:val="16"/>
              </w:rPr>
            </w:pPr>
            <w:r>
              <w:rPr>
                <w:rFonts w:cs="Arial"/>
                <w:sz w:val="16"/>
                <w:szCs w:val="16"/>
              </w:rPr>
              <w:t>8.2%</w:t>
            </w:r>
          </w:p>
        </w:tc>
        <w:tc>
          <w:tcPr>
            <w:tcW w:w="1512" w:type="dxa"/>
            <w:tcBorders>
              <w:top w:val="single" w:sz="4" w:space="0" w:color="auto"/>
            </w:tcBorders>
          </w:tcPr>
          <w:p w14:paraId="5843F058" w14:textId="77777777" w:rsidR="00537973" w:rsidRPr="007E7352" w:rsidRDefault="00537973" w:rsidP="001E5234">
            <w:pPr>
              <w:spacing w:after="0"/>
              <w:jc w:val="center"/>
              <w:rPr>
                <w:sz w:val="16"/>
                <w:lang w:eastAsia="en-AU"/>
              </w:rPr>
            </w:pPr>
          </w:p>
        </w:tc>
      </w:tr>
      <w:tr w:rsidR="00537973" w14:paraId="72F88EF6" w14:textId="77777777" w:rsidTr="001E5234">
        <w:tc>
          <w:tcPr>
            <w:tcW w:w="2694" w:type="dxa"/>
          </w:tcPr>
          <w:p w14:paraId="570E4567" w14:textId="77777777" w:rsidR="00537973" w:rsidRPr="007E7352" w:rsidRDefault="00537973" w:rsidP="001E5234">
            <w:pPr>
              <w:spacing w:after="0"/>
              <w:rPr>
                <w:sz w:val="16"/>
                <w:lang w:eastAsia="en-AU"/>
              </w:rPr>
            </w:pPr>
            <w:r>
              <w:rPr>
                <w:sz w:val="16"/>
                <w:lang w:eastAsia="en-AU"/>
              </w:rPr>
              <w:t xml:space="preserve">Total </w:t>
            </w:r>
            <w:r w:rsidRPr="007E7352">
              <w:rPr>
                <w:sz w:val="16"/>
                <w:lang w:eastAsia="en-AU"/>
              </w:rPr>
              <w:t>EFTSL</w:t>
            </w:r>
          </w:p>
        </w:tc>
        <w:tc>
          <w:tcPr>
            <w:tcW w:w="1512" w:type="dxa"/>
          </w:tcPr>
          <w:p w14:paraId="598971EF" w14:textId="77777777" w:rsidR="00537973" w:rsidRPr="007E7352" w:rsidRDefault="00537973" w:rsidP="001E5234">
            <w:pPr>
              <w:spacing w:after="0"/>
              <w:jc w:val="center"/>
              <w:rPr>
                <w:sz w:val="16"/>
                <w:lang w:eastAsia="en-AU"/>
              </w:rPr>
            </w:pPr>
            <w:r>
              <w:rPr>
                <w:rFonts w:cs="Arial"/>
                <w:sz w:val="16"/>
                <w:szCs w:val="16"/>
              </w:rPr>
              <w:t>4.4%</w:t>
            </w:r>
          </w:p>
        </w:tc>
        <w:tc>
          <w:tcPr>
            <w:tcW w:w="1512" w:type="dxa"/>
          </w:tcPr>
          <w:p w14:paraId="08E4BEC9" w14:textId="77777777" w:rsidR="00537973" w:rsidRPr="007E7352" w:rsidRDefault="00537973" w:rsidP="001E5234">
            <w:pPr>
              <w:spacing w:after="0"/>
              <w:jc w:val="center"/>
              <w:rPr>
                <w:sz w:val="16"/>
                <w:lang w:eastAsia="en-AU"/>
              </w:rPr>
            </w:pPr>
            <w:r>
              <w:rPr>
                <w:rFonts w:cs="Arial"/>
                <w:sz w:val="16"/>
                <w:szCs w:val="16"/>
              </w:rPr>
              <w:t>3.0%</w:t>
            </w:r>
          </w:p>
        </w:tc>
        <w:tc>
          <w:tcPr>
            <w:tcW w:w="1512" w:type="dxa"/>
          </w:tcPr>
          <w:p w14:paraId="4A77DA25" w14:textId="77777777" w:rsidR="00537973" w:rsidRPr="007E7352" w:rsidRDefault="00537973" w:rsidP="001E5234">
            <w:pPr>
              <w:spacing w:after="0"/>
              <w:jc w:val="center"/>
              <w:rPr>
                <w:sz w:val="16"/>
                <w:lang w:eastAsia="en-AU"/>
              </w:rPr>
            </w:pPr>
            <w:r>
              <w:rPr>
                <w:rFonts w:cs="Arial"/>
                <w:sz w:val="16"/>
                <w:szCs w:val="16"/>
              </w:rPr>
              <w:t>4.7%</w:t>
            </w:r>
          </w:p>
        </w:tc>
      </w:tr>
      <w:tr w:rsidR="00537973" w14:paraId="167E3054" w14:textId="77777777" w:rsidTr="001E5234">
        <w:tc>
          <w:tcPr>
            <w:tcW w:w="2694" w:type="dxa"/>
          </w:tcPr>
          <w:p w14:paraId="4491652F" w14:textId="77777777" w:rsidR="00537973" w:rsidRPr="007E7352" w:rsidRDefault="00537973" w:rsidP="001E5234">
            <w:pPr>
              <w:spacing w:after="0"/>
              <w:rPr>
                <w:sz w:val="16"/>
                <w:lang w:eastAsia="en-AU"/>
              </w:rPr>
            </w:pPr>
            <w:r>
              <w:rPr>
                <w:sz w:val="16"/>
                <w:lang w:eastAsia="en-AU"/>
              </w:rPr>
              <w:t>C</w:t>
            </w:r>
            <w:r w:rsidRPr="007E7352">
              <w:rPr>
                <w:sz w:val="16"/>
                <w:lang w:eastAsia="en-AU"/>
              </w:rPr>
              <w:t>ontinuing expenditure per EFTSL</w:t>
            </w:r>
          </w:p>
        </w:tc>
        <w:tc>
          <w:tcPr>
            <w:tcW w:w="1512" w:type="dxa"/>
          </w:tcPr>
          <w:p w14:paraId="18E3929E" w14:textId="77777777" w:rsidR="00537973" w:rsidRPr="007E7352" w:rsidRDefault="00537973" w:rsidP="001E5234">
            <w:pPr>
              <w:spacing w:after="0"/>
              <w:jc w:val="center"/>
              <w:rPr>
                <w:sz w:val="16"/>
                <w:lang w:eastAsia="en-AU"/>
              </w:rPr>
            </w:pPr>
            <w:r>
              <w:rPr>
                <w:rFonts w:cs="Arial"/>
                <w:sz w:val="16"/>
                <w:szCs w:val="16"/>
              </w:rPr>
              <w:t>8.2%</w:t>
            </w:r>
          </w:p>
        </w:tc>
        <w:tc>
          <w:tcPr>
            <w:tcW w:w="1512" w:type="dxa"/>
          </w:tcPr>
          <w:p w14:paraId="6D7C895E" w14:textId="77777777" w:rsidR="00537973" w:rsidRPr="007E7352" w:rsidRDefault="00537973" w:rsidP="001E5234">
            <w:pPr>
              <w:spacing w:after="0"/>
              <w:jc w:val="center"/>
              <w:rPr>
                <w:sz w:val="16"/>
                <w:lang w:eastAsia="en-AU"/>
              </w:rPr>
            </w:pPr>
            <w:r>
              <w:rPr>
                <w:rFonts w:cs="Arial"/>
                <w:sz w:val="16"/>
                <w:szCs w:val="16"/>
              </w:rPr>
              <w:t>7.4%</w:t>
            </w:r>
          </w:p>
        </w:tc>
        <w:tc>
          <w:tcPr>
            <w:tcW w:w="1512" w:type="dxa"/>
          </w:tcPr>
          <w:p w14:paraId="5DAED069" w14:textId="77777777" w:rsidR="00537973" w:rsidRPr="007E7352" w:rsidRDefault="00537973" w:rsidP="001E5234">
            <w:pPr>
              <w:spacing w:after="0"/>
              <w:jc w:val="center"/>
              <w:rPr>
                <w:sz w:val="16"/>
                <w:lang w:eastAsia="en-AU"/>
              </w:rPr>
            </w:pPr>
            <w:r>
              <w:rPr>
                <w:rFonts w:cs="Arial"/>
                <w:sz w:val="16"/>
                <w:szCs w:val="16"/>
              </w:rPr>
              <w:t>6.7%</w:t>
            </w:r>
          </w:p>
        </w:tc>
      </w:tr>
      <w:tr w:rsidR="00537973" w14:paraId="2BE4B8B0" w14:textId="77777777" w:rsidTr="001E5234">
        <w:trPr>
          <w:trHeight w:val="264"/>
        </w:trPr>
        <w:tc>
          <w:tcPr>
            <w:tcW w:w="2694" w:type="dxa"/>
          </w:tcPr>
          <w:p w14:paraId="0210B460" w14:textId="77777777" w:rsidR="00537973" w:rsidRPr="007E7352" w:rsidRDefault="00537973" w:rsidP="001E5234">
            <w:pPr>
              <w:spacing w:after="0"/>
              <w:rPr>
                <w:sz w:val="16"/>
                <w:lang w:eastAsia="en-AU"/>
              </w:rPr>
            </w:pPr>
            <w:r>
              <w:rPr>
                <w:sz w:val="16"/>
                <w:lang w:eastAsia="en-AU"/>
              </w:rPr>
              <w:t>Base funding (CGS+SCA per EFTSL)</w:t>
            </w:r>
          </w:p>
        </w:tc>
        <w:tc>
          <w:tcPr>
            <w:tcW w:w="1512" w:type="dxa"/>
          </w:tcPr>
          <w:p w14:paraId="55E480A5" w14:textId="77777777" w:rsidR="00537973" w:rsidRPr="007E7352" w:rsidRDefault="00537973" w:rsidP="001E5234">
            <w:pPr>
              <w:spacing w:after="0"/>
              <w:jc w:val="center"/>
              <w:rPr>
                <w:sz w:val="16"/>
                <w:lang w:eastAsia="en-AU"/>
              </w:rPr>
            </w:pPr>
            <w:r w:rsidRPr="007E7352">
              <w:rPr>
                <w:sz w:val="16"/>
                <w:lang w:eastAsia="en-AU"/>
              </w:rPr>
              <w:t>3.4%</w:t>
            </w:r>
          </w:p>
        </w:tc>
        <w:tc>
          <w:tcPr>
            <w:tcW w:w="1512" w:type="dxa"/>
          </w:tcPr>
          <w:p w14:paraId="3A281582" w14:textId="77777777" w:rsidR="00537973" w:rsidRPr="007E7352" w:rsidRDefault="00537973" w:rsidP="001E5234">
            <w:pPr>
              <w:spacing w:after="0"/>
              <w:jc w:val="center"/>
              <w:rPr>
                <w:sz w:val="16"/>
                <w:lang w:eastAsia="en-AU"/>
              </w:rPr>
            </w:pPr>
            <w:r w:rsidRPr="007E7352">
              <w:rPr>
                <w:sz w:val="16"/>
                <w:lang w:eastAsia="en-AU"/>
              </w:rPr>
              <w:t>3.3%</w:t>
            </w:r>
          </w:p>
        </w:tc>
        <w:tc>
          <w:tcPr>
            <w:tcW w:w="1512" w:type="dxa"/>
          </w:tcPr>
          <w:p w14:paraId="2ECDE55C" w14:textId="77777777" w:rsidR="00537973" w:rsidRPr="007E7352" w:rsidRDefault="00537973" w:rsidP="001E5234">
            <w:pPr>
              <w:spacing w:after="0"/>
              <w:jc w:val="center"/>
              <w:rPr>
                <w:sz w:val="16"/>
                <w:lang w:eastAsia="en-AU"/>
              </w:rPr>
            </w:pPr>
          </w:p>
        </w:tc>
      </w:tr>
    </w:tbl>
    <w:p w14:paraId="008E0F9C" w14:textId="77777777" w:rsidR="00537973" w:rsidRDefault="00537973" w:rsidP="00537973">
      <w:pPr>
        <w:pStyle w:val="Source"/>
      </w:pPr>
      <w:r>
        <w:t xml:space="preserve">Source: Deloitte Access Economics, Department of Education and Training. </w:t>
      </w:r>
    </w:p>
    <w:p w14:paraId="64F974B7" w14:textId="5572F073" w:rsidR="00537973" w:rsidRDefault="00537973" w:rsidP="00537973">
      <w:r>
        <w:t xml:space="preserve">The results of </w:t>
      </w:r>
      <w:r w:rsidR="002D6FF4">
        <w:fldChar w:fldCharType="begin"/>
      </w:r>
      <w:r w:rsidR="002D6FF4">
        <w:instrText xml:space="preserve"> REF _Ref534627551 \r \h </w:instrText>
      </w:r>
      <w:r w:rsidR="002D6FF4">
        <w:fldChar w:fldCharType="separate"/>
      </w:r>
      <w:r w:rsidR="00F47C96">
        <w:t>Table ii</w:t>
      </w:r>
      <w:r w:rsidR="002D6FF4">
        <w:fldChar w:fldCharType="end"/>
      </w:r>
      <w:r>
        <w:t xml:space="preserve"> and </w:t>
      </w:r>
      <w:r w:rsidR="002D6FF4">
        <w:fldChar w:fldCharType="begin"/>
      </w:r>
      <w:r w:rsidR="002D6FF4">
        <w:instrText xml:space="preserve"> REF _Ref534627559 \r \h </w:instrText>
      </w:r>
      <w:r w:rsidR="002D6FF4">
        <w:fldChar w:fldCharType="separate"/>
      </w:r>
      <w:r w:rsidR="00F47C96">
        <w:t>Table iii</w:t>
      </w:r>
      <w:r w:rsidR="002D6FF4">
        <w:fldChar w:fldCharType="end"/>
      </w:r>
      <w:r>
        <w:t xml:space="preserve"> indicate that between 2015 and 2017, total teaching costs for the common sample grew by 3.</w:t>
      </w:r>
      <w:r w:rsidR="00D46C94">
        <w:t>0</w:t>
      </w:r>
      <w:r>
        <w:t xml:space="preserve">% annually or just below the 4.0% annual increase in total university costs per EFTSL. By comparison, </w:t>
      </w:r>
      <w:r w:rsidRPr="006118C2">
        <w:t>and acknowledging the smaller sample and its lack of commonality</w:t>
      </w:r>
      <w:r>
        <w:t xml:space="preserve">, teaching costs are estimated to have grown by 1.9% per EFTSL over the period from 2010-2015 while total university costs per EFTSL are estimated to have grown by approximately 3%. </w:t>
      </w:r>
    </w:p>
    <w:p w14:paraId="50FF6E4B" w14:textId="77777777" w:rsidR="00537973" w:rsidRDefault="00537973" w:rsidP="00537973">
      <w:r>
        <w:t xml:space="preserve">A number of possible explanations for the increase in growth in teaching costs </w:t>
      </w:r>
      <w:proofErr w:type="gramStart"/>
      <w:r>
        <w:t>were explored</w:t>
      </w:r>
      <w:proofErr w:type="gramEnd"/>
      <w:r>
        <w:t xml:space="preserve">. The growth in EFTSL </w:t>
      </w:r>
      <w:proofErr w:type="gramStart"/>
      <w:r>
        <w:t>was found</w:t>
      </w:r>
      <w:proofErr w:type="gramEnd"/>
      <w:r>
        <w:t xml:space="preserve"> to be relatively consistent between 2010 and 2017, suggesting that growth in student numbers was not a key driver of the increased growth in teaching costs. While there has been growth in teaching only staff (in FTE terms), this has occurred consistently since 2009 and is hence not isolated to this most recent period. The number of research only FTEs (who make up 13.6% of total FTEs) has stabilised since 2015, but only grew by 1.6% between 2010 and 2015 and hence is unlikely to explain all of the increased growth in costs between 2015 and 2017.  </w:t>
      </w:r>
    </w:p>
    <w:p w14:paraId="72370211" w14:textId="77777777" w:rsidR="00537973" w:rsidRDefault="00537973" w:rsidP="00537973">
      <w:r>
        <w:t xml:space="preserve">While there is evidence that staff costs grew particularly strongly between 2015 and 2017 relative to non-staff costs, further consultation with universities indicated that some administrative staff costs in 2015 were included under central costs and </w:t>
      </w:r>
      <w:proofErr w:type="gramStart"/>
      <w:r>
        <w:t>as a result</w:t>
      </w:r>
      <w:proofErr w:type="gramEnd"/>
      <w:r>
        <w:t xml:space="preserve"> of restructuring the data collection template were now being included within staff costs. </w:t>
      </w:r>
    </w:p>
    <w:p w14:paraId="435749AD" w14:textId="77777777" w:rsidR="00537973" w:rsidRDefault="00537973" w:rsidP="00537973">
      <w:r>
        <w:t xml:space="preserve">Thus, there was no definitive explanation for the increased growth in teaching costs relative to the 2010 to 2015 period. As noted by Deloitte Access Economics (2016), the sample in 2010 exercise differed from that in 2015 and thus differences in growth trajectories over the two reference periods may reflect differences in the sample of universities. It is also possible that universities have chosen to increase their growth in expenditure on teaching over the last two years at a rate that remains broadly in line with overall growth in expenditure. </w:t>
      </w:r>
    </w:p>
    <w:p w14:paraId="06B2434C" w14:textId="77777777" w:rsidR="00537973" w:rsidRDefault="00537973" w:rsidP="00537973">
      <w:pPr>
        <w:pStyle w:val="Heading2"/>
        <w:numPr>
          <w:ilvl w:val="0"/>
          <w:numId w:val="0"/>
        </w:numPr>
      </w:pPr>
      <w:bookmarkStart w:id="105" w:name="_Toc534713785"/>
      <w:r>
        <w:t>Costs and funding</w:t>
      </w:r>
      <w:bookmarkEnd w:id="105"/>
    </w:p>
    <w:p w14:paraId="7FCC7F17" w14:textId="0EFAD969" w:rsidR="00537973" w:rsidRDefault="00537973" w:rsidP="00537973">
      <w:r>
        <w:t xml:space="preserve">The cost of delivering teaching and scholarship for bachelor studies was </w:t>
      </w:r>
      <w:r w:rsidR="00D46C94">
        <w:t>89</w:t>
      </w:r>
      <w:r>
        <w:t>% of the average base funding across the 25 universities sampled (</w:t>
      </w:r>
      <w:r w:rsidR="00A97F13">
        <w:t xml:space="preserve">Chart </w:t>
      </w:r>
      <w:proofErr w:type="gramStart"/>
      <w:r w:rsidR="00A97F13">
        <w:t>vi</w:t>
      </w:r>
      <w:proofErr w:type="gramEnd"/>
      <w:r>
        <w:t>). A number of fields had an average cost greater than average funding included Food, Hospitality and Personal Services (185%), Veterinary Studies (140%), Management and Commerce (116%), Dental Studies (112%) and Creative Arts – Other (104%).</w:t>
      </w:r>
    </w:p>
    <w:p w14:paraId="6334964E" w14:textId="4873430C" w:rsidR="00537973" w:rsidRDefault="00537973" w:rsidP="00537973">
      <w:r>
        <w:t xml:space="preserve">Fields such as Food, Hospitality and Personal Services, Veterinary Studies and Dental Studies </w:t>
      </w:r>
      <w:proofErr w:type="gramStart"/>
      <w:r>
        <w:t>were delivered</w:t>
      </w:r>
      <w:proofErr w:type="gramEnd"/>
      <w:r>
        <w:t xml:space="preserve"> at a relatively small scale and by only a few universities. Among larger fields, Management and Commerce and Creative Arts – Other receive a relatively low amount of base funding per EFTSL. </w:t>
      </w:r>
    </w:p>
    <w:p w14:paraId="73771F66" w14:textId="77777777" w:rsidR="00537973" w:rsidRDefault="00537973" w:rsidP="00537973">
      <w:pPr>
        <w:pStyle w:val="ExecChartCaption"/>
      </w:pPr>
      <w:bookmarkStart w:id="106" w:name="_Toc534713816"/>
      <w:r>
        <w:lastRenderedPageBreak/>
        <w:t xml:space="preserve">: </w:t>
      </w:r>
      <w:r w:rsidRPr="00495A65">
        <w:t>Average unit costs as a proportion of base funding for bachelor</w:t>
      </w:r>
      <w:r>
        <w:t>, full sample</w:t>
      </w:r>
      <w:bookmarkEnd w:id="106"/>
    </w:p>
    <w:p w14:paraId="3BFC8FEE" w14:textId="08DFFC27" w:rsidR="00537973" w:rsidRDefault="002D6FF4" w:rsidP="00537973">
      <w:r>
        <w:rPr>
          <w:noProof/>
          <w:lang w:eastAsia="en-AU"/>
        </w:rPr>
        <w:drawing>
          <wp:inline distT="0" distB="0" distL="0" distR="0" wp14:anchorId="3803F171" wp14:editId="0A52524C">
            <wp:extent cx="4582258" cy="2755656"/>
            <wp:effectExtent l="0" t="0" r="8890" b="698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32A6B4F" w14:textId="77777777" w:rsidR="00537973" w:rsidRDefault="00537973" w:rsidP="00537973">
      <w:r>
        <w:t>Among universities that participated in the 2016 study (i.e. comparing a common sample), this value was 87% in 2017, compared to 85% in 2015, representing a modest increase in the proportion of average costs relative to average funding (</w:t>
      </w:r>
      <w:r w:rsidR="00A97F13">
        <w:t>Table iv</w:t>
      </w:r>
      <w:r>
        <w:t xml:space="preserve">). This is consistent with costs per EFTSL growing more quickly than base funding per EFTSL (see </w:t>
      </w:r>
      <w:r w:rsidR="00A97F13">
        <w:t>Table iii</w:t>
      </w:r>
      <w:r>
        <w:t>).</w:t>
      </w:r>
    </w:p>
    <w:p w14:paraId="6D63AB56" w14:textId="77777777" w:rsidR="00537973" w:rsidRPr="00C77CCD" w:rsidRDefault="00537973" w:rsidP="00537973">
      <w:pPr>
        <w:pStyle w:val="ExecTableCaption"/>
      </w:pPr>
      <w:bookmarkStart w:id="107" w:name="_Toc534713847"/>
      <w:r>
        <w:t xml:space="preserve">: </w:t>
      </w:r>
      <w:r w:rsidRPr="00C77CCD">
        <w:t xml:space="preserve">Teaching costs relative to CSP funding for bachelor </w:t>
      </w:r>
      <w:r>
        <w:t>studies</w:t>
      </w:r>
      <w:bookmarkEnd w:id="107"/>
    </w:p>
    <w:tbl>
      <w:tblPr>
        <w:tblStyle w:val="Deloittetable"/>
        <w:tblW w:w="0" w:type="auto"/>
        <w:tblLook w:val="04A0" w:firstRow="1" w:lastRow="0" w:firstColumn="1" w:lastColumn="0" w:noHBand="0" w:noVBand="1"/>
      </w:tblPr>
      <w:tblGrid>
        <w:gridCol w:w="2315"/>
        <w:gridCol w:w="2315"/>
        <w:gridCol w:w="2315"/>
      </w:tblGrid>
      <w:tr w:rsidR="00537973" w14:paraId="2CFB8C27" w14:textId="77777777" w:rsidTr="001E5234">
        <w:trPr>
          <w:cnfStyle w:val="100000000000" w:firstRow="1" w:lastRow="0" w:firstColumn="0" w:lastColumn="0" w:oddVBand="0" w:evenVBand="0" w:oddHBand="0" w:evenHBand="0" w:firstRowFirstColumn="0" w:firstRowLastColumn="0" w:lastRowFirstColumn="0" w:lastRowLastColumn="0"/>
        </w:trPr>
        <w:tc>
          <w:tcPr>
            <w:tcW w:w="2315" w:type="dxa"/>
          </w:tcPr>
          <w:p w14:paraId="23B0E2D4" w14:textId="77777777" w:rsidR="00537973" w:rsidRPr="00495A65" w:rsidRDefault="00537973" w:rsidP="001E5234">
            <w:pPr>
              <w:rPr>
                <w:b/>
                <w:sz w:val="16"/>
              </w:rPr>
            </w:pPr>
            <w:r w:rsidRPr="00495A65">
              <w:rPr>
                <w:b/>
                <w:sz w:val="16"/>
                <w:lang w:eastAsia="en-AU"/>
              </w:rPr>
              <w:t>Year</w:t>
            </w:r>
          </w:p>
        </w:tc>
        <w:tc>
          <w:tcPr>
            <w:tcW w:w="2315" w:type="dxa"/>
          </w:tcPr>
          <w:p w14:paraId="53FA97BC" w14:textId="77777777" w:rsidR="00537973" w:rsidRPr="00495A65" w:rsidRDefault="00537973" w:rsidP="001E5234">
            <w:pPr>
              <w:jc w:val="center"/>
              <w:rPr>
                <w:b/>
                <w:sz w:val="16"/>
              </w:rPr>
            </w:pPr>
            <w:r w:rsidRPr="00495A65">
              <w:rPr>
                <w:b/>
                <w:sz w:val="16"/>
                <w:lang w:eastAsia="en-AU"/>
              </w:rPr>
              <w:t>Common sample</w:t>
            </w:r>
          </w:p>
        </w:tc>
        <w:tc>
          <w:tcPr>
            <w:tcW w:w="2315" w:type="dxa"/>
          </w:tcPr>
          <w:p w14:paraId="4F9BF464" w14:textId="77777777" w:rsidR="00537973" w:rsidRPr="00495A65" w:rsidRDefault="00537973" w:rsidP="001E5234">
            <w:pPr>
              <w:jc w:val="center"/>
              <w:rPr>
                <w:b/>
                <w:sz w:val="16"/>
              </w:rPr>
            </w:pPr>
            <w:r w:rsidRPr="00495A65">
              <w:rPr>
                <w:b/>
                <w:sz w:val="16"/>
                <w:lang w:eastAsia="en-AU"/>
              </w:rPr>
              <w:t>Full sample</w:t>
            </w:r>
          </w:p>
        </w:tc>
      </w:tr>
      <w:tr w:rsidR="00537973" w14:paraId="2174415D" w14:textId="77777777" w:rsidTr="001E5234">
        <w:tc>
          <w:tcPr>
            <w:tcW w:w="2315" w:type="dxa"/>
          </w:tcPr>
          <w:p w14:paraId="493C7641" w14:textId="77777777" w:rsidR="00537973" w:rsidRPr="00495A65" w:rsidRDefault="00537973" w:rsidP="001E5234">
            <w:pPr>
              <w:rPr>
                <w:sz w:val="16"/>
              </w:rPr>
            </w:pPr>
            <w:r w:rsidRPr="00495A65">
              <w:rPr>
                <w:sz w:val="16"/>
                <w:lang w:eastAsia="en-AU"/>
              </w:rPr>
              <w:t>2015</w:t>
            </w:r>
          </w:p>
        </w:tc>
        <w:tc>
          <w:tcPr>
            <w:tcW w:w="2315" w:type="dxa"/>
          </w:tcPr>
          <w:p w14:paraId="2F917D65" w14:textId="77777777" w:rsidR="00537973" w:rsidRPr="00495A65" w:rsidRDefault="00537973" w:rsidP="001E5234">
            <w:pPr>
              <w:jc w:val="center"/>
              <w:rPr>
                <w:sz w:val="16"/>
              </w:rPr>
            </w:pPr>
            <w:r w:rsidRPr="00495A65">
              <w:rPr>
                <w:sz w:val="16"/>
                <w:lang w:eastAsia="en-AU"/>
              </w:rPr>
              <w:t>85</w:t>
            </w:r>
            <w:r>
              <w:rPr>
                <w:sz w:val="16"/>
                <w:lang w:eastAsia="en-AU"/>
              </w:rPr>
              <w:t>%</w:t>
            </w:r>
          </w:p>
        </w:tc>
        <w:tc>
          <w:tcPr>
            <w:tcW w:w="2315" w:type="dxa"/>
          </w:tcPr>
          <w:p w14:paraId="7B84671A" w14:textId="77777777" w:rsidR="00537973" w:rsidRPr="00495A65" w:rsidRDefault="00537973" w:rsidP="001E5234">
            <w:pPr>
              <w:jc w:val="center"/>
              <w:rPr>
                <w:sz w:val="16"/>
              </w:rPr>
            </w:pPr>
            <w:r w:rsidRPr="00495A65">
              <w:rPr>
                <w:sz w:val="16"/>
                <w:lang w:eastAsia="en-AU"/>
              </w:rPr>
              <w:t>85</w:t>
            </w:r>
            <w:r>
              <w:rPr>
                <w:sz w:val="16"/>
                <w:lang w:eastAsia="en-AU"/>
              </w:rPr>
              <w:t>%</w:t>
            </w:r>
          </w:p>
        </w:tc>
      </w:tr>
      <w:tr w:rsidR="00537973" w14:paraId="6F9DA125" w14:textId="77777777" w:rsidTr="001E5234">
        <w:tc>
          <w:tcPr>
            <w:tcW w:w="2315" w:type="dxa"/>
          </w:tcPr>
          <w:p w14:paraId="03FC5C70" w14:textId="77777777" w:rsidR="00537973" w:rsidRPr="00495A65" w:rsidRDefault="00537973" w:rsidP="001E5234">
            <w:pPr>
              <w:rPr>
                <w:sz w:val="16"/>
              </w:rPr>
            </w:pPr>
            <w:r w:rsidRPr="00495A65">
              <w:rPr>
                <w:sz w:val="16"/>
                <w:lang w:eastAsia="en-AU"/>
              </w:rPr>
              <w:t>2017</w:t>
            </w:r>
          </w:p>
        </w:tc>
        <w:tc>
          <w:tcPr>
            <w:tcW w:w="2315" w:type="dxa"/>
          </w:tcPr>
          <w:p w14:paraId="0372EB64" w14:textId="77777777" w:rsidR="00537973" w:rsidRPr="00495A65" w:rsidRDefault="00537973" w:rsidP="001E5234">
            <w:pPr>
              <w:jc w:val="center"/>
              <w:rPr>
                <w:sz w:val="16"/>
              </w:rPr>
            </w:pPr>
            <w:r w:rsidRPr="00495A65">
              <w:rPr>
                <w:sz w:val="16"/>
                <w:lang w:eastAsia="en-AU"/>
              </w:rPr>
              <w:t>87</w:t>
            </w:r>
            <w:r>
              <w:rPr>
                <w:sz w:val="16"/>
                <w:lang w:eastAsia="en-AU"/>
              </w:rPr>
              <w:t>%</w:t>
            </w:r>
          </w:p>
        </w:tc>
        <w:tc>
          <w:tcPr>
            <w:tcW w:w="2315" w:type="dxa"/>
          </w:tcPr>
          <w:p w14:paraId="6ABCFF5E" w14:textId="13D92103" w:rsidR="00537973" w:rsidRPr="00495A65" w:rsidRDefault="002D6FF4" w:rsidP="001E5234">
            <w:pPr>
              <w:jc w:val="center"/>
              <w:rPr>
                <w:sz w:val="16"/>
              </w:rPr>
            </w:pPr>
            <w:r>
              <w:rPr>
                <w:sz w:val="16"/>
                <w:lang w:eastAsia="en-AU"/>
              </w:rPr>
              <w:t>89</w:t>
            </w:r>
            <w:r w:rsidR="00537973">
              <w:rPr>
                <w:sz w:val="16"/>
                <w:lang w:eastAsia="en-AU"/>
              </w:rPr>
              <w:t>%</w:t>
            </w:r>
          </w:p>
        </w:tc>
      </w:tr>
    </w:tbl>
    <w:p w14:paraId="0D3C0D25" w14:textId="77777777" w:rsidR="00537973" w:rsidRPr="00765DC4" w:rsidRDefault="00537973" w:rsidP="00537973">
      <w:pPr>
        <w:pStyle w:val="Source"/>
      </w:pPr>
      <w:r>
        <w:t xml:space="preserve">Note: Figures </w:t>
      </w:r>
      <w:proofErr w:type="gramStart"/>
      <w:r>
        <w:t>can be interpreted</w:t>
      </w:r>
      <w:proofErr w:type="gramEnd"/>
      <w:r>
        <w:t xml:space="preserve"> as the average unit cost per EFTSL as a proportion of average Commonwealth Supported Place (CSP) funding which includes the Commonwealth contribution amounts and Student Contribution amounts.</w:t>
      </w:r>
    </w:p>
    <w:p w14:paraId="53D0EBEE" w14:textId="77777777" w:rsidR="00537973" w:rsidRDefault="00537973" w:rsidP="00537973">
      <w:pPr>
        <w:pStyle w:val="Heading2"/>
        <w:numPr>
          <w:ilvl w:val="0"/>
          <w:numId w:val="0"/>
        </w:numPr>
      </w:pPr>
      <w:bookmarkStart w:id="108" w:name="_Toc534713786"/>
      <w:r>
        <w:t>Concluding remarks</w:t>
      </w:r>
      <w:bookmarkEnd w:id="108"/>
    </w:p>
    <w:p w14:paraId="10F7D8BD" w14:textId="77777777" w:rsidR="00537973" w:rsidRPr="00337E62" w:rsidRDefault="00537973" w:rsidP="00537973">
      <w:r w:rsidRPr="00337E62">
        <w:t xml:space="preserve">The results presented </w:t>
      </w:r>
      <w:r>
        <w:t>in this report</w:t>
      </w:r>
      <w:r w:rsidRPr="00337E62">
        <w:t xml:space="preserve"> not only </w:t>
      </w:r>
      <w:r w:rsidRPr="002241E4">
        <w:t>provide</w:t>
      </w:r>
      <w:r w:rsidRPr="00337E62">
        <w:t xml:space="preserve"> a critical new reference point for policymakers in considering </w:t>
      </w:r>
      <w:r>
        <w:t>current</w:t>
      </w:r>
      <w:r w:rsidRPr="00337E62">
        <w:t xml:space="preserve"> higher education funding arrangements, but also </w:t>
      </w:r>
      <w:r>
        <w:t xml:space="preserve">represent </w:t>
      </w:r>
      <w:r w:rsidRPr="00337E62">
        <w:t xml:space="preserve">a fundamental next step in the progression towards a more robust, reliable and comparable collection of </w:t>
      </w:r>
      <w:r>
        <w:t xml:space="preserve">Australian </w:t>
      </w:r>
      <w:r w:rsidRPr="00337E62">
        <w:t xml:space="preserve">university cost data over time.   </w:t>
      </w:r>
    </w:p>
    <w:p w14:paraId="0F4284E2" w14:textId="77777777" w:rsidR="00537973" w:rsidRDefault="00537973" w:rsidP="00537973">
      <w:r>
        <w:t xml:space="preserve">The refinements to the approach introduced for this study, while maintaining comparability with the 2016 exercise, have led to improved understanding and greater accuracy in several areas. </w:t>
      </w:r>
    </w:p>
    <w:p w14:paraId="05F08AC0" w14:textId="77777777" w:rsidR="00537973" w:rsidRDefault="00537973" w:rsidP="00537973">
      <w:pPr>
        <w:pStyle w:val="ListParagraph"/>
        <w:numPr>
          <w:ilvl w:val="0"/>
          <w:numId w:val="57"/>
        </w:numPr>
      </w:pPr>
      <w:r w:rsidRPr="00495A65">
        <w:t xml:space="preserve">The inclusion of in-kind costs in the data collection as a ‘below the line’ item was </w:t>
      </w:r>
      <w:r>
        <w:t xml:space="preserve">intended </w:t>
      </w:r>
      <w:r w:rsidRPr="00495A65">
        <w:t xml:space="preserve">to capture costs associated with providing facilities or services in kind to other organisations or individuals, but which may not </w:t>
      </w:r>
      <w:r>
        <w:t xml:space="preserve">otherwise </w:t>
      </w:r>
      <w:r w:rsidRPr="00495A65">
        <w:t xml:space="preserve">be recorded as an expense in financial reporting. </w:t>
      </w:r>
      <w:r w:rsidRPr="00A479C5">
        <w:t xml:space="preserve">Three universities reported in-kind costs across 15 fields of education, resulting in an average increase of $73 (or 0.40%) in </w:t>
      </w:r>
      <w:r>
        <w:t xml:space="preserve">average </w:t>
      </w:r>
      <w:r w:rsidRPr="00A479C5">
        <w:t>cost per EFTSL</w:t>
      </w:r>
      <w:r>
        <w:t>.</w:t>
      </w:r>
      <w:r w:rsidRPr="00A479C5">
        <w:t xml:space="preserve"> </w:t>
      </w:r>
      <w:r>
        <w:t xml:space="preserve">It </w:t>
      </w:r>
      <w:proofErr w:type="gramStart"/>
      <w:r>
        <w:t>should be noted</w:t>
      </w:r>
      <w:proofErr w:type="gramEnd"/>
      <w:r>
        <w:t xml:space="preserve"> </w:t>
      </w:r>
      <w:r w:rsidR="002B40AF">
        <w:t xml:space="preserve">that many </w:t>
      </w:r>
      <w:r w:rsidRPr="00495A65">
        <w:t xml:space="preserve">universities encountered difficulties in </w:t>
      </w:r>
      <w:r>
        <w:t>both</w:t>
      </w:r>
      <w:r w:rsidRPr="00495A65">
        <w:t xml:space="preserve"> identifying in</w:t>
      </w:r>
      <w:r>
        <w:t>-</w:t>
      </w:r>
      <w:r w:rsidRPr="00495A65">
        <w:t xml:space="preserve">kind exchanges and being able to apply a monetary amount to </w:t>
      </w:r>
      <w:r>
        <w:t>estimate these costs. A number of universities also noted they did not believe they had significant in-kind costs</w:t>
      </w:r>
      <w:r w:rsidRPr="00495A65">
        <w:t xml:space="preserve">.   </w:t>
      </w:r>
    </w:p>
    <w:p w14:paraId="7807A783" w14:textId="77777777" w:rsidR="00537973" w:rsidRPr="00495A65" w:rsidRDefault="00537973" w:rsidP="00537973">
      <w:pPr>
        <w:pStyle w:val="ListParagraph"/>
        <w:ind w:left="360"/>
      </w:pPr>
    </w:p>
    <w:p w14:paraId="58B23C88" w14:textId="77777777" w:rsidR="00537973" w:rsidRPr="00495A65" w:rsidRDefault="00537973" w:rsidP="00537973">
      <w:pPr>
        <w:pStyle w:val="ListParagraph"/>
        <w:numPr>
          <w:ilvl w:val="0"/>
          <w:numId w:val="57"/>
        </w:numPr>
      </w:pPr>
      <w:r w:rsidRPr="00495A65">
        <w:lastRenderedPageBreak/>
        <w:t>The inclusion of certain partnership costs as an additional ‘below the line’ item was made in order to capture the costs to third party organisations</w:t>
      </w:r>
      <w:r>
        <w:t>, which would not otherwise be captured in financial reporting, due to revenue-sharing agreements or otherwise. This only related to EFTSL attributable and responsible to the university</w:t>
      </w:r>
      <w:r w:rsidRPr="00495A65">
        <w:t>.</w:t>
      </w:r>
      <w:r>
        <w:t xml:space="preserve"> Additional partnership costs were reported by five universities and resulted in a </w:t>
      </w:r>
      <w:r w:rsidRPr="00A479C5">
        <w:t xml:space="preserve">$77 (or 0.42%) increase in </w:t>
      </w:r>
      <w:r>
        <w:t xml:space="preserve">average </w:t>
      </w:r>
      <w:r w:rsidRPr="00A479C5">
        <w:t>cost per EFTSL</w:t>
      </w:r>
      <w:r>
        <w:t>.</w:t>
      </w:r>
      <w:r w:rsidRPr="00495A65">
        <w:t xml:space="preserve">    </w:t>
      </w:r>
    </w:p>
    <w:p w14:paraId="48C915A2" w14:textId="6D767D63" w:rsidR="00537973" w:rsidRDefault="00537973" w:rsidP="00537973">
      <w:r>
        <w:t xml:space="preserve">These in-kind and partnership costs </w:t>
      </w:r>
      <w:r w:rsidR="002B40AF">
        <w:t xml:space="preserve">suggest </w:t>
      </w:r>
      <w:r>
        <w:t xml:space="preserve">an increase in the total cost per EFTSL across all levels from $18,400 in </w:t>
      </w:r>
      <w:r w:rsidR="002D6FF4">
        <w:fldChar w:fldCharType="begin"/>
      </w:r>
      <w:r w:rsidR="002D6FF4">
        <w:instrText xml:space="preserve"> REF _Ref534627707 \r \h </w:instrText>
      </w:r>
      <w:r w:rsidR="002D6FF4">
        <w:fldChar w:fldCharType="separate"/>
      </w:r>
      <w:r w:rsidR="00F47C96">
        <w:t xml:space="preserve">Table </w:t>
      </w:r>
      <w:proofErr w:type="spellStart"/>
      <w:r w:rsidR="00F47C96">
        <w:t>i</w:t>
      </w:r>
      <w:proofErr w:type="spellEnd"/>
      <w:r w:rsidR="002D6FF4">
        <w:fldChar w:fldCharType="end"/>
      </w:r>
      <w:r>
        <w:t xml:space="preserve"> to $18,</w:t>
      </w:r>
      <w:r w:rsidR="002D6FF4">
        <w:t>5</w:t>
      </w:r>
      <w:r>
        <w:t xml:space="preserve">00. </w:t>
      </w:r>
    </w:p>
    <w:p w14:paraId="654FB4BA" w14:textId="28BD2888" w:rsidR="00537973" w:rsidRDefault="00537973" w:rsidP="00537973">
      <w:r>
        <w:t>At the outset of this exercise</w:t>
      </w:r>
      <w:r w:rsidR="0039673B">
        <w:t>,</w:t>
      </w:r>
      <w:r>
        <w:t xml:space="preserve"> it </w:t>
      </w:r>
      <w:proofErr w:type="gramStart"/>
      <w:r>
        <w:t>was identified</w:t>
      </w:r>
      <w:proofErr w:type="gramEnd"/>
      <w:r>
        <w:t xml:space="preserve"> that greater clarity was required regarding the treatment of capital costs. While the consensus accounting</w:t>
      </w:r>
      <w:r w:rsidRPr="007768A1">
        <w:t xml:space="preserve"> approach to captur</w:t>
      </w:r>
      <w:r>
        <w:t xml:space="preserve">ing </w:t>
      </w:r>
      <w:r w:rsidRPr="007768A1">
        <w:t xml:space="preserve">capital costs </w:t>
      </w:r>
      <w:r>
        <w:t>i</w:t>
      </w:r>
      <w:r w:rsidRPr="007768A1">
        <w:t xml:space="preserve">s to include </w:t>
      </w:r>
      <w:r>
        <w:t>current</w:t>
      </w:r>
      <w:r w:rsidRPr="007768A1">
        <w:t xml:space="preserve"> </w:t>
      </w:r>
      <w:r>
        <w:t>expenses relating to</w:t>
      </w:r>
      <w:r w:rsidRPr="007768A1">
        <w:t xml:space="preserve"> depreciation, amorti</w:t>
      </w:r>
      <w:r>
        <w:t xml:space="preserve">sation, repairs and maintenance, </w:t>
      </w:r>
      <w:r w:rsidR="002B40AF">
        <w:t xml:space="preserve">it </w:t>
      </w:r>
      <w:proofErr w:type="gramStart"/>
      <w:r w:rsidR="002B40AF">
        <w:t>has</w:t>
      </w:r>
      <w:r>
        <w:t xml:space="preserve"> been suggested</w:t>
      </w:r>
      <w:proofErr w:type="gramEnd"/>
      <w:r>
        <w:t xml:space="preserve"> that this understates true costs. It </w:t>
      </w:r>
      <w:proofErr w:type="gramStart"/>
      <w:r>
        <w:t>is argued</w:t>
      </w:r>
      <w:proofErr w:type="gramEnd"/>
      <w:r>
        <w:t xml:space="preserve"> that capital replacement costs are increasing over time, meaning that depreciation based on historical asset values understates future capital costs. At the time of finalisation of the data collection guidelines there was insufficient basis presented to deviate from the historical approach to measuring capital costs. </w:t>
      </w:r>
    </w:p>
    <w:p w14:paraId="3DD52B59" w14:textId="77777777" w:rsidR="00537973" w:rsidRDefault="00537973" w:rsidP="00537973">
      <w:r>
        <w:t>However, in order t</w:t>
      </w:r>
      <w:r w:rsidRPr="007B4050">
        <w:t xml:space="preserve">o </w:t>
      </w:r>
      <w:r>
        <w:t>canvass the issue</w:t>
      </w:r>
      <w:r w:rsidRPr="007B4050">
        <w:t xml:space="preserve"> and to understand the potential data </w:t>
      </w:r>
      <w:r w:rsidR="002B40AF">
        <w:t>upon</w:t>
      </w:r>
      <w:r w:rsidR="002B40AF" w:rsidRPr="007B4050">
        <w:t xml:space="preserve"> </w:t>
      </w:r>
      <w:r w:rsidRPr="007B4050">
        <w:t>which future exercises might</w:t>
      </w:r>
      <w:r>
        <w:t xml:space="preserve"> draw, participating universities </w:t>
      </w:r>
      <w:proofErr w:type="gramStart"/>
      <w:r>
        <w:t>were consulted</w:t>
      </w:r>
      <w:proofErr w:type="gramEnd"/>
      <w:r>
        <w:t xml:space="preserve"> on this question during the data collection process. It was found that there was not a clear consensus across universities, both with respect to the appropriateness of including projected future capital costs in current cost estimates, and, secondly, with respect to the ability to accurately measure and attribute these costs. </w:t>
      </w:r>
    </w:p>
    <w:p w14:paraId="35ECBEC3" w14:textId="77777777" w:rsidR="00537973" w:rsidRDefault="00537973" w:rsidP="00537973">
      <w:r>
        <w:t xml:space="preserve">Despite the absence of consensus across the </w:t>
      </w:r>
      <w:proofErr w:type="gramStart"/>
      <w:r>
        <w:t>sector</w:t>
      </w:r>
      <w:proofErr w:type="gramEnd"/>
      <w:r>
        <w:t xml:space="preserve"> there remains scope to further consider this issue in subsequent data collection processes, building on the information provided by universities in 2018. </w:t>
      </w:r>
    </w:p>
    <w:p w14:paraId="565F18FA" w14:textId="77777777" w:rsidR="00537973" w:rsidRDefault="00537973" w:rsidP="00537973">
      <w:r w:rsidRPr="00DD6367">
        <w:t xml:space="preserve">A number of universities noted that the </w:t>
      </w:r>
      <w:r>
        <w:t>costing template</w:t>
      </w:r>
      <w:r w:rsidRPr="00DD6367">
        <w:t xml:space="preserve"> used in the 2018 study represented a significant improvement on that used in the 2016 study. </w:t>
      </w:r>
      <w:r>
        <w:t xml:space="preserve">Nevertheless, looking forward, </w:t>
      </w:r>
      <w:r w:rsidRPr="00674698">
        <w:t>ongoing refinement</w:t>
      </w:r>
      <w:r>
        <w:t xml:space="preserve">s to the data collection approach and tools </w:t>
      </w:r>
      <w:r w:rsidRPr="00674698">
        <w:t>will play an important role in improving</w:t>
      </w:r>
      <w:r>
        <w:t xml:space="preserve"> the robustness of the evidence. Based on consultations with universities, the following </w:t>
      </w:r>
      <w:proofErr w:type="gramStart"/>
      <w:r>
        <w:t>were suggested</w:t>
      </w:r>
      <w:proofErr w:type="gramEnd"/>
      <w:r>
        <w:t xml:space="preserve"> as potential refinements to consider for future data collection rounds: </w:t>
      </w:r>
    </w:p>
    <w:p w14:paraId="194E1C5E" w14:textId="77777777" w:rsidR="00537973" w:rsidRDefault="00537973" w:rsidP="00537973">
      <w:pPr>
        <w:pStyle w:val="ListBullet"/>
        <w:numPr>
          <w:ilvl w:val="0"/>
          <w:numId w:val="23"/>
        </w:numPr>
      </w:pPr>
      <w:r>
        <w:t xml:space="preserve">Removing the separate line item for the cost of placements; </w:t>
      </w:r>
    </w:p>
    <w:p w14:paraId="64A30B0D" w14:textId="77777777" w:rsidR="00537973" w:rsidRDefault="00537973" w:rsidP="00537973">
      <w:pPr>
        <w:pStyle w:val="ListBullet"/>
        <w:numPr>
          <w:ilvl w:val="0"/>
          <w:numId w:val="23"/>
        </w:numPr>
      </w:pPr>
      <w:r>
        <w:t>Removing the requirement to estimate casual academic staff costs;</w:t>
      </w:r>
    </w:p>
    <w:p w14:paraId="5DEBE7CF" w14:textId="77777777" w:rsidR="00537973" w:rsidRDefault="00537973" w:rsidP="00537973">
      <w:pPr>
        <w:pStyle w:val="ListBullet"/>
        <w:numPr>
          <w:ilvl w:val="0"/>
          <w:numId w:val="23"/>
        </w:numPr>
      </w:pPr>
      <w:r>
        <w:t>Including a list of 6 digit codes in the Transparent Costing Worksheet (TCW):</w:t>
      </w:r>
    </w:p>
    <w:p w14:paraId="3E28D43B" w14:textId="77777777" w:rsidR="00537973" w:rsidRDefault="00537973" w:rsidP="00537973">
      <w:pPr>
        <w:pStyle w:val="ListBullet"/>
        <w:numPr>
          <w:ilvl w:val="0"/>
          <w:numId w:val="23"/>
        </w:numPr>
      </w:pPr>
      <w:r>
        <w:t xml:space="preserve">Giving further consideration to the inclusion of ‘in-kind’ costs; and </w:t>
      </w:r>
    </w:p>
    <w:p w14:paraId="3F62A1B7" w14:textId="77777777" w:rsidR="00537973" w:rsidRDefault="00537973" w:rsidP="00537973">
      <w:pPr>
        <w:pStyle w:val="ListBullet"/>
        <w:numPr>
          <w:ilvl w:val="0"/>
          <w:numId w:val="23"/>
        </w:numPr>
      </w:pPr>
      <w:r>
        <w:t xml:space="preserve">Providing further clarity of the treatment of third party and partnership costs in the Transparent Costing Worksheet. </w:t>
      </w:r>
    </w:p>
    <w:p w14:paraId="45E2D1DB" w14:textId="33D92785" w:rsidR="00537973" w:rsidRDefault="00537973" w:rsidP="00537973">
      <w:r>
        <w:t>It should be noted that there are important trade</w:t>
      </w:r>
      <w:r w:rsidR="0039673B">
        <w:t>-</w:t>
      </w:r>
      <w:r>
        <w:t xml:space="preserve">offs involved in contemplating the implementation of such changes. In particular, maintaining consistency and comparability in the template over time is a key objective of the exercise (though the changes suggested above are relatively minor). The decision to implement any changes in future exercises would need to </w:t>
      </w:r>
      <w:proofErr w:type="gramStart"/>
      <w:r>
        <w:t>be considered</w:t>
      </w:r>
      <w:proofErr w:type="gramEnd"/>
      <w:r>
        <w:t xml:space="preserve"> in collaboration with the Department and the Universities Australia Reference Group. </w:t>
      </w:r>
    </w:p>
    <w:p w14:paraId="29999960" w14:textId="77777777" w:rsidR="00537973" w:rsidRDefault="00537973" w:rsidP="00537973">
      <w:r>
        <w:t>In addition to suggesting changes to the template itself, universities also reflected on the data collection process itself. In particular, a number of universities raised concerns about the relatively short period provided to complete the costing template in 2018 and noted that the timing conflicted with the annual budget cycle. They noted that changing the timing to June as planned for the 2019 and 2020 exercises would be more conducive to university budget processes and allow for further refinements to their cost allocation methodology.</w:t>
      </w:r>
    </w:p>
    <w:p w14:paraId="049DB10D" w14:textId="77777777" w:rsidR="00F9113D" w:rsidRDefault="00DD22FF" w:rsidP="007E562B">
      <w:pPr>
        <w:pStyle w:val="Heading4un-numbered"/>
      </w:pPr>
      <w:r w:rsidRPr="00DD22FF">
        <w:t>Deloitte Access Economics</w:t>
      </w:r>
      <w:bookmarkEnd w:id="85"/>
    </w:p>
    <w:p w14:paraId="309DE38A" w14:textId="77777777" w:rsidR="00BA4A12" w:rsidRDefault="00BA4A12" w:rsidP="00BF3260"/>
    <w:p w14:paraId="342EF83B" w14:textId="77777777" w:rsidR="00232866" w:rsidRDefault="00232866" w:rsidP="00BF3260">
      <w:pPr>
        <w:sectPr w:rsidR="00232866" w:rsidSect="00201BEB">
          <w:headerReference w:type="default" r:id="rId24"/>
          <w:footerReference w:type="default" r:id="rId25"/>
          <w:pgSz w:w="11906" w:h="16838" w:code="9"/>
          <w:pgMar w:top="1985" w:right="1416" w:bottom="1134" w:left="1418" w:header="680" w:footer="425" w:gutter="0"/>
          <w:pgNumType w:fmt="lowerRoman"/>
          <w:cols w:space="284"/>
          <w:docGrid w:linePitch="360"/>
        </w:sectPr>
      </w:pPr>
    </w:p>
    <w:p w14:paraId="08F5B3C6" w14:textId="77777777" w:rsidR="00BF3260" w:rsidRPr="001060BA" w:rsidRDefault="00BF3260" w:rsidP="00495A65">
      <w:pPr>
        <w:pStyle w:val="Heading1"/>
        <w:numPr>
          <w:ilvl w:val="0"/>
          <w:numId w:val="59"/>
        </w:numPr>
      </w:pPr>
      <w:bookmarkStart w:id="109" w:name="_Toc462313129"/>
      <w:bookmarkStart w:id="110" w:name="_Toc462317839"/>
      <w:bookmarkStart w:id="111" w:name="_Toc462397803"/>
      <w:bookmarkStart w:id="112" w:name="_Toc463002430"/>
      <w:bookmarkStart w:id="113" w:name="_Toc472586342"/>
      <w:bookmarkStart w:id="114" w:name="_Toc482168120"/>
      <w:bookmarkStart w:id="115" w:name="_Toc482174907"/>
      <w:bookmarkStart w:id="116" w:name="_Toc534713787"/>
      <w:r w:rsidRPr="001060BA">
        <w:lastRenderedPageBreak/>
        <w:t>Background</w:t>
      </w:r>
      <w:bookmarkEnd w:id="109"/>
      <w:bookmarkEnd w:id="110"/>
      <w:bookmarkEnd w:id="111"/>
      <w:bookmarkEnd w:id="112"/>
      <w:bookmarkEnd w:id="113"/>
      <w:bookmarkEnd w:id="114"/>
      <w:bookmarkEnd w:id="115"/>
      <w:bookmarkEnd w:id="116"/>
    </w:p>
    <w:p w14:paraId="54FE5938" w14:textId="77777777" w:rsidR="00776795" w:rsidRDefault="00776795" w:rsidP="0012388F">
      <w:bookmarkStart w:id="117" w:name="_Toc529546271"/>
      <w:bookmarkStart w:id="118" w:name="_Toc529546919"/>
      <w:bookmarkStart w:id="119" w:name="_Toc529459950"/>
      <w:bookmarkStart w:id="120" w:name="_Toc529546322"/>
      <w:bookmarkStart w:id="121" w:name="_Toc529546970"/>
      <w:bookmarkStart w:id="122" w:name="_Toc529459953"/>
      <w:bookmarkStart w:id="123" w:name="_Toc529546325"/>
      <w:bookmarkStart w:id="124" w:name="_Toc529459954"/>
      <w:bookmarkStart w:id="125" w:name="_Toc529546326"/>
      <w:bookmarkStart w:id="126" w:name="_Toc529459955"/>
      <w:bookmarkStart w:id="127" w:name="_Toc529546327"/>
      <w:bookmarkStart w:id="128" w:name="_Toc529459956"/>
      <w:bookmarkStart w:id="129" w:name="_Toc529546328"/>
      <w:bookmarkStart w:id="130" w:name="_Toc529459957"/>
      <w:bookmarkStart w:id="131" w:name="_Toc529546329"/>
      <w:bookmarkStart w:id="132" w:name="_Toc529459958"/>
      <w:bookmarkStart w:id="133" w:name="_Toc529546330"/>
      <w:bookmarkStart w:id="134" w:name="_Toc529546274"/>
      <w:bookmarkStart w:id="135" w:name="_Toc529546922"/>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r>
        <w:t xml:space="preserve">In order to support the extensive public and private benefits that universities </w:t>
      </w:r>
      <w:r w:rsidR="0066438D">
        <w:t>generate</w:t>
      </w:r>
      <w:r>
        <w:t xml:space="preserve">, the Australian Government provides significant financial support and funding to the sector and users. This support </w:t>
      </w:r>
      <w:proofErr w:type="gramStart"/>
      <w:r>
        <w:t>is provided</w:t>
      </w:r>
      <w:proofErr w:type="gramEnd"/>
      <w:r>
        <w:t xml:space="preserve"> through a variety of forms ranging from specific grants for research or infrastructure through to Commonwealth Grant Scheme (CGS) funding for Commonwealth supported students. Universities also receive revenue from a range of private sources. </w:t>
      </w:r>
    </w:p>
    <w:p w14:paraId="3CB18C37" w14:textId="77777777" w:rsidR="00776795" w:rsidRDefault="00776795" w:rsidP="00776795">
      <w:r>
        <w:t xml:space="preserve">Universities use this revenue to support a range of outcomes, which may differ according the specific strategy of each institution, but </w:t>
      </w:r>
      <w:r w:rsidR="0066438D">
        <w:t xml:space="preserve">broadly </w:t>
      </w:r>
      <w:r>
        <w:t xml:space="preserve">include teaching and scholarship, research and community engagement. </w:t>
      </w:r>
    </w:p>
    <w:p w14:paraId="025CEFC7" w14:textId="77777777" w:rsidR="00776795" w:rsidRDefault="00776795" w:rsidP="00776795">
      <w:r>
        <w:t xml:space="preserve">Given the range of outcomes and funding sources received by universities, understanding the level of expenditure on </w:t>
      </w:r>
      <w:proofErr w:type="gramStart"/>
      <w:r>
        <w:t>teaching and scholarship, and how this varies by discipline,</w:t>
      </w:r>
      <w:proofErr w:type="gramEnd"/>
      <w:r>
        <w:t xml:space="preserve"> is important to </w:t>
      </w:r>
      <w:r w:rsidR="0066438D">
        <w:t>the ongoing monitoring and, as appropriate, refinement of policy settings</w:t>
      </w:r>
      <w:r>
        <w:t xml:space="preserve">. </w:t>
      </w:r>
      <w:r w:rsidR="0066438D">
        <w:t xml:space="preserve"> Such information can also be instructive to the sector’s other stakeholders. </w:t>
      </w:r>
    </w:p>
    <w:p w14:paraId="426757F2" w14:textId="77777777" w:rsidR="00776795" w:rsidRDefault="00776795" w:rsidP="00776795">
      <w:r>
        <w:t>In this context, Deloitte Access Economics has been engaged by the Australian Government Department of Education and Training (the Department) to collect and analyse data on the cost of delivering higher education</w:t>
      </w:r>
      <w:r w:rsidR="0097320A">
        <w:t xml:space="preserve"> – the costs of teaching and scholarship – </w:t>
      </w:r>
      <w:r w:rsidR="002B40AF">
        <w:t xml:space="preserve">at </w:t>
      </w:r>
      <w:r w:rsidR="0097320A">
        <w:t xml:space="preserve">Australia’s public universities.  </w:t>
      </w:r>
      <w:r>
        <w:t xml:space="preserve"> </w:t>
      </w:r>
    </w:p>
    <w:p w14:paraId="11A5B0AB" w14:textId="77777777" w:rsidR="00776795" w:rsidRDefault="0097320A" w:rsidP="00776795">
      <w:r>
        <w:t>T</w:t>
      </w:r>
      <w:r w:rsidR="00776795">
        <w:t xml:space="preserve">his exercise </w:t>
      </w:r>
      <w:r w:rsidR="00101557">
        <w:t xml:space="preserve">extends on a </w:t>
      </w:r>
      <w:r w:rsidR="00776795">
        <w:t xml:space="preserve">2016 study </w:t>
      </w:r>
      <w:r w:rsidR="00101557">
        <w:t xml:space="preserve">– undertaken by </w:t>
      </w:r>
      <w:r w:rsidR="00776795">
        <w:t>Deloitte Access Economics</w:t>
      </w:r>
      <w:r w:rsidR="00101557">
        <w:t xml:space="preserve"> – which collected data related to activity in the 2015 calendar year from a sample of universities.  A study with similar intent </w:t>
      </w:r>
      <w:proofErr w:type="gramStart"/>
      <w:r w:rsidR="00101557">
        <w:t>was also undertaken</w:t>
      </w:r>
      <w:proofErr w:type="gramEnd"/>
      <w:r w:rsidR="00101557">
        <w:t xml:space="preserve"> in 2011</w:t>
      </w:r>
      <w:r w:rsidR="00776795">
        <w:t xml:space="preserve">. </w:t>
      </w:r>
      <w:r w:rsidR="00101557">
        <w:t xml:space="preserve">The current collection </w:t>
      </w:r>
      <w:r w:rsidR="00776795">
        <w:t>addresses identified areas of improvement and refinement, lengthens the timeframe to three years to promote comparability over time, and extends the exercise to achieve full coverage of all public universities</w:t>
      </w:r>
      <w:r w:rsidR="00101557">
        <w:t xml:space="preserve"> (by the end of the three year period)</w:t>
      </w:r>
      <w:r w:rsidR="00776795">
        <w:t xml:space="preserve">. </w:t>
      </w:r>
    </w:p>
    <w:p w14:paraId="1C773AC2" w14:textId="77777777" w:rsidR="00776795" w:rsidRDefault="00776795" w:rsidP="00776795">
      <w:r>
        <w:t>This chapter:</w:t>
      </w:r>
    </w:p>
    <w:p w14:paraId="2515E584" w14:textId="77777777" w:rsidR="00776795" w:rsidRDefault="00776795" w:rsidP="00776795">
      <w:pPr>
        <w:pStyle w:val="ListBullet"/>
        <w:numPr>
          <w:ilvl w:val="0"/>
          <w:numId w:val="23"/>
        </w:numPr>
      </w:pPr>
      <w:r>
        <w:t xml:space="preserve">Provides more context on the objectives of the Transparency in Higher Education expenditure project (Section </w:t>
      </w:r>
      <w:r w:rsidR="003E6259">
        <w:t>1.1</w:t>
      </w:r>
      <w:r>
        <w:t xml:space="preserve">); </w:t>
      </w:r>
    </w:p>
    <w:p w14:paraId="5412C5E7" w14:textId="77777777" w:rsidR="00776795" w:rsidRDefault="00776795" w:rsidP="00776795">
      <w:pPr>
        <w:pStyle w:val="ListBullet"/>
        <w:numPr>
          <w:ilvl w:val="0"/>
          <w:numId w:val="23"/>
        </w:numPr>
      </w:pPr>
      <w:r>
        <w:t xml:space="preserve">Describes the changes in methodology from the 2016 study, including the process and decision-making behind each change (Section </w:t>
      </w:r>
      <w:r w:rsidR="003E6259">
        <w:t>1.2</w:t>
      </w:r>
      <w:r>
        <w:t xml:space="preserve">); </w:t>
      </w:r>
    </w:p>
    <w:p w14:paraId="6F3F1DA9" w14:textId="77777777" w:rsidR="00776795" w:rsidRDefault="00776795" w:rsidP="00776795">
      <w:pPr>
        <w:pStyle w:val="ListBullet"/>
        <w:numPr>
          <w:ilvl w:val="0"/>
          <w:numId w:val="23"/>
        </w:numPr>
      </w:pPr>
      <w:r>
        <w:t xml:space="preserve">Summarises the process and planning for sampling universities in 2018 and over the next two years of the project (Section </w:t>
      </w:r>
      <w:r w:rsidR="003E6259">
        <w:t>1.3</w:t>
      </w:r>
      <w:r>
        <w:t xml:space="preserve">); </w:t>
      </w:r>
    </w:p>
    <w:p w14:paraId="6361C811" w14:textId="77777777" w:rsidR="00776795" w:rsidRDefault="00776795" w:rsidP="00776795">
      <w:pPr>
        <w:pStyle w:val="ListBullet"/>
        <w:numPr>
          <w:ilvl w:val="0"/>
          <w:numId w:val="23"/>
        </w:numPr>
      </w:pPr>
      <w:r>
        <w:t xml:space="preserve">Explores </w:t>
      </w:r>
      <w:r w:rsidR="002B40AF">
        <w:t>recent</w:t>
      </w:r>
      <w:r>
        <w:t xml:space="preserve"> trends in the delivery of higher education (Section </w:t>
      </w:r>
      <w:r w:rsidR="003E6259">
        <w:t xml:space="preserve">1.4); </w:t>
      </w:r>
      <w:r>
        <w:t xml:space="preserve">and </w:t>
      </w:r>
    </w:p>
    <w:p w14:paraId="39450EC4" w14:textId="77777777" w:rsidR="00776795" w:rsidRDefault="00776795" w:rsidP="00776795">
      <w:pPr>
        <w:pStyle w:val="ListBullet"/>
        <w:numPr>
          <w:ilvl w:val="0"/>
          <w:numId w:val="23"/>
        </w:numPr>
      </w:pPr>
      <w:r>
        <w:t xml:space="preserve">Outlines the remaining report structure (Section </w:t>
      </w:r>
      <w:r w:rsidR="003E6259">
        <w:t>1.5</w:t>
      </w:r>
      <w:r>
        <w:t xml:space="preserve">).  </w:t>
      </w:r>
    </w:p>
    <w:p w14:paraId="29543FD5" w14:textId="77777777" w:rsidR="00776795" w:rsidRDefault="00776795" w:rsidP="00776795">
      <w:pPr>
        <w:pStyle w:val="Heading2"/>
      </w:pPr>
      <w:bookmarkStart w:id="136" w:name="_Toc534713788"/>
      <w:r>
        <w:t>Purpose and objectives</w:t>
      </w:r>
      <w:bookmarkEnd w:id="136"/>
    </w:p>
    <w:p w14:paraId="2021A4EC" w14:textId="77777777" w:rsidR="00776795" w:rsidRDefault="00776795" w:rsidP="00776795">
      <w:r>
        <w:t xml:space="preserve">The overarching </w:t>
      </w:r>
      <w:r w:rsidR="002B40AF">
        <w:t>outcome</w:t>
      </w:r>
      <w:r>
        <w:t xml:space="preserve"> of this exercise is to build and develop the evidence-base </w:t>
      </w:r>
      <w:r w:rsidR="002B40AF">
        <w:t>on</w:t>
      </w:r>
      <w:r w:rsidR="00101557">
        <w:t xml:space="preserve"> </w:t>
      </w:r>
      <w:r>
        <w:t xml:space="preserve">the cost of providing higher education </w:t>
      </w:r>
      <w:proofErr w:type="gramStart"/>
      <w:r>
        <w:t>to better inform</w:t>
      </w:r>
      <w:proofErr w:type="gramEnd"/>
      <w:r>
        <w:t xml:space="preserve"> student decision-making and future </w:t>
      </w:r>
      <w:r w:rsidR="002B40AF">
        <w:t xml:space="preserve">decisions </w:t>
      </w:r>
      <w:r>
        <w:t>regarding the policy architecture for higher education in Australia.</w:t>
      </w:r>
    </w:p>
    <w:p w14:paraId="45C0C3B5" w14:textId="77777777" w:rsidR="00776795" w:rsidRDefault="00776795" w:rsidP="00776795">
      <w:r>
        <w:t>In order to achieve this overarching outcome, the Department has set two key objectives for this exercise:</w:t>
      </w:r>
    </w:p>
    <w:p w14:paraId="0F20C5A8" w14:textId="77777777" w:rsidR="00776795" w:rsidRPr="00A7542A" w:rsidRDefault="00776795" w:rsidP="00776795">
      <w:pPr>
        <w:pStyle w:val="ListNumber"/>
        <w:numPr>
          <w:ilvl w:val="0"/>
          <w:numId w:val="34"/>
        </w:numPr>
      </w:pPr>
      <w:r w:rsidRPr="00A7542A">
        <w:t>Accurately measure the costs of teaching and scholarship</w:t>
      </w:r>
      <w:r w:rsidR="00220950">
        <w:rPr>
          <w:rStyle w:val="FootnoteReference"/>
        </w:rPr>
        <w:footnoteReference w:id="8"/>
      </w:r>
      <w:r w:rsidRPr="00A7542A">
        <w:t xml:space="preserve"> by field and level of education</w:t>
      </w:r>
      <w:r w:rsidR="002B40AF">
        <w:t>.</w:t>
      </w:r>
      <w:r w:rsidRPr="00A7542A">
        <w:t xml:space="preserve"> </w:t>
      </w:r>
    </w:p>
    <w:p w14:paraId="774B7BC5" w14:textId="77777777" w:rsidR="00776795" w:rsidRPr="00A7542A" w:rsidRDefault="00776795" w:rsidP="00776795">
      <w:pPr>
        <w:pStyle w:val="ListNumber"/>
        <w:numPr>
          <w:ilvl w:val="0"/>
          <w:numId w:val="34"/>
        </w:numPr>
      </w:pPr>
      <w:r w:rsidRPr="00A7542A">
        <w:t>Support</w:t>
      </w:r>
      <w:r w:rsidR="002B40AF">
        <w:t>ing</w:t>
      </w:r>
      <w:r w:rsidRPr="00A7542A">
        <w:t xml:space="preserve"> a continued transition to a more comprehensive, systematic and streamlined data collection process over the three years (2018 to 2020) and beyond.  </w:t>
      </w:r>
    </w:p>
    <w:p w14:paraId="25D8282F" w14:textId="77777777" w:rsidR="00776795" w:rsidRDefault="00776795" w:rsidP="00776795">
      <w:pPr>
        <w:pStyle w:val="NoSpacing"/>
      </w:pPr>
    </w:p>
    <w:p w14:paraId="708A510A" w14:textId="77777777" w:rsidR="00776795" w:rsidRDefault="00776795" w:rsidP="00776795">
      <w:r>
        <w:lastRenderedPageBreak/>
        <w:t xml:space="preserve">This exercise </w:t>
      </w:r>
      <w:r w:rsidR="00101557">
        <w:t xml:space="preserve">extends </w:t>
      </w:r>
      <w:r>
        <w:t>the findings and thinking from the previous 2016 study to provide a more detailed picture of changes in costs over time and greater coverage of the sector</w:t>
      </w:r>
      <w:r w:rsidR="002B40AF">
        <w:t>,</w:t>
      </w:r>
      <w:r>
        <w:t xml:space="preserve"> with the project expected to cover all public universities by 2020. </w:t>
      </w:r>
    </w:p>
    <w:p w14:paraId="0553CECB" w14:textId="77777777" w:rsidR="00101557" w:rsidRDefault="00101557" w:rsidP="00776795">
      <w:r>
        <w:t>Noting that the ongoing nature of the collection will better equip it to capture year-to-year variability in institutions’ activities and costs, maintaining consistency</w:t>
      </w:r>
      <w:r w:rsidR="00776795">
        <w:t xml:space="preserve"> will be essential to support the comparability of costs</w:t>
      </w:r>
      <w:r>
        <w:t xml:space="preserve"> over time. The imperative to retain consistency </w:t>
      </w:r>
      <w:proofErr w:type="gramStart"/>
      <w:r>
        <w:t>is pursued</w:t>
      </w:r>
      <w:proofErr w:type="gramEnd"/>
      <w:r>
        <w:t xml:space="preserve"> in the context of the learnings and refinements that conducting the exercise year after year generates.  The practical challenges associated with implementing identified improvements while preserving comparability </w:t>
      </w:r>
      <w:proofErr w:type="gramStart"/>
      <w:r>
        <w:t>are discussed</w:t>
      </w:r>
      <w:proofErr w:type="gramEnd"/>
      <w:r>
        <w:t xml:space="preserve"> at various points throughout this report. </w:t>
      </w:r>
    </w:p>
    <w:p w14:paraId="7B30F36C" w14:textId="77777777" w:rsidR="00776795" w:rsidRDefault="00B2761B" w:rsidP="00776795">
      <w:r>
        <w:t>More broadly, a</w:t>
      </w:r>
      <w:r w:rsidR="00776795">
        <w:t xml:space="preserve"> number of principles have informed the process and methodology </w:t>
      </w:r>
      <w:r>
        <w:t xml:space="preserve">underpinning </w:t>
      </w:r>
      <w:r w:rsidR="00776795">
        <w:t>the cost collection</w:t>
      </w:r>
      <w:r>
        <w:t xml:space="preserve">. The final approach sought to establish a </w:t>
      </w:r>
      <w:proofErr w:type="gramStart"/>
      <w:r>
        <w:t>dataset which</w:t>
      </w:r>
      <w:proofErr w:type="gramEnd"/>
      <w:r>
        <w:t>, to the greatest extent possible, was</w:t>
      </w:r>
      <w:r w:rsidRPr="00B27AD1">
        <w:t xml:space="preserve">: </w:t>
      </w:r>
    </w:p>
    <w:p w14:paraId="1FF7607C" w14:textId="77777777" w:rsidR="00776795" w:rsidRPr="00A7542A" w:rsidRDefault="00776795" w:rsidP="00EB4550">
      <w:pPr>
        <w:pStyle w:val="ListNumber"/>
        <w:numPr>
          <w:ilvl w:val="0"/>
          <w:numId w:val="66"/>
        </w:numPr>
      </w:pPr>
      <w:r w:rsidRPr="00E91083">
        <w:t>Reliable</w:t>
      </w:r>
      <w:r w:rsidRPr="00A7542A">
        <w:t xml:space="preserve"> – such that a suitable level of assurance can be established regarding the underlying data</w:t>
      </w:r>
      <w:r w:rsidR="00612FCE">
        <w:t>;</w:t>
      </w:r>
    </w:p>
    <w:p w14:paraId="703D3E66" w14:textId="77777777" w:rsidR="00776795" w:rsidRPr="00A7542A" w:rsidRDefault="00776795" w:rsidP="00EB4550">
      <w:pPr>
        <w:pStyle w:val="ListNumber"/>
        <w:numPr>
          <w:ilvl w:val="0"/>
          <w:numId w:val="66"/>
        </w:numPr>
      </w:pPr>
      <w:r w:rsidRPr="00E91083">
        <w:t>Comparable</w:t>
      </w:r>
      <w:r w:rsidRPr="00A7542A">
        <w:t xml:space="preserve"> – across universities, given differences in university context, and over time</w:t>
      </w:r>
      <w:r w:rsidR="00612FCE">
        <w:t>;</w:t>
      </w:r>
    </w:p>
    <w:p w14:paraId="788FC896" w14:textId="77777777" w:rsidR="00776795" w:rsidRPr="00A7542A" w:rsidRDefault="00776795" w:rsidP="00EB4550">
      <w:pPr>
        <w:pStyle w:val="ListNumber"/>
        <w:numPr>
          <w:ilvl w:val="0"/>
          <w:numId w:val="66"/>
        </w:numPr>
      </w:pPr>
      <w:r w:rsidRPr="00E91083">
        <w:t>Attributable</w:t>
      </w:r>
      <w:r w:rsidRPr="00A7542A">
        <w:t xml:space="preserve"> – ensuring costs are captured only to the extent that they are incurred as a result of a defined and in-scope activity</w:t>
      </w:r>
      <w:r w:rsidR="00612FCE">
        <w:t>; and,</w:t>
      </w:r>
    </w:p>
    <w:p w14:paraId="3F0F144F" w14:textId="77777777" w:rsidR="00776795" w:rsidRPr="001D5438" w:rsidRDefault="00776795" w:rsidP="00EB4550">
      <w:pPr>
        <w:pStyle w:val="ListNumber"/>
        <w:numPr>
          <w:ilvl w:val="0"/>
          <w:numId w:val="66"/>
        </w:numPr>
      </w:pPr>
      <w:r w:rsidRPr="00E91083">
        <w:t>Actual</w:t>
      </w:r>
      <w:r w:rsidRPr="00A7542A">
        <w:t xml:space="preserve"> – in that the economic rather than the accounting measure of cost is of primary interest to the exercise. </w:t>
      </w:r>
    </w:p>
    <w:p w14:paraId="408AF13E" w14:textId="77777777" w:rsidR="00776795" w:rsidRDefault="00776795" w:rsidP="00776795">
      <w:pPr>
        <w:pStyle w:val="Heading2"/>
      </w:pPr>
      <w:bookmarkStart w:id="137" w:name="_Toc534713789"/>
      <w:r>
        <w:t>Changes to the exercise in 2018</w:t>
      </w:r>
      <w:bookmarkEnd w:id="137"/>
    </w:p>
    <w:p w14:paraId="2D55A97F" w14:textId="5E26242A" w:rsidR="00776795" w:rsidRDefault="00776795" w:rsidP="00776795">
      <w:r>
        <w:t xml:space="preserve">A number of key changes to the process and template for collecting data from universities </w:t>
      </w:r>
      <w:proofErr w:type="gramStart"/>
      <w:r>
        <w:t>have been implemented</w:t>
      </w:r>
      <w:proofErr w:type="gramEnd"/>
      <w:r>
        <w:t xml:space="preserve"> </w:t>
      </w:r>
      <w:r w:rsidR="00B2761B">
        <w:t xml:space="preserve">for the 2018 collection. </w:t>
      </w:r>
      <w:r>
        <w:t xml:space="preserve">These changes </w:t>
      </w:r>
      <w:proofErr w:type="gramStart"/>
      <w:r>
        <w:t xml:space="preserve">were developed in collaboration with the sector (see Box </w:t>
      </w:r>
      <w:r w:rsidRPr="00495A65">
        <w:t>1.1</w:t>
      </w:r>
      <w:r>
        <w:t xml:space="preserve"> below on university engagement)</w:t>
      </w:r>
      <w:r w:rsidR="00B2761B">
        <w:t xml:space="preserve"> and with the overarching aim of strengthening adherence to the </w:t>
      </w:r>
      <w:r w:rsidR="002B40AF">
        <w:t xml:space="preserve">four </w:t>
      </w:r>
      <w:r w:rsidR="00B2761B">
        <w:t>principles outlined immediately above</w:t>
      </w:r>
      <w:proofErr w:type="gramEnd"/>
      <w:r w:rsidR="00B2761B">
        <w:t xml:space="preserve">. </w:t>
      </w:r>
      <w:r w:rsidR="002960C6">
        <w:t xml:space="preserve">The key changes, and their basis, </w:t>
      </w:r>
      <w:proofErr w:type="gramStart"/>
      <w:r w:rsidR="002960C6">
        <w:t>are described</w:t>
      </w:r>
      <w:proofErr w:type="gramEnd"/>
      <w:r w:rsidR="002960C6">
        <w:t xml:space="preserve"> in </w:t>
      </w:r>
      <w:r w:rsidR="00493F0C">
        <w:fldChar w:fldCharType="begin"/>
      </w:r>
      <w:r w:rsidR="00493F0C">
        <w:instrText xml:space="preserve"> REF _Ref534705652 \r \p \h </w:instrText>
      </w:r>
      <w:r w:rsidR="00493F0C">
        <w:fldChar w:fldCharType="separate"/>
      </w:r>
      <w:r w:rsidR="00F47C96">
        <w:t xml:space="preserve">Table 1.1 </w:t>
      </w:r>
      <w:proofErr w:type="spellStart"/>
      <w:r w:rsidR="00F47C96">
        <w:t>below</w:t>
      </w:r>
      <w:r w:rsidR="00493F0C">
        <w:fldChar w:fldCharType="end"/>
      </w:r>
      <w:r w:rsidR="00493F0C">
        <w:fldChar w:fldCharType="begin"/>
      </w:r>
      <w:r w:rsidR="00493F0C">
        <w:instrText xml:space="preserve"> REF _Ref534705638 \r \h </w:instrText>
      </w:r>
      <w:r w:rsidR="00493F0C">
        <w:fldChar w:fldCharType="separate"/>
      </w:r>
      <w:r w:rsidR="00F47C96">
        <w:t>Table</w:t>
      </w:r>
      <w:proofErr w:type="spellEnd"/>
      <w:r w:rsidR="00F47C96">
        <w:t xml:space="preserve"> 1.1</w:t>
      </w:r>
      <w:r w:rsidR="00493F0C">
        <w:fldChar w:fldCharType="end"/>
      </w:r>
      <w:r w:rsidR="002960C6">
        <w:t xml:space="preserve">. </w:t>
      </w:r>
    </w:p>
    <w:p w14:paraId="4A543C09" w14:textId="3D28364B" w:rsidR="00776795" w:rsidRDefault="00776795" w:rsidP="00776795">
      <w:r>
        <w:t xml:space="preserve">Consultation and feedback from a number of universities indicated that the process of completing the template was considerably simpler compared to the 2016 exercise, although further feedback on potential simplification in subsequent years was also provided by universities and is summarised in Chapter </w:t>
      </w:r>
      <w:r>
        <w:fldChar w:fldCharType="begin"/>
      </w:r>
      <w:r>
        <w:instrText xml:space="preserve"> REF _Ref529189712 \r \h </w:instrText>
      </w:r>
      <w:r>
        <w:fldChar w:fldCharType="separate"/>
      </w:r>
      <w:r w:rsidR="00F47C96">
        <w:t>4</w:t>
      </w:r>
      <w:r>
        <w:fldChar w:fldCharType="end"/>
      </w:r>
      <w:r>
        <w:t>.</w:t>
      </w:r>
      <w:r w:rsidR="00496F96">
        <w:t xml:space="preserve"> The main data collection template </w:t>
      </w:r>
      <w:proofErr w:type="gramStart"/>
      <w:r w:rsidR="00496F96">
        <w:t>is provided</w:t>
      </w:r>
      <w:proofErr w:type="gramEnd"/>
      <w:r w:rsidR="00496F96">
        <w:t xml:space="preserve"> in Appendix A and the accompanying data collection guidelines are provided in Appendix B of this report. </w:t>
      </w:r>
    </w:p>
    <w:p w14:paraId="1C900960" w14:textId="77777777" w:rsidR="006A39D8" w:rsidRDefault="006A39D8" w:rsidP="00776795"/>
    <w:p w14:paraId="5CC47520" w14:textId="0202D091" w:rsidR="00493F0C" w:rsidRDefault="00493F0C">
      <w:pPr>
        <w:spacing w:after="0"/>
      </w:pPr>
      <w:r>
        <w:br w:type="page"/>
      </w:r>
    </w:p>
    <w:p w14:paraId="73A17B1F" w14:textId="77777777" w:rsidR="00776795" w:rsidRDefault="00776795" w:rsidP="00776795">
      <w:pPr>
        <w:pStyle w:val="CaptionTable"/>
      </w:pPr>
      <w:bookmarkStart w:id="138" w:name="_Toc534713848"/>
      <w:bookmarkStart w:id="139" w:name="_Toc534713849"/>
      <w:bookmarkStart w:id="140" w:name="_Toc534713850"/>
      <w:bookmarkStart w:id="141" w:name="_Toc534713851"/>
      <w:bookmarkStart w:id="142" w:name="_Toc534713852"/>
      <w:bookmarkStart w:id="143" w:name="_Toc534713853"/>
      <w:bookmarkStart w:id="144" w:name="_Toc534713854"/>
      <w:bookmarkStart w:id="145" w:name="_Toc534713855"/>
      <w:bookmarkStart w:id="146" w:name="_Toc534713856"/>
      <w:bookmarkStart w:id="147" w:name="_Toc534713857"/>
      <w:bookmarkStart w:id="148" w:name="_Toc534713858"/>
      <w:bookmarkStart w:id="149" w:name="_Toc534713859"/>
      <w:bookmarkStart w:id="150" w:name="_Ref534705638"/>
      <w:bookmarkStart w:id="151" w:name="_Ref534705652"/>
      <w:bookmarkStart w:id="152" w:name="_Toc534713860"/>
      <w:bookmarkEnd w:id="138"/>
      <w:bookmarkEnd w:id="139"/>
      <w:bookmarkEnd w:id="140"/>
      <w:bookmarkEnd w:id="141"/>
      <w:bookmarkEnd w:id="142"/>
      <w:bookmarkEnd w:id="143"/>
      <w:bookmarkEnd w:id="144"/>
      <w:bookmarkEnd w:id="145"/>
      <w:bookmarkEnd w:id="146"/>
      <w:bookmarkEnd w:id="147"/>
      <w:bookmarkEnd w:id="148"/>
      <w:bookmarkEnd w:id="149"/>
      <w:r>
        <w:lastRenderedPageBreak/>
        <w:t>: Key changes to the template for 2018</w:t>
      </w:r>
      <w:bookmarkEnd w:id="150"/>
      <w:bookmarkEnd w:id="151"/>
      <w:bookmarkEnd w:id="152"/>
      <w:r>
        <w:t xml:space="preserve"> </w:t>
      </w:r>
    </w:p>
    <w:tbl>
      <w:tblPr>
        <w:tblStyle w:val="Deloittetable"/>
        <w:tblW w:w="8364" w:type="dxa"/>
        <w:tblLook w:val="04A0" w:firstRow="1" w:lastRow="0" w:firstColumn="1" w:lastColumn="0" w:noHBand="0" w:noVBand="1"/>
      </w:tblPr>
      <w:tblGrid>
        <w:gridCol w:w="2410"/>
        <w:gridCol w:w="5954"/>
      </w:tblGrid>
      <w:tr w:rsidR="00776795" w14:paraId="51515409" w14:textId="77777777" w:rsidTr="00776795">
        <w:trPr>
          <w:cnfStyle w:val="100000000000" w:firstRow="1" w:lastRow="0" w:firstColumn="0" w:lastColumn="0" w:oddVBand="0" w:evenVBand="0" w:oddHBand="0" w:evenHBand="0" w:firstRowFirstColumn="0" w:firstRowLastColumn="0" w:lastRowFirstColumn="0" w:lastRowLastColumn="0"/>
        </w:trPr>
        <w:tc>
          <w:tcPr>
            <w:tcW w:w="2410" w:type="dxa"/>
          </w:tcPr>
          <w:p w14:paraId="14FD5A76" w14:textId="77777777" w:rsidR="00776795" w:rsidRPr="00E91083" w:rsidRDefault="00776795" w:rsidP="00776795">
            <w:pPr>
              <w:ind w:right="140"/>
              <w:rPr>
                <w:b/>
                <w:sz w:val="16"/>
                <w:szCs w:val="16"/>
              </w:rPr>
            </w:pPr>
            <w:r w:rsidRPr="00E91083">
              <w:rPr>
                <w:b/>
                <w:sz w:val="16"/>
                <w:szCs w:val="16"/>
              </w:rPr>
              <w:t xml:space="preserve">Separating ‘Nursing’ as a field of education </w:t>
            </w:r>
          </w:p>
        </w:tc>
        <w:tc>
          <w:tcPr>
            <w:tcW w:w="5954" w:type="dxa"/>
          </w:tcPr>
          <w:p w14:paraId="568420A1" w14:textId="77777777" w:rsidR="00776795" w:rsidRPr="00E91083" w:rsidRDefault="00776795" w:rsidP="00776795">
            <w:pPr>
              <w:rPr>
                <w:sz w:val="16"/>
                <w:szCs w:val="16"/>
              </w:rPr>
            </w:pPr>
            <w:r w:rsidRPr="00E91083">
              <w:rPr>
                <w:sz w:val="16"/>
                <w:szCs w:val="16"/>
              </w:rPr>
              <w:t xml:space="preserve">Previously, 4-digit fields ‘Medical studies’, ‘Dental studies’ and ‘Veterinary Studies’ were separated from the overarching 2-digit field ‘Health’. These fields </w:t>
            </w:r>
            <w:proofErr w:type="gramStart"/>
            <w:r w:rsidRPr="00E91083">
              <w:rPr>
                <w:sz w:val="16"/>
                <w:szCs w:val="16"/>
              </w:rPr>
              <w:t>were identified</w:t>
            </w:r>
            <w:proofErr w:type="gramEnd"/>
            <w:r w:rsidRPr="00E91083">
              <w:rPr>
                <w:sz w:val="16"/>
                <w:szCs w:val="16"/>
              </w:rPr>
              <w:t xml:space="preserve"> as likely to have significantly different (and higher) costs to other health-related fields. </w:t>
            </w:r>
          </w:p>
          <w:p w14:paraId="25E4B06F" w14:textId="77777777" w:rsidR="00776795" w:rsidRPr="00E91083" w:rsidRDefault="00AD3D66">
            <w:pPr>
              <w:rPr>
                <w:sz w:val="16"/>
                <w:szCs w:val="16"/>
              </w:rPr>
            </w:pPr>
            <w:r>
              <w:rPr>
                <w:sz w:val="16"/>
                <w:szCs w:val="16"/>
              </w:rPr>
              <w:t xml:space="preserve">For this exercise, the Department also requested the </w:t>
            </w:r>
            <w:r w:rsidR="00776795" w:rsidRPr="00E91083">
              <w:rPr>
                <w:sz w:val="16"/>
                <w:szCs w:val="16"/>
              </w:rPr>
              <w:t xml:space="preserve">separation of </w:t>
            </w:r>
            <w:r w:rsidR="00776795">
              <w:rPr>
                <w:sz w:val="16"/>
                <w:szCs w:val="16"/>
              </w:rPr>
              <w:t>‘N</w:t>
            </w:r>
            <w:r w:rsidR="00776795" w:rsidRPr="00E91083">
              <w:rPr>
                <w:sz w:val="16"/>
                <w:szCs w:val="16"/>
              </w:rPr>
              <w:t>ursing</w:t>
            </w:r>
            <w:r w:rsidR="00776795">
              <w:rPr>
                <w:sz w:val="16"/>
                <w:szCs w:val="16"/>
              </w:rPr>
              <w:t>’</w:t>
            </w:r>
            <w:r w:rsidR="00776795" w:rsidRPr="00E91083">
              <w:rPr>
                <w:sz w:val="16"/>
                <w:szCs w:val="16"/>
              </w:rPr>
              <w:t xml:space="preserve"> as an additional and stand-alone field of education. </w:t>
            </w:r>
          </w:p>
        </w:tc>
      </w:tr>
      <w:tr w:rsidR="00776795" w14:paraId="01E64722" w14:textId="77777777" w:rsidTr="00776795">
        <w:tc>
          <w:tcPr>
            <w:tcW w:w="2410" w:type="dxa"/>
          </w:tcPr>
          <w:p w14:paraId="3811C293" w14:textId="77777777" w:rsidR="00776795" w:rsidRPr="00E91083" w:rsidRDefault="00776795" w:rsidP="00776795">
            <w:pPr>
              <w:ind w:right="140"/>
              <w:rPr>
                <w:b/>
                <w:sz w:val="16"/>
                <w:szCs w:val="16"/>
              </w:rPr>
            </w:pPr>
            <w:r w:rsidRPr="00E91083">
              <w:rPr>
                <w:b/>
                <w:sz w:val="16"/>
                <w:szCs w:val="16"/>
              </w:rPr>
              <w:t>Adding ‘Food, Hospitality and Personal Services’ and ‘Mixed Field Programmes’ as fields of education</w:t>
            </w:r>
          </w:p>
        </w:tc>
        <w:tc>
          <w:tcPr>
            <w:tcW w:w="5954" w:type="dxa"/>
          </w:tcPr>
          <w:p w14:paraId="1C624B0F" w14:textId="77777777" w:rsidR="00776795" w:rsidRPr="00E91083" w:rsidRDefault="00776795" w:rsidP="00776795">
            <w:pPr>
              <w:rPr>
                <w:sz w:val="16"/>
                <w:szCs w:val="16"/>
              </w:rPr>
            </w:pPr>
            <w:r w:rsidRPr="00E91083">
              <w:rPr>
                <w:sz w:val="16"/>
                <w:szCs w:val="16"/>
              </w:rPr>
              <w:t xml:space="preserve">While very few universities deliver EFTSL as part of higher education in these two fields of education, these two 2-digit fields were included in order to </w:t>
            </w:r>
            <w:r>
              <w:rPr>
                <w:sz w:val="16"/>
                <w:szCs w:val="16"/>
              </w:rPr>
              <w:t>ensure</w:t>
            </w:r>
            <w:r w:rsidRPr="00E91083">
              <w:rPr>
                <w:sz w:val="16"/>
                <w:szCs w:val="16"/>
              </w:rPr>
              <w:t xml:space="preserve"> ‘completeness’ of field categorisations, such that all potential fields could be included in a mapping to the costing template.</w:t>
            </w:r>
          </w:p>
        </w:tc>
      </w:tr>
      <w:tr w:rsidR="00776795" w14:paraId="0EBCD9C8" w14:textId="77777777" w:rsidTr="00776795">
        <w:tc>
          <w:tcPr>
            <w:tcW w:w="2410" w:type="dxa"/>
          </w:tcPr>
          <w:p w14:paraId="7A439E2B" w14:textId="77777777" w:rsidR="00776795" w:rsidRPr="00E91083" w:rsidRDefault="00776795" w:rsidP="00776795">
            <w:pPr>
              <w:ind w:right="140"/>
              <w:rPr>
                <w:b/>
                <w:sz w:val="16"/>
                <w:szCs w:val="16"/>
              </w:rPr>
            </w:pPr>
            <w:r w:rsidRPr="00E91083">
              <w:rPr>
                <w:b/>
                <w:sz w:val="16"/>
                <w:szCs w:val="16"/>
              </w:rPr>
              <w:t>Removing staff FTE line items</w:t>
            </w:r>
          </w:p>
        </w:tc>
        <w:tc>
          <w:tcPr>
            <w:tcW w:w="5954" w:type="dxa"/>
          </w:tcPr>
          <w:p w14:paraId="0F17C805" w14:textId="77777777" w:rsidR="00776795" w:rsidRPr="00E91083" w:rsidRDefault="00776795" w:rsidP="00776795">
            <w:pPr>
              <w:rPr>
                <w:sz w:val="16"/>
                <w:szCs w:val="16"/>
              </w:rPr>
            </w:pPr>
            <w:r w:rsidRPr="00E91083">
              <w:rPr>
                <w:sz w:val="16"/>
                <w:szCs w:val="16"/>
              </w:rPr>
              <w:t xml:space="preserve">Whereas the previous 2016 study had a wider, more exploratory scope of analysis, this study is primarily concerned with the accurate estimation of costs. Accordingly, potential cost drivers (such as staff FTE) and their corresponding data collection were not required for the analysis in this exercise. </w:t>
            </w:r>
          </w:p>
          <w:p w14:paraId="1E611DB1" w14:textId="77777777" w:rsidR="00776795" w:rsidRPr="00E91083" w:rsidRDefault="00776795">
            <w:pPr>
              <w:rPr>
                <w:sz w:val="16"/>
                <w:szCs w:val="16"/>
              </w:rPr>
            </w:pPr>
            <w:r w:rsidRPr="00E91083">
              <w:rPr>
                <w:sz w:val="16"/>
                <w:szCs w:val="16"/>
              </w:rPr>
              <w:t xml:space="preserve">A number of universities also reported a high degree of burden in calculating FTE figures at a detailed level, and that often a simplifying assumption </w:t>
            </w:r>
            <w:proofErr w:type="gramStart"/>
            <w:r w:rsidRPr="00E91083">
              <w:rPr>
                <w:sz w:val="16"/>
                <w:szCs w:val="16"/>
              </w:rPr>
              <w:t>was used</w:t>
            </w:r>
            <w:proofErr w:type="gramEnd"/>
            <w:r w:rsidRPr="00E91083">
              <w:rPr>
                <w:sz w:val="16"/>
                <w:szCs w:val="16"/>
              </w:rPr>
              <w:t xml:space="preserve"> to calculate FTE from cost figures, which resulted in a one-to-one relationship between costs and FTE. </w:t>
            </w:r>
            <w:r w:rsidR="00AD3D66">
              <w:rPr>
                <w:sz w:val="16"/>
                <w:szCs w:val="16"/>
              </w:rPr>
              <w:t xml:space="preserve">For these </w:t>
            </w:r>
            <w:proofErr w:type="gramStart"/>
            <w:r w:rsidR="00AD3D66">
              <w:rPr>
                <w:sz w:val="16"/>
                <w:szCs w:val="16"/>
              </w:rPr>
              <w:t>reasons</w:t>
            </w:r>
            <w:proofErr w:type="gramEnd"/>
            <w:r w:rsidR="00AD3D66">
              <w:rPr>
                <w:sz w:val="16"/>
                <w:szCs w:val="16"/>
              </w:rPr>
              <w:t xml:space="preserve"> the requirement to calculate FTE was removed from the 2018 data collection process. </w:t>
            </w:r>
          </w:p>
        </w:tc>
      </w:tr>
      <w:tr w:rsidR="00776795" w14:paraId="15D6CFFF" w14:textId="77777777" w:rsidTr="00776795">
        <w:tc>
          <w:tcPr>
            <w:tcW w:w="2410" w:type="dxa"/>
          </w:tcPr>
          <w:p w14:paraId="7DFB9642" w14:textId="77777777" w:rsidR="00776795" w:rsidRPr="00E91083" w:rsidRDefault="00776795" w:rsidP="00776795">
            <w:pPr>
              <w:ind w:right="140"/>
              <w:rPr>
                <w:b/>
                <w:sz w:val="16"/>
                <w:szCs w:val="16"/>
              </w:rPr>
            </w:pPr>
            <w:r w:rsidRPr="00E91083">
              <w:rPr>
                <w:b/>
                <w:sz w:val="16"/>
                <w:szCs w:val="16"/>
              </w:rPr>
              <w:t>Adding ‘below the line’ in-kind and partnership costs</w:t>
            </w:r>
          </w:p>
        </w:tc>
        <w:tc>
          <w:tcPr>
            <w:tcW w:w="5954" w:type="dxa"/>
          </w:tcPr>
          <w:p w14:paraId="37C0628E" w14:textId="77777777" w:rsidR="00776795" w:rsidRPr="00E91083" w:rsidRDefault="00776795" w:rsidP="00776795">
            <w:pPr>
              <w:rPr>
                <w:sz w:val="16"/>
                <w:szCs w:val="16"/>
              </w:rPr>
            </w:pPr>
            <w:r w:rsidRPr="00E91083">
              <w:rPr>
                <w:sz w:val="16"/>
                <w:szCs w:val="16"/>
              </w:rPr>
              <w:t xml:space="preserve">A number of universities in the </w:t>
            </w:r>
            <w:r w:rsidR="00AD3D66">
              <w:rPr>
                <w:sz w:val="16"/>
                <w:szCs w:val="16"/>
              </w:rPr>
              <w:t xml:space="preserve">Universities Australia </w:t>
            </w:r>
            <w:r w:rsidRPr="00E91083">
              <w:rPr>
                <w:sz w:val="16"/>
                <w:szCs w:val="16"/>
              </w:rPr>
              <w:t xml:space="preserve">technical working </w:t>
            </w:r>
            <w:r>
              <w:rPr>
                <w:sz w:val="16"/>
                <w:szCs w:val="16"/>
              </w:rPr>
              <w:t>group (see B</w:t>
            </w:r>
            <w:r w:rsidRPr="00E91083">
              <w:rPr>
                <w:sz w:val="16"/>
                <w:szCs w:val="16"/>
              </w:rPr>
              <w:t xml:space="preserve">ox </w:t>
            </w:r>
            <w:r w:rsidRPr="00495A65">
              <w:rPr>
                <w:sz w:val="16"/>
                <w:szCs w:val="16"/>
              </w:rPr>
              <w:t>1.1</w:t>
            </w:r>
            <w:r w:rsidRPr="0046286C">
              <w:rPr>
                <w:sz w:val="16"/>
                <w:szCs w:val="16"/>
              </w:rPr>
              <w:t xml:space="preserve"> below</w:t>
            </w:r>
            <w:r w:rsidRPr="00E91083">
              <w:rPr>
                <w:sz w:val="16"/>
                <w:szCs w:val="16"/>
              </w:rPr>
              <w:t>) raised two issues regarding the costs of teaching that would not appear in their financial reporting or accounts, but importantly reflect the cost of deliver</w:t>
            </w:r>
            <w:r>
              <w:rPr>
                <w:sz w:val="16"/>
                <w:szCs w:val="16"/>
              </w:rPr>
              <w:t>y</w:t>
            </w:r>
            <w:r w:rsidRPr="00E91083">
              <w:rPr>
                <w:sz w:val="16"/>
                <w:szCs w:val="16"/>
              </w:rPr>
              <w:t xml:space="preserve">. </w:t>
            </w:r>
          </w:p>
          <w:p w14:paraId="6A91AFBC" w14:textId="77777777" w:rsidR="00776795" w:rsidRPr="00E91083" w:rsidRDefault="00AD3D66" w:rsidP="00776795">
            <w:pPr>
              <w:rPr>
                <w:sz w:val="16"/>
                <w:szCs w:val="16"/>
              </w:rPr>
            </w:pPr>
            <w:r>
              <w:rPr>
                <w:sz w:val="16"/>
                <w:szCs w:val="16"/>
              </w:rPr>
              <w:t>First, i</w:t>
            </w:r>
            <w:r w:rsidR="00776795" w:rsidRPr="00E91083">
              <w:rPr>
                <w:sz w:val="16"/>
                <w:szCs w:val="16"/>
              </w:rPr>
              <w:t xml:space="preserve">n some instances, the delivery of teaching by a third party (e.g. hospital doctor) was not paid for using financial remuneration, but through the sharing or provision of another resource (e.g. providing library resources to hospital staff). The associated costs for receiving those teaching services </w:t>
            </w:r>
            <w:proofErr w:type="gramStart"/>
            <w:r w:rsidR="00776795" w:rsidRPr="00E91083">
              <w:rPr>
                <w:sz w:val="16"/>
                <w:szCs w:val="16"/>
              </w:rPr>
              <w:t>are known</w:t>
            </w:r>
            <w:proofErr w:type="gramEnd"/>
            <w:r w:rsidR="00776795" w:rsidRPr="00E91083">
              <w:rPr>
                <w:sz w:val="16"/>
                <w:szCs w:val="16"/>
              </w:rPr>
              <w:t xml:space="preserve"> as ‘in-kind’ costs. </w:t>
            </w:r>
          </w:p>
          <w:p w14:paraId="720FAA71" w14:textId="77777777" w:rsidR="00776795" w:rsidRPr="00E91083" w:rsidRDefault="00776795" w:rsidP="00776795">
            <w:pPr>
              <w:rPr>
                <w:sz w:val="16"/>
                <w:szCs w:val="16"/>
              </w:rPr>
            </w:pPr>
            <w:r w:rsidRPr="00E91083">
              <w:rPr>
                <w:sz w:val="16"/>
                <w:szCs w:val="16"/>
              </w:rPr>
              <w:t xml:space="preserve">While these in-kind costs may not necessarily appear in financial statements or reporting, or involve direct payments, estimates of their value (where material) can be included for consideration in a ‘below the line’ item, which indicates they are estimates of costs that do not appear in financial reporting.   </w:t>
            </w:r>
          </w:p>
          <w:p w14:paraId="5E0AA783" w14:textId="77777777" w:rsidR="00776795" w:rsidRPr="00E91083" w:rsidRDefault="00776795" w:rsidP="00776795">
            <w:pPr>
              <w:rPr>
                <w:sz w:val="16"/>
                <w:szCs w:val="16"/>
              </w:rPr>
            </w:pPr>
            <w:r w:rsidRPr="00E91083">
              <w:rPr>
                <w:sz w:val="16"/>
                <w:szCs w:val="16"/>
              </w:rPr>
              <w:t>Similarly, some partnership arrangements between third party providers and universities may rely on revenue-sharing agreements. In instances, where the cost of third-party delivery is not a financial payment by the university and instead a diversion of revenue to the partner, these diverted revenues can be used as an estimate of the cost of teaching (in lieu of actual costs borne by the partner institution).</w:t>
            </w:r>
            <w:r w:rsidRPr="00E91083">
              <w:rPr>
                <w:rStyle w:val="FootnoteReference"/>
                <w:sz w:val="16"/>
                <w:szCs w:val="16"/>
              </w:rPr>
              <w:footnoteReference w:id="9"/>
            </w:r>
            <w:r w:rsidRPr="00E91083">
              <w:rPr>
                <w:sz w:val="16"/>
                <w:szCs w:val="16"/>
              </w:rPr>
              <w:t xml:space="preserve">  </w:t>
            </w:r>
          </w:p>
          <w:p w14:paraId="59C92D2C" w14:textId="77777777" w:rsidR="00776795" w:rsidRPr="00E91083" w:rsidRDefault="00776795" w:rsidP="00776795">
            <w:pPr>
              <w:rPr>
                <w:sz w:val="16"/>
                <w:szCs w:val="16"/>
              </w:rPr>
            </w:pPr>
            <w:r w:rsidRPr="00E91083">
              <w:rPr>
                <w:sz w:val="16"/>
                <w:szCs w:val="16"/>
              </w:rPr>
              <w:lastRenderedPageBreak/>
              <w:t xml:space="preserve">If the cost of partnership agreements is a financial cost or payment to the university, then these are included above the line. </w:t>
            </w:r>
          </w:p>
        </w:tc>
      </w:tr>
      <w:tr w:rsidR="00776795" w14:paraId="20AF8AAC" w14:textId="77777777" w:rsidTr="00776795">
        <w:tc>
          <w:tcPr>
            <w:tcW w:w="2410" w:type="dxa"/>
          </w:tcPr>
          <w:p w14:paraId="6CF62966" w14:textId="77777777" w:rsidR="00776795" w:rsidRPr="00E91083" w:rsidRDefault="00776795" w:rsidP="00776795">
            <w:pPr>
              <w:ind w:right="140"/>
              <w:rPr>
                <w:b/>
                <w:sz w:val="16"/>
                <w:szCs w:val="16"/>
              </w:rPr>
            </w:pPr>
            <w:r w:rsidRPr="00E91083">
              <w:rPr>
                <w:b/>
                <w:sz w:val="16"/>
                <w:szCs w:val="16"/>
              </w:rPr>
              <w:lastRenderedPageBreak/>
              <w:t>Restructuring non-staff and centralised costs</w:t>
            </w:r>
          </w:p>
        </w:tc>
        <w:tc>
          <w:tcPr>
            <w:tcW w:w="5954" w:type="dxa"/>
          </w:tcPr>
          <w:p w14:paraId="3A9F1E00" w14:textId="77777777" w:rsidR="00776795" w:rsidRPr="00E91083" w:rsidRDefault="00776795" w:rsidP="00776795">
            <w:pPr>
              <w:rPr>
                <w:sz w:val="16"/>
                <w:szCs w:val="16"/>
              </w:rPr>
            </w:pPr>
            <w:r w:rsidRPr="00E91083">
              <w:rPr>
                <w:sz w:val="16"/>
                <w:szCs w:val="16"/>
              </w:rPr>
              <w:t xml:space="preserve">The structure and format of non-staff and centralised costs were modified to create more meaningful categories for universities </w:t>
            </w:r>
            <w:proofErr w:type="gramStart"/>
            <w:r w:rsidRPr="00E91083">
              <w:rPr>
                <w:sz w:val="16"/>
                <w:szCs w:val="16"/>
              </w:rPr>
              <w:t>and also</w:t>
            </w:r>
            <w:proofErr w:type="gramEnd"/>
            <w:r w:rsidRPr="00E91083">
              <w:rPr>
                <w:sz w:val="16"/>
                <w:szCs w:val="16"/>
              </w:rPr>
              <w:t xml:space="preserve"> to simplify the process</w:t>
            </w:r>
            <w:r w:rsidR="00AD3D66">
              <w:rPr>
                <w:sz w:val="16"/>
                <w:szCs w:val="16"/>
              </w:rPr>
              <w:t>.</w:t>
            </w:r>
            <w:r w:rsidRPr="00E91083">
              <w:rPr>
                <w:sz w:val="16"/>
                <w:szCs w:val="16"/>
              </w:rPr>
              <w:t xml:space="preserve"> </w:t>
            </w:r>
          </w:p>
          <w:p w14:paraId="054EA7DE" w14:textId="77777777" w:rsidR="00776795" w:rsidRPr="00E91083" w:rsidRDefault="00776795" w:rsidP="00776795">
            <w:pPr>
              <w:rPr>
                <w:sz w:val="16"/>
                <w:szCs w:val="16"/>
              </w:rPr>
            </w:pPr>
            <w:r w:rsidRPr="00E91083">
              <w:rPr>
                <w:sz w:val="16"/>
                <w:szCs w:val="16"/>
              </w:rPr>
              <w:t xml:space="preserve">This included the aggregation of ‘cost of materials, utilities and equipment’ and ‘expenses that relate to labs/practicum/field work’, and the separate identification of placement costs. </w:t>
            </w:r>
          </w:p>
          <w:p w14:paraId="358A962A" w14:textId="77777777" w:rsidR="00776795" w:rsidRPr="00E91083" w:rsidRDefault="00776795" w:rsidP="00776795">
            <w:pPr>
              <w:rPr>
                <w:sz w:val="16"/>
                <w:szCs w:val="16"/>
              </w:rPr>
            </w:pPr>
            <w:r w:rsidRPr="00E91083">
              <w:rPr>
                <w:sz w:val="16"/>
                <w:szCs w:val="16"/>
              </w:rPr>
              <w:t xml:space="preserve">An additional whole-of-university non-teaching, non-scholarship cost item was also included to reconcile total figures to statutory reporting.    </w:t>
            </w:r>
          </w:p>
        </w:tc>
      </w:tr>
    </w:tbl>
    <w:p w14:paraId="0967B1EB" w14:textId="77777777" w:rsidR="00776795" w:rsidRDefault="00776795" w:rsidP="00776795"/>
    <w:tbl>
      <w:tblPr>
        <w:tblStyle w:val="TableGrid"/>
        <w:tblW w:w="0" w:type="auto"/>
        <w:shd w:val="clear" w:color="auto" w:fill="E7E6E6" w:themeFill="background2"/>
        <w:tblLook w:val="04A0" w:firstRow="1" w:lastRow="0" w:firstColumn="1" w:lastColumn="0" w:noHBand="0" w:noVBand="1"/>
      </w:tblPr>
      <w:tblGrid>
        <w:gridCol w:w="6945"/>
      </w:tblGrid>
      <w:tr w:rsidR="00776795" w:rsidRPr="00C97556" w14:paraId="7D0E9355" w14:textId="77777777" w:rsidTr="00776795">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tcPr>
          <w:p w14:paraId="6A213825" w14:textId="77777777" w:rsidR="00776795" w:rsidRPr="00C97556" w:rsidRDefault="00776795" w:rsidP="00776795">
            <w:pPr>
              <w:ind w:left="142"/>
              <w:rPr>
                <w:b/>
                <w:sz w:val="16"/>
              </w:rPr>
            </w:pPr>
            <w:r w:rsidRPr="0046286C">
              <w:rPr>
                <w:b/>
                <w:sz w:val="16"/>
              </w:rPr>
              <w:t xml:space="preserve">Box </w:t>
            </w:r>
            <w:r w:rsidRPr="00495A65">
              <w:rPr>
                <w:b/>
                <w:sz w:val="16"/>
              </w:rPr>
              <w:t>1.1</w:t>
            </w:r>
            <w:r w:rsidRPr="0046286C">
              <w:rPr>
                <w:b/>
                <w:sz w:val="16"/>
              </w:rPr>
              <w:t>:</w:t>
            </w:r>
            <w:r w:rsidRPr="00C97556">
              <w:rPr>
                <w:b/>
                <w:sz w:val="16"/>
              </w:rPr>
              <w:t xml:space="preserve"> University sector engagement </w:t>
            </w:r>
          </w:p>
          <w:p w14:paraId="1773D0FD" w14:textId="77777777" w:rsidR="00776795" w:rsidRPr="00C97556" w:rsidRDefault="00776795" w:rsidP="00776795">
            <w:pPr>
              <w:ind w:left="142"/>
              <w:rPr>
                <w:sz w:val="16"/>
              </w:rPr>
            </w:pPr>
            <w:r w:rsidRPr="00C97556">
              <w:rPr>
                <w:sz w:val="16"/>
              </w:rPr>
              <w:t xml:space="preserve">The </w:t>
            </w:r>
            <w:r w:rsidR="00AD3D66">
              <w:rPr>
                <w:sz w:val="16"/>
              </w:rPr>
              <w:t>development of the Transparent Costing Worksheet and associated data collection guidelines</w:t>
            </w:r>
            <w:r w:rsidRPr="00C97556">
              <w:rPr>
                <w:sz w:val="16"/>
              </w:rPr>
              <w:t xml:space="preserve"> for this exercise involved significant engagement and collaboration with the sector, including key university stakeholders and the peak body Universities Australia</w:t>
            </w:r>
            <w:r>
              <w:rPr>
                <w:sz w:val="16"/>
              </w:rPr>
              <w:t xml:space="preserve"> (UA)</w:t>
            </w:r>
            <w:r w:rsidRPr="00C97556">
              <w:rPr>
                <w:sz w:val="16"/>
              </w:rPr>
              <w:t>, as well as the Department.</w:t>
            </w:r>
          </w:p>
          <w:p w14:paraId="512542D1" w14:textId="77777777" w:rsidR="00776795" w:rsidRDefault="00776795" w:rsidP="002960C6">
            <w:pPr>
              <w:ind w:left="142"/>
              <w:rPr>
                <w:sz w:val="16"/>
              </w:rPr>
            </w:pPr>
            <w:r>
              <w:rPr>
                <w:sz w:val="16"/>
              </w:rPr>
              <w:t xml:space="preserve">Alongside ongoing communications, this sector engagement included a UA </w:t>
            </w:r>
            <w:r w:rsidR="002960C6">
              <w:rPr>
                <w:sz w:val="16"/>
              </w:rPr>
              <w:t xml:space="preserve">Reference Group </w:t>
            </w:r>
            <w:r>
              <w:rPr>
                <w:sz w:val="16"/>
              </w:rPr>
              <w:t xml:space="preserve">(consisting of university representatives, representatives from UA, the Department, and Deloitte Access Economics), a </w:t>
            </w:r>
            <w:r w:rsidR="002960C6">
              <w:rPr>
                <w:sz w:val="16"/>
              </w:rPr>
              <w:t>T</w:t>
            </w:r>
            <w:r>
              <w:rPr>
                <w:sz w:val="16"/>
              </w:rPr>
              <w:t xml:space="preserve">echnical </w:t>
            </w:r>
            <w:r w:rsidR="002960C6">
              <w:rPr>
                <w:sz w:val="16"/>
              </w:rPr>
              <w:t>Working Group</w:t>
            </w:r>
            <w:r>
              <w:rPr>
                <w:sz w:val="16"/>
              </w:rPr>
              <w:t xml:space="preserve">, and a whole-of-sector UA one-day forum to present and discuss issues and concerns related to this exercise. </w:t>
            </w:r>
            <w:r w:rsidR="002960C6">
              <w:rPr>
                <w:sz w:val="16"/>
              </w:rPr>
              <w:t xml:space="preserve"> The Technical Working Group provided a forum for discussing and resolving issues associated with the definition, specification and measurement of certain activities and costs; while the Reference Group served as the ultimate forum for strategic </w:t>
            </w:r>
            <w:proofErr w:type="gramStart"/>
            <w:r w:rsidR="002960C6">
              <w:rPr>
                <w:sz w:val="16"/>
              </w:rPr>
              <w:t>decision making</w:t>
            </w:r>
            <w:proofErr w:type="gramEnd"/>
            <w:r w:rsidR="002960C6">
              <w:rPr>
                <w:sz w:val="16"/>
              </w:rPr>
              <w:t xml:space="preserve">. </w:t>
            </w:r>
          </w:p>
          <w:p w14:paraId="1D811BA7" w14:textId="77777777" w:rsidR="00AD3D66" w:rsidRPr="00C97556" w:rsidRDefault="00AD3D66" w:rsidP="002960C6">
            <w:pPr>
              <w:ind w:left="142"/>
              <w:rPr>
                <w:sz w:val="16"/>
              </w:rPr>
            </w:pPr>
            <w:r>
              <w:rPr>
                <w:sz w:val="16"/>
              </w:rPr>
              <w:t xml:space="preserve">All universities </w:t>
            </w:r>
            <w:proofErr w:type="gramStart"/>
            <w:r>
              <w:rPr>
                <w:sz w:val="16"/>
              </w:rPr>
              <w:t>were issued</w:t>
            </w:r>
            <w:proofErr w:type="gramEnd"/>
            <w:r>
              <w:rPr>
                <w:sz w:val="16"/>
              </w:rPr>
              <w:t xml:space="preserve"> with a detailed set of data collection guidelines to ensure that the Transparent Costing Worksheet was filled out consistently. Consultations </w:t>
            </w:r>
            <w:proofErr w:type="gramStart"/>
            <w:r>
              <w:rPr>
                <w:sz w:val="16"/>
              </w:rPr>
              <w:t>were also held</w:t>
            </w:r>
            <w:proofErr w:type="gramEnd"/>
            <w:r>
              <w:rPr>
                <w:sz w:val="16"/>
              </w:rPr>
              <w:t xml:space="preserve"> with all universities to ensure a common approach was undertaken to capturing the costs of teaching and scholarship across the sector.</w:t>
            </w:r>
          </w:p>
        </w:tc>
      </w:tr>
    </w:tbl>
    <w:p w14:paraId="33371087" w14:textId="77777777" w:rsidR="00776795" w:rsidRDefault="00776795" w:rsidP="00776795">
      <w:pPr>
        <w:pStyle w:val="Heading2"/>
      </w:pPr>
      <w:bookmarkStart w:id="153" w:name="_Toc534713790"/>
      <w:r>
        <w:t>University sample</w:t>
      </w:r>
      <w:bookmarkEnd w:id="153"/>
    </w:p>
    <w:p w14:paraId="6281CD34" w14:textId="77777777" w:rsidR="00776795" w:rsidRDefault="00776795" w:rsidP="00776795">
      <w:r>
        <w:t xml:space="preserve">While the initial 17 universities </w:t>
      </w:r>
      <w:r w:rsidR="002960C6">
        <w:t>that</w:t>
      </w:r>
      <w:r>
        <w:t xml:space="preserve"> participated in the 2016 study were broadly representative of the sector and covered over half of all enrolments, the selection and inclusion of an additional eight universities for the 2018 study </w:t>
      </w:r>
      <w:proofErr w:type="gramStart"/>
      <w:r>
        <w:t>was designed</w:t>
      </w:r>
      <w:proofErr w:type="gramEnd"/>
      <w:r>
        <w:t xml:space="preserve"> to target a more diverse range of universities. </w:t>
      </w:r>
    </w:p>
    <w:p w14:paraId="28AA2CA4" w14:textId="77777777" w:rsidR="00776795" w:rsidRDefault="00776795" w:rsidP="00776795">
      <w:r>
        <w:t xml:space="preserve">In particular, greater representation </w:t>
      </w:r>
      <w:proofErr w:type="gramStart"/>
      <w:r>
        <w:t>was targeted</w:t>
      </w:r>
      <w:proofErr w:type="gramEnd"/>
      <w:r>
        <w:t xml:space="preserve"> from: </w:t>
      </w:r>
    </w:p>
    <w:p w14:paraId="237F66DF" w14:textId="77777777" w:rsidR="00776795" w:rsidRDefault="00776795" w:rsidP="00776795">
      <w:pPr>
        <w:pStyle w:val="ListBullet"/>
        <w:numPr>
          <w:ilvl w:val="0"/>
          <w:numId w:val="23"/>
        </w:numPr>
      </w:pPr>
      <w:r>
        <w:t xml:space="preserve">Dual sector universities; </w:t>
      </w:r>
    </w:p>
    <w:p w14:paraId="699A43F0" w14:textId="77777777" w:rsidR="00776795" w:rsidRDefault="00776795" w:rsidP="00776795">
      <w:pPr>
        <w:pStyle w:val="ListBullet"/>
        <w:numPr>
          <w:ilvl w:val="0"/>
          <w:numId w:val="23"/>
        </w:numPr>
      </w:pPr>
      <w:r>
        <w:t xml:space="preserve">ATN and IRU affiliated universities; </w:t>
      </w:r>
    </w:p>
    <w:p w14:paraId="5E2D409A" w14:textId="77777777" w:rsidR="00776795" w:rsidRDefault="00776795" w:rsidP="00776795">
      <w:pPr>
        <w:pStyle w:val="ListBullet"/>
        <w:numPr>
          <w:ilvl w:val="0"/>
          <w:numId w:val="23"/>
        </w:numPr>
      </w:pPr>
      <w:r>
        <w:t>Smaller universities (fewer than 15,000 domestic enrolments); and</w:t>
      </w:r>
    </w:p>
    <w:p w14:paraId="09143BCD" w14:textId="77777777" w:rsidR="00776795" w:rsidRDefault="00776795" w:rsidP="00776795">
      <w:pPr>
        <w:pStyle w:val="ListBullet"/>
        <w:numPr>
          <w:ilvl w:val="0"/>
          <w:numId w:val="23"/>
        </w:numPr>
      </w:pPr>
      <w:r>
        <w:t xml:space="preserve">Universities located outside of the largest east coast states (NSW, Victoria and Queensland). </w:t>
      </w:r>
    </w:p>
    <w:p w14:paraId="6846D181" w14:textId="022CBB61" w:rsidR="00776795" w:rsidRDefault="00776795" w:rsidP="00776795">
      <w:r>
        <w:t>This criteria led to the total of 25 universities included in this study (see</w:t>
      </w:r>
      <w:r w:rsidR="00493F0C">
        <w:t xml:space="preserve"> </w:t>
      </w:r>
      <w:r w:rsidR="00493F0C">
        <w:fldChar w:fldCharType="begin"/>
      </w:r>
      <w:r w:rsidR="00493F0C">
        <w:instrText xml:space="preserve"> REF _Ref534705713 \r \h </w:instrText>
      </w:r>
      <w:r w:rsidR="00493F0C">
        <w:fldChar w:fldCharType="separate"/>
      </w:r>
      <w:r w:rsidR="00F47C96">
        <w:t>Table 1.2</w:t>
      </w:r>
      <w:r w:rsidR="00493F0C">
        <w:fldChar w:fldCharType="end"/>
      </w:r>
      <w:r>
        <w:t xml:space="preserve">), as well as the indicative and planned introduction of an additional seven universities in 2019, before the full sample of 37 public universities </w:t>
      </w:r>
      <w:r w:rsidR="002960C6">
        <w:t>is</w:t>
      </w:r>
      <w:r>
        <w:t xml:space="preserve"> captured in 2020. </w:t>
      </w:r>
    </w:p>
    <w:p w14:paraId="7FE03E3E" w14:textId="3E316805" w:rsidR="00776795" w:rsidRDefault="00776795" w:rsidP="00776795">
      <w:r>
        <w:t>Importantly, the 2018 study achieves at a minimum, a 50% coverage across the key university characteristics: regional, dual sector, smaller size, affiliation, and primary state or territory location (</w:t>
      </w:r>
      <w:r w:rsidR="00493F0C">
        <w:fldChar w:fldCharType="begin"/>
      </w:r>
      <w:r w:rsidR="00493F0C">
        <w:instrText xml:space="preserve"> REF _Ref534705733 \r \h </w:instrText>
      </w:r>
      <w:r w:rsidR="00493F0C">
        <w:fldChar w:fldCharType="separate"/>
      </w:r>
      <w:r w:rsidR="00F47C96">
        <w:t>Table 1.3</w:t>
      </w:r>
      <w:r w:rsidR="00493F0C">
        <w:fldChar w:fldCharType="end"/>
      </w:r>
      <w:r>
        <w:t xml:space="preserve">). Notably, this includes a university from every state and territory, and a more diverse sample compared to the 2016 sample. </w:t>
      </w:r>
    </w:p>
    <w:p w14:paraId="58C0BE71" w14:textId="77777777" w:rsidR="00647A99" w:rsidRDefault="00647A99">
      <w:pPr>
        <w:spacing w:after="0"/>
      </w:pPr>
      <w:r>
        <w:br w:type="page"/>
      </w:r>
    </w:p>
    <w:p w14:paraId="7556E0DF" w14:textId="77777777" w:rsidR="00776795" w:rsidRDefault="00776795" w:rsidP="00776795">
      <w:r>
        <w:lastRenderedPageBreak/>
        <w:t>The 2018 sample also covers:</w:t>
      </w:r>
    </w:p>
    <w:p w14:paraId="20FDB377" w14:textId="5822D96D" w:rsidR="00776795" w:rsidRDefault="00776795" w:rsidP="00776795">
      <w:pPr>
        <w:pStyle w:val="ListBullet"/>
        <w:numPr>
          <w:ilvl w:val="0"/>
          <w:numId w:val="23"/>
        </w:numPr>
      </w:pPr>
      <w:r>
        <w:t>65% of all in-scope EFTSL from the 37 universities (</w:t>
      </w:r>
      <w:r w:rsidR="00493F0C">
        <w:fldChar w:fldCharType="begin"/>
      </w:r>
      <w:r w:rsidR="00493F0C">
        <w:instrText xml:space="preserve"> REF _Ref534705742 \r \h </w:instrText>
      </w:r>
      <w:r w:rsidR="00493F0C">
        <w:fldChar w:fldCharType="separate"/>
      </w:r>
      <w:r w:rsidR="00F47C96">
        <w:t>Table 1.3</w:t>
      </w:r>
      <w:r w:rsidR="00493F0C">
        <w:fldChar w:fldCharType="end"/>
      </w:r>
      <w:r>
        <w:t>);</w:t>
      </w:r>
    </w:p>
    <w:p w14:paraId="3FDA97CC" w14:textId="200C19CC" w:rsidR="00776795" w:rsidRDefault="00776795" w:rsidP="00776795">
      <w:pPr>
        <w:pStyle w:val="ListBullet"/>
        <w:numPr>
          <w:ilvl w:val="0"/>
          <w:numId w:val="23"/>
        </w:numPr>
      </w:pPr>
      <w:r>
        <w:t>Over half of all EFTSL delivered across each of the three levels of education: sub-bachelor, bachelor, and postgraduate (</w:t>
      </w:r>
      <w:r w:rsidR="00493F0C">
        <w:fldChar w:fldCharType="begin"/>
      </w:r>
      <w:r w:rsidR="00493F0C">
        <w:instrText xml:space="preserve"> REF _Ref534705804 \r \h </w:instrText>
      </w:r>
      <w:r w:rsidR="00493F0C">
        <w:fldChar w:fldCharType="separate"/>
      </w:r>
      <w:r w:rsidR="00F47C96">
        <w:t>Chart 1.1</w:t>
      </w:r>
      <w:r w:rsidR="00493F0C">
        <w:fldChar w:fldCharType="end"/>
      </w:r>
      <w:r>
        <w:t>); and</w:t>
      </w:r>
    </w:p>
    <w:p w14:paraId="3FFE5675" w14:textId="2A46A207" w:rsidR="00776795" w:rsidRDefault="00776795" w:rsidP="00776795">
      <w:pPr>
        <w:pStyle w:val="ListBullet"/>
        <w:numPr>
          <w:ilvl w:val="0"/>
          <w:numId w:val="23"/>
        </w:numPr>
      </w:pPr>
      <w:r>
        <w:t>Over half of all EFTSL delivered across each of the 22 key fields of education, excluding Mixed Field Programmes</w:t>
      </w:r>
      <w:r>
        <w:rPr>
          <w:rStyle w:val="FootnoteReference"/>
        </w:rPr>
        <w:footnoteReference w:id="10"/>
      </w:r>
      <w:r>
        <w:t xml:space="preserve"> (</w:t>
      </w:r>
      <w:r w:rsidR="00493F0C">
        <w:fldChar w:fldCharType="begin"/>
      </w:r>
      <w:r w:rsidR="00493F0C">
        <w:instrText xml:space="preserve"> REF _Ref534705796 \r \h </w:instrText>
      </w:r>
      <w:r w:rsidR="00493F0C">
        <w:fldChar w:fldCharType="separate"/>
      </w:r>
      <w:r w:rsidR="00F47C96">
        <w:t>Chart 1.2</w:t>
      </w:r>
      <w:r w:rsidR="00493F0C">
        <w:fldChar w:fldCharType="end"/>
      </w:r>
      <w:r>
        <w:t xml:space="preserve">).   </w:t>
      </w:r>
    </w:p>
    <w:p w14:paraId="1B47AF2E" w14:textId="77777777" w:rsidR="00776795" w:rsidRDefault="00776795" w:rsidP="00776795">
      <w:pPr>
        <w:pStyle w:val="CaptionTable"/>
      </w:pPr>
      <w:bookmarkStart w:id="154" w:name="_Ref534705713"/>
      <w:bookmarkStart w:id="155" w:name="_Toc534713861"/>
      <w:r>
        <w:t>: Planned participation by universities</w:t>
      </w:r>
      <w:bookmarkEnd w:id="154"/>
      <w:bookmarkEnd w:id="155"/>
      <w:r>
        <w:t xml:space="preserve"> </w:t>
      </w:r>
    </w:p>
    <w:tbl>
      <w:tblPr>
        <w:tblStyle w:val="Deloittetable"/>
        <w:tblW w:w="9781" w:type="dxa"/>
        <w:tblLook w:val="04A0" w:firstRow="1" w:lastRow="0" w:firstColumn="1" w:lastColumn="0" w:noHBand="0" w:noVBand="1"/>
      </w:tblPr>
      <w:tblGrid>
        <w:gridCol w:w="2445"/>
        <w:gridCol w:w="2445"/>
        <w:gridCol w:w="2445"/>
        <w:gridCol w:w="2446"/>
      </w:tblGrid>
      <w:tr w:rsidR="00776795" w14:paraId="0B53C5F4" w14:textId="77777777" w:rsidTr="00EB4550">
        <w:trPr>
          <w:cnfStyle w:val="100000000000" w:firstRow="1" w:lastRow="0" w:firstColumn="0" w:lastColumn="0" w:oddVBand="0" w:evenVBand="0" w:oddHBand="0" w:evenHBand="0" w:firstRowFirstColumn="0" w:firstRowLastColumn="0" w:lastRowFirstColumn="0" w:lastRowLastColumn="0"/>
        </w:trPr>
        <w:tc>
          <w:tcPr>
            <w:tcW w:w="2445" w:type="dxa"/>
          </w:tcPr>
          <w:p w14:paraId="28184809" w14:textId="77777777" w:rsidR="00776795" w:rsidRPr="004A02CF" w:rsidRDefault="00776795" w:rsidP="00776795">
            <w:pPr>
              <w:rPr>
                <w:b/>
                <w:sz w:val="16"/>
              </w:rPr>
            </w:pPr>
            <w:r>
              <w:rPr>
                <w:b/>
                <w:sz w:val="16"/>
              </w:rPr>
              <w:t>2016</w:t>
            </w:r>
            <w:r>
              <w:rPr>
                <w:b/>
                <w:sz w:val="16"/>
              </w:rPr>
              <w:br/>
            </w:r>
            <w:r w:rsidRPr="00816289">
              <w:rPr>
                <w:b/>
                <w:i/>
                <w:sz w:val="16"/>
              </w:rPr>
              <w:t>Previous study and this study</w:t>
            </w:r>
          </w:p>
        </w:tc>
        <w:tc>
          <w:tcPr>
            <w:tcW w:w="2445" w:type="dxa"/>
          </w:tcPr>
          <w:p w14:paraId="46905052" w14:textId="77777777" w:rsidR="00776795" w:rsidRPr="004A02CF" w:rsidRDefault="00776795" w:rsidP="00776795">
            <w:pPr>
              <w:rPr>
                <w:b/>
                <w:sz w:val="16"/>
              </w:rPr>
            </w:pPr>
            <w:r w:rsidRPr="004A02CF">
              <w:rPr>
                <w:b/>
                <w:sz w:val="16"/>
              </w:rPr>
              <w:t xml:space="preserve">2018 </w:t>
            </w:r>
            <w:r>
              <w:rPr>
                <w:b/>
                <w:sz w:val="16"/>
              </w:rPr>
              <w:br/>
            </w:r>
            <w:r w:rsidRPr="00816289">
              <w:rPr>
                <w:b/>
                <w:i/>
                <w:sz w:val="16"/>
              </w:rPr>
              <w:t>New to this study</w:t>
            </w:r>
          </w:p>
        </w:tc>
        <w:tc>
          <w:tcPr>
            <w:tcW w:w="2445" w:type="dxa"/>
          </w:tcPr>
          <w:p w14:paraId="29662578" w14:textId="77777777" w:rsidR="00776795" w:rsidRPr="004A02CF" w:rsidRDefault="00776795" w:rsidP="00776795">
            <w:pPr>
              <w:rPr>
                <w:b/>
                <w:sz w:val="16"/>
              </w:rPr>
            </w:pPr>
            <w:r w:rsidRPr="004A02CF">
              <w:rPr>
                <w:b/>
                <w:sz w:val="16"/>
              </w:rPr>
              <w:t>2019</w:t>
            </w:r>
            <w:r>
              <w:rPr>
                <w:b/>
                <w:sz w:val="16"/>
              </w:rPr>
              <w:t xml:space="preserve"> </w:t>
            </w:r>
            <w:r>
              <w:rPr>
                <w:b/>
                <w:sz w:val="16"/>
              </w:rPr>
              <w:br/>
            </w:r>
          </w:p>
        </w:tc>
        <w:tc>
          <w:tcPr>
            <w:tcW w:w="2446" w:type="dxa"/>
          </w:tcPr>
          <w:p w14:paraId="4EB8319A" w14:textId="77777777" w:rsidR="00776795" w:rsidRPr="004A02CF" w:rsidRDefault="00776795" w:rsidP="00776795">
            <w:pPr>
              <w:rPr>
                <w:b/>
                <w:sz w:val="16"/>
              </w:rPr>
            </w:pPr>
            <w:r w:rsidRPr="004A02CF">
              <w:rPr>
                <w:b/>
                <w:sz w:val="16"/>
              </w:rPr>
              <w:t>2020</w:t>
            </w:r>
            <w:r>
              <w:rPr>
                <w:b/>
                <w:sz w:val="16"/>
              </w:rPr>
              <w:br/>
            </w:r>
          </w:p>
        </w:tc>
      </w:tr>
      <w:tr w:rsidR="00776795" w14:paraId="4BB09C62" w14:textId="77777777" w:rsidTr="00EB4550">
        <w:trPr>
          <w:trHeight w:val="227"/>
        </w:trPr>
        <w:tc>
          <w:tcPr>
            <w:tcW w:w="2445" w:type="dxa"/>
          </w:tcPr>
          <w:p w14:paraId="27DDCF6C" w14:textId="77777777" w:rsidR="00776795" w:rsidRPr="006118C2" w:rsidRDefault="00776795" w:rsidP="006118C2">
            <w:pPr>
              <w:pStyle w:val="ListNumber"/>
              <w:numPr>
                <w:ilvl w:val="0"/>
                <w:numId w:val="62"/>
              </w:numPr>
              <w:rPr>
                <w:sz w:val="14"/>
              </w:rPr>
            </w:pPr>
            <w:r w:rsidRPr="006118C2">
              <w:rPr>
                <w:sz w:val="14"/>
              </w:rPr>
              <w:t>Australian Catholic University</w:t>
            </w:r>
          </w:p>
          <w:p w14:paraId="036B3B67" w14:textId="77777777" w:rsidR="00776795" w:rsidRPr="000F4057" w:rsidRDefault="00776795" w:rsidP="00776795">
            <w:pPr>
              <w:pStyle w:val="ListNumber"/>
              <w:numPr>
                <w:ilvl w:val="0"/>
                <w:numId w:val="34"/>
              </w:numPr>
              <w:rPr>
                <w:sz w:val="14"/>
              </w:rPr>
            </w:pPr>
            <w:r w:rsidRPr="000F4057">
              <w:rPr>
                <w:sz w:val="14"/>
              </w:rPr>
              <w:t>Charles Sturt University</w:t>
            </w:r>
          </w:p>
          <w:p w14:paraId="43D297BD" w14:textId="77777777" w:rsidR="00776795" w:rsidRPr="000F4057" w:rsidRDefault="00776795" w:rsidP="00776795">
            <w:pPr>
              <w:pStyle w:val="ListNumber"/>
              <w:numPr>
                <w:ilvl w:val="0"/>
                <w:numId w:val="34"/>
              </w:numPr>
              <w:rPr>
                <w:sz w:val="14"/>
              </w:rPr>
            </w:pPr>
            <w:r w:rsidRPr="000F4057">
              <w:rPr>
                <w:sz w:val="14"/>
              </w:rPr>
              <w:t>Deakin University</w:t>
            </w:r>
          </w:p>
          <w:p w14:paraId="011405C8" w14:textId="77777777" w:rsidR="00776795" w:rsidRPr="000F4057" w:rsidRDefault="00776795" w:rsidP="00776795">
            <w:pPr>
              <w:pStyle w:val="ListNumber"/>
              <w:numPr>
                <w:ilvl w:val="0"/>
                <w:numId w:val="34"/>
              </w:numPr>
              <w:rPr>
                <w:sz w:val="14"/>
              </w:rPr>
            </w:pPr>
            <w:r w:rsidRPr="000F4057">
              <w:rPr>
                <w:sz w:val="14"/>
              </w:rPr>
              <w:t>Griffith University</w:t>
            </w:r>
          </w:p>
          <w:p w14:paraId="782E6E25" w14:textId="77777777" w:rsidR="00776795" w:rsidRPr="000F4057" w:rsidRDefault="00776795" w:rsidP="00776795">
            <w:pPr>
              <w:pStyle w:val="ListNumber"/>
              <w:numPr>
                <w:ilvl w:val="0"/>
                <w:numId w:val="34"/>
              </w:numPr>
              <w:rPr>
                <w:sz w:val="14"/>
              </w:rPr>
            </w:pPr>
            <w:r w:rsidRPr="000F4057">
              <w:rPr>
                <w:sz w:val="14"/>
              </w:rPr>
              <w:t>James Cook University</w:t>
            </w:r>
          </w:p>
          <w:p w14:paraId="28446CE4" w14:textId="77777777" w:rsidR="00776795" w:rsidRPr="000F4057" w:rsidRDefault="00776795" w:rsidP="00776795">
            <w:pPr>
              <w:pStyle w:val="ListNumber"/>
              <w:numPr>
                <w:ilvl w:val="0"/>
                <w:numId w:val="34"/>
              </w:numPr>
              <w:rPr>
                <w:sz w:val="14"/>
              </w:rPr>
            </w:pPr>
            <w:r w:rsidRPr="000F4057">
              <w:rPr>
                <w:sz w:val="14"/>
              </w:rPr>
              <w:t>Monash University</w:t>
            </w:r>
          </w:p>
          <w:p w14:paraId="641237F9" w14:textId="77777777" w:rsidR="00776795" w:rsidRPr="000F4057" w:rsidRDefault="00776795" w:rsidP="00776795">
            <w:pPr>
              <w:pStyle w:val="ListNumber"/>
              <w:numPr>
                <w:ilvl w:val="0"/>
                <w:numId w:val="34"/>
              </w:numPr>
              <w:rPr>
                <w:sz w:val="14"/>
              </w:rPr>
            </w:pPr>
            <w:r w:rsidRPr="000F4057">
              <w:rPr>
                <w:sz w:val="14"/>
              </w:rPr>
              <w:t>Queensland University of Technology</w:t>
            </w:r>
          </w:p>
          <w:p w14:paraId="29FA40CC" w14:textId="77777777" w:rsidR="00776795" w:rsidRPr="000F4057" w:rsidRDefault="00776795" w:rsidP="00776795">
            <w:pPr>
              <w:pStyle w:val="ListNumber"/>
              <w:numPr>
                <w:ilvl w:val="0"/>
                <w:numId w:val="34"/>
              </w:numPr>
              <w:rPr>
                <w:sz w:val="14"/>
              </w:rPr>
            </w:pPr>
            <w:r w:rsidRPr="000F4057">
              <w:rPr>
                <w:sz w:val="14"/>
              </w:rPr>
              <w:t>Southern Cross University</w:t>
            </w:r>
          </w:p>
          <w:p w14:paraId="009496D3" w14:textId="77777777" w:rsidR="00776795" w:rsidRPr="000F4057" w:rsidRDefault="00776795" w:rsidP="00776795">
            <w:pPr>
              <w:pStyle w:val="ListNumber"/>
              <w:numPr>
                <w:ilvl w:val="0"/>
                <w:numId w:val="34"/>
              </w:numPr>
              <w:rPr>
                <w:sz w:val="14"/>
              </w:rPr>
            </w:pPr>
            <w:r w:rsidRPr="000F4057">
              <w:rPr>
                <w:sz w:val="14"/>
              </w:rPr>
              <w:t>The University of Melbourne</w:t>
            </w:r>
          </w:p>
          <w:p w14:paraId="5F6ABF6B" w14:textId="77777777" w:rsidR="00776795" w:rsidRPr="000F4057" w:rsidRDefault="00776795" w:rsidP="00776795">
            <w:pPr>
              <w:pStyle w:val="ListNumber"/>
              <w:numPr>
                <w:ilvl w:val="0"/>
                <w:numId w:val="34"/>
              </w:numPr>
              <w:rPr>
                <w:sz w:val="14"/>
              </w:rPr>
            </w:pPr>
            <w:r w:rsidRPr="000F4057">
              <w:rPr>
                <w:sz w:val="14"/>
              </w:rPr>
              <w:t>The University of New England</w:t>
            </w:r>
          </w:p>
          <w:p w14:paraId="1D3E5081" w14:textId="77777777" w:rsidR="00776795" w:rsidRPr="000F4057" w:rsidRDefault="00776795" w:rsidP="00776795">
            <w:pPr>
              <w:pStyle w:val="ListNumber"/>
              <w:numPr>
                <w:ilvl w:val="0"/>
                <w:numId w:val="34"/>
              </w:numPr>
              <w:rPr>
                <w:sz w:val="14"/>
              </w:rPr>
            </w:pPr>
            <w:r w:rsidRPr="000F4057">
              <w:rPr>
                <w:sz w:val="14"/>
              </w:rPr>
              <w:t>The University of Newcastle</w:t>
            </w:r>
          </w:p>
          <w:p w14:paraId="7AA321A0" w14:textId="77777777" w:rsidR="00776795" w:rsidRPr="000F4057" w:rsidRDefault="00776795" w:rsidP="00776795">
            <w:pPr>
              <w:pStyle w:val="ListNumber"/>
              <w:numPr>
                <w:ilvl w:val="0"/>
                <w:numId w:val="34"/>
              </w:numPr>
              <w:rPr>
                <w:sz w:val="14"/>
              </w:rPr>
            </w:pPr>
            <w:r w:rsidRPr="000F4057">
              <w:rPr>
                <w:sz w:val="14"/>
              </w:rPr>
              <w:t>The University of Queensland</w:t>
            </w:r>
          </w:p>
          <w:p w14:paraId="5F4E033D" w14:textId="77777777" w:rsidR="00776795" w:rsidRPr="000F4057" w:rsidRDefault="00776795" w:rsidP="00776795">
            <w:pPr>
              <w:pStyle w:val="ListNumber"/>
              <w:numPr>
                <w:ilvl w:val="0"/>
                <w:numId w:val="34"/>
              </w:numPr>
              <w:rPr>
                <w:sz w:val="14"/>
              </w:rPr>
            </w:pPr>
            <w:r w:rsidRPr="000F4057">
              <w:rPr>
                <w:sz w:val="14"/>
              </w:rPr>
              <w:t>The University of Wollongong</w:t>
            </w:r>
          </w:p>
          <w:p w14:paraId="4EDF2EC6" w14:textId="77777777" w:rsidR="00776795" w:rsidRPr="000F4057" w:rsidRDefault="00776795" w:rsidP="00776795">
            <w:pPr>
              <w:pStyle w:val="ListNumber"/>
              <w:numPr>
                <w:ilvl w:val="0"/>
                <w:numId w:val="34"/>
              </w:numPr>
              <w:rPr>
                <w:sz w:val="14"/>
              </w:rPr>
            </w:pPr>
            <w:r w:rsidRPr="000F4057">
              <w:rPr>
                <w:sz w:val="14"/>
              </w:rPr>
              <w:t>University of Southern Queensland</w:t>
            </w:r>
          </w:p>
          <w:p w14:paraId="6312462F" w14:textId="77777777" w:rsidR="00776795" w:rsidRPr="000F4057" w:rsidRDefault="00776795" w:rsidP="00776795">
            <w:pPr>
              <w:pStyle w:val="ListNumber"/>
              <w:numPr>
                <w:ilvl w:val="0"/>
                <w:numId w:val="34"/>
              </w:numPr>
              <w:rPr>
                <w:sz w:val="14"/>
              </w:rPr>
            </w:pPr>
            <w:r w:rsidRPr="000F4057">
              <w:rPr>
                <w:sz w:val="14"/>
              </w:rPr>
              <w:t>University of Sydney</w:t>
            </w:r>
          </w:p>
          <w:p w14:paraId="4F1B5443" w14:textId="77777777" w:rsidR="00776795" w:rsidRPr="000F4057" w:rsidRDefault="00776795" w:rsidP="00776795">
            <w:pPr>
              <w:pStyle w:val="ListNumber"/>
              <w:numPr>
                <w:ilvl w:val="0"/>
                <w:numId w:val="34"/>
              </w:numPr>
              <w:rPr>
                <w:sz w:val="14"/>
              </w:rPr>
            </w:pPr>
            <w:r w:rsidRPr="000F4057">
              <w:rPr>
                <w:sz w:val="14"/>
              </w:rPr>
              <w:t>University of the Sunshine Coast</w:t>
            </w:r>
          </w:p>
          <w:p w14:paraId="667C6A5A" w14:textId="77777777" w:rsidR="00776795" w:rsidRPr="004A02CF" w:rsidRDefault="00776795" w:rsidP="00776795">
            <w:pPr>
              <w:pStyle w:val="ListNumber"/>
              <w:numPr>
                <w:ilvl w:val="0"/>
                <w:numId w:val="34"/>
              </w:numPr>
            </w:pPr>
            <w:r w:rsidRPr="000F4057">
              <w:rPr>
                <w:sz w:val="14"/>
              </w:rPr>
              <w:t>Victoria University</w:t>
            </w:r>
          </w:p>
        </w:tc>
        <w:tc>
          <w:tcPr>
            <w:tcW w:w="2445" w:type="dxa"/>
          </w:tcPr>
          <w:p w14:paraId="4E08DAA2" w14:textId="77777777" w:rsidR="00776795" w:rsidRPr="000F4057" w:rsidRDefault="00776795" w:rsidP="00776795">
            <w:pPr>
              <w:pStyle w:val="ListNumber"/>
              <w:numPr>
                <w:ilvl w:val="0"/>
                <w:numId w:val="34"/>
              </w:numPr>
              <w:ind w:right="143"/>
              <w:rPr>
                <w:sz w:val="14"/>
              </w:rPr>
            </w:pPr>
            <w:r w:rsidRPr="000F4057">
              <w:rPr>
                <w:sz w:val="14"/>
              </w:rPr>
              <w:t>Charles Darwin University</w:t>
            </w:r>
          </w:p>
          <w:p w14:paraId="44B84DD2" w14:textId="28AC8E02" w:rsidR="00776795" w:rsidRPr="000F4057" w:rsidRDefault="00C5750A" w:rsidP="00776795">
            <w:pPr>
              <w:pStyle w:val="ListNumber"/>
              <w:numPr>
                <w:ilvl w:val="0"/>
                <w:numId w:val="34"/>
              </w:numPr>
              <w:ind w:right="143"/>
              <w:rPr>
                <w:sz w:val="14"/>
              </w:rPr>
            </w:pPr>
            <w:r>
              <w:rPr>
                <w:sz w:val="14"/>
              </w:rPr>
              <w:t>Curtin University</w:t>
            </w:r>
          </w:p>
          <w:p w14:paraId="6D8E4A60" w14:textId="77777777" w:rsidR="00776795" w:rsidRPr="000F4057" w:rsidRDefault="00776795" w:rsidP="00776795">
            <w:pPr>
              <w:pStyle w:val="ListNumber"/>
              <w:numPr>
                <w:ilvl w:val="0"/>
                <w:numId w:val="34"/>
              </w:numPr>
              <w:ind w:right="143"/>
              <w:rPr>
                <w:sz w:val="14"/>
              </w:rPr>
            </w:pPr>
            <w:r w:rsidRPr="000F4057">
              <w:rPr>
                <w:sz w:val="14"/>
              </w:rPr>
              <w:t>Federation University Australia</w:t>
            </w:r>
          </w:p>
          <w:p w14:paraId="06C843F5" w14:textId="77777777" w:rsidR="00776795" w:rsidRPr="000F4057" w:rsidRDefault="00776795" w:rsidP="00776795">
            <w:pPr>
              <w:pStyle w:val="ListNumber"/>
              <w:numPr>
                <w:ilvl w:val="0"/>
                <w:numId w:val="34"/>
              </w:numPr>
              <w:ind w:right="143"/>
              <w:rPr>
                <w:sz w:val="14"/>
              </w:rPr>
            </w:pPr>
            <w:r w:rsidRPr="000F4057">
              <w:rPr>
                <w:sz w:val="14"/>
              </w:rPr>
              <w:t>Flinders University</w:t>
            </w:r>
          </w:p>
          <w:p w14:paraId="4BE3C3E0" w14:textId="77777777" w:rsidR="00776795" w:rsidRPr="000F4057" w:rsidRDefault="00776795" w:rsidP="00776795">
            <w:pPr>
              <w:pStyle w:val="ListNumber"/>
              <w:numPr>
                <w:ilvl w:val="0"/>
                <w:numId w:val="34"/>
              </w:numPr>
              <w:ind w:right="143"/>
              <w:rPr>
                <w:sz w:val="14"/>
              </w:rPr>
            </w:pPr>
            <w:r w:rsidRPr="000F4057">
              <w:rPr>
                <w:sz w:val="14"/>
              </w:rPr>
              <w:t>University of Canberra</w:t>
            </w:r>
          </w:p>
          <w:p w14:paraId="7BDE5937" w14:textId="77777777" w:rsidR="00776795" w:rsidRPr="000F4057" w:rsidRDefault="00776795" w:rsidP="00776795">
            <w:pPr>
              <w:pStyle w:val="ListNumber"/>
              <w:numPr>
                <w:ilvl w:val="0"/>
                <w:numId w:val="34"/>
              </w:numPr>
              <w:ind w:right="143"/>
              <w:rPr>
                <w:sz w:val="14"/>
              </w:rPr>
            </w:pPr>
            <w:r w:rsidRPr="000F4057">
              <w:rPr>
                <w:sz w:val="14"/>
              </w:rPr>
              <w:t>University of South Australia</w:t>
            </w:r>
          </w:p>
          <w:p w14:paraId="1C1181F4" w14:textId="77777777" w:rsidR="00776795" w:rsidRPr="000F4057" w:rsidRDefault="00776795" w:rsidP="00776795">
            <w:pPr>
              <w:pStyle w:val="ListNumber"/>
              <w:numPr>
                <w:ilvl w:val="0"/>
                <w:numId w:val="34"/>
              </w:numPr>
              <w:ind w:right="143"/>
              <w:rPr>
                <w:sz w:val="14"/>
              </w:rPr>
            </w:pPr>
            <w:r w:rsidRPr="000F4057">
              <w:rPr>
                <w:sz w:val="14"/>
              </w:rPr>
              <w:t>University of Tasmania</w:t>
            </w:r>
          </w:p>
          <w:p w14:paraId="66B32190" w14:textId="77777777" w:rsidR="00776795" w:rsidRPr="000F4057" w:rsidRDefault="00776795" w:rsidP="00776795">
            <w:pPr>
              <w:pStyle w:val="ListNumber"/>
              <w:numPr>
                <w:ilvl w:val="0"/>
                <w:numId w:val="34"/>
              </w:numPr>
              <w:ind w:right="143"/>
              <w:rPr>
                <w:sz w:val="14"/>
              </w:rPr>
            </w:pPr>
            <w:r w:rsidRPr="000F4057">
              <w:rPr>
                <w:sz w:val="14"/>
              </w:rPr>
              <w:t>The University of Western Australia</w:t>
            </w:r>
          </w:p>
        </w:tc>
        <w:tc>
          <w:tcPr>
            <w:tcW w:w="2445" w:type="dxa"/>
          </w:tcPr>
          <w:p w14:paraId="011B8CCC" w14:textId="77777777" w:rsidR="00776795" w:rsidRPr="000F4057" w:rsidRDefault="00776795" w:rsidP="00776795">
            <w:pPr>
              <w:pStyle w:val="ListNumber"/>
              <w:numPr>
                <w:ilvl w:val="0"/>
                <w:numId w:val="34"/>
              </w:numPr>
              <w:rPr>
                <w:sz w:val="14"/>
              </w:rPr>
            </w:pPr>
            <w:r w:rsidRPr="000F4057">
              <w:rPr>
                <w:sz w:val="14"/>
              </w:rPr>
              <w:t>Central Queensland University</w:t>
            </w:r>
          </w:p>
          <w:p w14:paraId="18F52EC6" w14:textId="77777777" w:rsidR="00776795" w:rsidRPr="000F4057" w:rsidRDefault="00776795" w:rsidP="00776795">
            <w:pPr>
              <w:pStyle w:val="ListNumber"/>
              <w:numPr>
                <w:ilvl w:val="0"/>
                <w:numId w:val="34"/>
              </w:numPr>
              <w:rPr>
                <w:sz w:val="14"/>
              </w:rPr>
            </w:pPr>
            <w:r w:rsidRPr="000F4057">
              <w:rPr>
                <w:sz w:val="14"/>
              </w:rPr>
              <w:t>Edith Cowan University</w:t>
            </w:r>
          </w:p>
          <w:p w14:paraId="11103268" w14:textId="77777777" w:rsidR="00776795" w:rsidRPr="000F4057" w:rsidRDefault="00776795" w:rsidP="00776795">
            <w:pPr>
              <w:pStyle w:val="ListNumber"/>
              <w:numPr>
                <w:ilvl w:val="0"/>
                <w:numId w:val="34"/>
              </w:numPr>
              <w:rPr>
                <w:sz w:val="14"/>
              </w:rPr>
            </w:pPr>
            <w:r w:rsidRPr="000F4057">
              <w:rPr>
                <w:sz w:val="14"/>
              </w:rPr>
              <w:t>Murdoch University</w:t>
            </w:r>
          </w:p>
          <w:p w14:paraId="356A81E8" w14:textId="77777777" w:rsidR="00776795" w:rsidRPr="000F4057" w:rsidRDefault="00776795" w:rsidP="00776795">
            <w:pPr>
              <w:pStyle w:val="ListNumber"/>
              <w:numPr>
                <w:ilvl w:val="0"/>
                <w:numId w:val="34"/>
              </w:numPr>
              <w:rPr>
                <w:sz w:val="14"/>
              </w:rPr>
            </w:pPr>
            <w:r w:rsidRPr="000F4057">
              <w:rPr>
                <w:sz w:val="14"/>
              </w:rPr>
              <w:t>RMIT University</w:t>
            </w:r>
          </w:p>
          <w:p w14:paraId="5206735D" w14:textId="77777777" w:rsidR="00776795" w:rsidRPr="000F4057" w:rsidRDefault="00776795" w:rsidP="00776795">
            <w:pPr>
              <w:pStyle w:val="ListNumber"/>
              <w:numPr>
                <w:ilvl w:val="0"/>
                <w:numId w:val="34"/>
              </w:numPr>
              <w:rPr>
                <w:sz w:val="14"/>
              </w:rPr>
            </w:pPr>
            <w:r w:rsidRPr="000F4057">
              <w:rPr>
                <w:sz w:val="14"/>
              </w:rPr>
              <w:t>Swinburne University of Technology</w:t>
            </w:r>
          </w:p>
          <w:p w14:paraId="5C84A348" w14:textId="77777777" w:rsidR="00776795" w:rsidRPr="000F4057" w:rsidRDefault="00776795" w:rsidP="00776795">
            <w:pPr>
              <w:pStyle w:val="ListNumber"/>
              <w:numPr>
                <w:ilvl w:val="0"/>
                <w:numId w:val="34"/>
              </w:numPr>
              <w:rPr>
                <w:sz w:val="14"/>
              </w:rPr>
            </w:pPr>
            <w:r w:rsidRPr="000F4057">
              <w:rPr>
                <w:sz w:val="14"/>
              </w:rPr>
              <w:t>The Australian National University</w:t>
            </w:r>
          </w:p>
          <w:p w14:paraId="6778DB98" w14:textId="77777777" w:rsidR="00776795" w:rsidRPr="004A02CF" w:rsidRDefault="00776795" w:rsidP="00776795">
            <w:pPr>
              <w:pStyle w:val="ListNumber"/>
              <w:numPr>
                <w:ilvl w:val="0"/>
                <w:numId w:val="34"/>
              </w:numPr>
            </w:pPr>
            <w:r w:rsidRPr="000F4057">
              <w:rPr>
                <w:sz w:val="14"/>
              </w:rPr>
              <w:t>The University of Adelaide</w:t>
            </w:r>
          </w:p>
        </w:tc>
        <w:tc>
          <w:tcPr>
            <w:tcW w:w="2446" w:type="dxa"/>
          </w:tcPr>
          <w:p w14:paraId="228D3947" w14:textId="77777777" w:rsidR="00FE40A8" w:rsidRPr="000F4057" w:rsidRDefault="00FE40A8" w:rsidP="00FE40A8">
            <w:pPr>
              <w:pStyle w:val="ListNumber"/>
              <w:numPr>
                <w:ilvl w:val="0"/>
                <w:numId w:val="34"/>
              </w:numPr>
              <w:rPr>
                <w:sz w:val="14"/>
              </w:rPr>
            </w:pPr>
            <w:r w:rsidRPr="000F4057">
              <w:rPr>
                <w:sz w:val="14"/>
              </w:rPr>
              <w:t>La Trobe University</w:t>
            </w:r>
          </w:p>
          <w:p w14:paraId="1EDB1137" w14:textId="77777777" w:rsidR="00776795" w:rsidRPr="000F4057" w:rsidRDefault="00776795" w:rsidP="00776795">
            <w:pPr>
              <w:pStyle w:val="ListNumber"/>
              <w:numPr>
                <w:ilvl w:val="0"/>
                <w:numId w:val="34"/>
              </w:numPr>
              <w:rPr>
                <w:sz w:val="14"/>
              </w:rPr>
            </w:pPr>
            <w:r w:rsidRPr="000F4057">
              <w:rPr>
                <w:sz w:val="14"/>
              </w:rPr>
              <w:t>Macquarie University</w:t>
            </w:r>
          </w:p>
          <w:p w14:paraId="55303C34" w14:textId="77777777" w:rsidR="00776795" w:rsidRPr="000F4057" w:rsidRDefault="00776795" w:rsidP="00776795">
            <w:pPr>
              <w:pStyle w:val="ListNumber"/>
              <w:numPr>
                <w:ilvl w:val="0"/>
                <w:numId w:val="34"/>
              </w:numPr>
              <w:rPr>
                <w:sz w:val="14"/>
              </w:rPr>
            </w:pPr>
            <w:r w:rsidRPr="000F4057">
              <w:rPr>
                <w:sz w:val="14"/>
              </w:rPr>
              <w:t>The University of New South Wales</w:t>
            </w:r>
          </w:p>
          <w:p w14:paraId="36826CD6" w14:textId="77777777" w:rsidR="00776795" w:rsidRPr="000F4057" w:rsidRDefault="00776795" w:rsidP="00776795">
            <w:pPr>
              <w:pStyle w:val="ListNumber"/>
              <w:numPr>
                <w:ilvl w:val="0"/>
                <w:numId w:val="34"/>
              </w:numPr>
              <w:rPr>
                <w:sz w:val="14"/>
              </w:rPr>
            </w:pPr>
            <w:r w:rsidRPr="000F4057">
              <w:rPr>
                <w:sz w:val="14"/>
              </w:rPr>
              <w:t>University of Technology Sydney</w:t>
            </w:r>
          </w:p>
          <w:p w14:paraId="44960E55" w14:textId="77777777" w:rsidR="00776795" w:rsidRPr="000F4057" w:rsidRDefault="00776795" w:rsidP="00776795">
            <w:pPr>
              <w:pStyle w:val="ListNumber"/>
              <w:numPr>
                <w:ilvl w:val="0"/>
                <w:numId w:val="34"/>
              </w:numPr>
              <w:rPr>
                <w:sz w:val="14"/>
              </w:rPr>
            </w:pPr>
            <w:r w:rsidRPr="000F4057">
              <w:rPr>
                <w:sz w:val="14"/>
              </w:rPr>
              <w:t>Western Sydney University</w:t>
            </w:r>
          </w:p>
        </w:tc>
      </w:tr>
    </w:tbl>
    <w:p w14:paraId="516C3CB5" w14:textId="77777777" w:rsidR="00776795" w:rsidRDefault="00776795" w:rsidP="00776795"/>
    <w:p w14:paraId="4061D52E" w14:textId="6B7C5BD4" w:rsidR="00493F0C" w:rsidRDefault="00493F0C">
      <w:pPr>
        <w:spacing w:after="0"/>
      </w:pPr>
      <w:r>
        <w:br w:type="page"/>
      </w:r>
    </w:p>
    <w:p w14:paraId="6A913FA9" w14:textId="77777777" w:rsidR="00776795" w:rsidRDefault="00776795" w:rsidP="00776795">
      <w:pPr>
        <w:pStyle w:val="CaptionTable"/>
      </w:pPr>
      <w:bookmarkStart w:id="156" w:name="_Toc534713862"/>
      <w:bookmarkStart w:id="157" w:name="_Toc534713863"/>
      <w:bookmarkStart w:id="158" w:name="_Toc534713864"/>
      <w:bookmarkStart w:id="159" w:name="_Toc534713865"/>
      <w:bookmarkStart w:id="160" w:name="_Toc534713866"/>
      <w:bookmarkStart w:id="161" w:name="_Toc534713867"/>
      <w:bookmarkStart w:id="162" w:name="_Toc534713868"/>
      <w:bookmarkStart w:id="163" w:name="_Toc534713869"/>
      <w:bookmarkStart w:id="164" w:name="_Toc534713870"/>
      <w:bookmarkStart w:id="165" w:name="_Toc534713871"/>
      <w:bookmarkStart w:id="166" w:name="_Toc533173866"/>
      <w:bookmarkStart w:id="167" w:name="_Toc533173867"/>
      <w:bookmarkStart w:id="168" w:name="_Toc532209775"/>
      <w:bookmarkStart w:id="169" w:name="_Toc532245565"/>
      <w:bookmarkStart w:id="170" w:name="_Toc532376094"/>
      <w:bookmarkStart w:id="171" w:name="_Toc532209776"/>
      <w:bookmarkStart w:id="172" w:name="_Toc532245566"/>
      <w:bookmarkStart w:id="173" w:name="_Toc532376095"/>
      <w:bookmarkStart w:id="174" w:name="_Toc532209777"/>
      <w:bookmarkStart w:id="175" w:name="_Toc532245567"/>
      <w:bookmarkStart w:id="176" w:name="_Toc532376096"/>
      <w:bookmarkStart w:id="177" w:name="_Ref534705733"/>
      <w:bookmarkStart w:id="178" w:name="_Ref534705742"/>
      <w:bookmarkStart w:id="179" w:name="_Toc534713872"/>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r>
        <w:lastRenderedPageBreak/>
        <w:t>: Proportion of population captured by key university characteristics</w:t>
      </w:r>
      <w:bookmarkEnd w:id="177"/>
      <w:bookmarkEnd w:id="178"/>
      <w:bookmarkEnd w:id="179"/>
      <w:r>
        <w:t xml:space="preserve"> </w:t>
      </w:r>
    </w:p>
    <w:tbl>
      <w:tblPr>
        <w:tblStyle w:val="Deloittetable"/>
        <w:tblW w:w="9498" w:type="dxa"/>
        <w:tblLayout w:type="fixed"/>
        <w:tblLook w:val="04A0" w:firstRow="1" w:lastRow="0" w:firstColumn="1" w:lastColumn="0" w:noHBand="0" w:noVBand="1"/>
      </w:tblPr>
      <w:tblGrid>
        <w:gridCol w:w="1985"/>
        <w:gridCol w:w="1338"/>
        <w:gridCol w:w="1462"/>
        <w:gridCol w:w="1559"/>
        <w:gridCol w:w="1560"/>
        <w:gridCol w:w="1594"/>
      </w:tblGrid>
      <w:tr w:rsidR="00776795" w:rsidRPr="000938A3" w14:paraId="558FE535" w14:textId="77777777" w:rsidTr="00776795">
        <w:trPr>
          <w:cnfStyle w:val="100000000000" w:firstRow="1" w:lastRow="0" w:firstColumn="0" w:lastColumn="0" w:oddVBand="0" w:evenVBand="0" w:oddHBand="0" w:evenHBand="0" w:firstRowFirstColumn="0" w:firstRowLastColumn="0" w:lastRowFirstColumn="0" w:lastRowLastColumn="0"/>
          <w:trHeight w:val="540"/>
        </w:trPr>
        <w:tc>
          <w:tcPr>
            <w:tcW w:w="1985" w:type="dxa"/>
            <w:hideMark/>
          </w:tcPr>
          <w:p w14:paraId="614413AE" w14:textId="77777777" w:rsidR="00776795" w:rsidRPr="00E91083" w:rsidRDefault="00776795" w:rsidP="00776795">
            <w:pPr>
              <w:spacing w:after="0" w:line="240" w:lineRule="auto"/>
              <w:rPr>
                <w:rFonts w:asciiTheme="majorHAnsi" w:eastAsia="Times New Roman" w:hAnsiTheme="majorHAnsi" w:cs="Arial"/>
                <w:color w:val="000000"/>
                <w:sz w:val="16"/>
                <w:szCs w:val="16"/>
                <w:lang w:eastAsia="en-AU"/>
              </w:rPr>
            </w:pPr>
          </w:p>
        </w:tc>
        <w:tc>
          <w:tcPr>
            <w:tcW w:w="1338" w:type="dxa"/>
            <w:hideMark/>
          </w:tcPr>
          <w:p w14:paraId="0BB3D986" w14:textId="77777777" w:rsidR="00776795" w:rsidRPr="00E91083" w:rsidRDefault="00776795" w:rsidP="00776795">
            <w:pPr>
              <w:spacing w:after="0" w:line="240" w:lineRule="auto"/>
              <w:ind w:right="57"/>
              <w:jc w:val="right"/>
              <w:rPr>
                <w:rFonts w:asciiTheme="majorHAnsi" w:eastAsia="Times New Roman" w:hAnsiTheme="majorHAnsi" w:cs="Arial"/>
                <w:b/>
                <w:sz w:val="16"/>
                <w:szCs w:val="16"/>
                <w:lang w:eastAsia="en-AU"/>
              </w:rPr>
            </w:pPr>
            <w:r>
              <w:rPr>
                <w:rFonts w:asciiTheme="majorHAnsi" w:eastAsia="Times New Roman" w:hAnsiTheme="majorHAnsi" w:cs="Arial"/>
                <w:b/>
                <w:sz w:val="16"/>
                <w:szCs w:val="16"/>
                <w:lang w:eastAsia="en-AU"/>
              </w:rPr>
              <w:t>2016</w:t>
            </w:r>
            <w:r w:rsidRPr="00E91083">
              <w:rPr>
                <w:rFonts w:asciiTheme="majorHAnsi" w:eastAsia="Times New Roman" w:hAnsiTheme="majorHAnsi" w:cs="Arial"/>
                <w:b/>
                <w:sz w:val="16"/>
                <w:szCs w:val="16"/>
                <w:lang w:eastAsia="en-AU"/>
              </w:rPr>
              <w:t xml:space="preserve"> study (17)</w:t>
            </w:r>
          </w:p>
        </w:tc>
        <w:tc>
          <w:tcPr>
            <w:tcW w:w="1462" w:type="dxa"/>
            <w:hideMark/>
          </w:tcPr>
          <w:p w14:paraId="0DAC9EF5" w14:textId="77777777" w:rsidR="00776795" w:rsidRPr="00E91083" w:rsidRDefault="00776795" w:rsidP="00776795">
            <w:pPr>
              <w:spacing w:after="0" w:line="240" w:lineRule="auto"/>
              <w:jc w:val="right"/>
              <w:rPr>
                <w:rFonts w:asciiTheme="majorHAnsi" w:eastAsia="Times New Roman" w:hAnsiTheme="majorHAnsi" w:cs="Arial"/>
                <w:b/>
                <w:sz w:val="16"/>
                <w:szCs w:val="16"/>
                <w:lang w:eastAsia="en-AU"/>
              </w:rPr>
            </w:pPr>
            <w:r w:rsidRPr="00E91083">
              <w:rPr>
                <w:rFonts w:asciiTheme="majorHAnsi" w:eastAsia="Times New Roman" w:hAnsiTheme="majorHAnsi" w:cs="Arial"/>
                <w:b/>
                <w:sz w:val="16"/>
                <w:szCs w:val="16"/>
                <w:lang w:eastAsia="en-AU"/>
              </w:rPr>
              <w:t>2018 sample  (25)</w:t>
            </w:r>
          </w:p>
        </w:tc>
        <w:tc>
          <w:tcPr>
            <w:tcW w:w="1559" w:type="dxa"/>
            <w:hideMark/>
          </w:tcPr>
          <w:p w14:paraId="325AD61A" w14:textId="77777777" w:rsidR="00776795" w:rsidRPr="00E91083" w:rsidRDefault="00776795" w:rsidP="00776795">
            <w:pPr>
              <w:spacing w:after="0" w:line="240" w:lineRule="auto"/>
              <w:jc w:val="right"/>
              <w:rPr>
                <w:rFonts w:asciiTheme="majorHAnsi" w:eastAsia="Times New Roman" w:hAnsiTheme="majorHAnsi" w:cs="Arial"/>
                <w:b/>
                <w:sz w:val="16"/>
                <w:szCs w:val="16"/>
                <w:lang w:eastAsia="en-AU"/>
              </w:rPr>
            </w:pPr>
            <w:r w:rsidRPr="00E91083">
              <w:rPr>
                <w:rFonts w:asciiTheme="majorHAnsi" w:eastAsia="Times New Roman" w:hAnsiTheme="majorHAnsi" w:cs="Arial"/>
                <w:b/>
                <w:sz w:val="16"/>
                <w:szCs w:val="16"/>
                <w:lang w:eastAsia="en-AU"/>
              </w:rPr>
              <w:t>2019 sample (32)</w:t>
            </w:r>
          </w:p>
        </w:tc>
        <w:tc>
          <w:tcPr>
            <w:tcW w:w="1560" w:type="dxa"/>
            <w:hideMark/>
          </w:tcPr>
          <w:p w14:paraId="61D466A7" w14:textId="77777777" w:rsidR="00776795" w:rsidRPr="00E91083" w:rsidRDefault="00776795" w:rsidP="00776795">
            <w:pPr>
              <w:spacing w:after="0" w:line="240" w:lineRule="auto"/>
              <w:jc w:val="right"/>
              <w:rPr>
                <w:rFonts w:asciiTheme="majorHAnsi" w:eastAsia="Times New Roman" w:hAnsiTheme="majorHAnsi" w:cs="Arial"/>
                <w:b/>
                <w:sz w:val="16"/>
                <w:szCs w:val="16"/>
                <w:lang w:eastAsia="en-AU"/>
              </w:rPr>
            </w:pPr>
            <w:r w:rsidRPr="00E91083">
              <w:rPr>
                <w:rFonts w:asciiTheme="majorHAnsi" w:eastAsia="Times New Roman" w:hAnsiTheme="majorHAnsi" w:cs="Arial"/>
                <w:b/>
                <w:sz w:val="16"/>
                <w:szCs w:val="16"/>
                <w:lang w:eastAsia="en-AU"/>
              </w:rPr>
              <w:t>Total sample (37)</w:t>
            </w:r>
          </w:p>
        </w:tc>
        <w:tc>
          <w:tcPr>
            <w:tcW w:w="1594" w:type="dxa"/>
          </w:tcPr>
          <w:p w14:paraId="2C731240" w14:textId="77777777" w:rsidR="00776795" w:rsidRPr="000938A3" w:rsidRDefault="00776795" w:rsidP="00776795">
            <w:pPr>
              <w:spacing w:after="0" w:line="240" w:lineRule="auto"/>
              <w:jc w:val="right"/>
              <w:rPr>
                <w:rFonts w:asciiTheme="majorHAnsi" w:eastAsia="Times New Roman" w:hAnsiTheme="majorHAnsi" w:cs="Arial"/>
                <w:b/>
                <w:sz w:val="16"/>
                <w:szCs w:val="16"/>
                <w:lang w:eastAsia="en-AU"/>
              </w:rPr>
            </w:pPr>
            <w:r>
              <w:rPr>
                <w:rFonts w:asciiTheme="majorHAnsi" w:eastAsia="Times New Roman" w:hAnsiTheme="majorHAnsi" w:cs="Arial"/>
                <w:b/>
                <w:sz w:val="16"/>
                <w:szCs w:val="16"/>
                <w:lang w:eastAsia="en-AU"/>
              </w:rPr>
              <w:t>Total population count</w:t>
            </w:r>
          </w:p>
        </w:tc>
      </w:tr>
      <w:tr w:rsidR="00776795" w:rsidRPr="000938A3" w14:paraId="69E0617C" w14:textId="77777777" w:rsidTr="00776795">
        <w:trPr>
          <w:trHeight w:val="20"/>
        </w:trPr>
        <w:tc>
          <w:tcPr>
            <w:tcW w:w="1985" w:type="dxa"/>
            <w:noWrap/>
          </w:tcPr>
          <w:p w14:paraId="0C5918CB" w14:textId="77777777" w:rsidR="00776795" w:rsidRPr="00C7282A" w:rsidRDefault="00776795" w:rsidP="00776795">
            <w:pPr>
              <w:spacing w:after="0" w:line="240" w:lineRule="auto"/>
              <w:rPr>
                <w:rFonts w:asciiTheme="majorHAnsi" w:eastAsia="Times New Roman" w:hAnsiTheme="majorHAnsi" w:cs="Arial"/>
                <w:color w:val="000000"/>
                <w:sz w:val="16"/>
                <w:szCs w:val="16"/>
                <w:lang w:eastAsia="en-AU"/>
              </w:rPr>
            </w:pPr>
            <w:r w:rsidRPr="00C7282A">
              <w:rPr>
                <w:rFonts w:asciiTheme="majorHAnsi" w:eastAsia="Times New Roman" w:hAnsiTheme="majorHAnsi" w:cs="Arial"/>
                <w:color w:val="000000"/>
                <w:sz w:val="16"/>
                <w:szCs w:val="16"/>
                <w:lang w:eastAsia="en-AU"/>
              </w:rPr>
              <w:t>Regional</w:t>
            </w:r>
            <w:r>
              <w:rPr>
                <w:rStyle w:val="FootnoteReference"/>
                <w:rFonts w:asciiTheme="majorHAnsi" w:eastAsia="Times New Roman" w:hAnsiTheme="majorHAnsi" w:cs="Arial"/>
                <w:color w:val="000000"/>
                <w:sz w:val="16"/>
                <w:szCs w:val="16"/>
                <w:lang w:eastAsia="en-AU"/>
              </w:rPr>
              <w:footnoteReference w:id="11"/>
            </w:r>
            <w:r w:rsidRPr="00C7282A">
              <w:rPr>
                <w:rFonts w:asciiTheme="majorHAnsi" w:eastAsia="Times New Roman" w:hAnsiTheme="majorHAnsi" w:cs="Arial"/>
                <w:color w:val="000000"/>
                <w:sz w:val="16"/>
                <w:szCs w:val="16"/>
                <w:lang w:eastAsia="en-AU"/>
              </w:rPr>
              <w:t xml:space="preserve"> </w:t>
            </w:r>
          </w:p>
        </w:tc>
        <w:tc>
          <w:tcPr>
            <w:tcW w:w="1338" w:type="dxa"/>
            <w:noWrap/>
          </w:tcPr>
          <w:p w14:paraId="5118E4DC" w14:textId="77777777" w:rsidR="00776795" w:rsidRPr="00C7282A" w:rsidRDefault="004C2FB0" w:rsidP="00776795">
            <w:pPr>
              <w:spacing w:after="0"/>
              <w:jc w:val="right"/>
              <w:rPr>
                <w:rFonts w:asciiTheme="majorHAnsi" w:hAnsiTheme="majorHAnsi"/>
                <w:sz w:val="16"/>
                <w:szCs w:val="16"/>
              </w:rPr>
            </w:pPr>
            <w:r>
              <w:rPr>
                <w:rFonts w:asciiTheme="majorHAnsi" w:hAnsiTheme="majorHAnsi"/>
                <w:sz w:val="16"/>
                <w:szCs w:val="16"/>
              </w:rPr>
              <w:t>56</w:t>
            </w:r>
            <w:r w:rsidR="00776795" w:rsidRPr="00C7282A">
              <w:rPr>
                <w:rFonts w:asciiTheme="majorHAnsi" w:hAnsiTheme="majorHAnsi"/>
                <w:sz w:val="16"/>
                <w:szCs w:val="16"/>
              </w:rPr>
              <w:t>%</w:t>
            </w:r>
          </w:p>
        </w:tc>
        <w:tc>
          <w:tcPr>
            <w:tcW w:w="1462" w:type="dxa"/>
            <w:noWrap/>
          </w:tcPr>
          <w:p w14:paraId="43109FD7"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89%</w:t>
            </w:r>
          </w:p>
        </w:tc>
        <w:tc>
          <w:tcPr>
            <w:tcW w:w="1559" w:type="dxa"/>
            <w:noWrap/>
          </w:tcPr>
          <w:p w14:paraId="6FD0E5BA"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tcPr>
          <w:p w14:paraId="3C09FC9E"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662D108A" w14:textId="77777777" w:rsidR="00776795" w:rsidRPr="00C7282A" w:rsidRDefault="00776795" w:rsidP="00776795">
            <w:pPr>
              <w:spacing w:after="0"/>
              <w:ind w:right="290"/>
              <w:jc w:val="right"/>
              <w:rPr>
                <w:rFonts w:asciiTheme="majorHAnsi" w:eastAsia="Times New Roman" w:hAnsiTheme="majorHAnsi" w:cs="Arial"/>
                <w:color w:val="000000"/>
                <w:sz w:val="16"/>
                <w:lang w:eastAsia="en-AU"/>
              </w:rPr>
            </w:pPr>
            <w:r w:rsidRPr="00C7282A">
              <w:rPr>
                <w:rFonts w:asciiTheme="majorHAnsi" w:eastAsia="Times New Roman" w:hAnsiTheme="majorHAnsi" w:cs="Arial"/>
                <w:color w:val="000000"/>
                <w:sz w:val="16"/>
                <w:lang w:eastAsia="en-AU"/>
              </w:rPr>
              <w:t>9</w:t>
            </w:r>
          </w:p>
        </w:tc>
      </w:tr>
      <w:tr w:rsidR="00776795" w:rsidRPr="000938A3" w14:paraId="3B53B8B8" w14:textId="77777777" w:rsidTr="00776795">
        <w:trPr>
          <w:trHeight w:val="20"/>
        </w:trPr>
        <w:tc>
          <w:tcPr>
            <w:tcW w:w="1985" w:type="dxa"/>
            <w:noWrap/>
            <w:hideMark/>
          </w:tcPr>
          <w:p w14:paraId="6008CCB4" w14:textId="77777777" w:rsidR="00776795" w:rsidRPr="00C7282A" w:rsidRDefault="00776795" w:rsidP="00776795">
            <w:pPr>
              <w:spacing w:after="0" w:line="240" w:lineRule="auto"/>
              <w:rPr>
                <w:rFonts w:asciiTheme="majorHAnsi" w:eastAsia="Times New Roman" w:hAnsiTheme="majorHAnsi" w:cs="Arial"/>
                <w:color w:val="000000"/>
                <w:sz w:val="16"/>
                <w:szCs w:val="16"/>
                <w:lang w:eastAsia="en-AU"/>
              </w:rPr>
            </w:pPr>
            <w:r w:rsidRPr="00C7282A">
              <w:rPr>
                <w:rFonts w:asciiTheme="majorHAnsi" w:eastAsia="Times New Roman" w:hAnsiTheme="majorHAnsi" w:cs="Arial"/>
                <w:color w:val="000000"/>
                <w:sz w:val="16"/>
                <w:szCs w:val="16"/>
                <w:lang w:eastAsia="en-AU"/>
              </w:rPr>
              <w:t>Dual sector</w:t>
            </w:r>
            <w:r>
              <w:rPr>
                <w:rStyle w:val="FootnoteReference"/>
                <w:rFonts w:asciiTheme="majorHAnsi" w:eastAsia="Times New Roman" w:hAnsiTheme="majorHAnsi" w:cs="Arial"/>
                <w:color w:val="000000"/>
                <w:sz w:val="16"/>
                <w:szCs w:val="16"/>
                <w:lang w:eastAsia="en-AU"/>
              </w:rPr>
              <w:footnoteReference w:id="12"/>
            </w:r>
          </w:p>
        </w:tc>
        <w:tc>
          <w:tcPr>
            <w:tcW w:w="1338" w:type="dxa"/>
            <w:noWrap/>
            <w:hideMark/>
          </w:tcPr>
          <w:p w14:paraId="4CA1FC7E" w14:textId="77777777" w:rsidR="00776795" w:rsidRPr="00C7282A" w:rsidRDefault="008A3662" w:rsidP="00776795">
            <w:pPr>
              <w:spacing w:after="0"/>
              <w:jc w:val="right"/>
              <w:rPr>
                <w:rFonts w:asciiTheme="majorHAnsi" w:hAnsiTheme="majorHAnsi"/>
                <w:sz w:val="16"/>
                <w:szCs w:val="16"/>
              </w:rPr>
            </w:pPr>
            <w:r>
              <w:rPr>
                <w:rFonts w:asciiTheme="majorHAnsi" w:hAnsiTheme="majorHAnsi"/>
                <w:sz w:val="16"/>
                <w:szCs w:val="16"/>
              </w:rPr>
              <w:t>17</w:t>
            </w:r>
            <w:r w:rsidR="00776795" w:rsidRPr="00C7282A">
              <w:rPr>
                <w:rFonts w:asciiTheme="majorHAnsi" w:hAnsiTheme="majorHAnsi"/>
                <w:sz w:val="16"/>
                <w:szCs w:val="16"/>
              </w:rPr>
              <w:t>%</w:t>
            </w:r>
          </w:p>
        </w:tc>
        <w:tc>
          <w:tcPr>
            <w:tcW w:w="1462" w:type="dxa"/>
            <w:noWrap/>
            <w:hideMark/>
          </w:tcPr>
          <w:p w14:paraId="7D604536"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50%</w:t>
            </w:r>
          </w:p>
        </w:tc>
        <w:tc>
          <w:tcPr>
            <w:tcW w:w="1559" w:type="dxa"/>
            <w:noWrap/>
            <w:hideMark/>
          </w:tcPr>
          <w:p w14:paraId="714C27D8"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11A173CC"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79E402FE"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6</w:t>
            </w:r>
          </w:p>
        </w:tc>
      </w:tr>
      <w:tr w:rsidR="00776795" w:rsidRPr="000938A3" w14:paraId="52F1D919" w14:textId="77777777" w:rsidTr="00776795">
        <w:trPr>
          <w:trHeight w:val="20"/>
        </w:trPr>
        <w:tc>
          <w:tcPr>
            <w:tcW w:w="1985" w:type="dxa"/>
            <w:noWrap/>
            <w:hideMark/>
          </w:tcPr>
          <w:p w14:paraId="15E23ACC" w14:textId="77777777" w:rsidR="00776795" w:rsidRPr="00C7282A" w:rsidRDefault="00776795" w:rsidP="00776795">
            <w:pPr>
              <w:spacing w:after="0" w:line="240" w:lineRule="auto"/>
              <w:rPr>
                <w:rFonts w:asciiTheme="majorHAnsi" w:eastAsia="Times New Roman" w:hAnsiTheme="majorHAnsi" w:cs="Arial"/>
                <w:color w:val="000000"/>
                <w:sz w:val="16"/>
                <w:szCs w:val="16"/>
                <w:lang w:eastAsia="en-AU"/>
              </w:rPr>
            </w:pPr>
            <w:r w:rsidRPr="00C7282A">
              <w:rPr>
                <w:rFonts w:asciiTheme="majorHAnsi" w:eastAsia="Times New Roman" w:hAnsiTheme="majorHAnsi" w:cs="Arial"/>
                <w:color w:val="000000"/>
                <w:sz w:val="16"/>
                <w:szCs w:val="16"/>
                <w:lang w:eastAsia="en-AU"/>
              </w:rPr>
              <w:t>Smaller size</w:t>
            </w:r>
          </w:p>
        </w:tc>
        <w:tc>
          <w:tcPr>
            <w:tcW w:w="1338" w:type="dxa"/>
            <w:noWrap/>
            <w:hideMark/>
          </w:tcPr>
          <w:p w14:paraId="22F65052"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33%</w:t>
            </w:r>
          </w:p>
        </w:tc>
        <w:tc>
          <w:tcPr>
            <w:tcW w:w="1462" w:type="dxa"/>
            <w:noWrap/>
            <w:hideMark/>
          </w:tcPr>
          <w:p w14:paraId="5E7413B5"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83%</w:t>
            </w:r>
          </w:p>
        </w:tc>
        <w:tc>
          <w:tcPr>
            <w:tcW w:w="1559" w:type="dxa"/>
            <w:noWrap/>
            <w:hideMark/>
          </w:tcPr>
          <w:p w14:paraId="2624F041"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7221BDDC"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137D8F5F"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6</w:t>
            </w:r>
          </w:p>
        </w:tc>
      </w:tr>
      <w:tr w:rsidR="00776795" w:rsidRPr="000938A3" w14:paraId="1C3EB563" w14:textId="77777777" w:rsidTr="00776795">
        <w:trPr>
          <w:trHeight w:val="20"/>
        </w:trPr>
        <w:tc>
          <w:tcPr>
            <w:tcW w:w="1985" w:type="dxa"/>
            <w:noWrap/>
            <w:hideMark/>
          </w:tcPr>
          <w:p w14:paraId="232266A8" w14:textId="77777777" w:rsidR="00776795" w:rsidRPr="00C7282A" w:rsidRDefault="00776795" w:rsidP="00776795">
            <w:pPr>
              <w:spacing w:after="0" w:line="240" w:lineRule="auto"/>
              <w:rPr>
                <w:rFonts w:asciiTheme="majorHAnsi" w:eastAsia="Times New Roman" w:hAnsiTheme="majorHAnsi" w:cs="Arial"/>
                <w:color w:val="000000"/>
                <w:sz w:val="16"/>
                <w:szCs w:val="16"/>
                <w:lang w:eastAsia="en-AU"/>
              </w:rPr>
            </w:pPr>
            <w:r w:rsidRPr="00C7282A">
              <w:rPr>
                <w:rFonts w:asciiTheme="majorHAnsi" w:eastAsia="Times New Roman" w:hAnsiTheme="majorHAnsi" w:cs="Arial"/>
                <w:color w:val="000000"/>
                <w:sz w:val="16"/>
                <w:szCs w:val="16"/>
                <w:lang w:eastAsia="en-AU"/>
              </w:rPr>
              <w:t xml:space="preserve">Affiliation </w:t>
            </w:r>
          </w:p>
        </w:tc>
        <w:tc>
          <w:tcPr>
            <w:tcW w:w="1338" w:type="dxa"/>
            <w:noWrap/>
            <w:hideMark/>
          </w:tcPr>
          <w:p w14:paraId="79C8F4F3" w14:textId="77777777" w:rsidR="00776795" w:rsidRPr="00C7282A" w:rsidRDefault="00776795" w:rsidP="00776795">
            <w:pPr>
              <w:spacing w:after="0"/>
              <w:jc w:val="right"/>
              <w:rPr>
                <w:rFonts w:asciiTheme="majorHAnsi" w:hAnsiTheme="majorHAnsi"/>
                <w:sz w:val="16"/>
                <w:szCs w:val="16"/>
              </w:rPr>
            </w:pPr>
          </w:p>
        </w:tc>
        <w:tc>
          <w:tcPr>
            <w:tcW w:w="1462" w:type="dxa"/>
            <w:noWrap/>
            <w:hideMark/>
          </w:tcPr>
          <w:p w14:paraId="2D69F7C7" w14:textId="77777777" w:rsidR="00776795" w:rsidRPr="00C7282A" w:rsidRDefault="00776795" w:rsidP="00776795">
            <w:pPr>
              <w:spacing w:after="0"/>
              <w:jc w:val="right"/>
              <w:rPr>
                <w:rFonts w:asciiTheme="majorHAnsi" w:hAnsiTheme="majorHAnsi"/>
                <w:sz w:val="16"/>
                <w:szCs w:val="16"/>
              </w:rPr>
            </w:pPr>
          </w:p>
        </w:tc>
        <w:tc>
          <w:tcPr>
            <w:tcW w:w="1559" w:type="dxa"/>
            <w:noWrap/>
            <w:hideMark/>
          </w:tcPr>
          <w:p w14:paraId="55535D8A" w14:textId="77777777" w:rsidR="00776795" w:rsidRPr="00C7282A" w:rsidRDefault="00776795" w:rsidP="00776795">
            <w:pPr>
              <w:spacing w:after="0"/>
              <w:jc w:val="right"/>
              <w:rPr>
                <w:rFonts w:asciiTheme="majorHAnsi" w:hAnsiTheme="majorHAnsi"/>
                <w:sz w:val="16"/>
                <w:szCs w:val="16"/>
              </w:rPr>
            </w:pPr>
          </w:p>
        </w:tc>
        <w:tc>
          <w:tcPr>
            <w:tcW w:w="1560" w:type="dxa"/>
            <w:noWrap/>
            <w:hideMark/>
          </w:tcPr>
          <w:p w14:paraId="7A386593" w14:textId="77777777" w:rsidR="00776795" w:rsidRPr="00C7282A" w:rsidRDefault="00776795" w:rsidP="00776795">
            <w:pPr>
              <w:spacing w:after="0"/>
              <w:jc w:val="right"/>
              <w:rPr>
                <w:rFonts w:asciiTheme="majorHAnsi" w:hAnsiTheme="majorHAnsi"/>
                <w:sz w:val="16"/>
                <w:szCs w:val="16"/>
              </w:rPr>
            </w:pPr>
          </w:p>
        </w:tc>
        <w:tc>
          <w:tcPr>
            <w:tcW w:w="1594" w:type="dxa"/>
          </w:tcPr>
          <w:p w14:paraId="609DAE90" w14:textId="77777777" w:rsidR="00776795" w:rsidRPr="00C7282A" w:rsidRDefault="00776795" w:rsidP="00776795">
            <w:pPr>
              <w:spacing w:after="0"/>
              <w:ind w:right="290"/>
              <w:jc w:val="right"/>
              <w:rPr>
                <w:rFonts w:asciiTheme="majorHAnsi" w:hAnsiTheme="majorHAnsi"/>
                <w:sz w:val="16"/>
                <w:szCs w:val="16"/>
              </w:rPr>
            </w:pPr>
          </w:p>
        </w:tc>
      </w:tr>
      <w:tr w:rsidR="00776795" w:rsidRPr="000938A3" w14:paraId="425109EB" w14:textId="77777777" w:rsidTr="00776795">
        <w:trPr>
          <w:trHeight w:val="20"/>
        </w:trPr>
        <w:tc>
          <w:tcPr>
            <w:tcW w:w="1985" w:type="dxa"/>
            <w:noWrap/>
            <w:hideMark/>
          </w:tcPr>
          <w:p w14:paraId="2CC16019"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Go8</w:t>
            </w:r>
          </w:p>
        </w:tc>
        <w:tc>
          <w:tcPr>
            <w:tcW w:w="1338" w:type="dxa"/>
            <w:noWrap/>
            <w:hideMark/>
          </w:tcPr>
          <w:p w14:paraId="11905D5A"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50%</w:t>
            </w:r>
          </w:p>
        </w:tc>
        <w:tc>
          <w:tcPr>
            <w:tcW w:w="1462" w:type="dxa"/>
            <w:noWrap/>
            <w:hideMark/>
          </w:tcPr>
          <w:p w14:paraId="6A59F6FF"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63%</w:t>
            </w:r>
          </w:p>
        </w:tc>
        <w:tc>
          <w:tcPr>
            <w:tcW w:w="1559" w:type="dxa"/>
            <w:noWrap/>
            <w:hideMark/>
          </w:tcPr>
          <w:p w14:paraId="18658269"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88%</w:t>
            </w:r>
          </w:p>
        </w:tc>
        <w:tc>
          <w:tcPr>
            <w:tcW w:w="1560" w:type="dxa"/>
            <w:noWrap/>
            <w:hideMark/>
          </w:tcPr>
          <w:p w14:paraId="0948AD98"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44386394"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8</w:t>
            </w:r>
          </w:p>
        </w:tc>
      </w:tr>
      <w:tr w:rsidR="00776795" w:rsidRPr="000938A3" w14:paraId="0C75982A" w14:textId="77777777" w:rsidTr="00776795">
        <w:trPr>
          <w:trHeight w:val="20"/>
        </w:trPr>
        <w:tc>
          <w:tcPr>
            <w:tcW w:w="1985" w:type="dxa"/>
            <w:noWrap/>
            <w:hideMark/>
          </w:tcPr>
          <w:p w14:paraId="39F65E74"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IRU</w:t>
            </w:r>
          </w:p>
        </w:tc>
        <w:tc>
          <w:tcPr>
            <w:tcW w:w="1338" w:type="dxa"/>
            <w:noWrap/>
            <w:hideMark/>
          </w:tcPr>
          <w:p w14:paraId="3B925910"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29</w:t>
            </w:r>
            <w:r w:rsidRPr="00C7282A">
              <w:rPr>
                <w:rFonts w:asciiTheme="majorHAnsi" w:hAnsiTheme="majorHAnsi"/>
                <w:sz w:val="16"/>
                <w:szCs w:val="16"/>
              </w:rPr>
              <w:t>%</w:t>
            </w:r>
          </w:p>
        </w:tc>
        <w:tc>
          <w:tcPr>
            <w:tcW w:w="1462" w:type="dxa"/>
            <w:noWrap/>
            <w:hideMark/>
          </w:tcPr>
          <w:p w14:paraId="786F9B3E"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57</w:t>
            </w:r>
            <w:r w:rsidRPr="00C7282A">
              <w:rPr>
                <w:rFonts w:asciiTheme="majorHAnsi" w:hAnsiTheme="majorHAnsi"/>
                <w:sz w:val="16"/>
                <w:szCs w:val="16"/>
              </w:rPr>
              <w:t>%</w:t>
            </w:r>
          </w:p>
        </w:tc>
        <w:tc>
          <w:tcPr>
            <w:tcW w:w="1559" w:type="dxa"/>
            <w:noWrap/>
            <w:hideMark/>
          </w:tcPr>
          <w:p w14:paraId="6CA390F5"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71</w:t>
            </w:r>
            <w:r w:rsidRPr="00C7282A">
              <w:rPr>
                <w:rFonts w:asciiTheme="majorHAnsi" w:hAnsiTheme="majorHAnsi"/>
                <w:sz w:val="16"/>
                <w:szCs w:val="16"/>
              </w:rPr>
              <w:t>%</w:t>
            </w:r>
          </w:p>
        </w:tc>
        <w:tc>
          <w:tcPr>
            <w:tcW w:w="1560" w:type="dxa"/>
            <w:noWrap/>
            <w:hideMark/>
          </w:tcPr>
          <w:p w14:paraId="59FCF586"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5863EC85" w14:textId="77777777" w:rsidR="00776795" w:rsidRPr="00C7282A" w:rsidRDefault="00776795" w:rsidP="00776795">
            <w:pPr>
              <w:spacing w:after="0"/>
              <w:ind w:right="290"/>
              <w:jc w:val="right"/>
              <w:rPr>
                <w:rFonts w:asciiTheme="majorHAnsi" w:hAnsiTheme="majorHAnsi"/>
                <w:sz w:val="16"/>
                <w:szCs w:val="16"/>
              </w:rPr>
            </w:pPr>
            <w:r>
              <w:rPr>
                <w:rFonts w:asciiTheme="majorHAnsi" w:eastAsia="Times New Roman" w:hAnsiTheme="majorHAnsi" w:cs="Arial"/>
                <w:color w:val="000000"/>
                <w:sz w:val="16"/>
                <w:lang w:eastAsia="en-AU"/>
              </w:rPr>
              <w:t>7</w:t>
            </w:r>
          </w:p>
        </w:tc>
      </w:tr>
      <w:tr w:rsidR="00776795" w:rsidRPr="000938A3" w14:paraId="68B5B727" w14:textId="77777777" w:rsidTr="00776795">
        <w:trPr>
          <w:trHeight w:val="20"/>
        </w:trPr>
        <w:tc>
          <w:tcPr>
            <w:tcW w:w="1985" w:type="dxa"/>
            <w:noWrap/>
            <w:hideMark/>
          </w:tcPr>
          <w:p w14:paraId="165B41AD"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ATN</w:t>
            </w:r>
          </w:p>
        </w:tc>
        <w:tc>
          <w:tcPr>
            <w:tcW w:w="1338" w:type="dxa"/>
            <w:noWrap/>
            <w:hideMark/>
          </w:tcPr>
          <w:p w14:paraId="45F34916"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0%</w:t>
            </w:r>
          </w:p>
        </w:tc>
        <w:tc>
          <w:tcPr>
            <w:tcW w:w="1462" w:type="dxa"/>
            <w:noWrap/>
            <w:hideMark/>
          </w:tcPr>
          <w:p w14:paraId="2147B686"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50</w:t>
            </w:r>
            <w:r w:rsidRPr="00C7282A">
              <w:rPr>
                <w:rFonts w:asciiTheme="majorHAnsi" w:hAnsiTheme="majorHAnsi"/>
                <w:sz w:val="16"/>
                <w:szCs w:val="16"/>
              </w:rPr>
              <w:t>%</w:t>
            </w:r>
          </w:p>
        </w:tc>
        <w:tc>
          <w:tcPr>
            <w:tcW w:w="1559" w:type="dxa"/>
            <w:noWrap/>
            <w:hideMark/>
          </w:tcPr>
          <w:p w14:paraId="5731EAE0"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75</w:t>
            </w:r>
            <w:r w:rsidRPr="00C7282A">
              <w:rPr>
                <w:rFonts w:asciiTheme="majorHAnsi" w:hAnsiTheme="majorHAnsi"/>
                <w:sz w:val="16"/>
                <w:szCs w:val="16"/>
              </w:rPr>
              <w:t>%</w:t>
            </w:r>
          </w:p>
        </w:tc>
        <w:tc>
          <w:tcPr>
            <w:tcW w:w="1560" w:type="dxa"/>
            <w:noWrap/>
            <w:hideMark/>
          </w:tcPr>
          <w:p w14:paraId="310C760F"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4619D964" w14:textId="77777777" w:rsidR="00776795" w:rsidRPr="00C7282A" w:rsidRDefault="00776795" w:rsidP="00776795">
            <w:pPr>
              <w:spacing w:after="0"/>
              <w:ind w:right="290"/>
              <w:jc w:val="right"/>
              <w:rPr>
                <w:rFonts w:asciiTheme="majorHAnsi" w:hAnsiTheme="majorHAnsi"/>
                <w:sz w:val="16"/>
                <w:szCs w:val="16"/>
              </w:rPr>
            </w:pPr>
            <w:r>
              <w:rPr>
                <w:rFonts w:asciiTheme="majorHAnsi" w:eastAsia="Times New Roman" w:hAnsiTheme="majorHAnsi" w:cs="Arial"/>
                <w:color w:val="000000"/>
                <w:sz w:val="16"/>
                <w:lang w:eastAsia="en-AU"/>
              </w:rPr>
              <w:t>4</w:t>
            </w:r>
          </w:p>
        </w:tc>
      </w:tr>
      <w:tr w:rsidR="00776795" w:rsidRPr="000938A3" w14:paraId="513BFA85" w14:textId="77777777" w:rsidTr="00776795">
        <w:trPr>
          <w:trHeight w:val="20"/>
        </w:trPr>
        <w:tc>
          <w:tcPr>
            <w:tcW w:w="1985" w:type="dxa"/>
            <w:noWrap/>
            <w:hideMark/>
          </w:tcPr>
          <w:p w14:paraId="1E404D9A"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RUN</w:t>
            </w:r>
          </w:p>
        </w:tc>
        <w:tc>
          <w:tcPr>
            <w:tcW w:w="1338" w:type="dxa"/>
            <w:noWrap/>
            <w:hideMark/>
          </w:tcPr>
          <w:p w14:paraId="23EDDF25"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67%</w:t>
            </w:r>
          </w:p>
        </w:tc>
        <w:tc>
          <w:tcPr>
            <w:tcW w:w="1462" w:type="dxa"/>
            <w:noWrap/>
            <w:hideMark/>
          </w:tcPr>
          <w:p w14:paraId="77964BE1"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83%</w:t>
            </w:r>
          </w:p>
        </w:tc>
        <w:tc>
          <w:tcPr>
            <w:tcW w:w="1559" w:type="dxa"/>
            <w:noWrap/>
            <w:hideMark/>
          </w:tcPr>
          <w:p w14:paraId="5BE9F4D7"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3962D0EB"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1EF5A808"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6</w:t>
            </w:r>
          </w:p>
        </w:tc>
      </w:tr>
      <w:tr w:rsidR="00776795" w:rsidRPr="000938A3" w14:paraId="655666FC" w14:textId="77777777" w:rsidTr="00776795">
        <w:trPr>
          <w:trHeight w:val="20"/>
        </w:trPr>
        <w:tc>
          <w:tcPr>
            <w:tcW w:w="1985" w:type="dxa"/>
            <w:noWrap/>
            <w:hideMark/>
          </w:tcPr>
          <w:p w14:paraId="0506A254"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Nil</w:t>
            </w:r>
          </w:p>
        </w:tc>
        <w:tc>
          <w:tcPr>
            <w:tcW w:w="1338" w:type="dxa"/>
            <w:noWrap/>
            <w:hideMark/>
          </w:tcPr>
          <w:p w14:paraId="6A8E141B"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5</w:t>
            </w:r>
            <w:r>
              <w:rPr>
                <w:rFonts w:asciiTheme="majorHAnsi" w:hAnsiTheme="majorHAnsi"/>
                <w:sz w:val="16"/>
                <w:szCs w:val="16"/>
              </w:rPr>
              <w:t>8</w:t>
            </w:r>
            <w:r w:rsidRPr="00C7282A">
              <w:rPr>
                <w:rFonts w:asciiTheme="majorHAnsi" w:hAnsiTheme="majorHAnsi"/>
                <w:sz w:val="16"/>
                <w:szCs w:val="16"/>
              </w:rPr>
              <w:t>%</w:t>
            </w:r>
          </w:p>
        </w:tc>
        <w:tc>
          <w:tcPr>
            <w:tcW w:w="1462" w:type="dxa"/>
            <w:noWrap/>
            <w:hideMark/>
          </w:tcPr>
          <w:p w14:paraId="67A6345C"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75%</w:t>
            </w:r>
          </w:p>
        </w:tc>
        <w:tc>
          <w:tcPr>
            <w:tcW w:w="1559" w:type="dxa"/>
            <w:noWrap/>
            <w:hideMark/>
          </w:tcPr>
          <w:p w14:paraId="6E33A47B" w14:textId="77777777" w:rsidR="00776795" w:rsidRPr="00C7282A" w:rsidRDefault="00776795" w:rsidP="00776795">
            <w:pPr>
              <w:spacing w:after="0"/>
              <w:jc w:val="right"/>
              <w:rPr>
                <w:rFonts w:asciiTheme="majorHAnsi" w:hAnsiTheme="majorHAnsi"/>
                <w:sz w:val="16"/>
                <w:szCs w:val="16"/>
              </w:rPr>
            </w:pPr>
            <w:r>
              <w:rPr>
                <w:rFonts w:asciiTheme="majorHAnsi" w:hAnsiTheme="majorHAnsi"/>
                <w:sz w:val="16"/>
                <w:szCs w:val="16"/>
              </w:rPr>
              <w:t>92</w:t>
            </w:r>
            <w:r w:rsidRPr="00C7282A">
              <w:rPr>
                <w:rFonts w:asciiTheme="majorHAnsi" w:hAnsiTheme="majorHAnsi"/>
                <w:sz w:val="16"/>
                <w:szCs w:val="16"/>
              </w:rPr>
              <w:t>%</w:t>
            </w:r>
          </w:p>
        </w:tc>
        <w:tc>
          <w:tcPr>
            <w:tcW w:w="1560" w:type="dxa"/>
            <w:noWrap/>
            <w:hideMark/>
          </w:tcPr>
          <w:p w14:paraId="4E39F493"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206888D7"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1</w:t>
            </w:r>
            <w:r>
              <w:rPr>
                <w:rFonts w:asciiTheme="majorHAnsi" w:eastAsia="Times New Roman" w:hAnsiTheme="majorHAnsi" w:cs="Arial"/>
                <w:color w:val="000000"/>
                <w:sz w:val="16"/>
                <w:lang w:eastAsia="en-AU"/>
              </w:rPr>
              <w:t>2</w:t>
            </w:r>
          </w:p>
        </w:tc>
      </w:tr>
      <w:tr w:rsidR="00776795" w:rsidRPr="000938A3" w14:paraId="57BEBC58" w14:textId="77777777" w:rsidTr="00776795">
        <w:trPr>
          <w:trHeight w:val="20"/>
        </w:trPr>
        <w:tc>
          <w:tcPr>
            <w:tcW w:w="1985" w:type="dxa"/>
            <w:noWrap/>
            <w:hideMark/>
          </w:tcPr>
          <w:p w14:paraId="3EB9CB4E" w14:textId="77777777" w:rsidR="00776795" w:rsidRPr="00C7282A" w:rsidRDefault="00776795" w:rsidP="00776795">
            <w:pPr>
              <w:spacing w:after="0" w:line="240" w:lineRule="auto"/>
              <w:rPr>
                <w:rFonts w:asciiTheme="majorHAnsi" w:eastAsia="Times New Roman" w:hAnsiTheme="majorHAnsi" w:cs="Arial"/>
                <w:color w:val="000000"/>
                <w:sz w:val="16"/>
                <w:szCs w:val="16"/>
                <w:lang w:eastAsia="en-AU"/>
              </w:rPr>
            </w:pPr>
            <w:r w:rsidRPr="00C7282A">
              <w:rPr>
                <w:rFonts w:asciiTheme="majorHAnsi" w:eastAsia="Times New Roman" w:hAnsiTheme="majorHAnsi" w:cs="Arial"/>
                <w:color w:val="000000"/>
                <w:sz w:val="16"/>
                <w:szCs w:val="16"/>
                <w:lang w:eastAsia="en-AU"/>
              </w:rPr>
              <w:t>State</w:t>
            </w:r>
          </w:p>
        </w:tc>
        <w:tc>
          <w:tcPr>
            <w:tcW w:w="1338" w:type="dxa"/>
            <w:noWrap/>
            <w:hideMark/>
          </w:tcPr>
          <w:p w14:paraId="78B94F8A" w14:textId="77777777" w:rsidR="00776795" w:rsidRPr="00C7282A" w:rsidRDefault="00776795" w:rsidP="00776795">
            <w:pPr>
              <w:spacing w:after="0"/>
              <w:jc w:val="right"/>
              <w:rPr>
                <w:rFonts w:asciiTheme="majorHAnsi" w:hAnsiTheme="majorHAnsi"/>
                <w:sz w:val="16"/>
                <w:szCs w:val="16"/>
              </w:rPr>
            </w:pPr>
          </w:p>
        </w:tc>
        <w:tc>
          <w:tcPr>
            <w:tcW w:w="1462" w:type="dxa"/>
            <w:noWrap/>
            <w:hideMark/>
          </w:tcPr>
          <w:p w14:paraId="782D6A06" w14:textId="77777777" w:rsidR="00776795" w:rsidRPr="00C7282A" w:rsidRDefault="00776795" w:rsidP="00776795">
            <w:pPr>
              <w:spacing w:after="0"/>
              <w:jc w:val="right"/>
              <w:rPr>
                <w:rFonts w:asciiTheme="majorHAnsi" w:hAnsiTheme="majorHAnsi"/>
                <w:sz w:val="16"/>
                <w:szCs w:val="16"/>
              </w:rPr>
            </w:pPr>
          </w:p>
        </w:tc>
        <w:tc>
          <w:tcPr>
            <w:tcW w:w="1559" w:type="dxa"/>
            <w:noWrap/>
            <w:hideMark/>
          </w:tcPr>
          <w:p w14:paraId="014962FE" w14:textId="77777777" w:rsidR="00776795" w:rsidRPr="00C7282A" w:rsidRDefault="00776795" w:rsidP="00776795">
            <w:pPr>
              <w:spacing w:after="0"/>
              <w:jc w:val="right"/>
              <w:rPr>
                <w:rFonts w:asciiTheme="majorHAnsi" w:hAnsiTheme="majorHAnsi"/>
                <w:sz w:val="16"/>
                <w:szCs w:val="16"/>
              </w:rPr>
            </w:pPr>
          </w:p>
        </w:tc>
        <w:tc>
          <w:tcPr>
            <w:tcW w:w="1560" w:type="dxa"/>
            <w:noWrap/>
            <w:hideMark/>
          </w:tcPr>
          <w:p w14:paraId="776752A8" w14:textId="77777777" w:rsidR="00776795" w:rsidRPr="00C7282A" w:rsidRDefault="00776795" w:rsidP="00776795">
            <w:pPr>
              <w:spacing w:after="0"/>
              <w:jc w:val="right"/>
              <w:rPr>
                <w:rFonts w:asciiTheme="majorHAnsi" w:hAnsiTheme="majorHAnsi"/>
                <w:sz w:val="16"/>
                <w:szCs w:val="16"/>
              </w:rPr>
            </w:pPr>
          </w:p>
        </w:tc>
        <w:tc>
          <w:tcPr>
            <w:tcW w:w="1594" w:type="dxa"/>
          </w:tcPr>
          <w:p w14:paraId="51DAF390" w14:textId="77777777" w:rsidR="00776795" w:rsidRPr="00C7282A" w:rsidRDefault="00776795" w:rsidP="00776795">
            <w:pPr>
              <w:spacing w:after="0"/>
              <w:ind w:right="290"/>
              <w:jc w:val="right"/>
              <w:rPr>
                <w:rFonts w:asciiTheme="majorHAnsi" w:hAnsiTheme="majorHAnsi"/>
                <w:sz w:val="16"/>
                <w:szCs w:val="16"/>
              </w:rPr>
            </w:pPr>
          </w:p>
        </w:tc>
      </w:tr>
      <w:tr w:rsidR="00776795" w:rsidRPr="000938A3" w14:paraId="5EDCEB39" w14:textId="77777777" w:rsidTr="00776795">
        <w:trPr>
          <w:trHeight w:val="20"/>
        </w:trPr>
        <w:tc>
          <w:tcPr>
            <w:tcW w:w="1985" w:type="dxa"/>
            <w:noWrap/>
            <w:hideMark/>
          </w:tcPr>
          <w:p w14:paraId="4B4C5E6D"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New South Wales</w:t>
            </w:r>
          </w:p>
        </w:tc>
        <w:tc>
          <w:tcPr>
            <w:tcW w:w="1338" w:type="dxa"/>
            <w:noWrap/>
            <w:hideMark/>
          </w:tcPr>
          <w:p w14:paraId="4BCF4900"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60%</w:t>
            </w:r>
          </w:p>
        </w:tc>
        <w:tc>
          <w:tcPr>
            <w:tcW w:w="1462" w:type="dxa"/>
            <w:noWrap/>
            <w:hideMark/>
          </w:tcPr>
          <w:p w14:paraId="6A3050D3"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60%</w:t>
            </w:r>
          </w:p>
        </w:tc>
        <w:tc>
          <w:tcPr>
            <w:tcW w:w="1559" w:type="dxa"/>
            <w:noWrap/>
            <w:hideMark/>
          </w:tcPr>
          <w:p w14:paraId="5A99A7F6"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60%</w:t>
            </w:r>
          </w:p>
        </w:tc>
        <w:tc>
          <w:tcPr>
            <w:tcW w:w="1560" w:type="dxa"/>
            <w:noWrap/>
            <w:hideMark/>
          </w:tcPr>
          <w:p w14:paraId="53CD6521"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09AD77E3"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10</w:t>
            </w:r>
          </w:p>
        </w:tc>
      </w:tr>
      <w:tr w:rsidR="00776795" w:rsidRPr="000938A3" w14:paraId="32AC5F65" w14:textId="77777777" w:rsidTr="00776795">
        <w:trPr>
          <w:trHeight w:val="20"/>
        </w:trPr>
        <w:tc>
          <w:tcPr>
            <w:tcW w:w="1985" w:type="dxa"/>
            <w:noWrap/>
            <w:hideMark/>
          </w:tcPr>
          <w:p w14:paraId="5C38C68B"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Victoria</w:t>
            </w:r>
          </w:p>
        </w:tc>
        <w:tc>
          <w:tcPr>
            <w:tcW w:w="1338" w:type="dxa"/>
            <w:noWrap/>
            <w:hideMark/>
          </w:tcPr>
          <w:p w14:paraId="09259E5D"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50%</w:t>
            </w:r>
          </w:p>
        </w:tc>
        <w:tc>
          <w:tcPr>
            <w:tcW w:w="1462" w:type="dxa"/>
            <w:noWrap/>
            <w:hideMark/>
          </w:tcPr>
          <w:p w14:paraId="0338FD6D"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63%</w:t>
            </w:r>
          </w:p>
        </w:tc>
        <w:tc>
          <w:tcPr>
            <w:tcW w:w="1559" w:type="dxa"/>
            <w:noWrap/>
            <w:hideMark/>
          </w:tcPr>
          <w:p w14:paraId="3C5EF572"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88%</w:t>
            </w:r>
          </w:p>
        </w:tc>
        <w:tc>
          <w:tcPr>
            <w:tcW w:w="1560" w:type="dxa"/>
            <w:noWrap/>
            <w:hideMark/>
          </w:tcPr>
          <w:p w14:paraId="21FAEEC2"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32A658E0"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8</w:t>
            </w:r>
          </w:p>
        </w:tc>
      </w:tr>
      <w:tr w:rsidR="00776795" w:rsidRPr="000938A3" w14:paraId="2B12D6D7" w14:textId="77777777" w:rsidTr="00776795">
        <w:trPr>
          <w:trHeight w:val="20"/>
        </w:trPr>
        <w:tc>
          <w:tcPr>
            <w:tcW w:w="1985" w:type="dxa"/>
            <w:noWrap/>
            <w:hideMark/>
          </w:tcPr>
          <w:p w14:paraId="19D46D40"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Queensland</w:t>
            </w:r>
          </w:p>
        </w:tc>
        <w:tc>
          <w:tcPr>
            <w:tcW w:w="1338" w:type="dxa"/>
            <w:noWrap/>
            <w:hideMark/>
          </w:tcPr>
          <w:p w14:paraId="056FF5A3"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86%</w:t>
            </w:r>
          </w:p>
        </w:tc>
        <w:tc>
          <w:tcPr>
            <w:tcW w:w="1462" w:type="dxa"/>
            <w:noWrap/>
            <w:hideMark/>
          </w:tcPr>
          <w:p w14:paraId="332F2956"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86%</w:t>
            </w:r>
          </w:p>
        </w:tc>
        <w:tc>
          <w:tcPr>
            <w:tcW w:w="1559" w:type="dxa"/>
            <w:noWrap/>
            <w:hideMark/>
          </w:tcPr>
          <w:p w14:paraId="335187C8"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59D2DEB1"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09B620BE"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7</w:t>
            </w:r>
          </w:p>
        </w:tc>
      </w:tr>
      <w:tr w:rsidR="00776795" w:rsidRPr="000938A3" w14:paraId="6609AB4B" w14:textId="77777777" w:rsidTr="00776795">
        <w:trPr>
          <w:trHeight w:val="20"/>
        </w:trPr>
        <w:tc>
          <w:tcPr>
            <w:tcW w:w="1985" w:type="dxa"/>
            <w:noWrap/>
            <w:hideMark/>
          </w:tcPr>
          <w:p w14:paraId="0CC8CA54"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Northern Territory</w:t>
            </w:r>
          </w:p>
        </w:tc>
        <w:tc>
          <w:tcPr>
            <w:tcW w:w="1338" w:type="dxa"/>
            <w:noWrap/>
            <w:hideMark/>
          </w:tcPr>
          <w:p w14:paraId="0E06B24A"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0%</w:t>
            </w:r>
          </w:p>
        </w:tc>
        <w:tc>
          <w:tcPr>
            <w:tcW w:w="1462" w:type="dxa"/>
            <w:noWrap/>
            <w:hideMark/>
          </w:tcPr>
          <w:p w14:paraId="31F27615"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59" w:type="dxa"/>
            <w:noWrap/>
            <w:hideMark/>
          </w:tcPr>
          <w:p w14:paraId="3DA8DC1F"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12115899"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3E809610"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1</w:t>
            </w:r>
          </w:p>
        </w:tc>
      </w:tr>
      <w:tr w:rsidR="00776795" w:rsidRPr="000938A3" w14:paraId="534F9ABA" w14:textId="77777777" w:rsidTr="00776795">
        <w:trPr>
          <w:trHeight w:val="20"/>
        </w:trPr>
        <w:tc>
          <w:tcPr>
            <w:tcW w:w="1985" w:type="dxa"/>
            <w:noWrap/>
            <w:hideMark/>
          </w:tcPr>
          <w:p w14:paraId="1BFD4107"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Western Australia</w:t>
            </w:r>
          </w:p>
        </w:tc>
        <w:tc>
          <w:tcPr>
            <w:tcW w:w="1338" w:type="dxa"/>
            <w:noWrap/>
            <w:hideMark/>
          </w:tcPr>
          <w:p w14:paraId="5DB468C8"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0%</w:t>
            </w:r>
          </w:p>
        </w:tc>
        <w:tc>
          <w:tcPr>
            <w:tcW w:w="1462" w:type="dxa"/>
            <w:noWrap/>
            <w:hideMark/>
          </w:tcPr>
          <w:p w14:paraId="6D24A62F"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50%</w:t>
            </w:r>
          </w:p>
        </w:tc>
        <w:tc>
          <w:tcPr>
            <w:tcW w:w="1559" w:type="dxa"/>
            <w:noWrap/>
            <w:hideMark/>
          </w:tcPr>
          <w:p w14:paraId="320837A3"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004B24B0"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5DCB1774"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4</w:t>
            </w:r>
          </w:p>
        </w:tc>
      </w:tr>
      <w:tr w:rsidR="00776795" w:rsidRPr="000938A3" w14:paraId="682EE8CE" w14:textId="77777777" w:rsidTr="00776795">
        <w:trPr>
          <w:trHeight w:val="20"/>
        </w:trPr>
        <w:tc>
          <w:tcPr>
            <w:tcW w:w="1985" w:type="dxa"/>
            <w:noWrap/>
            <w:hideMark/>
          </w:tcPr>
          <w:p w14:paraId="2FEFB4C7"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South Australia</w:t>
            </w:r>
          </w:p>
        </w:tc>
        <w:tc>
          <w:tcPr>
            <w:tcW w:w="1338" w:type="dxa"/>
            <w:noWrap/>
            <w:hideMark/>
          </w:tcPr>
          <w:p w14:paraId="19F6FCA7"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0%</w:t>
            </w:r>
          </w:p>
        </w:tc>
        <w:tc>
          <w:tcPr>
            <w:tcW w:w="1462" w:type="dxa"/>
            <w:noWrap/>
            <w:hideMark/>
          </w:tcPr>
          <w:p w14:paraId="33475BA6"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67%</w:t>
            </w:r>
          </w:p>
        </w:tc>
        <w:tc>
          <w:tcPr>
            <w:tcW w:w="1559" w:type="dxa"/>
            <w:noWrap/>
            <w:hideMark/>
          </w:tcPr>
          <w:p w14:paraId="5393C5FF"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671FA78B"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446B6C84"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3</w:t>
            </w:r>
          </w:p>
        </w:tc>
      </w:tr>
      <w:tr w:rsidR="00776795" w:rsidRPr="000938A3" w14:paraId="138C9AA3" w14:textId="77777777" w:rsidTr="00776795">
        <w:trPr>
          <w:trHeight w:val="20"/>
        </w:trPr>
        <w:tc>
          <w:tcPr>
            <w:tcW w:w="1985" w:type="dxa"/>
            <w:noWrap/>
            <w:hideMark/>
          </w:tcPr>
          <w:p w14:paraId="6AA61368"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ACT</w:t>
            </w:r>
          </w:p>
        </w:tc>
        <w:tc>
          <w:tcPr>
            <w:tcW w:w="1338" w:type="dxa"/>
            <w:noWrap/>
            <w:hideMark/>
          </w:tcPr>
          <w:p w14:paraId="00435E31"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0%</w:t>
            </w:r>
          </w:p>
        </w:tc>
        <w:tc>
          <w:tcPr>
            <w:tcW w:w="1462" w:type="dxa"/>
            <w:noWrap/>
            <w:hideMark/>
          </w:tcPr>
          <w:p w14:paraId="3381365F"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50%</w:t>
            </w:r>
          </w:p>
        </w:tc>
        <w:tc>
          <w:tcPr>
            <w:tcW w:w="1559" w:type="dxa"/>
            <w:noWrap/>
            <w:hideMark/>
          </w:tcPr>
          <w:p w14:paraId="7F0FB9AB"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1952D793"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1A24DF06"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2</w:t>
            </w:r>
          </w:p>
        </w:tc>
      </w:tr>
      <w:tr w:rsidR="00776795" w:rsidRPr="000938A3" w14:paraId="2A29A244" w14:textId="77777777" w:rsidTr="00776795">
        <w:trPr>
          <w:trHeight w:val="20"/>
        </w:trPr>
        <w:tc>
          <w:tcPr>
            <w:tcW w:w="1985" w:type="dxa"/>
            <w:noWrap/>
            <w:hideMark/>
          </w:tcPr>
          <w:p w14:paraId="14150E33" w14:textId="77777777" w:rsidR="00776795" w:rsidRPr="00C7282A" w:rsidRDefault="00776795" w:rsidP="00776795">
            <w:pPr>
              <w:spacing w:after="0" w:line="240" w:lineRule="auto"/>
              <w:ind w:left="284"/>
              <w:rPr>
                <w:rFonts w:asciiTheme="majorHAnsi" w:eastAsia="Times New Roman" w:hAnsiTheme="majorHAnsi" w:cs="Arial"/>
                <w:b/>
                <w:color w:val="000000"/>
                <w:sz w:val="16"/>
                <w:szCs w:val="16"/>
                <w:lang w:eastAsia="en-AU"/>
              </w:rPr>
            </w:pPr>
            <w:r w:rsidRPr="00C7282A">
              <w:rPr>
                <w:rFonts w:asciiTheme="majorHAnsi" w:eastAsia="Times New Roman" w:hAnsiTheme="majorHAnsi" w:cs="Arial"/>
                <w:color w:val="000000"/>
                <w:sz w:val="16"/>
                <w:szCs w:val="16"/>
                <w:lang w:eastAsia="en-AU"/>
              </w:rPr>
              <w:t>Tasmania</w:t>
            </w:r>
          </w:p>
        </w:tc>
        <w:tc>
          <w:tcPr>
            <w:tcW w:w="1338" w:type="dxa"/>
            <w:noWrap/>
            <w:hideMark/>
          </w:tcPr>
          <w:p w14:paraId="06CE69BC"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0%</w:t>
            </w:r>
          </w:p>
        </w:tc>
        <w:tc>
          <w:tcPr>
            <w:tcW w:w="1462" w:type="dxa"/>
            <w:noWrap/>
            <w:hideMark/>
          </w:tcPr>
          <w:p w14:paraId="37BB1568"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59" w:type="dxa"/>
            <w:noWrap/>
            <w:hideMark/>
          </w:tcPr>
          <w:p w14:paraId="1F3114E5"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60" w:type="dxa"/>
            <w:noWrap/>
            <w:hideMark/>
          </w:tcPr>
          <w:p w14:paraId="38FB4E10" w14:textId="77777777" w:rsidR="00776795" w:rsidRPr="00C7282A" w:rsidRDefault="00776795" w:rsidP="00776795">
            <w:pPr>
              <w:spacing w:after="0"/>
              <w:jc w:val="right"/>
              <w:rPr>
                <w:rFonts w:asciiTheme="majorHAnsi" w:hAnsiTheme="majorHAnsi"/>
                <w:sz w:val="16"/>
                <w:szCs w:val="16"/>
              </w:rPr>
            </w:pPr>
            <w:r w:rsidRPr="00C7282A">
              <w:rPr>
                <w:rFonts w:asciiTheme="majorHAnsi" w:hAnsiTheme="majorHAnsi"/>
                <w:sz w:val="16"/>
                <w:szCs w:val="16"/>
              </w:rPr>
              <w:t>100%</w:t>
            </w:r>
          </w:p>
        </w:tc>
        <w:tc>
          <w:tcPr>
            <w:tcW w:w="1594" w:type="dxa"/>
          </w:tcPr>
          <w:p w14:paraId="1BEE907C" w14:textId="77777777" w:rsidR="00776795" w:rsidRPr="00C7282A" w:rsidRDefault="00776795" w:rsidP="00776795">
            <w:pPr>
              <w:spacing w:after="0"/>
              <w:ind w:right="290"/>
              <w:jc w:val="right"/>
              <w:rPr>
                <w:rFonts w:asciiTheme="majorHAnsi" w:hAnsiTheme="majorHAnsi"/>
                <w:sz w:val="16"/>
                <w:szCs w:val="16"/>
              </w:rPr>
            </w:pPr>
            <w:r w:rsidRPr="00C7282A">
              <w:rPr>
                <w:rFonts w:asciiTheme="majorHAnsi" w:eastAsia="Times New Roman" w:hAnsiTheme="majorHAnsi" w:cs="Arial"/>
                <w:color w:val="000000"/>
                <w:sz w:val="16"/>
                <w:lang w:eastAsia="en-AU"/>
              </w:rPr>
              <w:t>1</w:t>
            </w:r>
          </w:p>
        </w:tc>
      </w:tr>
      <w:tr w:rsidR="00F1019C" w:rsidRPr="000938A3" w14:paraId="7C60DA66" w14:textId="77777777" w:rsidTr="00776795">
        <w:trPr>
          <w:trHeight w:val="20"/>
        </w:trPr>
        <w:tc>
          <w:tcPr>
            <w:tcW w:w="1985" w:type="dxa"/>
            <w:noWrap/>
          </w:tcPr>
          <w:p w14:paraId="1A42CD8B" w14:textId="77777777" w:rsidR="00F1019C" w:rsidRPr="00C7282A" w:rsidRDefault="00F1019C" w:rsidP="00F1019C">
            <w:pPr>
              <w:spacing w:after="0" w:line="240" w:lineRule="auto"/>
              <w:ind w:left="284"/>
              <w:rPr>
                <w:rFonts w:asciiTheme="majorHAnsi" w:eastAsia="Times New Roman" w:hAnsiTheme="majorHAnsi" w:cs="Arial"/>
                <w:color w:val="000000"/>
                <w:sz w:val="16"/>
                <w:szCs w:val="16"/>
                <w:lang w:eastAsia="en-AU"/>
              </w:rPr>
            </w:pPr>
            <w:r>
              <w:rPr>
                <w:rFonts w:asciiTheme="majorHAnsi" w:eastAsia="Times New Roman" w:hAnsiTheme="majorHAnsi" w:cs="Arial"/>
                <w:color w:val="000000"/>
                <w:sz w:val="16"/>
                <w:szCs w:val="16"/>
                <w:lang w:eastAsia="en-AU"/>
              </w:rPr>
              <w:t>Multi-state</w:t>
            </w:r>
          </w:p>
        </w:tc>
        <w:tc>
          <w:tcPr>
            <w:tcW w:w="1338" w:type="dxa"/>
            <w:noWrap/>
          </w:tcPr>
          <w:p w14:paraId="0FD401E0" w14:textId="77777777" w:rsidR="00F1019C" w:rsidRPr="00C7282A" w:rsidRDefault="00F1019C" w:rsidP="00F1019C">
            <w:pPr>
              <w:spacing w:after="0"/>
              <w:jc w:val="right"/>
              <w:rPr>
                <w:rFonts w:asciiTheme="majorHAnsi" w:hAnsiTheme="majorHAnsi"/>
                <w:sz w:val="16"/>
                <w:szCs w:val="16"/>
              </w:rPr>
            </w:pPr>
            <w:r>
              <w:rPr>
                <w:rFonts w:asciiTheme="majorHAnsi" w:hAnsiTheme="majorHAnsi"/>
                <w:sz w:val="16"/>
                <w:szCs w:val="16"/>
              </w:rPr>
              <w:t>100%</w:t>
            </w:r>
          </w:p>
        </w:tc>
        <w:tc>
          <w:tcPr>
            <w:tcW w:w="1462" w:type="dxa"/>
            <w:noWrap/>
          </w:tcPr>
          <w:p w14:paraId="5358A093" w14:textId="77777777" w:rsidR="00F1019C" w:rsidRPr="00C7282A" w:rsidRDefault="00F1019C" w:rsidP="00F1019C">
            <w:pPr>
              <w:spacing w:after="0"/>
              <w:jc w:val="right"/>
              <w:rPr>
                <w:rFonts w:asciiTheme="majorHAnsi" w:hAnsiTheme="majorHAnsi"/>
                <w:sz w:val="16"/>
                <w:szCs w:val="16"/>
              </w:rPr>
            </w:pPr>
            <w:r>
              <w:rPr>
                <w:rFonts w:asciiTheme="majorHAnsi" w:hAnsiTheme="majorHAnsi"/>
                <w:sz w:val="16"/>
                <w:szCs w:val="16"/>
              </w:rPr>
              <w:t>100%</w:t>
            </w:r>
          </w:p>
        </w:tc>
        <w:tc>
          <w:tcPr>
            <w:tcW w:w="1559" w:type="dxa"/>
            <w:noWrap/>
          </w:tcPr>
          <w:p w14:paraId="0A151C12" w14:textId="77777777" w:rsidR="00F1019C" w:rsidRPr="00C7282A" w:rsidRDefault="00F1019C" w:rsidP="00F1019C">
            <w:pPr>
              <w:spacing w:after="0"/>
              <w:jc w:val="right"/>
              <w:rPr>
                <w:rFonts w:asciiTheme="majorHAnsi" w:hAnsiTheme="majorHAnsi"/>
                <w:sz w:val="16"/>
                <w:szCs w:val="16"/>
              </w:rPr>
            </w:pPr>
            <w:r>
              <w:rPr>
                <w:rFonts w:asciiTheme="majorHAnsi" w:hAnsiTheme="majorHAnsi"/>
                <w:sz w:val="16"/>
                <w:szCs w:val="16"/>
              </w:rPr>
              <w:t>100%</w:t>
            </w:r>
          </w:p>
        </w:tc>
        <w:tc>
          <w:tcPr>
            <w:tcW w:w="1560" w:type="dxa"/>
            <w:noWrap/>
          </w:tcPr>
          <w:p w14:paraId="66E28AE5" w14:textId="77777777" w:rsidR="00F1019C" w:rsidRPr="00C7282A" w:rsidRDefault="00F1019C" w:rsidP="00F1019C">
            <w:pPr>
              <w:spacing w:after="0"/>
              <w:jc w:val="right"/>
              <w:rPr>
                <w:rFonts w:asciiTheme="majorHAnsi" w:hAnsiTheme="majorHAnsi"/>
                <w:sz w:val="16"/>
                <w:szCs w:val="16"/>
              </w:rPr>
            </w:pPr>
            <w:r>
              <w:rPr>
                <w:rFonts w:asciiTheme="majorHAnsi" w:hAnsiTheme="majorHAnsi"/>
                <w:sz w:val="16"/>
                <w:szCs w:val="16"/>
              </w:rPr>
              <w:t>100%</w:t>
            </w:r>
          </w:p>
        </w:tc>
        <w:tc>
          <w:tcPr>
            <w:tcW w:w="1594" w:type="dxa"/>
          </w:tcPr>
          <w:p w14:paraId="1BF7616A" w14:textId="77777777" w:rsidR="00F1019C" w:rsidRPr="00C7282A" w:rsidRDefault="00F1019C" w:rsidP="00F1019C">
            <w:pPr>
              <w:spacing w:after="0"/>
              <w:ind w:right="290"/>
              <w:jc w:val="right"/>
              <w:rPr>
                <w:rFonts w:asciiTheme="majorHAnsi" w:eastAsia="Times New Roman" w:hAnsiTheme="majorHAnsi" w:cs="Arial"/>
                <w:color w:val="000000"/>
                <w:sz w:val="16"/>
                <w:lang w:eastAsia="en-AU"/>
              </w:rPr>
            </w:pPr>
            <w:r>
              <w:rPr>
                <w:rFonts w:asciiTheme="majorHAnsi" w:eastAsia="Times New Roman" w:hAnsiTheme="majorHAnsi" w:cs="Arial"/>
                <w:color w:val="000000"/>
                <w:sz w:val="16"/>
                <w:lang w:eastAsia="en-AU"/>
              </w:rPr>
              <w:t>1</w:t>
            </w:r>
          </w:p>
        </w:tc>
      </w:tr>
    </w:tbl>
    <w:p w14:paraId="2AA7726B" w14:textId="724543EE" w:rsidR="00776795" w:rsidRPr="005D4FB6" w:rsidRDefault="00776795" w:rsidP="00776795">
      <w:pPr>
        <w:pStyle w:val="Source"/>
      </w:pPr>
      <w:r>
        <w:t>Note: Each cell percentage represents the proportion of universities with that characteristic captured by the sample.</w:t>
      </w:r>
      <w:r w:rsidR="007932FC">
        <w:t xml:space="preserve"> Smaller universities defined as fewer than 15,000 domestic enrolments.</w:t>
      </w:r>
      <w:r>
        <w:t xml:space="preserve"> Parentheses in titles refer to the number of universities in the sample.   </w:t>
      </w:r>
    </w:p>
    <w:p w14:paraId="74DD33FB" w14:textId="77777777" w:rsidR="00776795" w:rsidRDefault="00776795" w:rsidP="00776795">
      <w:pPr>
        <w:pStyle w:val="CaptionChart"/>
      </w:pPr>
      <w:bookmarkStart w:id="180" w:name="_Ref534705804"/>
      <w:bookmarkStart w:id="181" w:name="_Toc534713817"/>
      <w:r>
        <w:lastRenderedPageBreak/>
        <w:t>: EFTSL coverage of the 2018 sample by level (2017 EFTSL)</w:t>
      </w:r>
      <w:bookmarkEnd w:id="180"/>
      <w:bookmarkEnd w:id="181"/>
      <w:r>
        <w:t xml:space="preserve"> </w:t>
      </w:r>
    </w:p>
    <w:p w14:paraId="65201E77" w14:textId="77777777" w:rsidR="00776795" w:rsidRDefault="00932C20" w:rsidP="00776795">
      <w:r>
        <w:rPr>
          <w:noProof/>
          <w:lang w:eastAsia="en-AU"/>
        </w:rPr>
        <w:drawing>
          <wp:inline distT="0" distB="0" distL="0" distR="0" wp14:anchorId="2B9F96E0" wp14:editId="246BCFF7">
            <wp:extent cx="4572000" cy="2743200"/>
            <wp:effectExtent l="0" t="0" r="0"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C3DA5DB" w14:textId="77777777" w:rsidR="00776795" w:rsidRDefault="00776795" w:rsidP="00776795">
      <w:pPr>
        <w:pStyle w:val="Source"/>
      </w:pPr>
      <w:r>
        <w:t xml:space="preserve">Source: </w:t>
      </w:r>
      <w:proofErr w:type="spellStart"/>
      <w:r>
        <w:t>Cth</w:t>
      </w:r>
      <w:proofErr w:type="spellEnd"/>
      <w:r>
        <w:t xml:space="preserve"> DET data. Note: Total EFTSL including domestic and international. </w:t>
      </w:r>
    </w:p>
    <w:p w14:paraId="0410883F" w14:textId="77777777" w:rsidR="00776795" w:rsidRDefault="00776795" w:rsidP="00776795">
      <w:pPr>
        <w:pStyle w:val="CaptionChart"/>
      </w:pPr>
      <w:bookmarkStart w:id="182" w:name="_Ref534705796"/>
      <w:bookmarkStart w:id="183" w:name="_Toc534713818"/>
      <w:r>
        <w:t>: EFTSL coverage of the 2018 sample by field (2017 EFTSL)</w:t>
      </w:r>
      <w:bookmarkEnd w:id="182"/>
      <w:bookmarkEnd w:id="183"/>
      <w:r>
        <w:t xml:space="preserve"> </w:t>
      </w:r>
    </w:p>
    <w:p w14:paraId="09478985" w14:textId="77777777" w:rsidR="00776795" w:rsidRDefault="00932C20" w:rsidP="00776795">
      <w:r>
        <w:rPr>
          <w:noProof/>
          <w:lang w:eastAsia="en-AU"/>
        </w:rPr>
        <w:drawing>
          <wp:inline distT="0" distB="0" distL="0" distR="0" wp14:anchorId="5716003C" wp14:editId="0213DEE8">
            <wp:extent cx="4572000" cy="2743200"/>
            <wp:effectExtent l="0" t="0" r="0"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8736260" w14:textId="77777777" w:rsidR="00776795" w:rsidRPr="00BB51F6" w:rsidRDefault="00776795" w:rsidP="00776795">
      <w:pPr>
        <w:pStyle w:val="Source"/>
      </w:pPr>
      <w:r>
        <w:t xml:space="preserve">Source: </w:t>
      </w:r>
      <w:proofErr w:type="spellStart"/>
      <w:r>
        <w:t>Cth</w:t>
      </w:r>
      <w:proofErr w:type="spellEnd"/>
      <w:r>
        <w:t xml:space="preserve"> DET data. Note: Total EFTSL including domestic and international, and all levels of education.  </w:t>
      </w:r>
    </w:p>
    <w:p w14:paraId="1D91B30D" w14:textId="77777777" w:rsidR="00776795" w:rsidRDefault="00776795" w:rsidP="00776795">
      <w:pPr>
        <w:pStyle w:val="Heading2"/>
      </w:pPr>
      <w:bookmarkStart w:id="184" w:name="_Toc534713791"/>
      <w:r>
        <w:t>Trends in higher education delivery</w:t>
      </w:r>
      <w:bookmarkEnd w:id="184"/>
    </w:p>
    <w:p w14:paraId="798EB9B5" w14:textId="3491DED1" w:rsidR="00776795" w:rsidRDefault="00776795" w:rsidP="00776795">
      <w:r>
        <w:t xml:space="preserve">Demand for </w:t>
      </w:r>
      <w:r w:rsidR="00BB4C45">
        <w:t xml:space="preserve">Australian </w:t>
      </w:r>
      <w:r w:rsidRPr="00765DC4">
        <w:t xml:space="preserve">higher education has been </w:t>
      </w:r>
      <w:r w:rsidR="00BB4C45">
        <w:t xml:space="preserve">steadily </w:t>
      </w:r>
      <w:r w:rsidRPr="00765DC4">
        <w:t xml:space="preserve">increasing </w:t>
      </w:r>
      <w:r w:rsidRPr="00495A65">
        <w:t xml:space="preserve">over recent years. </w:t>
      </w:r>
      <w:r w:rsidR="00493F0C">
        <w:fldChar w:fldCharType="begin"/>
      </w:r>
      <w:r w:rsidR="00493F0C">
        <w:instrText xml:space="preserve"> REF _Ref534705873 \r \h </w:instrText>
      </w:r>
      <w:r w:rsidR="00493F0C">
        <w:fldChar w:fldCharType="separate"/>
      </w:r>
      <w:r w:rsidR="00F47C96">
        <w:t>Chart 1.3</w:t>
      </w:r>
      <w:r w:rsidR="00493F0C">
        <w:fldChar w:fldCharType="end"/>
      </w:r>
      <w:r w:rsidR="00493F0C">
        <w:t xml:space="preserve"> </w:t>
      </w:r>
      <w:r>
        <w:t xml:space="preserve">describes the growth in student enrolments across the sector by broad (2-digit) fields of education. Notably, Information Technology </w:t>
      </w:r>
      <w:r w:rsidR="006A3559">
        <w:t>grew</w:t>
      </w:r>
      <w:r>
        <w:t xml:space="preserve"> by 53% over 2013-17, and Health by 25%. Agriculture, Environmental and Related Studies is the only field to have </w:t>
      </w:r>
      <w:r w:rsidR="006A3559">
        <w:t xml:space="preserve">contracted </w:t>
      </w:r>
      <w:r>
        <w:t xml:space="preserve">over this period (-5%).  </w:t>
      </w:r>
    </w:p>
    <w:p w14:paraId="73775999" w14:textId="21BA613D" w:rsidR="00776795" w:rsidRDefault="00776795" w:rsidP="00776795">
      <w:r>
        <w:t xml:space="preserve">Over the same period, each state and territory has experienced </w:t>
      </w:r>
      <w:proofErr w:type="gramStart"/>
      <w:r>
        <w:t>positive growth</w:t>
      </w:r>
      <w:proofErr w:type="gramEnd"/>
      <w:r>
        <w:t xml:space="preserve">, with </w:t>
      </w:r>
      <w:r w:rsidR="00BB4C45">
        <w:t xml:space="preserve">enrolments in </w:t>
      </w:r>
      <w:r>
        <w:t>Tasmania growing by 41% and Victoria by 21%. The slowest were in Western Australia (4%), Northern Territory (6%) and Queensland (9%). Notably, since 2014 enrolments in Western Australia have only grown at around 1% year-on-year</w:t>
      </w:r>
      <w:r w:rsidR="00493F0C">
        <w:t xml:space="preserve"> (</w:t>
      </w:r>
      <w:r w:rsidR="00493F0C">
        <w:fldChar w:fldCharType="begin"/>
      </w:r>
      <w:r w:rsidR="00493F0C">
        <w:instrText xml:space="preserve"> REF _Ref534705897 \r \h </w:instrText>
      </w:r>
      <w:r w:rsidR="00493F0C">
        <w:fldChar w:fldCharType="separate"/>
      </w:r>
      <w:r w:rsidR="00F47C96">
        <w:t>Chart 1.4</w:t>
      </w:r>
      <w:r w:rsidR="00493F0C">
        <w:fldChar w:fldCharType="end"/>
      </w:r>
      <w:r w:rsidR="00493F0C">
        <w:t>)</w:t>
      </w:r>
      <w:r>
        <w:t xml:space="preserve">.  </w:t>
      </w:r>
    </w:p>
    <w:p w14:paraId="44B544BC" w14:textId="77777777" w:rsidR="00776795" w:rsidRDefault="00776795" w:rsidP="00776795">
      <w:pPr>
        <w:pStyle w:val="CaptionChart"/>
      </w:pPr>
      <w:bookmarkStart w:id="185" w:name="_Ref534705873"/>
      <w:bookmarkStart w:id="186" w:name="_Toc534713819"/>
      <w:r>
        <w:lastRenderedPageBreak/>
        <w:t>: Student enrolments over time by field of education</w:t>
      </w:r>
      <w:bookmarkEnd w:id="185"/>
      <w:bookmarkEnd w:id="186"/>
    </w:p>
    <w:p w14:paraId="791AA767" w14:textId="77777777" w:rsidR="00776795" w:rsidRDefault="00776795" w:rsidP="00776795">
      <w:pPr>
        <w:pStyle w:val="ListBullet"/>
        <w:numPr>
          <w:ilvl w:val="0"/>
          <w:numId w:val="0"/>
        </w:numPr>
        <w:ind w:left="340" w:hanging="340"/>
      </w:pPr>
      <w:r w:rsidRPr="00FB2F3E">
        <w:rPr>
          <w:noProof/>
          <w:lang w:eastAsia="en-AU"/>
        </w:rPr>
        <w:drawing>
          <wp:inline distT="0" distB="0" distL="0" distR="0" wp14:anchorId="4F5B2D57" wp14:editId="77E7523F">
            <wp:extent cx="4325510" cy="2754738"/>
            <wp:effectExtent l="0" t="0" r="0" b="7620"/>
            <wp:docPr id="459974170" name="Picture 459974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28629" cy="2756725"/>
                    </a:xfrm>
                    <a:prstGeom prst="rect">
                      <a:avLst/>
                    </a:prstGeom>
                    <a:noFill/>
                    <a:ln>
                      <a:noFill/>
                    </a:ln>
                  </pic:spPr>
                </pic:pic>
              </a:graphicData>
            </a:graphic>
          </wp:inline>
        </w:drawing>
      </w:r>
    </w:p>
    <w:p w14:paraId="0E9502B9" w14:textId="77777777" w:rsidR="00776795" w:rsidRDefault="00776795" w:rsidP="00776795">
      <w:pPr>
        <w:pStyle w:val="Source"/>
      </w:pPr>
      <w:r>
        <w:t xml:space="preserve">Source: </w:t>
      </w:r>
      <w:proofErr w:type="spellStart"/>
      <w:r>
        <w:t>Cth</w:t>
      </w:r>
      <w:proofErr w:type="spellEnd"/>
      <w:r>
        <w:t xml:space="preserve"> DET data. Note: Total enrolments including domestic and international</w:t>
      </w:r>
      <w:r w:rsidR="00BB4C45">
        <w:t xml:space="preserve"> students</w:t>
      </w:r>
      <w:r>
        <w:t xml:space="preserve">, and all levels of education.  </w:t>
      </w:r>
    </w:p>
    <w:p w14:paraId="059620B1" w14:textId="77777777" w:rsidR="00776795" w:rsidRDefault="00776795" w:rsidP="00776795">
      <w:pPr>
        <w:pStyle w:val="CaptionChart"/>
      </w:pPr>
      <w:bookmarkStart w:id="187" w:name="_Ref534705897"/>
      <w:bookmarkStart w:id="188" w:name="_Toc534713820"/>
      <w:r>
        <w:t>: Student enrolments over time by state</w:t>
      </w:r>
      <w:bookmarkEnd w:id="187"/>
      <w:bookmarkEnd w:id="188"/>
    </w:p>
    <w:p w14:paraId="6B70E397" w14:textId="77777777" w:rsidR="00776795" w:rsidRDefault="00776795" w:rsidP="00776795">
      <w:pPr>
        <w:pStyle w:val="ListBullet"/>
        <w:numPr>
          <w:ilvl w:val="0"/>
          <w:numId w:val="0"/>
        </w:numPr>
        <w:ind w:left="340" w:hanging="340"/>
      </w:pPr>
      <w:r w:rsidRPr="0001307D">
        <w:rPr>
          <w:noProof/>
          <w:lang w:eastAsia="en-AU"/>
        </w:rPr>
        <w:drawing>
          <wp:inline distT="0" distB="0" distL="0" distR="0" wp14:anchorId="004B4476" wp14:editId="628E02DC">
            <wp:extent cx="4410075" cy="2808594"/>
            <wp:effectExtent l="0" t="0" r="0" b="0"/>
            <wp:docPr id="459974171" name="Picture 459974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10075" cy="2808594"/>
                    </a:xfrm>
                    <a:prstGeom prst="rect">
                      <a:avLst/>
                    </a:prstGeom>
                    <a:noFill/>
                    <a:ln>
                      <a:noFill/>
                    </a:ln>
                  </pic:spPr>
                </pic:pic>
              </a:graphicData>
            </a:graphic>
          </wp:inline>
        </w:drawing>
      </w:r>
    </w:p>
    <w:p w14:paraId="64D80805" w14:textId="77777777" w:rsidR="00776795" w:rsidRPr="00BB51F6" w:rsidRDefault="00776795" w:rsidP="00776795">
      <w:pPr>
        <w:pStyle w:val="Source"/>
      </w:pPr>
      <w:r>
        <w:t xml:space="preserve">Source: </w:t>
      </w:r>
      <w:proofErr w:type="spellStart"/>
      <w:r>
        <w:t>Cth</w:t>
      </w:r>
      <w:proofErr w:type="spellEnd"/>
      <w:r>
        <w:t xml:space="preserve"> DET data. Note: Total enrolments including domestic and international</w:t>
      </w:r>
      <w:r w:rsidR="00BB4C45">
        <w:t xml:space="preserve"> students</w:t>
      </w:r>
      <w:r>
        <w:t xml:space="preserve">, and all levels of education </w:t>
      </w:r>
    </w:p>
    <w:p w14:paraId="4EB8A4DF" w14:textId="77777777" w:rsidR="00776795" w:rsidRDefault="00776795" w:rsidP="00776795">
      <w:r>
        <w:t xml:space="preserve">Sector-wide changes in aggregate financial measures (i.e. revenue and expenses) provide an instructive point of reference on the growth in costs for the university sector in recent years. </w:t>
      </w:r>
    </w:p>
    <w:p w14:paraId="1C99DEEC" w14:textId="286F4F28" w:rsidR="00776795" w:rsidRDefault="00776795" w:rsidP="00776795">
      <w:r>
        <w:t>Total university e</w:t>
      </w:r>
      <w:r w:rsidRPr="00765DC4">
        <w:t xml:space="preserve">xpenses </w:t>
      </w:r>
      <w:r w:rsidRPr="00495A65">
        <w:t>have increased on average by 5</w:t>
      </w:r>
      <w:r>
        <w:t>.7</w:t>
      </w:r>
      <w:r w:rsidRPr="00765DC4">
        <w:t xml:space="preserve">% each year </w:t>
      </w:r>
      <w:r>
        <w:t xml:space="preserve">over </w:t>
      </w:r>
      <w:r w:rsidRPr="00765DC4">
        <w:t>2011-</w:t>
      </w:r>
      <w:r w:rsidRPr="00495A65">
        <w:t>16</w:t>
      </w:r>
      <w:r>
        <w:t xml:space="preserve"> (</w:t>
      </w:r>
      <w:r w:rsidR="008A3662">
        <w:fldChar w:fldCharType="begin"/>
      </w:r>
      <w:r w:rsidR="008A3662">
        <w:instrText xml:space="preserve"> REF _Ref532205930 \r \h </w:instrText>
      </w:r>
      <w:r w:rsidR="008A3662">
        <w:fldChar w:fldCharType="separate"/>
      </w:r>
      <w:r w:rsidR="00F47C96">
        <w:t>Chart 1.5</w:t>
      </w:r>
      <w:r w:rsidR="008A3662">
        <w:fldChar w:fldCharType="end"/>
      </w:r>
      <w:r>
        <w:t xml:space="preserve">). The largest growth in expenses related to depreciation, amortisation and finance costs (8.2% year-on-year average), while net operating results have </w:t>
      </w:r>
      <w:r w:rsidR="006A3559">
        <w:t xml:space="preserve">contracted </w:t>
      </w:r>
      <w:r>
        <w:t>by 4.1%</w:t>
      </w:r>
      <w:r w:rsidR="006A3559">
        <w:t>,</w:t>
      </w:r>
      <w:r>
        <w:t xml:space="preserve"> on average, for a total decline of 20% from 2011-16.  </w:t>
      </w:r>
    </w:p>
    <w:p w14:paraId="5609CA64" w14:textId="77777777" w:rsidR="00776795" w:rsidRDefault="00776795" w:rsidP="00776795">
      <w:r>
        <w:t>Labour costs contributed to 57% of total expenses (30% academic, 27% non-academic) in 2016, which has been relatively stable since 2011 (when it was 58% of total expenses).</w:t>
      </w:r>
    </w:p>
    <w:p w14:paraId="50A6432E" w14:textId="77777777" w:rsidR="00776795" w:rsidRDefault="00776795" w:rsidP="00776795">
      <w:pPr>
        <w:pStyle w:val="CaptionChart"/>
      </w:pPr>
      <w:bookmarkStart w:id="189" w:name="_Toc533173835"/>
      <w:bookmarkStart w:id="190" w:name="_Toc533173836"/>
      <w:bookmarkStart w:id="191" w:name="_Ref532205930"/>
      <w:bookmarkStart w:id="192" w:name="_Toc534713821"/>
      <w:bookmarkEnd w:id="189"/>
      <w:bookmarkEnd w:id="190"/>
      <w:r>
        <w:lastRenderedPageBreak/>
        <w:t>: Total expenses and net operating result for Australian public universities (2011-16)</w:t>
      </w:r>
      <w:bookmarkEnd w:id="191"/>
      <w:bookmarkEnd w:id="192"/>
    </w:p>
    <w:p w14:paraId="156C2849" w14:textId="77777777" w:rsidR="00776795" w:rsidRDefault="00776795" w:rsidP="00776795">
      <w:pPr>
        <w:pStyle w:val="ListBullet"/>
        <w:numPr>
          <w:ilvl w:val="0"/>
          <w:numId w:val="0"/>
        </w:numPr>
        <w:ind w:left="340" w:hanging="340"/>
      </w:pPr>
      <w:r w:rsidRPr="0001307D">
        <w:rPr>
          <w:noProof/>
          <w:lang w:eastAsia="en-AU"/>
        </w:rPr>
        <w:drawing>
          <wp:inline distT="0" distB="0" distL="0" distR="0" wp14:anchorId="7D10A143" wp14:editId="020792C9">
            <wp:extent cx="4410075" cy="2546757"/>
            <wp:effectExtent l="0" t="0" r="5715" b="0"/>
            <wp:docPr id="459974177" name="Picture 459974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410075" cy="2546757"/>
                    </a:xfrm>
                    <a:prstGeom prst="rect">
                      <a:avLst/>
                    </a:prstGeom>
                    <a:noFill/>
                    <a:ln>
                      <a:noFill/>
                    </a:ln>
                  </pic:spPr>
                </pic:pic>
              </a:graphicData>
            </a:graphic>
          </wp:inline>
        </w:drawing>
      </w:r>
    </w:p>
    <w:p w14:paraId="7152338F" w14:textId="77777777" w:rsidR="00776795" w:rsidRDefault="00776795" w:rsidP="00776795">
      <w:pPr>
        <w:pStyle w:val="Source"/>
      </w:pPr>
      <w:r>
        <w:t xml:space="preserve">Source: </w:t>
      </w:r>
      <w:proofErr w:type="spellStart"/>
      <w:r>
        <w:t>Cth</w:t>
      </w:r>
      <w:proofErr w:type="spellEnd"/>
      <w:r>
        <w:t xml:space="preserve"> DET data </w:t>
      </w:r>
    </w:p>
    <w:p w14:paraId="7990FA3E" w14:textId="1AD84BE5" w:rsidR="00BB4C45" w:rsidRDefault="00BB4C45" w:rsidP="00BB4C45">
      <w:r>
        <w:t>Over the same period, average revenue growth has been 5.0%, with the revenue sources experiencing the strongest growth being HELP payments and upfront contributions (8.7%) and fees and charges (8.0%). CGS and Other Student Grants grew by 6.5% a year on average over this period while Other Government Grants contracted on average by 5.1% each year over this time (</w:t>
      </w:r>
      <w:r>
        <w:fldChar w:fldCharType="begin"/>
      </w:r>
      <w:r>
        <w:instrText xml:space="preserve"> REF _Ref532205949 \r \h </w:instrText>
      </w:r>
      <w:r>
        <w:fldChar w:fldCharType="separate"/>
      </w:r>
      <w:r w:rsidR="00F47C96">
        <w:t>Chart 1.6</w:t>
      </w:r>
      <w:r>
        <w:fldChar w:fldCharType="end"/>
      </w:r>
      <w:r>
        <w:t xml:space="preserve">).   </w:t>
      </w:r>
    </w:p>
    <w:p w14:paraId="4372D401" w14:textId="09BF1FAF" w:rsidR="00BB4C45" w:rsidRPr="007B63E6" w:rsidRDefault="00BB4C45" w:rsidP="00EB4550">
      <w:r>
        <w:t>HELP payments</w:t>
      </w:r>
      <w:r>
        <w:rPr>
          <w:rStyle w:val="FootnoteReference"/>
        </w:rPr>
        <w:footnoteReference w:id="13"/>
      </w:r>
      <w:r>
        <w:t xml:space="preserve"> and upfront contributions increased from 16% of total revenues to 19% over 2011-13, but have since stabilised at 19% each year since. Fees and charges have consistently increased from 23% of revenue in 2011 to 26% in 2016. </w:t>
      </w:r>
    </w:p>
    <w:p w14:paraId="273C14EA" w14:textId="77777777" w:rsidR="00776795" w:rsidRDefault="00776795" w:rsidP="00776795">
      <w:pPr>
        <w:pStyle w:val="CaptionChart"/>
      </w:pPr>
      <w:bookmarkStart w:id="193" w:name="_Ref532205949"/>
      <w:bookmarkStart w:id="194" w:name="_Toc534713822"/>
      <w:r>
        <w:t>: Total revenue for Australian public universities (2011-16)</w:t>
      </w:r>
      <w:bookmarkEnd w:id="193"/>
      <w:bookmarkEnd w:id="194"/>
    </w:p>
    <w:p w14:paraId="46FB13B9" w14:textId="77777777" w:rsidR="001653B2" w:rsidRDefault="001653B2" w:rsidP="00776795">
      <w:pPr>
        <w:pStyle w:val="ListBullet"/>
        <w:numPr>
          <w:ilvl w:val="0"/>
          <w:numId w:val="0"/>
        </w:numPr>
        <w:ind w:left="340" w:hanging="340"/>
      </w:pPr>
      <w:r w:rsidRPr="001653B2">
        <w:rPr>
          <w:noProof/>
          <w:lang w:eastAsia="en-AU"/>
        </w:rPr>
        <w:drawing>
          <wp:inline distT="0" distB="0" distL="0" distR="0" wp14:anchorId="7796DDD7" wp14:editId="71C9837B">
            <wp:extent cx="4301490" cy="2535530"/>
            <wp:effectExtent l="0" t="0" r="381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301490" cy="2535530"/>
                    </a:xfrm>
                    <a:prstGeom prst="rect">
                      <a:avLst/>
                    </a:prstGeom>
                    <a:noFill/>
                    <a:ln>
                      <a:noFill/>
                    </a:ln>
                  </pic:spPr>
                </pic:pic>
              </a:graphicData>
            </a:graphic>
          </wp:inline>
        </w:drawing>
      </w:r>
    </w:p>
    <w:p w14:paraId="29307B52" w14:textId="77777777" w:rsidR="00776795" w:rsidRDefault="00776795" w:rsidP="00776795">
      <w:pPr>
        <w:pStyle w:val="Source"/>
      </w:pPr>
      <w:r>
        <w:t xml:space="preserve">Source: </w:t>
      </w:r>
      <w:proofErr w:type="spellStart"/>
      <w:r>
        <w:t>Cth</w:t>
      </w:r>
      <w:proofErr w:type="spellEnd"/>
      <w:r>
        <w:t xml:space="preserve"> DET data </w:t>
      </w:r>
    </w:p>
    <w:p w14:paraId="791C624A" w14:textId="77777777" w:rsidR="00493F0C" w:rsidRDefault="00493F0C" w:rsidP="00776795"/>
    <w:p w14:paraId="43F7CDD5" w14:textId="2D864E7C" w:rsidR="00776795" w:rsidRDefault="00776795" w:rsidP="00776795">
      <w:r>
        <w:lastRenderedPageBreak/>
        <w:t xml:space="preserve">Growth in total costs </w:t>
      </w:r>
      <w:proofErr w:type="gramStart"/>
      <w:r>
        <w:t>can be decomposed</w:t>
      </w:r>
      <w:proofErr w:type="gramEnd"/>
      <w:r>
        <w:t xml:space="preserve"> between growth in total EFTSL (</w:t>
      </w:r>
      <w:r w:rsidR="00BB4C45">
        <w:t>i.e. increases in student volumes</w:t>
      </w:r>
      <w:r>
        <w:t>) and growth in unit costs (</w:t>
      </w:r>
      <w:r w:rsidR="00BB4C45">
        <w:t>i.e. increases in average cost per EFTSL</w:t>
      </w:r>
      <w:r>
        <w:t xml:space="preserve">). </w:t>
      </w:r>
      <w:r w:rsidR="008A3662">
        <w:fldChar w:fldCharType="begin"/>
      </w:r>
      <w:r w:rsidR="008A3662">
        <w:instrText xml:space="preserve"> REF _Ref532205965 \r \h </w:instrText>
      </w:r>
      <w:r w:rsidR="008A3662">
        <w:fldChar w:fldCharType="separate"/>
      </w:r>
      <w:r w:rsidR="00F47C96">
        <w:t>Chart 1.7</w:t>
      </w:r>
      <w:r w:rsidR="008A3662">
        <w:fldChar w:fldCharType="end"/>
      </w:r>
      <w:r w:rsidR="008A3662">
        <w:t xml:space="preserve"> </w:t>
      </w:r>
      <w:r>
        <w:t xml:space="preserve">shows this decomposition and the variance the increasing unit costs have year-on-year. Since 2013, EFTSL growth has been the more significant driver of cost growth relative to increases in cost per EFTSL. </w:t>
      </w:r>
    </w:p>
    <w:p w14:paraId="14A04471" w14:textId="77777777" w:rsidR="00776795" w:rsidRDefault="00776795" w:rsidP="00776795">
      <w:pPr>
        <w:pStyle w:val="CaptionChart"/>
      </w:pPr>
      <w:bookmarkStart w:id="195" w:name="_Ref531945718"/>
      <w:bookmarkStart w:id="196" w:name="_Ref532205939"/>
      <w:bookmarkStart w:id="197" w:name="_Ref532205965"/>
      <w:bookmarkStart w:id="198" w:name="_Toc534713823"/>
      <w:r>
        <w:t>: Cost growth decomposed by growth in EFTSL and growth in unit costs (201</w:t>
      </w:r>
      <w:r w:rsidR="00CD1880">
        <w:t>2</w:t>
      </w:r>
      <w:r>
        <w:t>-16)</w:t>
      </w:r>
      <w:bookmarkEnd w:id="195"/>
      <w:bookmarkEnd w:id="196"/>
      <w:bookmarkEnd w:id="197"/>
      <w:bookmarkEnd w:id="198"/>
    </w:p>
    <w:p w14:paraId="636E5148" w14:textId="77777777" w:rsidR="00776795" w:rsidRDefault="00776795" w:rsidP="00776795">
      <w:pPr>
        <w:pStyle w:val="ListBullet"/>
        <w:numPr>
          <w:ilvl w:val="0"/>
          <w:numId w:val="0"/>
        </w:numPr>
        <w:ind w:left="340" w:hanging="340"/>
      </w:pPr>
      <w:r w:rsidRPr="0001307D">
        <w:rPr>
          <w:noProof/>
          <w:lang w:eastAsia="en-AU"/>
        </w:rPr>
        <w:drawing>
          <wp:inline distT="0" distB="0" distL="0" distR="0" wp14:anchorId="5AC5F8B2" wp14:editId="77E2BDF8">
            <wp:extent cx="4410075" cy="2641624"/>
            <wp:effectExtent l="0" t="0" r="0" b="6350"/>
            <wp:docPr id="459974180" name="Picture 459974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10075" cy="2641624"/>
                    </a:xfrm>
                    <a:prstGeom prst="rect">
                      <a:avLst/>
                    </a:prstGeom>
                    <a:noFill/>
                    <a:ln>
                      <a:noFill/>
                    </a:ln>
                  </pic:spPr>
                </pic:pic>
              </a:graphicData>
            </a:graphic>
          </wp:inline>
        </w:drawing>
      </w:r>
    </w:p>
    <w:p w14:paraId="1A3113C5" w14:textId="77777777" w:rsidR="00776795" w:rsidRDefault="00776795" w:rsidP="00776795">
      <w:pPr>
        <w:pStyle w:val="Source"/>
      </w:pPr>
      <w:r>
        <w:t xml:space="preserve">Source: </w:t>
      </w:r>
      <w:proofErr w:type="spellStart"/>
      <w:r>
        <w:t>Cth</w:t>
      </w:r>
      <w:proofErr w:type="spellEnd"/>
      <w:r>
        <w:t xml:space="preserve"> DET data. Note: Total EFTSL including domestic and international, and all levels of education </w:t>
      </w:r>
    </w:p>
    <w:p w14:paraId="67D03385" w14:textId="22BF40F1" w:rsidR="007B63E6" w:rsidRPr="007B63E6" w:rsidRDefault="007B63E6" w:rsidP="00EB4550">
      <w:r>
        <w:t>These trends highlight the association between student enrolments and growth in costs in the sector as a whole and provide useful background for assessing changes in the costs of teaching and scholarship over time</w:t>
      </w:r>
      <w:r w:rsidR="00493F0C">
        <w:t>,</w:t>
      </w:r>
      <w:r>
        <w:t xml:space="preserve"> which </w:t>
      </w:r>
      <w:proofErr w:type="gramStart"/>
      <w:r>
        <w:t>is examined</w:t>
      </w:r>
      <w:proofErr w:type="gramEnd"/>
      <w:r>
        <w:t xml:space="preserve"> in the following chapter. </w:t>
      </w:r>
    </w:p>
    <w:p w14:paraId="3955760B" w14:textId="77777777" w:rsidR="00776795" w:rsidRDefault="00776795" w:rsidP="00776795">
      <w:pPr>
        <w:pStyle w:val="Heading2"/>
      </w:pPr>
      <w:bookmarkStart w:id="199" w:name="_Toc534713792"/>
      <w:r>
        <w:t>Report structure</w:t>
      </w:r>
      <w:bookmarkEnd w:id="199"/>
    </w:p>
    <w:p w14:paraId="1E9E6016" w14:textId="77777777" w:rsidR="00776795" w:rsidRDefault="00776795" w:rsidP="00776795">
      <w:r>
        <w:t>The remainder of the report is organised as follows:</w:t>
      </w:r>
    </w:p>
    <w:p w14:paraId="3CD8E889" w14:textId="36591CC3" w:rsidR="00776795" w:rsidRDefault="00776795" w:rsidP="00776795">
      <w:pPr>
        <w:pStyle w:val="ListBullet"/>
        <w:numPr>
          <w:ilvl w:val="0"/>
          <w:numId w:val="23"/>
        </w:numPr>
      </w:pPr>
      <w:r>
        <w:t xml:space="preserve">Chapter </w:t>
      </w:r>
      <w:r>
        <w:fldChar w:fldCharType="begin"/>
      </w:r>
      <w:r>
        <w:instrText xml:space="preserve"> REF _Ref529189687 \r \h </w:instrText>
      </w:r>
      <w:r>
        <w:fldChar w:fldCharType="separate"/>
      </w:r>
      <w:r w:rsidR="00F47C96">
        <w:t>2</w:t>
      </w:r>
      <w:r>
        <w:fldChar w:fldCharType="end"/>
      </w:r>
      <w:r>
        <w:t xml:space="preserve"> – Reports the </w:t>
      </w:r>
      <w:r w:rsidR="006A3559">
        <w:t>core</w:t>
      </w:r>
      <w:r>
        <w:t xml:space="preserve"> quantitative analysis and key results, in terms of the costs of teaching and scholarship, including the distribution and variation across fields, levels and university contexts. This chapter also includes a comparison of costs between this study and the previous 2016 study, and analysis of ‘below the line’ costs.  </w:t>
      </w:r>
    </w:p>
    <w:p w14:paraId="685DA09D" w14:textId="0E9F4ED7" w:rsidR="00776795" w:rsidRDefault="00776795" w:rsidP="00776795">
      <w:pPr>
        <w:pStyle w:val="ListBullet"/>
        <w:numPr>
          <w:ilvl w:val="0"/>
          <w:numId w:val="23"/>
        </w:numPr>
      </w:pPr>
      <w:r>
        <w:t xml:space="preserve">Chapter </w:t>
      </w:r>
      <w:r>
        <w:fldChar w:fldCharType="begin"/>
      </w:r>
      <w:r>
        <w:instrText xml:space="preserve"> REF _Ref529189703 \r \h </w:instrText>
      </w:r>
      <w:r>
        <w:fldChar w:fldCharType="separate"/>
      </w:r>
      <w:r w:rsidR="00F47C96">
        <w:t>3</w:t>
      </w:r>
      <w:r>
        <w:fldChar w:fldCharType="end"/>
      </w:r>
      <w:r>
        <w:t xml:space="preserve"> – Presents a discussion of the key considerations, limitations and reflections regarding all aspects of the exercise, particularly on interpreting the results and the implications of any methodological decisions, as well as reflections from participant universities. </w:t>
      </w:r>
    </w:p>
    <w:p w14:paraId="6AE7A6DC" w14:textId="6E264CA1" w:rsidR="00776795" w:rsidRDefault="00776795" w:rsidP="00776795">
      <w:pPr>
        <w:pStyle w:val="ListBullet"/>
        <w:numPr>
          <w:ilvl w:val="0"/>
          <w:numId w:val="23"/>
        </w:numPr>
      </w:pPr>
      <w:r>
        <w:t xml:space="preserve">Chapter </w:t>
      </w:r>
      <w:r>
        <w:fldChar w:fldCharType="begin"/>
      </w:r>
      <w:r>
        <w:instrText xml:space="preserve"> REF _Ref529189712 \r \h </w:instrText>
      </w:r>
      <w:r>
        <w:fldChar w:fldCharType="separate"/>
      </w:r>
      <w:r w:rsidR="00F47C96">
        <w:t>4</w:t>
      </w:r>
      <w:r>
        <w:fldChar w:fldCharType="end"/>
      </w:r>
      <w:r>
        <w:t xml:space="preserve"> – Explores potential areas for improvement of this exercise in the future, including in the planned 2019 and 2020 iterations. This discussion also includes reflections and feedback from participant universities. </w:t>
      </w:r>
    </w:p>
    <w:p w14:paraId="0A2776A7" w14:textId="1F6A8A62" w:rsidR="00224264" w:rsidRPr="00224264" w:rsidRDefault="00776795">
      <w:r>
        <w:t>Appendi</w:t>
      </w:r>
      <w:r w:rsidR="007B63E6">
        <w:t xml:space="preserve">x A also includes </w:t>
      </w:r>
      <w:r>
        <w:t xml:space="preserve">specific details </w:t>
      </w:r>
      <w:r w:rsidR="007B63E6">
        <w:t xml:space="preserve">on the </w:t>
      </w:r>
      <w:r>
        <w:t xml:space="preserve">structure of the costing template used for universities to submit their data.  </w:t>
      </w:r>
    </w:p>
    <w:p w14:paraId="26FF978C" w14:textId="77777777" w:rsidR="001548C2" w:rsidRDefault="001548C2" w:rsidP="001548C2">
      <w:pPr>
        <w:pStyle w:val="Heading1"/>
      </w:pPr>
      <w:bookmarkStart w:id="200" w:name="_Toc528855681"/>
      <w:bookmarkStart w:id="201" w:name="_Ref529189687"/>
      <w:bookmarkStart w:id="202" w:name="_Toc534713793"/>
      <w:bookmarkStart w:id="203" w:name="_Toc447626781"/>
      <w:r>
        <w:lastRenderedPageBreak/>
        <w:t>Cost of teaching and scholarship</w:t>
      </w:r>
      <w:bookmarkEnd w:id="200"/>
      <w:bookmarkEnd w:id="201"/>
      <w:bookmarkEnd w:id="202"/>
    </w:p>
    <w:p w14:paraId="36659626" w14:textId="77777777" w:rsidR="001548C2" w:rsidRDefault="001548C2" w:rsidP="001548C2">
      <w:r>
        <w:t xml:space="preserve">This chapter details the </w:t>
      </w:r>
      <w:r w:rsidR="008544E6">
        <w:t xml:space="preserve">core </w:t>
      </w:r>
      <w:r>
        <w:t xml:space="preserve">quantitative analysis and results of the data collection on the cost of delivery of teaching and scholarship </w:t>
      </w:r>
      <w:r w:rsidR="00B928FE">
        <w:t xml:space="preserve">at </w:t>
      </w:r>
      <w:r>
        <w:t>Australian universities.</w:t>
      </w:r>
      <w:r w:rsidR="004F307D">
        <w:t xml:space="preserve"> </w:t>
      </w:r>
      <w:r>
        <w:t>This analysis extends upon the 2016 study by including:</w:t>
      </w:r>
    </w:p>
    <w:p w14:paraId="723E03CC" w14:textId="77777777" w:rsidR="001548C2" w:rsidRDefault="001548C2" w:rsidP="001548C2">
      <w:pPr>
        <w:pStyle w:val="ListBullet"/>
        <w:numPr>
          <w:ilvl w:val="0"/>
          <w:numId w:val="23"/>
        </w:numPr>
      </w:pPr>
      <w:r>
        <w:t xml:space="preserve">A larger sample of </w:t>
      </w:r>
      <w:r w:rsidRPr="00BB51F6">
        <w:t xml:space="preserve">universities (25 </w:t>
      </w:r>
      <w:r w:rsidRPr="00B563F2">
        <w:t xml:space="preserve">compared to </w:t>
      </w:r>
      <w:r w:rsidRPr="00BB51F6">
        <w:t>17</w:t>
      </w:r>
      <w:r>
        <w:t xml:space="preserve">); </w:t>
      </w:r>
    </w:p>
    <w:p w14:paraId="50249AB3" w14:textId="77777777" w:rsidR="001548C2" w:rsidRDefault="001548C2" w:rsidP="001548C2">
      <w:pPr>
        <w:pStyle w:val="ListBullet"/>
        <w:numPr>
          <w:ilvl w:val="0"/>
          <w:numId w:val="23"/>
        </w:numPr>
      </w:pPr>
      <w:r>
        <w:t xml:space="preserve">A </w:t>
      </w:r>
      <w:r w:rsidR="0011016C">
        <w:t xml:space="preserve">slightly </w:t>
      </w:r>
      <w:r>
        <w:t>more granular disaggregation of disciplines (22 compared to 19 in the 2016 study); and</w:t>
      </w:r>
    </w:p>
    <w:p w14:paraId="274FACF4" w14:textId="77777777" w:rsidR="001548C2" w:rsidRDefault="001548C2" w:rsidP="001548C2">
      <w:pPr>
        <w:pStyle w:val="ListBullet"/>
        <w:numPr>
          <w:ilvl w:val="0"/>
          <w:numId w:val="23"/>
        </w:numPr>
      </w:pPr>
      <w:r>
        <w:t>An approach for capturing the costs of teaching and scholarship that both allows for consistent comparisons with the 2016 study</w:t>
      </w:r>
      <w:r w:rsidR="00B928FE">
        <w:t>,</w:t>
      </w:r>
      <w:r>
        <w:t xml:space="preserve"> and allows for supplementary analysis of some cost components that were either not captured or not captured consistently in the 2016 exercise including in-kind costs, third party and partnership costs and capital costs. </w:t>
      </w:r>
    </w:p>
    <w:p w14:paraId="36AAE402" w14:textId="77777777" w:rsidR="001548C2" w:rsidRDefault="004E5B04" w:rsidP="001548C2">
      <w:r>
        <w:t xml:space="preserve">This chapter presents a </w:t>
      </w:r>
      <w:r w:rsidR="00B928FE">
        <w:t xml:space="preserve">series </w:t>
      </w:r>
      <w:r>
        <w:t xml:space="preserve">of results </w:t>
      </w:r>
      <w:r w:rsidR="00B928FE">
        <w:t xml:space="preserve">regarding </w:t>
      </w:r>
      <w:r>
        <w:t>the distribution and varia</w:t>
      </w:r>
      <w:r w:rsidR="00B928FE">
        <w:t>bility of</w:t>
      </w:r>
      <w:r>
        <w:t xml:space="preserve"> cost</w:t>
      </w:r>
      <w:r w:rsidR="00B928FE">
        <w:t>s</w:t>
      </w:r>
      <w:r>
        <w:t xml:space="preserve"> – at the university, field and level of education level</w:t>
      </w:r>
      <w:r w:rsidR="00B928FE">
        <w:t>. S</w:t>
      </w:r>
      <w:r>
        <w:t xml:space="preserve">pecific </w:t>
      </w:r>
      <w:r w:rsidR="00B928FE">
        <w:t xml:space="preserve">cost </w:t>
      </w:r>
      <w:r>
        <w:t xml:space="preserve">line items </w:t>
      </w:r>
      <w:r w:rsidR="00B928FE">
        <w:t xml:space="preserve">are analysed, and </w:t>
      </w:r>
      <w:r>
        <w:t>some exploration of systematic cost variations among key contextual factors or drivers</w:t>
      </w:r>
      <w:r w:rsidR="00B928FE">
        <w:t xml:space="preserve"> is undertaken</w:t>
      </w:r>
      <w:r>
        <w:t>. However, u</w:t>
      </w:r>
      <w:r w:rsidR="001548C2">
        <w:t>nlike the 2016 report, this report does not seek to provide estimates of the reasonable costs of teaching and scholarship by field of education</w:t>
      </w:r>
      <w:r w:rsidR="00B928FE">
        <w:t>,</w:t>
      </w:r>
      <w:r w:rsidR="001548C2">
        <w:t xml:space="preserve"> or to use a regression framework to identify the size of particular cost drivers. The findings of the 2016 report in relation to these areas is summarised in </w:t>
      </w:r>
      <w:r w:rsidR="001548C2" w:rsidRPr="0046286C">
        <w:t xml:space="preserve">Box </w:t>
      </w:r>
      <w:r w:rsidRPr="00F31311">
        <w:t>2.3</w:t>
      </w:r>
      <w:r>
        <w:t xml:space="preserve"> </w:t>
      </w:r>
      <w:r w:rsidR="001548C2">
        <w:t xml:space="preserve">below.  </w:t>
      </w:r>
    </w:p>
    <w:p w14:paraId="54F9F29F" w14:textId="77777777" w:rsidR="00B928FE" w:rsidRDefault="001548C2" w:rsidP="001548C2">
      <w:r>
        <w:t xml:space="preserve">In addition to collecting data from the </w:t>
      </w:r>
      <w:r w:rsidR="00B928FE">
        <w:t xml:space="preserve">sample of </w:t>
      </w:r>
      <w:r>
        <w:t xml:space="preserve">universities, an extensive consultation process </w:t>
      </w:r>
      <w:proofErr w:type="gramStart"/>
      <w:r>
        <w:t>was undertaken</w:t>
      </w:r>
      <w:proofErr w:type="gramEnd"/>
      <w:r>
        <w:t xml:space="preserve"> to</w:t>
      </w:r>
      <w:r w:rsidR="007B63E6">
        <w:t>:</w:t>
      </w:r>
      <w:r>
        <w:t xml:space="preserve"> ensure that costs were allocated </w:t>
      </w:r>
      <w:r w:rsidR="004E5B04">
        <w:t xml:space="preserve">using a </w:t>
      </w:r>
      <w:r>
        <w:t xml:space="preserve">consistent </w:t>
      </w:r>
      <w:r w:rsidR="004E5B04">
        <w:t>methodology</w:t>
      </w:r>
      <w:r w:rsidR="007B63E6">
        <w:t>;</w:t>
      </w:r>
      <w:r>
        <w:t xml:space="preserve"> validate the accuracy of the data</w:t>
      </w:r>
      <w:r w:rsidR="00B928FE">
        <w:t xml:space="preserve"> provided</w:t>
      </w:r>
      <w:r w:rsidR="007B63E6">
        <w:t>;</w:t>
      </w:r>
      <w:r w:rsidR="00B928FE">
        <w:t xml:space="preserve"> and</w:t>
      </w:r>
      <w:r w:rsidR="00B928FE" w:rsidRPr="00B928FE">
        <w:t xml:space="preserve"> </w:t>
      </w:r>
      <w:r w:rsidR="00B928FE">
        <w:t>understand potential reasons for variation within the sector</w:t>
      </w:r>
      <w:r>
        <w:t>.</w:t>
      </w:r>
      <w:r w:rsidR="00B928FE">
        <w:t xml:space="preserve"> </w:t>
      </w:r>
    </w:p>
    <w:p w14:paraId="13DDAC0F" w14:textId="6BB21C2C" w:rsidR="004E5B04" w:rsidRDefault="001548C2" w:rsidP="001548C2">
      <w:r>
        <w:t xml:space="preserve">A very small selection of field-level observations </w:t>
      </w:r>
      <w:proofErr w:type="gramStart"/>
      <w:r>
        <w:t>were excluded</w:t>
      </w:r>
      <w:proofErr w:type="gramEnd"/>
      <w:r>
        <w:t xml:space="preserve"> as outliers. </w:t>
      </w:r>
      <w:r w:rsidR="004E5B04">
        <w:t xml:space="preserve">This process is summarised in </w:t>
      </w:r>
      <w:r w:rsidR="006B4A43">
        <w:t>S</w:t>
      </w:r>
      <w:r w:rsidR="004E5B04">
        <w:t xml:space="preserve">ection </w:t>
      </w:r>
      <w:r w:rsidR="006B4A43">
        <w:fldChar w:fldCharType="begin"/>
      </w:r>
      <w:r w:rsidR="006B4A43">
        <w:instrText xml:space="preserve"> REF _Ref529786832 \r \h </w:instrText>
      </w:r>
      <w:r w:rsidR="006B4A43">
        <w:fldChar w:fldCharType="separate"/>
      </w:r>
      <w:r w:rsidR="00F47C96">
        <w:t>2.2</w:t>
      </w:r>
      <w:r w:rsidR="006B4A43">
        <w:fldChar w:fldCharType="end"/>
      </w:r>
      <w:r w:rsidR="004E5B04">
        <w:t xml:space="preserve">. </w:t>
      </w:r>
    </w:p>
    <w:p w14:paraId="3A1E7D50" w14:textId="77777777" w:rsidR="001548C2" w:rsidRDefault="001548C2" w:rsidP="00042653">
      <w:r>
        <w:t>While the results of this 2018 study can be reasonably compared with those from the 2016 study,</w:t>
      </w:r>
      <w:r w:rsidR="00042653">
        <w:t xml:space="preserve"> the sample is slightly different to </w:t>
      </w:r>
      <w:proofErr w:type="gramStart"/>
      <w:r w:rsidR="00042653">
        <w:t>2016,</w:t>
      </w:r>
      <w:proofErr w:type="gramEnd"/>
      <w:r w:rsidR="00042653">
        <w:t xml:space="preserve"> hence results are presented with both a common sample </w:t>
      </w:r>
      <w:r w:rsidR="007B63E6">
        <w:t>across the two studies and</w:t>
      </w:r>
      <w:r w:rsidR="00042653">
        <w:t xml:space="preserve"> the full 2018 sample. This </w:t>
      </w:r>
      <w:proofErr w:type="gramStart"/>
      <w:r w:rsidR="00042653">
        <w:t>is discussed</w:t>
      </w:r>
      <w:proofErr w:type="gramEnd"/>
      <w:r w:rsidR="00042653">
        <w:t xml:space="preserve"> further in </w:t>
      </w:r>
      <w:r w:rsidR="006B4A43">
        <w:t>S</w:t>
      </w:r>
      <w:r w:rsidR="00042653">
        <w:t xml:space="preserve">ection 2.4. </w:t>
      </w:r>
      <w:r>
        <w:t xml:space="preserve">Importantly, the results in this report provide the base for this three-year exercise in understanding </w:t>
      </w:r>
      <w:r w:rsidR="00B928FE">
        <w:t xml:space="preserve">the </w:t>
      </w:r>
      <w:r>
        <w:t>costs in</w:t>
      </w:r>
      <w:r w:rsidR="00B928FE">
        <w:t>volved in</w:t>
      </w:r>
      <w:r>
        <w:t xml:space="preserve"> providing higher education. </w:t>
      </w:r>
    </w:p>
    <w:p w14:paraId="3EBA32F0" w14:textId="77777777" w:rsidR="001548C2" w:rsidRDefault="001548C2" w:rsidP="001548C2">
      <w:r>
        <w:t xml:space="preserve">The remainder of this chapter </w:t>
      </w:r>
      <w:proofErr w:type="gramStart"/>
      <w:r>
        <w:t>is structured</w:t>
      </w:r>
      <w:proofErr w:type="gramEnd"/>
      <w:r>
        <w:t xml:space="preserve"> as follows: </w:t>
      </w:r>
    </w:p>
    <w:p w14:paraId="084108F8" w14:textId="4A12A4F2" w:rsidR="001548C2" w:rsidRDefault="001548C2" w:rsidP="004F307D">
      <w:pPr>
        <w:pStyle w:val="ListBullet"/>
      </w:pPr>
      <w:r>
        <w:t xml:space="preserve">Section </w:t>
      </w:r>
      <w:r w:rsidR="006B4A43">
        <w:fldChar w:fldCharType="begin"/>
      </w:r>
      <w:r w:rsidR="006B4A43">
        <w:instrText xml:space="preserve"> REF _Ref529786883 \r \h </w:instrText>
      </w:r>
      <w:r w:rsidR="006B4A43">
        <w:fldChar w:fldCharType="separate"/>
      </w:r>
      <w:r w:rsidR="00F47C96">
        <w:t>2.1</w:t>
      </w:r>
      <w:r w:rsidR="006B4A43">
        <w:fldChar w:fldCharType="end"/>
      </w:r>
      <w:r w:rsidR="00042653">
        <w:t xml:space="preserve"> </w:t>
      </w:r>
      <w:r>
        <w:t>describes the distribution of costs within a university, includ</w:t>
      </w:r>
      <w:r w:rsidR="00B928FE">
        <w:t>ing</w:t>
      </w:r>
      <w:r>
        <w:t xml:space="preserve"> the total average cost. </w:t>
      </w:r>
    </w:p>
    <w:p w14:paraId="4201B529" w14:textId="10CC0AD8" w:rsidR="001548C2" w:rsidRDefault="001548C2" w:rsidP="004F307D">
      <w:pPr>
        <w:pStyle w:val="ListBullet"/>
      </w:pPr>
      <w:r>
        <w:t xml:space="preserve">Section </w:t>
      </w:r>
      <w:r w:rsidR="006B4A43">
        <w:fldChar w:fldCharType="begin"/>
      </w:r>
      <w:r w:rsidR="006B4A43">
        <w:instrText xml:space="preserve"> REF _Ref529786860 \r \h </w:instrText>
      </w:r>
      <w:r w:rsidR="006B4A43">
        <w:fldChar w:fldCharType="separate"/>
      </w:r>
      <w:r w:rsidR="00F47C96">
        <w:t>2.2</w:t>
      </w:r>
      <w:r w:rsidR="006B4A43">
        <w:fldChar w:fldCharType="end"/>
      </w:r>
      <w:r w:rsidR="00042653">
        <w:t xml:space="preserve"> </w:t>
      </w:r>
      <w:r>
        <w:t xml:space="preserve">presents the key cost distributions by field and level of education. </w:t>
      </w:r>
    </w:p>
    <w:p w14:paraId="568FC008" w14:textId="7749DE73" w:rsidR="008544E6" w:rsidRDefault="008544E6" w:rsidP="004F307D">
      <w:pPr>
        <w:pStyle w:val="ListBullet"/>
      </w:pPr>
      <w:r>
        <w:t xml:space="preserve">Section </w:t>
      </w:r>
      <w:r w:rsidR="00493F0C">
        <w:fldChar w:fldCharType="begin"/>
      </w:r>
      <w:r w:rsidR="00493F0C">
        <w:instrText xml:space="preserve"> REF _Ref534706426 \r \h </w:instrText>
      </w:r>
      <w:r w:rsidR="00493F0C">
        <w:fldChar w:fldCharType="separate"/>
      </w:r>
      <w:r w:rsidR="00F47C96">
        <w:t>2.3</w:t>
      </w:r>
      <w:r w:rsidR="00493F0C">
        <w:fldChar w:fldCharType="end"/>
      </w:r>
      <w:r w:rsidR="00042653">
        <w:t xml:space="preserve"> </w:t>
      </w:r>
      <w:r>
        <w:t xml:space="preserve">contrasts average costs with base funding levels. </w:t>
      </w:r>
    </w:p>
    <w:p w14:paraId="63C6E073" w14:textId="459BAE84" w:rsidR="001548C2" w:rsidRDefault="001548C2" w:rsidP="004F307D">
      <w:pPr>
        <w:pStyle w:val="ListBullet"/>
      </w:pPr>
      <w:r>
        <w:t xml:space="preserve">Section </w:t>
      </w:r>
      <w:r w:rsidR="00493F0C">
        <w:fldChar w:fldCharType="begin"/>
      </w:r>
      <w:r w:rsidR="00493F0C">
        <w:instrText xml:space="preserve"> REF _Ref534706432 \r \h </w:instrText>
      </w:r>
      <w:r w:rsidR="00493F0C">
        <w:fldChar w:fldCharType="separate"/>
      </w:r>
      <w:r w:rsidR="00F47C96">
        <w:t>2.4</w:t>
      </w:r>
      <w:r w:rsidR="00493F0C">
        <w:fldChar w:fldCharType="end"/>
      </w:r>
      <w:r>
        <w:t xml:space="preserve"> compares the results of the previous section to those in the 2016 study, noting </w:t>
      </w:r>
      <w:r w:rsidR="00B928FE">
        <w:t xml:space="preserve">some </w:t>
      </w:r>
      <w:r>
        <w:t xml:space="preserve">caveats on comparability. </w:t>
      </w:r>
    </w:p>
    <w:p w14:paraId="5F9D8B0B" w14:textId="3871E357" w:rsidR="001548C2" w:rsidRDefault="001548C2" w:rsidP="004F307D">
      <w:pPr>
        <w:pStyle w:val="ListBullet"/>
      </w:pPr>
      <w:r>
        <w:t xml:space="preserve">Section </w:t>
      </w:r>
      <w:r w:rsidR="00493F0C">
        <w:fldChar w:fldCharType="begin"/>
      </w:r>
      <w:r w:rsidR="00493F0C">
        <w:instrText xml:space="preserve"> REF _Ref534706439 \r \h </w:instrText>
      </w:r>
      <w:r w:rsidR="00493F0C">
        <w:fldChar w:fldCharType="separate"/>
      </w:r>
      <w:r w:rsidR="00F47C96">
        <w:t>2.5</w:t>
      </w:r>
      <w:r w:rsidR="00493F0C">
        <w:fldChar w:fldCharType="end"/>
      </w:r>
      <w:r w:rsidR="00042653">
        <w:t xml:space="preserve"> </w:t>
      </w:r>
      <w:r>
        <w:t xml:space="preserve">examines the addition of ‘below the line’ costs, which were introduced in this study to </w:t>
      </w:r>
      <w:r w:rsidR="00B928FE">
        <w:t xml:space="preserve">more </w:t>
      </w:r>
      <w:r>
        <w:t xml:space="preserve">fully capture the true economic costs of teaching and scholarship. </w:t>
      </w:r>
    </w:p>
    <w:p w14:paraId="39EC1B15" w14:textId="0B3A2715" w:rsidR="001548C2" w:rsidRPr="00E91083" w:rsidRDefault="001548C2" w:rsidP="004F307D">
      <w:pPr>
        <w:pStyle w:val="ListBullet"/>
      </w:pPr>
      <w:r>
        <w:t xml:space="preserve">Section </w:t>
      </w:r>
      <w:r w:rsidR="00493F0C">
        <w:fldChar w:fldCharType="begin"/>
      </w:r>
      <w:r w:rsidR="00493F0C">
        <w:instrText xml:space="preserve"> REF _Ref532935334 \r \h </w:instrText>
      </w:r>
      <w:r w:rsidR="00493F0C">
        <w:fldChar w:fldCharType="separate"/>
      </w:r>
      <w:r w:rsidR="00F47C96">
        <w:t>2.6</w:t>
      </w:r>
      <w:r w:rsidR="00493F0C">
        <w:fldChar w:fldCharType="end"/>
      </w:r>
      <w:r w:rsidR="00042653">
        <w:t xml:space="preserve"> </w:t>
      </w:r>
      <w:r>
        <w:t xml:space="preserve">provides consideration of some of the contextual factors that may influence cost, informed by the 2016 study of cost drivers and consultation with the sector. </w:t>
      </w:r>
    </w:p>
    <w:p w14:paraId="31D7D8A9" w14:textId="77777777" w:rsidR="001548C2" w:rsidRDefault="001548C2" w:rsidP="001548C2">
      <w:pPr>
        <w:pStyle w:val="Heading2"/>
        <w:numPr>
          <w:ilvl w:val="1"/>
          <w:numId w:val="1"/>
        </w:numPr>
      </w:pPr>
      <w:bookmarkStart w:id="204" w:name="_Toc528855682"/>
      <w:bookmarkStart w:id="205" w:name="_Ref529202216"/>
      <w:bookmarkStart w:id="206" w:name="_Ref529786883"/>
      <w:bookmarkStart w:id="207" w:name="_Toc534713794"/>
      <w:r>
        <w:t>Distribution of types of costs</w:t>
      </w:r>
      <w:bookmarkEnd w:id="204"/>
      <w:bookmarkEnd w:id="205"/>
      <w:bookmarkEnd w:id="206"/>
      <w:bookmarkEnd w:id="207"/>
    </w:p>
    <w:p w14:paraId="409F91AD" w14:textId="77777777" w:rsidR="001548C2" w:rsidRPr="00BB51F6" w:rsidRDefault="001548C2" w:rsidP="001548C2">
      <w:pPr>
        <w:pStyle w:val="Heading3un-numbered"/>
      </w:pPr>
      <w:r>
        <w:t>Total costs attributable to teaching</w:t>
      </w:r>
    </w:p>
    <w:p w14:paraId="44A48239" w14:textId="66A37E83" w:rsidR="00206776" w:rsidRDefault="001548C2" w:rsidP="008544E6">
      <w:r>
        <w:t xml:space="preserve">Australian public universities </w:t>
      </w:r>
      <w:r w:rsidR="009D46B2">
        <w:t xml:space="preserve">generate </w:t>
      </w:r>
      <w:r>
        <w:t xml:space="preserve">a </w:t>
      </w:r>
      <w:r w:rsidR="009D46B2">
        <w:t xml:space="preserve">range </w:t>
      </w:r>
      <w:r>
        <w:t>of o</w:t>
      </w:r>
      <w:r w:rsidR="009D46B2">
        <w:t>utput</w:t>
      </w:r>
      <w:r>
        <w:t>s, includ</w:t>
      </w:r>
      <w:r w:rsidR="009D46B2">
        <w:t>ing</w:t>
      </w:r>
      <w:r>
        <w:t xml:space="preserve"> not </w:t>
      </w:r>
      <w:r w:rsidR="009D46B2">
        <w:t>only</w:t>
      </w:r>
      <w:r>
        <w:t xml:space="preserve"> teaching and scholarship</w:t>
      </w:r>
      <w:r w:rsidR="009D46B2">
        <w:t>,</w:t>
      </w:r>
      <w:r>
        <w:t xml:space="preserve"> but research, commercial activities and community </w:t>
      </w:r>
      <w:r w:rsidR="00042653">
        <w:t>outreach</w:t>
      </w:r>
      <w:r>
        <w:t xml:space="preserve">. </w:t>
      </w:r>
      <w:r w:rsidR="00C94E31">
        <w:t xml:space="preserve">Understanding the relative share of expenditure on teaching and scholarship relative to other activities is useful in </w:t>
      </w:r>
      <w:r w:rsidR="00C94E31">
        <w:lastRenderedPageBreak/>
        <w:t xml:space="preserve">understanding </w:t>
      </w:r>
      <w:r w:rsidR="00206776">
        <w:t>the extent to which these activities consume university resources as</w:t>
      </w:r>
      <w:r w:rsidR="00493F0C">
        <w:t xml:space="preserve"> </w:t>
      </w:r>
      <w:r w:rsidR="00206776">
        <w:t xml:space="preserve">well as the degree of variation across the sector. </w:t>
      </w:r>
    </w:p>
    <w:p w14:paraId="76249F84" w14:textId="2522B2F6" w:rsidR="001548C2" w:rsidRDefault="001548C2" w:rsidP="008544E6">
      <w:r>
        <w:t xml:space="preserve">As shown in </w:t>
      </w:r>
      <w:r w:rsidR="008544E6">
        <w:rPr>
          <w:highlight w:val="yellow"/>
        </w:rPr>
        <w:fldChar w:fldCharType="begin"/>
      </w:r>
      <w:r w:rsidR="008544E6">
        <w:instrText xml:space="preserve"> REF _Ref529190225 \r \h </w:instrText>
      </w:r>
      <w:r w:rsidR="008544E6">
        <w:rPr>
          <w:highlight w:val="yellow"/>
        </w:rPr>
      </w:r>
      <w:r w:rsidR="008544E6">
        <w:rPr>
          <w:highlight w:val="yellow"/>
        </w:rPr>
        <w:fldChar w:fldCharType="separate"/>
      </w:r>
      <w:r w:rsidR="00F47C96">
        <w:t>Chart 2.1</w:t>
      </w:r>
      <w:r w:rsidR="008544E6">
        <w:rPr>
          <w:highlight w:val="yellow"/>
        </w:rPr>
        <w:fldChar w:fldCharType="end"/>
      </w:r>
      <w:r w:rsidR="00C94E31">
        <w:t xml:space="preserve"> below</w:t>
      </w:r>
      <w:r>
        <w:t>, on average, 53% of all university costs in 2017 were attributable to teaching and scholarship activities, as opposed to other university functions.</w:t>
      </w:r>
      <w:r w:rsidR="008544E6">
        <w:t xml:space="preserve"> Yet</w:t>
      </w:r>
      <w:r>
        <w:t xml:space="preserve"> there </w:t>
      </w:r>
      <w:r w:rsidR="008544E6">
        <w:t xml:space="preserve">remains </w:t>
      </w:r>
      <w:r>
        <w:t xml:space="preserve">considerable variation across universities. While 16 of the 25 universities had between 50-70% of </w:t>
      </w:r>
      <w:r w:rsidR="00C94E31">
        <w:t xml:space="preserve">total </w:t>
      </w:r>
      <w:r>
        <w:t xml:space="preserve">costs attributable to teaching, </w:t>
      </w:r>
      <w:r w:rsidR="00C94E31">
        <w:t>this figure</w:t>
      </w:r>
      <w:r w:rsidR="008544E6">
        <w:t xml:space="preserve"> range</w:t>
      </w:r>
      <w:r w:rsidR="00C94E31">
        <w:t>d</w:t>
      </w:r>
      <w:r w:rsidR="008544E6">
        <w:t xml:space="preserve"> widely</w:t>
      </w:r>
      <w:r>
        <w:t xml:space="preserve"> from 33% to 84%</w:t>
      </w:r>
      <w:r w:rsidR="008544E6">
        <w:t xml:space="preserve"> of total costs</w:t>
      </w:r>
      <w:r>
        <w:t>.</w:t>
      </w:r>
    </w:p>
    <w:p w14:paraId="760890D9" w14:textId="77777777" w:rsidR="001548C2" w:rsidRDefault="001548C2" w:rsidP="008544E6">
      <w:r>
        <w:t xml:space="preserve">This reflects that, although universities have common functions and businesses operations, there is </w:t>
      </w:r>
      <w:r w:rsidR="008544E6">
        <w:t xml:space="preserve">still </w:t>
      </w:r>
      <w:r>
        <w:t xml:space="preserve">significant variation in the share of resources </w:t>
      </w:r>
      <w:r w:rsidR="009D46B2">
        <w:t>dedicated to</w:t>
      </w:r>
      <w:r>
        <w:t xml:space="preserve"> teaching and scholarship relative to other activities. </w:t>
      </w:r>
    </w:p>
    <w:p w14:paraId="41A9C573" w14:textId="6EDF57FA" w:rsidR="001548C2" w:rsidRDefault="001548C2" w:rsidP="008544E6">
      <w:r>
        <w:t xml:space="preserve">The average proportions of teaching cost by university affiliation </w:t>
      </w:r>
      <w:r w:rsidR="009D46B2">
        <w:t xml:space="preserve">highlight </w:t>
      </w:r>
      <w:r>
        <w:t xml:space="preserve">this point. </w:t>
      </w:r>
      <w:r w:rsidR="008544E6">
        <w:fldChar w:fldCharType="begin"/>
      </w:r>
      <w:r w:rsidR="008544E6">
        <w:instrText xml:space="preserve"> REF _Ref529190331 \r \h </w:instrText>
      </w:r>
      <w:r w:rsidR="008544E6">
        <w:fldChar w:fldCharType="separate"/>
      </w:r>
      <w:r w:rsidR="00F47C96">
        <w:t>Chart 2.2</w:t>
      </w:r>
      <w:r w:rsidR="008544E6">
        <w:fldChar w:fldCharType="end"/>
      </w:r>
      <w:r>
        <w:t xml:space="preserve"> shows a significantly lower </w:t>
      </w:r>
      <w:r w:rsidR="009D46B2">
        <w:t xml:space="preserve">average </w:t>
      </w:r>
      <w:r>
        <w:t xml:space="preserve">share of total expenses attributed to teaching for Group of Eight universities (42% compared to an average of 53%), which </w:t>
      </w:r>
      <w:r w:rsidR="009D46B2">
        <w:t xml:space="preserve">is likely to </w:t>
      </w:r>
      <w:r>
        <w:t xml:space="preserve">reflect their relative research-intensity and hence </w:t>
      </w:r>
      <w:r w:rsidR="00C94E31">
        <w:t xml:space="preserve">allocation of </w:t>
      </w:r>
      <w:r>
        <w:t xml:space="preserve">a greater share of expenses </w:t>
      </w:r>
      <w:r w:rsidR="00C94E31">
        <w:t xml:space="preserve">to </w:t>
      </w:r>
      <w:r>
        <w:t>research activities.</w:t>
      </w:r>
    </w:p>
    <w:p w14:paraId="2908A6EB" w14:textId="77777777" w:rsidR="001548C2" w:rsidRDefault="009D46B2" w:rsidP="008544E6">
      <w:r>
        <w:t>O</w:t>
      </w:r>
      <w:r w:rsidR="001548C2">
        <w:t xml:space="preserve">ther university groups have less varied </w:t>
      </w:r>
      <w:r>
        <w:t xml:space="preserve">average ratios of </w:t>
      </w:r>
      <w:r w:rsidR="008544E6">
        <w:t>teaching</w:t>
      </w:r>
      <w:r>
        <w:t xml:space="preserve"> to total</w:t>
      </w:r>
      <w:r w:rsidR="008544E6">
        <w:t xml:space="preserve"> cost, with </w:t>
      </w:r>
      <w:r>
        <w:t xml:space="preserve">the </w:t>
      </w:r>
      <w:r w:rsidR="008544E6">
        <w:t xml:space="preserve">exception </w:t>
      </w:r>
      <w:r>
        <w:t>of</w:t>
      </w:r>
      <w:r w:rsidR="001548C2">
        <w:t xml:space="preserve"> the Regional Universities Network, which had a relatively high proportion of total cos</w:t>
      </w:r>
      <w:r w:rsidR="008544E6">
        <w:t>ts allocated to teaching (72%).</w:t>
      </w:r>
    </w:p>
    <w:p w14:paraId="4BF84C8D" w14:textId="77777777" w:rsidR="001548C2" w:rsidRDefault="001548C2" w:rsidP="001548C2">
      <w:pPr>
        <w:pStyle w:val="CaptionChart"/>
      </w:pPr>
      <w:bookmarkStart w:id="208" w:name="_Toc528855703"/>
      <w:bookmarkStart w:id="209" w:name="_Ref529190225"/>
      <w:bookmarkStart w:id="210" w:name="_Ref529202212"/>
      <w:bookmarkStart w:id="211" w:name="_Toc534713824"/>
      <w:r>
        <w:t>: Proportion of total costs attributable to teaching</w:t>
      </w:r>
      <w:bookmarkEnd w:id="208"/>
      <w:bookmarkEnd w:id="209"/>
      <w:bookmarkEnd w:id="210"/>
      <w:bookmarkEnd w:id="211"/>
      <w:r>
        <w:t xml:space="preserve"> </w:t>
      </w:r>
    </w:p>
    <w:p w14:paraId="0F9DAC7F" w14:textId="04BA4C8C" w:rsidR="008544E6" w:rsidRDefault="004F3C52" w:rsidP="001548C2">
      <w:r w:rsidRPr="004F3C52">
        <w:rPr>
          <w:noProof/>
          <w:lang w:eastAsia="en-AU"/>
        </w:rPr>
        <w:t xml:space="preserve"> </w:t>
      </w:r>
      <w:r w:rsidR="00647A99">
        <w:rPr>
          <w:noProof/>
          <w:lang w:eastAsia="en-AU"/>
        </w:rPr>
        <w:drawing>
          <wp:inline distT="0" distB="0" distL="0" distR="0" wp14:anchorId="52FB7106" wp14:editId="78A40EC1">
            <wp:extent cx="4410000" cy="23688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EEF2D80" w14:textId="77777777" w:rsidR="001548C2" w:rsidRDefault="001548C2" w:rsidP="001548C2">
      <w:pPr>
        <w:pStyle w:val="CaptionChart"/>
      </w:pPr>
      <w:bookmarkStart w:id="212" w:name="_Toc531639026"/>
      <w:bookmarkStart w:id="213" w:name="_Toc531639188"/>
      <w:bookmarkStart w:id="214" w:name="_Toc528855704"/>
      <w:bookmarkStart w:id="215" w:name="_Ref529190331"/>
      <w:bookmarkStart w:id="216" w:name="_Ref534713378"/>
      <w:bookmarkStart w:id="217" w:name="_Toc534713825"/>
      <w:bookmarkEnd w:id="212"/>
      <w:bookmarkEnd w:id="213"/>
      <w:r>
        <w:t>: Proportion of costs attributable to teaching by university affiliation</w:t>
      </w:r>
      <w:bookmarkEnd w:id="214"/>
      <w:bookmarkEnd w:id="215"/>
      <w:bookmarkEnd w:id="216"/>
      <w:bookmarkEnd w:id="217"/>
      <w:r>
        <w:t xml:space="preserve"> </w:t>
      </w:r>
    </w:p>
    <w:p w14:paraId="28B1452B" w14:textId="77777777" w:rsidR="001548C2" w:rsidRDefault="004F3C52" w:rsidP="001548C2">
      <w:r w:rsidRPr="004F3C52">
        <w:rPr>
          <w:noProof/>
          <w:lang w:eastAsia="en-AU"/>
        </w:rPr>
        <w:t xml:space="preserve"> </w:t>
      </w:r>
      <w:r>
        <w:rPr>
          <w:noProof/>
          <w:lang w:eastAsia="en-AU"/>
        </w:rPr>
        <w:drawing>
          <wp:inline distT="0" distB="0" distL="0" distR="0" wp14:anchorId="11A19349" wp14:editId="7E9C163B">
            <wp:extent cx="4410000" cy="2368800"/>
            <wp:effectExtent l="0" t="0" r="0" b="0"/>
            <wp:docPr id="25796247" name="Chart 2579624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3B748E8" w14:textId="77777777" w:rsidR="001548C2" w:rsidRDefault="001548C2" w:rsidP="001548C2">
      <w:pPr>
        <w:pStyle w:val="Heading3un-numbered"/>
      </w:pPr>
      <w:r>
        <w:lastRenderedPageBreak/>
        <w:t xml:space="preserve">Teaching costs attributable to staff </w:t>
      </w:r>
    </w:p>
    <w:p w14:paraId="1974AE4C" w14:textId="77777777" w:rsidR="001548C2" w:rsidRDefault="001548C2" w:rsidP="008544E6">
      <w:r>
        <w:t xml:space="preserve">As a service industry, typically delivered face-to-face by highly skilled professionals, universities are highly labour intensive, and hence labour costs are likely to represent a significant contribution to total teaching costs.   </w:t>
      </w:r>
    </w:p>
    <w:p w14:paraId="2C4F4E10" w14:textId="537543FF" w:rsidR="001548C2" w:rsidRDefault="001548C2" w:rsidP="008544E6">
      <w:r>
        <w:t>On average, 6</w:t>
      </w:r>
      <w:r w:rsidR="006476AC">
        <w:t>0</w:t>
      </w:r>
      <w:r>
        <w:t xml:space="preserve">% of teaching costs </w:t>
      </w:r>
      <w:r w:rsidR="008544E6">
        <w:t xml:space="preserve">were </w:t>
      </w:r>
      <w:r>
        <w:t>attributable to staff,</w:t>
      </w:r>
      <w:r>
        <w:rPr>
          <w:rStyle w:val="FootnoteReference"/>
        </w:rPr>
        <w:footnoteReference w:id="14"/>
      </w:r>
      <w:r>
        <w:t xml:space="preserve"> </w:t>
      </w:r>
      <w:r w:rsidR="00220950">
        <w:t xml:space="preserve">with </w:t>
      </w:r>
      <w:r w:rsidR="006476AC">
        <w:t>22</w:t>
      </w:r>
      <w:r>
        <w:t xml:space="preserve"> of 25 universities (</w:t>
      </w:r>
      <w:r w:rsidR="003923CC">
        <w:t>88</w:t>
      </w:r>
      <w:r>
        <w:t>%) ha</w:t>
      </w:r>
      <w:r w:rsidR="00220950">
        <w:t>ving</w:t>
      </w:r>
      <w:r>
        <w:t xml:space="preserve"> staff teaching costs </w:t>
      </w:r>
      <w:r w:rsidR="00C502EF">
        <w:t>between</w:t>
      </w:r>
      <w:r>
        <w:t xml:space="preserve"> 50-70% of all teaching costs (</w:t>
      </w:r>
      <w:r w:rsidR="00795236">
        <w:fldChar w:fldCharType="begin"/>
      </w:r>
      <w:r w:rsidR="00795236">
        <w:instrText xml:space="preserve"> REF _Ref529190555 \r \h </w:instrText>
      </w:r>
      <w:r w:rsidR="00795236">
        <w:fldChar w:fldCharType="separate"/>
      </w:r>
      <w:r w:rsidR="00F47C96">
        <w:t>Chart 2.3</w:t>
      </w:r>
      <w:r w:rsidR="00795236">
        <w:fldChar w:fldCharType="end"/>
      </w:r>
      <w:r>
        <w:t xml:space="preserve">). </w:t>
      </w:r>
    </w:p>
    <w:p w14:paraId="797274FB" w14:textId="77777777" w:rsidR="001548C2" w:rsidRDefault="001548C2" w:rsidP="008544E6">
      <w:r>
        <w:t>These proportions range</w:t>
      </w:r>
      <w:r w:rsidR="00220950">
        <w:t>d</w:t>
      </w:r>
      <w:r>
        <w:t xml:space="preserve"> from </w:t>
      </w:r>
      <w:r w:rsidR="006476AC">
        <w:t>47</w:t>
      </w:r>
      <w:r>
        <w:t xml:space="preserve">% to </w:t>
      </w:r>
      <w:r w:rsidR="006476AC">
        <w:t>71</w:t>
      </w:r>
      <w:r>
        <w:t xml:space="preserve">% of total teaching costs, which </w:t>
      </w:r>
      <w:r w:rsidR="00795236">
        <w:t xml:space="preserve">may </w:t>
      </w:r>
      <w:r>
        <w:t>represent variations in:</w:t>
      </w:r>
    </w:p>
    <w:p w14:paraId="36FEB1BA" w14:textId="77777777" w:rsidR="001548C2" w:rsidRDefault="001548C2" w:rsidP="008544E6">
      <w:pPr>
        <w:pStyle w:val="ListBullet"/>
      </w:pPr>
      <w:r>
        <w:t xml:space="preserve">Scale, where size allows for fewer staff per enrolment; </w:t>
      </w:r>
    </w:p>
    <w:p w14:paraId="63F4FFD0" w14:textId="77777777" w:rsidR="001548C2" w:rsidRDefault="001548C2" w:rsidP="008544E6">
      <w:pPr>
        <w:pStyle w:val="ListBullet"/>
      </w:pPr>
      <w:r>
        <w:t xml:space="preserve">Teaching and classroom practices, where some universities will adopt more intensive student-staff ratios; </w:t>
      </w:r>
    </w:p>
    <w:p w14:paraId="4906C732" w14:textId="77777777" w:rsidR="001548C2" w:rsidRDefault="001548C2" w:rsidP="008544E6">
      <w:pPr>
        <w:pStyle w:val="ListBullet"/>
      </w:pPr>
      <w:r>
        <w:t xml:space="preserve">Discipline focus, where some disciplines require smaller class sizes or more intensive teaching; </w:t>
      </w:r>
    </w:p>
    <w:p w14:paraId="2414B3F0" w14:textId="77777777" w:rsidR="001548C2" w:rsidRDefault="001548C2" w:rsidP="008544E6">
      <w:pPr>
        <w:pStyle w:val="ListBullet"/>
      </w:pPr>
      <w:r>
        <w:t xml:space="preserve">Differences in staff per student ratios </w:t>
      </w:r>
      <w:r w:rsidR="00795236">
        <w:t xml:space="preserve">across </w:t>
      </w:r>
      <w:r>
        <w:t>different levels of education</w:t>
      </w:r>
      <w:r w:rsidR="00795236">
        <w:t>, and corresponding variations in focus across levels</w:t>
      </w:r>
      <w:r>
        <w:t>;</w:t>
      </w:r>
      <w:r w:rsidR="00795236">
        <w:t xml:space="preserve"> and</w:t>
      </w:r>
    </w:p>
    <w:p w14:paraId="4947D1CF" w14:textId="77777777" w:rsidR="001548C2" w:rsidRDefault="001548C2" w:rsidP="008544E6">
      <w:pPr>
        <w:pStyle w:val="ListBullet"/>
      </w:pPr>
      <w:r>
        <w:t>Differences in mode of delivery with different modes of delivery potentially utilising a different mix of labour and capital inputs.</w:t>
      </w:r>
    </w:p>
    <w:p w14:paraId="6348C0F2" w14:textId="26F0AC5E" w:rsidR="001548C2" w:rsidRPr="00BB51F6" w:rsidRDefault="001548C2" w:rsidP="008544E6">
      <w:r>
        <w:t xml:space="preserve">Notably, for </w:t>
      </w:r>
      <w:r w:rsidR="006476AC">
        <w:t>23</w:t>
      </w:r>
      <w:r>
        <w:t xml:space="preserve"> of 25 universities (</w:t>
      </w:r>
      <w:r w:rsidR="006476AC">
        <w:t>92</w:t>
      </w:r>
      <w:r>
        <w:t xml:space="preserve">%), staffing costs accounted for greater than half of teaching costs, which emphasises the relative importance of labour costs, and subsequently, the impact that variations in the measurement and attribution of labour costs can have on the results of this exercise. These considerations </w:t>
      </w:r>
      <w:proofErr w:type="gramStart"/>
      <w:r>
        <w:t>a</w:t>
      </w:r>
      <w:r w:rsidR="00795236">
        <w:t>re discussed</w:t>
      </w:r>
      <w:proofErr w:type="gramEnd"/>
      <w:r w:rsidR="00795236">
        <w:t xml:space="preserve"> in more detail in</w:t>
      </w:r>
      <w:r w:rsidR="008A3662">
        <w:t xml:space="preserve"> Section </w:t>
      </w:r>
      <w:r w:rsidR="008A3662">
        <w:fldChar w:fldCharType="begin"/>
      </w:r>
      <w:r w:rsidR="008A3662">
        <w:instrText xml:space="preserve"> REF _Ref532206251 \r \h </w:instrText>
      </w:r>
      <w:r w:rsidR="008A3662">
        <w:fldChar w:fldCharType="separate"/>
      </w:r>
      <w:r w:rsidR="00F47C96">
        <w:t>3.2</w:t>
      </w:r>
      <w:r w:rsidR="008A3662">
        <w:fldChar w:fldCharType="end"/>
      </w:r>
      <w:r>
        <w:t xml:space="preserve">. </w:t>
      </w:r>
    </w:p>
    <w:p w14:paraId="791F0071" w14:textId="77777777" w:rsidR="001548C2" w:rsidRDefault="001548C2" w:rsidP="001548C2">
      <w:pPr>
        <w:pStyle w:val="CaptionChart"/>
      </w:pPr>
      <w:bookmarkStart w:id="218" w:name="_Ref531363673"/>
      <w:bookmarkStart w:id="219" w:name="_Toc534713826"/>
      <w:bookmarkStart w:id="220" w:name="_Toc528855705"/>
      <w:bookmarkStart w:id="221" w:name="_Ref529190555"/>
      <w:r>
        <w:t>: Proportion of teaching costs attributable to staff (versus non-staff)</w:t>
      </w:r>
      <w:bookmarkEnd w:id="218"/>
      <w:bookmarkEnd w:id="219"/>
      <w:r>
        <w:t xml:space="preserve">  </w:t>
      </w:r>
      <w:bookmarkEnd w:id="220"/>
      <w:bookmarkEnd w:id="221"/>
    </w:p>
    <w:p w14:paraId="3560EAE9" w14:textId="7A175AF8" w:rsidR="001548C2" w:rsidRPr="00BB51F6" w:rsidRDefault="004F3C52" w:rsidP="001548C2">
      <w:r w:rsidRPr="004F3C52">
        <w:rPr>
          <w:noProof/>
          <w:lang w:eastAsia="en-AU"/>
        </w:rPr>
        <w:t xml:space="preserve"> </w:t>
      </w:r>
      <w:r w:rsidR="00647A99">
        <w:rPr>
          <w:noProof/>
          <w:lang w:eastAsia="en-AU"/>
        </w:rPr>
        <w:drawing>
          <wp:inline distT="0" distB="0" distL="0" distR="0" wp14:anchorId="2AB4A8FF" wp14:editId="08A78BEA">
            <wp:extent cx="4410000" cy="2368800"/>
            <wp:effectExtent l="0" t="0" r="0" b="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220A9DC" w14:textId="77777777" w:rsidR="001548C2" w:rsidRDefault="001548C2" w:rsidP="001548C2">
      <w:pPr>
        <w:pStyle w:val="Heading3un-numbered"/>
      </w:pPr>
      <w:r>
        <w:t xml:space="preserve">Average unit teaching costs </w:t>
      </w:r>
    </w:p>
    <w:p w14:paraId="1A214620" w14:textId="77777777" w:rsidR="001548C2" w:rsidRDefault="001548C2" w:rsidP="00795236">
      <w:r>
        <w:t>The key outputs of this exercise relat</w:t>
      </w:r>
      <w:r w:rsidR="00795236">
        <w:t>e</w:t>
      </w:r>
      <w:r>
        <w:t xml:space="preserve"> to unit teaching costs, </w:t>
      </w:r>
      <w:r w:rsidR="00A8242F">
        <w:t xml:space="preserve">namely </w:t>
      </w:r>
      <w:r>
        <w:t xml:space="preserve">average costs per EFTSL, and the variation in these </w:t>
      </w:r>
      <w:r w:rsidR="00A8242F">
        <w:t xml:space="preserve">unit </w:t>
      </w:r>
      <w:r>
        <w:t xml:space="preserve">costs by field and level of education. </w:t>
      </w:r>
    </w:p>
    <w:p w14:paraId="098BEE01" w14:textId="044CB56E" w:rsidR="001548C2" w:rsidRDefault="001548C2" w:rsidP="00795236">
      <w:r>
        <w:t>While the average unit cost is $18,</w:t>
      </w:r>
      <w:r w:rsidR="006712D0">
        <w:t>400</w:t>
      </w:r>
      <w:r>
        <w:t xml:space="preserve">, </w:t>
      </w:r>
      <w:r w:rsidR="00795236">
        <w:fldChar w:fldCharType="begin"/>
      </w:r>
      <w:r w:rsidR="00795236">
        <w:instrText xml:space="preserve"> REF _Ref529190733 \r \h </w:instrText>
      </w:r>
      <w:r w:rsidR="00795236">
        <w:fldChar w:fldCharType="separate"/>
      </w:r>
      <w:r w:rsidR="00F47C96">
        <w:t>Chart 2.4</w:t>
      </w:r>
      <w:r w:rsidR="00795236">
        <w:fldChar w:fldCharType="end"/>
      </w:r>
      <w:r w:rsidR="00795236">
        <w:t xml:space="preserve"> </w:t>
      </w:r>
      <w:r>
        <w:t xml:space="preserve">shows that the average </w:t>
      </w:r>
      <w:r w:rsidR="00795236">
        <w:t xml:space="preserve">unit cost at each </w:t>
      </w:r>
      <w:r>
        <w:t xml:space="preserve">institution </w:t>
      </w:r>
      <w:r w:rsidR="00795236">
        <w:t>can vary</w:t>
      </w:r>
      <w:r>
        <w:t xml:space="preserve">, </w:t>
      </w:r>
      <w:r w:rsidR="00795236">
        <w:t xml:space="preserve">ranging </w:t>
      </w:r>
      <w:r>
        <w:t>from $14,</w:t>
      </w:r>
      <w:r w:rsidR="006712D0">
        <w:t xml:space="preserve">100 </w:t>
      </w:r>
      <w:r>
        <w:t>(24% below average) to $24,</w:t>
      </w:r>
      <w:r w:rsidR="006712D0">
        <w:t xml:space="preserve">400 </w:t>
      </w:r>
      <w:r>
        <w:t xml:space="preserve">(32% above average).  </w:t>
      </w:r>
    </w:p>
    <w:p w14:paraId="58364E90" w14:textId="77777777" w:rsidR="001548C2" w:rsidRDefault="001548C2" w:rsidP="00795236">
      <w:r>
        <w:t>This variation represents</w:t>
      </w:r>
      <w:r w:rsidR="00A8242F">
        <w:t>, in part,</w:t>
      </w:r>
      <w:r>
        <w:t xml:space="preserve"> the varied focus and contextual factors </w:t>
      </w:r>
      <w:r w:rsidR="00A8242F">
        <w:t xml:space="preserve">of </w:t>
      </w:r>
      <w:r>
        <w:t>universities across the sector</w:t>
      </w:r>
      <w:r w:rsidR="00AB5654">
        <w:t xml:space="preserve">. The following sections examine the degree of variation </w:t>
      </w:r>
      <w:r w:rsidR="00A8242F">
        <w:t>in unit costs across</w:t>
      </w:r>
      <w:r w:rsidR="00AB5654">
        <w:t xml:space="preserve"> qualification level</w:t>
      </w:r>
      <w:r w:rsidR="00A8242F">
        <w:t>s</w:t>
      </w:r>
      <w:r w:rsidR="00AB5654">
        <w:t xml:space="preserve"> and field</w:t>
      </w:r>
      <w:r w:rsidR="00A8242F">
        <w:t>s</w:t>
      </w:r>
      <w:r>
        <w:t xml:space="preserve"> </w:t>
      </w:r>
      <w:r w:rsidR="00AB5654">
        <w:t>of education</w:t>
      </w:r>
      <w:r w:rsidR="00A8242F">
        <w:t xml:space="preserve">. Other drivers of variation </w:t>
      </w:r>
      <w:proofErr w:type="gramStart"/>
      <w:r w:rsidR="00A8242F">
        <w:t>are also examined</w:t>
      </w:r>
      <w:proofErr w:type="gramEnd"/>
      <w:r w:rsidR="00A8242F">
        <w:t>, inc</w:t>
      </w:r>
      <w:r>
        <w:t xml:space="preserve">luding: </w:t>
      </w:r>
    </w:p>
    <w:p w14:paraId="3670DEFA" w14:textId="77777777" w:rsidR="001548C2" w:rsidRDefault="00795236" w:rsidP="00795236">
      <w:pPr>
        <w:pStyle w:val="ListBullet"/>
      </w:pPr>
      <w:r>
        <w:lastRenderedPageBreak/>
        <w:t>Economies</w:t>
      </w:r>
      <w:r w:rsidR="001548C2">
        <w:t xml:space="preserve"> of scale</w:t>
      </w:r>
      <w:r>
        <w:t xml:space="preserve">, which is </w:t>
      </w:r>
      <w:r w:rsidR="001548C2">
        <w:t xml:space="preserve">a well-recognised driver of cost, </w:t>
      </w:r>
      <w:r>
        <w:t>and may</w:t>
      </w:r>
      <w:r w:rsidR="004F307D">
        <w:t xml:space="preserve"> </w:t>
      </w:r>
      <w:r w:rsidR="001548C2">
        <w:t>also reflect market demand, teaching requirements, geographical differences or ‘thin markets’</w:t>
      </w:r>
      <w:r w:rsidR="00612FCE">
        <w:t>;</w:t>
      </w:r>
      <w:r w:rsidR="00FB7644">
        <w:t xml:space="preserve"> and</w:t>
      </w:r>
    </w:p>
    <w:p w14:paraId="2326EF8B" w14:textId="77777777" w:rsidR="001548C2" w:rsidRPr="00BB51F6" w:rsidRDefault="001548C2" w:rsidP="00FB7644">
      <w:pPr>
        <w:pStyle w:val="ListBullet"/>
      </w:pPr>
      <w:r>
        <w:t>Contextual factors such as systematic differences in activities and costs between metropolitan and regional campuses/delivery</w:t>
      </w:r>
      <w:r w:rsidR="00FB7644">
        <w:t>.</w:t>
      </w:r>
    </w:p>
    <w:p w14:paraId="27C06F5B" w14:textId="77777777" w:rsidR="001548C2" w:rsidRDefault="001548C2" w:rsidP="001548C2">
      <w:pPr>
        <w:pStyle w:val="CaptionChart"/>
      </w:pPr>
      <w:bookmarkStart w:id="222" w:name="_Toc528855706"/>
      <w:bookmarkStart w:id="223" w:name="_Ref529190733"/>
      <w:bookmarkStart w:id="224" w:name="_Ref531253937"/>
      <w:bookmarkStart w:id="225" w:name="_Ref531364314"/>
      <w:bookmarkStart w:id="226" w:name="_Toc534713827"/>
      <w:r>
        <w:t>: Average unit costs by university (all fields and levels)</w:t>
      </w:r>
      <w:bookmarkEnd w:id="222"/>
      <w:bookmarkEnd w:id="223"/>
      <w:bookmarkEnd w:id="224"/>
      <w:bookmarkEnd w:id="225"/>
      <w:bookmarkEnd w:id="226"/>
    </w:p>
    <w:p w14:paraId="1C7CB0F4" w14:textId="6D09D132" w:rsidR="001548C2" w:rsidRDefault="00DE64FB" w:rsidP="001548C2">
      <w:r>
        <w:rPr>
          <w:noProof/>
          <w:lang w:eastAsia="en-AU"/>
        </w:rPr>
        <w:drawing>
          <wp:inline distT="0" distB="0" distL="0" distR="0" wp14:anchorId="35D117CA" wp14:editId="4E4C52FD">
            <wp:extent cx="4410000" cy="23688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769D51A3" w14:textId="77777777" w:rsidR="00DD49A9" w:rsidRPr="00BB51F6" w:rsidRDefault="00DD49A9" w:rsidP="00495A65">
      <w:pPr>
        <w:pStyle w:val="Source"/>
      </w:pPr>
      <w:r>
        <w:t>Note: This includes all data observations.</w:t>
      </w:r>
    </w:p>
    <w:p w14:paraId="0C51C19F" w14:textId="77777777" w:rsidR="001548C2" w:rsidRDefault="001548C2" w:rsidP="001548C2">
      <w:pPr>
        <w:pStyle w:val="Heading2"/>
        <w:numPr>
          <w:ilvl w:val="1"/>
          <w:numId w:val="1"/>
        </w:numPr>
      </w:pPr>
      <w:bookmarkStart w:id="227" w:name="_Toc528855683"/>
      <w:bookmarkStart w:id="228" w:name="_Ref529288172"/>
      <w:bookmarkStart w:id="229" w:name="_Ref529786832"/>
      <w:bookmarkStart w:id="230" w:name="_Ref529786860"/>
      <w:bookmarkStart w:id="231" w:name="_Ref529786873"/>
      <w:bookmarkStart w:id="232" w:name="_Toc534713795"/>
      <w:r>
        <w:t>Costs by field and level of education</w:t>
      </w:r>
      <w:bookmarkEnd w:id="227"/>
      <w:bookmarkEnd w:id="228"/>
      <w:bookmarkEnd w:id="229"/>
      <w:bookmarkEnd w:id="230"/>
      <w:bookmarkEnd w:id="231"/>
      <w:bookmarkEnd w:id="232"/>
    </w:p>
    <w:p w14:paraId="377D975A" w14:textId="77777777" w:rsidR="00AB5654" w:rsidRPr="00AB5654" w:rsidRDefault="00AB5654" w:rsidP="00AB5654">
      <w:r>
        <w:t xml:space="preserve">This section </w:t>
      </w:r>
      <w:r w:rsidR="005873CA">
        <w:t>present</w:t>
      </w:r>
      <w:r w:rsidR="00A8242F">
        <w:t>s</w:t>
      </w:r>
      <w:r>
        <w:t xml:space="preserve"> the costs of teaching and scholarship by field and level of education. Before discussing the results in detail, </w:t>
      </w:r>
      <w:r w:rsidR="00C502EF">
        <w:t xml:space="preserve">the </w:t>
      </w:r>
      <w:r w:rsidR="005873CA">
        <w:t xml:space="preserve">first part of this section </w:t>
      </w:r>
      <w:r w:rsidR="00C502EF">
        <w:t xml:space="preserve">describes </w:t>
      </w:r>
      <w:r>
        <w:t xml:space="preserve">the sample size of each field and level of education and </w:t>
      </w:r>
      <w:r w:rsidR="005873CA">
        <w:t xml:space="preserve">discusses </w:t>
      </w:r>
      <w:r>
        <w:t xml:space="preserve">the approach taken to addressing outliers. </w:t>
      </w:r>
    </w:p>
    <w:p w14:paraId="68242013" w14:textId="77777777" w:rsidR="001548C2" w:rsidRDefault="001548C2" w:rsidP="00495A65">
      <w:pPr>
        <w:pStyle w:val="Heading3un-numbered"/>
      </w:pPr>
      <w:r>
        <w:t xml:space="preserve">Sample size for each field and level of education </w:t>
      </w:r>
    </w:p>
    <w:p w14:paraId="4CEF6493" w14:textId="55C95327" w:rsidR="001548C2" w:rsidRDefault="00795236" w:rsidP="00795236">
      <w:r>
        <w:t>W</w:t>
      </w:r>
      <w:r w:rsidR="001548C2">
        <w:t xml:space="preserve">hile universities offer a diverse and wide selection of disciplines and qualification types, some field and level combinations are significantly more common (e.g. Management and Commerce bachelor degrees are delivered at all 25 universities in the sample), while others are much less prominent, typically due to their specialist nature (e.g. Dental Studies, </w:t>
      </w:r>
      <w:r w:rsidR="0022424E">
        <w:t>8</w:t>
      </w:r>
      <w:r w:rsidR="001548C2">
        <w:t xml:space="preserve"> of 25 universities)</w:t>
      </w:r>
      <w:r>
        <w:t xml:space="preserve">. </w:t>
      </w:r>
      <w:r w:rsidR="00522DFB">
        <w:fldChar w:fldCharType="begin"/>
      </w:r>
      <w:r w:rsidR="00522DFB">
        <w:instrText xml:space="preserve"> REF _Ref531246478 \r \h </w:instrText>
      </w:r>
      <w:r w:rsidR="00522DFB">
        <w:fldChar w:fldCharType="separate"/>
      </w:r>
      <w:r w:rsidR="00F47C96">
        <w:t>Chart 2.5</w:t>
      </w:r>
      <w:r w:rsidR="00522DFB">
        <w:fldChar w:fldCharType="end"/>
      </w:r>
      <w:r w:rsidR="00522DFB">
        <w:t xml:space="preserve"> </w:t>
      </w:r>
      <w:r>
        <w:t>provides the sample size counts for each field-level combination.</w:t>
      </w:r>
      <w:r w:rsidR="001548C2">
        <w:t xml:space="preserve"> </w:t>
      </w:r>
    </w:p>
    <w:p w14:paraId="16F235EB" w14:textId="77777777" w:rsidR="001548C2" w:rsidRDefault="00AB5654" w:rsidP="00795236">
      <w:r>
        <w:t>I</w:t>
      </w:r>
      <w:r w:rsidR="001548C2">
        <w:t xml:space="preserve">n instances where a greater number of universities offer a specific field and level combination, there is greater confidence and robustness in the measurement of average costs. For costs with fewer respondents, while there is </w:t>
      </w:r>
      <w:r w:rsidR="004B065D">
        <w:t xml:space="preserve">sufficient </w:t>
      </w:r>
      <w:r w:rsidR="001548C2">
        <w:t xml:space="preserve">confidence in the </w:t>
      </w:r>
      <w:r w:rsidR="00795236">
        <w:t xml:space="preserve">individual </w:t>
      </w:r>
      <w:r w:rsidR="001548C2">
        <w:t>data provided by each institution, there is greater uncertainty whether the results are reflective of the sector as a whole,</w:t>
      </w:r>
      <w:r w:rsidR="00795236">
        <w:t xml:space="preserve"> or instead reflect </w:t>
      </w:r>
      <w:r w:rsidR="001548C2">
        <w:t xml:space="preserve">university-specific factors. </w:t>
      </w:r>
    </w:p>
    <w:p w14:paraId="650B3C08" w14:textId="77777777" w:rsidR="001548C2" w:rsidRDefault="00795236" w:rsidP="00795236">
      <w:r>
        <w:t>To this point, s</w:t>
      </w:r>
      <w:r w:rsidR="001548C2">
        <w:t xml:space="preserve">ampling </w:t>
      </w:r>
      <w:r>
        <w:t xml:space="preserve">for </w:t>
      </w:r>
      <w:r w:rsidR="001548C2">
        <w:t>sub-bachelor</w:t>
      </w:r>
      <w:r w:rsidR="004B065D">
        <w:t xml:space="preserve"> programs</w:t>
      </w:r>
      <w:r w:rsidR="001548C2">
        <w:t xml:space="preserve"> is systematically lower </w:t>
      </w:r>
      <w:proofErr w:type="gramStart"/>
      <w:r w:rsidR="001548C2">
        <w:t>than bachelor</w:t>
      </w:r>
      <w:proofErr w:type="gramEnd"/>
      <w:r w:rsidR="001548C2">
        <w:t xml:space="preserve"> and postgraduate, which is likely an accurate reflection of </w:t>
      </w:r>
      <w:r>
        <w:t xml:space="preserve">delivery in </w:t>
      </w:r>
      <w:r w:rsidR="001548C2">
        <w:t>the sector, given the fewer number of products offered and l</w:t>
      </w:r>
      <w:r>
        <w:t>ower enrolment numbers in total</w:t>
      </w:r>
      <w:r w:rsidR="001548C2">
        <w:t xml:space="preserve">.  Similarly, there are fewer observations for Food, Hospitality and Personal Services and Mixed Field Programmes, as these fields are typically a greater focus for vocational education providers.   </w:t>
      </w:r>
    </w:p>
    <w:p w14:paraId="7B0AD991" w14:textId="02E2BA2F" w:rsidR="00206776" w:rsidRDefault="00206776" w:rsidP="00795236">
      <w:r>
        <w:t xml:space="preserve">The analysis in this report excludes a number of university results for field-level combinations that were deemed </w:t>
      </w:r>
      <w:proofErr w:type="gramStart"/>
      <w:r>
        <w:t>to be outliers</w:t>
      </w:r>
      <w:proofErr w:type="gramEnd"/>
      <w:r>
        <w:t xml:space="preserve"> to the extent that they are unlikely to reflect the true cost of delivery. The approach to identifying outliers is set out in Box 2.1 below, while Box </w:t>
      </w:r>
      <w:r w:rsidR="0022424E">
        <w:t xml:space="preserve">2.2 </w:t>
      </w:r>
      <w:r>
        <w:t xml:space="preserve">discusses how to interpret the </w:t>
      </w:r>
      <w:r w:rsidR="0022424E">
        <w:t>‘</w:t>
      </w:r>
      <w:r>
        <w:t>Box and Whisker</w:t>
      </w:r>
      <w:r w:rsidR="0022424E">
        <w:t>’</w:t>
      </w:r>
      <w:r>
        <w:t xml:space="preserve"> plots used in subsequent sections of this chapter. </w:t>
      </w:r>
    </w:p>
    <w:p w14:paraId="6A4987A2" w14:textId="77777777" w:rsidR="001A39A3" w:rsidRDefault="001A39A3" w:rsidP="001A39A3">
      <w:pPr>
        <w:pStyle w:val="CaptionChart"/>
      </w:pPr>
      <w:bookmarkStart w:id="233" w:name="_Toc532245537"/>
      <w:bookmarkStart w:id="234" w:name="_Toc532376071"/>
      <w:bookmarkStart w:id="235" w:name="_Ref531246478"/>
      <w:bookmarkStart w:id="236" w:name="_Toc534713828"/>
      <w:bookmarkEnd w:id="233"/>
      <w:bookmarkEnd w:id="234"/>
      <w:r>
        <w:lastRenderedPageBreak/>
        <w:t>: Sample of cost observations by field and level of education</w:t>
      </w:r>
      <w:bookmarkEnd w:id="235"/>
      <w:r>
        <w:t xml:space="preserve"> </w:t>
      </w:r>
      <w:bookmarkEnd w:id="236"/>
    </w:p>
    <w:p w14:paraId="21E54AB7" w14:textId="446E677C" w:rsidR="001A39A3" w:rsidRDefault="00F22AE8" w:rsidP="001A39A3">
      <w:r>
        <w:rPr>
          <w:noProof/>
          <w:lang w:eastAsia="en-AU"/>
        </w:rPr>
        <w:drawing>
          <wp:inline distT="0" distB="0" distL="0" distR="0" wp14:anchorId="494A8CCC" wp14:editId="56E288F9">
            <wp:extent cx="4561743" cy="2731477"/>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7470016E" w14:textId="77777777" w:rsidR="001A39A3" w:rsidRDefault="001A39A3">
      <w:pPr>
        <w:pStyle w:val="Source"/>
      </w:pPr>
      <w:r>
        <w:t xml:space="preserve">Note: Maximum total count is 25. </w:t>
      </w:r>
      <w:r w:rsidR="00DD49A9">
        <w:t xml:space="preserve">Excluding outliers with fewer than </w:t>
      </w:r>
      <w:proofErr w:type="gramStart"/>
      <w:r w:rsidR="00DD49A9">
        <w:t>5</w:t>
      </w:r>
      <w:proofErr w:type="gramEnd"/>
      <w:r w:rsidR="00DD49A9">
        <w:t xml:space="preserve"> EFTSL. </w:t>
      </w:r>
    </w:p>
    <w:p w14:paraId="07F3C696" w14:textId="77777777" w:rsidR="001A39A3" w:rsidRDefault="001A39A3" w:rsidP="001A39A3">
      <w:pPr>
        <w:pStyle w:val="CaptionChart"/>
      </w:pPr>
      <w:bookmarkStart w:id="237" w:name="_Toc534713829"/>
      <w:r>
        <w:t xml:space="preserve">: </w:t>
      </w:r>
      <w:r w:rsidR="00DD49A9">
        <w:t xml:space="preserve">Count of outlier </w:t>
      </w:r>
      <w:r>
        <w:t xml:space="preserve">cost observations </w:t>
      </w:r>
      <w:r w:rsidR="00DD49A9">
        <w:t xml:space="preserve">removed </w:t>
      </w:r>
      <w:r>
        <w:t>by field and level of education</w:t>
      </w:r>
      <w:bookmarkEnd w:id="237"/>
    </w:p>
    <w:p w14:paraId="2E161214" w14:textId="5A84E31A" w:rsidR="001A39A3" w:rsidRDefault="00F22AE8" w:rsidP="001A39A3">
      <w:r>
        <w:rPr>
          <w:noProof/>
          <w:lang w:eastAsia="en-AU"/>
        </w:rPr>
        <w:drawing>
          <wp:inline distT="0" distB="0" distL="0" distR="0" wp14:anchorId="2F5A0EDA" wp14:editId="4BAD936B">
            <wp:extent cx="4561743" cy="2731477"/>
            <wp:effectExtent l="0" t="0" r="0" b="0"/>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1FC05BD7" w14:textId="77777777" w:rsidR="001A39A3" w:rsidRDefault="00DD49A9">
      <w:pPr>
        <w:pStyle w:val="Source"/>
      </w:pPr>
      <w:r>
        <w:t xml:space="preserve">Note: Outliers identified as cost observations delivered to fewer than </w:t>
      </w:r>
      <w:proofErr w:type="gramStart"/>
      <w:r>
        <w:t>5</w:t>
      </w:r>
      <w:proofErr w:type="gramEnd"/>
      <w:r>
        <w:t xml:space="preserve"> EFTSL. </w:t>
      </w:r>
    </w:p>
    <w:p w14:paraId="31900107" w14:textId="77777777" w:rsidR="006A39D8" w:rsidRDefault="006A39D8" w:rsidP="006118C2"/>
    <w:p w14:paraId="7C842CAD" w14:textId="3455474A" w:rsidR="0022424E" w:rsidRDefault="0022424E">
      <w:pPr>
        <w:spacing w:after="0"/>
      </w:pPr>
      <w:r>
        <w:br w:type="page"/>
      </w:r>
    </w:p>
    <w:tbl>
      <w:tblPr>
        <w:tblStyle w:val="TableGrid"/>
        <w:tblW w:w="0" w:type="auto"/>
        <w:shd w:val="clear" w:color="auto" w:fill="E7E6E6" w:themeFill="background2"/>
        <w:tblCellMar>
          <w:left w:w="108" w:type="dxa"/>
          <w:right w:w="108" w:type="dxa"/>
        </w:tblCellMar>
        <w:tblLook w:val="04A0" w:firstRow="1" w:lastRow="0" w:firstColumn="1" w:lastColumn="0" w:noHBand="0" w:noVBand="1"/>
      </w:tblPr>
      <w:tblGrid>
        <w:gridCol w:w="6945"/>
      </w:tblGrid>
      <w:tr w:rsidR="00CB6DC1" w:rsidRPr="00C97556" w14:paraId="0CA8CF22" w14:textId="77777777" w:rsidTr="00AB0F96">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tcPr>
          <w:p w14:paraId="41C4F596" w14:textId="77777777" w:rsidR="00CB6DC1" w:rsidRPr="009212BC" w:rsidRDefault="00CB6DC1" w:rsidP="00495A65">
            <w:pPr>
              <w:rPr>
                <w:b/>
                <w:sz w:val="16"/>
              </w:rPr>
            </w:pPr>
            <w:r w:rsidRPr="0046286C">
              <w:rPr>
                <w:b/>
                <w:sz w:val="16"/>
              </w:rPr>
              <w:lastRenderedPageBreak/>
              <w:t xml:space="preserve">Box </w:t>
            </w:r>
            <w:r w:rsidR="00051339" w:rsidRPr="00495A65">
              <w:rPr>
                <w:b/>
                <w:sz w:val="16"/>
              </w:rPr>
              <w:t>2.1</w:t>
            </w:r>
            <w:r w:rsidRPr="0046286C">
              <w:rPr>
                <w:b/>
                <w:sz w:val="16"/>
              </w:rPr>
              <w:t>:</w:t>
            </w:r>
            <w:r w:rsidRPr="00C97556">
              <w:rPr>
                <w:b/>
                <w:sz w:val="16"/>
              </w:rPr>
              <w:t xml:space="preserve"> </w:t>
            </w:r>
            <w:r w:rsidR="00051339">
              <w:rPr>
                <w:b/>
                <w:sz w:val="16"/>
              </w:rPr>
              <w:t xml:space="preserve">Data moderation process and exclusion of </w:t>
            </w:r>
            <w:r>
              <w:rPr>
                <w:b/>
                <w:sz w:val="16"/>
              </w:rPr>
              <w:t xml:space="preserve"> outliers </w:t>
            </w:r>
          </w:p>
          <w:p w14:paraId="3C0E6105" w14:textId="77777777" w:rsidR="00051339" w:rsidRPr="00495A65" w:rsidRDefault="00051339" w:rsidP="00495A65">
            <w:pPr>
              <w:rPr>
                <w:sz w:val="16"/>
              </w:rPr>
            </w:pPr>
            <w:r w:rsidRPr="00495A65">
              <w:rPr>
                <w:sz w:val="16"/>
              </w:rPr>
              <w:t xml:space="preserve">A moderation exercise </w:t>
            </w:r>
            <w:proofErr w:type="gramStart"/>
            <w:r w:rsidRPr="00495A65">
              <w:rPr>
                <w:sz w:val="16"/>
              </w:rPr>
              <w:t>was undertaken</w:t>
            </w:r>
            <w:proofErr w:type="gramEnd"/>
            <w:r w:rsidRPr="00495A65">
              <w:rPr>
                <w:sz w:val="16"/>
              </w:rPr>
              <w:t xml:space="preserve"> for each university upon receipt of the data. The goal of this exercise was to identify:</w:t>
            </w:r>
          </w:p>
          <w:p w14:paraId="0EACDB61" w14:textId="77777777" w:rsidR="00051339" w:rsidRPr="00495A65" w:rsidRDefault="00051339" w:rsidP="00495A65">
            <w:pPr>
              <w:pStyle w:val="ListBullet"/>
              <w:rPr>
                <w:sz w:val="16"/>
              </w:rPr>
            </w:pPr>
            <w:r w:rsidRPr="00495A65">
              <w:rPr>
                <w:sz w:val="16"/>
              </w:rPr>
              <w:t>any data entries that indicated an error had been made;</w:t>
            </w:r>
          </w:p>
          <w:p w14:paraId="1868D48F" w14:textId="77777777" w:rsidR="00051339" w:rsidRPr="00495A65" w:rsidRDefault="00051339" w:rsidP="00495A65">
            <w:pPr>
              <w:pStyle w:val="ListBullet"/>
              <w:rPr>
                <w:sz w:val="16"/>
              </w:rPr>
            </w:pPr>
            <w:r w:rsidRPr="00495A65">
              <w:rPr>
                <w:sz w:val="16"/>
              </w:rPr>
              <w:t>any outliers across FOEs or universities that should be further investigated; and</w:t>
            </w:r>
          </w:p>
          <w:p w14:paraId="08AF2DE5" w14:textId="77777777" w:rsidR="00051339" w:rsidRPr="00495A65" w:rsidRDefault="00051339" w:rsidP="00495A65">
            <w:pPr>
              <w:pStyle w:val="ListBullet"/>
              <w:rPr>
                <w:sz w:val="16"/>
              </w:rPr>
            </w:pPr>
            <w:proofErr w:type="gramStart"/>
            <w:r w:rsidRPr="00495A65">
              <w:rPr>
                <w:sz w:val="16"/>
              </w:rPr>
              <w:t>broad</w:t>
            </w:r>
            <w:proofErr w:type="gramEnd"/>
            <w:r w:rsidRPr="00495A65">
              <w:rPr>
                <w:sz w:val="16"/>
              </w:rPr>
              <w:t xml:space="preserve"> indicators of the results (such as relativities across FOEs, and spreads within FOEs) that may guide the analysis of the data.</w:t>
            </w:r>
          </w:p>
          <w:p w14:paraId="438069A8" w14:textId="77777777" w:rsidR="00051339" w:rsidRPr="00495A65" w:rsidRDefault="00051339" w:rsidP="00495A65">
            <w:pPr>
              <w:rPr>
                <w:sz w:val="16"/>
              </w:rPr>
            </w:pPr>
            <w:r w:rsidRPr="00495A65">
              <w:rPr>
                <w:sz w:val="16"/>
              </w:rPr>
              <w:t xml:space="preserve">The data </w:t>
            </w:r>
            <w:proofErr w:type="gramStart"/>
            <w:r w:rsidRPr="00495A65">
              <w:rPr>
                <w:sz w:val="16"/>
              </w:rPr>
              <w:t>was assessed</w:t>
            </w:r>
            <w:proofErr w:type="gramEnd"/>
            <w:r w:rsidRPr="00495A65">
              <w:rPr>
                <w:sz w:val="16"/>
              </w:rPr>
              <w:t xml:space="preserve"> for errors using standard data validation techniques. This included identifying any instances of negative costs or cost shares implied by the data, cost shares exceeding 100%, or salary costs exceeding threshold bounds. Where such issues </w:t>
            </w:r>
            <w:proofErr w:type="gramStart"/>
            <w:r w:rsidRPr="00495A65">
              <w:rPr>
                <w:sz w:val="16"/>
              </w:rPr>
              <w:t>were identified</w:t>
            </w:r>
            <w:proofErr w:type="gramEnd"/>
            <w:r w:rsidRPr="00495A65">
              <w:rPr>
                <w:sz w:val="16"/>
              </w:rPr>
              <w:t xml:space="preserve">, universities were followed up with to resolve the issue. The information provided in the qualitative submissions </w:t>
            </w:r>
            <w:proofErr w:type="gramStart"/>
            <w:r w:rsidRPr="00495A65">
              <w:rPr>
                <w:sz w:val="16"/>
              </w:rPr>
              <w:t>was also reviewed and used to inform the moderation process</w:t>
            </w:r>
            <w:proofErr w:type="gramEnd"/>
            <w:r w:rsidRPr="00495A65">
              <w:rPr>
                <w:sz w:val="16"/>
              </w:rPr>
              <w:t>.</w:t>
            </w:r>
          </w:p>
          <w:p w14:paraId="3062261A" w14:textId="77777777" w:rsidR="00051339" w:rsidRPr="00495A65" w:rsidRDefault="00051339" w:rsidP="00495A65">
            <w:pPr>
              <w:rPr>
                <w:sz w:val="16"/>
              </w:rPr>
            </w:pPr>
            <w:r w:rsidRPr="00495A65">
              <w:rPr>
                <w:sz w:val="16"/>
              </w:rPr>
              <w:t xml:space="preserve">Ultimately, following conversations and validation with participants, some costs observations remained outliers. In most cases, these were due to field and level observations with very low EFTSL counts resulting in both instances of relatively high and low cost per EFTSL. </w:t>
            </w:r>
          </w:p>
          <w:p w14:paraId="405C85A4" w14:textId="77777777" w:rsidR="00051339" w:rsidRPr="00495A65" w:rsidRDefault="00206776" w:rsidP="00495A65">
            <w:pPr>
              <w:rPr>
                <w:sz w:val="16"/>
              </w:rPr>
            </w:pPr>
            <w:r>
              <w:rPr>
                <w:sz w:val="16"/>
              </w:rPr>
              <w:t>Overall</w:t>
            </w:r>
            <w:r w:rsidR="007A063D" w:rsidRPr="00495A65">
              <w:rPr>
                <w:sz w:val="16"/>
              </w:rPr>
              <w:t>, average costs for all fields of education remained materially unchanged as a result of excluding outliers since excluded observations (both high and low) tended to be those with very small EFTSL.</w:t>
            </w:r>
            <w:r>
              <w:rPr>
                <w:sz w:val="16"/>
              </w:rPr>
              <w:t xml:space="preserve"> </w:t>
            </w:r>
            <w:r w:rsidR="00051339" w:rsidRPr="00495A65">
              <w:rPr>
                <w:sz w:val="16"/>
              </w:rPr>
              <w:t>However, for field-level combinations where only a small number of university observations are available including outliers can result in a relatively large (and likely unrealistic) spread of costs per EFTSL and can result in averages that may not reflect the typical cost of delivery</w:t>
            </w:r>
            <w:r w:rsidR="00E22AB1" w:rsidRPr="00495A65">
              <w:rPr>
                <w:sz w:val="16"/>
              </w:rPr>
              <w:t>. The impact o</w:t>
            </w:r>
            <w:r>
              <w:rPr>
                <w:sz w:val="16"/>
              </w:rPr>
              <w:t>f</w:t>
            </w:r>
            <w:r w:rsidR="00E22AB1" w:rsidRPr="00495A65">
              <w:rPr>
                <w:sz w:val="16"/>
              </w:rPr>
              <w:t xml:space="preserve"> excluded outliers on average costs by field of education is insignificant for most courses at the bachelor level but is </w:t>
            </w:r>
            <w:r w:rsidR="00051339" w:rsidRPr="00495A65">
              <w:rPr>
                <w:sz w:val="16"/>
              </w:rPr>
              <w:t xml:space="preserve">a significant issue for courses at the sub-bachelor level where sector EFTSL by field is especially low. </w:t>
            </w:r>
          </w:p>
          <w:p w14:paraId="387FC862" w14:textId="77777777" w:rsidR="00051339" w:rsidRPr="00495A65" w:rsidRDefault="00E22AB1" w:rsidP="00495A65">
            <w:pPr>
              <w:rPr>
                <w:sz w:val="16"/>
              </w:rPr>
            </w:pPr>
            <w:r w:rsidRPr="00495A65">
              <w:rPr>
                <w:sz w:val="16"/>
              </w:rPr>
              <w:t xml:space="preserve">To account for these effects, the average and distribution of results by field of education </w:t>
            </w:r>
            <w:proofErr w:type="gramStart"/>
            <w:r w:rsidRPr="00495A65">
              <w:rPr>
                <w:sz w:val="16"/>
              </w:rPr>
              <w:t>are presented</w:t>
            </w:r>
            <w:proofErr w:type="gramEnd"/>
            <w:r w:rsidRPr="00495A65">
              <w:rPr>
                <w:sz w:val="16"/>
              </w:rPr>
              <w:t xml:space="preserve"> after excluding outliers. </w:t>
            </w:r>
            <w:r w:rsidR="007A063D" w:rsidRPr="00495A65">
              <w:rPr>
                <w:sz w:val="16"/>
              </w:rPr>
              <w:t xml:space="preserve">This approach was consistent with the approach taken in the 2016 exercise. </w:t>
            </w:r>
            <w:r w:rsidRPr="00495A65">
              <w:rPr>
                <w:sz w:val="16"/>
              </w:rPr>
              <w:t xml:space="preserve">The following criteria </w:t>
            </w:r>
            <w:r w:rsidR="007A063D" w:rsidRPr="00495A65">
              <w:rPr>
                <w:sz w:val="16"/>
              </w:rPr>
              <w:t xml:space="preserve">were used to identify outliers, namely observations with:  </w:t>
            </w:r>
          </w:p>
          <w:p w14:paraId="19372F58" w14:textId="77777777" w:rsidR="007A063D" w:rsidRPr="00495A65" w:rsidRDefault="007A063D" w:rsidP="00495A65">
            <w:pPr>
              <w:pStyle w:val="ListBullet"/>
              <w:rPr>
                <w:sz w:val="16"/>
              </w:rPr>
            </w:pPr>
            <w:r w:rsidRPr="00495A65">
              <w:rPr>
                <w:sz w:val="16"/>
              </w:rPr>
              <w:t>EFTSL counts of less than five;</w:t>
            </w:r>
          </w:p>
          <w:p w14:paraId="75201157" w14:textId="77777777" w:rsidR="007A063D" w:rsidRPr="00495A65" w:rsidRDefault="007A063D" w:rsidP="00495A65">
            <w:pPr>
              <w:pStyle w:val="ListBullet"/>
              <w:rPr>
                <w:sz w:val="16"/>
              </w:rPr>
            </w:pPr>
            <w:r w:rsidRPr="00495A65">
              <w:rPr>
                <w:sz w:val="16"/>
              </w:rPr>
              <w:t>Costs per EFTSL of greater than $100,000 and an EFTSL count of less than 10;</w:t>
            </w:r>
          </w:p>
          <w:p w14:paraId="6A4636A8" w14:textId="77777777" w:rsidR="007A063D" w:rsidRPr="00495A65" w:rsidRDefault="007A063D" w:rsidP="00495A65">
            <w:pPr>
              <w:pStyle w:val="ListBullet"/>
              <w:rPr>
                <w:sz w:val="16"/>
              </w:rPr>
            </w:pPr>
            <w:r w:rsidRPr="00495A65">
              <w:rPr>
                <w:sz w:val="16"/>
              </w:rPr>
              <w:t>Costs per EFTSL greater than $300,000 (no observations this year were over this threshold); and</w:t>
            </w:r>
          </w:p>
          <w:p w14:paraId="22ABB535" w14:textId="77777777" w:rsidR="007A063D" w:rsidRPr="00495A65" w:rsidRDefault="007A063D" w:rsidP="00495A65">
            <w:pPr>
              <w:pStyle w:val="ListBullet"/>
              <w:rPr>
                <w:sz w:val="16"/>
              </w:rPr>
            </w:pPr>
            <w:r w:rsidRPr="00495A65">
              <w:rPr>
                <w:sz w:val="16"/>
              </w:rPr>
              <w:t xml:space="preserve">Instances where participating universities have noted that costs for a field level combination are not representative and do not capture true costs for that field and level combination.  </w:t>
            </w:r>
          </w:p>
          <w:p w14:paraId="3053747E" w14:textId="77777777" w:rsidR="00CB6DC1" w:rsidRPr="00C97556" w:rsidRDefault="007A063D" w:rsidP="004F307D">
            <w:pPr>
              <w:rPr>
                <w:sz w:val="16"/>
              </w:rPr>
            </w:pPr>
            <w:r>
              <w:rPr>
                <w:sz w:val="16"/>
              </w:rPr>
              <w:t>Observations that fell into any of the above c</w:t>
            </w:r>
            <w:r w:rsidR="008822E3">
              <w:rPr>
                <w:sz w:val="16"/>
              </w:rPr>
              <w:t xml:space="preserve">ategories </w:t>
            </w:r>
            <w:proofErr w:type="gramStart"/>
            <w:r w:rsidR="008822E3">
              <w:rPr>
                <w:sz w:val="16"/>
              </w:rPr>
              <w:t>were excluded</w:t>
            </w:r>
            <w:proofErr w:type="gramEnd"/>
            <w:r w:rsidR="008822E3">
              <w:rPr>
                <w:sz w:val="16"/>
              </w:rPr>
              <w:t xml:space="preserve"> in</w:t>
            </w:r>
            <w:r>
              <w:rPr>
                <w:sz w:val="16"/>
              </w:rPr>
              <w:t xml:space="preserve"> calculating the average and distribution of costs by field of education and level. </w:t>
            </w:r>
          </w:p>
        </w:tc>
      </w:tr>
    </w:tbl>
    <w:p w14:paraId="431EF829" w14:textId="71F9A80B" w:rsidR="0022424E" w:rsidRDefault="0022424E" w:rsidP="001548C2"/>
    <w:p w14:paraId="11B0AFB3" w14:textId="77777777" w:rsidR="0022424E" w:rsidRDefault="0022424E">
      <w:pPr>
        <w:spacing w:after="0"/>
      </w:pPr>
      <w:r>
        <w:br w:type="page"/>
      </w:r>
    </w:p>
    <w:tbl>
      <w:tblPr>
        <w:tblStyle w:val="TableGrid"/>
        <w:tblW w:w="0" w:type="auto"/>
        <w:shd w:val="clear" w:color="auto" w:fill="E7E6E6" w:themeFill="background2"/>
        <w:tblCellMar>
          <w:left w:w="108" w:type="dxa"/>
          <w:right w:w="108" w:type="dxa"/>
        </w:tblCellMar>
        <w:tblLook w:val="04A0" w:firstRow="1" w:lastRow="0" w:firstColumn="1" w:lastColumn="0" w:noHBand="0" w:noVBand="1"/>
      </w:tblPr>
      <w:tblGrid>
        <w:gridCol w:w="6945"/>
      </w:tblGrid>
      <w:tr w:rsidR="008822E3" w:rsidRPr="00C97556" w14:paraId="31AB62A4" w14:textId="77777777" w:rsidTr="000978C6">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tcPr>
          <w:p w14:paraId="16230833" w14:textId="77777777" w:rsidR="008822E3" w:rsidRDefault="008822E3" w:rsidP="00495A65">
            <w:pPr>
              <w:rPr>
                <w:b/>
                <w:sz w:val="16"/>
              </w:rPr>
            </w:pPr>
            <w:r w:rsidRPr="00C97556">
              <w:rPr>
                <w:b/>
                <w:sz w:val="16"/>
              </w:rPr>
              <w:lastRenderedPageBreak/>
              <w:t xml:space="preserve">Box </w:t>
            </w:r>
            <w:r>
              <w:rPr>
                <w:b/>
                <w:sz w:val="16"/>
              </w:rPr>
              <w:t>2.2</w:t>
            </w:r>
            <w:r w:rsidRPr="00C97556">
              <w:rPr>
                <w:b/>
                <w:sz w:val="16"/>
              </w:rPr>
              <w:t xml:space="preserve">: </w:t>
            </w:r>
            <w:r>
              <w:rPr>
                <w:b/>
                <w:sz w:val="16"/>
              </w:rPr>
              <w:t xml:space="preserve">Interpreting ‘box and whisker’ plots </w:t>
            </w:r>
          </w:p>
          <w:p w14:paraId="58FE550F" w14:textId="77777777" w:rsidR="004F307D" w:rsidRDefault="00987C79" w:rsidP="00495A65">
            <w:pPr>
              <w:rPr>
                <w:sz w:val="16"/>
              </w:rPr>
            </w:pPr>
            <w:r>
              <w:rPr>
                <w:sz w:val="16"/>
              </w:rPr>
              <w:t xml:space="preserve">Box and whisker plots </w:t>
            </w:r>
            <w:proofErr w:type="gramStart"/>
            <w:r>
              <w:rPr>
                <w:sz w:val="16"/>
              </w:rPr>
              <w:t>are commonly used</w:t>
            </w:r>
            <w:proofErr w:type="gramEnd"/>
            <w:r>
              <w:rPr>
                <w:sz w:val="16"/>
              </w:rPr>
              <w:t xml:space="preserve"> in statistical analysis to show both central points (i.e. medians or means) and the distribution, dispersion or variance of values. They usefully provide further detail on the range of values for groups of data and provide the reader with a sense of confidence or certainty regarding the representativeness of a central point. </w:t>
            </w:r>
          </w:p>
          <w:p w14:paraId="3011F3B2" w14:textId="77777777" w:rsidR="00987C79" w:rsidRDefault="00987C79" w:rsidP="00495A65">
            <w:pPr>
              <w:rPr>
                <w:sz w:val="16"/>
              </w:rPr>
            </w:pPr>
            <w:r>
              <w:rPr>
                <w:sz w:val="16"/>
              </w:rPr>
              <w:t>For the purposes of this report:</w:t>
            </w:r>
          </w:p>
          <w:p w14:paraId="3BBEC5F0" w14:textId="77777777" w:rsidR="00987C79" w:rsidRDefault="00987C79" w:rsidP="00495A65">
            <w:pPr>
              <w:pStyle w:val="ListBullet"/>
              <w:rPr>
                <w:sz w:val="16"/>
              </w:rPr>
            </w:pPr>
            <w:r w:rsidRPr="0046286C">
              <w:rPr>
                <w:sz w:val="16"/>
              </w:rPr>
              <w:t>T</w:t>
            </w:r>
            <w:r w:rsidRPr="00F31311">
              <w:rPr>
                <w:sz w:val="16"/>
              </w:rPr>
              <w:t xml:space="preserve">he </w:t>
            </w:r>
            <w:r>
              <w:rPr>
                <w:sz w:val="16"/>
              </w:rPr>
              <w:t>c</w:t>
            </w:r>
            <w:r w:rsidRPr="00495A65">
              <w:rPr>
                <w:sz w:val="16"/>
              </w:rPr>
              <w:t xml:space="preserve">entral markers </w:t>
            </w:r>
            <w:proofErr w:type="gramStart"/>
            <w:r w:rsidRPr="00495A65">
              <w:rPr>
                <w:sz w:val="16"/>
              </w:rPr>
              <w:t>are measured</w:t>
            </w:r>
            <w:proofErr w:type="gramEnd"/>
            <w:r w:rsidRPr="00495A65">
              <w:rPr>
                <w:sz w:val="16"/>
              </w:rPr>
              <w:t xml:space="preserve"> at the mean of the distribution. </w:t>
            </w:r>
          </w:p>
          <w:p w14:paraId="20BC4C99" w14:textId="77777777" w:rsidR="00987C79" w:rsidRDefault="00987C79" w:rsidP="00495A65">
            <w:pPr>
              <w:pStyle w:val="ListBullet"/>
              <w:rPr>
                <w:sz w:val="16"/>
              </w:rPr>
            </w:pPr>
            <w:r>
              <w:rPr>
                <w:sz w:val="16"/>
              </w:rPr>
              <w:t>The box includes half of all observations from the 25</w:t>
            </w:r>
            <w:r w:rsidRPr="00495A65">
              <w:rPr>
                <w:sz w:val="16"/>
                <w:vertAlign w:val="superscript"/>
              </w:rPr>
              <w:t>th</w:t>
            </w:r>
            <w:r>
              <w:rPr>
                <w:sz w:val="16"/>
              </w:rPr>
              <w:t xml:space="preserve"> to 75</w:t>
            </w:r>
            <w:r w:rsidRPr="00495A65">
              <w:rPr>
                <w:sz w:val="16"/>
                <w:vertAlign w:val="superscript"/>
              </w:rPr>
              <w:t>th</w:t>
            </w:r>
            <w:r>
              <w:rPr>
                <w:sz w:val="16"/>
              </w:rPr>
              <w:t xml:space="preserve"> percentile of the distribution. </w:t>
            </w:r>
          </w:p>
          <w:p w14:paraId="72D35D33" w14:textId="77777777" w:rsidR="008822E3" w:rsidRPr="00C97556" w:rsidRDefault="00987C79" w:rsidP="00495A65">
            <w:pPr>
              <w:pStyle w:val="ListBullet"/>
            </w:pPr>
            <w:r w:rsidRPr="00765DC4">
              <w:rPr>
                <w:sz w:val="16"/>
              </w:rPr>
              <w:t xml:space="preserve">The whiskers cover </w:t>
            </w:r>
            <w:r w:rsidRPr="00495A65">
              <w:rPr>
                <w:sz w:val="16"/>
              </w:rPr>
              <w:t>the remaining half of all observations, from the minimum point to the 25th percentile (the lower edge of the box), and from the 75th percentile (the upper edge of the box) to the maximum value.</w:t>
            </w:r>
          </w:p>
        </w:tc>
      </w:tr>
    </w:tbl>
    <w:p w14:paraId="16F403D3" w14:textId="77777777" w:rsidR="001548C2" w:rsidRDefault="001548C2" w:rsidP="006118C2">
      <w:pPr>
        <w:pStyle w:val="Heading3un-numbered"/>
        <w:spacing w:before="240"/>
      </w:pPr>
      <w:r>
        <w:t xml:space="preserve">Field variation across sub-bachelor </w:t>
      </w:r>
      <w:r w:rsidR="00C502EF">
        <w:t>study</w:t>
      </w:r>
    </w:p>
    <w:p w14:paraId="2A436BC1" w14:textId="77777777" w:rsidR="008822E3" w:rsidRDefault="008822E3" w:rsidP="008822E3">
      <w:r>
        <w:t>Different disciplines will likely have varying costs of delivery, as a reflection of differences in pedagogy, practical requirements and contextual settings.</w:t>
      </w:r>
    </w:p>
    <w:p w14:paraId="77898421" w14:textId="234C2000" w:rsidR="00526A4F" w:rsidRDefault="004779FA" w:rsidP="00526A4F">
      <w:r>
        <w:fldChar w:fldCharType="begin"/>
      </w:r>
      <w:r>
        <w:instrText xml:space="preserve"> REF _Ref529193092 \r \h </w:instrText>
      </w:r>
      <w:r>
        <w:fldChar w:fldCharType="separate"/>
      </w:r>
      <w:r w:rsidR="00F47C96">
        <w:t>Chart 2.7</w:t>
      </w:r>
      <w:r>
        <w:fldChar w:fldCharType="end"/>
      </w:r>
      <w:r w:rsidR="00AB0F96">
        <w:t xml:space="preserve"> </w:t>
      </w:r>
      <w:r w:rsidR="001548C2">
        <w:t>presents the distribution of unit costs by field of education for sub-bachelor programs.</w:t>
      </w:r>
      <w:r w:rsidR="00526A4F">
        <w:t xml:space="preserve"> </w:t>
      </w:r>
      <w:r w:rsidR="001548C2">
        <w:t xml:space="preserve">Compared to </w:t>
      </w:r>
      <w:r w:rsidR="00526A4F">
        <w:t>estimates for bachelor and postgraduate, these costs have a relatively wide distribution of values.</w:t>
      </w:r>
      <w:r w:rsidR="00887C8A">
        <w:t xml:space="preserve"> This is likely to </w:t>
      </w:r>
      <w:proofErr w:type="gramStart"/>
      <w:r w:rsidR="00887C8A">
        <w:t>be driven</w:t>
      </w:r>
      <w:proofErr w:type="gramEnd"/>
      <w:r w:rsidR="00887C8A">
        <w:t xml:space="preserve"> in large part by the small sample sizes in many fields of education with many universities noting that it was often difficult to disentangle costs for sub-bachelor students within an FOE from costs for bachelor level students. </w:t>
      </w:r>
    </w:p>
    <w:p w14:paraId="719EEEF4" w14:textId="77777777" w:rsidR="001548C2" w:rsidRDefault="001548C2" w:rsidP="00526A4F">
      <w:r>
        <w:t xml:space="preserve">Notably, there are a number of very high cost observations (over $40,000), including </w:t>
      </w:r>
      <w:r w:rsidR="00526A4F">
        <w:t>Other Natural and Physical Sciences</w:t>
      </w:r>
      <w:r w:rsidR="00887C8A">
        <w:t xml:space="preserve"> and</w:t>
      </w:r>
      <w:r w:rsidR="00526A4F">
        <w:t xml:space="preserve"> Environmental Science</w:t>
      </w:r>
      <w:r>
        <w:t xml:space="preserve">. </w:t>
      </w:r>
      <w:r w:rsidR="00887C8A">
        <w:t>Nonetheless average costs ranged between $10,000 to $2</w:t>
      </w:r>
      <w:r w:rsidR="006456D9">
        <w:t>5</w:t>
      </w:r>
      <w:r w:rsidR="00887C8A">
        <w:t xml:space="preserve">,000 per EFTSL for </w:t>
      </w:r>
      <w:r w:rsidR="00DD49A9">
        <w:t xml:space="preserve">most </w:t>
      </w:r>
      <w:r w:rsidR="00887C8A">
        <w:t xml:space="preserve">fields except </w:t>
      </w:r>
      <w:r w:rsidR="008822E3">
        <w:t xml:space="preserve">Other Agricultural, Environmental and Related </w:t>
      </w:r>
      <w:r w:rsidR="00887C8A">
        <w:t>Studies which had relatively few total EFTSL</w:t>
      </w:r>
      <w:r w:rsidR="006456D9">
        <w:t xml:space="preserve"> (39 EFTSL)</w:t>
      </w:r>
      <w:r w:rsidR="00887C8A">
        <w:t>.</w:t>
      </w:r>
    </w:p>
    <w:p w14:paraId="79420857" w14:textId="77777777" w:rsidR="00F31311" w:rsidRDefault="001548C2" w:rsidP="00FB2F3E">
      <w:pPr>
        <w:pStyle w:val="CaptionChart"/>
      </w:pPr>
      <w:bookmarkStart w:id="238" w:name="_Ref529193092"/>
      <w:bookmarkStart w:id="239" w:name="_Toc534713830"/>
      <w:bookmarkStart w:id="240" w:name="_Toc528855713"/>
      <w:r>
        <w:t>: Average unit costs by field for sub-bachelor</w:t>
      </w:r>
      <w:bookmarkEnd w:id="238"/>
      <w:bookmarkEnd w:id="239"/>
    </w:p>
    <w:bookmarkEnd w:id="240"/>
    <w:p w14:paraId="7546DBA0" w14:textId="37093B3B" w:rsidR="00C6522F" w:rsidRPr="00BB51F6" w:rsidRDefault="00F22AE8" w:rsidP="001548C2">
      <w:r w:rsidRPr="00F22AE8">
        <w:rPr>
          <w:noProof/>
          <w:lang w:eastAsia="en-AU"/>
        </w:rPr>
        <w:drawing>
          <wp:inline distT="0" distB="0" distL="0" distR="0" wp14:anchorId="62270779" wp14:editId="0E56A7B1">
            <wp:extent cx="4552950" cy="27241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52950" cy="2724150"/>
                    </a:xfrm>
                    <a:prstGeom prst="rect">
                      <a:avLst/>
                    </a:prstGeom>
                    <a:noFill/>
                    <a:ln>
                      <a:noFill/>
                    </a:ln>
                  </pic:spPr>
                </pic:pic>
              </a:graphicData>
            </a:graphic>
          </wp:inline>
        </w:drawing>
      </w:r>
    </w:p>
    <w:p w14:paraId="3A648A3A" w14:textId="77777777" w:rsidR="00526A4F" w:rsidRPr="00526A4F" w:rsidRDefault="001548C2" w:rsidP="00495A65">
      <w:pPr>
        <w:pStyle w:val="Source"/>
      </w:pPr>
      <w:r>
        <w:t xml:space="preserve">Note: </w:t>
      </w:r>
      <w:r w:rsidR="000D7158">
        <w:t>144</w:t>
      </w:r>
      <w:r>
        <w:t xml:space="preserve"> cost observations across </w:t>
      </w:r>
      <w:r w:rsidR="000D7158">
        <w:t>20</w:t>
      </w:r>
      <w:r>
        <w:t xml:space="preserve"> universities. Outliers excluded. Marker at </w:t>
      </w:r>
      <w:r w:rsidR="00D961F0">
        <w:t>mean</w:t>
      </w:r>
      <w:r>
        <w:t>, box width between 25</w:t>
      </w:r>
      <w:r w:rsidRPr="00B563F2">
        <w:rPr>
          <w:vertAlign w:val="superscript"/>
        </w:rPr>
        <w:t>th</w:t>
      </w:r>
      <w:r>
        <w:t xml:space="preserve"> and 7</w:t>
      </w:r>
      <w:r w:rsidR="00526A4F">
        <w:t>5</w:t>
      </w:r>
      <w:r w:rsidRPr="00B563F2">
        <w:rPr>
          <w:vertAlign w:val="superscript"/>
        </w:rPr>
        <w:t>th</w:t>
      </w:r>
      <w:r>
        <w:t xml:space="preserve"> percentile, and tails at minimum and maximum. </w:t>
      </w:r>
    </w:p>
    <w:p w14:paraId="3E17ABB6" w14:textId="77777777" w:rsidR="001548C2" w:rsidRDefault="001548C2" w:rsidP="001548C2">
      <w:pPr>
        <w:pStyle w:val="Heading3un-numbered"/>
      </w:pPr>
      <w:r>
        <w:lastRenderedPageBreak/>
        <w:t xml:space="preserve">Field variation across bachelor </w:t>
      </w:r>
      <w:r w:rsidR="00C502EF">
        <w:t>study</w:t>
      </w:r>
    </w:p>
    <w:p w14:paraId="2D233A63" w14:textId="20BB070E" w:rsidR="00CB6DC1" w:rsidRDefault="008A3662" w:rsidP="00CB6DC1">
      <w:r>
        <w:fldChar w:fldCharType="begin"/>
      </w:r>
      <w:r>
        <w:instrText xml:space="preserve"> REF _Ref531001696 \r \h </w:instrText>
      </w:r>
      <w:r>
        <w:fldChar w:fldCharType="separate"/>
      </w:r>
      <w:r w:rsidR="00F47C96">
        <w:t>Chart 2.8</w:t>
      </w:r>
      <w:r>
        <w:fldChar w:fldCharType="end"/>
      </w:r>
      <w:r w:rsidR="00CB6DC1">
        <w:t xml:space="preserve"> shows the average unit costs by field for bachelor studies. Unsurprisingly, the health science fields (Veterinary Studies,</w:t>
      </w:r>
      <w:r w:rsidR="00CB6DC1" w:rsidRPr="00CB6DC1">
        <w:t xml:space="preserve"> </w:t>
      </w:r>
      <w:r w:rsidR="00CB6DC1">
        <w:t xml:space="preserve">Dental Studies, and Medical Studies) comprise the three most costly fields, on average. Qualifications in these fields </w:t>
      </w:r>
      <w:proofErr w:type="gramStart"/>
      <w:r w:rsidR="00CB6DC1">
        <w:t>are known</w:t>
      </w:r>
      <w:proofErr w:type="gramEnd"/>
      <w:r w:rsidR="00CB6DC1">
        <w:t xml:space="preserve"> to involve intensive teaching delivery, higher capital and material costs, and placement costs. </w:t>
      </w:r>
    </w:p>
    <w:p w14:paraId="3B83B691" w14:textId="26C487D3" w:rsidR="00CB6DC1" w:rsidRDefault="00CB6DC1" w:rsidP="00CB6DC1">
      <w:r>
        <w:t xml:space="preserve">Other Agriculture and Environmental Studies is the next highest unit cost field, which is likely a reflection of higher capital costs, as well as potentially greater delivery in regional areas, with smaller scale and more student support requirements. Moreover, </w:t>
      </w:r>
      <w:r w:rsidR="00AB0F96">
        <w:rPr>
          <w:highlight w:val="yellow"/>
        </w:rPr>
        <w:fldChar w:fldCharType="begin"/>
      </w:r>
      <w:r w:rsidR="00AB0F96">
        <w:instrText xml:space="preserve"> REF _Ref529282511 \r \h </w:instrText>
      </w:r>
      <w:r w:rsidR="00AB0F96">
        <w:rPr>
          <w:highlight w:val="yellow"/>
        </w:rPr>
      </w:r>
      <w:r w:rsidR="00AB0F96">
        <w:rPr>
          <w:highlight w:val="yellow"/>
        </w:rPr>
        <w:fldChar w:fldCharType="separate"/>
      </w:r>
      <w:r w:rsidR="00F47C96">
        <w:t>Chart 2.9</w:t>
      </w:r>
      <w:r w:rsidR="00AB0F96">
        <w:rPr>
          <w:highlight w:val="yellow"/>
        </w:rPr>
        <w:fldChar w:fldCharType="end"/>
      </w:r>
      <w:r w:rsidR="00AB0F96">
        <w:t xml:space="preserve"> </w:t>
      </w:r>
      <w:r>
        <w:t xml:space="preserve">suggests three broad groupings of costs: </w:t>
      </w:r>
    </w:p>
    <w:p w14:paraId="46FFA0E8" w14:textId="77777777" w:rsidR="00CB6DC1" w:rsidRDefault="00CB6DC1" w:rsidP="00CB6DC1">
      <w:pPr>
        <w:pStyle w:val="ListBullet"/>
      </w:pPr>
      <w:r>
        <w:t>Lower cost fields (</w:t>
      </w:r>
      <w:r w:rsidR="006456D9">
        <w:t>10</w:t>
      </w:r>
      <w:r>
        <w:t xml:space="preserve"> fields) from $1</w:t>
      </w:r>
      <w:r w:rsidR="006456D9">
        <w:t>4</w:t>
      </w:r>
      <w:r>
        <w:t>,000 to $1</w:t>
      </w:r>
      <w:r w:rsidR="006456D9">
        <w:t>8</w:t>
      </w:r>
      <w:r>
        <w:t>,000, which appear to be more traditional ‘classroom-based’ fields;</w:t>
      </w:r>
      <w:r w:rsidR="006456D9">
        <w:rPr>
          <w:rStyle w:val="FootnoteReference"/>
        </w:rPr>
        <w:footnoteReference w:id="15"/>
      </w:r>
    </w:p>
    <w:p w14:paraId="57CCC204" w14:textId="77777777" w:rsidR="00CB6DC1" w:rsidRDefault="00CB6DC1" w:rsidP="00CB6DC1">
      <w:pPr>
        <w:pStyle w:val="ListBullet"/>
      </w:pPr>
      <w:r>
        <w:t>Mid-range cost fields (</w:t>
      </w:r>
      <w:r w:rsidR="006456D9">
        <w:t>7</w:t>
      </w:r>
      <w:r w:rsidR="00187D98">
        <w:t xml:space="preserve"> fields</w:t>
      </w:r>
      <w:r>
        <w:t>) from $</w:t>
      </w:r>
      <w:r w:rsidR="006456D9">
        <w:t>19</w:t>
      </w:r>
      <w:r>
        <w:t>,000 to $2</w:t>
      </w:r>
      <w:r w:rsidR="006456D9">
        <w:t>4</w:t>
      </w:r>
      <w:r>
        <w:t xml:space="preserve">,000, which appear to include qualification that may require greater material, practicum or applied components; and </w:t>
      </w:r>
    </w:p>
    <w:p w14:paraId="653BF635" w14:textId="77777777" w:rsidR="00CB6DC1" w:rsidRDefault="00CB6DC1" w:rsidP="00CB6DC1">
      <w:pPr>
        <w:pStyle w:val="ListBullet"/>
      </w:pPr>
      <w:r>
        <w:t>Higher cost fields (4</w:t>
      </w:r>
      <w:r w:rsidR="002F5DAF">
        <w:t xml:space="preserve"> fields</w:t>
      </w:r>
      <w:r>
        <w:t>) from $2</w:t>
      </w:r>
      <w:r w:rsidR="00187D98">
        <w:t>7</w:t>
      </w:r>
      <w:r>
        <w:t xml:space="preserve">,000 to $43,000, as previously discussed. </w:t>
      </w:r>
    </w:p>
    <w:p w14:paraId="48613887" w14:textId="523BEB09" w:rsidR="006456D9" w:rsidRDefault="004779FA" w:rsidP="006456D9">
      <w:r>
        <w:fldChar w:fldCharType="begin"/>
      </w:r>
      <w:r>
        <w:instrText xml:space="preserve"> REF _Ref531001696 \r \h </w:instrText>
      </w:r>
      <w:r>
        <w:fldChar w:fldCharType="separate"/>
      </w:r>
      <w:r w:rsidR="00F47C96">
        <w:t>Chart 2.8</w:t>
      </w:r>
      <w:r>
        <w:fldChar w:fldCharType="end"/>
      </w:r>
      <w:r>
        <w:t xml:space="preserve"> </w:t>
      </w:r>
      <w:r w:rsidR="006456D9">
        <w:t xml:space="preserve">presents the full distribution of unit costs by field of education for bachelor degrees. Notwithstanding differences in scale, the distribution of the ‘boxes’ are noticeably narrower than for sub-bachelor programs, which suggest greater similarity in the costs of delivery across institutions. </w:t>
      </w:r>
    </w:p>
    <w:p w14:paraId="54C274C0" w14:textId="77777777" w:rsidR="006456D9" w:rsidRDefault="006456D9" w:rsidP="006456D9">
      <w:r>
        <w:t>A number of fields such as Psychology, Nursing, and Communication and Media, among others, have very narrow estimates, which may also reflect a more standard approach to the delivery of teaching for qualifications in these fields. Higher cost fields typically also have greater dispersion in costs, for example Dental Studies and Veterinary Studies.</w:t>
      </w:r>
    </w:p>
    <w:p w14:paraId="4305BE32" w14:textId="77777777" w:rsidR="006456D9" w:rsidRDefault="006456D9" w:rsidP="006456D9">
      <w:pPr>
        <w:pStyle w:val="CaptionChart"/>
      </w:pPr>
      <w:bookmarkStart w:id="241" w:name="_Ref531001696"/>
      <w:bookmarkStart w:id="242" w:name="_Toc534713831"/>
      <w:r>
        <w:t>: Distribution of unit costs by field for bachelor</w:t>
      </w:r>
      <w:bookmarkEnd w:id="241"/>
      <w:bookmarkEnd w:id="242"/>
      <w:r>
        <w:t xml:space="preserve"> </w:t>
      </w:r>
    </w:p>
    <w:p w14:paraId="4E5E52D7" w14:textId="783217A7" w:rsidR="006456D9" w:rsidRDefault="00F22AE8" w:rsidP="006456D9">
      <w:r w:rsidRPr="00F22AE8">
        <w:rPr>
          <w:noProof/>
          <w:lang w:eastAsia="en-AU"/>
        </w:rPr>
        <w:drawing>
          <wp:inline distT="0" distB="0" distL="0" distR="0" wp14:anchorId="092EC69A" wp14:editId="6285C23B">
            <wp:extent cx="4552950" cy="27241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552950" cy="2724150"/>
                    </a:xfrm>
                    <a:prstGeom prst="rect">
                      <a:avLst/>
                    </a:prstGeom>
                    <a:noFill/>
                    <a:ln>
                      <a:noFill/>
                    </a:ln>
                  </pic:spPr>
                </pic:pic>
              </a:graphicData>
            </a:graphic>
          </wp:inline>
        </w:drawing>
      </w:r>
    </w:p>
    <w:p w14:paraId="139CD14F" w14:textId="77777777" w:rsidR="006456D9" w:rsidRDefault="006456D9" w:rsidP="006456D9">
      <w:pPr>
        <w:pStyle w:val="Source"/>
      </w:pPr>
      <w:r>
        <w:t>Note: 439 cost observations across 25 universities. Outliers excluded. Marker at mean, box width between 25</w:t>
      </w:r>
      <w:r w:rsidRPr="00E67283">
        <w:rPr>
          <w:vertAlign w:val="superscript"/>
        </w:rPr>
        <w:t>th</w:t>
      </w:r>
      <w:r>
        <w:t xml:space="preserve"> and 75</w:t>
      </w:r>
      <w:r w:rsidRPr="00E67283">
        <w:rPr>
          <w:vertAlign w:val="superscript"/>
        </w:rPr>
        <w:t>th</w:t>
      </w:r>
      <w:r>
        <w:t xml:space="preserve"> percentile, and tails at minimum and maximum. </w:t>
      </w:r>
    </w:p>
    <w:p w14:paraId="021676F4" w14:textId="2DAC49F7" w:rsidR="00CB6DC1" w:rsidRDefault="00CB6DC1" w:rsidP="00CB6DC1">
      <w:r>
        <w:t xml:space="preserve">Within each field of education, there are varying levels of deviation or spread of costs across institutions. </w:t>
      </w:r>
      <w:r w:rsidR="00AB0F96">
        <w:rPr>
          <w:highlight w:val="yellow"/>
        </w:rPr>
        <w:fldChar w:fldCharType="begin"/>
      </w:r>
      <w:r w:rsidR="00AB0F96">
        <w:instrText xml:space="preserve"> REF _Ref529282511 \r \h </w:instrText>
      </w:r>
      <w:r w:rsidR="00AB0F96">
        <w:rPr>
          <w:highlight w:val="yellow"/>
        </w:rPr>
      </w:r>
      <w:r w:rsidR="00AB0F96">
        <w:rPr>
          <w:highlight w:val="yellow"/>
        </w:rPr>
        <w:fldChar w:fldCharType="separate"/>
      </w:r>
      <w:r w:rsidR="00F47C96">
        <w:t>Chart 2.9</w:t>
      </w:r>
      <w:r w:rsidR="00AB0F96">
        <w:rPr>
          <w:highlight w:val="yellow"/>
        </w:rPr>
        <w:fldChar w:fldCharType="end"/>
      </w:r>
      <w:r w:rsidR="00AB0F96">
        <w:t xml:space="preserve"> </w:t>
      </w:r>
      <w:r>
        <w:t>shows the difference in average unit costs between the 25</w:t>
      </w:r>
      <w:r w:rsidRPr="007805CE">
        <w:rPr>
          <w:vertAlign w:val="superscript"/>
        </w:rPr>
        <w:t>th</w:t>
      </w:r>
      <w:r>
        <w:t xml:space="preserve"> and 75</w:t>
      </w:r>
      <w:r w:rsidRPr="007805CE">
        <w:rPr>
          <w:vertAlign w:val="superscript"/>
        </w:rPr>
        <w:t>th</w:t>
      </w:r>
      <w:r>
        <w:t xml:space="preserve"> percentiles (a standard measur</w:t>
      </w:r>
      <w:r w:rsidRPr="00AB0F96">
        <w:t>e of deviation</w:t>
      </w:r>
      <w:r w:rsidR="001539AC" w:rsidRPr="00AB0F96">
        <w:t xml:space="preserve"> or dispersion</w:t>
      </w:r>
      <w:r w:rsidRPr="00AB0F96">
        <w:t xml:space="preserve">). On average, </w:t>
      </w:r>
      <w:r w:rsidR="001539AC" w:rsidRPr="00AB0F96">
        <w:t xml:space="preserve">this range is around </w:t>
      </w:r>
      <w:r w:rsidR="001539AC" w:rsidRPr="004F307D">
        <w:t>$7,300</w:t>
      </w:r>
      <w:r w:rsidR="00AB0F96" w:rsidRPr="004F307D">
        <w:t>.</w:t>
      </w:r>
      <w:r>
        <w:t xml:space="preserve"> </w:t>
      </w:r>
    </w:p>
    <w:p w14:paraId="32DE2B69" w14:textId="3ECB6585" w:rsidR="00CB6DC1" w:rsidRDefault="00CB6DC1">
      <w:r>
        <w:lastRenderedPageBreak/>
        <w:t xml:space="preserve">Notably, this variation is greatest among higher cost fields: Veterinary Studies has a variation of </w:t>
      </w:r>
      <w:r w:rsidR="00AB0F96">
        <w:t xml:space="preserve">around </w:t>
      </w:r>
      <w:r>
        <w:t>$</w:t>
      </w:r>
      <w:r w:rsidR="00193FCB">
        <w:t>33</w:t>
      </w:r>
      <w:r w:rsidR="00AB0F96">
        <w:t>,</w:t>
      </w:r>
      <w:r w:rsidR="0022424E">
        <w:t>6</w:t>
      </w:r>
      <w:r w:rsidR="00AB0F96">
        <w:t>00</w:t>
      </w:r>
      <w:r>
        <w:t xml:space="preserve">, compared to </w:t>
      </w:r>
      <w:r w:rsidR="00AB0F96">
        <w:t xml:space="preserve">around </w:t>
      </w:r>
      <w:r>
        <w:t>$</w:t>
      </w:r>
      <w:r w:rsidR="00193FCB">
        <w:t>3,</w:t>
      </w:r>
      <w:r w:rsidR="0022424E">
        <w:t>2</w:t>
      </w:r>
      <w:r w:rsidR="00AB0F96">
        <w:t xml:space="preserve">00 </w:t>
      </w:r>
      <w:r>
        <w:t xml:space="preserve">for </w:t>
      </w:r>
      <w:r w:rsidR="0022424E">
        <w:t>Nursing</w:t>
      </w:r>
      <w:r>
        <w:t>.</w:t>
      </w:r>
      <w:r>
        <w:rPr>
          <w:rStyle w:val="FootnoteReference"/>
        </w:rPr>
        <w:footnoteReference w:id="16"/>
      </w:r>
      <w:r>
        <w:t xml:space="preserve"> Large variations in cost may reflect a variety of drivers, including variations in ability to scale, standardisation of delivery, quality, </w:t>
      </w:r>
      <w:proofErr w:type="gramStart"/>
      <w:r>
        <w:t>product</w:t>
      </w:r>
      <w:proofErr w:type="gramEnd"/>
      <w:r>
        <w:t xml:space="preserve"> and investment lifecycles, among others.  </w:t>
      </w:r>
    </w:p>
    <w:p w14:paraId="10341A8A" w14:textId="77777777" w:rsidR="00187D98" w:rsidRDefault="00187D98" w:rsidP="004F307D">
      <w:pPr>
        <w:pStyle w:val="CaptionChart"/>
      </w:pPr>
      <w:bookmarkStart w:id="243" w:name="_Ref529282511"/>
      <w:bookmarkStart w:id="244" w:name="_Toc534713832"/>
      <w:r>
        <w:t>: Average unit cost and dispersion by field for bachelor</w:t>
      </w:r>
      <w:bookmarkEnd w:id="243"/>
      <w:bookmarkEnd w:id="244"/>
      <w:r>
        <w:t xml:space="preserve"> </w:t>
      </w:r>
    </w:p>
    <w:p w14:paraId="39EADDE0" w14:textId="1C027C4E" w:rsidR="00187D98" w:rsidRDefault="00A83AE1">
      <w:r>
        <w:rPr>
          <w:noProof/>
          <w:lang w:eastAsia="en-AU"/>
        </w:rPr>
        <w:drawing>
          <wp:inline distT="0" distB="0" distL="0" distR="0" wp14:anchorId="0483B963" wp14:editId="677F9145">
            <wp:extent cx="4586981" cy="2806561"/>
            <wp:effectExtent l="0" t="0" r="4445" b="0"/>
            <wp:docPr id="4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24EA7A1" w14:textId="77777777" w:rsidR="00187D98" w:rsidRDefault="00187D98" w:rsidP="00187D98">
      <w:pPr>
        <w:pStyle w:val="Source"/>
      </w:pPr>
      <w:r>
        <w:t>Note: 439 cost observations across 25 universities.</w:t>
      </w:r>
      <w:r w:rsidR="006456D9">
        <w:t xml:space="preserve"> Excludes Mixed Field Programmes due to insufficient observations. </w:t>
      </w:r>
    </w:p>
    <w:p w14:paraId="1E818962" w14:textId="77777777" w:rsidR="001548C2" w:rsidRDefault="001548C2" w:rsidP="001548C2">
      <w:pPr>
        <w:pStyle w:val="Heading3un-numbered"/>
      </w:pPr>
      <w:r>
        <w:t>Field variation across postgraduate</w:t>
      </w:r>
      <w:r w:rsidR="008822E3">
        <w:t xml:space="preserve"> study</w:t>
      </w:r>
    </w:p>
    <w:p w14:paraId="6A80296D" w14:textId="66DF5C3A" w:rsidR="00870193" w:rsidRDefault="00373338" w:rsidP="00373338">
      <w:r>
        <w:fldChar w:fldCharType="begin"/>
      </w:r>
      <w:r>
        <w:instrText xml:space="preserve"> REF _Ref529194045 \r \h </w:instrText>
      </w:r>
      <w:r>
        <w:fldChar w:fldCharType="separate"/>
      </w:r>
      <w:r w:rsidR="00F47C96">
        <w:t>Chart 2.10</w:t>
      </w:r>
      <w:r>
        <w:fldChar w:fldCharType="end"/>
      </w:r>
      <w:r>
        <w:t xml:space="preserve"> </w:t>
      </w:r>
      <w:r w:rsidR="001548C2">
        <w:t xml:space="preserve">presents the distribution of unit costs by field of education for postgraduate coursework degrees (excluding </w:t>
      </w:r>
      <w:r w:rsidR="00C502EF">
        <w:t xml:space="preserve">higher degree research </w:t>
      </w:r>
      <w:r w:rsidR="001548C2">
        <w:t>students).</w:t>
      </w:r>
      <w:r>
        <w:t xml:space="preserve"> </w:t>
      </w:r>
      <w:r w:rsidR="008822E3">
        <w:t>As for</w:t>
      </w:r>
      <w:r w:rsidR="001548C2">
        <w:t xml:space="preserve"> bachelor degrees, the distribution of costs are relatively narrow</w:t>
      </w:r>
      <w:r>
        <w:t xml:space="preserve"> compared to sub-bachelor</w:t>
      </w:r>
      <w:r w:rsidR="00870193">
        <w:t xml:space="preserve"> and higher cost disciplines tend </w:t>
      </w:r>
      <w:proofErr w:type="gramStart"/>
      <w:r w:rsidR="00870193">
        <w:t>to typically have</w:t>
      </w:r>
      <w:proofErr w:type="gramEnd"/>
      <w:r w:rsidR="00870193">
        <w:t xml:space="preserve"> wider distributions compared to lower cost fields.  </w:t>
      </w:r>
    </w:p>
    <w:p w14:paraId="51C22D9D" w14:textId="77777777" w:rsidR="001548C2" w:rsidRDefault="00870193" w:rsidP="00373338">
      <w:r>
        <w:t>H</w:t>
      </w:r>
      <w:r w:rsidR="001548C2">
        <w:t xml:space="preserve">owever, the full range of estimated costs </w:t>
      </w:r>
      <w:r w:rsidR="00373338">
        <w:t>are significantly wider than the estimates for bachelor degrees</w:t>
      </w:r>
      <w:r>
        <w:t xml:space="preserve">. </w:t>
      </w:r>
      <w:r w:rsidR="001548C2">
        <w:t xml:space="preserve">In particular, there appear to be a number of university observations with relatively high average costs (compared to their peer institutions), and in many instances the maximum value (the top </w:t>
      </w:r>
      <w:r w:rsidR="00373338">
        <w:t>whisker</w:t>
      </w:r>
      <w:r w:rsidR="001548C2">
        <w:t xml:space="preserve">) is </w:t>
      </w:r>
      <w:r w:rsidR="00F7747E">
        <w:t xml:space="preserve">substantially </w:t>
      </w:r>
      <w:r w:rsidR="001548C2">
        <w:t>larger than the 75</w:t>
      </w:r>
      <w:r w:rsidR="001548C2">
        <w:rPr>
          <w:vertAlign w:val="superscript"/>
        </w:rPr>
        <w:t xml:space="preserve">th </w:t>
      </w:r>
      <w:r w:rsidR="001548C2">
        <w:t>percentile (the upper box)</w:t>
      </w:r>
      <w:r w:rsidR="00373338">
        <w:t xml:space="preserve">. </w:t>
      </w:r>
      <w:r w:rsidR="001548C2">
        <w:t xml:space="preserve"> </w:t>
      </w:r>
    </w:p>
    <w:p w14:paraId="215CB2E8" w14:textId="77777777" w:rsidR="001548C2" w:rsidRDefault="001548C2" w:rsidP="00373338">
      <w:r>
        <w:t xml:space="preserve">For example, for Environmental </w:t>
      </w:r>
      <w:r w:rsidR="00B20F29">
        <w:t>Studies</w:t>
      </w:r>
      <w:r>
        <w:t xml:space="preserve">, </w:t>
      </w:r>
      <w:r w:rsidR="00B20F29">
        <w:t xml:space="preserve">approximately </w:t>
      </w:r>
      <w:r>
        <w:t>half of all universities have costs between $2</w:t>
      </w:r>
      <w:r w:rsidR="00B20F29">
        <w:t>5</w:t>
      </w:r>
      <w:r>
        <w:t xml:space="preserve">,000 and $37,000, and </w:t>
      </w:r>
      <w:r w:rsidR="00B20F29">
        <w:t xml:space="preserve">more than </w:t>
      </w:r>
      <w:r>
        <w:t>three quarters have costs between $19,000 and $3</w:t>
      </w:r>
      <w:r w:rsidR="00193FCB">
        <w:t>5</w:t>
      </w:r>
      <w:r>
        <w:t>,000 (a range of $1</w:t>
      </w:r>
      <w:r w:rsidR="00193FCB">
        <w:t>6</w:t>
      </w:r>
      <w:r>
        <w:t xml:space="preserve">,000), while the highest cost university has a unit cost of $86,500, which is </w:t>
      </w:r>
      <w:r w:rsidR="00B20F29">
        <w:t>almost 200%</w:t>
      </w:r>
      <w:r>
        <w:t xml:space="preserve"> larger than the </w:t>
      </w:r>
      <w:r w:rsidR="00193FCB">
        <w:t>average.</w:t>
      </w:r>
      <w:r>
        <w:t xml:space="preserve"> </w:t>
      </w:r>
    </w:p>
    <w:p w14:paraId="7C484412" w14:textId="77777777" w:rsidR="00AB0F96" w:rsidRDefault="00AB0F96" w:rsidP="00373338">
      <w:r>
        <w:t xml:space="preserve">Consultations with universities and their accompanying statements provide some rationale for higher unit costs, and include: </w:t>
      </w:r>
    </w:p>
    <w:p w14:paraId="7B6865EA" w14:textId="77777777" w:rsidR="00AB0F96" w:rsidRDefault="00AB0F96" w:rsidP="004F307D">
      <w:pPr>
        <w:pStyle w:val="ListBullet"/>
      </w:pPr>
      <w:r>
        <w:t xml:space="preserve">The introduction of a new school or course program to the university, where the costs of delivery are expected to moderate in future years, alongside reduced upfront costs and increasing scale; </w:t>
      </w:r>
    </w:p>
    <w:p w14:paraId="6F1ABA1E" w14:textId="77777777" w:rsidR="00AB0F96" w:rsidRDefault="00AB0F96" w:rsidP="004F307D">
      <w:pPr>
        <w:pStyle w:val="ListBullet"/>
      </w:pPr>
      <w:r>
        <w:t>Higher costs associated with advanced and modern facilities and equipment required to deliver a quality program; and</w:t>
      </w:r>
    </w:p>
    <w:p w14:paraId="6F62F154" w14:textId="77777777" w:rsidR="00AB0F96" w:rsidRDefault="00AB0F96" w:rsidP="004F307D">
      <w:pPr>
        <w:pStyle w:val="ListBullet"/>
      </w:pPr>
      <w:r>
        <w:t xml:space="preserve">Low enrolments and/or class sizes, among others.  </w:t>
      </w:r>
    </w:p>
    <w:p w14:paraId="41D11B07" w14:textId="77777777" w:rsidR="00AB0F96" w:rsidRDefault="00AB0F96">
      <w:r>
        <w:t xml:space="preserve">Similarly, the rationale for lower than average unit costs include: </w:t>
      </w:r>
    </w:p>
    <w:p w14:paraId="0E06AA98" w14:textId="77777777" w:rsidR="00AB0F96" w:rsidRDefault="00AB0F96" w:rsidP="004F307D">
      <w:pPr>
        <w:pStyle w:val="ListBullet"/>
      </w:pPr>
      <w:r>
        <w:lastRenderedPageBreak/>
        <w:t>Larger share of delivery online, reducing the amount of staff hours;</w:t>
      </w:r>
    </w:p>
    <w:p w14:paraId="30CB54E6" w14:textId="77777777" w:rsidR="00AB0F96" w:rsidRDefault="00AB0F96" w:rsidP="004F307D">
      <w:pPr>
        <w:pStyle w:val="ListBullet"/>
      </w:pPr>
      <w:r>
        <w:t xml:space="preserve">Courses with relatively inexpensive teaching formats; and </w:t>
      </w:r>
    </w:p>
    <w:p w14:paraId="0384C091" w14:textId="77777777" w:rsidR="00AB0F96" w:rsidRDefault="00AB0F96" w:rsidP="004F307D">
      <w:pPr>
        <w:pStyle w:val="ListBullet"/>
      </w:pPr>
      <w:r>
        <w:t xml:space="preserve">Large enrolments and/or class sizes, among others.  </w:t>
      </w:r>
    </w:p>
    <w:p w14:paraId="16DC3952" w14:textId="77777777" w:rsidR="00BA7A5E" w:rsidRDefault="00BA7A5E" w:rsidP="00495A65">
      <w:r>
        <w:t>Notably, the ab</w:t>
      </w:r>
      <w:r w:rsidRPr="0046286C">
        <w:t xml:space="preserve">ove rationale are </w:t>
      </w:r>
      <w:r w:rsidR="00C502EF">
        <w:t xml:space="preserve">generally </w:t>
      </w:r>
      <w:proofErr w:type="spellStart"/>
      <w:r w:rsidRPr="0046286C">
        <w:t>applicab</w:t>
      </w:r>
      <w:r w:rsidRPr="00F31311">
        <w:t>ly</w:t>
      </w:r>
      <w:proofErr w:type="spellEnd"/>
      <w:r w:rsidRPr="00F31311">
        <w:t xml:space="preserve"> </w:t>
      </w:r>
      <w:r>
        <w:t xml:space="preserve">to </w:t>
      </w:r>
      <w:r w:rsidRPr="0046286C">
        <w:t xml:space="preserve">all </w:t>
      </w:r>
      <w:r w:rsidRPr="00F31311">
        <w:t xml:space="preserve">levels of education. </w:t>
      </w:r>
    </w:p>
    <w:p w14:paraId="198FAC93" w14:textId="77777777" w:rsidR="001548C2" w:rsidRDefault="001548C2" w:rsidP="001548C2">
      <w:pPr>
        <w:pStyle w:val="CaptionChart"/>
      </w:pPr>
      <w:bookmarkStart w:id="245" w:name="_Toc528855717"/>
      <w:bookmarkStart w:id="246" w:name="_Ref529194045"/>
      <w:bookmarkStart w:id="247" w:name="_Toc534713833"/>
      <w:r>
        <w:t>: Average unit costs by field for postgraduate</w:t>
      </w:r>
      <w:bookmarkEnd w:id="245"/>
      <w:bookmarkEnd w:id="246"/>
      <w:bookmarkEnd w:id="247"/>
      <w:r>
        <w:t xml:space="preserve"> </w:t>
      </w:r>
    </w:p>
    <w:p w14:paraId="37DC3634" w14:textId="26677FC6" w:rsidR="00C6522F" w:rsidRDefault="00A83AE1" w:rsidP="001548C2">
      <w:r w:rsidRPr="00A83AE1">
        <w:rPr>
          <w:noProof/>
          <w:lang w:eastAsia="en-AU"/>
        </w:rPr>
        <w:drawing>
          <wp:inline distT="0" distB="0" distL="0" distR="0" wp14:anchorId="575CE51D" wp14:editId="21CE7CDA">
            <wp:extent cx="4565650" cy="2736850"/>
            <wp:effectExtent l="0" t="0" r="6350" b="635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565650" cy="2736850"/>
                    </a:xfrm>
                    <a:prstGeom prst="rect">
                      <a:avLst/>
                    </a:prstGeom>
                    <a:noFill/>
                    <a:ln>
                      <a:noFill/>
                    </a:ln>
                  </pic:spPr>
                </pic:pic>
              </a:graphicData>
            </a:graphic>
          </wp:inline>
        </w:drawing>
      </w:r>
    </w:p>
    <w:p w14:paraId="16184894" w14:textId="77777777" w:rsidR="001548C2" w:rsidRDefault="001548C2" w:rsidP="001548C2">
      <w:pPr>
        <w:pStyle w:val="Source"/>
      </w:pPr>
      <w:r>
        <w:t xml:space="preserve">Note: </w:t>
      </w:r>
      <w:r w:rsidR="00B93ABB">
        <w:t>35</w:t>
      </w:r>
      <w:r w:rsidR="00B20F29">
        <w:t>0</w:t>
      </w:r>
      <w:r>
        <w:t xml:space="preserve"> cost observations across </w:t>
      </w:r>
      <w:r w:rsidR="00B93ABB">
        <w:t>24</w:t>
      </w:r>
      <w:r>
        <w:t xml:space="preserve"> universities. Outliers excluded. Marker at </w:t>
      </w:r>
      <w:r w:rsidR="00B93ABB">
        <w:t>mean</w:t>
      </w:r>
      <w:r>
        <w:t>, box width between 25</w:t>
      </w:r>
      <w:r w:rsidRPr="00E67283">
        <w:rPr>
          <w:vertAlign w:val="superscript"/>
        </w:rPr>
        <w:t>th</w:t>
      </w:r>
      <w:r>
        <w:t xml:space="preserve"> and 7</w:t>
      </w:r>
      <w:r w:rsidR="00526A4F">
        <w:t>5</w:t>
      </w:r>
      <w:r w:rsidRPr="00E67283">
        <w:rPr>
          <w:vertAlign w:val="superscript"/>
        </w:rPr>
        <w:t>th</w:t>
      </w:r>
      <w:r>
        <w:t xml:space="preserve"> percentile, and tails at minimum and maximum.  </w:t>
      </w:r>
    </w:p>
    <w:p w14:paraId="3CA50785" w14:textId="77777777" w:rsidR="00CB6DC1" w:rsidRDefault="00CB6DC1" w:rsidP="00CB6DC1">
      <w:pPr>
        <w:pStyle w:val="Heading3un-numbered"/>
      </w:pPr>
      <w:r>
        <w:t xml:space="preserve">Variation between levels </w:t>
      </w:r>
    </w:p>
    <w:p w14:paraId="221E442C" w14:textId="79D7A01E" w:rsidR="00A4300D" w:rsidRDefault="00A4300D" w:rsidP="00A4300D">
      <w:r>
        <w:t xml:space="preserve">Consultations with universities suggested some systematic variation in costs by levels of education. </w:t>
      </w:r>
      <w:r w:rsidR="0022424E">
        <w:fldChar w:fldCharType="begin"/>
      </w:r>
      <w:r w:rsidR="0022424E">
        <w:instrText xml:space="preserve"> REF _Ref531945794 \r \h </w:instrText>
      </w:r>
      <w:r w:rsidR="0022424E">
        <w:fldChar w:fldCharType="separate"/>
      </w:r>
      <w:r w:rsidR="00F47C96">
        <w:t>Chart 2.11</w:t>
      </w:r>
      <w:r w:rsidR="0022424E">
        <w:fldChar w:fldCharType="end"/>
      </w:r>
      <w:r>
        <w:t xml:space="preserve"> shows a higher cost for postgraduate studies of 28%, or around $4,900 higher, on average compared to bachelor studies across fields. This may reflect more specialised and intensive qualifications, smaller class sizes, more senior teaching staff, among other reasons. </w:t>
      </w:r>
    </w:p>
    <w:p w14:paraId="7E2A1111" w14:textId="77777777" w:rsidR="00A4300D" w:rsidRDefault="00A4300D" w:rsidP="00A4300D">
      <w:r>
        <w:t xml:space="preserve">Similarly, there is a lower cost for sub-bachelor studies of -8%, or around $1,400 lower, on average compared to bachelor studies across fields. This variation </w:t>
      </w:r>
      <w:proofErr w:type="gramStart"/>
      <w:r>
        <w:t>may be driven</w:t>
      </w:r>
      <w:proofErr w:type="gramEnd"/>
      <w:r>
        <w:t xml:space="preserve"> by systematic differences in the delivery of higher or lower cost fields (which earlier analysis suggests). </w:t>
      </w:r>
    </w:p>
    <w:p w14:paraId="2EDDA526" w14:textId="7E9C38D8" w:rsidR="00A4300D" w:rsidRDefault="00A4300D" w:rsidP="00A4300D">
      <w:r>
        <w:t xml:space="preserve">Notably, eight of 25 universities indicated they were unable to systematically attribute costs between levels of education for a given </w:t>
      </w:r>
      <w:r w:rsidR="00B25F56">
        <w:t>f</w:t>
      </w:r>
      <w:r w:rsidR="00471E84">
        <w:t xml:space="preserve">aculty or </w:t>
      </w:r>
      <w:r w:rsidR="00B25F56">
        <w:t>s</w:t>
      </w:r>
      <w:r w:rsidR="00471E84">
        <w:t>chool</w:t>
      </w:r>
      <w:r>
        <w:t xml:space="preserve">. In other words, these universities </w:t>
      </w:r>
      <w:r w:rsidR="00B25F56">
        <w:t>had generally equivalent costs for each of three levels in a given</w:t>
      </w:r>
      <w:r>
        <w:t xml:space="preserve"> </w:t>
      </w:r>
      <w:r w:rsidR="00B25F56">
        <w:t xml:space="preserve">faculty or school. </w:t>
      </w:r>
      <w:r w:rsidR="001249AB">
        <w:t>In many of these cases</w:t>
      </w:r>
      <w:r w:rsidR="0022424E">
        <w:t>,</w:t>
      </w:r>
      <w:r w:rsidR="001249AB">
        <w:t xml:space="preserve"> </w:t>
      </w:r>
      <w:r w:rsidR="00B25F56">
        <w:t xml:space="preserve">universities simply used EFTSL to separate costs within faculties or schools and across levels, such that costs per EFTSL were equivalent for all levels of study. </w:t>
      </w:r>
      <w:r w:rsidR="0022424E">
        <w:t>Thus,</w:t>
      </w:r>
      <w:r w:rsidR="00471E84">
        <w:t xml:space="preserve"> </w:t>
      </w:r>
      <w:proofErr w:type="gramStart"/>
      <w:r w:rsidR="00471E84">
        <w:t xml:space="preserve">any difference within a field of education was driven </w:t>
      </w:r>
      <w:r w:rsidR="00B25F56">
        <w:t xml:space="preserve">solely </w:t>
      </w:r>
      <w:r w:rsidR="00471E84">
        <w:t>by the different mix of faculties or schools within an FOE</w:t>
      </w:r>
      <w:proofErr w:type="gramEnd"/>
      <w:r>
        <w:t xml:space="preserve">. </w:t>
      </w:r>
    </w:p>
    <w:p w14:paraId="081572E8" w14:textId="77777777" w:rsidR="00A4300D" w:rsidRDefault="00A4300D" w:rsidP="00A4300D">
      <w:r>
        <w:t xml:space="preserve">These limitations were raised in consultations and accompanying statements by universities and should be considered when comparing unit cost calculations between levels for a given field. Where a university has assumed a constant unit cost, this will lead to convergence in costs between levels, but in other instances, where a university has </w:t>
      </w:r>
      <w:r w:rsidR="001249AB">
        <w:t>used a cost allocation methodology that captures variation in costs between levels</w:t>
      </w:r>
      <w:r>
        <w:t xml:space="preserve">, variation may be higher. </w:t>
      </w:r>
    </w:p>
    <w:p w14:paraId="39E5E86D" w14:textId="42AD1179" w:rsidR="00A4300D" w:rsidRDefault="008A3662" w:rsidP="00A4300D">
      <w:r>
        <w:fldChar w:fldCharType="begin"/>
      </w:r>
      <w:r>
        <w:instrText xml:space="preserve"> REF _Ref532207094 \r \h </w:instrText>
      </w:r>
      <w:r>
        <w:fldChar w:fldCharType="separate"/>
      </w:r>
      <w:r w:rsidR="00F47C96">
        <w:t>Chart 2.11</w:t>
      </w:r>
      <w:r>
        <w:fldChar w:fldCharType="end"/>
      </w:r>
      <w:r>
        <w:t xml:space="preserve"> </w:t>
      </w:r>
      <w:r w:rsidR="00A4300D">
        <w:t xml:space="preserve">describes the variation in costs between those universities that could, and those that could not </w:t>
      </w:r>
      <w:r w:rsidR="001249AB">
        <w:t xml:space="preserve">typically </w:t>
      </w:r>
      <w:r w:rsidR="00A4300D">
        <w:t xml:space="preserve">distinguish between costs at different levels of education. The variation in average cost between these groups for postgraduate studies is relatively small (around $200), while the variation is larger for sub-bachelor and bachelor studies (around $1,400 and $2,000 respectively). </w:t>
      </w:r>
    </w:p>
    <w:p w14:paraId="441275A3" w14:textId="77777777" w:rsidR="001249AB" w:rsidRDefault="00A4300D" w:rsidP="00A4300D">
      <w:r>
        <w:lastRenderedPageBreak/>
        <w:t xml:space="preserve">Notably, the difference in average unit costs between sub-bachelor and bachelor study is </w:t>
      </w:r>
      <w:r w:rsidR="00471E84">
        <w:t xml:space="preserve">similar </w:t>
      </w:r>
      <w:r>
        <w:t xml:space="preserve">for those that </w:t>
      </w:r>
      <w:r w:rsidR="00396E2E">
        <w:t xml:space="preserve">can and those that </w:t>
      </w:r>
      <w:r w:rsidR="001249AB">
        <w:t>indicated they could not</w:t>
      </w:r>
      <w:r>
        <w:t xml:space="preserve"> distinguish between levels of education</w:t>
      </w:r>
      <w:r w:rsidR="001249AB">
        <w:t xml:space="preserve"> within a faculty or school</w:t>
      </w:r>
      <w:r>
        <w:t>. This may be contrary to expectations given these universities were able to more accurately identify variation between levels of education.</w:t>
      </w:r>
      <w:r w:rsidR="00B25F56">
        <w:t xml:space="preserve"> </w:t>
      </w:r>
      <w:proofErr w:type="gramStart"/>
      <w:r w:rsidR="00B25F56">
        <w:t>However, there was a larger difference between postgraduate and bachelor level costs for those universities who indicated they were able to distinguish differences in costs by level of education at a faculty or school level</w:t>
      </w:r>
      <w:r w:rsidR="001249AB">
        <w:t xml:space="preserve"> than those that could not.</w:t>
      </w:r>
      <w:proofErr w:type="gramEnd"/>
      <w:r w:rsidR="001249AB">
        <w:t xml:space="preserve"> </w:t>
      </w:r>
    </w:p>
    <w:p w14:paraId="1337D877" w14:textId="77777777" w:rsidR="00A4300D" w:rsidRDefault="001249AB" w:rsidP="00A4300D">
      <w:r>
        <w:t xml:space="preserve">Overall, the evidence suggests that there was a reasonable degree of variation between costs by level even for universities who indicated they were unable to distinguish differences in costs at a school or Faculty level. While some of this difference reflected a difference in the enrolment mix in terms of FOE for different levels of study, these universities still often had differences in costs by level within an FOE, reflecting the fact that FOEs often capture enrolments in more than one school or Faculty. </w:t>
      </w:r>
    </w:p>
    <w:p w14:paraId="6078166F" w14:textId="77777777" w:rsidR="00A4300D" w:rsidRDefault="00A4300D" w:rsidP="00A4300D">
      <w:pPr>
        <w:pStyle w:val="CaptionChart"/>
        <w:numPr>
          <w:ilvl w:val="7"/>
          <w:numId w:val="1"/>
        </w:numPr>
      </w:pPr>
      <w:bookmarkStart w:id="248" w:name="_Ref531945794"/>
      <w:bookmarkStart w:id="249" w:name="_Ref532207057"/>
      <w:bookmarkStart w:id="250" w:name="_Ref532207094"/>
      <w:bookmarkStart w:id="251" w:name="_Toc534713834"/>
      <w:r>
        <w:t>: Average unit costs by level of education</w:t>
      </w:r>
      <w:bookmarkEnd w:id="248"/>
      <w:bookmarkEnd w:id="249"/>
      <w:bookmarkEnd w:id="250"/>
      <w:bookmarkEnd w:id="251"/>
    </w:p>
    <w:p w14:paraId="7A018BEB" w14:textId="4A3DB76C" w:rsidR="00A4300D" w:rsidRDefault="002D7620" w:rsidP="00A4300D">
      <w:r w:rsidRPr="002D7620">
        <w:rPr>
          <w:noProof/>
          <w:lang w:eastAsia="en-AU"/>
        </w:rPr>
        <w:t xml:space="preserve"> </w:t>
      </w:r>
      <w:r w:rsidR="005C4763">
        <w:rPr>
          <w:noProof/>
          <w:lang w:eastAsia="en-AU"/>
        </w:rPr>
        <w:drawing>
          <wp:inline distT="0" distB="0" distL="0" distR="0" wp14:anchorId="66B8E114" wp14:editId="44A80618">
            <wp:extent cx="4538551" cy="2671842"/>
            <wp:effectExtent l="0" t="0" r="0" b="0"/>
            <wp:docPr id="459974147" name="Chart 45997414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2861B048" w14:textId="77777777" w:rsidR="00A4300D" w:rsidRDefault="00A4300D" w:rsidP="00A4300D">
      <w:pPr>
        <w:pStyle w:val="Source"/>
      </w:pPr>
      <w:r>
        <w:t xml:space="preserve">Note: ‘Can distinguish’ includes 17 </w:t>
      </w:r>
      <w:proofErr w:type="gramStart"/>
      <w:r>
        <w:t>universities,</w:t>
      </w:r>
      <w:proofErr w:type="gramEnd"/>
      <w:r>
        <w:t xml:space="preserve"> ‘Can’t distinguish’ includes 8 universities. Outliers excluded. </w:t>
      </w:r>
    </w:p>
    <w:p w14:paraId="46B48203" w14:textId="77777777" w:rsidR="008C72C2" w:rsidRPr="00466770" w:rsidRDefault="001548C2">
      <w:pPr>
        <w:pStyle w:val="Heading2"/>
      </w:pPr>
      <w:bookmarkStart w:id="252" w:name="_Toc532376022"/>
      <w:bookmarkStart w:id="253" w:name="_Toc532376023"/>
      <w:bookmarkStart w:id="254" w:name="_Toc532376024"/>
      <w:bookmarkStart w:id="255" w:name="_Toc532376025"/>
      <w:bookmarkStart w:id="256" w:name="_Toc532376026"/>
      <w:bookmarkStart w:id="257" w:name="_Toc529546279"/>
      <w:bookmarkStart w:id="258" w:name="_Toc529546927"/>
      <w:bookmarkStart w:id="259" w:name="_Toc529546280"/>
      <w:bookmarkStart w:id="260" w:name="_Toc529546928"/>
      <w:bookmarkStart w:id="261" w:name="_Toc528855684"/>
      <w:bookmarkStart w:id="262" w:name="_Ref532214635"/>
      <w:bookmarkStart w:id="263" w:name="_Ref534706426"/>
      <w:bookmarkStart w:id="264" w:name="_Ref534713016"/>
      <w:bookmarkStart w:id="265" w:name="_Toc534713796"/>
      <w:bookmarkEnd w:id="252"/>
      <w:bookmarkEnd w:id="253"/>
      <w:bookmarkEnd w:id="254"/>
      <w:bookmarkEnd w:id="255"/>
      <w:bookmarkEnd w:id="256"/>
      <w:bookmarkEnd w:id="257"/>
      <w:bookmarkEnd w:id="258"/>
      <w:bookmarkEnd w:id="259"/>
      <w:bookmarkEnd w:id="260"/>
      <w:r w:rsidRPr="00466770">
        <w:t>Comparing costs to base funding levels</w:t>
      </w:r>
      <w:bookmarkEnd w:id="261"/>
      <w:bookmarkEnd w:id="262"/>
      <w:bookmarkEnd w:id="263"/>
      <w:bookmarkEnd w:id="264"/>
      <w:bookmarkEnd w:id="265"/>
      <w:r w:rsidRPr="00466770">
        <w:t xml:space="preserve"> </w:t>
      </w:r>
    </w:p>
    <w:p w14:paraId="15EC8E5A" w14:textId="77777777" w:rsidR="004010E8" w:rsidRDefault="004010E8" w:rsidP="004010E8">
      <w:r>
        <w:t xml:space="preserve">As a broad measure of funding adequacy at the field level, previous studies have examined the relativities between average unit costs and average base funding according to CGS classifications. </w:t>
      </w:r>
    </w:p>
    <w:p w14:paraId="2F1DBD55" w14:textId="77777777" w:rsidR="004010E8" w:rsidRDefault="004010E8" w:rsidP="004010E8">
      <w:r>
        <w:t xml:space="preserve">Importantly, caution </w:t>
      </w:r>
      <w:proofErr w:type="gramStart"/>
      <w:r>
        <w:t>should be taken</w:t>
      </w:r>
      <w:proofErr w:type="gramEnd"/>
      <w:r>
        <w:t xml:space="preserve"> in drawing inferences regarding the sufficiency of CGS funding from these results. While not specifically stated in the Higher Education Support Act 2003, there is a general view that CGS funding is intended to cover some level of base research activity (which </w:t>
      </w:r>
      <w:r w:rsidR="00B064F6">
        <w:t>was</w:t>
      </w:r>
      <w:r>
        <w:t xml:space="preserve"> excluded from the definition of teaching and scholarship costs used in this study), and the cost of such research may vary as a proportion of teaching costs.</w:t>
      </w:r>
    </w:p>
    <w:p w14:paraId="22F526EB" w14:textId="5A46AC80" w:rsidR="004010E8" w:rsidRDefault="004010E8" w:rsidP="004010E8">
      <w:r>
        <w:t xml:space="preserve">On average, the cost of delivering teaching and scholarship for bachelor studies was </w:t>
      </w:r>
      <w:r w:rsidR="0022424E">
        <w:t>89</w:t>
      </w:r>
      <w:r>
        <w:t>% of the average base funding across all 25 institutions (</w:t>
      </w:r>
      <w:r w:rsidR="0022424E">
        <w:fldChar w:fldCharType="begin"/>
      </w:r>
      <w:r w:rsidR="0022424E">
        <w:instrText xml:space="preserve"> REF _Ref534708069 \r \h </w:instrText>
      </w:r>
      <w:r w:rsidR="0022424E">
        <w:fldChar w:fldCharType="separate"/>
      </w:r>
      <w:r w:rsidR="00F47C96">
        <w:t>Chart 2.12</w:t>
      </w:r>
      <w:r w:rsidR="0022424E">
        <w:fldChar w:fldCharType="end"/>
      </w:r>
      <w:r>
        <w:t>). A number of fields had an average cost greater than average funding. These included Food, Hospitality and Personal Services (185%), Veterinary Studies (140%), Management and Commerce (116%), Dental Studies (112%) and Creative Arts – Other (104%).</w:t>
      </w:r>
    </w:p>
    <w:p w14:paraId="31E2D253" w14:textId="77777777" w:rsidR="004010E8" w:rsidRDefault="004010E8" w:rsidP="004010E8">
      <w:r>
        <w:t xml:space="preserve">Fields such as Food, Hospitality and Personal Services, Veterinary Studies and Dental Studies </w:t>
      </w:r>
      <w:proofErr w:type="gramStart"/>
      <w:r>
        <w:t>were delivered</w:t>
      </w:r>
      <w:proofErr w:type="gramEnd"/>
      <w:r>
        <w:t xml:space="preserve"> at a relatively small scale and by only a few universities.  Among larger fields, Management and Commerce and Creative Arts – Other receive a relatively low amount of base funding per EFTSL. </w:t>
      </w:r>
    </w:p>
    <w:p w14:paraId="65AB8288" w14:textId="77777777" w:rsidR="009548BA" w:rsidRDefault="004010E8" w:rsidP="00832D59">
      <w:pPr>
        <w:pStyle w:val="CaptionChart"/>
      </w:pPr>
      <w:bookmarkStart w:id="266" w:name="_Ref534708069"/>
      <w:bookmarkStart w:id="267" w:name="_Toc534713835"/>
      <w:r>
        <w:lastRenderedPageBreak/>
        <w:t xml:space="preserve">: </w:t>
      </w:r>
      <w:r w:rsidRPr="00832D59">
        <w:t>Average unit costs as a proportion of base funding for bachelor (full sample)</w:t>
      </w:r>
      <w:bookmarkEnd w:id="266"/>
      <w:bookmarkEnd w:id="267"/>
    </w:p>
    <w:p w14:paraId="7FBB8713" w14:textId="224A5F04" w:rsidR="004010E8" w:rsidRDefault="0081705B" w:rsidP="006118C2">
      <w:pPr>
        <w:spacing w:after="0"/>
      </w:pPr>
      <w:r>
        <w:rPr>
          <w:noProof/>
          <w:lang w:eastAsia="en-AU"/>
        </w:rPr>
        <w:drawing>
          <wp:inline distT="0" distB="0" distL="0" distR="0" wp14:anchorId="115A9E24" wp14:editId="5C71770F">
            <wp:extent cx="4428000" cy="2628000"/>
            <wp:effectExtent l="0" t="0" r="0" b="1270"/>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839E4C7" w14:textId="77777777" w:rsidR="00B064F6" w:rsidRDefault="00B064F6" w:rsidP="006118C2">
      <w:pPr>
        <w:pStyle w:val="Heading4un-numbered"/>
      </w:pPr>
      <w:r>
        <w:t>Common sample</w:t>
      </w:r>
    </w:p>
    <w:p w14:paraId="400A9051" w14:textId="1A5A244A" w:rsidR="004010E8" w:rsidRDefault="004010E8" w:rsidP="004010E8">
      <w:r>
        <w:t>Among universities that participated in the 2016 study (i.e. comparing a common sample), the average proportion of</w:t>
      </w:r>
      <w:r w:rsidR="004D0B0A">
        <w:t xml:space="preserve"> bachelor</w:t>
      </w:r>
      <w:r>
        <w:t xml:space="preserve"> teaching costs relative to base funding was 87% in 2017, compared to 85% in 2015, which represents </w:t>
      </w:r>
      <w:r w:rsidR="003E6259">
        <w:t>a small increase in this value (</w:t>
      </w:r>
      <w:r w:rsidR="0022424E">
        <w:fldChar w:fldCharType="begin"/>
      </w:r>
      <w:r w:rsidR="0022424E">
        <w:instrText xml:space="preserve"> REF _Ref534708128 \r \h </w:instrText>
      </w:r>
      <w:r w:rsidR="0022424E">
        <w:fldChar w:fldCharType="separate"/>
      </w:r>
      <w:r w:rsidR="00F47C96">
        <w:t>Chart 2.13</w:t>
      </w:r>
      <w:r w:rsidR="0022424E">
        <w:fldChar w:fldCharType="end"/>
      </w:r>
      <w:r w:rsidR="003E6259">
        <w:t>)</w:t>
      </w:r>
      <w:r>
        <w:t xml:space="preserve">. </w:t>
      </w:r>
    </w:p>
    <w:p w14:paraId="704F4E16" w14:textId="380D8937" w:rsidR="004010E8" w:rsidRDefault="00B064F6" w:rsidP="004010E8">
      <w:r>
        <w:t>For the common sample, a</w:t>
      </w:r>
      <w:r w:rsidR="004010E8">
        <w:t xml:space="preserve">mong the 19 fields that are directly comparable, </w:t>
      </w:r>
      <w:r w:rsidR="002B35D6">
        <w:t xml:space="preserve">eight </w:t>
      </w:r>
      <w:r w:rsidR="004010E8">
        <w:t>experienced decreasing cost-to-funding</w:t>
      </w:r>
      <w:r w:rsidR="001363B6">
        <w:t xml:space="preserve"> ratios</w:t>
      </w:r>
      <w:r w:rsidR="005719A7">
        <w:t xml:space="preserve">, </w:t>
      </w:r>
      <w:r w:rsidR="002B35D6">
        <w:t xml:space="preserve">eight </w:t>
      </w:r>
      <w:r w:rsidR="004010E8">
        <w:t>increased</w:t>
      </w:r>
      <w:r w:rsidR="005719A7">
        <w:t xml:space="preserve"> and </w:t>
      </w:r>
      <w:r w:rsidR="002B35D6">
        <w:t xml:space="preserve">three </w:t>
      </w:r>
      <w:r w:rsidR="005719A7">
        <w:t>were relatively stable</w:t>
      </w:r>
      <w:r w:rsidR="002B35D6">
        <w:t xml:space="preserve"> (within one percentile point)</w:t>
      </w:r>
      <w:r w:rsidR="004010E8">
        <w:t>.</w:t>
      </w:r>
      <w:r w:rsidR="002B35D6">
        <w:t xml:space="preserve"> Four fields experienced movements greater than 10 percentile points.</w:t>
      </w:r>
      <w:r w:rsidR="008A3662">
        <w:rPr>
          <w:rStyle w:val="FootnoteReference"/>
        </w:rPr>
        <w:footnoteReference w:id="17"/>
      </w:r>
    </w:p>
    <w:p w14:paraId="2D7399F4" w14:textId="46FD4464" w:rsidR="004010E8" w:rsidRDefault="004010E8" w:rsidP="004010E8">
      <w:pPr>
        <w:pStyle w:val="ListBullet"/>
        <w:numPr>
          <w:ilvl w:val="0"/>
          <w:numId w:val="23"/>
        </w:numPr>
      </w:pPr>
      <w:r>
        <w:t>Management and Commerce increased from 104% to 11</w:t>
      </w:r>
      <w:r w:rsidR="002B35D6">
        <w:t>4</w:t>
      </w:r>
      <w:r>
        <w:t>% (increase of 1</w:t>
      </w:r>
      <w:r w:rsidR="002B35D6">
        <w:t>0</w:t>
      </w:r>
      <w:r>
        <w:t xml:space="preserve"> percentage points); </w:t>
      </w:r>
    </w:p>
    <w:p w14:paraId="46E5F823" w14:textId="7D357915" w:rsidR="004010E8" w:rsidRDefault="004010E8" w:rsidP="004010E8">
      <w:pPr>
        <w:pStyle w:val="ListBullet"/>
        <w:numPr>
          <w:ilvl w:val="0"/>
          <w:numId w:val="23"/>
        </w:numPr>
      </w:pPr>
      <w:r>
        <w:t xml:space="preserve">Dental Studies decreased from 143% to 114% (decrease of </w:t>
      </w:r>
      <w:r w:rsidR="002B35D6">
        <w:t>29</w:t>
      </w:r>
      <w:r>
        <w:t xml:space="preserve"> percentage points); and</w:t>
      </w:r>
    </w:p>
    <w:p w14:paraId="7F6D3007" w14:textId="77777777" w:rsidR="004010E8" w:rsidRDefault="004010E8" w:rsidP="004010E8">
      <w:pPr>
        <w:pStyle w:val="ListBullet"/>
        <w:numPr>
          <w:ilvl w:val="0"/>
          <w:numId w:val="23"/>
        </w:numPr>
      </w:pPr>
      <w:r>
        <w:t>Veterinary Studies decreased from 152% to 140% (decrease of 12 percentage points); and</w:t>
      </w:r>
    </w:p>
    <w:p w14:paraId="1AD86A2A" w14:textId="077302C8" w:rsidR="004010E8" w:rsidRDefault="004010E8" w:rsidP="004010E8">
      <w:pPr>
        <w:pStyle w:val="ListBullet"/>
        <w:numPr>
          <w:ilvl w:val="0"/>
          <w:numId w:val="23"/>
        </w:numPr>
      </w:pPr>
      <w:r>
        <w:t>Agriculture, Environmental and Related Studies – Other decreased from 97% to 86% (decrease of 1</w:t>
      </w:r>
      <w:r w:rsidR="002B35D6">
        <w:t>1</w:t>
      </w:r>
      <w:r>
        <w:t xml:space="preserve"> percentage points).</w:t>
      </w:r>
    </w:p>
    <w:p w14:paraId="7B6D9D34" w14:textId="77777777" w:rsidR="004010E8" w:rsidRDefault="004010E8" w:rsidP="004010E8">
      <w:pPr>
        <w:pStyle w:val="CaptionChart"/>
      </w:pPr>
      <w:bookmarkStart w:id="268" w:name="_Ref534708128"/>
      <w:bookmarkStart w:id="269" w:name="_Toc534713836"/>
      <w:r>
        <w:t>: Distribution of the average unit costs to base funding ratio in comparison to the 2016 study for bachelor, common sample</w:t>
      </w:r>
      <w:bookmarkEnd w:id="268"/>
      <w:bookmarkEnd w:id="269"/>
    </w:p>
    <w:p w14:paraId="3734CCD3" w14:textId="623E78B6" w:rsidR="004010E8" w:rsidRPr="009E1204" w:rsidRDefault="0081705B" w:rsidP="005D3384">
      <w:pPr>
        <w:spacing w:after="0"/>
      </w:pPr>
      <w:r w:rsidRPr="0081705B">
        <w:rPr>
          <w:noProof/>
          <w:lang w:eastAsia="en-AU"/>
        </w:rPr>
        <w:drawing>
          <wp:inline distT="0" distB="0" distL="0" distR="0" wp14:anchorId="5D889BC7" wp14:editId="5CCCF86F">
            <wp:extent cx="5436000" cy="2426707"/>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36000" cy="2426707"/>
                    </a:xfrm>
                    <a:prstGeom prst="rect">
                      <a:avLst/>
                    </a:prstGeom>
                    <a:noFill/>
                    <a:ln>
                      <a:noFill/>
                    </a:ln>
                  </pic:spPr>
                </pic:pic>
              </a:graphicData>
            </a:graphic>
          </wp:inline>
        </w:drawing>
      </w:r>
    </w:p>
    <w:p w14:paraId="7FA29B15" w14:textId="77777777" w:rsidR="004010E8" w:rsidRPr="00E91083" w:rsidRDefault="004010E8" w:rsidP="006118C2">
      <w:pPr>
        <w:pStyle w:val="Source"/>
        <w:spacing w:before="0"/>
      </w:pPr>
      <w:r>
        <w:t xml:space="preserve">Note: Marker at average value, lines represent range from minimum to maximum. Notably, these results only include universities that participated in both the 2016 study and this exercise. </w:t>
      </w:r>
    </w:p>
    <w:p w14:paraId="1C246C11" w14:textId="77777777" w:rsidR="001548C2" w:rsidRDefault="001548C2" w:rsidP="00466770">
      <w:pPr>
        <w:pStyle w:val="Heading2"/>
      </w:pPr>
      <w:bookmarkStart w:id="270" w:name="_Toc529454468"/>
      <w:bookmarkStart w:id="271" w:name="_Toc529454560"/>
      <w:bookmarkStart w:id="272" w:name="_Toc529459972"/>
      <w:bookmarkStart w:id="273" w:name="_Toc529546344"/>
      <w:bookmarkStart w:id="274" w:name="_Toc529546984"/>
      <w:bookmarkStart w:id="275" w:name="_Toc529454470"/>
      <w:bookmarkStart w:id="276" w:name="_Toc529454562"/>
      <w:bookmarkStart w:id="277" w:name="_Toc529459974"/>
      <w:bookmarkStart w:id="278" w:name="_Toc529546346"/>
      <w:bookmarkStart w:id="279" w:name="_Toc529546986"/>
      <w:bookmarkStart w:id="280" w:name="_Toc529454471"/>
      <w:bookmarkStart w:id="281" w:name="_Toc529454563"/>
      <w:bookmarkStart w:id="282" w:name="_Toc529459975"/>
      <w:bookmarkStart w:id="283" w:name="_Toc529546347"/>
      <w:bookmarkStart w:id="284" w:name="_Toc529546987"/>
      <w:bookmarkStart w:id="285" w:name="_Toc529454472"/>
      <w:bookmarkStart w:id="286" w:name="_Toc529454564"/>
      <w:bookmarkStart w:id="287" w:name="_Toc529459976"/>
      <w:bookmarkStart w:id="288" w:name="_Toc529546348"/>
      <w:bookmarkStart w:id="289" w:name="_Toc529546988"/>
      <w:bookmarkStart w:id="290" w:name="_Toc529454473"/>
      <w:bookmarkStart w:id="291" w:name="_Toc529454565"/>
      <w:bookmarkStart w:id="292" w:name="_Toc529459977"/>
      <w:bookmarkStart w:id="293" w:name="_Toc529546349"/>
      <w:bookmarkStart w:id="294" w:name="_Toc529546989"/>
      <w:bookmarkStart w:id="295" w:name="_Toc529454474"/>
      <w:bookmarkStart w:id="296" w:name="_Toc529454566"/>
      <w:bookmarkStart w:id="297" w:name="_Toc529459978"/>
      <w:bookmarkStart w:id="298" w:name="_Toc529546350"/>
      <w:bookmarkStart w:id="299" w:name="_Toc529546990"/>
      <w:bookmarkStart w:id="300" w:name="_Toc529454475"/>
      <w:bookmarkStart w:id="301" w:name="_Toc529454567"/>
      <w:bookmarkStart w:id="302" w:name="_Toc529459979"/>
      <w:bookmarkStart w:id="303" w:name="_Toc529546351"/>
      <w:bookmarkStart w:id="304" w:name="_Toc529546991"/>
      <w:bookmarkStart w:id="305" w:name="_Toc529454476"/>
      <w:bookmarkStart w:id="306" w:name="_Toc529454568"/>
      <w:bookmarkStart w:id="307" w:name="_Toc529459980"/>
      <w:bookmarkStart w:id="308" w:name="_Toc529546352"/>
      <w:bookmarkStart w:id="309" w:name="_Toc529546992"/>
      <w:bookmarkStart w:id="310" w:name="_Toc529454477"/>
      <w:bookmarkStart w:id="311" w:name="_Toc529454569"/>
      <w:bookmarkStart w:id="312" w:name="_Toc529459981"/>
      <w:bookmarkStart w:id="313" w:name="_Toc529546353"/>
      <w:bookmarkStart w:id="314" w:name="_Toc529546993"/>
      <w:bookmarkStart w:id="315" w:name="_Toc529454478"/>
      <w:bookmarkStart w:id="316" w:name="_Toc529454570"/>
      <w:bookmarkStart w:id="317" w:name="_Toc529459982"/>
      <w:bookmarkStart w:id="318" w:name="_Toc529546354"/>
      <w:bookmarkStart w:id="319" w:name="_Toc529546994"/>
      <w:bookmarkStart w:id="320" w:name="_Toc529454479"/>
      <w:bookmarkStart w:id="321" w:name="_Toc529454571"/>
      <w:bookmarkStart w:id="322" w:name="_Toc529459983"/>
      <w:bookmarkStart w:id="323" w:name="_Toc529546355"/>
      <w:bookmarkStart w:id="324" w:name="_Toc529546995"/>
      <w:bookmarkStart w:id="325" w:name="_Ref534706432"/>
      <w:bookmarkStart w:id="326" w:name="_Toc534713797"/>
      <w:bookmarkStart w:id="327" w:name="_Toc528855685"/>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lastRenderedPageBreak/>
        <w:t>Comparing costs to the 2016 study</w:t>
      </w:r>
      <w:bookmarkEnd w:id="325"/>
      <w:bookmarkEnd w:id="326"/>
      <w:r>
        <w:t xml:space="preserve"> </w:t>
      </w:r>
      <w:bookmarkEnd w:id="327"/>
    </w:p>
    <w:p w14:paraId="3C529055" w14:textId="11A9D7F4" w:rsidR="00700937" w:rsidRDefault="00C463AA" w:rsidP="004F307D">
      <w:r>
        <w:t>The average cost across all fields and levels of education in 2017 was $18,1</w:t>
      </w:r>
      <w:r w:rsidR="0075608C">
        <w:t>00</w:t>
      </w:r>
      <w:r>
        <w:t xml:space="preserve"> (for universities common to the 2016 study), which is </w:t>
      </w:r>
      <w:r w:rsidR="00547EB3">
        <w:t>5.9</w:t>
      </w:r>
      <w:r>
        <w:t>% or around $1,</w:t>
      </w:r>
      <w:r w:rsidR="0075608C">
        <w:t>100</w:t>
      </w:r>
      <w:r>
        <w:t xml:space="preserve"> higher than the average cost of $17,</w:t>
      </w:r>
      <w:r w:rsidR="0075608C">
        <w:t>00</w:t>
      </w:r>
      <w:r w:rsidR="00706640">
        <w:t>0</w:t>
      </w:r>
      <w:r>
        <w:t xml:space="preserve"> in 2015. </w:t>
      </w:r>
    </w:p>
    <w:p w14:paraId="4677E3A5" w14:textId="5AADA7BE" w:rsidR="00C463AA" w:rsidRDefault="00700937" w:rsidP="004F307D">
      <w:r>
        <w:t>In the case of bachelor degree students, the average cost per EFTSL rose from $16,200 in 2015 to $1</w:t>
      </w:r>
      <w:r w:rsidR="001D3D06">
        <w:t>6</w:t>
      </w:r>
      <w:r>
        <w:t>,</w:t>
      </w:r>
      <w:r w:rsidR="001D3D06">
        <w:t>9</w:t>
      </w:r>
      <w:r w:rsidR="0075608C">
        <w:t>0</w:t>
      </w:r>
      <w:r w:rsidR="00770DFD">
        <w:t>0</w:t>
      </w:r>
      <w:r w:rsidR="003879BC">
        <w:t xml:space="preserve"> </w:t>
      </w:r>
      <w:r>
        <w:t xml:space="preserve">in 2017, a </w:t>
      </w:r>
      <w:r w:rsidR="00547EB3">
        <w:t>4.</w:t>
      </w:r>
      <w:r w:rsidR="001D3D06">
        <w:t>6</w:t>
      </w:r>
      <w:r>
        <w:t>% increase</w:t>
      </w:r>
      <w:r w:rsidR="009B2718">
        <w:t xml:space="preserve"> for the common sample</w:t>
      </w:r>
      <w:r>
        <w:t xml:space="preserve">. </w:t>
      </w:r>
    </w:p>
    <w:p w14:paraId="006517D2" w14:textId="77777777" w:rsidR="00C463AA" w:rsidRDefault="00C463AA" w:rsidP="004F307D">
      <w:r>
        <w:t xml:space="preserve">Only three fields experienced decreasing unit costs over this time: Medical </w:t>
      </w:r>
      <w:r w:rsidR="00D9748B">
        <w:t>Sciences</w:t>
      </w:r>
      <w:r>
        <w:t>, Dental Studies and Other Agriculture and Environmental Studies.</w:t>
      </w:r>
      <w:r w:rsidR="00D9748B">
        <w:t xml:space="preserve"> Notably, t</w:t>
      </w:r>
      <w:r>
        <w:t>he largest unit cost increases in percentage terms were mostly in relatively low cost fields.</w:t>
      </w:r>
    </w:p>
    <w:p w14:paraId="2533A4E2" w14:textId="306A4C02" w:rsidR="00FF4C3A" w:rsidRDefault="00FF4C3A" w:rsidP="004F307D">
      <w:r>
        <w:fldChar w:fldCharType="begin"/>
      </w:r>
      <w:r>
        <w:instrText xml:space="preserve"> REF _Ref529445275 \r \h </w:instrText>
      </w:r>
      <w:r>
        <w:fldChar w:fldCharType="separate"/>
      </w:r>
      <w:r w:rsidR="00F47C96">
        <w:t>Chart 2.15</w:t>
      </w:r>
      <w:r>
        <w:fldChar w:fldCharType="end"/>
      </w:r>
      <w:r>
        <w:t xml:space="preserve">, </w:t>
      </w:r>
      <w:r>
        <w:fldChar w:fldCharType="begin"/>
      </w:r>
      <w:r>
        <w:instrText xml:space="preserve"> REF _Ref529445277 \r \h </w:instrText>
      </w:r>
      <w:r>
        <w:fldChar w:fldCharType="separate"/>
      </w:r>
      <w:r w:rsidR="00F47C96">
        <w:t>Chart 2.16</w:t>
      </w:r>
      <w:r>
        <w:fldChar w:fldCharType="end"/>
      </w:r>
      <w:r>
        <w:t xml:space="preserve">, and </w:t>
      </w:r>
      <w:r>
        <w:fldChar w:fldCharType="begin"/>
      </w:r>
      <w:r>
        <w:instrText xml:space="preserve"> REF _Ref529445278 \r \h </w:instrText>
      </w:r>
      <w:r>
        <w:fldChar w:fldCharType="separate"/>
      </w:r>
      <w:r w:rsidR="00F47C96">
        <w:t>Chart 2.17</w:t>
      </w:r>
      <w:r>
        <w:fldChar w:fldCharType="end"/>
      </w:r>
      <w:r>
        <w:t xml:space="preserve"> describe the changes in averages and distribution of average unit costs across each field and level of education, among universities common to both studies.</w:t>
      </w:r>
      <w:r w:rsidR="0074548E">
        <w:t xml:space="preserve"> </w:t>
      </w:r>
      <w:r>
        <w:t xml:space="preserve">At a high level, many of the central points and ranges of dispersion are relatively similar across years. </w:t>
      </w:r>
    </w:p>
    <w:p w14:paraId="4949432C" w14:textId="77777777" w:rsidR="001548C2" w:rsidRDefault="001548C2" w:rsidP="001548C2">
      <w:pPr>
        <w:pStyle w:val="CaptionChart"/>
      </w:pPr>
      <w:bookmarkStart w:id="328" w:name="_Toc529454482"/>
      <w:bookmarkStart w:id="329" w:name="_Toc529454574"/>
      <w:bookmarkStart w:id="330" w:name="_Toc529459986"/>
      <w:bookmarkStart w:id="331" w:name="_Toc529546358"/>
      <w:bookmarkStart w:id="332" w:name="_Toc529546998"/>
      <w:bookmarkStart w:id="333" w:name="_Toc529454483"/>
      <w:bookmarkStart w:id="334" w:name="_Toc529454575"/>
      <w:bookmarkStart w:id="335" w:name="_Toc529459987"/>
      <w:bookmarkStart w:id="336" w:name="_Toc529546359"/>
      <w:bookmarkStart w:id="337" w:name="_Toc529546999"/>
      <w:bookmarkStart w:id="338" w:name="_Toc529454484"/>
      <w:bookmarkStart w:id="339" w:name="_Toc529454576"/>
      <w:bookmarkStart w:id="340" w:name="_Toc529459988"/>
      <w:bookmarkStart w:id="341" w:name="_Toc529546360"/>
      <w:bookmarkStart w:id="342" w:name="_Toc529547000"/>
      <w:bookmarkStart w:id="343" w:name="_Toc529454485"/>
      <w:bookmarkStart w:id="344" w:name="_Toc529454577"/>
      <w:bookmarkStart w:id="345" w:name="_Toc529459989"/>
      <w:bookmarkStart w:id="346" w:name="_Toc529546361"/>
      <w:bookmarkStart w:id="347" w:name="_Toc529547001"/>
      <w:bookmarkStart w:id="348" w:name="_Toc528855722"/>
      <w:bookmarkStart w:id="349" w:name="_Toc53471383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r>
        <w:t>: Comparing average costs between 2016 and 2018 studies by field</w:t>
      </w:r>
      <w:bookmarkEnd w:id="348"/>
      <w:r>
        <w:t xml:space="preserve"> </w:t>
      </w:r>
      <w:r w:rsidR="00074AB9">
        <w:t>(all levels)</w:t>
      </w:r>
      <w:r w:rsidR="00E739A7">
        <w:t>, common sample</w:t>
      </w:r>
      <w:bookmarkEnd w:id="349"/>
    </w:p>
    <w:p w14:paraId="1AA2DD5B" w14:textId="1A929DE0" w:rsidR="00074AB9" w:rsidRDefault="0081705B" w:rsidP="001548C2">
      <w:pPr>
        <w:rPr>
          <w:i/>
        </w:rPr>
      </w:pPr>
      <w:r>
        <w:rPr>
          <w:noProof/>
          <w:lang w:eastAsia="en-AU"/>
        </w:rPr>
        <w:drawing>
          <wp:inline distT="0" distB="0" distL="0" distR="0" wp14:anchorId="16743EA3" wp14:editId="3BB79ED6">
            <wp:extent cx="4595191" cy="2803566"/>
            <wp:effectExtent l="0" t="0" r="0" b="0"/>
            <wp:docPr id="58" name="Chart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512B4E3" w14:textId="77777777" w:rsidR="00D419B1" w:rsidRPr="004F307D" w:rsidRDefault="001548C2" w:rsidP="004F307D">
      <w:pPr>
        <w:pStyle w:val="CaptionChart"/>
        <w:rPr>
          <w:i/>
        </w:rPr>
      </w:pPr>
      <w:bookmarkStart w:id="350" w:name="_Toc528855723"/>
      <w:bookmarkStart w:id="351" w:name="_Ref529445275"/>
      <w:bookmarkStart w:id="352" w:name="_Toc534713838"/>
      <w:r>
        <w:lastRenderedPageBreak/>
        <w:t>: Comparing costs between 2016 and 2018 studies for sub-bachelor, common sample</w:t>
      </w:r>
      <w:bookmarkEnd w:id="350"/>
      <w:bookmarkEnd w:id="351"/>
      <w:bookmarkEnd w:id="352"/>
    </w:p>
    <w:p w14:paraId="69B25795" w14:textId="05BF508D" w:rsidR="00D419B1" w:rsidRDefault="0038428B" w:rsidP="001548C2">
      <w:pPr>
        <w:rPr>
          <w:i/>
        </w:rPr>
      </w:pPr>
      <w:r w:rsidRPr="0038428B">
        <w:rPr>
          <w:noProof/>
          <w:lang w:eastAsia="en-AU"/>
        </w:rPr>
        <w:drawing>
          <wp:inline distT="0" distB="0" distL="0" distR="0" wp14:anchorId="744802D9" wp14:editId="09A22902">
            <wp:extent cx="5760720" cy="2856118"/>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2856118"/>
                    </a:xfrm>
                    <a:prstGeom prst="rect">
                      <a:avLst/>
                    </a:prstGeom>
                    <a:noFill/>
                    <a:ln>
                      <a:noFill/>
                    </a:ln>
                  </pic:spPr>
                </pic:pic>
              </a:graphicData>
            </a:graphic>
          </wp:inline>
        </w:drawing>
      </w:r>
    </w:p>
    <w:p w14:paraId="79D6D75A" w14:textId="77777777" w:rsidR="00D419B1" w:rsidRPr="004F307D" w:rsidRDefault="00BC4F04" w:rsidP="004F307D">
      <w:pPr>
        <w:pStyle w:val="Source"/>
      </w:pPr>
      <w:r w:rsidRPr="004F307D">
        <w:t xml:space="preserve">Note: </w:t>
      </w:r>
      <w:r>
        <w:t xml:space="preserve">For comparability, only the 17 universities common to both studies are included. </w:t>
      </w:r>
      <w:r w:rsidR="00B12A34">
        <w:t>Markers are at mean.</w:t>
      </w:r>
    </w:p>
    <w:p w14:paraId="42108AEF" w14:textId="77777777" w:rsidR="001548C2" w:rsidRDefault="001548C2" w:rsidP="001548C2">
      <w:pPr>
        <w:pStyle w:val="CaptionChart"/>
      </w:pPr>
      <w:bookmarkStart w:id="353" w:name="_Toc528855724"/>
      <w:bookmarkStart w:id="354" w:name="_Ref529445277"/>
      <w:bookmarkStart w:id="355" w:name="_Toc534713839"/>
      <w:r>
        <w:t>: Comparing costs between 2016 and 2018 studies for bachelor, common sample</w:t>
      </w:r>
      <w:bookmarkEnd w:id="353"/>
      <w:bookmarkEnd w:id="354"/>
      <w:bookmarkEnd w:id="355"/>
      <w:r>
        <w:t xml:space="preserve"> </w:t>
      </w:r>
    </w:p>
    <w:p w14:paraId="0FAEDAC1" w14:textId="1781F137" w:rsidR="00D419B1" w:rsidRDefault="0038428B" w:rsidP="001548C2">
      <w:r w:rsidRPr="0038428B">
        <w:rPr>
          <w:noProof/>
          <w:lang w:eastAsia="en-AU"/>
        </w:rPr>
        <w:drawing>
          <wp:inline distT="0" distB="0" distL="0" distR="0" wp14:anchorId="4CA4CD0E" wp14:editId="695B5DC3">
            <wp:extent cx="5760720" cy="2856118"/>
            <wp:effectExtent l="0" t="0" r="0" b="190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2856118"/>
                    </a:xfrm>
                    <a:prstGeom prst="rect">
                      <a:avLst/>
                    </a:prstGeom>
                    <a:noFill/>
                    <a:ln>
                      <a:noFill/>
                    </a:ln>
                  </pic:spPr>
                </pic:pic>
              </a:graphicData>
            </a:graphic>
          </wp:inline>
        </w:drawing>
      </w:r>
    </w:p>
    <w:p w14:paraId="420ACF1E" w14:textId="77777777" w:rsidR="00C463AA" w:rsidRDefault="00C463AA" w:rsidP="00495A65">
      <w:pPr>
        <w:pStyle w:val="Source"/>
      </w:pPr>
      <w:r w:rsidRPr="004F307D">
        <w:t xml:space="preserve">Note: </w:t>
      </w:r>
      <w:r>
        <w:t xml:space="preserve">For comparability, only the 17 universities common to both studies are included. </w:t>
      </w:r>
      <w:r w:rsidR="00B12A34">
        <w:t>Markers are at mean.</w:t>
      </w:r>
    </w:p>
    <w:p w14:paraId="33B883CC" w14:textId="77777777" w:rsidR="001548C2" w:rsidRDefault="001548C2" w:rsidP="001548C2">
      <w:pPr>
        <w:pStyle w:val="CaptionChart"/>
      </w:pPr>
      <w:bookmarkStart w:id="356" w:name="_Toc528855725"/>
      <w:bookmarkStart w:id="357" w:name="_Ref529445278"/>
      <w:bookmarkStart w:id="358" w:name="_Toc534713840"/>
      <w:r>
        <w:lastRenderedPageBreak/>
        <w:t>: Comparing costs between 2016 and 2018 studies for postgraduate, common sample</w:t>
      </w:r>
      <w:bookmarkEnd w:id="356"/>
      <w:bookmarkEnd w:id="357"/>
      <w:bookmarkEnd w:id="358"/>
    </w:p>
    <w:p w14:paraId="48A4F10A" w14:textId="6F0F8319" w:rsidR="00D419B1" w:rsidRDefault="0038428B" w:rsidP="005D3384">
      <w:pPr>
        <w:spacing w:after="0"/>
      </w:pPr>
      <w:r w:rsidRPr="0038428B">
        <w:rPr>
          <w:noProof/>
          <w:lang w:eastAsia="en-AU"/>
        </w:rPr>
        <w:drawing>
          <wp:inline distT="0" distB="0" distL="0" distR="0" wp14:anchorId="724748E7" wp14:editId="33C4C572">
            <wp:extent cx="5760720" cy="2864933"/>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2864933"/>
                    </a:xfrm>
                    <a:prstGeom prst="rect">
                      <a:avLst/>
                    </a:prstGeom>
                    <a:noFill/>
                    <a:ln>
                      <a:noFill/>
                    </a:ln>
                  </pic:spPr>
                </pic:pic>
              </a:graphicData>
            </a:graphic>
          </wp:inline>
        </w:drawing>
      </w:r>
    </w:p>
    <w:p w14:paraId="7ABFF4DB" w14:textId="77777777" w:rsidR="00D419B1" w:rsidRDefault="00C463AA" w:rsidP="005D3384">
      <w:pPr>
        <w:pStyle w:val="Source"/>
        <w:spacing w:before="0"/>
      </w:pPr>
      <w:r w:rsidRPr="004F307D">
        <w:t xml:space="preserve">Note: </w:t>
      </w:r>
      <w:r>
        <w:t xml:space="preserve">For comparability, only the 17 universities common to both studies are included. </w:t>
      </w:r>
      <w:r w:rsidR="006E7217">
        <w:t xml:space="preserve">Markers are at </w:t>
      </w:r>
      <w:r w:rsidR="0075608C">
        <w:t>mean</w:t>
      </w:r>
      <w:r w:rsidR="006E7217">
        <w:t>.</w:t>
      </w:r>
      <w:r w:rsidR="0075608C">
        <w:t xml:space="preserve"> Veterinary science </w:t>
      </w:r>
      <w:proofErr w:type="gramStart"/>
      <w:r w:rsidR="0075608C">
        <w:t>has been excluded</w:t>
      </w:r>
      <w:proofErr w:type="gramEnd"/>
      <w:r w:rsidR="0075608C">
        <w:t xml:space="preserve"> from the above chart.</w:t>
      </w:r>
    </w:p>
    <w:p w14:paraId="312168CD" w14:textId="015118C4" w:rsidR="00635E21" w:rsidRDefault="00635E21" w:rsidP="00635E21">
      <w:r>
        <w:t xml:space="preserve">The figures in </w:t>
      </w:r>
      <w:r w:rsidR="0074548E">
        <w:fldChar w:fldCharType="begin"/>
      </w:r>
      <w:r w:rsidR="0074548E">
        <w:instrText xml:space="preserve"> REF _Ref531363908 \r \h </w:instrText>
      </w:r>
      <w:r w:rsidR="0074548E">
        <w:fldChar w:fldCharType="separate"/>
      </w:r>
      <w:r w:rsidR="00F47C96">
        <w:t>Table 2.1</w:t>
      </w:r>
      <w:r w:rsidR="0074548E">
        <w:fldChar w:fldCharType="end"/>
      </w:r>
      <w:r w:rsidR="0074548E">
        <w:t xml:space="preserve"> </w:t>
      </w:r>
      <w:r>
        <w:t>show that the average cost per EFTSL of bachelor level study rose from $16,200 in 2015 to $1</w:t>
      </w:r>
      <w:r w:rsidR="002D3041">
        <w:t>6</w:t>
      </w:r>
      <w:r>
        <w:t>,</w:t>
      </w:r>
      <w:r w:rsidR="002D3041">
        <w:t>9</w:t>
      </w:r>
      <w:r>
        <w:t xml:space="preserve">00 in 2017 for the same sample of universities, an increase of </w:t>
      </w:r>
      <w:r w:rsidR="00223783">
        <w:t>4.6</w:t>
      </w:r>
      <w:r>
        <w:t>% as shown in</w:t>
      </w:r>
      <w:r w:rsidR="002D3041">
        <w:t xml:space="preserve"> </w:t>
      </w:r>
      <w:r w:rsidR="002D3041">
        <w:fldChar w:fldCharType="begin"/>
      </w:r>
      <w:r w:rsidR="002D3041">
        <w:instrText xml:space="preserve"> REF _Ref534712461 \r \h </w:instrText>
      </w:r>
      <w:r w:rsidR="002D3041">
        <w:fldChar w:fldCharType="separate"/>
      </w:r>
      <w:r w:rsidR="00F47C96">
        <w:t>Table 2.2</w:t>
      </w:r>
      <w:r w:rsidR="002D3041">
        <w:fldChar w:fldCharType="end"/>
      </w:r>
      <w:r>
        <w:t>. Average unit costs for the full sample of 25 universities was slightly higher at $17,</w:t>
      </w:r>
      <w:r w:rsidR="002D3041">
        <w:t>3</w:t>
      </w:r>
      <w:r>
        <w:t>00 but broadly similar (given that the full sample includes the universities in the common sample). Growth in postgraduate cost grew at a faster rate over the last two years of 6.</w:t>
      </w:r>
      <w:r w:rsidR="00223783">
        <w:t>4</w:t>
      </w:r>
      <w:r>
        <w:t xml:space="preserve">% for the common sample. </w:t>
      </w:r>
    </w:p>
    <w:p w14:paraId="69BE4208" w14:textId="77777777" w:rsidR="0075608C" w:rsidRDefault="0075608C" w:rsidP="0075608C">
      <w:r>
        <w:t xml:space="preserve">The previous </w:t>
      </w:r>
      <w:r w:rsidR="00635E21">
        <w:t xml:space="preserve">2011 and 2016 </w:t>
      </w:r>
      <w:r>
        <w:t xml:space="preserve">reports estimated a ‘field weighted mean’ cost per EFTSL by weighting average cost per EFTSL for each field of education by total EFTSL enrolled at public universities. This approach </w:t>
      </w:r>
      <w:proofErr w:type="gramStart"/>
      <w:r>
        <w:t>was adopted</w:t>
      </w:r>
      <w:proofErr w:type="gramEnd"/>
      <w:r>
        <w:t xml:space="preserve"> in </w:t>
      </w:r>
      <w:r w:rsidR="00635E21">
        <w:t xml:space="preserve">2011 </w:t>
      </w:r>
      <w:r>
        <w:t xml:space="preserve">to estimate the cost per EFTSL </w:t>
      </w:r>
      <w:r w:rsidR="005719A7">
        <w:t>given</w:t>
      </w:r>
      <w:r>
        <w:t xml:space="preserve"> the relatively small sample. The sample of universities in the current study is largely representative of the whole university sector, but field weighted means </w:t>
      </w:r>
      <w:r w:rsidR="00FE635C">
        <w:t xml:space="preserve">referred to as </w:t>
      </w:r>
      <w:r w:rsidR="00635E21">
        <w:t>‘</w:t>
      </w:r>
      <w:r w:rsidR="00FE635C">
        <w:t>whole sector means</w:t>
      </w:r>
      <w:r w:rsidR="00635E21">
        <w:t>’</w:t>
      </w:r>
      <w:r w:rsidR="00FE635C">
        <w:t xml:space="preserve"> </w:t>
      </w:r>
      <w:r>
        <w:t xml:space="preserve">have been </w:t>
      </w:r>
      <w:r w:rsidR="005719A7">
        <w:t>presented alongside sample means</w:t>
      </w:r>
      <w:r>
        <w:t xml:space="preserve"> to </w:t>
      </w:r>
      <w:r w:rsidR="00635E21">
        <w:t xml:space="preserve">allow </w:t>
      </w:r>
      <w:r>
        <w:t>co</w:t>
      </w:r>
      <w:r w:rsidR="00635E21">
        <w:t xml:space="preserve">mparability </w:t>
      </w:r>
      <w:r>
        <w:t>with past reports.</w:t>
      </w:r>
    </w:p>
    <w:p w14:paraId="42F82AA3" w14:textId="77777777" w:rsidR="00830657" w:rsidRDefault="00771F8B" w:rsidP="00495A65">
      <w:pPr>
        <w:pStyle w:val="CaptionTable"/>
      </w:pPr>
      <w:bookmarkStart w:id="359" w:name="_Ref531363908"/>
      <w:bookmarkStart w:id="360" w:name="_Toc534713873"/>
      <w:r>
        <w:t xml:space="preserve">: Average unit cost </w:t>
      </w:r>
      <w:r w:rsidR="0075608C">
        <w:t>per EFTSL</w:t>
      </w:r>
      <w:bookmarkEnd w:id="359"/>
      <w:bookmarkEnd w:id="360"/>
    </w:p>
    <w:tbl>
      <w:tblPr>
        <w:tblStyle w:val="Deloittetable"/>
        <w:tblW w:w="8505" w:type="dxa"/>
        <w:tblLayout w:type="fixed"/>
        <w:tblLook w:val="04A0" w:firstRow="1" w:lastRow="0" w:firstColumn="1" w:lastColumn="0" w:noHBand="0" w:noVBand="1"/>
      </w:tblPr>
      <w:tblGrid>
        <w:gridCol w:w="1417"/>
        <w:gridCol w:w="1417"/>
        <w:gridCol w:w="1418"/>
        <w:gridCol w:w="1418"/>
        <w:gridCol w:w="1303"/>
        <w:gridCol w:w="1532"/>
      </w:tblGrid>
      <w:tr w:rsidR="0075608C" w14:paraId="3C956AE2" w14:textId="77777777" w:rsidTr="0075608C">
        <w:trPr>
          <w:cnfStyle w:val="100000000000" w:firstRow="1" w:lastRow="0" w:firstColumn="0" w:lastColumn="0" w:oddVBand="0" w:evenVBand="0" w:oddHBand="0" w:evenHBand="0" w:firstRowFirstColumn="0" w:firstRowLastColumn="0" w:lastRowFirstColumn="0" w:lastRowLastColumn="0"/>
          <w:trHeight w:val="235"/>
        </w:trPr>
        <w:tc>
          <w:tcPr>
            <w:tcW w:w="1417" w:type="dxa"/>
            <w:noWrap/>
            <w:hideMark/>
          </w:tcPr>
          <w:p w14:paraId="4588811D" w14:textId="77777777" w:rsidR="0075608C" w:rsidRPr="007E7352" w:rsidRDefault="0075608C" w:rsidP="0075608C">
            <w:pPr>
              <w:spacing w:after="0"/>
              <w:rPr>
                <w:sz w:val="16"/>
                <w:szCs w:val="16"/>
              </w:rPr>
            </w:pPr>
          </w:p>
        </w:tc>
        <w:tc>
          <w:tcPr>
            <w:tcW w:w="1417" w:type="dxa"/>
          </w:tcPr>
          <w:p w14:paraId="20CDFD78" w14:textId="77777777" w:rsidR="0075608C" w:rsidRPr="007E7352" w:rsidRDefault="0075608C" w:rsidP="0075608C">
            <w:pPr>
              <w:spacing w:after="0"/>
              <w:jc w:val="center"/>
              <w:rPr>
                <w:b/>
                <w:bCs/>
                <w:sz w:val="16"/>
                <w:szCs w:val="16"/>
              </w:rPr>
            </w:pPr>
          </w:p>
        </w:tc>
        <w:tc>
          <w:tcPr>
            <w:tcW w:w="1418" w:type="dxa"/>
            <w:noWrap/>
            <w:hideMark/>
          </w:tcPr>
          <w:p w14:paraId="1981A675" w14:textId="77777777" w:rsidR="0075608C" w:rsidRPr="007E7352" w:rsidRDefault="0075608C" w:rsidP="0075608C">
            <w:pPr>
              <w:spacing w:after="0"/>
              <w:jc w:val="center"/>
              <w:rPr>
                <w:sz w:val="16"/>
                <w:szCs w:val="16"/>
              </w:rPr>
            </w:pPr>
            <w:r w:rsidRPr="007E7352">
              <w:rPr>
                <w:b/>
                <w:bCs/>
                <w:sz w:val="16"/>
                <w:szCs w:val="16"/>
              </w:rPr>
              <w:t>2010</w:t>
            </w:r>
          </w:p>
        </w:tc>
        <w:tc>
          <w:tcPr>
            <w:tcW w:w="1418" w:type="dxa"/>
            <w:noWrap/>
            <w:hideMark/>
          </w:tcPr>
          <w:p w14:paraId="1DDBA362" w14:textId="77777777" w:rsidR="0075608C" w:rsidRPr="007E7352" w:rsidRDefault="0075608C" w:rsidP="0075608C">
            <w:pPr>
              <w:spacing w:after="0"/>
              <w:jc w:val="center"/>
              <w:rPr>
                <w:b/>
                <w:bCs/>
                <w:sz w:val="16"/>
                <w:szCs w:val="16"/>
              </w:rPr>
            </w:pPr>
            <w:r w:rsidRPr="007E7352">
              <w:rPr>
                <w:b/>
                <w:bCs/>
                <w:sz w:val="16"/>
                <w:szCs w:val="16"/>
              </w:rPr>
              <w:t>2015</w:t>
            </w:r>
          </w:p>
        </w:tc>
        <w:tc>
          <w:tcPr>
            <w:tcW w:w="2835" w:type="dxa"/>
            <w:gridSpan w:val="2"/>
            <w:hideMark/>
          </w:tcPr>
          <w:p w14:paraId="0E17A804" w14:textId="77777777" w:rsidR="0075608C" w:rsidRPr="007E7352" w:rsidRDefault="0075608C" w:rsidP="0075608C">
            <w:pPr>
              <w:spacing w:after="0"/>
              <w:jc w:val="center"/>
              <w:rPr>
                <w:b/>
                <w:bCs/>
                <w:sz w:val="16"/>
                <w:szCs w:val="16"/>
              </w:rPr>
            </w:pPr>
            <w:r w:rsidRPr="007E7352">
              <w:rPr>
                <w:b/>
                <w:bCs/>
                <w:sz w:val="16"/>
                <w:szCs w:val="16"/>
              </w:rPr>
              <w:t>2017</w:t>
            </w:r>
          </w:p>
        </w:tc>
      </w:tr>
      <w:tr w:rsidR="0075608C" w14:paraId="65568166" w14:textId="77777777" w:rsidTr="0075608C">
        <w:trPr>
          <w:trHeight w:val="263"/>
        </w:trPr>
        <w:tc>
          <w:tcPr>
            <w:tcW w:w="1417" w:type="dxa"/>
            <w:noWrap/>
          </w:tcPr>
          <w:p w14:paraId="4B323A3D" w14:textId="77777777" w:rsidR="0075608C" w:rsidRPr="007E7352" w:rsidRDefault="0075608C" w:rsidP="0075608C">
            <w:pPr>
              <w:spacing w:after="0"/>
              <w:rPr>
                <w:sz w:val="16"/>
                <w:szCs w:val="16"/>
              </w:rPr>
            </w:pPr>
          </w:p>
        </w:tc>
        <w:tc>
          <w:tcPr>
            <w:tcW w:w="1417" w:type="dxa"/>
          </w:tcPr>
          <w:p w14:paraId="60F123B4" w14:textId="77777777" w:rsidR="0075608C" w:rsidRPr="00321F6A" w:rsidRDefault="0075608C" w:rsidP="0075608C">
            <w:pPr>
              <w:spacing w:after="0"/>
              <w:jc w:val="center"/>
              <w:rPr>
                <w:i/>
                <w:sz w:val="16"/>
                <w:szCs w:val="16"/>
              </w:rPr>
            </w:pPr>
            <w:r w:rsidRPr="00321F6A">
              <w:rPr>
                <w:i/>
                <w:sz w:val="16"/>
                <w:szCs w:val="16"/>
              </w:rPr>
              <w:t>FOE mix</w:t>
            </w:r>
          </w:p>
        </w:tc>
        <w:tc>
          <w:tcPr>
            <w:tcW w:w="1418" w:type="dxa"/>
            <w:noWrap/>
            <w:hideMark/>
          </w:tcPr>
          <w:p w14:paraId="1DF39FA9" w14:textId="77777777" w:rsidR="0075608C" w:rsidRPr="007E7352" w:rsidRDefault="0075608C" w:rsidP="0075608C">
            <w:pPr>
              <w:spacing w:after="0"/>
              <w:jc w:val="center"/>
              <w:rPr>
                <w:sz w:val="16"/>
                <w:szCs w:val="16"/>
              </w:rPr>
            </w:pPr>
            <w:r w:rsidRPr="007E7352">
              <w:rPr>
                <w:sz w:val="16"/>
                <w:szCs w:val="16"/>
              </w:rPr>
              <w:t>8</w:t>
            </w:r>
            <w:r>
              <w:rPr>
                <w:sz w:val="16"/>
                <w:szCs w:val="16"/>
              </w:rPr>
              <w:t xml:space="preserve"> universities</w:t>
            </w:r>
          </w:p>
        </w:tc>
        <w:tc>
          <w:tcPr>
            <w:tcW w:w="1418" w:type="dxa"/>
            <w:noWrap/>
            <w:hideMark/>
          </w:tcPr>
          <w:p w14:paraId="2640E61F" w14:textId="77777777" w:rsidR="0075608C" w:rsidRPr="007E7352" w:rsidRDefault="0075608C" w:rsidP="0075608C">
            <w:pPr>
              <w:spacing w:after="0"/>
              <w:jc w:val="center"/>
              <w:rPr>
                <w:sz w:val="16"/>
                <w:szCs w:val="16"/>
              </w:rPr>
            </w:pPr>
            <w:r w:rsidRPr="007E7352">
              <w:rPr>
                <w:sz w:val="16"/>
                <w:szCs w:val="16"/>
              </w:rPr>
              <w:t>17</w:t>
            </w:r>
            <w:r>
              <w:rPr>
                <w:sz w:val="16"/>
                <w:szCs w:val="16"/>
              </w:rPr>
              <w:t xml:space="preserve"> universities</w:t>
            </w:r>
          </w:p>
        </w:tc>
        <w:tc>
          <w:tcPr>
            <w:tcW w:w="1303" w:type="dxa"/>
            <w:hideMark/>
          </w:tcPr>
          <w:p w14:paraId="22C8F0EE" w14:textId="77777777" w:rsidR="0075608C" w:rsidRPr="007E7352" w:rsidRDefault="0075608C" w:rsidP="0075608C">
            <w:pPr>
              <w:spacing w:after="0"/>
              <w:jc w:val="center"/>
              <w:rPr>
                <w:sz w:val="16"/>
                <w:szCs w:val="16"/>
              </w:rPr>
            </w:pPr>
            <w:r w:rsidRPr="007E7352">
              <w:rPr>
                <w:sz w:val="16"/>
                <w:szCs w:val="16"/>
              </w:rPr>
              <w:t>Full sample (25)</w:t>
            </w:r>
          </w:p>
        </w:tc>
        <w:tc>
          <w:tcPr>
            <w:tcW w:w="1532" w:type="dxa"/>
            <w:hideMark/>
          </w:tcPr>
          <w:p w14:paraId="11CFA0BF" w14:textId="77777777" w:rsidR="0075608C" w:rsidRPr="007E7352" w:rsidRDefault="0075608C" w:rsidP="0075608C">
            <w:pPr>
              <w:spacing w:after="0"/>
              <w:jc w:val="center"/>
              <w:rPr>
                <w:sz w:val="16"/>
                <w:szCs w:val="16"/>
                <w:lang w:eastAsia="en-AU"/>
              </w:rPr>
            </w:pPr>
            <w:r w:rsidRPr="007E7352">
              <w:rPr>
                <w:sz w:val="16"/>
                <w:szCs w:val="16"/>
                <w:lang w:eastAsia="en-AU"/>
              </w:rPr>
              <w:t>Common sample (17)</w:t>
            </w:r>
          </w:p>
        </w:tc>
      </w:tr>
      <w:tr w:rsidR="0038428B" w14:paraId="0CDAD79F" w14:textId="77777777" w:rsidTr="0075608C">
        <w:trPr>
          <w:trHeight w:val="235"/>
        </w:trPr>
        <w:tc>
          <w:tcPr>
            <w:tcW w:w="1417" w:type="dxa"/>
            <w:vMerge w:val="restart"/>
            <w:noWrap/>
            <w:vAlign w:val="center"/>
            <w:hideMark/>
          </w:tcPr>
          <w:p w14:paraId="42AF00DE" w14:textId="77777777" w:rsidR="0038428B" w:rsidRPr="007E7352" w:rsidRDefault="0038428B" w:rsidP="0038428B">
            <w:pPr>
              <w:spacing w:after="0"/>
              <w:rPr>
                <w:sz w:val="16"/>
                <w:szCs w:val="16"/>
              </w:rPr>
            </w:pPr>
            <w:r>
              <w:rPr>
                <w:b/>
                <w:bCs/>
                <w:sz w:val="16"/>
                <w:szCs w:val="16"/>
              </w:rPr>
              <w:t>Bachelor</w:t>
            </w:r>
          </w:p>
        </w:tc>
        <w:tc>
          <w:tcPr>
            <w:tcW w:w="1417" w:type="dxa"/>
            <w:tcBorders>
              <w:bottom w:val="single" w:sz="4" w:space="0" w:color="auto"/>
            </w:tcBorders>
            <w:shd w:val="clear" w:color="auto" w:fill="auto"/>
          </w:tcPr>
          <w:p w14:paraId="4EC1242E" w14:textId="77777777" w:rsidR="0038428B" w:rsidRDefault="0038428B" w:rsidP="0038428B">
            <w:pPr>
              <w:spacing w:after="0"/>
              <w:jc w:val="center"/>
              <w:rPr>
                <w:rFonts w:cs="Arial"/>
                <w:sz w:val="16"/>
                <w:szCs w:val="16"/>
              </w:rPr>
            </w:pPr>
            <w:r w:rsidRPr="001150A4">
              <w:rPr>
                <w:rFonts w:cs="Arial"/>
                <w:i/>
                <w:sz w:val="16"/>
                <w:szCs w:val="16"/>
              </w:rPr>
              <w:t xml:space="preserve">Actual </w:t>
            </w:r>
          </w:p>
        </w:tc>
        <w:tc>
          <w:tcPr>
            <w:tcW w:w="1418" w:type="dxa"/>
            <w:tcBorders>
              <w:top w:val="nil"/>
              <w:left w:val="nil"/>
              <w:bottom w:val="single" w:sz="4" w:space="0" w:color="auto"/>
              <w:right w:val="nil"/>
            </w:tcBorders>
            <w:shd w:val="clear" w:color="auto" w:fill="auto"/>
            <w:noWrap/>
            <w:vAlign w:val="bottom"/>
            <w:hideMark/>
          </w:tcPr>
          <w:p w14:paraId="6295E940" w14:textId="77777777" w:rsidR="0038428B" w:rsidRPr="007E7352" w:rsidRDefault="0038428B" w:rsidP="0038428B">
            <w:pPr>
              <w:spacing w:after="0"/>
              <w:jc w:val="center"/>
              <w:rPr>
                <w:sz w:val="16"/>
                <w:szCs w:val="16"/>
              </w:rPr>
            </w:pPr>
            <w:r>
              <w:rPr>
                <w:rFonts w:cs="Arial"/>
                <w:sz w:val="16"/>
                <w:szCs w:val="16"/>
              </w:rPr>
              <w:t>$15,100</w:t>
            </w:r>
          </w:p>
        </w:tc>
        <w:tc>
          <w:tcPr>
            <w:tcW w:w="1418" w:type="dxa"/>
            <w:tcBorders>
              <w:top w:val="nil"/>
              <w:left w:val="nil"/>
              <w:bottom w:val="single" w:sz="4" w:space="0" w:color="auto"/>
              <w:right w:val="nil"/>
            </w:tcBorders>
            <w:shd w:val="clear" w:color="auto" w:fill="auto"/>
            <w:noWrap/>
            <w:vAlign w:val="bottom"/>
            <w:hideMark/>
          </w:tcPr>
          <w:p w14:paraId="2C2235B6" w14:textId="77777777" w:rsidR="0038428B" w:rsidRPr="007E7352" w:rsidRDefault="0038428B" w:rsidP="0038428B">
            <w:pPr>
              <w:spacing w:after="0"/>
              <w:jc w:val="center"/>
              <w:rPr>
                <w:sz w:val="16"/>
                <w:szCs w:val="16"/>
              </w:rPr>
            </w:pPr>
            <w:r>
              <w:rPr>
                <w:rFonts w:cs="Arial"/>
                <w:sz w:val="16"/>
                <w:szCs w:val="16"/>
              </w:rPr>
              <w:t>$16,200</w:t>
            </w:r>
          </w:p>
        </w:tc>
        <w:tc>
          <w:tcPr>
            <w:tcW w:w="1303" w:type="dxa"/>
            <w:tcBorders>
              <w:top w:val="nil"/>
              <w:left w:val="nil"/>
              <w:bottom w:val="single" w:sz="4" w:space="0" w:color="auto"/>
              <w:right w:val="nil"/>
            </w:tcBorders>
            <w:shd w:val="clear" w:color="auto" w:fill="auto"/>
            <w:noWrap/>
            <w:vAlign w:val="bottom"/>
            <w:hideMark/>
          </w:tcPr>
          <w:p w14:paraId="37734B74" w14:textId="4436AAEE" w:rsidR="0038428B" w:rsidRPr="007E7352" w:rsidRDefault="0038428B" w:rsidP="0038428B">
            <w:pPr>
              <w:spacing w:after="0"/>
              <w:jc w:val="center"/>
              <w:rPr>
                <w:sz w:val="16"/>
                <w:szCs w:val="16"/>
              </w:rPr>
            </w:pPr>
            <w:r>
              <w:rPr>
                <w:rFonts w:cs="Arial"/>
                <w:sz w:val="16"/>
                <w:szCs w:val="16"/>
              </w:rPr>
              <w:t>$17,300</w:t>
            </w:r>
          </w:p>
        </w:tc>
        <w:tc>
          <w:tcPr>
            <w:tcW w:w="1532" w:type="dxa"/>
            <w:tcBorders>
              <w:top w:val="nil"/>
              <w:left w:val="nil"/>
              <w:bottom w:val="single" w:sz="4" w:space="0" w:color="auto"/>
              <w:right w:val="nil"/>
            </w:tcBorders>
            <w:shd w:val="clear" w:color="auto" w:fill="auto"/>
            <w:noWrap/>
            <w:vAlign w:val="bottom"/>
            <w:hideMark/>
          </w:tcPr>
          <w:p w14:paraId="5D226DCA" w14:textId="004857D6" w:rsidR="0038428B" w:rsidRPr="007E7352" w:rsidRDefault="0038428B" w:rsidP="0038428B">
            <w:pPr>
              <w:spacing w:after="0"/>
              <w:jc w:val="center"/>
              <w:rPr>
                <w:sz w:val="16"/>
                <w:szCs w:val="16"/>
                <w:lang w:eastAsia="en-AU"/>
              </w:rPr>
            </w:pPr>
            <w:r>
              <w:rPr>
                <w:rFonts w:cs="Arial"/>
                <w:sz w:val="16"/>
                <w:szCs w:val="16"/>
              </w:rPr>
              <w:t>$16,900</w:t>
            </w:r>
          </w:p>
        </w:tc>
      </w:tr>
      <w:tr w:rsidR="0038428B" w14:paraId="0234F7CF" w14:textId="77777777" w:rsidTr="0075608C">
        <w:trPr>
          <w:trHeight w:val="235"/>
        </w:trPr>
        <w:tc>
          <w:tcPr>
            <w:tcW w:w="1417" w:type="dxa"/>
            <w:vMerge/>
            <w:tcBorders>
              <w:bottom w:val="single" w:sz="4" w:space="0" w:color="auto"/>
            </w:tcBorders>
            <w:noWrap/>
          </w:tcPr>
          <w:p w14:paraId="428E9E31" w14:textId="77777777" w:rsidR="0038428B" w:rsidRDefault="0038428B" w:rsidP="0038428B">
            <w:pPr>
              <w:spacing w:after="0"/>
              <w:rPr>
                <w:b/>
                <w:bCs/>
                <w:sz w:val="16"/>
                <w:szCs w:val="16"/>
              </w:rPr>
            </w:pPr>
          </w:p>
        </w:tc>
        <w:tc>
          <w:tcPr>
            <w:tcW w:w="1417" w:type="dxa"/>
            <w:tcBorders>
              <w:bottom w:val="single" w:sz="4" w:space="0" w:color="auto"/>
            </w:tcBorders>
            <w:shd w:val="clear" w:color="auto" w:fill="auto"/>
          </w:tcPr>
          <w:p w14:paraId="745796D0" w14:textId="77777777" w:rsidR="0038428B" w:rsidRDefault="0038428B" w:rsidP="0038428B">
            <w:pPr>
              <w:spacing w:after="0"/>
              <w:jc w:val="center"/>
              <w:rPr>
                <w:rFonts w:cs="Arial"/>
                <w:sz w:val="16"/>
                <w:szCs w:val="16"/>
              </w:rPr>
            </w:pPr>
            <w:r w:rsidRPr="001150A4">
              <w:rPr>
                <w:rFonts w:cs="Arial"/>
                <w:i/>
                <w:sz w:val="16"/>
                <w:szCs w:val="16"/>
              </w:rPr>
              <w:t xml:space="preserve">Whole sector </w:t>
            </w:r>
          </w:p>
        </w:tc>
        <w:tc>
          <w:tcPr>
            <w:tcW w:w="1418" w:type="dxa"/>
            <w:tcBorders>
              <w:top w:val="nil"/>
              <w:left w:val="nil"/>
              <w:bottom w:val="single" w:sz="4" w:space="0" w:color="auto"/>
              <w:right w:val="nil"/>
            </w:tcBorders>
            <w:shd w:val="clear" w:color="auto" w:fill="auto"/>
            <w:noWrap/>
            <w:vAlign w:val="bottom"/>
          </w:tcPr>
          <w:p w14:paraId="5F41A1AC" w14:textId="77777777" w:rsidR="0038428B" w:rsidRDefault="0038428B" w:rsidP="0038428B">
            <w:pPr>
              <w:spacing w:after="0"/>
              <w:jc w:val="center"/>
              <w:rPr>
                <w:rFonts w:cs="Arial"/>
                <w:sz w:val="16"/>
                <w:szCs w:val="16"/>
              </w:rPr>
            </w:pPr>
            <w:r>
              <w:rPr>
                <w:rFonts w:cs="Arial"/>
                <w:sz w:val="16"/>
                <w:szCs w:val="16"/>
              </w:rPr>
              <w:t>$15,000</w:t>
            </w:r>
          </w:p>
        </w:tc>
        <w:tc>
          <w:tcPr>
            <w:tcW w:w="1418" w:type="dxa"/>
            <w:tcBorders>
              <w:top w:val="nil"/>
              <w:left w:val="nil"/>
              <w:bottom w:val="single" w:sz="4" w:space="0" w:color="auto"/>
              <w:right w:val="nil"/>
            </w:tcBorders>
            <w:shd w:val="clear" w:color="auto" w:fill="auto"/>
            <w:noWrap/>
            <w:vAlign w:val="bottom"/>
          </w:tcPr>
          <w:p w14:paraId="73E423EA" w14:textId="77777777" w:rsidR="0038428B" w:rsidRDefault="0038428B" w:rsidP="0038428B">
            <w:pPr>
              <w:spacing w:after="0"/>
              <w:jc w:val="center"/>
              <w:rPr>
                <w:rFonts w:cs="Arial"/>
                <w:sz w:val="16"/>
                <w:szCs w:val="16"/>
              </w:rPr>
            </w:pPr>
            <w:r>
              <w:rPr>
                <w:rFonts w:cs="Arial"/>
                <w:sz w:val="16"/>
                <w:szCs w:val="16"/>
              </w:rPr>
              <w:t>$16,000</w:t>
            </w:r>
          </w:p>
        </w:tc>
        <w:tc>
          <w:tcPr>
            <w:tcW w:w="1303" w:type="dxa"/>
            <w:tcBorders>
              <w:top w:val="nil"/>
              <w:left w:val="nil"/>
              <w:bottom w:val="single" w:sz="4" w:space="0" w:color="auto"/>
              <w:right w:val="nil"/>
            </w:tcBorders>
            <w:shd w:val="clear" w:color="auto" w:fill="auto"/>
            <w:noWrap/>
            <w:vAlign w:val="bottom"/>
          </w:tcPr>
          <w:p w14:paraId="1242BF72" w14:textId="725E6B61" w:rsidR="0038428B" w:rsidRDefault="0038428B" w:rsidP="0038428B">
            <w:pPr>
              <w:spacing w:after="0"/>
              <w:jc w:val="center"/>
              <w:rPr>
                <w:rFonts w:cs="Arial"/>
                <w:sz w:val="16"/>
                <w:szCs w:val="16"/>
              </w:rPr>
            </w:pPr>
            <w:r>
              <w:rPr>
                <w:rFonts w:cs="Arial"/>
                <w:sz w:val="16"/>
                <w:szCs w:val="16"/>
              </w:rPr>
              <w:t>$17,200</w:t>
            </w:r>
          </w:p>
        </w:tc>
        <w:tc>
          <w:tcPr>
            <w:tcW w:w="1532" w:type="dxa"/>
            <w:tcBorders>
              <w:top w:val="nil"/>
              <w:left w:val="nil"/>
              <w:bottom w:val="single" w:sz="4" w:space="0" w:color="auto"/>
              <w:right w:val="nil"/>
            </w:tcBorders>
            <w:shd w:val="clear" w:color="auto" w:fill="auto"/>
            <w:noWrap/>
            <w:vAlign w:val="bottom"/>
          </w:tcPr>
          <w:p w14:paraId="25B74092" w14:textId="2B4A62C0" w:rsidR="0038428B" w:rsidRDefault="0038428B" w:rsidP="0038428B">
            <w:pPr>
              <w:spacing w:after="0"/>
              <w:jc w:val="center"/>
              <w:rPr>
                <w:rFonts w:cs="Arial"/>
                <w:sz w:val="16"/>
                <w:szCs w:val="16"/>
              </w:rPr>
            </w:pPr>
            <w:r>
              <w:rPr>
                <w:rFonts w:cs="Arial"/>
                <w:sz w:val="16"/>
                <w:szCs w:val="16"/>
              </w:rPr>
              <w:t>$16,800</w:t>
            </w:r>
          </w:p>
        </w:tc>
      </w:tr>
      <w:tr w:rsidR="0038428B" w14:paraId="4893C54C" w14:textId="77777777" w:rsidTr="00146B33">
        <w:trPr>
          <w:trHeight w:val="235"/>
        </w:trPr>
        <w:tc>
          <w:tcPr>
            <w:tcW w:w="1417" w:type="dxa"/>
            <w:vMerge w:val="restart"/>
            <w:tcBorders>
              <w:top w:val="single" w:sz="4" w:space="0" w:color="auto"/>
            </w:tcBorders>
            <w:noWrap/>
            <w:vAlign w:val="center"/>
            <w:hideMark/>
          </w:tcPr>
          <w:p w14:paraId="451380B6" w14:textId="77777777" w:rsidR="0038428B" w:rsidRPr="007E7352" w:rsidRDefault="0038428B" w:rsidP="0038428B">
            <w:pPr>
              <w:spacing w:after="0"/>
              <w:rPr>
                <w:sz w:val="16"/>
                <w:szCs w:val="16"/>
              </w:rPr>
            </w:pPr>
            <w:r w:rsidRPr="007E7352">
              <w:rPr>
                <w:b/>
                <w:bCs/>
                <w:sz w:val="16"/>
                <w:szCs w:val="16"/>
              </w:rPr>
              <w:t>Postgraduate</w:t>
            </w:r>
          </w:p>
        </w:tc>
        <w:tc>
          <w:tcPr>
            <w:tcW w:w="1417" w:type="dxa"/>
            <w:tcBorders>
              <w:top w:val="single" w:sz="4" w:space="0" w:color="auto"/>
              <w:bottom w:val="single" w:sz="4" w:space="0" w:color="auto"/>
            </w:tcBorders>
            <w:shd w:val="clear" w:color="auto" w:fill="auto"/>
          </w:tcPr>
          <w:p w14:paraId="183DAF06" w14:textId="77777777" w:rsidR="0038428B" w:rsidRDefault="0038428B" w:rsidP="0038428B">
            <w:pPr>
              <w:spacing w:after="0"/>
              <w:jc w:val="center"/>
              <w:rPr>
                <w:rFonts w:cs="Arial"/>
                <w:sz w:val="16"/>
                <w:szCs w:val="16"/>
              </w:rPr>
            </w:pPr>
            <w:r w:rsidRPr="001150A4">
              <w:rPr>
                <w:rFonts w:cs="Arial"/>
                <w:i/>
                <w:sz w:val="16"/>
                <w:szCs w:val="16"/>
              </w:rPr>
              <w:t xml:space="preserve">Actual </w:t>
            </w:r>
          </w:p>
        </w:tc>
        <w:tc>
          <w:tcPr>
            <w:tcW w:w="1418" w:type="dxa"/>
            <w:tcBorders>
              <w:top w:val="single" w:sz="4" w:space="0" w:color="auto"/>
              <w:left w:val="nil"/>
              <w:bottom w:val="single" w:sz="4" w:space="0" w:color="auto"/>
              <w:right w:val="nil"/>
            </w:tcBorders>
            <w:shd w:val="clear" w:color="auto" w:fill="auto"/>
            <w:noWrap/>
            <w:vAlign w:val="bottom"/>
            <w:hideMark/>
          </w:tcPr>
          <w:p w14:paraId="117028B0" w14:textId="77777777" w:rsidR="0038428B" w:rsidRPr="007E7352" w:rsidRDefault="0038428B" w:rsidP="0038428B">
            <w:pPr>
              <w:spacing w:after="0"/>
              <w:jc w:val="center"/>
              <w:rPr>
                <w:sz w:val="16"/>
                <w:szCs w:val="16"/>
              </w:rPr>
            </w:pPr>
            <w:r>
              <w:rPr>
                <w:rFonts w:cs="Arial"/>
                <w:sz w:val="16"/>
                <w:szCs w:val="16"/>
              </w:rPr>
              <w:t>$17,400</w:t>
            </w:r>
          </w:p>
        </w:tc>
        <w:tc>
          <w:tcPr>
            <w:tcW w:w="1418" w:type="dxa"/>
            <w:tcBorders>
              <w:top w:val="single" w:sz="4" w:space="0" w:color="auto"/>
              <w:left w:val="nil"/>
              <w:bottom w:val="single" w:sz="4" w:space="0" w:color="auto"/>
              <w:right w:val="nil"/>
            </w:tcBorders>
            <w:shd w:val="clear" w:color="auto" w:fill="auto"/>
            <w:noWrap/>
            <w:vAlign w:val="bottom"/>
            <w:hideMark/>
          </w:tcPr>
          <w:p w14:paraId="16D5A18F" w14:textId="77777777" w:rsidR="0038428B" w:rsidRPr="007E7352" w:rsidRDefault="0038428B" w:rsidP="0038428B">
            <w:pPr>
              <w:spacing w:after="0"/>
              <w:jc w:val="center"/>
              <w:rPr>
                <w:sz w:val="16"/>
                <w:szCs w:val="16"/>
              </w:rPr>
            </w:pPr>
            <w:r>
              <w:rPr>
                <w:rFonts w:cs="Arial"/>
                <w:sz w:val="16"/>
                <w:szCs w:val="16"/>
              </w:rPr>
              <w:t>$20,500</w:t>
            </w:r>
          </w:p>
        </w:tc>
        <w:tc>
          <w:tcPr>
            <w:tcW w:w="1303" w:type="dxa"/>
            <w:tcBorders>
              <w:top w:val="nil"/>
              <w:left w:val="nil"/>
              <w:bottom w:val="single" w:sz="4" w:space="0" w:color="auto"/>
              <w:right w:val="nil"/>
            </w:tcBorders>
            <w:shd w:val="clear" w:color="auto" w:fill="auto"/>
            <w:noWrap/>
            <w:vAlign w:val="bottom"/>
            <w:hideMark/>
          </w:tcPr>
          <w:p w14:paraId="1CA3B894" w14:textId="5FBB2103" w:rsidR="0038428B" w:rsidRPr="007E7352" w:rsidRDefault="0038428B" w:rsidP="0038428B">
            <w:pPr>
              <w:spacing w:after="0"/>
              <w:jc w:val="center"/>
              <w:rPr>
                <w:sz w:val="16"/>
                <w:szCs w:val="16"/>
              </w:rPr>
            </w:pPr>
            <w:r>
              <w:rPr>
                <w:rFonts w:cs="Arial"/>
                <w:sz w:val="16"/>
                <w:szCs w:val="16"/>
              </w:rPr>
              <w:t>$22,200</w:t>
            </w:r>
          </w:p>
        </w:tc>
        <w:tc>
          <w:tcPr>
            <w:tcW w:w="1532" w:type="dxa"/>
            <w:tcBorders>
              <w:top w:val="nil"/>
              <w:left w:val="nil"/>
              <w:bottom w:val="single" w:sz="4" w:space="0" w:color="auto"/>
              <w:right w:val="nil"/>
            </w:tcBorders>
            <w:shd w:val="clear" w:color="auto" w:fill="auto"/>
            <w:noWrap/>
            <w:vAlign w:val="bottom"/>
            <w:hideMark/>
          </w:tcPr>
          <w:p w14:paraId="4FECC022" w14:textId="28EE51F3" w:rsidR="0038428B" w:rsidRPr="007E7352" w:rsidRDefault="0038428B" w:rsidP="0038428B">
            <w:pPr>
              <w:spacing w:after="0"/>
              <w:jc w:val="center"/>
              <w:rPr>
                <w:sz w:val="16"/>
                <w:szCs w:val="16"/>
                <w:lang w:eastAsia="en-AU"/>
              </w:rPr>
            </w:pPr>
            <w:r>
              <w:rPr>
                <w:rFonts w:cs="Arial"/>
                <w:sz w:val="16"/>
                <w:szCs w:val="16"/>
              </w:rPr>
              <w:t>$21,800</w:t>
            </w:r>
          </w:p>
        </w:tc>
      </w:tr>
      <w:tr w:rsidR="0038428B" w14:paraId="182829D2" w14:textId="77777777" w:rsidTr="00146B33">
        <w:trPr>
          <w:trHeight w:val="235"/>
        </w:trPr>
        <w:tc>
          <w:tcPr>
            <w:tcW w:w="1417" w:type="dxa"/>
            <w:vMerge/>
            <w:tcBorders>
              <w:bottom w:val="single" w:sz="4" w:space="0" w:color="auto"/>
            </w:tcBorders>
            <w:noWrap/>
          </w:tcPr>
          <w:p w14:paraId="6804D27E" w14:textId="77777777" w:rsidR="0038428B" w:rsidRPr="007E7352" w:rsidRDefault="0038428B" w:rsidP="0038428B">
            <w:pPr>
              <w:spacing w:after="0"/>
              <w:rPr>
                <w:b/>
                <w:bCs/>
                <w:sz w:val="16"/>
                <w:szCs w:val="16"/>
              </w:rPr>
            </w:pPr>
          </w:p>
        </w:tc>
        <w:tc>
          <w:tcPr>
            <w:tcW w:w="1417" w:type="dxa"/>
            <w:tcBorders>
              <w:top w:val="single" w:sz="4" w:space="0" w:color="auto"/>
              <w:bottom w:val="single" w:sz="4" w:space="0" w:color="auto"/>
            </w:tcBorders>
            <w:shd w:val="clear" w:color="auto" w:fill="auto"/>
          </w:tcPr>
          <w:p w14:paraId="1C0C1C78" w14:textId="77777777" w:rsidR="0038428B" w:rsidRDefault="0038428B" w:rsidP="0038428B">
            <w:pPr>
              <w:spacing w:after="0"/>
              <w:jc w:val="center"/>
              <w:rPr>
                <w:rFonts w:cs="Arial"/>
                <w:sz w:val="16"/>
                <w:szCs w:val="16"/>
              </w:rPr>
            </w:pPr>
            <w:r w:rsidRPr="001150A4">
              <w:rPr>
                <w:rFonts w:cs="Arial"/>
                <w:i/>
                <w:sz w:val="16"/>
                <w:szCs w:val="16"/>
              </w:rPr>
              <w:t xml:space="preserve">Whole sector </w:t>
            </w:r>
          </w:p>
        </w:tc>
        <w:tc>
          <w:tcPr>
            <w:tcW w:w="1418" w:type="dxa"/>
            <w:tcBorders>
              <w:top w:val="single" w:sz="4" w:space="0" w:color="auto"/>
              <w:left w:val="nil"/>
              <w:bottom w:val="single" w:sz="4" w:space="0" w:color="auto"/>
              <w:right w:val="nil"/>
            </w:tcBorders>
            <w:shd w:val="clear" w:color="auto" w:fill="auto"/>
            <w:noWrap/>
            <w:vAlign w:val="bottom"/>
          </w:tcPr>
          <w:p w14:paraId="17ACE244" w14:textId="77777777" w:rsidR="0038428B" w:rsidRDefault="0038428B" w:rsidP="0038428B">
            <w:pPr>
              <w:spacing w:after="0"/>
              <w:jc w:val="center"/>
              <w:rPr>
                <w:rFonts w:cs="Arial"/>
                <w:sz w:val="16"/>
                <w:szCs w:val="16"/>
              </w:rPr>
            </w:pPr>
            <w:r>
              <w:rPr>
                <w:rFonts w:cs="Arial"/>
                <w:sz w:val="16"/>
                <w:szCs w:val="16"/>
              </w:rPr>
              <w:t>$17,000</w:t>
            </w:r>
          </w:p>
        </w:tc>
        <w:tc>
          <w:tcPr>
            <w:tcW w:w="1418" w:type="dxa"/>
            <w:tcBorders>
              <w:top w:val="single" w:sz="4" w:space="0" w:color="auto"/>
              <w:left w:val="nil"/>
              <w:bottom w:val="single" w:sz="4" w:space="0" w:color="auto"/>
              <w:right w:val="nil"/>
            </w:tcBorders>
            <w:shd w:val="clear" w:color="auto" w:fill="auto"/>
            <w:noWrap/>
            <w:vAlign w:val="bottom"/>
          </w:tcPr>
          <w:p w14:paraId="5E7106CB" w14:textId="77777777" w:rsidR="0038428B" w:rsidRDefault="0038428B" w:rsidP="0038428B">
            <w:pPr>
              <w:spacing w:after="0"/>
              <w:jc w:val="center"/>
              <w:rPr>
                <w:rFonts w:cs="Arial"/>
                <w:sz w:val="16"/>
                <w:szCs w:val="16"/>
              </w:rPr>
            </w:pPr>
            <w:r>
              <w:rPr>
                <w:rFonts w:cs="Arial"/>
                <w:sz w:val="16"/>
                <w:szCs w:val="16"/>
              </w:rPr>
              <w:t>$20,100</w:t>
            </w:r>
          </w:p>
        </w:tc>
        <w:tc>
          <w:tcPr>
            <w:tcW w:w="1303" w:type="dxa"/>
            <w:tcBorders>
              <w:top w:val="nil"/>
              <w:left w:val="nil"/>
              <w:bottom w:val="single" w:sz="4" w:space="0" w:color="auto"/>
              <w:right w:val="nil"/>
            </w:tcBorders>
            <w:shd w:val="clear" w:color="auto" w:fill="auto"/>
            <w:noWrap/>
            <w:vAlign w:val="bottom"/>
          </w:tcPr>
          <w:p w14:paraId="311E8D83" w14:textId="59CA934B" w:rsidR="0038428B" w:rsidRDefault="0038428B" w:rsidP="0038428B">
            <w:pPr>
              <w:spacing w:after="0"/>
              <w:jc w:val="center"/>
              <w:rPr>
                <w:rFonts w:cs="Arial"/>
                <w:sz w:val="16"/>
                <w:szCs w:val="16"/>
              </w:rPr>
            </w:pPr>
            <w:r>
              <w:rPr>
                <w:rFonts w:cs="Arial"/>
                <w:sz w:val="16"/>
                <w:szCs w:val="16"/>
              </w:rPr>
              <w:t>$21,600</w:t>
            </w:r>
          </w:p>
        </w:tc>
        <w:tc>
          <w:tcPr>
            <w:tcW w:w="1532" w:type="dxa"/>
            <w:tcBorders>
              <w:top w:val="nil"/>
              <w:left w:val="nil"/>
              <w:bottom w:val="single" w:sz="4" w:space="0" w:color="auto"/>
              <w:right w:val="nil"/>
            </w:tcBorders>
            <w:shd w:val="clear" w:color="auto" w:fill="auto"/>
            <w:noWrap/>
            <w:vAlign w:val="bottom"/>
          </w:tcPr>
          <w:p w14:paraId="7C27A66A" w14:textId="4B81910B" w:rsidR="0038428B" w:rsidRDefault="0038428B" w:rsidP="0038428B">
            <w:pPr>
              <w:spacing w:after="0"/>
              <w:jc w:val="center"/>
              <w:rPr>
                <w:rFonts w:cs="Arial"/>
                <w:sz w:val="16"/>
                <w:szCs w:val="16"/>
              </w:rPr>
            </w:pPr>
            <w:r>
              <w:rPr>
                <w:rFonts w:cs="Arial"/>
                <w:sz w:val="16"/>
                <w:szCs w:val="16"/>
              </w:rPr>
              <w:t>$21,400</w:t>
            </w:r>
          </w:p>
        </w:tc>
      </w:tr>
      <w:tr w:rsidR="0038428B" w14:paraId="3EB6F191" w14:textId="77777777" w:rsidTr="00146B33">
        <w:trPr>
          <w:trHeight w:val="235"/>
        </w:trPr>
        <w:tc>
          <w:tcPr>
            <w:tcW w:w="1417" w:type="dxa"/>
            <w:vMerge w:val="restart"/>
            <w:tcBorders>
              <w:top w:val="single" w:sz="4" w:space="0" w:color="auto"/>
            </w:tcBorders>
            <w:noWrap/>
            <w:vAlign w:val="center"/>
            <w:hideMark/>
          </w:tcPr>
          <w:p w14:paraId="57D913C3" w14:textId="77777777" w:rsidR="0038428B" w:rsidRPr="007E7352" w:rsidRDefault="0038428B" w:rsidP="0038428B">
            <w:pPr>
              <w:spacing w:after="0"/>
              <w:rPr>
                <w:sz w:val="16"/>
                <w:szCs w:val="16"/>
              </w:rPr>
            </w:pPr>
            <w:r w:rsidRPr="007E7352">
              <w:rPr>
                <w:b/>
                <w:bCs/>
                <w:sz w:val="16"/>
                <w:szCs w:val="16"/>
              </w:rPr>
              <w:t>Total</w:t>
            </w:r>
          </w:p>
        </w:tc>
        <w:tc>
          <w:tcPr>
            <w:tcW w:w="1417" w:type="dxa"/>
            <w:tcBorders>
              <w:top w:val="single" w:sz="4" w:space="0" w:color="auto"/>
              <w:bottom w:val="single" w:sz="4" w:space="0" w:color="auto"/>
            </w:tcBorders>
            <w:shd w:val="clear" w:color="auto" w:fill="auto"/>
          </w:tcPr>
          <w:p w14:paraId="3DD7FBB4" w14:textId="77777777" w:rsidR="0038428B" w:rsidRDefault="0038428B" w:rsidP="0038428B">
            <w:pPr>
              <w:spacing w:after="0"/>
              <w:jc w:val="center"/>
              <w:rPr>
                <w:rFonts w:cs="Arial"/>
                <w:sz w:val="16"/>
                <w:szCs w:val="16"/>
              </w:rPr>
            </w:pPr>
            <w:r w:rsidRPr="001150A4">
              <w:rPr>
                <w:rFonts w:cs="Arial"/>
                <w:i/>
                <w:sz w:val="16"/>
                <w:szCs w:val="16"/>
              </w:rPr>
              <w:t xml:space="preserve">Actual </w:t>
            </w:r>
          </w:p>
        </w:tc>
        <w:tc>
          <w:tcPr>
            <w:tcW w:w="1418" w:type="dxa"/>
            <w:tcBorders>
              <w:top w:val="single" w:sz="4" w:space="0" w:color="auto"/>
              <w:left w:val="nil"/>
              <w:bottom w:val="single" w:sz="4" w:space="0" w:color="auto"/>
              <w:right w:val="nil"/>
            </w:tcBorders>
            <w:shd w:val="clear" w:color="auto" w:fill="auto"/>
            <w:noWrap/>
            <w:vAlign w:val="bottom"/>
            <w:hideMark/>
          </w:tcPr>
          <w:p w14:paraId="21DFF665" w14:textId="77777777" w:rsidR="0038428B" w:rsidRPr="007E7352" w:rsidRDefault="0038428B" w:rsidP="0038428B">
            <w:pPr>
              <w:spacing w:after="0"/>
              <w:jc w:val="center"/>
              <w:rPr>
                <w:sz w:val="16"/>
                <w:szCs w:val="16"/>
              </w:rPr>
            </w:pPr>
            <w:r>
              <w:rPr>
                <w:rFonts w:cs="Arial"/>
                <w:sz w:val="16"/>
                <w:szCs w:val="16"/>
              </w:rPr>
              <w:t>$15,500</w:t>
            </w:r>
          </w:p>
        </w:tc>
        <w:tc>
          <w:tcPr>
            <w:tcW w:w="1418" w:type="dxa"/>
            <w:tcBorders>
              <w:top w:val="single" w:sz="4" w:space="0" w:color="auto"/>
              <w:left w:val="nil"/>
              <w:bottom w:val="single" w:sz="4" w:space="0" w:color="auto"/>
              <w:right w:val="nil"/>
            </w:tcBorders>
            <w:shd w:val="clear" w:color="auto" w:fill="auto"/>
            <w:noWrap/>
            <w:vAlign w:val="bottom"/>
            <w:hideMark/>
          </w:tcPr>
          <w:p w14:paraId="27FC378A" w14:textId="77777777" w:rsidR="0038428B" w:rsidRPr="007E7352" w:rsidRDefault="0038428B" w:rsidP="0038428B">
            <w:pPr>
              <w:spacing w:after="0"/>
              <w:jc w:val="center"/>
              <w:rPr>
                <w:sz w:val="16"/>
                <w:szCs w:val="16"/>
              </w:rPr>
            </w:pPr>
            <w:r>
              <w:rPr>
                <w:rFonts w:cs="Arial"/>
                <w:sz w:val="16"/>
                <w:szCs w:val="16"/>
              </w:rPr>
              <w:t>$17,000</w:t>
            </w:r>
          </w:p>
        </w:tc>
        <w:tc>
          <w:tcPr>
            <w:tcW w:w="1303" w:type="dxa"/>
            <w:tcBorders>
              <w:top w:val="nil"/>
              <w:left w:val="nil"/>
              <w:bottom w:val="single" w:sz="4" w:space="0" w:color="auto"/>
              <w:right w:val="nil"/>
            </w:tcBorders>
            <w:shd w:val="clear" w:color="auto" w:fill="auto"/>
            <w:noWrap/>
            <w:vAlign w:val="bottom"/>
            <w:hideMark/>
          </w:tcPr>
          <w:p w14:paraId="11EB817A" w14:textId="44A622F2" w:rsidR="0038428B" w:rsidRPr="007E7352" w:rsidRDefault="0038428B" w:rsidP="0038428B">
            <w:pPr>
              <w:spacing w:after="0"/>
              <w:jc w:val="center"/>
              <w:rPr>
                <w:sz w:val="16"/>
                <w:szCs w:val="16"/>
              </w:rPr>
            </w:pPr>
            <w:r>
              <w:rPr>
                <w:rFonts w:cs="Arial"/>
                <w:sz w:val="16"/>
                <w:szCs w:val="16"/>
              </w:rPr>
              <w:t>$18,400</w:t>
            </w:r>
          </w:p>
        </w:tc>
        <w:tc>
          <w:tcPr>
            <w:tcW w:w="1532" w:type="dxa"/>
            <w:tcBorders>
              <w:top w:val="nil"/>
              <w:left w:val="nil"/>
              <w:bottom w:val="single" w:sz="4" w:space="0" w:color="auto"/>
              <w:right w:val="nil"/>
            </w:tcBorders>
            <w:shd w:val="clear" w:color="auto" w:fill="auto"/>
            <w:noWrap/>
            <w:vAlign w:val="bottom"/>
            <w:hideMark/>
          </w:tcPr>
          <w:p w14:paraId="12D2DEB8" w14:textId="3497707C" w:rsidR="0038428B" w:rsidRPr="007E7352" w:rsidRDefault="0038428B" w:rsidP="0038428B">
            <w:pPr>
              <w:spacing w:after="0"/>
              <w:jc w:val="center"/>
              <w:rPr>
                <w:sz w:val="16"/>
                <w:szCs w:val="16"/>
                <w:lang w:eastAsia="en-AU"/>
              </w:rPr>
            </w:pPr>
            <w:r>
              <w:rPr>
                <w:rFonts w:cs="Arial"/>
                <w:sz w:val="16"/>
                <w:szCs w:val="16"/>
              </w:rPr>
              <w:t>$18,100</w:t>
            </w:r>
          </w:p>
        </w:tc>
      </w:tr>
      <w:tr w:rsidR="0038428B" w14:paraId="316E90A4" w14:textId="77777777" w:rsidTr="00146B33">
        <w:trPr>
          <w:trHeight w:val="235"/>
        </w:trPr>
        <w:tc>
          <w:tcPr>
            <w:tcW w:w="1417" w:type="dxa"/>
            <w:vMerge/>
            <w:tcBorders>
              <w:bottom w:val="single" w:sz="4" w:space="0" w:color="auto"/>
            </w:tcBorders>
            <w:noWrap/>
          </w:tcPr>
          <w:p w14:paraId="0B5E0E69" w14:textId="77777777" w:rsidR="0038428B" w:rsidRPr="007E7352" w:rsidRDefault="0038428B" w:rsidP="0038428B">
            <w:pPr>
              <w:spacing w:after="0"/>
              <w:rPr>
                <w:b/>
                <w:bCs/>
                <w:sz w:val="16"/>
                <w:szCs w:val="16"/>
              </w:rPr>
            </w:pPr>
          </w:p>
        </w:tc>
        <w:tc>
          <w:tcPr>
            <w:tcW w:w="1417" w:type="dxa"/>
            <w:tcBorders>
              <w:top w:val="single" w:sz="4" w:space="0" w:color="auto"/>
              <w:bottom w:val="single" w:sz="4" w:space="0" w:color="auto"/>
            </w:tcBorders>
            <w:shd w:val="clear" w:color="auto" w:fill="auto"/>
          </w:tcPr>
          <w:p w14:paraId="325B979B" w14:textId="77777777" w:rsidR="0038428B" w:rsidRDefault="0038428B" w:rsidP="0038428B">
            <w:pPr>
              <w:spacing w:after="0"/>
              <w:jc w:val="center"/>
              <w:rPr>
                <w:rFonts w:cs="Arial"/>
                <w:sz w:val="16"/>
                <w:szCs w:val="16"/>
              </w:rPr>
            </w:pPr>
            <w:r w:rsidRPr="001150A4">
              <w:rPr>
                <w:rFonts w:cs="Arial"/>
                <w:i/>
                <w:sz w:val="16"/>
                <w:szCs w:val="16"/>
              </w:rPr>
              <w:t xml:space="preserve">Whole sector </w:t>
            </w:r>
          </w:p>
        </w:tc>
        <w:tc>
          <w:tcPr>
            <w:tcW w:w="1418" w:type="dxa"/>
            <w:tcBorders>
              <w:top w:val="single" w:sz="4" w:space="0" w:color="auto"/>
              <w:left w:val="nil"/>
              <w:bottom w:val="single" w:sz="4" w:space="0" w:color="auto"/>
              <w:right w:val="nil"/>
            </w:tcBorders>
            <w:shd w:val="clear" w:color="auto" w:fill="auto"/>
            <w:noWrap/>
            <w:vAlign w:val="bottom"/>
          </w:tcPr>
          <w:p w14:paraId="7ED3D764" w14:textId="77777777" w:rsidR="0038428B" w:rsidRDefault="0038428B" w:rsidP="0038428B">
            <w:pPr>
              <w:spacing w:after="0"/>
              <w:jc w:val="center"/>
              <w:rPr>
                <w:rFonts w:cs="Arial"/>
                <w:sz w:val="16"/>
                <w:szCs w:val="16"/>
              </w:rPr>
            </w:pPr>
            <w:r>
              <w:rPr>
                <w:rFonts w:cs="Arial"/>
                <w:sz w:val="16"/>
                <w:szCs w:val="16"/>
              </w:rPr>
              <w:t>$15,400</w:t>
            </w:r>
          </w:p>
        </w:tc>
        <w:tc>
          <w:tcPr>
            <w:tcW w:w="1418" w:type="dxa"/>
            <w:tcBorders>
              <w:top w:val="single" w:sz="4" w:space="0" w:color="auto"/>
              <w:left w:val="nil"/>
              <w:bottom w:val="single" w:sz="4" w:space="0" w:color="auto"/>
              <w:right w:val="nil"/>
            </w:tcBorders>
            <w:shd w:val="clear" w:color="auto" w:fill="auto"/>
            <w:noWrap/>
            <w:vAlign w:val="bottom"/>
          </w:tcPr>
          <w:p w14:paraId="1FFB1F7A" w14:textId="77777777" w:rsidR="0038428B" w:rsidRDefault="0038428B" w:rsidP="0038428B">
            <w:pPr>
              <w:spacing w:after="0"/>
              <w:jc w:val="center"/>
              <w:rPr>
                <w:rFonts w:cs="Arial"/>
                <w:sz w:val="16"/>
                <w:szCs w:val="16"/>
              </w:rPr>
            </w:pPr>
            <w:r>
              <w:rPr>
                <w:rFonts w:cs="Arial"/>
                <w:sz w:val="16"/>
                <w:szCs w:val="16"/>
              </w:rPr>
              <w:t>$16,800</w:t>
            </w:r>
          </w:p>
        </w:tc>
        <w:tc>
          <w:tcPr>
            <w:tcW w:w="1303" w:type="dxa"/>
            <w:tcBorders>
              <w:top w:val="nil"/>
              <w:left w:val="nil"/>
              <w:bottom w:val="single" w:sz="4" w:space="0" w:color="auto"/>
              <w:right w:val="nil"/>
            </w:tcBorders>
            <w:shd w:val="clear" w:color="auto" w:fill="auto"/>
            <w:noWrap/>
            <w:vAlign w:val="bottom"/>
          </w:tcPr>
          <w:p w14:paraId="7FF34071" w14:textId="30C32555" w:rsidR="0038428B" w:rsidRDefault="0038428B" w:rsidP="0038428B">
            <w:pPr>
              <w:spacing w:after="0"/>
              <w:jc w:val="center"/>
              <w:rPr>
                <w:rFonts w:cs="Arial"/>
                <w:sz w:val="16"/>
                <w:szCs w:val="16"/>
              </w:rPr>
            </w:pPr>
            <w:r>
              <w:rPr>
                <w:rFonts w:cs="Arial"/>
                <w:sz w:val="16"/>
                <w:szCs w:val="16"/>
              </w:rPr>
              <w:t>$18,200</w:t>
            </w:r>
          </w:p>
        </w:tc>
        <w:tc>
          <w:tcPr>
            <w:tcW w:w="1532" w:type="dxa"/>
            <w:tcBorders>
              <w:top w:val="nil"/>
              <w:left w:val="nil"/>
              <w:bottom w:val="single" w:sz="4" w:space="0" w:color="auto"/>
              <w:right w:val="nil"/>
            </w:tcBorders>
            <w:shd w:val="clear" w:color="auto" w:fill="auto"/>
            <w:noWrap/>
            <w:vAlign w:val="bottom"/>
          </w:tcPr>
          <w:p w14:paraId="31FC26F0" w14:textId="497BF104" w:rsidR="0038428B" w:rsidRDefault="0038428B" w:rsidP="0038428B">
            <w:pPr>
              <w:spacing w:after="0"/>
              <w:jc w:val="center"/>
              <w:rPr>
                <w:rFonts w:cs="Arial"/>
                <w:sz w:val="16"/>
                <w:szCs w:val="16"/>
              </w:rPr>
            </w:pPr>
            <w:r>
              <w:rPr>
                <w:rFonts w:cs="Arial"/>
                <w:sz w:val="16"/>
                <w:szCs w:val="16"/>
              </w:rPr>
              <w:t>$17,800</w:t>
            </w:r>
          </w:p>
        </w:tc>
      </w:tr>
    </w:tbl>
    <w:p w14:paraId="79AFBA0B" w14:textId="77777777" w:rsidR="0075608C" w:rsidRDefault="0075608C" w:rsidP="006118C2">
      <w:pPr>
        <w:pStyle w:val="Source"/>
      </w:pPr>
      <w:r>
        <w:t>Note: ‘Actual’ FOE mix refers to unit costs based on the actual mix of enrolments in the specified sample, ‘whole sector’ refers to the unit costs re-weighted by the mix of enrolments across all universities.</w:t>
      </w:r>
    </w:p>
    <w:p w14:paraId="6581295C" w14:textId="77777777" w:rsidR="00EB4694" w:rsidRDefault="00771F8B" w:rsidP="006712D0">
      <w:pPr>
        <w:pStyle w:val="CaptionTable"/>
      </w:pPr>
      <w:bookmarkStart w:id="361" w:name="_Toc532245570"/>
      <w:bookmarkStart w:id="362" w:name="_Toc532376099"/>
      <w:bookmarkStart w:id="363" w:name="_Toc532245571"/>
      <w:bookmarkStart w:id="364" w:name="_Toc532376100"/>
      <w:bookmarkStart w:id="365" w:name="_Toc532209780"/>
      <w:bookmarkStart w:id="366" w:name="_Toc532245600"/>
      <w:bookmarkStart w:id="367" w:name="_Toc532376129"/>
      <w:bookmarkStart w:id="368" w:name="_Ref534711638"/>
      <w:bookmarkStart w:id="369" w:name="_Ref534712461"/>
      <w:bookmarkStart w:id="370" w:name="_Toc534713874"/>
      <w:bookmarkStart w:id="371" w:name="_Ref531363938"/>
      <w:bookmarkEnd w:id="361"/>
      <w:bookmarkEnd w:id="362"/>
      <w:bookmarkEnd w:id="363"/>
      <w:bookmarkEnd w:id="364"/>
      <w:bookmarkEnd w:id="365"/>
      <w:bookmarkEnd w:id="366"/>
      <w:bookmarkEnd w:id="367"/>
      <w:r>
        <w:lastRenderedPageBreak/>
        <w:t>:</w:t>
      </w:r>
      <w:r w:rsidR="00EB4694" w:rsidRPr="00EB4694">
        <w:t xml:space="preserve"> </w:t>
      </w:r>
      <w:r w:rsidR="00EB4694">
        <w:t>Growth over time in average unit cost per EFTSL</w:t>
      </w:r>
      <w:bookmarkEnd w:id="368"/>
      <w:bookmarkEnd w:id="369"/>
      <w:bookmarkEnd w:id="370"/>
      <w:r w:rsidR="00EB4694">
        <w:t xml:space="preserve"> </w:t>
      </w:r>
      <w:bookmarkEnd w:id="371"/>
    </w:p>
    <w:tbl>
      <w:tblPr>
        <w:tblStyle w:val="Deloittetable"/>
        <w:tblW w:w="8505" w:type="dxa"/>
        <w:tblLayout w:type="fixed"/>
        <w:tblLook w:val="04A0" w:firstRow="1" w:lastRow="0" w:firstColumn="1" w:lastColumn="0" w:noHBand="0" w:noVBand="1"/>
      </w:tblPr>
      <w:tblGrid>
        <w:gridCol w:w="1418"/>
        <w:gridCol w:w="1417"/>
        <w:gridCol w:w="1843"/>
        <w:gridCol w:w="1937"/>
        <w:gridCol w:w="1890"/>
      </w:tblGrid>
      <w:tr w:rsidR="0075608C" w14:paraId="6875881C" w14:textId="77777777" w:rsidTr="006118C2">
        <w:trPr>
          <w:cnfStyle w:val="100000000000" w:firstRow="1" w:lastRow="0" w:firstColumn="0" w:lastColumn="0" w:oddVBand="0" w:evenVBand="0" w:oddHBand="0" w:evenHBand="0" w:firstRowFirstColumn="0" w:firstRowLastColumn="0" w:lastRowFirstColumn="0" w:lastRowLastColumn="0"/>
          <w:trHeight w:val="235"/>
        </w:trPr>
        <w:tc>
          <w:tcPr>
            <w:tcW w:w="1418" w:type="dxa"/>
            <w:noWrap/>
            <w:hideMark/>
          </w:tcPr>
          <w:p w14:paraId="271CA7E2" w14:textId="77777777" w:rsidR="0075608C" w:rsidRPr="007E7352" w:rsidRDefault="0075608C" w:rsidP="0075608C">
            <w:pPr>
              <w:spacing w:after="0"/>
              <w:rPr>
                <w:sz w:val="16"/>
                <w:szCs w:val="16"/>
              </w:rPr>
            </w:pPr>
          </w:p>
        </w:tc>
        <w:tc>
          <w:tcPr>
            <w:tcW w:w="1417" w:type="dxa"/>
          </w:tcPr>
          <w:p w14:paraId="11614D70" w14:textId="77777777" w:rsidR="0075608C" w:rsidRDefault="0075608C" w:rsidP="0075608C">
            <w:pPr>
              <w:spacing w:after="0"/>
              <w:jc w:val="center"/>
              <w:rPr>
                <w:b/>
                <w:bCs/>
                <w:sz w:val="16"/>
                <w:szCs w:val="16"/>
              </w:rPr>
            </w:pPr>
          </w:p>
        </w:tc>
        <w:tc>
          <w:tcPr>
            <w:tcW w:w="1843" w:type="dxa"/>
            <w:noWrap/>
            <w:hideMark/>
          </w:tcPr>
          <w:p w14:paraId="5CE48E56" w14:textId="77777777" w:rsidR="0075608C" w:rsidRPr="007E7352" w:rsidRDefault="0075608C" w:rsidP="0075608C">
            <w:pPr>
              <w:spacing w:after="0"/>
              <w:jc w:val="center"/>
              <w:rPr>
                <w:b/>
                <w:bCs/>
                <w:sz w:val="16"/>
                <w:szCs w:val="16"/>
              </w:rPr>
            </w:pPr>
            <w:r>
              <w:rPr>
                <w:b/>
                <w:bCs/>
                <w:sz w:val="16"/>
                <w:szCs w:val="16"/>
              </w:rPr>
              <w:t xml:space="preserve">2010 - </w:t>
            </w:r>
            <w:r w:rsidRPr="007E7352">
              <w:rPr>
                <w:b/>
                <w:bCs/>
                <w:sz w:val="16"/>
                <w:szCs w:val="16"/>
              </w:rPr>
              <w:t>2015</w:t>
            </w:r>
          </w:p>
        </w:tc>
        <w:tc>
          <w:tcPr>
            <w:tcW w:w="3827" w:type="dxa"/>
            <w:gridSpan w:val="2"/>
            <w:hideMark/>
          </w:tcPr>
          <w:p w14:paraId="4735727A" w14:textId="77777777" w:rsidR="0075608C" w:rsidRPr="007E7352" w:rsidRDefault="0075608C" w:rsidP="0075608C">
            <w:pPr>
              <w:spacing w:after="0"/>
              <w:jc w:val="center"/>
              <w:rPr>
                <w:b/>
                <w:bCs/>
                <w:sz w:val="16"/>
                <w:szCs w:val="16"/>
              </w:rPr>
            </w:pPr>
            <w:r>
              <w:rPr>
                <w:b/>
                <w:bCs/>
                <w:sz w:val="16"/>
                <w:szCs w:val="16"/>
              </w:rPr>
              <w:t xml:space="preserve">2015 - </w:t>
            </w:r>
            <w:r w:rsidRPr="007E7352">
              <w:rPr>
                <w:b/>
                <w:bCs/>
                <w:sz w:val="16"/>
                <w:szCs w:val="16"/>
              </w:rPr>
              <w:t>2017</w:t>
            </w:r>
          </w:p>
        </w:tc>
      </w:tr>
      <w:tr w:rsidR="0075608C" w14:paraId="6B6D8FDA" w14:textId="77777777" w:rsidTr="006118C2">
        <w:trPr>
          <w:trHeight w:val="263"/>
        </w:trPr>
        <w:tc>
          <w:tcPr>
            <w:tcW w:w="1418" w:type="dxa"/>
            <w:noWrap/>
          </w:tcPr>
          <w:p w14:paraId="7FF3998C" w14:textId="77777777" w:rsidR="0075608C" w:rsidRPr="007E7352" w:rsidRDefault="0075608C" w:rsidP="0075608C">
            <w:pPr>
              <w:spacing w:after="0"/>
              <w:rPr>
                <w:sz w:val="16"/>
                <w:szCs w:val="16"/>
              </w:rPr>
            </w:pPr>
          </w:p>
        </w:tc>
        <w:tc>
          <w:tcPr>
            <w:tcW w:w="1417" w:type="dxa"/>
          </w:tcPr>
          <w:p w14:paraId="3F5687F8" w14:textId="77777777" w:rsidR="0075608C" w:rsidRPr="00321F6A" w:rsidRDefault="0075608C" w:rsidP="0075608C">
            <w:pPr>
              <w:spacing w:after="0"/>
              <w:jc w:val="center"/>
              <w:rPr>
                <w:i/>
                <w:sz w:val="16"/>
                <w:szCs w:val="16"/>
              </w:rPr>
            </w:pPr>
            <w:r w:rsidRPr="00321F6A">
              <w:rPr>
                <w:i/>
                <w:sz w:val="16"/>
                <w:szCs w:val="16"/>
              </w:rPr>
              <w:t>FOE mix</w:t>
            </w:r>
          </w:p>
        </w:tc>
        <w:tc>
          <w:tcPr>
            <w:tcW w:w="1843" w:type="dxa"/>
            <w:noWrap/>
            <w:hideMark/>
          </w:tcPr>
          <w:p w14:paraId="75AB1586" w14:textId="77777777" w:rsidR="0075608C" w:rsidRPr="007E7352" w:rsidRDefault="0075608C" w:rsidP="0075608C">
            <w:pPr>
              <w:spacing w:after="0"/>
              <w:jc w:val="center"/>
              <w:rPr>
                <w:sz w:val="16"/>
                <w:szCs w:val="16"/>
              </w:rPr>
            </w:pPr>
            <w:r w:rsidRPr="007E7352">
              <w:rPr>
                <w:sz w:val="16"/>
                <w:szCs w:val="16"/>
              </w:rPr>
              <w:t>17</w:t>
            </w:r>
            <w:r>
              <w:rPr>
                <w:sz w:val="16"/>
                <w:szCs w:val="16"/>
              </w:rPr>
              <w:t xml:space="preserve"> universities</w:t>
            </w:r>
          </w:p>
        </w:tc>
        <w:tc>
          <w:tcPr>
            <w:tcW w:w="1937" w:type="dxa"/>
            <w:hideMark/>
          </w:tcPr>
          <w:p w14:paraId="3F65AD1E" w14:textId="77777777" w:rsidR="0075608C" w:rsidRPr="007E7352" w:rsidRDefault="0075608C" w:rsidP="0075608C">
            <w:pPr>
              <w:spacing w:after="0"/>
              <w:jc w:val="center"/>
              <w:rPr>
                <w:sz w:val="16"/>
                <w:szCs w:val="16"/>
              </w:rPr>
            </w:pPr>
            <w:r w:rsidRPr="007E7352">
              <w:rPr>
                <w:sz w:val="16"/>
                <w:szCs w:val="16"/>
              </w:rPr>
              <w:t>Full sample (25)</w:t>
            </w:r>
          </w:p>
        </w:tc>
        <w:tc>
          <w:tcPr>
            <w:tcW w:w="1890" w:type="dxa"/>
            <w:hideMark/>
          </w:tcPr>
          <w:p w14:paraId="3AAF200E" w14:textId="77777777" w:rsidR="0075608C" w:rsidRPr="007E7352" w:rsidRDefault="0075608C" w:rsidP="0075608C">
            <w:pPr>
              <w:spacing w:after="0"/>
              <w:jc w:val="center"/>
              <w:rPr>
                <w:sz w:val="16"/>
                <w:szCs w:val="16"/>
                <w:lang w:eastAsia="en-AU"/>
              </w:rPr>
            </w:pPr>
            <w:r w:rsidRPr="007E7352">
              <w:rPr>
                <w:sz w:val="16"/>
                <w:szCs w:val="16"/>
                <w:lang w:eastAsia="en-AU"/>
              </w:rPr>
              <w:t>Common sample (17)</w:t>
            </w:r>
          </w:p>
        </w:tc>
      </w:tr>
      <w:tr w:rsidR="0038428B" w14:paraId="0F8665DE" w14:textId="77777777" w:rsidTr="006118C2">
        <w:trPr>
          <w:trHeight w:val="235"/>
        </w:trPr>
        <w:tc>
          <w:tcPr>
            <w:tcW w:w="1418" w:type="dxa"/>
            <w:vMerge w:val="restart"/>
            <w:noWrap/>
            <w:vAlign w:val="center"/>
            <w:hideMark/>
          </w:tcPr>
          <w:p w14:paraId="65348512" w14:textId="77777777" w:rsidR="0038428B" w:rsidRDefault="0038428B" w:rsidP="0038428B">
            <w:pPr>
              <w:spacing w:after="0"/>
              <w:rPr>
                <w:b/>
                <w:bCs/>
                <w:sz w:val="16"/>
                <w:szCs w:val="16"/>
              </w:rPr>
            </w:pPr>
            <w:r>
              <w:rPr>
                <w:b/>
                <w:bCs/>
                <w:sz w:val="16"/>
                <w:szCs w:val="16"/>
              </w:rPr>
              <w:t>Bachelor</w:t>
            </w:r>
          </w:p>
          <w:p w14:paraId="2AE1EC84" w14:textId="77777777" w:rsidR="0038428B" w:rsidRPr="007E7352" w:rsidRDefault="0038428B" w:rsidP="0038428B">
            <w:pPr>
              <w:spacing w:after="0"/>
              <w:rPr>
                <w:sz w:val="16"/>
                <w:szCs w:val="16"/>
              </w:rPr>
            </w:pPr>
            <w:r>
              <w:rPr>
                <w:b/>
                <w:bCs/>
                <w:sz w:val="16"/>
                <w:szCs w:val="16"/>
              </w:rPr>
              <w:t>(CAGR)</w:t>
            </w:r>
          </w:p>
        </w:tc>
        <w:tc>
          <w:tcPr>
            <w:tcW w:w="1417" w:type="dxa"/>
            <w:tcBorders>
              <w:bottom w:val="single" w:sz="4" w:space="0" w:color="auto"/>
            </w:tcBorders>
          </w:tcPr>
          <w:p w14:paraId="383B49C9" w14:textId="77777777" w:rsidR="0038428B" w:rsidRDefault="0038428B" w:rsidP="0038428B">
            <w:pPr>
              <w:spacing w:after="0"/>
              <w:jc w:val="center"/>
              <w:rPr>
                <w:rFonts w:cs="Arial"/>
                <w:sz w:val="16"/>
                <w:szCs w:val="16"/>
              </w:rPr>
            </w:pPr>
            <w:r w:rsidRPr="001150A4">
              <w:rPr>
                <w:rFonts w:cs="Arial"/>
                <w:i/>
                <w:sz w:val="16"/>
                <w:szCs w:val="16"/>
              </w:rPr>
              <w:t xml:space="preserve">Actual </w:t>
            </w:r>
          </w:p>
        </w:tc>
        <w:tc>
          <w:tcPr>
            <w:tcW w:w="1843" w:type="dxa"/>
            <w:tcBorders>
              <w:top w:val="nil"/>
              <w:left w:val="nil"/>
              <w:bottom w:val="single" w:sz="4" w:space="0" w:color="auto"/>
              <w:right w:val="nil"/>
            </w:tcBorders>
            <w:shd w:val="clear" w:color="auto" w:fill="auto"/>
            <w:noWrap/>
            <w:vAlign w:val="bottom"/>
            <w:hideMark/>
          </w:tcPr>
          <w:p w14:paraId="558A88F2" w14:textId="77777777" w:rsidR="0038428B" w:rsidRDefault="0038428B" w:rsidP="0038428B">
            <w:pPr>
              <w:spacing w:after="0"/>
              <w:jc w:val="center"/>
              <w:rPr>
                <w:rFonts w:cs="Arial"/>
                <w:sz w:val="16"/>
                <w:szCs w:val="16"/>
              </w:rPr>
            </w:pPr>
            <w:r>
              <w:rPr>
                <w:rFonts w:cs="Arial"/>
                <w:sz w:val="16"/>
                <w:szCs w:val="16"/>
              </w:rPr>
              <w:t>7.6%</w:t>
            </w:r>
          </w:p>
          <w:p w14:paraId="3EB49F74" w14:textId="77777777" w:rsidR="0038428B" w:rsidRPr="007E7352" w:rsidRDefault="0038428B" w:rsidP="0038428B">
            <w:pPr>
              <w:spacing w:after="0"/>
              <w:jc w:val="center"/>
              <w:rPr>
                <w:sz w:val="16"/>
                <w:szCs w:val="16"/>
              </w:rPr>
            </w:pPr>
            <w:r>
              <w:rPr>
                <w:rFonts w:cs="Arial"/>
                <w:sz w:val="16"/>
                <w:szCs w:val="16"/>
              </w:rPr>
              <w:t>(1.5%)</w:t>
            </w:r>
          </w:p>
        </w:tc>
        <w:tc>
          <w:tcPr>
            <w:tcW w:w="1937" w:type="dxa"/>
            <w:tcBorders>
              <w:top w:val="nil"/>
              <w:left w:val="nil"/>
              <w:bottom w:val="single" w:sz="4" w:space="0" w:color="auto"/>
              <w:right w:val="nil"/>
            </w:tcBorders>
            <w:shd w:val="clear" w:color="auto" w:fill="auto"/>
            <w:noWrap/>
            <w:vAlign w:val="bottom"/>
            <w:hideMark/>
          </w:tcPr>
          <w:p w14:paraId="3256026D" w14:textId="77777777" w:rsidR="0038428B" w:rsidRDefault="0038428B" w:rsidP="0038428B">
            <w:pPr>
              <w:spacing w:after="0"/>
              <w:jc w:val="center"/>
              <w:rPr>
                <w:rFonts w:cs="Arial"/>
                <w:sz w:val="16"/>
                <w:szCs w:val="16"/>
              </w:rPr>
            </w:pPr>
            <w:r>
              <w:rPr>
                <w:rFonts w:cs="Arial"/>
                <w:sz w:val="16"/>
                <w:szCs w:val="16"/>
              </w:rPr>
              <w:t>6.9%</w:t>
            </w:r>
          </w:p>
          <w:p w14:paraId="4D8515EB" w14:textId="40F634C2" w:rsidR="0038428B" w:rsidRPr="007E7352" w:rsidRDefault="0038428B" w:rsidP="0038428B">
            <w:pPr>
              <w:spacing w:after="0"/>
              <w:jc w:val="center"/>
              <w:rPr>
                <w:sz w:val="16"/>
                <w:szCs w:val="16"/>
              </w:rPr>
            </w:pPr>
            <w:r>
              <w:rPr>
                <w:rFonts w:cs="Arial"/>
                <w:sz w:val="16"/>
                <w:szCs w:val="16"/>
              </w:rPr>
              <w:t>(3.4%)</w:t>
            </w:r>
          </w:p>
        </w:tc>
        <w:tc>
          <w:tcPr>
            <w:tcW w:w="1890" w:type="dxa"/>
            <w:tcBorders>
              <w:top w:val="nil"/>
              <w:left w:val="nil"/>
              <w:bottom w:val="single" w:sz="4" w:space="0" w:color="auto"/>
              <w:right w:val="nil"/>
            </w:tcBorders>
            <w:shd w:val="clear" w:color="auto" w:fill="auto"/>
            <w:noWrap/>
            <w:vAlign w:val="bottom"/>
            <w:hideMark/>
          </w:tcPr>
          <w:p w14:paraId="05A6B7D5" w14:textId="77777777" w:rsidR="0038428B" w:rsidRDefault="0038428B" w:rsidP="0038428B">
            <w:pPr>
              <w:spacing w:after="0"/>
              <w:jc w:val="center"/>
              <w:rPr>
                <w:rFonts w:cs="Arial"/>
                <w:sz w:val="16"/>
                <w:szCs w:val="16"/>
              </w:rPr>
            </w:pPr>
            <w:r>
              <w:rPr>
                <w:rFonts w:cs="Arial"/>
                <w:sz w:val="16"/>
                <w:szCs w:val="16"/>
              </w:rPr>
              <w:t>4.6%</w:t>
            </w:r>
          </w:p>
          <w:p w14:paraId="2A335D13" w14:textId="0284444F" w:rsidR="0038428B" w:rsidRPr="007E7352" w:rsidRDefault="0038428B" w:rsidP="0038428B">
            <w:pPr>
              <w:spacing w:after="0"/>
              <w:jc w:val="center"/>
              <w:rPr>
                <w:sz w:val="16"/>
                <w:szCs w:val="16"/>
              </w:rPr>
            </w:pPr>
            <w:r>
              <w:rPr>
                <w:rFonts w:cs="Arial"/>
                <w:sz w:val="16"/>
                <w:szCs w:val="16"/>
              </w:rPr>
              <w:t>(2.2%)</w:t>
            </w:r>
          </w:p>
        </w:tc>
      </w:tr>
      <w:tr w:rsidR="0038428B" w14:paraId="1B61B605" w14:textId="77777777" w:rsidTr="006118C2">
        <w:trPr>
          <w:trHeight w:val="235"/>
        </w:trPr>
        <w:tc>
          <w:tcPr>
            <w:tcW w:w="1418" w:type="dxa"/>
            <w:vMerge/>
            <w:tcBorders>
              <w:bottom w:val="single" w:sz="4" w:space="0" w:color="auto"/>
            </w:tcBorders>
            <w:noWrap/>
          </w:tcPr>
          <w:p w14:paraId="31FE9F76" w14:textId="77777777" w:rsidR="0038428B" w:rsidRDefault="0038428B" w:rsidP="0038428B">
            <w:pPr>
              <w:spacing w:after="0"/>
              <w:rPr>
                <w:b/>
                <w:bCs/>
                <w:sz w:val="16"/>
                <w:szCs w:val="16"/>
              </w:rPr>
            </w:pPr>
          </w:p>
        </w:tc>
        <w:tc>
          <w:tcPr>
            <w:tcW w:w="1417" w:type="dxa"/>
            <w:tcBorders>
              <w:bottom w:val="single" w:sz="4" w:space="0" w:color="auto"/>
            </w:tcBorders>
          </w:tcPr>
          <w:p w14:paraId="103832FC" w14:textId="77777777" w:rsidR="0038428B" w:rsidRDefault="0038428B" w:rsidP="0038428B">
            <w:pPr>
              <w:spacing w:after="0"/>
              <w:jc w:val="center"/>
              <w:rPr>
                <w:rFonts w:cs="Arial"/>
                <w:sz w:val="16"/>
                <w:szCs w:val="16"/>
              </w:rPr>
            </w:pPr>
            <w:r w:rsidRPr="001150A4">
              <w:rPr>
                <w:rFonts w:cs="Arial"/>
                <w:i/>
                <w:sz w:val="16"/>
                <w:szCs w:val="16"/>
              </w:rPr>
              <w:t xml:space="preserve">Whole sector </w:t>
            </w:r>
          </w:p>
        </w:tc>
        <w:tc>
          <w:tcPr>
            <w:tcW w:w="1843" w:type="dxa"/>
            <w:tcBorders>
              <w:top w:val="nil"/>
              <w:left w:val="nil"/>
              <w:bottom w:val="single" w:sz="4" w:space="0" w:color="auto"/>
              <w:right w:val="nil"/>
            </w:tcBorders>
            <w:shd w:val="clear" w:color="auto" w:fill="auto"/>
            <w:noWrap/>
            <w:vAlign w:val="bottom"/>
          </w:tcPr>
          <w:p w14:paraId="57089B1A" w14:textId="77777777" w:rsidR="0038428B" w:rsidRDefault="0038428B" w:rsidP="0038428B">
            <w:pPr>
              <w:spacing w:after="0"/>
              <w:jc w:val="center"/>
              <w:rPr>
                <w:rFonts w:cs="Arial"/>
                <w:sz w:val="16"/>
                <w:szCs w:val="16"/>
              </w:rPr>
            </w:pPr>
            <w:r>
              <w:rPr>
                <w:rFonts w:cs="Arial"/>
                <w:sz w:val="16"/>
                <w:szCs w:val="16"/>
              </w:rPr>
              <w:t>6.7%</w:t>
            </w:r>
          </w:p>
          <w:p w14:paraId="00331F13" w14:textId="77777777" w:rsidR="0038428B" w:rsidRDefault="0038428B" w:rsidP="0038428B">
            <w:pPr>
              <w:spacing w:after="0"/>
              <w:jc w:val="center"/>
              <w:rPr>
                <w:rFonts w:cs="Arial"/>
                <w:sz w:val="16"/>
                <w:szCs w:val="16"/>
              </w:rPr>
            </w:pPr>
            <w:r>
              <w:rPr>
                <w:rFonts w:cs="Arial"/>
                <w:sz w:val="16"/>
                <w:szCs w:val="16"/>
              </w:rPr>
              <w:t>(1.3%)</w:t>
            </w:r>
          </w:p>
        </w:tc>
        <w:tc>
          <w:tcPr>
            <w:tcW w:w="1937" w:type="dxa"/>
            <w:tcBorders>
              <w:top w:val="nil"/>
              <w:left w:val="nil"/>
              <w:bottom w:val="single" w:sz="4" w:space="0" w:color="auto"/>
              <w:right w:val="nil"/>
            </w:tcBorders>
            <w:shd w:val="clear" w:color="auto" w:fill="auto"/>
            <w:noWrap/>
            <w:vAlign w:val="bottom"/>
          </w:tcPr>
          <w:p w14:paraId="443BBB39" w14:textId="77777777" w:rsidR="0038428B" w:rsidRDefault="0038428B" w:rsidP="0038428B">
            <w:pPr>
              <w:spacing w:after="0"/>
              <w:jc w:val="center"/>
              <w:rPr>
                <w:rFonts w:cs="Arial"/>
                <w:sz w:val="16"/>
                <w:szCs w:val="16"/>
              </w:rPr>
            </w:pPr>
            <w:r>
              <w:rPr>
                <w:rFonts w:cs="Arial"/>
                <w:sz w:val="16"/>
                <w:szCs w:val="16"/>
              </w:rPr>
              <w:t>7.1%</w:t>
            </w:r>
          </w:p>
          <w:p w14:paraId="4F46C6D5" w14:textId="226AAF62" w:rsidR="0038428B" w:rsidRDefault="0038428B" w:rsidP="0038428B">
            <w:pPr>
              <w:spacing w:after="0"/>
              <w:jc w:val="center"/>
              <w:rPr>
                <w:rFonts w:cs="Arial"/>
                <w:sz w:val="16"/>
                <w:szCs w:val="16"/>
              </w:rPr>
            </w:pPr>
            <w:r>
              <w:rPr>
                <w:rFonts w:cs="Arial"/>
                <w:sz w:val="16"/>
                <w:szCs w:val="16"/>
              </w:rPr>
              <w:t>(3.5%)</w:t>
            </w:r>
          </w:p>
        </w:tc>
        <w:tc>
          <w:tcPr>
            <w:tcW w:w="1890" w:type="dxa"/>
            <w:tcBorders>
              <w:top w:val="nil"/>
              <w:left w:val="nil"/>
              <w:bottom w:val="single" w:sz="4" w:space="0" w:color="auto"/>
              <w:right w:val="nil"/>
            </w:tcBorders>
            <w:shd w:val="clear" w:color="auto" w:fill="auto"/>
            <w:noWrap/>
            <w:vAlign w:val="bottom"/>
          </w:tcPr>
          <w:p w14:paraId="6946B11E" w14:textId="77777777" w:rsidR="0038428B" w:rsidRDefault="0038428B" w:rsidP="0038428B">
            <w:pPr>
              <w:spacing w:after="0"/>
              <w:jc w:val="center"/>
              <w:rPr>
                <w:rFonts w:cs="Arial"/>
                <w:sz w:val="16"/>
                <w:szCs w:val="16"/>
              </w:rPr>
            </w:pPr>
            <w:r>
              <w:rPr>
                <w:rFonts w:cs="Arial"/>
                <w:sz w:val="16"/>
                <w:szCs w:val="16"/>
              </w:rPr>
              <w:t>5.1%</w:t>
            </w:r>
          </w:p>
          <w:p w14:paraId="6FBC06E7" w14:textId="098294AC" w:rsidR="0038428B" w:rsidRDefault="0038428B" w:rsidP="0038428B">
            <w:pPr>
              <w:spacing w:after="0"/>
              <w:jc w:val="center"/>
              <w:rPr>
                <w:rFonts w:cs="Arial"/>
                <w:sz w:val="16"/>
                <w:szCs w:val="16"/>
              </w:rPr>
            </w:pPr>
            <w:r>
              <w:rPr>
                <w:rFonts w:cs="Arial"/>
                <w:sz w:val="16"/>
                <w:szCs w:val="16"/>
              </w:rPr>
              <w:t>(2.5%)</w:t>
            </w:r>
          </w:p>
        </w:tc>
      </w:tr>
      <w:tr w:rsidR="0038428B" w14:paraId="6E3CBD2F" w14:textId="77777777" w:rsidTr="006118C2">
        <w:trPr>
          <w:trHeight w:val="235"/>
        </w:trPr>
        <w:tc>
          <w:tcPr>
            <w:tcW w:w="1418" w:type="dxa"/>
            <w:vMerge w:val="restart"/>
            <w:noWrap/>
            <w:vAlign w:val="center"/>
            <w:hideMark/>
          </w:tcPr>
          <w:p w14:paraId="0E909917" w14:textId="77777777" w:rsidR="0038428B" w:rsidRDefault="0038428B" w:rsidP="0038428B">
            <w:pPr>
              <w:spacing w:after="0"/>
              <w:rPr>
                <w:b/>
                <w:bCs/>
                <w:sz w:val="16"/>
                <w:szCs w:val="16"/>
              </w:rPr>
            </w:pPr>
            <w:r w:rsidRPr="007E7352">
              <w:rPr>
                <w:b/>
                <w:bCs/>
                <w:sz w:val="16"/>
                <w:szCs w:val="16"/>
              </w:rPr>
              <w:t>Postgraduate</w:t>
            </w:r>
          </w:p>
          <w:p w14:paraId="5C4DAE77" w14:textId="77777777" w:rsidR="0038428B" w:rsidRPr="007E7352" w:rsidRDefault="0038428B" w:rsidP="0038428B">
            <w:pPr>
              <w:spacing w:after="0"/>
              <w:rPr>
                <w:sz w:val="16"/>
                <w:szCs w:val="16"/>
              </w:rPr>
            </w:pPr>
            <w:r>
              <w:rPr>
                <w:b/>
                <w:bCs/>
                <w:sz w:val="16"/>
                <w:szCs w:val="16"/>
              </w:rPr>
              <w:t>(CAGR)</w:t>
            </w:r>
          </w:p>
        </w:tc>
        <w:tc>
          <w:tcPr>
            <w:tcW w:w="1417" w:type="dxa"/>
            <w:tcBorders>
              <w:bottom w:val="single" w:sz="4" w:space="0" w:color="auto"/>
            </w:tcBorders>
          </w:tcPr>
          <w:p w14:paraId="2B2B0464" w14:textId="77777777" w:rsidR="0038428B" w:rsidRDefault="0038428B" w:rsidP="0038428B">
            <w:pPr>
              <w:spacing w:after="0"/>
              <w:jc w:val="center"/>
              <w:rPr>
                <w:rFonts w:cs="Arial"/>
                <w:sz w:val="16"/>
                <w:szCs w:val="16"/>
              </w:rPr>
            </w:pPr>
            <w:r w:rsidRPr="001150A4">
              <w:rPr>
                <w:rFonts w:cs="Arial"/>
                <w:i/>
                <w:sz w:val="16"/>
                <w:szCs w:val="16"/>
              </w:rPr>
              <w:t xml:space="preserve">Actual </w:t>
            </w:r>
          </w:p>
        </w:tc>
        <w:tc>
          <w:tcPr>
            <w:tcW w:w="1843" w:type="dxa"/>
            <w:tcBorders>
              <w:top w:val="nil"/>
              <w:left w:val="nil"/>
              <w:bottom w:val="single" w:sz="4" w:space="0" w:color="auto"/>
              <w:right w:val="nil"/>
            </w:tcBorders>
            <w:shd w:val="clear" w:color="auto" w:fill="auto"/>
            <w:noWrap/>
            <w:vAlign w:val="bottom"/>
            <w:hideMark/>
          </w:tcPr>
          <w:p w14:paraId="2C543F27" w14:textId="77777777" w:rsidR="0038428B" w:rsidRDefault="0038428B" w:rsidP="0038428B">
            <w:pPr>
              <w:spacing w:after="0"/>
              <w:jc w:val="center"/>
              <w:rPr>
                <w:rFonts w:cs="Arial"/>
                <w:sz w:val="16"/>
                <w:szCs w:val="16"/>
              </w:rPr>
            </w:pPr>
            <w:r>
              <w:rPr>
                <w:rFonts w:cs="Arial"/>
                <w:sz w:val="16"/>
                <w:szCs w:val="16"/>
              </w:rPr>
              <w:t>18.1%</w:t>
            </w:r>
          </w:p>
          <w:p w14:paraId="3707984E" w14:textId="77777777" w:rsidR="0038428B" w:rsidRPr="007E7352" w:rsidRDefault="0038428B" w:rsidP="0038428B">
            <w:pPr>
              <w:spacing w:after="0"/>
              <w:jc w:val="center"/>
              <w:rPr>
                <w:sz w:val="16"/>
                <w:szCs w:val="16"/>
              </w:rPr>
            </w:pPr>
            <w:r>
              <w:rPr>
                <w:rFonts w:cs="Arial"/>
                <w:sz w:val="16"/>
                <w:szCs w:val="16"/>
              </w:rPr>
              <w:t>(3.4%)</w:t>
            </w:r>
          </w:p>
        </w:tc>
        <w:tc>
          <w:tcPr>
            <w:tcW w:w="1937" w:type="dxa"/>
            <w:tcBorders>
              <w:top w:val="nil"/>
              <w:left w:val="nil"/>
              <w:bottom w:val="single" w:sz="4" w:space="0" w:color="auto"/>
              <w:right w:val="nil"/>
            </w:tcBorders>
            <w:shd w:val="clear" w:color="auto" w:fill="auto"/>
            <w:noWrap/>
            <w:vAlign w:val="bottom"/>
            <w:hideMark/>
          </w:tcPr>
          <w:p w14:paraId="396AB9B5" w14:textId="77777777" w:rsidR="0038428B" w:rsidRDefault="0038428B" w:rsidP="0038428B">
            <w:pPr>
              <w:spacing w:after="0"/>
              <w:jc w:val="center"/>
              <w:rPr>
                <w:rFonts w:cs="Arial"/>
                <w:sz w:val="16"/>
                <w:szCs w:val="16"/>
              </w:rPr>
            </w:pPr>
            <w:r>
              <w:rPr>
                <w:rFonts w:cs="Arial"/>
                <w:sz w:val="16"/>
                <w:szCs w:val="16"/>
              </w:rPr>
              <w:t>8.2%</w:t>
            </w:r>
          </w:p>
          <w:p w14:paraId="4F807D8F" w14:textId="7F052164" w:rsidR="0038428B" w:rsidRPr="007E7352" w:rsidRDefault="0038428B" w:rsidP="0038428B">
            <w:pPr>
              <w:spacing w:after="0"/>
              <w:jc w:val="center"/>
              <w:rPr>
                <w:sz w:val="16"/>
                <w:szCs w:val="16"/>
              </w:rPr>
            </w:pPr>
            <w:r>
              <w:rPr>
                <w:rFonts w:cs="Arial"/>
                <w:sz w:val="16"/>
                <w:szCs w:val="16"/>
              </w:rPr>
              <w:t>(4.0%)</w:t>
            </w:r>
          </w:p>
        </w:tc>
        <w:tc>
          <w:tcPr>
            <w:tcW w:w="1890" w:type="dxa"/>
            <w:tcBorders>
              <w:top w:val="nil"/>
              <w:left w:val="nil"/>
              <w:bottom w:val="single" w:sz="4" w:space="0" w:color="auto"/>
              <w:right w:val="nil"/>
            </w:tcBorders>
            <w:shd w:val="clear" w:color="auto" w:fill="auto"/>
            <w:noWrap/>
            <w:vAlign w:val="bottom"/>
            <w:hideMark/>
          </w:tcPr>
          <w:p w14:paraId="0F5DC792" w14:textId="77777777" w:rsidR="0038428B" w:rsidRDefault="0038428B" w:rsidP="0038428B">
            <w:pPr>
              <w:spacing w:after="0"/>
              <w:jc w:val="center"/>
              <w:rPr>
                <w:rFonts w:cs="Arial"/>
                <w:sz w:val="16"/>
                <w:szCs w:val="16"/>
              </w:rPr>
            </w:pPr>
            <w:r>
              <w:rPr>
                <w:rFonts w:cs="Arial"/>
                <w:sz w:val="16"/>
                <w:szCs w:val="16"/>
              </w:rPr>
              <w:t>6.4%</w:t>
            </w:r>
          </w:p>
          <w:p w14:paraId="5E3D3C3C" w14:textId="07F216AF" w:rsidR="0038428B" w:rsidRPr="007E7352" w:rsidRDefault="0038428B" w:rsidP="0038428B">
            <w:pPr>
              <w:spacing w:after="0"/>
              <w:jc w:val="center"/>
              <w:rPr>
                <w:sz w:val="16"/>
                <w:szCs w:val="16"/>
              </w:rPr>
            </w:pPr>
            <w:r>
              <w:rPr>
                <w:rFonts w:cs="Arial"/>
                <w:sz w:val="16"/>
                <w:szCs w:val="16"/>
              </w:rPr>
              <w:t>(3.1%)</w:t>
            </w:r>
          </w:p>
        </w:tc>
      </w:tr>
      <w:tr w:rsidR="0038428B" w14:paraId="2904CEB2" w14:textId="77777777" w:rsidTr="006118C2">
        <w:trPr>
          <w:trHeight w:val="235"/>
        </w:trPr>
        <w:tc>
          <w:tcPr>
            <w:tcW w:w="1418" w:type="dxa"/>
            <w:vMerge/>
            <w:tcBorders>
              <w:bottom w:val="single" w:sz="4" w:space="0" w:color="auto"/>
            </w:tcBorders>
            <w:noWrap/>
          </w:tcPr>
          <w:p w14:paraId="2B32A9CA" w14:textId="77777777" w:rsidR="0038428B" w:rsidRPr="007E7352" w:rsidRDefault="0038428B" w:rsidP="0038428B">
            <w:pPr>
              <w:spacing w:after="0"/>
              <w:rPr>
                <w:b/>
                <w:bCs/>
                <w:sz w:val="16"/>
                <w:szCs w:val="16"/>
              </w:rPr>
            </w:pPr>
          </w:p>
        </w:tc>
        <w:tc>
          <w:tcPr>
            <w:tcW w:w="1417" w:type="dxa"/>
            <w:tcBorders>
              <w:bottom w:val="single" w:sz="4" w:space="0" w:color="auto"/>
            </w:tcBorders>
          </w:tcPr>
          <w:p w14:paraId="51A86BA5" w14:textId="77777777" w:rsidR="0038428B" w:rsidRDefault="0038428B" w:rsidP="0038428B">
            <w:pPr>
              <w:spacing w:after="0"/>
              <w:jc w:val="center"/>
              <w:rPr>
                <w:rFonts w:cs="Arial"/>
                <w:sz w:val="16"/>
                <w:szCs w:val="16"/>
              </w:rPr>
            </w:pPr>
            <w:r w:rsidRPr="001150A4">
              <w:rPr>
                <w:rFonts w:cs="Arial"/>
                <w:i/>
                <w:sz w:val="16"/>
                <w:szCs w:val="16"/>
              </w:rPr>
              <w:t xml:space="preserve">Whole sector </w:t>
            </w:r>
          </w:p>
        </w:tc>
        <w:tc>
          <w:tcPr>
            <w:tcW w:w="1843" w:type="dxa"/>
            <w:tcBorders>
              <w:top w:val="nil"/>
              <w:left w:val="nil"/>
              <w:bottom w:val="single" w:sz="4" w:space="0" w:color="auto"/>
              <w:right w:val="nil"/>
            </w:tcBorders>
            <w:shd w:val="clear" w:color="auto" w:fill="auto"/>
            <w:noWrap/>
            <w:vAlign w:val="bottom"/>
          </w:tcPr>
          <w:p w14:paraId="45367ACC" w14:textId="77777777" w:rsidR="0038428B" w:rsidRDefault="0038428B" w:rsidP="0038428B">
            <w:pPr>
              <w:spacing w:after="0"/>
              <w:jc w:val="center"/>
              <w:rPr>
                <w:rFonts w:cs="Arial"/>
                <w:sz w:val="16"/>
                <w:szCs w:val="16"/>
              </w:rPr>
            </w:pPr>
            <w:r>
              <w:rPr>
                <w:rFonts w:cs="Arial"/>
                <w:sz w:val="16"/>
                <w:szCs w:val="16"/>
              </w:rPr>
              <w:t>18.1%</w:t>
            </w:r>
          </w:p>
          <w:p w14:paraId="5611C67D" w14:textId="77777777" w:rsidR="0038428B" w:rsidRDefault="0038428B" w:rsidP="0038428B">
            <w:pPr>
              <w:spacing w:after="0"/>
              <w:jc w:val="center"/>
              <w:rPr>
                <w:rFonts w:cs="Arial"/>
                <w:sz w:val="16"/>
                <w:szCs w:val="16"/>
              </w:rPr>
            </w:pPr>
            <w:r>
              <w:rPr>
                <w:rFonts w:cs="Arial"/>
                <w:sz w:val="16"/>
                <w:szCs w:val="16"/>
              </w:rPr>
              <w:t>(3.4%)</w:t>
            </w:r>
          </w:p>
        </w:tc>
        <w:tc>
          <w:tcPr>
            <w:tcW w:w="1937" w:type="dxa"/>
            <w:tcBorders>
              <w:top w:val="nil"/>
              <w:left w:val="nil"/>
              <w:bottom w:val="single" w:sz="4" w:space="0" w:color="auto"/>
              <w:right w:val="nil"/>
            </w:tcBorders>
            <w:shd w:val="clear" w:color="auto" w:fill="auto"/>
            <w:noWrap/>
            <w:vAlign w:val="bottom"/>
          </w:tcPr>
          <w:p w14:paraId="02F89636" w14:textId="77777777" w:rsidR="0038428B" w:rsidRDefault="0038428B" w:rsidP="0038428B">
            <w:pPr>
              <w:spacing w:after="0"/>
              <w:jc w:val="center"/>
              <w:rPr>
                <w:rFonts w:cs="Arial"/>
                <w:sz w:val="16"/>
                <w:szCs w:val="16"/>
              </w:rPr>
            </w:pPr>
            <w:r>
              <w:rPr>
                <w:rFonts w:cs="Arial"/>
                <w:sz w:val="16"/>
                <w:szCs w:val="16"/>
              </w:rPr>
              <w:t>7.8%</w:t>
            </w:r>
          </w:p>
          <w:p w14:paraId="4C308077" w14:textId="3A3B4952" w:rsidR="0038428B" w:rsidRDefault="0038428B" w:rsidP="0038428B">
            <w:pPr>
              <w:spacing w:after="0"/>
              <w:jc w:val="center"/>
              <w:rPr>
                <w:rFonts w:cs="Arial"/>
                <w:sz w:val="16"/>
                <w:szCs w:val="16"/>
              </w:rPr>
            </w:pPr>
            <w:r>
              <w:rPr>
                <w:rFonts w:cs="Arial"/>
                <w:sz w:val="16"/>
                <w:szCs w:val="16"/>
              </w:rPr>
              <w:t>(3.8%)</w:t>
            </w:r>
          </w:p>
        </w:tc>
        <w:tc>
          <w:tcPr>
            <w:tcW w:w="1890" w:type="dxa"/>
            <w:tcBorders>
              <w:top w:val="nil"/>
              <w:left w:val="nil"/>
              <w:bottom w:val="single" w:sz="4" w:space="0" w:color="auto"/>
              <w:right w:val="nil"/>
            </w:tcBorders>
            <w:shd w:val="clear" w:color="auto" w:fill="auto"/>
            <w:noWrap/>
            <w:vAlign w:val="bottom"/>
          </w:tcPr>
          <w:p w14:paraId="7BBD2626" w14:textId="77777777" w:rsidR="0038428B" w:rsidRDefault="0038428B" w:rsidP="0038428B">
            <w:pPr>
              <w:spacing w:after="0"/>
              <w:jc w:val="center"/>
              <w:rPr>
                <w:rFonts w:cs="Arial"/>
                <w:sz w:val="16"/>
                <w:szCs w:val="16"/>
              </w:rPr>
            </w:pPr>
            <w:r>
              <w:rPr>
                <w:rFonts w:cs="Arial"/>
                <w:sz w:val="16"/>
                <w:szCs w:val="16"/>
              </w:rPr>
              <w:t>6.6%</w:t>
            </w:r>
          </w:p>
          <w:p w14:paraId="5ED19317" w14:textId="6BD9A9EB" w:rsidR="0038428B" w:rsidRDefault="0038428B" w:rsidP="0038428B">
            <w:pPr>
              <w:spacing w:after="0"/>
              <w:jc w:val="center"/>
              <w:rPr>
                <w:rFonts w:cs="Arial"/>
                <w:sz w:val="16"/>
                <w:szCs w:val="16"/>
              </w:rPr>
            </w:pPr>
            <w:r>
              <w:rPr>
                <w:rFonts w:cs="Arial"/>
                <w:sz w:val="16"/>
                <w:szCs w:val="16"/>
              </w:rPr>
              <w:t>(3.2%)</w:t>
            </w:r>
          </w:p>
        </w:tc>
      </w:tr>
      <w:tr w:rsidR="00223783" w14:paraId="72260B6A" w14:textId="77777777" w:rsidTr="006118C2">
        <w:trPr>
          <w:trHeight w:val="235"/>
        </w:trPr>
        <w:tc>
          <w:tcPr>
            <w:tcW w:w="1418" w:type="dxa"/>
            <w:vMerge w:val="restart"/>
            <w:tcBorders>
              <w:top w:val="single" w:sz="4" w:space="0" w:color="auto"/>
            </w:tcBorders>
            <w:noWrap/>
            <w:vAlign w:val="center"/>
            <w:hideMark/>
          </w:tcPr>
          <w:p w14:paraId="387A4760" w14:textId="77777777" w:rsidR="00223783" w:rsidRDefault="00223783" w:rsidP="0038428B">
            <w:pPr>
              <w:spacing w:after="0"/>
              <w:rPr>
                <w:b/>
                <w:bCs/>
                <w:sz w:val="16"/>
                <w:szCs w:val="16"/>
              </w:rPr>
            </w:pPr>
            <w:r w:rsidRPr="007E7352">
              <w:rPr>
                <w:b/>
                <w:bCs/>
                <w:sz w:val="16"/>
                <w:szCs w:val="16"/>
              </w:rPr>
              <w:t>Total</w:t>
            </w:r>
          </w:p>
          <w:p w14:paraId="4610F701" w14:textId="77777777" w:rsidR="00223783" w:rsidRPr="007E7352" w:rsidRDefault="00223783" w:rsidP="0038428B">
            <w:pPr>
              <w:spacing w:after="0"/>
              <w:rPr>
                <w:sz w:val="16"/>
                <w:szCs w:val="16"/>
              </w:rPr>
            </w:pPr>
            <w:r>
              <w:rPr>
                <w:b/>
                <w:bCs/>
                <w:sz w:val="16"/>
                <w:szCs w:val="16"/>
              </w:rPr>
              <w:t>(CAGR)</w:t>
            </w:r>
          </w:p>
        </w:tc>
        <w:tc>
          <w:tcPr>
            <w:tcW w:w="1417" w:type="dxa"/>
            <w:tcBorders>
              <w:top w:val="single" w:sz="4" w:space="0" w:color="auto"/>
              <w:bottom w:val="single" w:sz="4" w:space="0" w:color="auto"/>
            </w:tcBorders>
          </w:tcPr>
          <w:p w14:paraId="13E0C5FF" w14:textId="77777777" w:rsidR="00223783" w:rsidRDefault="00223783" w:rsidP="0038428B">
            <w:pPr>
              <w:spacing w:after="0"/>
              <w:jc w:val="center"/>
              <w:rPr>
                <w:rFonts w:cs="Arial"/>
                <w:sz w:val="16"/>
                <w:szCs w:val="16"/>
              </w:rPr>
            </w:pPr>
            <w:r w:rsidRPr="001150A4">
              <w:rPr>
                <w:rFonts w:cs="Arial"/>
                <w:i/>
                <w:sz w:val="16"/>
                <w:szCs w:val="16"/>
              </w:rPr>
              <w:t xml:space="preserve">Actual </w:t>
            </w:r>
          </w:p>
        </w:tc>
        <w:tc>
          <w:tcPr>
            <w:tcW w:w="1843" w:type="dxa"/>
            <w:tcBorders>
              <w:top w:val="single" w:sz="4" w:space="0" w:color="auto"/>
              <w:left w:val="nil"/>
              <w:bottom w:val="single" w:sz="4" w:space="0" w:color="auto"/>
              <w:right w:val="nil"/>
            </w:tcBorders>
            <w:shd w:val="clear" w:color="auto" w:fill="auto"/>
            <w:noWrap/>
            <w:vAlign w:val="bottom"/>
            <w:hideMark/>
          </w:tcPr>
          <w:p w14:paraId="311878F1" w14:textId="77777777" w:rsidR="00223783" w:rsidRDefault="00223783" w:rsidP="0038428B">
            <w:pPr>
              <w:spacing w:after="0"/>
              <w:jc w:val="center"/>
              <w:rPr>
                <w:rFonts w:cs="Arial"/>
                <w:sz w:val="16"/>
                <w:szCs w:val="16"/>
              </w:rPr>
            </w:pPr>
            <w:r>
              <w:rPr>
                <w:rFonts w:cs="Arial"/>
                <w:sz w:val="16"/>
                <w:szCs w:val="16"/>
              </w:rPr>
              <w:t>10.1%</w:t>
            </w:r>
          </w:p>
          <w:p w14:paraId="12E47CF6" w14:textId="77777777" w:rsidR="00223783" w:rsidRPr="007E7352" w:rsidRDefault="00223783" w:rsidP="0038428B">
            <w:pPr>
              <w:spacing w:after="0"/>
              <w:jc w:val="center"/>
              <w:rPr>
                <w:sz w:val="16"/>
                <w:szCs w:val="16"/>
              </w:rPr>
            </w:pPr>
            <w:r>
              <w:rPr>
                <w:rFonts w:cs="Arial"/>
                <w:sz w:val="16"/>
                <w:szCs w:val="16"/>
              </w:rPr>
              <w:t>(1.9%)</w:t>
            </w:r>
          </w:p>
        </w:tc>
        <w:tc>
          <w:tcPr>
            <w:tcW w:w="1937" w:type="dxa"/>
            <w:tcBorders>
              <w:top w:val="single" w:sz="4" w:space="0" w:color="auto"/>
              <w:left w:val="nil"/>
              <w:bottom w:val="single" w:sz="4" w:space="0" w:color="auto"/>
              <w:right w:val="nil"/>
            </w:tcBorders>
            <w:shd w:val="clear" w:color="auto" w:fill="auto"/>
            <w:noWrap/>
            <w:vAlign w:val="bottom"/>
            <w:hideMark/>
          </w:tcPr>
          <w:p w14:paraId="629AA0D0" w14:textId="77777777" w:rsidR="00223783" w:rsidRDefault="00223783" w:rsidP="0038428B">
            <w:pPr>
              <w:spacing w:after="0"/>
              <w:jc w:val="center"/>
              <w:rPr>
                <w:rFonts w:cs="Arial"/>
                <w:sz w:val="16"/>
                <w:szCs w:val="16"/>
              </w:rPr>
            </w:pPr>
            <w:r>
              <w:rPr>
                <w:rFonts w:cs="Arial"/>
                <w:sz w:val="16"/>
                <w:szCs w:val="16"/>
              </w:rPr>
              <w:t>7.9%</w:t>
            </w:r>
          </w:p>
          <w:p w14:paraId="78C116AB" w14:textId="5937CE4E" w:rsidR="00223783" w:rsidRPr="007E7352" w:rsidRDefault="00223783" w:rsidP="0038428B">
            <w:pPr>
              <w:spacing w:after="0"/>
              <w:jc w:val="center"/>
              <w:rPr>
                <w:sz w:val="16"/>
                <w:szCs w:val="16"/>
              </w:rPr>
            </w:pPr>
            <w:r>
              <w:rPr>
                <w:rFonts w:cs="Arial"/>
                <w:sz w:val="16"/>
                <w:szCs w:val="16"/>
              </w:rPr>
              <w:t>(3.9%)</w:t>
            </w:r>
          </w:p>
        </w:tc>
        <w:tc>
          <w:tcPr>
            <w:tcW w:w="1890" w:type="dxa"/>
            <w:tcBorders>
              <w:top w:val="single" w:sz="4" w:space="0" w:color="auto"/>
              <w:left w:val="nil"/>
              <w:bottom w:val="single" w:sz="4" w:space="0" w:color="auto"/>
              <w:right w:val="nil"/>
            </w:tcBorders>
            <w:shd w:val="clear" w:color="auto" w:fill="auto"/>
            <w:noWrap/>
            <w:vAlign w:val="bottom"/>
            <w:hideMark/>
          </w:tcPr>
          <w:p w14:paraId="228FA691" w14:textId="77777777" w:rsidR="00223783" w:rsidRDefault="00223783" w:rsidP="0038428B">
            <w:pPr>
              <w:spacing w:after="0"/>
              <w:jc w:val="center"/>
              <w:rPr>
                <w:rFonts w:cs="Arial"/>
                <w:sz w:val="16"/>
                <w:szCs w:val="16"/>
              </w:rPr>
            </w:pPr>
            <w:r>
              <w:rPr>
                <w:rFonts w:cs="Arial"/>
                <w:sz w:val="16"/>
                <w:szCs w:val="16"/>
              </w:rPr>
              <w:t>5.9%</w:t>
            </w:r>
          </w:p>
          <w:p w14:paraId="21AC82E3" w14:textId="00EA23F6" w:rsidR="00223783" w:rsidRPr="007E7352" w:rsidRDefault="00223783" w:rsidP="0038428B">
            <w:pPr>
              <w:spacing w:after="0"/>
              <w:jc w:val="center"/>
              <w:rPr>
                <w:sz w:val="16"/>
                <w:szCs w:val="16"/>
              </w:rPr>
            </w:pPr>
            <w:r>
              <w:rPr>
                <w:rFonts w:cs="Arial"/>
                <w:sz w:val="16"/>
                <w:szCs w:val="16"/>
              </w:rPr>
              <w:t>(2.9%)</w:t>
            </w:r>
          </w:p>
        </w:tc>
      </w:tr>
      <w:tr w:rsidR="00223783" w14:paraId="4E5B3701" w14:textId="77777777" w:rsidTr="006118C2">
        <w:trPr>
          <w:trHeight w:val="235"/>
        </w:trPr>
        <w:tc>
          <w:tcPr>
            <w:tcW w:w="1418" w:type="dxa"/>
            <w:vMerge/>
            <w:tcBorders>
              <w:bottom w:val="single" w:sz="4" w:space="0" w:color="auto"/>
            </w:tcBorders>
            <w:noWrap/>
          </w:tcPr>
          <w:p w14:paraId="3890D041" w14:textId="77777777" w:rsidR="00223783" w:rsidRPr="007E7352" w:rsidRDefault="00223783" w:rsidP="0038428B">
            <w:pPr>
              <w:spacing w:after="0"/>
              <w:rPr>
                <w:b/>
                <w:bCs/>
                <w:sz w:val="16"/>
                <w:szCs w:val="16"/>
              </w:rPr>
            </w:pPr>
          </w:p>
        </w:tc>
        <w:tc>
          <w:tcPr>
            <w:tcW w:w="1417" w:type="dxa"/>
            <w:tcBorders>
              <w:top w:val="single" w:sz="4" w:space="0" w:color="auto"/>
              <w:bottom w:val="single" w:sz="4" w:space="0" w:color="auto"/>
            </w:tcBorders>
          </w:tcPr>
          <w:p w14:paraId="26921313" w14:textId="77777777" w:rsidR="00223783" w:rsidRDefault="00223783" w:rsidP="0038428B">
            <w:pPr>
              <w:spacing w:after="0"/>
              <w:jc w:val="center"/>
              <w:rPr>
                <w:rFonts w:cs="Arial"/>
                <w:sz w:val="16"/>
                <w:szCs w:val="16"/>
              </w:rPr>
            </w:pPr>
            <w:r w:rsidRPr="001150A4">
              <w:rPr>
                <w:rFonts w:cs="Arial"/>
                <w:i/>
                <w:sz w:val="16"/>
                <w:szCs w:val="16"/>
              </w:rPr>
              <w:t xml:space="preserve">Whole sector </w:t>
            </w:r>
          </w:p>
        </w:tc>
        <w:tc>
          <w:tcPr>
            <w:tcW w:w="1843" w:type="dxa"/>
            <w:tcBorders>
              <w:top w:val="single" w:sz="4" w:space="0" w:color="auto"/>
              <w:left w:val="nil"/>
              <w:bottom w:val="single" w:sz="4" w:space="0" w:color="auto"/>
              <w:right w:val="nil"/>
            </w:tcBorders>
            <w:shd w:val="clear" w:color="auto" w:fill="auto"/>
            <w:noWrap/>
            <w:vAlign w:val="bottom"/>
          </w:tcPr>
          <w:p w14:paraId="4CF281FD" w14:textId="77777777" w:rsidR="00223783" w:rsidRDefault="00223783" w:rsidP="0038428B">
            <w:pPr>
              <w:spacing w:after="0"/>
              <w:jc w:val="center"/>
              <w:rPr>
                <w:rFonts w:cs="Arial"/>
                <w:sz w:val="16"/>
                <w:szCs w:val="16"/>
              </w:rPr>
            </w:pPr>
            <w:r>
              <w:rPr>
                <w:rFonts w:cs="Arial"/>
                <w:sz w:val="16"/>
                <w:szCs w:val="16"/>
              </w:rPr>
              <w:t>9.5%</w:t>
            </w:r>
          </w:p>
          <w:p w14:paraId="0E71A8B2" w14:textId="77777777" w:rsidR="00223783" w:rsidRDefault="00223783" w:rsidP="0038428B">
            <w:pPr>
              <w:spacing w:after="0"/>
              <w:jc w:val="center"/>
              <w:rPr>
                <w:rFonts w:cs="Arial"/>
                <w:sz w:val="16"/>
                <w:szCs w:val="16"/>
              </w:rPr>
            </w:pPr>
            <w:r>
              <w:rPr>
                <w:rFonts w:cs="Arial"/>
                <w:sz w:val="16"/>
                <w:szCs w:val="16"/>
              </w:rPr>
              <w:t>(1.8%)</w:t>
            </w:r>
          </w:p>
        </w:tc>
        <w:tc>
          <w:tcPr>
            <w:tcW w:w="1937" w:type="dxa"/>
            <w:tcBorders>
              <w:top w:val="single" w:sz="4" w:space="0" w:color="auto"/>
              <w:left w:val="nil"/>
              <w:bottom w:val="single" w:sz="4" w:space="0" w:color="auto"/>
              <w:right w:val="nil"/>
            </w:tcBorders>
            <w:shd w:val="clear" w:color="auto" w:fill="auto"/>
            <w:noWrap/>
            <w:vAlign w:val="bottom"/>
          </w:tcPr>
          <w:p w14:paraId="396169B7" w14:textId="77777777" w:rsidR="00223783" w:rsidRDefault="00223783" w:rsidP="0038428B">
            <w:pPr>
              <w:spacing w:after="0"/>
              <w:jc w:val="center"/>
              <w:rPr>
                <w:rFonts w:cs="Arial"/>
                <w:sz w:val="16"/>
                <w:szCs w:val="16"/>
              </w:rPr>
            </w:pPr>
            <w:r>
              <w:rPr>
                <w:rFonts w:cs="Arial"/>
                <w:sz w:val="16"/>
                <w:szCs w:val="16"/>
              </w:rPr>
              <w:t>7.9%</w:t>
            </w:r>
          </w:p>
          <w:p w14:paraId="3FD494D8" w14:textId="7722A1AC" w:rsidR="00223783" w:rsidRDefault="00223783" w:rsidP="0038428B">
            <w:pPr>
              <w:spacing w:after="0"/>
              <w:jc w:val="center"/>
              <w:rPr>
                <w:rFonts w:cs="Arial"/>
                <w:sz w:val="16"/>
                <w:szCs w:val="16"/>
              </w:rPr>
            </w:pPr>
            <w:r>
              <w:rPr>
                <w:rFonts w:cs="Arial"/>
                <w:sz w:val="16"/>
                <w:szCs w:val="16"/>
              </w:rPr>
              <w:t>(3.9%)</w:t>
            </w:r>
          </w:p>
        </w:tc>
        <w:tc>
          <w:tcPr>
            <w:tcW w:w="1890" w:type="dxa"/>
            <w:tcBorders>
              <w:top w:val="single" w:sz="4" w:space="0" w:color="auto"/>
              <w:left w:val="nil"/>
              <w:bottom w:val="single" w:sz="4" w:space="0" w:color="auto"/>
              <w:right w:val="nil"/>
            </w:tcBorders>
            <w:shd w:val="clear" w:color="auto" w:fill="auto"/>
            <w:noWrap/>
            <w:vAlign w:val="bottom"/>
          </w:tcPr>
          <w:p w14:paraId="595EF88F" w14:textId="77777777" w:rsidR="00223783" w:rsidRDefault="00223783" w:rsidP="0038428B">
            <w:pPr>
              <w:spacing w:after="0"/>
              <w:jc w:val="center"/>
              <w:rPr>
                <w:rFonts w:cs="Arial"/>
                <w:sz w:val="16"/>
                <w:szCs w:val="16"/>
              </w:rPr>
            </w:pPr>
            <w:r>
              <w:rPr>
                <w:rFonts w:cs="Arial"/>
                <w:sz w:val="16"/>
                <w:szCs w:val="16"/>
              </w:rPr>
              <w:t>6.0%</w:t>
            </w:r>
          </w:p>
          <w:p w14:paraId="61DF4B5E" w14:textId="01F5B5F5" w:rsidR="00223783" w:rsidRDefault="00223783" w:rsidP="0038428B">
            <w:pPr>
              <w:spacing w:after="0"/>
              <w:jc w:val="center"/>
              <w:rPr>
                <w:rFonts w:cs="Arial"/>
                <w:sz w:val="16"/>
                <w:szCs w:val="16"/>
              </w:rPr>
            </w:pPr>
            <w:r>
              <w:rPr>
                <w:rFonts w:cs="Arial"/>
                <w:sz w:val="16"/>
                <w:szCs w:val="16"/>
              </w:rPr>
              <w:t>(3.0%)</w:t>
            </w:r>
          </w:p>
        </w:tc>
      </w:tr>
    </w:tbl>
    <w:p w14:paraId="1C5A03BF" w14:textId="77777777" w:rsidR="009A1164" w:rsidRDefault="0075608C" w:rsidP="00EB4550">
      <w:pPr>
        <w:pStyle w:val="Source"/>
        <w:spacing w:after="0"/>
      </w:pPr>
      <w:r>
        <w:t>Note: Results in parentheses reflect compound annual growth rates over the relevant period. ‘</w:t>
      </w:r>
      <w:r w:rsidR="009A1164">
        <w:t>W</w:t>
      </w:r>
      <w:r>
        <w:t>hole sector’ refers to</w:t>
      </w:r>
      <w:r w:rsidR="00D714CF">
        <w:t xml:space="preserve"> the</w:t>
      </w:r>
      <w:r>
        <w:t xml:space="preserve"> </w:t>
      </w:r>
      <w:r w:rsidR="009A1164">
        <w:t xml:space="preserve">field weighted mean cost per EFTSL reported in the 2011 and 2016 reports. In order to account for the relatively small samples in these studies the average cost per EFTSL for each field of education </w:t>
      </w:r>
      <w:proofErr w:type="gramStart"/>
      <w:r w:rsidR="009A1164">
        <w:t>was weighted</w:t>
      </w:r>
      <w:proofErr w:type="gramEnd"/>
      <w:r w:rsidR="009A1164">
        <w:t xml:space="preserve"> by </w:t>
      </w:r>
      <w:r w:rsidR="000A7231">
        <w:t xml:space="preserve">total EFTSL enrolled at public universities. </w:t>
      </w:r>
      <w:r w:rsidR="009A1164">
        <w:t>‘Actual’ FOE mix refers to unit costs based on the actual mix of enrolments in the specified sample.</w:t>
      </w:r>
    </w:p>
    <w:p w14:paraId="444E7CD2" w14:textId="77777777" w:rsidR="009A1164" w:rsidRDefault="009A1164" w:rsidP="009A1164">
      <w:pPr>
        <w:pStyle w:val="Source"/>
        <w:spacing w:before="0"/>
      </w:pPr>
      <w:r>
        <w:t xml:space="preserve">Source: Deloitte Access Economics and Department of Education and Training. </w:t>
      </w:r>
    </w:p>
    <w:p w14:paraId="1217543E" w14:textId="09F1EAB2" w:rsidR="00700937" w:rsidRDefault="00C50E37">
      <w:r>
        <w:fldChar w:fldCharType="begin"/>
      </w:r>
      <w:r>
        <w:instrText xml:space="preserve"> REF _Ref532207638 \r \h </w:instrText>
      </w:r>
      <w:r>
        <w:fldChar w:fldCharType="separate"/>
      </w:r>
      <w:r w:rsidR="00F47C96">
        <w:t>Table 2.3</w:t>
      </w:r>
      <w:r>
        <w:fldChar w:fldCharType="end"/>
      </w:r>
      <w:r>
        <w:t xml:space="preserve"> </w:t>
      </w:r>
      <w:r w:rsidR="00700937">
        <w:t>benchmarks the changes in</w:t>
      </w:r>
      <w:r w:rsidR="00D81B93">
        <w:t xml:space="preserve"> teaching</w:t>
      </w:r>
      <w:r w:rsidR="00700937">
        <w:t xml:space="preserve"> cost</w:t>
      </w:r>
      <w:r w:rsidR="00D81B93">
        <w:t>s</w:t>
      </w:r>
      <w:r w:rsidR="00700937">
        <w:t xml:space="preserve"> per EFTSL since 2015 to changes in expenditure by the sector since 2015 for the common sample</w:t>
      </w:r>
      <w:r w:rsidR="00685D95">
        <w:t>,</w:t>
      </w:r>
      <w:r w:rsidR="00700937">
        <w:t xml:space="preserve"> all universities sampled in 2018</w:t>
      </w:r>
      <w:r w:rsidR="00685D95">
        <w:t>,</w:t>
      </w:r>
      <w:r w:rsidR="00700937">
        <w:t xml:space="preserve"> and all public universities</w:t>
      </w:r>
      <w:r w:rsidR="007B63E6">
        <w:t xml:space="preserve"> based on university financial data reported to the Department of Education and Training</w:t>
      </w:r>
      <w:r w:rsidR="00700937">
        <w:t xml:space="preserve">. In total, continuing expenditure rose by </w:t>
      </w:r>
      <w:proofErr w:type="gramStart"/>
      <w:r w:rsidR="00700937">
        <w:t xml:space="preserve">between </w:t>
      </w:r>
      <w:r w:rsidR="0075608C">
        <w:t>10.6</w:t>
      </w:r>
      <w:r w:rsidR="00700937">
        <w:t xml:space="preserve">% to </w:t>
      </w:r>
      <w:r w:rsidR="0075608C">
        <w:t>13.0</w:t>
      </w:r>
      <w:r w:rsidR="00700937">
        <w:t>% across these groups</w:t>
      </w:r>
      <w:proofErr w:type="gramEnd"/>
      <w:r w:rsidR="00700937">
        <w:t xml:space="preserve">. Labour expenditure grew at a similar rate given that labour is a key input to operating costs for universities. </w:t>
      </w:r>
    </w:p>
    <w:p w14:paraId="24077ABC" w14:textId="5FE7E5A1" w:rsidR="00700937" w:rsidRDefault="00700937" w:rsidP="00700937">
      <w:r>
        <w:t>However, over this period, EFTSL also rose by between 3.</w:t>
      </w:r>
      <w:r w:rsidR="0075608C">
        <w:t>0</w:t>
      </w:r>
      <w:r>
        <w:t xml:space="preserve">% and </w:t>
      </w:r>
      <w:r w:rsidR="0075608C">
        <w:t>4.7</w:t>
      </w:r>
      <w:r>
        <w:t>% (largely driven by growth in non</w:t>
      </w:r>
      <w:r w:rsidR="00C502EF">
        <w:t>-</w:t>
      </w:r>
      <w:r>
        <w:t xml:space="preserve">Commonwealth supported students) so that continuing expenditure per EFTSL rose by </w:t>
      </w:r>
      <w:r w:rsidR="0075608C">
        <w:t>6.7</w:t>
      </w:r>
      <w:r>
        <w:t xml:space="preserve">% for all universities and by </w:t>
      </w:r>
      <w:r w:rsidR="0075608C">
        <w:t>8.2</w:t>
      </w:r>
      <w:r>
        <w:t>% for the common sample. Given that overall</w:t>
      </w:r>
      <w:r w:rsidR="005719A7">
        <w:t xml:space="preserve"> teaching</w:t>
      </w:r>
      <w:r>
        <w:t xml:space="preserve"> costs per EFTSL for all levels in the common sample grew by </w:t>
      </w:r>
      <w:r w:rsidR="00B5325A">
        <w:t>5.9</w:t>
      </w:r>
      <w:r>
        <w:t xml:space="preserve">%, this suggests that changes in teaching and scholarship costs have grown </w:t>
      </w:r>
      <w:r w:rsidR="005A08B1">
        <w:t>broadly in line</w:t>
      </w:r>
      <w:r>
        <w:t xml:space="preserve"> </w:t>
      </w:r>
      <w:r w:rsidR="00B5325A">
        <w:t xml:space="preserve">albeit slightly less than </w:t>
      </w:r>
      <w:r>
        <w:t xml:space="preserve">changes in overall expenditure. </w:t>
      </w:r>
    </w:p>
    <w:p w14:paraId="4DFC3837" w14:textId="4E93A959" w:rsidR="00700937" w:rsidRDefault="002D18B5" w:rsidP="0075608C">
      <w:r>
        <w:t>G</w:t>
      </w:r>
      <w:r w:rsidR="00700937">
        <w:t>rowth in teaching costs for the common sample ha</w:t>
      </w:r>
      <w:r>
        <w:t>s</w:t>
      </w:r>
      <w:r w:rsidR="00700937">
        <w:t xml:space="preserve"> exceeded growth in base funding levels per EFTSL over the last two years</w:t>
      </w:r>
      <w:r>
        <w:t>, with</w:t>
      </w:r>
      <w:r w:rsidR="00700937">
        <w:t xml:space="preserve"> base funding per EFTSL gr</w:t>
      </w:r>
      <w:r>
        <w:t>o</w:t>
      </w:r>
      <w:r w:rsidR="00700937">
        <w:t>w</w:t>
      </w:r>
      <w:r>
        <w:t>ing</w:t>
      </w:r>
      <w:r w:rsidR="00700937">
        <w:t xml:space="preserve"> by 3.4% on average.</w:t>
      </w:r>
      <w:r w:rsidR="0075608C">
        <w:t xml:space="preserve"> This </w:t>
      </w:r>
      <w:r>
        <w:t xml:space="preserve">difference </w:t>
      </w:r>
      <w:r w:rsidR="0075608C">
        <w:t xml:space="preserve">is </w:t>
      </w:r>
      <w:r w:rsidR="005719A7">
        <w:t>the main</w:t>
      </w:r>
      <w:r w:rsidR="0075608C">
        <w:t xml:space="preserve"> driver of the increase </w:t>
      </w:r>
      <w:r>
        <w:t xml:space="preserve">from 2015 to 2017 </w:t>
      </w:r>
      <w:r w:rsidR="0075608C">
        <w:t xml:space="preserve">in the average proportion of bachelor teaching costs relative to base funding (see </w:t>
      </w:r>
      <w:r w:rsidR="0074548E">
        <w:t>S</w:t>
      </w:r>
      <w:r w:rsidR="0075608C">
        <w:t xml:space="preserve">ection </w:t>
      </w:r>
      <w:r w:rsidR="0075608C">
        <w:fldChar w:fldCharType="begin"/>
      </w:r>
      <w:r w:rsidR="0075608C">
        <w:instrText xml:space="preserve"> REF _Ref532214635 \r \h </w:instrText>
      </w:r>
      <w:r w:rsidR="0075608C">
        <w:fldChar w:fldCharType="separate"/>
      </w:r>
      <w:r w:rsidR="00F47C96">
        <w:t>2.3</w:t>
      </w:r>
      <w:r w:rsidR="0075608C">
        <w:fldChar w:fldCharType="end"/>
      </w:r>
      <w:r w:rsidR="0075608C">
        <w:t>).</w:t>
      </w:r>
    </w:p>
    <w:p w14:paraId="60057F7A" w14:textId="270D70DC" w:rsidR="005D3384" w:rsidRDefault="00700937" w:rsidP="00700937">
      <w:r>
        <w:t xml:space="preserve">Importantly, while the growth in costs per EFTSL for the common sample provides a valid comparison over time for a common sample of universities, it is not strictly a measure of cost per EFTSL for the sector over time. </w:t>
      </w:r>
      <w:proofErr w:type="gramStart"/>
      <w:r>
        <w:t>It is possible that growth in cost per EFTSL may</w:t>
      </w:r>
      <w:proofErr w:type="gramEnd"/>
      <w:r>
        <w:t xml:space="preserve"> differ for universities not in the common sample. </w:t>
      </w:r>
      <w:r w:rsidR="00D81B93">
        <w:t>T</w:t>
      </w:r>
      <w:r>
        <w:t xml:space="preserve">he figures in </w:t>
      </w:r>
      <w:r w:rsidR="00A2052E">
        <w:fldChar w:fldCharType="begin"/>
      </w:r>
      <w:r w:rsidR="00A2052E">
        <w:instrText xml:space="preserve"> REF _Ref531363673 \r \h </w:instrText>
      </w:r>
      <w:r w:rsidR="00A2052E">
        <w:fldChar w:fldCharType="separate"/>
      </w:r>
      <w:r w:rsidR="00F47C96">
        <w:t>Chart 2.3</w:t>
      </w:r>
      <w:r w:rsidR="00A2052E">
        <w:fldChar w:fldCharType="end"/>
      </w:r>
      <w:r w:rsidR="00A2052E">
        <w:t xml:space="preserve"> </w:t>
      </w:r>
      <w:r>
        <w:t xml:space="preserve">suggest that changes in continuing expenditure per EFTSL have not differed vastly for the sector as a whole </w:t>
      </w:r>
      <w:r w:rsidR="005719A7">
        <w:t xml:space="preserve">relative to the common sample. This </w:t>
      </w:r>
      <w:r>
        <w:t>indicat</w:t>
      </w:r>
      <w:r w:rsidR="005719A7">
        <w:t>es that</w:t>
      </w:r>
      <w:r>
        <w:t xml:space="preserve"> the growth in costs for the common sample is likely to be a reasonable proxy for changes in costs over time for the sample as a whole. </w:t>
      </w:r>
    </w:p>
    <w:p w14:paraId="4DF861EE" w14:textId="77777777" w:rsidR="005D3384" w:rsidRDefault="005D3384">
      <w:pPr>
        <w:spacing w:after="0"/>
      </w:pPr>
      <w:r>
        <w:br w:type="page"/>
      </w:r>
    </w:p>
    <w:p w14:paraId="4CD1D5E8" w14:textId="77777777" w:rsidR="00700937" w:rsidRDefault="00700937" w:rsidP="00495A65">
      <w:pPr>
        <w:pStyle w:val="CaptionTable"/>
      </w:pPr>
      <w:bookmarkStart w:id="372" w:name="_Toc532245602"/>
      <w:bookmarkStart w:id="373" w:name="_Toc532376131"/>
      <w:bookmarkStart w:id="374" w:name="_Toc532245603"/>
      <w:bookmarkStart w:id="375" w:name="_Toc532376132"/>
      <w:bookmarkStart w:id="376" w:name="_Toc532245604"/>
      <w:bookmarkStart w:id="377" w:name="_Toc532376133"/>
      <w:bookmarkStart w:id="378" w:name="_Toc532245605"/>
      <w:bookmarkStart w:id="379" w:name="_Toc532376134"/>
      <w:bookmarkStart w:id="380" w:name="_Toc532245606"/>
      <w:bookmarkStart w:id="381" w:name="_Toc532376135"/>
      <w:bookmarkStart w:id="382" w:name="_Toc532245607"/>
      <w:bookmarkStart w:id="383" w:name="_Toc532376136"/>
      <w:bookmarkStart w:id="384" w:name="_Toc532245608"/>
      <w:bookmarkStart w:id="385" w:name="_Toc532376137"/>
      <w:bookmarkStart w:id="386" w:name="_Toc532245609"/>
      <w:bookmarkStart w:id="387" w:name="_Toc532376138"/>
      <w:bookmarkStart w:id="388" w:name="_Ref532207638"/>
      <w:bookmarkStart w:id="389" w:name="_Toc534713875"/>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r>
        <w:lastRenderedPageBreak/>
        <w:t>: Change in costs between 2015 and 2017</w:t>
      </w:r>
      <w:bookmarkEnd w:id="388"/>
      <w:bookmarkEnd w:id="389"/>
      <w:r>
        <w:t xml:space="preserve"> </w:t>
      </w:r>
    </w:p>
    <w:tbl>
      <w:tblPr>
        <w:tblStyle w:val="Deloittetable"/>
        <w:tblW w:w="8647" w:type="dxa"/>
        <w:tblLayout w:type="fixed"/>
        <w:tblLook w:val="04A0" w:firstRow="1" w:lastRow="0" w:firstColumn="1" w:lastColumn="0" w:noHBand="0" w:noVBand="1"/>
      </w:tblPr>
      <w:tblGrid>
        <w:gridCol w:w="3279"/>
        <w:gridCol w:w="1725"/>
        <w:gridCol w:w="1897"/>
        <w:gridCol w:w="1746"/>
      </w:tblGrid>
      <w:tr w:rsidR="00700937" w14:paraId="19A8E33E" w14:textId="77777777" w:rsidTr="00EB4550">
        <w:trPr>
          <w:cnfStyle w:val="100000000000" w:firstRow="1" w:lastRow="0" w:firstColumn="0" w:lastColumn="0" w:oddVBand="0" w:evenVBand="0" w:oddHBand="0" w:evenHBand="0" w:firstRowFirstColumn="0" w:firstRowLastColumn="0" w:lastRowFirstColumn="0" w:lastRowLastColumn="0"/>
          <w:trHeight w:val="560"/>
        </w:trPr>
        <w:tc>
          <w:tcPr>
            <w:tcW w:w="3279" w:type="dxa"/>
          </w:tcPr>
          <w:p w14:paraId="2907F515" w14:textId="77777777" w:rsidR="00700937" w:rsidRPr="007E7352" w:rsidRDefault="00700937" w:rsidP="00D47D19">
            <w:pPr>
              <w:spacing w:after="0"/>
              <w:jc w:val="center"/>
              <w:rPr>
                <w:b/>
                <w:sz w:val="16"/>
              </w:rPr>
            </w:pPr>
            <w:r w:rsidRPr="007E7352">
              <w:rPr>
                <w:b/>
                <w:sz w:val="16"/>
                <w:lang w:eastAsia="en-AU"/>
              </w:rPr>
              <w:t>% growth 2015 to 2017</w:t>
            </w:r>
          </w:p>
        </w:tc>
        <w:tc>
          <w:tcPr>
            <w:tcW w:w="1725" w:type="dxa"/>
          </w:tcPr>
          <w:p w14:paraId="3151EB44" w14:textId="77777777" w:rsidR="00700937" w:rsidRPr="007E7352" w:rsidRDefault="00700937" w:rsidP="00D47D19">
            <w:pPr>
              <w:spacing w:after="0"/>
              <w:jc w:val="center"/>
              <w:rPr>
                <w:b/>
                <w:sz w:val="16"/>
              </w:rPr>
            </w:pPr>
            <w:r w:rsidRPr="007E7352">
              <w:rPr>
                <w:b/>
                <w:sz w:val="16"/>
                <w:lang w:eastAsia="en-AU"/>
              </w:rPr>
              <w:t>Common sample</w:t>
            </w:r>
            <w:r>
              <w:rPr>
                <w:b/>
                <w:sz w:val="16"/>
                <w:lang w:eastAsia="en-AU"/>
              </w:rPr>
              <w:t xml:space="preserve"> (17 universities)</w:t>
            </w:r>
          </w:p>
        </w:tc>
        <w:tc>
          <w:tcPr>
            <w:tcW w:w="1897" w:type="dxa"/>
          </w:tcPr>
          <w:p w14:paraId="2EBB51DE" w14:textId="77777777" w:rsidR="00C502EF" w:rsidRDefault="00700937" w:rsidP="00D47D19">
            <w:pPr>
              <w:spacing w:after="0"/>
              <w:jc w:val="center"/>
              <w:rPr>
                <w:b/>
                <w:sz w:val="16"/>
                <w:lang w:eastAsia="en-AU"/>
              </w:rPr>
            </w:pPr>
            <w:r w:rsidRPr="007E7352">
              <w:rPr>
                <w:b/>
                <w:sz w:val="16"/>
                <w:lang w:eastAsia="en-AU"/>
              </w:rPr>
              <w:t>Full sample</w:t>
            </w:r>
            <w:r>
              <w:rPr>
                <w:b/>
                <w:sz w:val="16"/>
                <w:lang w:eastAsia="en-AU"/>
              </w:rPr>
              <w:t xml:space="preserve"> </w:t>
            </w:r>
          </w:p>
          <w:p w14:paraId="63407408" w14:textId="77777777" w:rsidR="00700937" w:rsidRPr="007E7352" w:rsidRDefault="00700937" w:rsidP="00D47D19">
            <w:pPr>
              <w:spacing w:after="0"/>
              <w:jc w:val="center"/>
              <w:rPr>
                <w:b/>
                <w:sz w:val="16"/>
              </w:rPr>
            </w:pPr>
            <w:r>
              <w:rPr>
                <w:b/>
                <w:sz w:val="16"/>
                <w:lang w:eastAsia="en-AU"/>
              </w:rPr>
              <w:t>(25 universities)</w:t>
            </w:r>
          </w:p>
        </w:tc>
        <w:tc>
          <w:tcPr>
            <w:tcW w:w="1746" w:type="dxa"/>
          </w:tcPr>
          <w:p w14:paraId="3AB05490" w14:textId="77777777" w:rsidR="00700937" w:rsidRPr="007E7352" w:rsidRDefault="00700937" w:rsidP="00D47D19">
            <w:pPr>
              <w:spacing w:after="0"/>
              <w:jc w:val="center"/>
              <w:rPr>
                <w:b/>
                <w:sz w:val="16"/>
                <w:lang w:eastAsia="en-AU"/>
              </w:rPr>
            </w:pPr>
            <w:r>
              <w:rPr>
                <w:b/>
                <w:sz w:val="16"/>
                <w:lang w:eastAsia="en-AU"/>
              </w:rPr>
              <w:t>All universities</w:t>
            </w:r>
          </w:p>
        </w:tc>
      </w:tr>
      <w:tr w:rsidR="0038428B" w14:paraId="432C7861" w14:textId="77777777" w:rsidTr="00146B33">
        <w:trPr>
          <w:trHeight w:val="373"/>
        </w:trPr>
        <w:tc>
          <w:tcPr>
            <w:tcW w:w="3279" w:type="dxa"/>
          </w:tcPr>
          <w:p w14:paraId="7F228D92" w14:textId="77777777" w:rsidR="0038428B" w:rsidRPr="007E7352" w:rsidRDefault="0038428B" w:rsidP="0038428B">
            <w:pPr>
              <w:spacing w:after="0"/>
              <w:rPr>
                <w:sz w:val="16"/>
              </w:rPr>
            </w:pPr>
            <w:r>
              <w:rPr>
                <w:sz w:val="16"/>
                <w:lang w:eastAsia="en-AU"/>
              </w:rPr>
              <w:t>Teaching c</w:t>
            </w:r>
            <w:r w:rsidRPr="007E7352">
              <w:rPr>
                <w:sz w:val="16"/>
                <w:lang w:eastAsia="en-AU"/>
              </w:rPr>
              <w:t>ost per EFTSL - all levels</w:t>
            </w:r>
          </w:p>
        </w:tc>
        <w:tc>
          <w:tcPr>
            <w:tcW w:w="1725" w:type="dxa"/>
            <w:vAlign w:val="center"/>
          </w:tcPr>
          <w:p w14:paraId="6B9E2840" w14:textId="51C75CCB" w:rsidR="0038428B" w:rsidRPr="007E7352" w:rsidRDefault="0038428B" w:rsidP="005C4763">
            <w:pPr>
              <w:spacing w:after="0"/>
              <w:jc w:val="center"/>
              <w:rPr>
                <w:sz w:val="16"/>
              </w:rPr>
            </w:pPr>
            <w:r>
              <w:rPr>
                <w:rFonts w:cs="Arial"/>
                <w:sz w:val="16"/>
                <w:szCs w:val="16"/>
              </w:rPr>
              <w:t>5.9%</w:t>
            </w:r>
          </w:p>
        </w:tc>
        <w:tc>
          <w:tcPr>
            <w:tcW w:w="1897" w:type="dxa"/>
            <w:vAlign w:val="center"/>
          </w:tcPr>
          <w:p w14:paraId="2D7B162A" w14:textId="683FBC13" w:rsidR="0038428B" w:rsidRPr="007E7352" w:rsidRDefault="0038428B">
            <w:pPr>
              <w:spacing w:after="0"/>
              <w:jc w:val="center"/>
              <w:rPr>
                <w:sz w:val="16"/>
              </w:rPr>
            </w:pPr>
            <w:r>
              <w:rPr>
                <w:rFonts w:cs="Arial"/>
                <w:sz w:val="16"/>
                <w:szCs w:val="16"/>
              </w:rPr>
              <w:t>7.9%</w:t>
            </w:r>
          </w:p>
        </w:tc>
        <w:tc>
          <w:tcPr>
            <w:tcW w:w="1746" w:type="dxa"/>
          </w:tcPr>
          <w:p w14:paraId="660E06EC" w14:textId="77777777" w:rsidR="0038428B" w:rsidRPr="007E7352" w:rsidRDefault="0038428B" w:rsidP="0038428B">
            <w:pPr>
              <w:spacing w:after="0"/>
              <w:jc w:val="center"/>
              <w:rPr>
                <w:sz w:val="16"/>
                <w:lang w:eastAsia="en-AU"/>
              </w:rPr>
            </w:pPr>
          </w:p>
        </w:tc>
      </w:tr>
      <w:tr w:rsidR="0038428B" w14:paraId="013B8B9E" w14:textId="77777777" w:rsidTr="00146B33">
        <w:trPr>
          <w:trHeight w:val="383"/>
        </w:trPr>
        <w:tc>
          <w:tcPr>
            <w:tcW w:w="3279" w:type="dxa"/>
          </w:tcPr>
          <w:p w14:paraId="1C13099E" w14:textId="77777777" w:rsidR="0038428B" w:rsidRPr="007E7352" w:rsidRDefault="0038428B" w:rsidP="0038428B">
            <w:pPr>
              <w:spacing w:after="0"/>
              <w:rPr>
                <w:sz w:val="16"/>
              </w:rPr>
            </w:pPr>
            <w:r>
              <w:rPr>
                <w:sz w:val="16"/>
                <w:lang w:eastAsia="en-AU"/>
              </w:rPr>
              <w:t>Teaching c</w:t>
            </w:r>
            <w:r w:rsidRPr="007E7352">
              <w:rPr>
                <w:sz w:val="16"/>
                <w:lang w:eastAsia="en-AU"/>
              </w:rPr>
              <w:t>ost per EFTSL - bachelor</w:t>
            </w:r>
          </w:p>
        </w:tc>
        <w:tc>
          <w:tcPr>
            <w:tcW w:w="1725" w:type="dxa"/>
            <w:vAlign w:val="center"/>
          </w:tcPr>
          <w:p w14:paraId="2164A6DA" w14:textId="715EA256" w:rsidR="0038428B" w:rsidRPr="007E7352" w:rsidRDefault="0038428B" w:rsidP="005C4763">
            <w:pPr>
              <w:spacing w:after="0"/>
              <w:jc w:val="center"/>
              <w:rPr>
                <w:sz w:val="16"/>
              </w:rPr>
            </w:pPr>
            <w:r>
              <w:rPr>
                <w:rFonts w:cs="Arial"/>
                <w:sz w:val="16"/>
                <w:szCs w:val="16"/>
              </w:rPr>
              <w:t>4.6%</w:t>
            </w:r>
          </w:p>
        </w:tc>
        <w:tc>
          <w:tcPr>
            <w:tcW w:w="1897" w:type="dxa"/>
            <w:vAlign w:val="center"/>
          </w:tcPr>
          <w:p w14:paraId="2D61B25E" w14:textId="5686BFFE" w:rsidR="0038428B" w:rsidRPr="007E7352" w:rsidRDefault="0038428B">
            <w:pPr>
              <w:spacing w:after="0"/>
              <w:jc w:val="center"/>
              <w:rPr>
                <w:sz w:val="16"/>
              </w:rPr>
            </w:pPr>
            <w:r>
              <w:rPr>
                <w:rFonts w:cs="Arial"/>
                <w:sz w:val="16"/>
                <w:szCs w:val="16"/>
              </w:rPr>
              <w:t>6.9%</w:t>
            </w:r>
          </w:p>
        </w:tc>
        <w:tc>
          <w:tcPr>
            <w:tcW w:w="1746" w:type="dxa"/>
          </w:tcPr>
          <w:p w14:paraId="18048A55" w14:textId="77777777" w:rsidR="0038428B" w:rsidRPr="007E7352" w:rsidRDefault="0038428B" w:rsidP="0038428B">
            <w:pPr>
              <w:spacing w:after="0"/>
              <w:jc w:val="center"/>
              <w:rPr>
                <w:sz w:val="16"/>
                <w:lang w:eastAsia="en-AU"/>
              </w:rPr>
            </w:pPr>
          </w:p>
        </w:tc>
      </w:tr>
      <w:tr w:rsidR="0038428B" w14:paraId="49FBEAD0" w14:textId="77777777" w:rsidTr="00146B33">
        <w:trPr>
          <w:trHeight w:val="373"/>
        </w:trPr>
        <w:tc>
          <w:tcPr>
            <w:tcW w:w="3279" w:type="dxa"/>
          </w:tcPr>
          <w:p w14:paraId="6467CA5E" w14:textId="77777777" w:rsidR="0038428B" w:rsidRPr="007E7352" w:rsidRDefault="0038428B" w:rsidP="0038428B">
            <w:pPr>
              <w:spacing w:after="0"/>
              <w:rPr>
                <w:sz w:val="16"/>
              </w:rPr>
            </w:pPr>
            <w:r>
              <w:rPr>
                <w:sz w:val="16"/>
                <w:lang w:eastAsia="en-AU"/>
              </w:rPr>
              <w:t>Teaching c</w:t>
            </w:r>
            <w:r w:rsidRPr="007E7352">
              <w:rPr>
                <w:sz w:val="16"/>
                <w:lang w:eastAsia="en-AU"/>
              </w:rPr>
              <w:t>ost per EFTSL - postgraduate</w:t>
            </w:r>
          </w:p>
        </w:tc>
        <w:tc>
          <w:tcPr>
            <w:tcW w:w="1725" w:type="dxa"/>
            <w:vAlign w:val="center"/>
          </w:tcPr>
          <w:p w14:paraId="7CCB6B29" w14:textId="262F0F9D" w:rsidR="0038428B" w:rsidRPr="007E7352" w:rsidRDefault="0038428B" w:rsidP="005C4763">
            <w:pPr>
              <w:spacing w:after="0"/>
              <w:jc w:val="center"/>
              <w:rPr>
                <w:sz w:val="16"/>
              </w:rPr>
            </w:pPr>
            <w:r>
              <w:rPr>
                <w:rFonts w:cs="Arial"/>
                <w:sz w:val="16"/>
                <w:szCs w:val="16"/>
              </w:rPr>
              <w:t>6.4%</w:t>
            </w:r>
          </w:p>
        </w:tc>
        <w:tc>
          <w:tcPr>
            <w:tcW w:w="1897" w:type="dxa"/>
            <w:vAlign w:val="center"/>
          </w:tcPr>
          <w:p w14:paraId="22DB0898" w14:textId="7676C197" w:rsidR="0038428B" w:rsidRPr="007E7352" w:rsidRDefault="0038428B">
            <w:pPr>
              <w:spacing w:after="0"/>
              <w:jc w:val="center"/>
              <w:rPr>
                <w:sz w:val="16"/>
              </w:rPr>
            </w:pPr>
            <w:r>
              <w:rPr>
                <w:rFonts w:cs="Arial"/>
                <w:sz w:val="16"/>
                <w:szCs w:val="16"/>
              </w:rPr>
              <w:t>8.2%</w:t>
            </w:r>
          </w:p>
        </w:tc>
        <w:tc>
          <w:tcPr>
            <w:tcW w:w="1746" w:type="dxa"/>
          </w:tcPr>
          <w:p w14:paraId="47E57D12" w14:textId="77777777" w:rsidR="0038428B" w:rsidRPr="007E7352" w:rsidRDefault="0038428B" w:rsidP="0038428B">
            <w:pPr>
              <w:spacing w:after="0"/>
              <w:jc w:val="center"/>
              <w:rPr>
                <w:sz w:val="16"/>
                <w:lang w:eastAsia="en-AU"/>
              </w:rPr>
            </w:pPr>
          </w:p>
        </w:tc>
      </w:tr>
      <w:tr w:rsidR="0075608C" w14:paraId="6C6C81FF" w14:textId="77777777" w:rsidTr="00EB4550">
        <w:trPr>
          <w:trHeight w:val="326"/>
        </w:trPr>
        <w:tc>
          <w:tcPr>
            <w:tcW w:w="3279" w:type="dxa"/>
          </w:tcPr>
          <w:p w14:paraId="606C0E25" w14:textId="77777777" w:rsidR="0075608C" w:rsidRPr="007E7352" w:rsidRDefault="0075608C" w:rsidP="0075608C">
            <w:pPr>
              <w:spacing w:after="0"/>
              <w:rPr>
                <w:sz w:val="16"/>
                <w:lang w:eastAsia="en-AU"/>
              </w:rPr>
            </w:pPr>
            <w:r>
              <w:rPr>
                <w:sz w:val="16"/>
                <w:lang w:eastAsia="en-AU"/>
              </w:rPr>
              <w:t xml:space="preserve">Total </w:t>
            </w:r>
            <w:r w:rsidRPr="007E7352">
              <w:rPr>
                <w:sz w:val="16"/>
                <w:lang w:eastAsia="en-AU"/>
              </w:rPr>
              <w:t>EFTSL</w:t>
            </w:r>
          </w:p>
        </w:tc>
        <w:tc>
          <w:tcPr>
            <w:tcW w:w="1725" w:type="dxa"/>
          </w:tcPr>
          <w:p w14:paraId="2C678074" w14:textId="77777777" w:rsidR="0075608C" w:rsidRPr="007E7352" w:rsidRDefault="0075608C" w:rsidP="0075608C">
            <w:pPr>
              <w:spacing w:after="0"/>
              <w:jc w:val="center"/>
              <w:rPr>
                <w:sz w:val="16"/>
                <w:lang w:eastAsia="en-AU"/>
              </w:rPr>
            </w:pPr>
            <w:r>
              <w:rPr>
                <w:rFonts w:cs="Arial"/>
                <w:sz w:val="16"/>
                <w:szCs w:val="16"/>
              </w:rPr>
              <w:t>4.4%</w:t>
            </w:r>
          </w:p>
        </w:tc>
        <w:tc>
          <w:tcPr>
            <w:tcW w:w="1897" w:type="dxa"/>
          </w:tcPr>
          <w:p w14:paraId="19B7A1E8" w14:textId="77777777" w:rsidR="0075608C" w:rsidRPr="007E7352" w:rsidRDefault="0075608C" w:rsidP="0075608C">
            <w:pPr>
              <w:spacing w:after="0"/>
              <w:jc w:val="center"/>
              <w:rPr>
                <w:sz w:val="16"/>
                <w:lang w:eastAsia="en-AU"/>
              </w:rPr>
            </w:pPr>
            <w:r>
              <w:rPr>
                <w:rFonts w:cs="Arial"/>
                <w:sz w:val="16"/>
                <w:szCs w:val="16"/>
              </w:rPr>
              <w:t>3.0%</w:t>
            </w:r>
          </w:p>
        </w:tc>
        <w:tc>
          <w:tcPr>
            <w:tcW w:w="1746" w:type="dxa"/>
          </w:tcPr>
          <w:p w14:paraId="34CB0ADD" w14:textId="77777777" w:rsidR="0075608C" w:rsidRPr="007E7352" w:rsidRDefault="0075608C" w:rsidP="0075608C">
            <w:pPr>
              <w:spacing w:after="0"/>
              <w:jc w:val="center"/>
              <w:rPr>
                <w:sz w:val="16"/>
                <w:lang w:eastAsia="en-AU"/>
              </w:rPr>
            </w:pPr>
            <w:r>
              <w:rPr>
                <w:rFonts w:cs="Arial"/>
                <w:sz w:val="16"/>
                <w:szCs w:val="16"/>
              </w:rPr>
              <w:t>4.7%</w:t>
            </w:r>
          </w:p>
        </w:tc>
      </w:tr>
      <w:tr w:rsidR="0075608C" w14:paraId="5035FCC1" w14:textId="77777777" w:rsidTr="00EB4550">
        <w:trPr>
          <w:trHeight w:val="383"/>
        </w:trPr>
        <w:tc>
          <w:tcPr>
            <w:tcW w:w="3279" w:type="dxa"/>
          </w:tcPr>
          <w:p w14:paraId="19C3F8F1" w14:textId="77777777" w:rsidR="0075608C" w:rsidRPr="007E7352" w:rsidRDefault="0075608C" w:rsidP="0075608C">
            <w:pPr>
              <w:spacing w:after="0"/>
              <w:rPr>
                <w:sz w:val="16"/>
                <w:lang w:eastAsia="en-AU"/>
              </w:rPr>
            </w:pPr>
            <w:r>
              <w:rPr>
                <w:sz w:val="16"/>
                <w:lang w:eastAsia="en-AU"/>
              </w:rPr>
              <w:t>C</w:t>
            </w:r>
            <w:r w:rsidRPr="007E7352">
              <w:rPr>
                <w:sz w:val="16"/>
                <w:lang w:eastAsia="en-AU"/>
              </w:rPr>
              <w:t>ontinuing expenditure per EFTSL</w:t>
            </w:r>
          </w:p>
        </w:tc>
        <w:tc>
          <w:tcPr>
            <w:tcW w:w="1725" w:type="dxa"/>
          </w:tcPr>
          <w:p w14:paraId="0E31FF35" w14:textId="77777777" w:rsidR="0075608C" w:rsidRPr="007E7352" w:rsidRDefault="0075608C" w:rsidP="0075608C">
            <w:pPr>
              <w:spacing w:after="0"/>
              <w:jc w:val="center"/>
              <w:rPr>
                <w:sz w:val="16"/>
                <w:lang w:eastAsia="en-AU"/>
              </w:rPr>
            </w:pPr>
            <w:r>
              <w:rPr>
                <w:rFonts w:cs="Arial"/>
                <w:sz w:val="16"/>
                <w:szCs w:val="16"/>
              </w:rPr>
              <w:t>8.2%</w:t>
            </w:r>
          </w:p>
        </w:tc>
        <w:tc>
          <w:tcPr>
            <w:tcW w:w="1897" w:type="dxa"/>
          </w:tcPr>
          <w:p w14:paraId="2F185CF0" w14:textId="77777777" w:rsidR="0075608C" w:rsidRPr="007E7352" w:rsidRDefault="0075608C" w:rsidP="0075608C">
            <w:pPr>
              <w:spacing w:after="0"/>
              <w:jc w:val="center"/>
              <w:rPr>
                <w:sz w:val="16"/>
                <w:lang w:eastAsia="en-AU"/>
              </w:rPr>
            </w:pPr>
            <w:r>
              <w:rPr>
                <w:rFonts w:cs="Arial"/>
                <w:sz w:val="16"/>
                <w:szCs w:val="16"/>
              </w:rPr>
              <w:t>7.4%</w:t>
            </w:r>
          </w:p>
        </w:tc>
        <w:tc>
          <w:tcPr>
            <w:tcW w:w="1746" w:type="dxa"/>
          </w:tcPr>
          <w:p w14:paraId="54B21E01" w14:textId="77777777" w:rsidR="0075608C" w:rsidRPr="007E7352" w:rsidRDefault="0075608C" w:rsidP="0075608C">
            <w:pPr>
              <w:spacing w:after="0"/>
              <w:jc w:val="center"/>
              <w:rPr>
                <w:sz w:val="16"/>
                <w:lang w:eastAsia="en-AU"/>
              </w:rPr>
            </w:pPr>
            <w:r>
              <w:rPr>
                <w:rFonts w:cs="Arial"/>
                <w:sz w:val="16"/>
                <w:szCs w:val="16"/>
              </w:rPr>
              <w:t>6.7%</w:t>
            </w:r>
          </w:p>
        </w:tc>
      </w:tr>
      <w:tr w:rsidR="00700937" w14:paraId="7FE4EDFB" w14:textId="77777777" w:rsidTr="00EB4550">
        <w:trPr>
          <w:trHeight w:val="381"/>
        </w:trPr>
        <w:tc>
          <w:tcPr>
            <w:tcW w:w="3279" w:type="dxa"/>
          </w:tcPr>
          <w:p w14:paraId="422E63A3" w14:textId="77777777" w:rsidR="00700937" w:rsidRPr="007E7352" w:rsidRDefault="00700937" w:rsidP="00B064F6">
            <w:pPr>
              <w:spacing w:after="0"/>
              <w:rPr>
                <w:sz w:val="16"/>
                <w:lang w:eastAsia="en-AU"/>
              </w:rPr>
            </w:pPr>
            <w:r>
              <w:rPr>
                <w:sz w:val="16"/>
                <w:lang w:eastAsia="en-AU"/>
              </w:rPr>
              <w:t>Base funding (</w:t>
            </w:r>
            <w:r w:rsidR="00B064F6">
              <w:rPr>
                <w:sz w:val="16"/>
                <w:lang w:eastAsia="en-AU"/>
              </w:rPr>
              <w:t xml:space="preserve">CGS+SCA </w:t>
            </w:r>
            <w:r>
              <w:rPr>
                <w:sz w:val="16"/>
                <w:lang w:eastAsia="en-AU"/>
              </w:rPr>
              <w:t>per EFTSL)</w:t>
            </w:r>
          </w:p>
        </w:tc>
        <w:tc>
          <w:tcPr>
            <w:tcW w:w="1725" w:type="dxa"/>
          </w:tcPr>
          <w:p w14:paraId="08B130CC" w14:textId="77777777" w:rsidR="00700937" w:rsidRPr="007E7352" w:rsidRDefault="00700937" w:rsidP="00D47D19">
            <w:pPr>
              <w:spacing w:after="0"/>
              <w:jc w:val="center"/>
              <w:rPr>
                <w:sz w:val="16"/>
                <w:lang w:eastAsia="en-AU"/>
              </w:rPr>
            </w:pPr>
            <w:r w:rsidRPr="007E7352">
              <w:rPr>
                <w:sz w:val="16"/>
                <w:lang w:eastAsia="en-AU"/>
              </w:rPr>
              <w:t>3.4%</w:t>
            </w:r>
          </w:p>
        </w:tc>
        <w:tc>
          <w:tcPr>
            <w:tcW w:w="1897" w:type="dxa"/>
          </w:tcPr>
          <w:p w14:paraId="10A9A7A7" w14:textId="77777777" w:rsidR="00700937" w:rsidRPr="007E7352" w:rsidRDefault="00700937" w:rsidP="00D47D19">
            <w:pPr>
              <w:spacing w:after="0"/>
              <w:jc w:val="center"/>
              <w:rPr>
                <w:sz w:val="16"/>
                <w:lang w:eastAsia="en-AU"/>
              </w:rPr>
            </w:pPr>
            <w:r w:rsidRPr="007E7352">
              <w:rPr>
                <w:sz w:val="16"/>
                <w:lang w:eastAsia="en-AU"/>
              </w:rPr>
              <w:t>3.3%</w:t>
            </w:r>
          </w:p>
        </w:tc>
        <w:tc>
          <w:tcPr>
            <w:tcW w:w="1746" w:type="dxa"/>
          </w:tcPr>
          <w:p w14:paraId="57916538" w14:textId="77777777" w:rsidR="00700937" w:rsidRPr="007E7352" w:rsidRDefault="00700937" w:rsidP="00D47D19">
            <w:pPr>
              <w:spacing w:after="0"/>
              <w:jc w:val="center"/>
              <w:rPr>
                <w:sz w:val="16"/>
                <w:lang w:eastAsia="en-AU"/>
              </w:rPr>
            </w:pPr>
          </w:p>
        </w:tc>
      </w:tr>
    </w:tbl>
    <w:p w14:paraId="0C8AB1D2" w14:textId="77777777" w:rsidR="00687024" w:rsidRDefault="00541F72" w:rsidP="005D3384">
      <w:pPr>
        <w:pStyle w:val="Source"/>
        <w:spacing w:before="0"/>
      </w:pPr>
      <w:r>
        <w:t xml:space="preserve">Source: Deloitte Access Economics and Department of Education and Training. </w:t>
      </w:r>
    </w:p>
    <w:p w14:paraId="3FD46DAD" w14:textId="693513FF" w:rsidR="001F3FB2" w:rsidRDefault="001F3FB2" w:rsidP="00687024">
      <w:r>
        <w:t xml:space="preserve">The results </w:t>
      </w:r>
      <w:r w:rsidR="008F71F5">
        <w:t>presented in</w:t>
      </w:r>
      <w:r>
        <w:t xml:space="preserve"> </w:t>
      </w:r>
      <w:r w:rsidR="0074548E">
        <w:fldChar w:fldCharType="begin"/>
      </w:r>
      <w:r w:rsidR="0074548E">
        <w:instrText xml:space="preserve"> REF _Ref534711638 \r \h </w:instrText>
      </w:r>
      <w:r w:rsidR="0074548E">
        <w:fldChar w:fldCharType="separate"/>
      </w:r>
      <w:r w:rsidR="00F47C96">
        <w:t>Table 2.2</w:t>
      </w:r>
      <w:r w:rsidR="0074548E">
        <w:fldChar w:fldCharType="end"/>
      </w:r>
      <w:r w:rsidR="0074548E">
        <w:t xml:space="preserve"> </w:t>
      </w:r>
      <w:r>
        <w:t xml:space="preserve">indicate that between 2015 and 2017, total teaching costs for the common sample grew by 3.1% annually or just below the 4% increase in total university costs per EFTSL for the common sample. By comparison, over the period from 2010-2015, teaching costs grew by 1.9% per EFTSL while total university costs per EFTSL grew by approximately 3%. These figures suggest that teaching costs between 2015 and 2017 have grown at a rate that is closer to the rate of growth in overall university expenses than between 2010 to 2015. </w:t>
      </w:r>
    </w:p>
    <w:p w14:paraId="53805C04" w14:textId="77777777" w:rsidR="001F3FB2" w:rsidRDefault="001F3FB2" w:rsidP="001F3FB2">
      <w:r>
        <w:t xml:space="preserve">A number of possible </w:t>
      </w:r>
      <w:r w:rsidR="008F71F5">
        <w:t xml:space="preserve">factors </w:t>
      </w:r>
      <w:r>
        <w:t xml:space="preserve">were </w:t>
      </w:r>
      <w:r w:rsidR="008F71F5">
        <w:t>explored that might have driven</w:t>
      </w:r>
      <w:r>
        <w:t xml:space="preserve"> growth in teaching costs over the last two years. It </w:t>
      </w:r>
      <w:r w:rsidR="008F71F5">
        <w:t>was possible</w:t>
      </w:r>
      <w:r>
        <w:t xml:space="preserve"> that the growth in staff costs may have been the result of a lagged response to faster growth in student load over recent years. </w:t>
      </w:r>
      <w:r w:rsidRPr="00C207AA">
        <w:t>However</w:t>
      </w:r>
      <w:r w:rsidRPr="006A39D8">
        <w:t xml:space="preserve">, </w:t>
      </w:r>
      <w:r w:rsidR="00A97F13">
        <w:t>Chart 2.18</w:t>
      </w:r>
      <w:r w:rsidRPr="00C207AA">
        <w:t xml:space="preserve"> highlights</w:t>
      </w:r>
      <w:r>
        <w:t xml:space="preserve"> that EFTSL growth has remained relatively steady since 2011, and remains well below the 2009 peak.</w:t>
      </w:r>
    </w:p>
    <w:p w14:paraId="7E56DAF1" w14:textId="77777777" w:rsidR="001F3FB2" w:rsidRDefault="001F3FB2" w:rsidP="001F3FB2">
      <w:pPr>
        <w:pStyle w:val="CaptionChart"/>
      </w:pPr>
      <w:bookmarkStart w:id="390" w:name="_Toc534713841"/>
      <w:r>
        <w:t>: EFTSL growth, common sample, 2007 to 2017</w:t>
      </w:r>
      <w:bookmarkEnd w:id="390"/>
      <w:r>
        <w:t xml:space="preserve"> </w:t>
      </w:r>
    </w:p>
    <w:p w14:paraId="651A596B" w14:textId="77777777" w:rsidR="001F3FB2" w:rsidRDefault="001F3FB2" w:rsidP="001F3FB2">
      <w:r>
        <w:rPr>
          <w:noProof/>
          <w:lang w:eastAsia="en-AU"/>
        </w:rPr>
        <w:drawing>
          <wp:inline distT="0" distB="0" distL="0" distR="0" wp14:anchorId="5E3F1CDE" wp14:editId="36434C49">
            <wp:extent cx="4301490" cy="2580640"/>
            <wp:effectExtent l="0" t="0" r="381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EE5401A" w14:textId="77777777" w:rsidR="001F3FB2" w:rsidRDefault="001F3FB2" w:rsidP="001F3FB2">
      <w:pPr>
        <w:pStyle w:val="Source"/>
        <w:spacing w:after="0"/>
      </w:pPr>
      <w:r>
        <w:t>Note: EFTSL data for all students (domestic and overseas). Excludes postgraduate research, enabling and non-award courses.</w:t>
      </w:r>
    </w:p>
    <w:p w14:paraId="7BD9044D" w14:textId="77777777" w:rsidR="001F3FB2" w:rsidRDefault="001F3FB2" w:rsidP="001F3FB2">
      <w:pPr>
        <w:pStyle w:val="Source"/>
        <w:spacing w:before="0"/>
      </w:pPr>
      <w:r>
        <w:t>Source: Department of Education and Training.</w:t>
      </w:r>
    </w:p>
    <w:p w14:paraId="4F86FC87" w14:textId="0D2856A9" w:rsidR="00687024" w:rsidRDefault="001F3FB2" w:rsidP="00687024">
      <w:r>
        <w:t xml:space="preserve">To further examine potential reasons for the increased growth in teaching costs since 2015, more detailed analysis of individual cost line items was undertaken. </w:t>
      </w:r>
      <w:r w:rsidR="002D3041">
        <w:fldChar w:fldCharType="begin"/>
      </w:r>
      <w:r w:rsidR="002D3041">
        <w:instrText xml:space="preserve"> REF _Ref531361413 \r \h </w:instrText>
      </w:r>
      <w:r w:rsidR="002D3041">
        <w:fldChar w:fldCharType="separate"/>
      </w:r>
      <w:r w:rsidR="00F47C96">
        <w:t>Table 2.4</w:t>
      </w:r>
      <w:r w:rsidR="002D3041">
        <w:fldChar w:fldCharType="end"/>
      </w:r>
      <w:r w:rsidR="00687024">
        <w:t xml:space="preserve"> compares the growth in </w:t>
      </w:r>
      <w:r w:rsidR="00687024">
        <w:lastRenderedPageBreak/>
        <w:t>cost per EFTSL since 2015 for key line items included in the Transparent Costing Worksheet. Among the common sample of universities</w:t>
      </w:r>
      <w:r w:rsidR="00785F53">
        <w:t>,</w:t>
      </w:r>
      <w:r w:rsidR="00687024">
        <w:t xml:space="preserve"> staff costs attributable to teaching and scholarship grew by 10.1%</w:t>
      </w:r>
      <w:r w:rsidR="0012183F">
        <w:t xml:space="preserve"> per EFTSL</w:t>
      </w:r>
      <w:r w:rsidR="00687024">
        <w:t xml:space="preserve">, </w:t>
      </w:r>
      <w:r w:rsidR="008F71F5">
        <w:t>driven by increases</w:t>
      </w:r>
      <w:r w:rsidR="00687024">
        <w:t xml:space="preserve"> in academic staff costs. </w:t>
      </w:r>
      <w:r w:rsidR="00200234">
        <w:t xml:space="preserve">There was a degree of variation in individual results </w:t>
      </w:r>
      <w:r w:rsidR="008F71F5">
        <w:t xml:space="preserve">across </w:t>
      </w:r>
      <w:r w:rsidR="00200234">
        <w:t>universities, with five institutions reporting</w:t>
      </w:r>
      <w:r w:rsidR="00687024">
        <w:t xml:space="preserve"> growth in teaching and scholarship staff costs of </w:t>
      </w:r>
      <w:r w:rsidR="00200234">
        <w:t xml:space="preserve">greater than 20%.  </w:t>
      </w:r>
    </w:p>
    <w:p w14:paraId="089298F1" w14:textId="77777777" w:rsidR="00687024" w:rsidRDefault="00687024" w:rsidP="00687024">
      <w:r>
        <w:t>Non-staff costs attributable to teaching and scholarship grew at a comparatively slower rate, increasing by 1.4%</w:t>
      </w:r>
      <w:r w:rsidR="00200234">
        <w:t xml:space="preserve"> over the same period. Eight universities reported a decline in non-staff costs attributable to teaching and scholarship.  </w:t>
      </w:r>
    </w:p>
    <w:p w14:paraId="7B021D7B" w14:textId="644262B7" w:rsidR="00541F72" w:rsidRDefault="00A36EDB" w:rsidP="00A36EDB">
      <w:r>
        <w:fldChar w:fldCharType="begin"/>
      </w:r>
      <w:r>
        <w:instrText xml:space="preserve"> REF _Ref531361413 \r \h </w:instrText>
      </w:r>
      <w:r>
        <w:fldChar w:fldCharType="separate"/>
      </w:r>
      <w:r w:rsidR="00F47C96">
        <w:t>Table 2.4</w:t>
      </w:r>
      <w:r>
        <w:fldChar w:fldCharType="end"/>
      </w:r>
      <w:r>
        <w:t xml:space="preserve"> also benchmarks the growth in reported teaching and scholarship costs against all university costs (including research). Although growth in total teaching and scholarship costs (6.3%) is in-line with growth in all university costs (</w:t>
      </w:r>
      <w:r w:rsidR="005719A7">
        <w:t>teaching, scholarship and research</w:t>
      </w:r>
      <w:r w:rsidR="002D3041">
        <w:t xml:space="preserve">, </w:t>
      </w:r>
      <w:r w:rsidR="0075608C">
        <w:t>8.2</w:t>
      </w:r>
      <w:r>
        <w:t>%), universities have reported proportionally high growth in staff</w:t>
      </w:r>
      <w:r w:rsidR="00F74D32">
        <w:t>-related</w:t>
      </w:r>
      <w:r>
        <w:t xml:space="preserve"> teaching and scholarship costs compared to non-staff costs. </w:t>
      </w:r>
    </w:p>
    <w:p w14:paraId="1B31DFE9" w14:textId="77777777" w:rsidR="00687024" w:rsidRDefault="00687024" w:rsidP="00687024">
      <w:pPr>
        <w:pStyle w:val="CaptionTable"/>
      </w:pPr>
      <w:bookmarkStart w:id="391" w:name="_Ref531361413"/>
      <w:bookmarkStart w:id="392" w:name="_Toc534713876"/>
      <w:r>
        <w:t>: Change in costs per EFTSL between 2015 and 2017, common sample, by line item</w:t>
      </w:r>
      <w:bookmarkEnd w:id="391"/>
      <w:bookmarkEnd w:id="392"/>
    </w:p>
    <w:tbl>
      <w:tblPr>
        <w:tblStyle w:val="Deloittetable"/>
        <w:tblW w:w="7484" w:type="dxa"/>
        <w:tblLayout w:type="fixed"/>
        <w:tblLook w:val="04A0" w:firstRow="1" w:lastRow="0" w:firstColumn="1" w:lastColumn="0" w:noHBand="0" w:noVBand="1"/>
      </w:tblPr>
      <w:tblGrid>
        <w:gridCol w:w="3402"/>
        <w:gridCol w:w="2041"/>
        <w:gridCol w:w="2041"/>
      </w:tblGrid>
      <w:tr w:rsidR="00687024" w14:paraId="5EFB1E25" w14:textId="77777777" w:rsidTr="00472731">
        <w:trPr>
          <w:cnfStyle w:val="100000000000" w:firstRow="1" w:lastRow="0" w:firstColumn="0" w:lastColumn="0" w:oddVBand="0" w:evenVBand="0" w:oddHBand="0" w:evenHBand="0" w:firstRowFirstColumn="0" w:firstRowLastColumn="0" w:lastRowFirstColumn="0" w:lastRowLastColumn="0"/>
        </w:trPr>
        <w:tc>
          <w:tcPr>
            <w:tcW w:w="3402" w:type="dxa"/>
          </w:tcPr>
          <w:p w14:paraId="6367BA98" w14:textId="77777777" w:rsidR="00687024" w:rsidRPr="007E7352" w:rsidRDefault="00687024" w:rsidP="00A4300D">
            <w:pPr>
              <w:spacing w:after="0"/>
              <w:jc w:val="center"/>
              <w:rPr>
                <w:b/>
                <w:sz w:val="16"/>
              </w:rPr>
            </w:pPr>
          </w:p>
        </w:tc>
        <w:tc>
          <w:tcPr>
            <w:tcW w:w="2041" w:type="dxa"/>
          </w:tcPr>
          <w:p w14:paraId="1D6E47F7" w14:textId="77777777" w:rsidR="00687024" w:rsidRPr="007E7352" w:rsidRDefault="00687024" w:rsidP="00A4300D">
            <w:pPr>
              <w:spacing w:after="0"/>
              <w:jc w:val="center"/>
              <w:rPr>
                <w:b/>
                <w:sz w:val="16"/>
              </w:rPr>
            </w:pPr>
            <w:r>
              <w:rPr>
                <w:b/>
                <w:sz w:val="16"/>
                <w:lang w:eastAsia="en-AU"/>
              </w:rPr>
              <w:t>Teaching and scholarship costs</w:t>
            </w:r>
          </w:p>
        </w:tc>
        <w:tc>
          <w:tcPr>
            <w:tcW w:w="2041" w:type="dxa"/>
          </w:tcPr>
          <w:p w14:paraId="2ACB940A" w14:textId="77777777" w:rsidR="00687024" w:rsidRPr="007E7352" w:rsidRDefault="00687024" w:rsidP="00737293">
            <w:pPr>
              <w:spacing w:after="0"/>
              <w:jc w:val="center"/>
              <w:rPr>
                <w:b/>
                <w:sz w:val="16"/>
              </w:rPr>
            </w:pPr>
            <w:r>
              <w:rPr>
                <w:b/>
                <w:sz w:val="16"/>
                <w:lang w:eastAsia="en-AU"/>
              </w:rPr>
              <w:t xml:space="preserve">All </w:t>
            </w:r>
            <w:r w:rsidR="0012183F">
              <w:rPr>
                <w:b/>
                <w:sz w:val="16"/>
                <w:lang w:eastAsia="en-AU"/>
              </w:rPr>
              <w:t xml:space="preserve">costs </w:t>
            </w:r>
            <w:r>
              <w:rPr>
                <w:b/>
                <w:sz w:val="16"/>
                <w:lang w:eastAsia="en-AU"/>
              </w:rPr>
              <w:t>(teaching, scholarship, research)</w:t>
            </w:r>
          </w:p>
        </w:tc>
      </w:tr>
      <w:tr w:rsidR="0075608C" w14:paraId="337A9FCE" w14:textId="77777777" w:rsidTr="00472731">
        <w:tc>
          <w:tcPr>
            <w:tcW w:w="3402" w:type="dxa"/>
          </w:tcPr>
          <w:p w14:paraId="62C05B77" w14:textId="77777777" w:rsidR="0075608C" w:rsidRPr="007E7352" w:rsidRDefault="0075608C" w:rsidP="0075608C">
            <w:pPr>
              <w:spacing w:after="0"/>
              <w:rPr>
                <w:sz w:val="16"/>
              </w:rPr>
            </w:pPr>
            <w:r>
              <w:rPr>
                <w:sz w:val="16"/>
                <w:lang w:eastAsia="en-AU"/>
              </w:rPr>
              <w:t>Staff costs</w:t>
            </w:r>
          </w:p>
        </w:tc>
        <w:tc>
          <w:tcPr>
            <w:tcW w:w="2041" w:type="dxa"/>
          </w:tcPr>
          <w:p w14:paraId="0881BEE6" w14:textId="77777777" w:rsidR="0075608C" w:rsidRPr="007E7352" w:rsidRDefault="0075608C" w:rsidP="0075608C">
            <w:pPr>
              <w:spacing w:after="0"/>
              <w:jc w:val="center"/>
              <w:rPr>
                <w:sz w:val="16"/>
              </w:rPr>
            </w:pPr>
            <w:r>
              <w:rPr>
                <w:sz w:val="16"/>
              </w:rPr>
              <w:t>10.1%</w:t>
            </w:r>
          </w:p>
        </w:tc>
        <w:tc>
          <w:tcPr>
            <w:tcW w:w="2041" w:type="dxa"/>
          </w:tcPr>
          <w:p w14:paraId="748528C9" w14:textId="77777777" w:rsidR="0075608C" w:rsidRPr="007E7352" w:rsidRDefault="0075608C" w:rsidP="0075608C">
            <w:pPr>
              <w:spacing w:after="0"/>
              <w:jc w:val="center"/>
              <w:rPr>
                <w:sz w:val="16"/>
              </w:rPr>
            </w:pPr>
            <w:r>
              <w:rPr>
                <w:sz w:val="16"/>
              </w:rPr>
              <w:t>6.7%</w:t>
            </w:r>
          </w:p>
        </w:tc>
      </w:tr>
      <w:tr w:rsidR="0075608C" w14:paraId="4C2B90B2" w14:textId="77777777" w:rsidTr="00472731">
        <w:tc>
          <w:tcPr>
            <w:tcW w:w="3402" w:type="dxa"/>
          </w:tcPr>
          <w:p w14:paraId="02517430" w14:textId="77777777" w:rsidR="0075608C" w:rsidRPr="009E1204" w:rsidRDefault="0075608C" w:rsidP="0075608C">
            <w:pPr>
              <w:spacing w:after="0"/>
              <w:ind w:left="284"/>
              <w:rPr>
                <w:i/>
                <w:sz w:val="16"/>
                <w:lang w:eastAsia="en-AU"/>
              </w:rPr>
            </w:pPr>
            <w:r w:rsidRPr="009E1204">
              <w:rPr>
                <w:i/>
                <w:sz w:val="16"/>
                <w:lang w:eastAsia="en-AU"/>
              </w:rPr>
              <w:t>Academic staff</w:t>
            </w:r>
          </w:p>
        </w:tc>
        <w:tc>
          <w:tcPr>
            <w:tcW w:w="2041" w:type="dxa"/>
          </w:tcPr>
          <w:p w14:paraId="09E2FA75" w14:textId="77777777" w:rsidR="0075608C" w:rsidRPr="007E7352" w:rsidRDefault="0075608C" w:rsidP="0075608C">
            <w:pPr>
              <w:spacing w:after="0"/>
              <w:jc w:val="center"/>
              <w:rPr>
                <w:sz w:val="16"/>
                <w:lang w:eastAsia="en-AU"/>
              </w:rPr>
            </w:pPr>
            <w:r>
              <w:rPr>
                <w:sz w:val="16"/>
                <w:lang w:eastAsia="en-AU"/>
              </w:rPr>
              <w:t>13.9%</w:t>
            </w:r>
          </w:p>
        </w:tc>
        <w:tc>
          <w:tcPr>
            <w:tcW w:w="2041" w:type="dxa"/>
          </w:tcPr>
          <w:p w14:paraId="63AF03A4" w14:textId="77777777" w:rsidR="0075608C" w:rsidRPr="007E7352" w:rsidRDefault="0075608C" w:rsidP="0075608C">
            <w:pPr>
              <w:spacing w:after="0"/>
              <w:jc w:val="center"/>
              <w:rPr>
                <w:sz w:val="16"/>
              </w:rPr>
            </w:pPr>
          </w:p>
        </w:tc>
      </w:tr>
      <w:tr w:rsidR="0075608C" w14:paraId="09FBB693" w14:textId="77777777" w:rsidTr="00472731">
        <w:tc>
          <w:tcPr>
            <w:tcW w:w="3402" w:type="dxa"/>
          </w:tcPr>
          <w:p w14:paraId="3E5ADD52" w14:textId="77777777" w:rsidR="0075608C" w:rsidRPr="009E1204" w:rsidRDefault="0075608C" w:rsidP="0075608C">
            <w:pPr>
              <w:spacing w:after="0"/>
              <w:ind w:left="284"/>
              <w:rPr>
                <w:i/>
                <w:sz w:val="16"/>
                <w:lang w:eastAsia="en-AU"/>
              </w:rPr>
            </w:pPr>
            <w:r w:rsidRPr="009E1204">
              <w:rPr>
                <w:i/>
                <w:sz w:val="16"/>
                <w:lang w:eastAsia="en-AU"/>
              </w:rPr>
              <w:t>Casual academic staff</w:t>
            </w:r>
          </w:p>
        </w:tc>
        <w:tc>
          <w:tcPr>
            <w:tcW w:w="2041" w:type="dxa"/>
          </w:tcPr>
          <w:p w14:paraId="3EE978C4" w14:textId="77777777" w:rsidR="0075608C" w:rsidRPr="007E7352" w:rsidRDefault="0075608C" w:rsidP="0075608C">
            <w:pPr>
              <w:spacing w:after="0"/>
              <w:jc w:val="center"/>
              <w:rPr>
                <w:sz w:val="16"/>
                <w:lang w:eastAsia="en-AU"/>
              </w:rPr>
            </w:pPr>
            <w:r>
              <w:rPr>
                <w:sz w:val="16"/>
                <w:lang w:eastAsia="en-AU"/>
              </w:rPr>
              <w:t>8.5%</w:t>
            </w:r>
          </w:p>
        </w:tc>
        <w:tc>
          <w:tcPr>
            <w:tcW w:w="2041" w:type="dxa"/>
          </w:tcPr>
          <w:p w14:paraId="1DCAD936" w14:textId="77777777" w:rsidR="0075608C" w:rsidRPr="007E7352" w:rsidRDefault="0075608C" w:rsidP="0075608C">
            <w:pPr>
              <w:spacing w:after="0"/>
              <w:jc w:val="center"/>
              <w:rPr>
                <w:sz w:val="16"/>
              </w:rPr>
            </w:pPr>
          </w:p>
        </w:tc>
      </w:tr>
      <w:tr w:rsidR="0075608C" w14:paraId="17A80CFE" w14:textId="77777777" w:rsidTr="00472731">
        <w:tc>
          <w:tcPr>
            <w:tcW w:w="3402" w:type="dxa"/>
          </w:tcPr>
          <w:p w14:paraId="1897E398" w14:textId="77777777" w:rsidR="0075608C" w:rsidRPr="009E1204" w:rsidRDefault="0075608C" w:rsidP="0075608C">
            <w:pPr>
              <w:spacing w:after="0"/>
              <w:ind w:left="284"/>
              <w:rPr>
                <w:i/>
                <w:sz w:val="16"/>
                <w:lang w:eastAsia="en-AU"/>
              </w:rPr>
            </w:pPr>
            <w:r w:rsidRPr="009E1204">
              <w:rPr>
                <w:i/>
                <w:sz w:val="16"/>
                <w:lang w:eastAsia="en-AU"/>
              </w:rPr>
              <w:t>Non-academic staff</w:t>
            </w:r>
          </w:p>
        </w:tc>
        <w:tc>
          <w:tcPr>
            <w:tcW w:w="2041" w:type="dxa"/>
          </w:tcPr>
          <w:p w14:paraId="16030EEB" w14:textId="77777777" w:rsidR="0075608C" w:rsidRPr="007E7352" w:rsidRDefault="0075608C" w:rsidP="0075608C">
            <w:pPr>
              <w:spacing w:after="0"/>
              <w:jc w:val="center"/>
              <w:rPr>
                <w:sz w:val="16"/>
                <w:lang w:eastAsia="en-AU"/>
              </w:rPr>
            </w:pPr>
            <w:r>
              <w:rPr>
                <w:sz w:val="16"/>
                <w:lang w:eastAsia="en-AU"/>
              </w:rPr>
              <w:t>7.5%</w:t>
            </w:r>
          </w:p>
        </w:tc>
        <w:tc>
          <w:tcPr>
            <w:tcW w:w="2041" w:type="dxa"/>
          </w:tcPr>
          <w:p w14:paraId="0E6018E7" w14:textId="77777777" w:rsidR="0075608C" w:rsidRPr="007E7352" w:rsidRDefault="0075608C" w:rsidP="0075608C">
            <w:pPr>
              <w:spacing w:after="0"/>
              <w:jc w:val="center"/>
              <w:rPr>
                <w:sz w:val="16"/>
              </w:rPr>
            </w:pPr>
          </w:p>
        </w:tc>
      </w:tr>
      <w:tr w:rsidR="0075608C" w14:paraId="2193FEDE" w14:textId="77777777" w:rsidTr="00472731">
        <w:tc>
          <w:tcPr>
            <w:tcW w:w="3402" w:type="dxa"/>
          </w:tcPr>
          <w:p w14:paraId="25073328" w14:textId="77777777" w:rsidR="0075608C" w:rsidRPr="007E7352" w:rsidRDefault="0075608C" w:rsidP="0075608C">
            <w:pPr>
              <w:spacing w:after="0"/>
              <w:rPr>
                <w:sz w:val="16"/>
              </w:rPr>
            </w:pPr>
            <w:r>
              <w:rPr>
                <w:sz w:val="16"/>
                <w:lang w:eastAsia="en-AU"/>
              </w:rPr>
              <w:t>Non-staff costs</w:t>
            </w:r>
          </w:p>
        </w:tc>
        <w:tc>
          <w:tcPr>
            <w:tcW w:w="2041" w:type="dxa"/>
          </w:tcPr>
          <w:p w14:paraId="204258EE" w14:textId="345D366E" w:rsidR="0075608C" w:rsidRPr="007E7352" w:rsidRDefault="0038428B" w:rsidP="0075608C">
            <w:pPr>
              <w:spacing w:after="0"/>
              <w:jc w:val="center"/>
              <w:rPr>
                <w:sz w:val="16"/>
              </w:rPr>
            </w:pPr>
            <w:r>
              <w:rPr>
                <w:sz w:val="16"/>
                <w:lang w:eastAsia="en-AU"/>
              </w:rPr>
              <w:t>0.5</w:t>
            </w:r>
            <w:r w:rsidR="0075608C">
              <w:rPr>
                <w:sz w:val="16"/>
                <w:lang w:eastAsia="en-AU"/>
              </w:rPr>
              <w:t>%</w:t>
            </w:r>
          </w:p>
        </w:tc>
        <w:tc>
          <w:tcPr>
            <w:tcW w:w="2041" w:type="dxa"/>
          </w:tcPr>
          <w:p w14:paraId="2C5A5C4F" w14:textId="77777777" w:rsidR="0075608C" w:rsidRPr="007E7352" w:rsidRDefault="0075608C" w:rsidP="0075608C">
            <w:pPr>
              <w:spacing w:after="0"/>
              <w:jc w:val="center"/>
              <w:rPr>
                <w:sz w:val="16"/>
              </w:rPr>
            </w:pPr>
            <w:r>
              <w:rPr>
                <w:sz w:val="16"/>
              </w:rPr>
              <w:t>10.1%</w:t>
            </w:r>
          </w:p>
        </w:tc>
      </w:tr>
      <w:tr w:rsidR="0075608C" w14:paraId="272DFB3E" w14:textId="77777777" w:rsidTr="00472731">
        <w:tc>
          <w:tcPr>
            <w:tcW w:w="3402" w:type="dxa"/>
          </w:tcPr>
          <w:p w14:paraId="45A55F05" w14:textId="77777777" w:rsidR="0075608C" w:rsidRPr="009E1204" w:rsidRDefault="0075608C" w:rsidP="0075608C">
            <w:pPr>
              <w:spacing w:after="0"/>
              <w:ind w:left="284"/>
              <w:rPr>
                <w:i/>
                <w:sz w:val="16"/>
                <w:lang w:eastAsia="en-AU"/>
              </w:rPr>
            </w:pPr>
            <w:r w:rsidRPr="009E1204">
              <w:rPr>
                <w:i/>
                <w:sz w:val="16"/>
                <w:lang w:eastAsia="en-AU"/>
              </w:rPr>
              <w:t>Depreciation, amortisation, repairs, maintenance, borrowing, bad debts</w:t>
            </w:r>
          </w:p>
        </w:tc>
        <w:tc>
          <w:tcPr>
            <w:tcW w:w="2041" w:type="dxa"/>
          </w:tcPr>
          <w:p w14:paraId="743B0A85" w14:textId="77777777" w:rsidR="0075608C" w:rsidRDefault="0075608C" w:rsidP="0075608C">
            <w:pPr>
              <w:spacing w:after="0"/>
              <w:jc w:val="center"/>
              <w:rPr>
                <w:sz w:val="16"/>
                <w:lang w:eastAsia="en-AU"/>
              </w:rPr>
            </w:pPr>
            <w:r>
              <w:rPr>
                <w:sz w:val="16"/>
                <w:lang w:eastAsia="en-AU"/>
              </w:rPr>
              <w:t>2.5%</w:t>
            </w:r>
          </w:p>
        </w:tc>
        <w:tc>
          <w:tcPr>
            <w:tcW w:w="2041" w:type="dxa"/>
          </w:tcPr>
          <w:p w14:paraId="180F8A01" w14:textId="77777777" w:rsidR="0075608C" w:rsidRPr="007E7352" w:rsidRDefault="0075608C" w:rsidP="0075608C">
            <w:pPr>
              <w:spacing w:after="0"/>
              <w:jc w:val="center"/>
              <w:rPr>
                <w:sz w:val="16"/>
              </w:rPr>
            </w:pPr>
          </w:p>
        </w:tc>
      </w:tr>
      <w:tr w:rsidR="0075608C" w14:paraId="768BAF45" w14:textId="77777777" w:rsidTr="00472731">
        <w:tc>
          <w:tcPr>
            <w:tcW w:w="3402" w:type="dxa"/>
          </w:tcPr>
          <w:p w14:paraId="2A0C39D0" w14:textId="77777777" w:rsidR="0075608C" w:rsidRPr="009E1204" w:rsidRDefault="0075608C" w:rsidP="0075608C">
            <w:pPr>
              <w:spacing w:after="0"/>
              <w:ind w:left="284"/>
              <w:rPr>
                <w:i/>
                <w:sz w:val="16"/>
                <w:lang w:eastAsia="en-AU"/>
              </w:rPr>
            </w:pPr>
            <w:r w:rsidRPr="009E1204">
              <w:rPr>
                <w:i/>
                <w:sz w:val="16"/>
                <w:lang w:eastAsia="en-AU"/>
              </w:rPr>
              <w:t>All other</w:t>
            </w:r>
          </w:p>
        </w:tc>
        <w:tc>
          <w:tcPr>
            <w:tcW w:w="2041" w:type="dxa"/>
          </w:tcPr>
          <w:p w14:paraId="3212B48F" w14:textId="76FDF5D2" w:rsidR="0075608C" w:rsidRDefault="0038428B" w:rsidP="0075608C">
            <w:pPr>
              <w:spacing w:after="0"/>
              <w:jc w:val="center"/>
              <w:rPr>
                <w:sz w:val="16"/>
                <w:lang w:eastAsia="en-AU"/>
              </w:rPr>
            </w:pPr>
            <w:r>
              <w:rPr>
                <w:sz w:val="16"/>
                <w:lang w:eastAsia="en-AU"/>
              </w:rPr>
              <w:t>-0.1</w:t>
            </w:r>
            <w:r w:rsidR="0075608C">
              <w:rPr>
                <w:sz w:val="16"/>
                <w:lang w:eastAsia="en-AU"/>
              </w:rPr>
              <w:t>%</w:t>
            </w:r>
          </w:p>
        </w:tc>
        <w:tc>
          <w:tcPr>
            <w:tcW w:w="2041" w:type="dxa"/>
          </w:tcPr>
          <w:p w14:paraId="12A59D2E" w14:textId="77777777" w:rsidR="0075608C" w:rsidRPr="007E7352" w:rsidRDefault="0075608C" w:rsidP="0075608C">
            <w:pPr>
              <w:spacing w:after="0"/>
              <w:jc w:val="center"/>
              <w:rPr>
                <w:sz w:val="16"/>
              </w:rPr>
            </w:pPr>
          </w:p>
        </w:tc>
      </w:tr>
      <w:tr w:rsidR="0075608C" w14:paraId="0ED8340B" w14:textId="77777777" w:rsidTr="00472731">
        <w:tc>
          <w:tcPr>
            <w:tcW w:w="3402" w:type="dxa"/>
          </w:tcPr>
          <w:p w14:paraId="67CFE7CB" w14:textId="77777777" w:rsidR="0075608C" w:rsidRPr="007E7352" w:rsidRDefault="0075608C" w:rsidP="0075608C">
            <w:pPr>
              <w:spacing w:after="0"/>
              <w:rPr>
                <w:sz w:val="16"/>
              </w:rPr>
            </w:pPr>
            <w:r>
              <w:rPr>
                <w:sz w:val="16"/>
                <w:lang w:eastAsia="en-AU"/>
              </w:rPr>
              <w:t>Total costs</w:t>
            </w:r>
          </w:p>
        </w:tc>
        <w:tc>
          <w:tcPr>
            <w:tcW w:w="2041" w:type="dxa"/>
          </w:tcPr>
          <w:p w14:paraId="2DFC4F28" w14:textId="07CC6DA8" w:rsidR="0075608C" w:rsidRPr="007E7352" w:rsidRDefault="0038428B" w:rsidP="0075608C">
            <w:pPr>
              <w:spacing w:after="0"/>
              <w:jc w:val="center"/>
              <w:rPr>
                <w:sz w:val="16"/>
              </w:rPr>
            </w:pPr>
            <w:r>
              <w:rPr>
                <w:sz w:val="16"/>
                <w:lang w:eastAsia="en-AU"/>
              </w:rPr>
              <w:t>5.9</w:t>
            </w:r>
            <w:r w:rsidR="0075608C" w:rsidRPr="007E7352">
              <w:rPr>
                <w:sz w:val="16"/>
                <w:lang w:eastAsia="en-AU"/>
              </w:rPr>
              <w:t>%</w:t>
            </w:r>
          </w:p>
        </w:tc>
        <w:tc>
          <w:tcPr>
            <w:tcW w:w="2041" w:type="dxa"/>
          </w:tcPr>
          <w:p w14:paraId="43758766" w14:textId="77777777" w:rsidR="0075608C" w:rsidRPr="007E7352" w:rsidRDefault="0075608C" w:rsidP="0075608C">
            <w:pPr>
              <w:spacing w:after="0"/>
              <w:jc w:val="center"/>
              <w:rPr>
                <w:sz w:val="16"/>
              </w:rPr>
            </w:pPr>
            <w:r>
              <w:rPr>
                <w:sz w:val="16"/>
              </w:rPr>
              <w:t>8.2%</w:t>
            </w:r>
          </w:p>
        </w:tc>
      </w:tr>
    </w:tbl>
    <w:p w14:paraId="17513143" w14:textId="77777777" w:rsidR="0075608C" w:rsidRDefault="0075608C" w:rsidP="0075608C">
      <w:pPr>
        <w:pStyle w:val="Source"/>
      </w:pPr>
      <w:r>
        <w:t xml:space="preserve">Source: Deloitte Access Economics and Department of Education and Training. </w:t>
      </w:r>
    </w:p>
    <w:p w14:paraId="20DB91B6" w14:textId="4DD0A1DB" w:rsidR="005719A7" w:rsidRDefault="005719A7" w:rsidP="005719A7">
      <w:r>
        <w:t xml:space="preserve">A number of possible </w:t>
      </w:r>
      <w:r w:rsidR="00F74D32">
        <w:t xml:space="preserve">factors </w:t>
      </w:r>
      <w:r>
        <w:t>could explain the growth in staff</w:t>
      </w:r>
      <w:r w:rsidR="00F74D32">
        <w:t>-related</w:t>
      </w:r>
      <w:r>
        <w:t xml:space="preserve"> teaching and scholarship costs between 2015 and 2017 </w:t>
      </w:r>
      <w:r w:rsidR="006A3559">
        <w:t>(</w:t>
      </w:r>
      <w:r>
        <w:t>which have grown more quickly than staff costs for the sector overall</w:t>
      </w:r>
      <w:r w:rsidR="006A3559">
        <w:t>)</w:t>
      </w:r>
      <w:r>
        <w:t>. In total, the number of FTE employees in the sector grew by 4.5% across all institutions and 4.7% in the common sample</w:t>
      </w:r>
      <w:r w:rsidR="00F74D32">
        <w:t xml:space="preserve"> – </w:t>
      </w:r>
      <w:r>
        <w:t>similar</w:t>
      </w:r>
      <w:r w:rsidR="00F74D32">
        <w:t xml:space="preserve"> to the</w:t>
      </w:r>
      <w:r>
        <w:t xml:space="preserve"> pace </w:t>
      </w:r>
      <w:r w:rsidR="00F74D32">
        <w:t>of</w:t>
      </w:r>
      <w:r>
        <w:t xml:space="preserve"> growth in EFTSL</w:t>
      </w:r>
      <w:r w:rsidR="00F74D32">
        <w:t xml:space="preserve"> presented</w:t>
      </w:r>
      <w:r>
        <w:t xml:space="preserve"> in </w:t>
      </w:r>
      <w:r w:rsidR="002D3041">
        <w:fldChar w:fldCharType="begin"/>
      </w:r>
      <w:r w:rsidR="002D3041">
        <w:instrText xml:space="preserve"> REF _Ref532207638 \r \h </w:instrText>
      </w:r>
      <w:r w:rsidR="002D3041">
        <w:fldChar w:fldCharType="separate"/>
      </w:r>
      <w:r w:rsidR="00F47C96">
        <w:t>Table 2.3</w:t>
      </w:r>
      <w:r w:rsidR="002D3041">
        <w:fldChar w:fldCharType="end"/>
      </w:r>
      <w:r w:rsidR="006A3559">
        <w:t>.</w:t>
      </w:r>
      <w:r w:rsidR="0001685A">
        <w:rPr>
          <w:rStyle w:val="FootnoteReference"/>
        </w:rPr>
        <w:footnoteReference w:id="18"/>
      </w:r>
      <w:r w:rsidR="006A3559">
        <w:t xml:space="preserve"> This suggests</w:t>
      </w:r>
      <w:r>
        <w:t xml:space="preserve"> that staff to student ratios have remained relatively steady. The growth </w:t>
      </w:r>
      <w:r w:rsidR="00F74D32">
        <w:t xml:space="preserve">in number of </w:t>
      </w:r>
      <w:r>
        <w:t>FTE</w:t>
      </w:r>
      <w:r w:rsidR="00F74D32">
        <w:t xml:space="preserve"> employees</w:t>
      </w:r>
      <w:r>
        <w:t xml:space="preserve"> implies average wage growth across the sector between 2015 and 2017 of 5.7% for the common sample and 6.1% for the sector. </w:t>
      </w:r>
    </w:p>
    <w:p w14:paraId="2271B9B4" w14:textId="77777777" w:rsidR="000E7E57" w:rsidRDefault="0001685A" w:rsidP="005719A7">
      <w:r>
        <w:t xml:space="preserve">One possible explanation for growth in teaching and scholarship staff costs exceeding all staff costs is that growth in FTEs could have been stronger for staff whose primary focus was teaching. The Department of Education and Training publishes information on FTE numbers by in the sector through the </w:t>
      </w:r>
      <w:r w:rsidRPr="00EB4550">
        <w:rPr>
          <w:i/>
        </w:rPr>
        <w:t>Selected Higher Education Statistics – 2017 Staff data</w:t>
      </w:r>
      <w:r>
        <w:t xml:space="preserve"> tables.</w:t>
      </w:r>
      <w:r w:rsidR="000E7E57">
        <w:t xml:space="preserve"> However, given that 82.3% of FTEs are classified as </w:t>
      </w:r>
      <w:proofErr w:type="gramStart"/>
      <w:r w:rsidR="000E7E57">
        <w:t>either ‘teaching and</w:t>
      </w:r>
      <w:proofErr w:type="gramEnd"/>
      <w:r w:rsidR="000E7E57">
        <w:t xml:space="preserve"> research’ or ‘other’ (which would capture administrative staff), it is difficult to ascertain whether there has been an increase in teaching FTEs for these categories.</w:t>
      </w:r>
    </w:p>
    <w:p w14:paraId="7FEDE5E9" w14:textId="77777777" w:rsidR="000E7E57" w:rsidRDefault="000E7E57" w:rsidP="00690A6B">
      <w:r>
        <w:t>T</w:t>
      </w:r>
      <w:r w:rsidR="00952EF5">
        <w:t>he data suggests</w:t>
      </w:r>
      <w:r>
        <w:t xml:space="preserve"> has been a continuation of growth in </w:t>
      </w:r>
      <w:r w:rsidR="00BF0E6C">
        <w:t xml:space="preserve">teaching only </w:t>
      </w:r>
      <w:proofErr w:type="gramStart"/>
      <w:r w:rsidR="00BF0E6C">
        <w:t>FTEs</w:t>
      </w:r>
      <w:r w:rsidR="00CC392E">
        <w:t xml:space="preserve"> which</w:t>
      </w:r>
      <w:proofErr w:type="gramEnd"/>
      <w:r w:rsidR="00CC392E">
        <w:t xml:space="preserve"> has occurred since 2009. However, the share of teaching only FTEs only rose from 3.1% to 3.8% over this period so cannot fully account for the 3.4% difference between teaching costs per EFTSL and total </w:t>
      </w:r>
      <w:r w:rsidR="00CC392E">
        <w:lastRenderedPageBreak/>
        <w:t xml:space="preserve">costs per EFTSL for the common sample in Table 2.4. </w:t>
      </w:r>
      <w:r w:rsidR="00690A6B">
        <w:t>The number of research only FTEs (who make up 13.6% of total FTEs) has stabilised since 2015, after growing on average by 1.6% per annum between 2010 and 2015.</w:t>
      </w:r>
    </w:p>
    <w:p w14:paraId="649A0C56" w14:textId="77777777" w:rsidR="005719A7" w:rsidRDefault="00CC392E" w:rsidP="005719A7">
      <w:proofErr w:type="gramStart"/>
      <w:r>
        <w:t>Thus</w:t>
      </w:r>
      <w:proofErr w:type="gramEnd"/>
      <w:r>
        <w:t xml:space="preserve"> there does appear to have been a small shift towards teaching only rather than research only positions between 2015 and 2017</w:t>
      </w:r>
      <w:r w:rsidR="00690A6B">
        <w:t xml:space="preserve">. </w:t>
      </w:r>
      <w:r w:rsidR="005719A7">
        <w:t xml:space="preserve">This suggests that it is possible that growth in </w:t>
      </w:r>
      <w:r w:rsidR="00690A6B">
        <w:t>teaching staff costs</w:t>
      </w:r>
      <w:r w:rsidR="005719A7">
        <w:t xml:space="preserve"> could exceed the growth in </w:t>
      </w:r>
      <w:r w:rsidR="00690A6B">
        <w:t xml:space="preserve">total costs. However, given the share of teaching only positions in the sector rose by 0.7% of total FTEs, this alone </w:t>
      </w:r>
      <w:r w:rsidR="00BF0E6C">
        <w:t xml:space="preserve">is likely to account for </w:t>
      </w:r>
      <w:r w:rsidR="00690A6B">
        <w:t>a small part of</w:t>
      </w:r>
      <w:r w:rsidR="00B5029F">
        <w:t xml:space="preserve"> </w:t>
      </w:r>
      <w:r w:rsidR="00BF0E6C">
        <w:t xml:space="preserve">the observed difference between </w:t>
      </w:r>
      <w:r w:rsidR="00690A6B">
        <w:t xml:space="preserve">growth in </w:t>
      </w:r>
      <w:r w:rsidR="00BF0E6C">
        <w:t xml:space="preserve">teaching and </w:t>
      </w:r>
      <w:r w:rsidR="00690A6B">
        <w:t>total</w:t>
      </w:r>
      <w:r w:rsidR="005719A7">
        <w:t xml:space="preserve"> staff costs. </w:t>
      </w:r>
    </w:p>
    <w:p w14:paraId="04D82047" w14:textId="77777777" w:rsidR="0075608C" w:rsidRDefault="00865B49" w:rsidP="0075608C">
      <w:r>
        <w:t>To investigate this issue further, u</w:t>
      </w:r>
      <w:r w:rsidR="0075608C">
        <w:t xml:space="preserve">niversities that reported growth in labour costs of more than 20% per EFTSL and negative growth in non-staff costs </w:t>
      </w:r>
      <w:proofErr w:type="gramStart"/>
      <w:r w:rsidR="0075608C">
        <w:t>were contacted</w:t>
      </w:r>
      <w:proofErr w:type="gramEnd"/>
      <w:r w:rsidR="0075608C">
        <w:t xml:space="preserve"> for clarification. </w:t>
      </w:r>
      <w:r w:rsidR="000C167B">
        <w:t xml:space="preserve">Explanations provided by universities in response </w:t>
      </w:r>
      <w:r w:rsidR="0075608C">
        <w:t>included:</w:t>
      </w:r>
    </w:p>
    <w:p w14:paraId="725AFFE2" w14:textId="77777777" w:rsidR="00865B49" w:rsidRDefault="000C167B" w:rsidP="00146B33">
      <w:pPr>
        <w:pStyle w:val="ListBullet"/>
      </w:pPr>
      <w:bookmarkStart w:id="393" w:name="_Toc532224667"/>
      <w:bookmarkEnd w:id="393"/>
      <w:r>
        <w:t>C</w:t>
      </w:r>
      <w:r w:rsidR="00865B49">
        <w:t>hanges to the costing model structure and methodology. For example, some staff costs relating to shared services such as finance, human resources and IT systems were previously listed under ‘other central costs’ which were classified as non-staff costs. The removal of a separate component for non-staff costs in 2017 resulted in a reallocation of these costs towards staff.</w:t>
      </w:r>
    </w:p>
    <w:p w14:paraId="281774DE" w14:textId="77777777" w:rsidR="00865B49" w:rsidRDefault="00865B49" w:rsidP="00146B33">
      <w:pPr>
        <w:pStyle w:val="ListBullet"/>
      </w:pPr>
      <w:r>
        <w:t>One university not</w:t>
      </w:r>
      <w:r w:rsidR="000C167B">
        <w:t>ing</w:t>
      </w:r>
      <w:r>
        <w:t xml:space="preserve"> that high growth in total expenditure combined with a significant decline in research expenditure has resulted in a larger proportion of overheads </w:t>
      </w:r>
      <w:proofErr w:type="gramStart"/>
      <w:r>
        <w:t>being allocated</w:t>
      </w:r>
      <w:proofErr w:type="gramEnd"/>
      <w:r>
        <w:t xml:space="preserve"> to teaching activates in 2017 compared to 2015.</w:t>
      </w:r>
    </w:p>
    <w:p w14:paraId="26EB348D" w14:textId="77777777" w:rsidR="00865B49" w:rsidRDefault="00865B49" w:rsidP="00146B33">
      <w:pPr>
        <w:pStyle w:val="ListBullet"/>
      </w:pPr>
      <w:r>
        <w:t xml:space="preserve">Academic workload and support staff focus </w:t>
      </w:r>
      <w:proofErr w:type="gramStart"/>
      <w:r w:rsidR="000C167B">
        <w:t xml:space="preserve">being </w:t>
      </w:r>
      <w:r>
        <w:t>increasingly directed</w:t>
      </w:r>
      <w:proofErr w:type="gramEnd"/>
      <w:r>
        <w:t xml:space="preserve"> towards teaching.</w:t>
      </w:r>
    </w:p>
    <w:p w14:paraId="284BDF23" w14:textId="77777777" w:rsidR="00865B49" w:rsidRDefault="00865B49" w:rsidP="00146B33">
      <w:pPr>
        <w:pStyle w:val="ListBullet"/>
      </w:pPr>
      <w:proofErr w:type="gramStart"/>
      <w:r>
        <w:t>2017</w:t>
      </w:r>
      <w:proofErr w:type="gramEnd"/>
      <w:r>
        <w:t xml:space="preserve"> data includ</w:t>
      </w:r>
      <w:r w:rsidR="000C167B">
        <w:t>ing</w:t>
      </w:r>
      <w:r>
        <w:t xml:space="preserve"> the effects of recently completed EBA negotiations (which involved a marked increase in superannuation entitlements for short-term contract staff).</w:t>
      </w:r>
    </w:p>
    <w:p w14:paraId="01BC1A5C" w14:textId="77777777" w:rsidR="00865B49" w:rsidRDefault="00865B49" w:rsidP="00865B49">
      <w:r>
        <w:t xml:space="preserve">These observations indicate both the reasons for high staff cost growth at specific institutions, </w:t>
      </w:r>
      <w:proofErr w:type="gramStart"/>
      <w:r>
        <w:t>and also</w:t>
      </w:r>
      <w:proofErr w:type="gramEnd"/>
      <w:r>
        <w:t xml:space="preserve"> </w:t>
      </w:r>
      <w:r w:rsidR="00B87B54">
        <w:t xml:space="preserve">more broadly </w:t>
      </w:r>
      <w:r>
        <w:t>that some expenses previously captured as non-staff costs are now being correctly captured as staff costs</w:t>
      </w:r>
      <w:r w:rsidR="00B87B54">
        <w:t xml:space="preserve">. Importantly, the latter does not </w:t>
      </w:r>
      <w:proofErr w:type="gramStart"/>
      <w:r w:rsidR="00B87B54">
        <w:t>impact</w:t>
      </w:r>
      <w:proofErr w:type="gramEnd"/>
      <w:r w:rsidR="00B87B54">
        <w:t xml:space="preserve"> estimates of teaching and scholarship costs in total</w:t>
      </w:r>
      <w:r w:rsidR="00B5029F">
        <w:t xml:space="preserve">. </w:t>
      </w:r>
    </w:p>
    <w:p w14:paraId="284BEA54" w14:textId="77777777" w:rsidR="00BF0E6C" w:rsidRDefault="00B87B54" w:rsidP="00865B49">
      <w:r>
        <w:t>T</w:t>
      </w:r>
      <w:r w:rsidR="00BF0E6C">
        <w:t xml:space="preserve">here was no </w:t>
      </w:r>
      <w:r>
        <w:t xml:space="preserve">single </w:t>
      </w:r>
      <w:r w:rsidR="006A3559">
        <w:t>definitive</w:t>
      </w:r>
      <w:r w:rsidR="00BF0E6C">
        <w:t xml:space="preserve"> explanation </w:t>
      </w:r>
      <w:r>
        <w:t xml:space="preserve">identified </w:t>
      </w:r>
      <w:r w:rsidR="00BF0E6C">
        <w:t xml:space="preserve">for the increased growth in teaching costs relative to the 2010 to 2015 period. As noted by Deloitte Access Economics (2016), the sample in </w:t>
      </w:r>
      <w:r w:rsidR="006A3559">
        <w:t xml:space="preserve">the </w:t>
      </w:r>
      <w:r w:rsidR="00BF0E6C">
        <w:t>2010 exercise differed from that in 2015 and thus differences in</w:t>
      </w:r>
      <w:r>
        <w:t xml:space="preserve"> reported</w:t>
      </w:r>
      <w:r w:rsidR="00BF0E6C">
        <w:t xml:space="preserve"> growth trajectories may reflect the differences in the sample of universities </w:t>
      </w:r>
      <w:r w:rsidR="006A3559">
        <w:t>captured.</w:t>
      </w:r>
      <w:r w:rsidR="00BF0E6C">
        <w:t xml:space="preserve"> </w:t>
      </w:r>
      <w:r w:rsidR="00B5029F">
        <w:t xml:space="preserve">It is also </w:t>
      </w:r>
      <w:proofErr w:type="gramStart"/>
      <w:r>
        <w:t>not unreasonable</w:t>
      </w:r>
      <w:proofErr w:type="gramEnd"/>
      <w:r>
        <w:t xml:space="preserve"> to expect </w:t>
      </w:r>
      <w:r w:rsidR="00B5029F">
        <w:t>that universities have chosen to increase their expenditure on teaching overall the last two years at a rate that remains broadly in line with overall growth in expenditure.</w:t>
      </w:r>
    </w:p>
    <w:p w14:paraId="0369671F" w14:textId="77777777" w:rsidR="00CE6DC4" w:rsidRDefault="00CE6DC4" w:rsidP="006118C2">
      <w:pPr>
        <w:pStyle w:val="Heading2"/>
      </w:pPr>
      <w:bookmarkStart w:id="394" w:name="_Toc532376029"/>
      <w:bookmarkStart w:id="395" w:name="_Toc532224668"/>
      <w:bookmarkStart w:id="396" w:name="_Toc532376030"/>
      <w:bookmarkStart w:id="397" w:name="_Ref534706439"/>
      <w:bookmarkStart w:id="398" w:name="_Toc534713798"/>
      <w:bookmarkEnd w:id="394"/>
      <w:bookmarkEnd w:id="395"/>
      <w:bookmarkEnd w:id="396"/>
      <w:r>
        <w:t>Examining costs ‘below the line’</w:t>
      </w:r>
      <w:bookmarkEnd w:id="397"/>
      <w:bookmarkEnd w:id="398"/>
      <w:r>
        <w:t xml:space="preserve"> </w:t>
      </w:r>
    </w:p>
    <w:p w14:paraId="7DA5C921" w14:textId="77777777" w:rsidR="00A4300D" w:rsidRDefault="00CE6DC4" w:rsidP="00A4300D">
      <w:bookmarkStart w:id="399" w:name="_Toc529370392"/>
      <w:bookmarkStart w:id="400" w:name="_Toc529370419"/>
      <w:bookmarkStart w:id="401" w:name="_Toc529454491"/>
      <w:bookmarkStart w:id="402" w:name="_Toc529454583"/>
      <w:bookmarkStart w:id="403" w:name="_Toc529459995"/>
      <w:bookmarkStart w:id="404" w:name="_Toc529546367"/>
      <w:bookmarkStart w:id="405" w:name="_Toc529547007"/>
      <w:bookmarkStart w:id="406" w:name="_Toc529370393"/>
      <w:bookmarkStart w:id="407" w:name="_Toc529370420"/>
      <w:bookmarkStart w:id="408" w:name="_Toc529454492"/>
      <w:bookmarkStart w:id="409" w:name="_Toc529454584"/>
      <w:bookmarkStart w:id="410" w:name="_Toc529459996"/>
      <w:bookmarkStart w:id="411" w:name="_Toc529546368"/>
      <w:bookmarkStart w:id="412" w:name="_Toc529547008"/>
      <w:bookmarkStart w:id="413" w:name="_Toc529370394"/>
      <w:bookmarkStart w:id="414" w:name="_Toc529370421"/>
      <w:bookmarkStart w:id="415" w:name="_Toc529454493"/>
      <w:bookmarkStart w:id="416" w:name="_Toc529454585"/>
      <w:bookmarkStart w:id="417" w:name="_Toc529459997"/>
      <w:bookmarkStart w:id="418" w:name="_Toc529546369"/>
      <w:bookmarkStart w:id="419" w:name="_Toc529547009"/>
      <w:bookmarkStart w:id="420" w:name="_Toc529370395"/>
      <w:bookmarkStart w:id="421" w:name="_Toc529370422"/>
      <w:bookmarkStart w:id="422" w:name="_Toc529454494"/>
      <w:bookmarkStart w:id="423" w:name="_Toc529454586"/>
      <w:bookmarkStart w:id="424" w:name="_Toc529459998"/>
      <w:bookmarkStart w:id="425" w:name="_Toc529546370"/>
      <w:bookmarkStart w:id="426" w:name="_Toc529547010"/>
      <w:bookmarkStart w:id="427" w:name="_Toc529370396"/>
      <w:bookmarkStart w:id="428" w:name="_Toc529370423"/>
      <w:bookmarkStart w:id="429" w:name="_Toc529454495"/>
      <w:bookmarkStart w:id="430" w:name="_Toc529454587"/>
      <w:bookmarkStart w:id="431" w:name="_Toc529459999"/>
      <w:bookmarkStart w:id="432" w:name="_Toc529546371"/>
      <w:bookmarkStart w:id="433" w:name="_Toc529547011"/>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t>As part of the</w:t>
      </w:r>
      <w:r w:rsidR="00A4300D">
        <w:t xml:space="preserve"> consultation process undertaken at the outset of this study involving the university sector (see Box </w:t>
      </w:r>
      <w:r>
        <w:t>1.1</w:t>
      </w:r>
      <w:r w:rsidR="00A4300D">
        <w:t xml:space="preserve">), two areas </w:t>
      </w:r>
      <w:proofErr w:type="gramStart"/>
      <w:r>
        <w:t>were identified</w:t>
      </w:r>
      <w:proofErr w:type="gramEnd"/>
      <w:r>
        <w:t xml:space="preserve"> </w:t>
      </w:r>
      <w:r w:rsidR="00A4300D">
        <w:t>where the true cost of teaching and scholarship may not be captured by standard financial or statutory reporting, and therefore were not captured in the previous study’s costing template structure.</w:t>
      </w:r>
    </w:p>
    <w:p w14:paraId="1D4E8D8C" w14:textId="57D55A18" w:rsidR="00A4300D" w:rsidRDefault="00A4300D" w:rsidP="00A4300D">
      <w:r>
        <w:t xml:space="preserve">To recognise these potentially material costs, two additional line items were included in the updated costing template, namely ‘in-kind’ costs, and ‘additional partnership’ costs. These items were included ‘below the line’, to reflect that they would not be expected to reconcile to statutory reporting, and would likely need to be estimated rather than calculated from an </w:t>
      </w:r>
      <w:proofErr w:type="gramStart"/>
      <w:r>
        <w:t>institution’s</w:t>
      </w:r>
      <w:proofErr w:type="gramEnd"/>
      <w:r>
        <w:t xml:space="preserve"> financial reporting. </w:t>
      </w:r>
    </w:p>
    <w:p w14:paraId="699904A1" w14:textId="7F22B559" w:rsidR="00A4300D" w:rsidRDefault="00A4300D" w:rsidP="00A4300D">
      <w:r>
        <w:t>Notably, the baseline analysis in this report does not include either of these costs items</w:t>
      </w:r>
      <w:r w:rsidR="00CE6DC4">
        <w:t xml:space="preserve"> to ensure consistency with the previous exercise and given </w:t>
      </w:r>
      <w:proofErr w:type="gramStart"/>
      <w:r w:rsidR="00CE6DC4">
        <w:t>that</w:t>
      </w:r>
      <w:proofErr w:type="gramEnd"/>
      <w:r w:rsidR="00CE6DC4">
        <w:t xml:space="preserve"> relatively few institutions reported these costs. They are not included in the comparison to base funding levels in </w:t>
      </w:r>
      <w:r w:rsidR="002D3041">
        <w:t>S</w:t>
      </w:r>
      <w:r w:rsidR="00CE6DC4">
        <w:t xml:space="preserve">ection </w:t>
      </w:r>
      <w:r w:rsidR="002D3041">
        <w:fldChar w:fldCharType="begin"/>
      </w:r>
      <w:r w:rsidR="002D3041">
        <w:instrText xml:space="preserve"> REF _Ref534713016 \r \h </w:instrText>
      </w:r>
      <w:r w:rsidR="002D3041">
        <w:fldChar w:fldCharType="separate"/>
      </w:r>
      <w:r w:rsidR="00F47C96">
        <w:t>2.3</w:t>
      </w:r>
      <w:r w:rsidR="002D3041">
        <w:fldChar w:fldCharType="end"/>
      </w:r>
      <w:r w:rsidR="00CE6DC4">
        <w:t xml:space="preserve">. </w:t>
      </w:r>
    </w:p>
    <w:p w14:paraId="2E538D59" w14:textId="56389878" w:rsidR="004B2917" w:rsidRDefault="0045103F" w:rsidP="00EB4550">
      <w:r>
        <w:t xml:space="preserve">Overall, below the line items had a relatively small impact on </w:t>
      </w:r>
      <w:r w:rsidR="00A4300D">
        <w:t xml:space="preserve">total teaching and scholarship costs. On average costs were </w:t>
      </w:r>
      <w:r>
        <w:t>0.82</w:t>
      </w:r>
      <w:r w:rsidR="00A4300D">
        <w:t xml:space="preserve">% higher </w:t>
      </w:r>
      <w:proofErr w:type="gramStart"/>
      <w:r>
        <w:t>as a result</w:t>
      </w:r>
      <w:proofErr w:type="gramEnd"/>
      <w:r>
        <w:t xml:space="preserve"> of including these </w:t>
      </w:r>
      <w:r w:rsidR="00A4300D">
        <w:t>two items (</w:t>
      </w:r>
      <w:r w:rsidR="002D3041">
        <w:fldChar w:fldCharType="begin"/>
      </w:r>
      <w:r w:rsidR="002D3041">
        <w:instrText xml:space="preserve"> REF _Ref534713034 \r \h </w:instrText>
      </w:r>
      <w:r w:rsidR="002D3041">
        <w:fldChar w:fldCharType="separate"/>
      </w:r>
      <w:r w:rsidR="00F47C96">
        <w:t>Table 2.5</w:t>
      </w:r>
      <w:r w:rsidR="002D3041">
        <w:fldChar w:fldCharType="end"/>
      </w:r>
      <w:r>
        <w:t xml:space="preserve">). </w:t>
      </w:r>
      <w:r w:rsidR="00A4300D">
        <w:t>Reported costs against these items were provided by only eight universities (three for in-kind, and five for partnership costs</w:t>
      </w:r>
      <w:r>
        <w:t xml:space="preserve">). It </w:t>
      </w:r>
      <w:proofErr w:type="gramStart"/>
      <w:r>
        <w:t>should be noted</w:t>
      </w:r>
      <w:proofErr w:type="gramEnd"/>
      <w:r w:rsidR="00A4300D">
        <w:t xml:space="preserve"> </w:t>
      </w:r>
      <w:r>
        <w:t xml:space="preserve">that some universities </w:t>
      </w:r>
      <w:r w:rsidR="00A4300D">
        <w:t xml:space="preserve">indicated difficulty in accurately </w:t>
      </w:r>
      <w:r w:rsidR="00A4300D">
        <w:lastRenderedPageBreak/>
        <w:t>identifying and measuring these costs to a level of</w:t>
      </w:r>
      <w:r>
        <w:t xml:space="preserve"> confidence where they could be</w:t>
      </w:r>
      <w:r w:rsidR="00A4300D">
        <w:t xml:space="preserve"> reliably included in the template. </w:t>
      </w:r>
      <w:r>
        <w:t>This was particularly the case for ‘in-kind’ costs.</w:t>
      </w:r>
      <w:r w:rsidR="00A4300D">
        <w:t xml:space="preserve"> </w:t>
      </w:r>
    </w:p>
    <w:p w14:paraId="566268A5" w14:textId="77777777" w:rsidR="00A4300D" w:rsidRDefault="00A4300D" w:rsidP="006118C2">
      <w:pPr>
        <w:pStyle w:val="CaptionTable"/>
      </w:pPr>
      <w:bookmarkStart w:id="434" w:name="_Ref534713034"/>
      <w:bookmarkStart w:id="435" w:name="_Toc534713877"/>
      <w:r>
        <w:t>: Total average impact of ‘below the line’ costs on teaching and scholarship costs</w:t>
      </w:r>
      <w:bookmarkEnd w:id="434"/>
      <w:bookmarkEnd w:id="435"/>
      <w:r>
        <w:t xml:space="preserve"> </w:t>
      </w:r>
    </w:p>
    <w:tbl>
      <w:tblPr>
        <w:tblStyle w:val="Deloittetable"/>
        <w:tblW w:w="6908" w:type="dxa"/>
        <w:tblLook w:val="04A0" w:firstRow="1" w:lastRow="0" w:firstColumn="1" w:lastColumn="0" w:noHBand="0" w:noVBand="1"/>
      </w:tblPr>
      <w:tblGrid>
        <w:gridCol w:w="3170"/>
        <w:gridCol w:w="1517"/>
        <w:gridCol w:w="2269"/>
      </w:tblGrid>
      <w:tr w:rsidR="00A4300D" w14:paraId="6C16FC09" w14:textId="77777777" w:rsidTr="00A4300D">
        <w:trPr>
          <w:cnfStyle w:val="100000000000" w:firstRow="1" w:lastRow="0" w:firstColumn="0" w:lastColumn="0" w:oddVBand="0" w:evenVBand="0" w:oddHBand="0" w:evenHBand="0" w:firstRowFirstColumn="0" w:firstRowLastColumn="0" w:lastRowFirstColumn="0" w:lastRowLastColumn="0"/>
          <w:trHeight w:val="572"/>
        </w:trPr>
        <w:tc>
          <w:tcPr>
            <w:tcW w:w="3154" w:type="dxa"/>
            <w:tcBorders>
              <w:left w:val="nil"/>
              <w:bottom w:val="single" w:sz="4" w:space="0" w:color="000000" w:themeColor="text1"/>
              <w:right w:val="nil"/>
            </w:tcBorders>
            <w:noWrap/>
            <w:hideMark/>
          </w:tcPr>
          <w:p w14:paraId="18556F90" w14:textId="77777777" w:rsidR="00A4300D" w:rsidRDefault="00A4300D"/>
        </w:tc>
        <w:tc>
          <w:tcPr>
            <w:tcW w:w="1501" w:type="dxa"/>
            <w:tcBorders>
              <w:left w:val="nil"/>
              <w:bottom w:val="single" w:sz="4" w:space="0" w:color="000000" w:themeColor="text1"/>
              <w:right w:val="nil"/>
            </w:tcBorders>
            <w:noWrap/>
            <w:hideMark/>
          </w:tcPr>
          <w:p w14:paraId="20A5B730" w14:textId="77777777" w:rsidR="00A4300D" w:rsidRDefault="007D1B7E" w:rsidP="005719A7">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Impact on c</w:t>
            </w:r>
            <w:r w:rsidR="00A4300D">
              <w:rPr>
                <w:rFonts w:eastAsia="Times New Roman" w:cs="Arial"/>
                <w:b/>
                <w:i/>
                <w:iCs/>
                <w:sz w:val="16"/>
                <w:szCs w:val="16"/>
                <w:lang w:eastAsia="en-AU"/>
              </w:rPr>
              <w:t>ost per EFTSL</w:t>
            </w:r>
          </w:p>
        </w:tc>
        <w:tc>
          <w:tcPr>
            <w:tcW w:w="2253" w:type="dxa"/>
            <w:tcBorders>
              <w:left w:val="nil"/>
              <w:bottom w:val="single" w:sz="4" w:space="0" w:color="000000" w:themeColor="text1"/>
              <w:right w:val="nil"/>
            </w:tcBorders>
            <w:hideMark/>
          </w:tcPr>
          <w:p w14:paraId="1071780B" w14:textId="77777777" w:rsidR="00A4300D" w:rsidRDefault="00A4300D">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 impact on total teaching and scholarship costs</w:t>
            </w:r>
          </w:p>
        </w:tc>
      </w:tr>
      <w:tr w:rsidR="00A4300D" w14:paraId="72B42A66" w14:textId="77777777" w:rsidTr="00A4300D">
        <w:trPr>
          <w:trHeight w:val="226"/>
        </w:trPr>
        <w:tc>
          <w:tcPr>
            <w:tcW w:w="3154" w:type="dxa"/>
            <w:tcBorders>
              <w:top w:val="single" w:sz="4" w:space="0" w:color="000000" w:themeColor="text1"/>
              <w:left w:val="nil"/>
              <w:bottom w:val="single" w:sz="4" w:space="0" w:color="000000" w:themeColor="text1"/>
              <w:right w:val="nil"/>
            </w:tcBorders>
            <w:noWrap/>
            <w:hideMark/>
          </w:tcPr>
          <w:p w14:paraId="48CFCE65" w14:textId="77777777" w:rsidR="00A4300D" w:rsidRDefault="00A4300D">
            <w:pPr>
              <w:spacing w:after="0" w:line="240" w:lineRule="auto"/>
              <w:rPr>
                <w:rFonts w:eastAsia="Times New Roman" w:cs="Arial"/>
                <w:b/>
                <w:sz w:val="16"/>
                <w:szCs w:val="16"/>
                <w:lang w:eastAsia="en-AU"/>
              </w:rPr>
            </w:pPr>
            <w:r>
              <w:rPr>
                <w:rFonts w:eastAsia="Times New Roman" w:cs="Arial"/>
                <w:b/>
                <w:sz w:val="16"/>
                <w:szCs w:val="16"/>
                <w:lang w:eastAsia="en-AU"/>
              </w:rPr>
              <w:t>In-kind costs</w:t>
            </w:r>
          </w:p>
        </w:tc>
        <w:tc>
          <w:tcPr>
            <w:tcW w:w="1501" w:type="dxa"/>
            <w:tcBorders>
              <w:top w:val="single" w:sz="4" w:space="0" w:color="000000" w:themeColor="text1"/>
              <w:left w:val="nil"/>
              <w:bottom w:val="single" w:sz="4" w:space="0" w:color="000000" w:themeColor="text1"/>
              <w:right w:val="nil"/>
            </w:tcBorders>
            <w:noWrap/>
            <w:hideMark/>
          </w:tcPr>
          <w:p w14:paraId="672DCC89" w14:textId="77777777" w:rsidR="00A4300D" w:rsidRDefault="007D1B7E" w:rsidP="00541F72">
            <w:pPr>
              <w:spacing w:after="0" w:line="240" w:lineRule="auto"/>
              <w:jc w:val="center"/>
              <w:rPr>
                <w:rFonts w:eastAsia="Times New Roman" w:cs="Arial"/>
                <w:sz w:val="16"/>
                <w:szCs w:val="16"/>
                <w:lang w:eastAsia="en-AU"/>
              </w:rPr>
            </w:pPr>
            <w:r>
              <w:rPr>
                <w:rFonts w:eastAsia="Times New Roman" w:cs="Arial"/>
                <w:sz w:val="16"/>
                <w:szCs w:val="16"/>
                <w:lang w:eastAsia="en-AU"/>
              </w:rPr>
              <w:t>+</w:t>
            </w:r>
            <w:r w:rsidR="00A4300D">
              <w:rPr>
                <w:rFonts w:eastAsia="Times New Roman" w:cs="Arial"/>
                <w:sz w:val="16"/>
                <w:szCs w:val="16"/>
                <w:lang w:eastAsia="en-AU"/>
              </w:rPr>
              <w:t>$73</w:t>
            </w:r>
          </w:p>
        </w:tc>
        <w:tc>
          <w:tcPr>
            <w:tcW w:w="2253" w:type="dxa"/>
            <w:tcBorders>
              <w:top w:val="single" w:sz="4" w:space="0" w:color="000000" w:themeColor="text1"/>
              <w:left w:val="nil"/>
              <w:bottom w:val="single" w:sz="4" w:space="0" w:color="000000" w:themeColor="text1"/>
              <w:right w:val="nil"/>
            </w:tcBorders>
            <w:noWrap/>
            <w:hideMark/>
          </w:tcPr>
          <w:p w14:paraId="630C876C" w14:textId="77777777" w:rsidR="00A4300D" w:rsidRDefault="007D1B7E" w:rsidP="00541F72">
            <w:pPr>
              <w:spacing w:after="0" w:line="240" w:lineRule="auto"/>
              <w:jc w:val="center"/>
              <w:rPr>
                <w:rFonts w:eastAsia="Times New Roman" w:cs="Arial"/>
                <w:sz w:val="16"/>
                <w:szCs w:val="16"/>
                <w:lang w:eastAsia="en-AU"/>
              </w:rPr>
            </w:pPr>
            <w:r>
              <w:rPr>
                <w:rFonts w:eastAsia="Times New Roman" w:cs="Arial"/>
                <w:sz w:val="16"/>
                <w:szCs w:val="16"/>
                <w:lang w:eastAsia="en-AU"/>
              </w:rPr>
              <w:t>+</w:t>
            </w:r>
            <w:r w:rsidR="00A4300D">
              <w:rPr>
                <w:rFonts w:eastAsia="Times New Roman" w:cs="Arial"/>
                <w:sz w:val="16"/>
                <w:szCs w:val="16"/>
                <w:lang w:eastAsia="en-AU"/>
              </w:rPr>
              <w:t>0.40%</w:t>
            </w:r>
          </w:p>
        </w:tc>
      </w:tr>
      <w:tr w:rsidR="00A4300D" w14:paraId="44870B2C" w14:textId="77777777" w:rsidTr="00A4300D">
        <w:trPr>
          <w:trHeight w:val="226"/>
        </w:trPr>
        <w:tc>
          <w:tcPr>
            <w:tcW w:w="3154" w:type="dxa"/>
            <w:tcBorders>
              <w:top w:val="single" w:sz="4" w:space="0" w:color="000000" w:themeColor="text1"/>
              <w:left w:val="nil"/>
              <w:bottom w:val="single" w:sz="4" w:space="0" w:color="000000" w:themeColor="text1"/>
              <w:right w:val="nil"/>
            </w:tcBorders>
            <w:noWrap/>
            <w:hideMark/>
          </w:tcPr>
          <w:p w14:paraId="04CB880A" w14:textId="77777777" w:rsidR="00A4300D" w:rsidRDefault="00A4300D">
            <w:pPr>
              <w:spacing w:after="0" w:line="240" w:lineRule="auto"/>
              <w:rPr>
                <w:rFonts w:eastAsia="Times New Roman" w:cs="Arial"/>
                <w:b/>
                <w:sz w:val="16"/>
                <w:szCs w:val="16"/>
                <w:lang w:eastAsia="en-AU"/>
              </w:rPr>
            </w:pPr>
            <w:r>
              <w:rPr>
                <w:rFonts w:eastAsia="Times New Roman" w:cs="Arial"/>
                <w:b/>
                <w:sz w:val="16"/>
                <w:szCs w:val="16"/>
                <w:lang w:eastAsia="en-AU"/>
              </w:rPr>
              <w:t>Third party and partnership costs</w:t>
            </w:r>
          </w:p>
        </w:tc>
        <w:tc>
          <w:tcPr>
            <w:tcW w:w="1501" w:type="dxa"/>
            <w:tcBorders>
              <w:top w:val="single" w:sz="4" w:space="0" w:color="000000" w:themeColor="text1"/>
              <w:left w:val="nil"/>
              <w:bottom w:val="single" w:sz="4" w:space="0" w:color="000000" w:themeColor="text1"/>
              <w:right w:val="nil"/>
            </w:tcBorders>
            <w:noWrap/>
            <w:hideMark/>
          </w:tcPr>
          <w:p w14:paraId="0F2E9A36" w14:textId="77777777" w:rsidR="00A4300D" w:rsidRDefault="007D1B7E" w:rsidP="00541F72">
            <w:pPr>
              <w:spacing w:after="0" w:line="240" w:lineRule="auto"/>
              <w:jc w:val="center"/>
              <w:rPr>
                <w:rFonts w:eastAsia="Times New Roman" w:cs="Arial"/>
                <w:sz w:val="16"/>
                <w:szCs w:val="16"/>
                <w:lang w:eastAsia="en-AU"/>
              </w:rPr>
            </w:pPr>
            <w:r>
              <w:rPr>
                <w:rFonts w:eastAsia="Times New Roman" w:cs="Arial"/>
                <w:sz w:val="16"/>
                <w:szCs w:val="16"/>
                <w:lang w:eastAsia="en-AU"/>
              </w:rPr>
              <w:t>+</w:t>
            </w:r>
            <w:r w:rsidR="00A4300D">
              <w:rPr>
                <w:rFonts w:eastAsia="Times New Roman" w:cs="Arial"/>
                <w:sz w:val="16"/>
                <w:szCs w:val="16"/>
                <w:lang w:eastAsia="en-AU"/>
              </w:rPr>
              <w:t>$</w:t>
            </w:r>
            <w:r w:rsidR="0045103F">
              <w:rPr>
                <w:rFonts w:eastAsia="Times New Roman" w:cs="Arial"/>
                <w:sz w:val="16"/>
                <w:szCs w:val="16"/>
                <w:lang w:eastAsia="en-AU"/>
              </w:rPr>
              <w:t>77</w:t>
            </w:r>
          </w:p>
        </w:tc>
        <w:tc>
          <w:tcPr>
            <w:tcW w:w="2253" w:type="dxa"/>
            <w:tcBorders>
              <w:top w:val="single" w:sz="4" w:space="0" w:color="000000" w:themeColor="text1"/>
              <w:left w:val="nil"/>
              <w:bottom w:val="single" w:sz="4" w:space="0" w:color="000000" w:themeColor="text1"/>
              <w:right w:val="nil"/>
            </w:tcBorders>
            <w:noWrap/>
            <w:hideMark/>
          </w:tcPr>
          <w:p w14:paraId="09DED466" w14:textId="77777777" w:rsidR="00A4300D" w:rsidRDefault="007D1B7E" w:rsidP="00541F72">
            <w:pPr>
              <w:spacing w:after="0" w:line="240" w:lineRule="auto"/>
              <w:jc w:val="center"/>
              <w:rPr>
                <w:rFonts w:eastAsia="Times New Roman" w:cs="Arial"/>
                <w:sz w:val="16"/>
                <w:szCs w:val="16"/>
                <w:lang w:eastAsia="en-AU"/>
              </w:rPr>
            </w:pPr>
            <w:r>
              <w:rPr>
                <w:rFonts w:eastAsia="Times New Roman" w:cs="Arial"/>
                <w:sz w:val="16"/>
                <w:szCs w:val="16"/>
                <w:lang w:eastAsia="en-AU"/>
              </w:rPr>
              <w:t>+</w:t>
            </w:r>
            <w:r w:rsidR="0045103F">
              <w:rPr>
                <w:rFonts w:eastAsia="Times New Roman" w:cs="Arial"/>
                <w:sz w:val="16"/>
                <w:szCs w:val="16"/>
                <w:lang w:eastAsia="en-AU"/>
              </w:rPr>
              <w:t>0.42</w:t>
            </w:r>
            <w:r w:rsidR="00A4300D">
              <w:rPr>
                <w:rFonts w:eastAsia="Times New Roman" w:cs="Arial"/>
                <w:sz w:val="16"/>
                <w:szCs w:val="16"/>
                <w:lang w:eastAsia="en-AU"/>
              </w:rPr>
              <w:t>%</w:t>
            </w:r>
          </w:p>
        </w:tc>
      </w:tr>
      <w:tr w:rsidR="00A4300D" w14:paraId="25F9EC21" w14:textId="77777777" w:rsidTr="00A4300D">
        <w:trPr>
          <w:trHeight w:val="226"/>
        </w:trPr>
        <w:tc>
          <w:tcPr>
            <w:tcW w:w="3154" w:type="dxa"/>
            <w:tcBorders>
              <w:top w:val="single" w:sz="4" w:space="0" w:color="000000" w:themeColor="text1"/>
              <w:left w:val="nil"/>
              <w:bottom w:val="single" w:sz="4" w:space="0" w:color="000000" w:themeColor="text1"/>
              <w:right w:val="nil"/>
            </w:tcBorders>
            <w:noWrap/>
            <w:hideMark/>
          </w:tcPr>
          <w:p w14:paraId="0BC460B8" w14:textId="77777777" w:rsidR="00A4300D" w:rsidRDefault="00A4300D">
            <w:pPr>
              <w:spacing w:after="0" w:line="240" w:lineRule="auto"/>
              <w:rPr>
                <w:rFonts w:eastAsia="Times New Roman" w:cs="Arial"/>
                <w:b/>
                <w:sz w:val="16"/>
                <w:szCs w:val="16"/>
                <w:lang w:eastAsia="en-AU"/>
              </w:rPr>
            </w:pPr>
            <w:r>
              <w:rPr>
                <w:rFonts w:eastAsia="Times New Roman" w:cs="Arial"/>
                <w:b/>
                <w:sz w:val="16"/>
                <w:szCs w:val="16"/>
                <w:lang w:eastAsia="en-AU"/>
              </w:rPr>
              <w:t>Total below the line costs</w:t>
            </w:r>
          </w:p>
        </w:tc>
        <w:tc>
          <w:tcPr>
            <w:tcW w:w="1501" w:type="dxa"/>
            <w:tcBorders>
              <w:top w:val="single" w:sz="4" w:space="0" w:color="000000" w:themeColor="text1"/>
              <w:left w:val="nil"/>
              <w:bottom w:val="single" w:sz="4" w:space="0" w:color="000000" w:themeColor="text1"/>
              <w:right w:val="nil"/>
            </w:tcBorders>
            <w:noWrap/>
            <w:hideMark/>
          </w:tcPr>
          <w:p w14:paraId="07BF1C22" w14:textId="77777777" w:rsidR="00A4300D" w:rsidRDefault="007D1B7E" w:rsidP="00541F72">
            <w:pPr>
              <w:spacing w:after="0" w:line="240" w:lineRule="auto"/>
              <w:jc w:val="center"/>
              <w:rPr>
                <w:rFonts w:eastAsia="Times New Roman" w:cs="Arial"/>
                <w:sz w:val="16"/>
                <w:szCs w:val="16"/>
                <w:lang w:eastAsia="en-AU"/>
              </w:rPr>
            </w:pPr>
            <w:r>
              <w:rPr>
                <w:rFonts w:eastAsia="Times New Roman" w:cs="Arial"/>
                <w:sz w:val="16"/>
                <w:szCs w:val="16"/>
                <w:lang w:eastAsia="en-AU"/>
              </w:rPr>
              <w:t>+</w:t>
            </w:r>
            <w:r w:rsidR="00A4300D">
              <w:rPr>
                <w:rFonts w:eastAsia="Times New Roman" w:cs="Arial"/>
                <w:sz w:val="16"/>
                <w:szCs w:val="16"/>
                <w:lang w:eastAsia="en-AU"/>
              </w:rPr>
              <w:t>$</w:t>
            </w:r>
            <w:r w:rsidR="0045103F">
              <w:rPr>
                <w:rFonts w:eastAsia="Times New Roman" w:cs="Arial"/>
                <w:sz w:val="16"/>
                <w:szCs w:val="16"/>
                <w:lang w:eastAsia="en-AU"/>
              </w:rPr>
              <w:t>151</w:t>
            </w:r>
          </w:p>
        </w:tc>
        <w:tc>
          <w:tcPr>
            <w:tcW w:w="2253" w:type="dxa"/>
            <w:tcBorders>
              <w:top w:val="single" w:sz="4" w:space="0" w:color="000000" w:themeColor="text1"/>
              <w:left w:val="nil"/>
              <w:bottom w:val="single" w:sz="4" w:space="0" w:color="000000" w:themeColor="text1"/>
              <w:right w:val="nil"/>
            </w:tcBorders>
            <w:noWrap/>
            <w:hideMark/>
          </w:tcPr>
          <w:p w14:paraId="49A6FB0D" w14:textId="77777777" w:rsidR="00A4300D" w:rsidRDefault="007D1B7E" w:rsidP="00541F72">
            <w:pPr>
              <w:spacing w:after="0" w:line="240" w:lineRule="auto"/>
              <w:jc w:val="center"/>
              <w:rPr>
                <w:rFonts w:eastAsia="Times New Roman" w:cs="Arial"/>
                <w:sz w:val="16"/>
                <w:szCs w:val="16"/>
                <w:lang w:eastAsia="en-AU"/>
              </w:rPr>
            </w:pPr>
            <w:r>
              <w:rPr>
                <w:rFonts w:eastAsia="Times New Roman" w:cs="Arial"/>
                <w:sz w:val="16"/>
                <w:szCs w:val="16"/>
                <w:lang w:eastAsia="en-AU"/>
              </w:rPr>
              <w:t>+</w:t>
            </w:r>
            <w:r w:rsidR="0045103F">
              <w:rPr>
                <w:rFonts w:eastAsia="Times New Roman" w:cs="Arial"/>
                <w:sz w:val="16"/>
                <w:szCs w:val="16"/>
                <w:lang w:eastAsia="en-AU"/>
              </w:rPr>
              <w:t>0.82</w:t>
            </w:r>
            <w:r w:rsidR="00A4300D">
              <w:rPr>
                <w:rFonts w:eastAsia="Times New Roman" w:cs="Arial"/>
                <w:sz w:val="16"/>
                <w:szCs w:val="16"/>
                <w:lang w:eastAsia="en-AU"/>
              </w:rPr>
              <w:t>%</w:t>
            </w:r>
          </w:p>
        </w:tc>
      </w:tr>
    </w:tbl>
    <w:p w14:paraId="7FE46F9F" w14:textId="77777777" w:rsidR="00A4300D" w:rsidRDefault="00A4300D" w:rsidP="00A4300D">
      <w:pPr>
        <w:pStyle w:val="Heading3un-numbered"/>
        <w:spacing w:before="170"/>
      </w:pPr>
      <w:r>
        <w:t xml:space="preserve">In-kind costs </w:t>
      </w:r>
    </w:p>
    <w:p w14:paraId="799B2B75" w14:textId="77777777" w:rsidR="00A4300D" w:rsidRDefault="00A4300D" w:rsidP="00A4300D">
      <w:r>
        <w:t xml:space="preserve">In-kind costs reflect non-monetary exchange of good and services in return for teaching and scholarship services, which if not for the existing ‘quid pro quo’ nature, a university would face a financial cost. These arrangements </w:t>
      </w:r>
      <w:proofErr w:type="gramStart"/>
      <w:r>
        <w:t>may, for example, involve</w:t>
      </w:r>
      <w:proofErr w:type="gramEnd"/>
      <w:r>
        <w:t xml:space="preserve"> the shared use of another institution’s staff or resources for the purposes of teaching and scholarship, in exchange for the use of buildings or facilities.  </w:t>
      </w:r>
    </w:p>
    <w:p w14:paraId="50DF1BB8" w14:textId="77777777" w:rsidR="00A4300D" w:rsidRDefault="00A4300D" w:rsidP="00A4300D">
      <w:r>
        <w:t>Three universities reported in-kind costs across 15 fields of education (</w:t>
      </w:r>
      <w:r w:rsidR="003E6259">
        <w:t>Table 2.6</w:t>
      </w:r>
      <w:r>
        <w:t xml:space="preserve">), resulting in an average increase of $73 (or 0.40%) in cost per EFTSL. </w:t>
      </w:r>
    </w:p>
    <w:p w14:paraId="1A373132" w14:textId="77777777" w:rsidR="005D3384" w:rsidRDefault="00A4300D" w:rsidP="00A4300D">
      <w:r>
        <w:t>The impact on cost per EFTSL is less than 1% across 14 of the 15 reported fields. The Medical Studies field is the clear exception, in which in-kind costs were equivalent to a $1,</w:t>
      </w:r>
      <w:r w:rsidR="0045103F">
        <w:t>373</w:t>
      </w:r>
      <w:r>
        <w:t xml:space="preserve"> (or 4.1%) increase in cost per EFTSL. </w:t>
      </w:r>
    </w:p>
    <w:p w14:paraId="52670C5A" w14:textId="77777777" w:rsidR="005D3384" w:rsidRDefault="005D3384">
      <w:pPr>
        <w:spacing w:after="0"/>
      </w:pPr>
      <w:r>
        <w:br w:type="page"/>
      </w:r>
    </w:p>
    <w:p w14:paraId="5651B395" w14:textId="77777777" w:rsidR="00A4300D" w:rsidRDefault="00A4300D" w:rsidP="006118C2">
      <w:pPr>
        <w:pStyle w:val="CaptionTable"/>
      </w:pPr>
      <w:bookmarkStart w:id="436" w:name="_Toc534713878"/>
      <w:r>
        <w:lastRenderedPageBreak/>
        <w:t>: Impact of in-kind costs on total teaching and scholarship costs</w:t>
      </w:r>
      <w:bookmarkEnd w:id="436"/>
      <w:r>
        <w:t xml:space="preserve"> </w:t>
      </w:r>
    </w:p>
    <w:tbl>
      <w:tblPr>
        <w:tblStyle w:val="Deloittetable"/>
        <w:tblW w:w="7719" w:type="dxa"/>
        <w:tblLook w:val="04A0" w:firstRow="1" w:lastRow="0" w:firstColumn="1" w:lastColumn="0" w:noHBand="0" w:noVBand="1"/>
      </w:tblPr>
      <w:tblGrid>
        <w:gridCol w:w="1896"/>
        <w:gridCol w:w="1534"/>
        <w:gridCol w:w="1441"/>
        <w:gridCol w:w="2912"/>
      </w:tblGrid>
      <w:tr w:rsidR="00A4300D" w14:paraId="5DD08286" w14:textId="77777777" w:rsidTr="00A4300D">
        <w:trPr>
          <w:cnfStyle w:val="100000000000" w:firstRow="1" w:lastRow="0" w:firstColumn="0" w:lastColumn="0" w:oddVBand="0" w:evenVBand="0" w:oddHBand="0" w:evenHBand="0" w:firstRowFirstColumn="0" w:firstRowLastColumn="0" w:lastRowFirstColumn="0" w:lastRowLastColumn="0"/>
          <w:trHeight w:val="446"/>
        </w:trPr>
        <w:tc>
          <w:tcPr>
            <w:tcW w:w="1880" w:type="dxa"/>
            <w:tcBorders>
              <w:left w:val="nil"/>
              <w:bottom w:val="single" w:sz="4" w:space="0" w:color="000000" w:themeColor="text1"/>
              <w:right w:val="nil"/>
            </w:tcBorders>
            <w:noWrap/>
            <w:hideMark/>
          </w:tcPr>
          <w:p w14:paraId="176341A2" w14:textId="77777777" w:rsidR="00A4300D" w:rsidRDefault="00A4300D">
            <w:pPr>
              <w:spacing w:after="0" w:line="240" w:lineRule="auto"/>
              <w:rPr>
                <w:rFonts w:eastAsia="Times New Roman" w:cs="Arial"/>
                <w:b/>
                <w:sz w:val="16"/>
                <w:szCs w:val="16"/>
                <w:lang w:eastAsia="en-AU"/>
              </w:rPr>
            </w:pPr>
            <w:r>
              <w:rPr>
                <w:rFonts w:eastAsia="Times New Roman" w:cs="Arial"/>
                <w:sz w:val="16"/>
                <w:szCs w:val="16"/>
                <w:lang w:eastAsia="en-AU"/>
              </w:rPr>
              <w:t> </w:t>
            </w:r>
            <w:r>
              <w:rPr>
                <w:rFonts w:eastAsia="Times New Roman" w:cs="Arial"/>
                <w:b/>
                <w:sz w:val="16"/>
                <w:szCs w:val="16"/>
                <w:lang w:eastAsia="en-AU"/>
              </w:rPr>
              <w:t>Field of education</w:t>
            </w:r>
          </w:p>
        </w:tc>
        <w:tc>
          <w:tcPr>
            <w:tcW w:w="1518" w:type="dxa"/>
            <w:tcBorders>
              <w:left w:val="nil"/>
              <w:bottom w:val="single" w:sz="4" w:space="0" w:color="000000" w:themeColor="text1"/>
              <w:right w:val="nil"/>
            </w:tcBorders>
            <w:noWrap/>
            <w:hideMark/>
          </w:tcPr>
          <w:p w14:paraId="55D9A9E9" w14:textId="77777777" w:rsidR="00A4300D" w:rsidRDefault="007D1B7E" w:rsidP="005719A7">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Impact on t</w:t>
            </w:r>
            <w:r w:rsidR="00A4300D">
              <w:rPr>
                <w:rFonts w:eastAsia="Times New Roman" w:cs="Arial"/>
                <w:b/>
                <w:i/>
                <w:iCs/>
                <w:sz w:val="16"/>
                <w:szCs w:val="16"/>
                <w:lang w:eastAsia="en-AU"/>
              </w:rPr>
              <w:t>otal cost</w:t>
            </w:r>
          </w:p>
        </w:tc>
        <w:tc>
          <w:tcPr>
            <w:tcW w:w="1425" w:type="dxa"/>
            <w:tcBorders>
              <w:left w:val="nil"/>
              <w:bottom w:val="single" w:sz="4" w:space="0" w:color="000000" w:themeColor="text1"/>
              <w:right w:val="nil"/>
            </w:tcBorders>
            <w:noWrap/>
            <w:hideMark/>
          </w:tcPr>
          <w:p w14:paraId="1A58231E" w14:textId="77777777" w:rsidR="00A4300D" w:rsidRDefault="007D1B7E">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Impact on c</w:t>
            </w:r>
            <w:r w:rsidR="00A4300D">
              <w:rPr>
                <w:rFonts w:eastAsia="Times New Roman" w:cs="Arial"/>
                <w:b/>
                <w:i/>
                <w:iCs/>
                <w:sz w:val="16"/>
                <w:szCs w:val="16"/>
                <w:lang w:eastAsia="en-AU"/>
              </w:rPr>
              <w:t>ost per EFTSL</w:t>
            </w:r>
          </w:p>
        </w:tc>
        <w:tc>
          <w:tcPr>
            <w:tcW w:w="2896" w:type="dxa"/>
            <w:tcBorders>
              <w:left w:val="nil"/>
              <w:bottom w:val="single" w:sz="4" w:space="0" w:color="000000" w:themeColor="text1"/>
              <w:right w:val="nil"/>
            </w:tcBorders>
            <w:hideMark/>
          </w:tcPr>
          <w:p w14:paraId="4247F6B6" w14:textId="77777777" w:rsidR="00A4300D" w:rsidRDefault="00A4300D">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 impact on total teaching and scholarship costs per EFTSL</w:t>
            </w:r>
          </w:p>
        </w:tc>
      </w:tr>
      <w:tr w:rsidR="00A4300D" w14:paraId="65C74DFC"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232C49CA"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MathSci</w:t>
            </w:r>
            <w:proofErr w:type="spellEnd"/>
          </w:p>
        </w:tc>
        <w:tc>
          <w:tcPr>
            <w:tcW w:w="1518" w:type="dxa"/>
            <w:tcBorders>
              <w:top w:val="single" w:sz="4" w:space="0" w:color="000000" w:themeColor="text1"/>
              <w:left w:val="nil"/>
              <w:bottom w:val="single" w:sz="4" w:space="0" w:color="000000" w:themeColor="text1"/>
              <w:right w:val="nil"/>
            </w:tcBorders>
            <w:noWrap/>
            <w:hideMark/>
          </w:tcPr>
          <w:p w14:paraId="75178E91"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$130,000</w:t>
            </w:r>
          </w:p>
        </w:tc>
        <w:tc>
          <w:tcPr>
            <w:tcW w:w="1425" w:type="dxa"/>
            <w:tcBorders>
              <w:top w:val="single" w:sz="4" w:space="0" w:color="000000" w:themeColor="text1"/>
              <w:left w:val="nil"/>
              <w:bottom w:val="single" w:sz="4" w:space="0" w:color="000000" w:themeColor="text1"/>
              <w:right w:val="nil"/>
            </w:tcBorders>
            <w:noWrap/>
            <w:hideMark/>
          </w:tcPr>
          <w:p w14:paraId="23C535C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$8</w:t>
            </w:r>
          </w:p>
        </w:tc>
        <w:tc>
          <w:tcPr>
            <w:tcW w:w="2896" w:type="dxa"/>
            <w:tcBorders>
              <w:top w:val="single" w:sz="4" w:space="0" w:color="000000" w:themeColor="text1"/>
              <w:left w:val="nil"/>
              <w:bottom w:val="single" w:sz="4" w:space="0" w:color="000000" w:themeColor="text1"/>
              <w:right w:val="nil"/>
            </w:tcBorders>
            <w:noWrap/>
            <w:hideMark/>
          </w:tcPr>
          <w:p w14:paraId="5FAC084D"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0.05%</w:t>
            </w:r>
          </w:p>
        </w:tc>
      </w:tr>
      <w:tr w:rsidR="00A4300D" w14:paraId="7D7F845A"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2A07987C"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MedicalSci</w:t>
            </w:r>
            <w:proofErr w:type="spellEnd"/>
          </w:p>
        </w:tc>
        <w:tc>
          <w:tcPr>
            <w:tcW w:w="1518" w:type="dxa"/>
            <w:tcBorders>
              <w:top w:val="single" w:sz="4" w:space="0" w:color="000000" w:themeColor="text1"/>
              <w:left w:val="nil"/>
              <w:bottom w:val="single" w:sz="4" w:space="0" w:color="000000" w:themeColor="text1"/>
              <w:right w:val="nil"/>
            </w:tcBorders>
            <w:noWrap/>
            <w:hideMark/>
          </w:tcPr>
          <w:p w14:paraId="0071A205"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$156,825</w:t>
            </w:r>
          </w:p>
        </w:tc>
        <w:tc>
          <w:tcPr>
            <w:tcW w:w="1425" w:type="dxa"/>
            <w:tcBorders>
              <w:top w:val="single" w:sz="4" w:space="0" w:color="000000" w:themeColor="text1"/>
              <w:left w:val="nil"/>
              <w:bottom w:val="single" w:sz="4" w:space="0" w:color="000000" w:themeColor="text1"/>
              <w:right w:val="nil"/>
            </w:tcBorders>
            <w:noWrap/>
            <w:hideMark/>
          </w:tcPr>
          <w:p w14:paraId="22614C8C"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$45</w:t>
            </w:r>
          </w:p>
        </w:tc>
        <w:tc>
          <w:tcPr>
            <w:tcW w:w="2896" w:type="dxa"/>
            <w:tcBorders>
              <w:top w:val="single" w:sz="4" w:space="0" w:color="000000" w:themeColor="text1"/>
              <w:left w:val="nil"/>
              <w:bottom w:val="single" w:sz="4" w:space="0" w:color="000000" w:themeColor="text1"/>
              <w:right w:val="nil"/>
            </w:tcBorders>
            <w:noWrap/>
            <w:hideMark/>
          </w:tcPr>
          <w:p w14:paraId="09C24937"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0.20%</w:t>
            </w:r>
          </w:p>
        </w:tc>
      </w:tr>
      <w:tr w:rsidR="00A4300D" w14:paraId="17A02E92"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20057030"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OthNat-PhysSci</w:t>
            </w:r>
            <w:proofErr w:type="spellEnd"/>
          </w:p>
        </w:tc>
        <w:tc>
          <w:tcPr>
            <w:tcW w:w="1518" w:type="dxa"/>
            <w:tcBorders>
              <w:top w:val="single" w:sz="4" w:space="0" w:color="000000" w:themeColor="text1"/>
              <w:left w:val="nil"/>
              <w:bottom w:val="single" w:sz="4" w:space="0" w:color="000000" w:themeColor="text1"/>
              <w:right w:val="nil"/>
            </w:tcBorders>
            <w:noWrap/>
            <w:hideMark/>
          </w:tcPr>
          <w:p w14:paraId="0BADAA7F"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$238,752</w:t>
            </w:r>
          </w:p>
        </w:tc>
        <w:tc>
          <w:tcPr>
            <w:tcW w:w="1425" w:type="dxa"/>
            <w:tcBorders>
              <w:top w:val="single" w:sz="4" w:space="0" w:color="000000" w:themeColor="text1"/>
              <w:left w:val="nil"/>
              <w:bottom w:val="single" w:sz="4" w:space="0" w:color="000000" w:themeColor="text1"/>
              <w:right w:val="nil"/>
            </w:tcBorders>
            <w:noWrap/>
            <w:hideMark/>
          </w:tcPr>
          <w:p w14:paraId="20728170"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$5</w:t>
            </w:r>
          </w:p>
        </w:tc>
        <w:tc>
          <w:tcPr>
            <w:tcW w:w="2896" w:type="dxa"/>
            <w:tcBorders>
              <w:top w:val="single" w:sz="4" w:space="0" w:color="000000" w:themeColor="text1"/>
              <w:left w:val="nil"/>
              <w:bottom w:val="single" w:sz="4" w:space="0" w:color="000000" w:themeColor="text1"/>
              <w:right w:val="nil"/>
            </w:tcBorders>
            <w:noWrap/>
            <w:hideMark/>
          </w:tcPr>
          <w:p w14:paraId="63DC5B1C"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0.02%</w:t>
            </w:r>
          </w:p>
        </w:tc>
      </w:tr>
      <w:tr w:rsidR="00A4300D" w14:paraId="1C443526"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77275201" w14:textId="77777777" w:rsidR="00A4300D" w:rsidRDefault="00A4300D">
            <w:pPr>
              <w:spacing w:after="0" w:line="240" w:lineRule="auto"/>
              <w:rPr>
                <w:rFonts w:eastAsia="Times New Roman" w:cs="Arial"/>
                <w:sz w:val="16"/>
                <w:szCs w:val="14"/>
                <w:lang w:eastAsia="en-AU"/>
              </w:rPr>
            </w:pPr>
            <w:r>
              <w:rPr>
                <w:rFonts w:eastAsia="Times New Roman" w:cs="Arial"/>
                <w:sz w:val="16"/>
                <w:szCs w:val="14"/>
                <w:lang w:eastAsia="en-AU"/>
              </w:rPr>
              <w:t>InfoTech</w:t>
            </w:r>
          </w:p>
        </w:tc>
        <w:tc>
          <w:tcPr>
            <w:tcW w:w="1518" w:type="dxa"/>
            <w:tcBorders>
              <w:top w:val="single" w:sz="4" w:space="0" w:color="000000" w:themeColor="text1"/>
              <w:left w:val="nil"/>
              <w:bottom w:val="single" w:sz="4" w:space="0" w:color="000000" w:themeColor="text1"/>
              <w:right w:val="nil"/>
            </w:tcBorders>
            <w:noWrap/>
            <w:hideMark/>
          </w:tcPr>
          <w:p w14:paraId="3A81EEB1"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$91,600</w:t>
            </w:r>
          </w:p>
        </w:tc>
        <w:tc>
          <w:tcPr>
            <w:tcW w:w="1425" w:type="dxa"/>
            <w:tcBorders>
              <w:top w:val="single" w:sz="4" w:space="0" w:color="000000" w:themeColor="text1"/>
              <w:left w:val="nil"/>
              <w:bottom w:val="single" w:sz="4" w:space="0" w:color="000000" w:themeColor="text1"/>
              <w:right w:val="nil"/>
            </w:tcBorders>
            <w:noWrap/>
            <w:hideMark/>
          </w:tcPr>
          <w:p w14:paraId="25AEDFBC"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w:t>
            </w:r>
          </w:p>
        </w:tc>
        <w:tc>
          <w:tcPr>
            <w:tcW w:w="2896" w:type="dxa"/>
            <w:tcBorders>
              <w:top w:val="single" w:sz="4" w:space="0" w:color="000000" w:themeColor="text1"/>
              <w:left w:val="nil"/>
              <w:bottom w:val="single" w:sz="4" w:space="0" w:color="000000" w:themeColor="text1"/>
              <w:right w:val="nil"/>
            </w:tcBorders>
            <w:noWrap/>
            <w:hideMark/>
          </w:tcPr>
          <w:p w14:paraId="40C9E43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0.02%</w:t>
            </w:r>
          </w:p>
        </w:tc>
      </w:tr>
      <w:tr w:rsidR="00A4300D" w14:paraId="3179BA68"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7FB7A441"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Eng&amp;Related</w:t>
            </w:r>
            <w:proofErr w:type="spellEnd"/>
          </w:p>
        </w:tc>
        <w:tc>
          <w:tcPr>
            <w:tcW w:w="1518" w:type="dxa"/>
            <w:tcBorders>
              <w:top w:val="single" w:sz="4" w:space="0" w:color="000000" w:themeColor="text1"/>
              <w:left w:val="nil"/>
              <w:bottom w:val="single" w:sz="4" w:space="0" w:color="000000" w:themeColor="text1"/>
              <w:right w:val="nil"/>
            </w:tcBorders>
            <w:noWrap/>
            <w:hideMark/>
          </w:tcPr>
          <w:p w14:paraId="43254D5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$1,250,900</w:t>
            </w:r>
          </w:p>
        </w:tc>
        <w:tc>
          <w:tcPr>
            <w:tcW w:w="1425" w:type="dxa"/>
            <w:tcBorders>
              <w:top w:val="single" w:sz="4" w:space="0" w:color="000000" w:themeColor="text1"/>
              <w:left w:val="nil"/>
              <w:bottom w:val="single" w:sz="4" w:space="0" w:color="000000" w:themeColor="text1"/>
              <w:right w:val="nil"/>
            </w:tcBorders>
            <w:noWrap/>
            <w:hideMark/>
          </w:tcPr>
          <w:p w14:paraId="09141870"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$36</w:t>
            </w:r>
          </w:p>
        </w:tc>
        <w:tc>
          <w:tcPr>
            <w:tcW w:w="2896" w:type="dxa"/>
            <w:tcBorders>
              <w:top w:val="single" w:sz="4" w:space="0" w:color="000000" w:themeColor="text1"/>
              <w:left w:val="nil"/>
              <w:bottom w:val="single" w:sz="4" w:space="0" w:color="000000" w:themeColor="text1"/>
              <w:right w:val="nil"/>
            </w:tcBorders>
            <w:noWrap/>
            <w:hideMark/>
          </w:tcPr>
          <w:p w14:paraId="62FA2567"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0.16%</w:t>
            </w:r>
          </w:p>
        </w:tc>
      </w:tr>
      <w:tr w:rsidR="00A4300D" w14:paraId="7B7E61EA"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25F10764"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Archi&amp;Build</w:t>
            </w:r>
            <w:proofErr w:type="spellEnd"/>
          </w:p>
        </w:tc>
        <w:tc>
          <w:tcPr>
            <w:tcW w:w="1518" w:type="dxa"/>
            <w:tcBorders>
              <w:top w:val="single" w:sz="4" w:space="0" w:color="000000" w:themeColor="text1"/>
              <w:left w:val="nil"/>
              <w:bottom w:val="single" w:sz="4" w:space="0" w:color="000000" w:themeColor="text1"/>
              <w:right w:val="nil"/>
            </w:tcBorders>
            <w:noWrap/>
            <w:hideMark/>
          </w:tcPr>
          <w:p w14:paraId="2AB5587A"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$35,000</w:t>
            </w:r>
          </w:p>
        </w:tc>
        <w:tc>
          <w:tcPr>
            <w:tcW w:w="1425" w:type="dxa"/>
            <w:tcBorders>
              <w:top w:val="single" w:sz="4" w:space="0" w:color="000000" w:themeColor="text1"/>
              <w:left w:val="nil"/>
              <w:bottom w:val="single" w:sz="4" w:space="0" w:color="000000" w:themeColor="text1"/>
              <w:right w:val="nil"/>
            </w:tcBorders>
            <w:noWrap/>
            <w:hideMark/>
          </w:tcPr>
          <w:p w14:paraId="0A100F4C"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w:t>
            </w:r>
          </w:p>
        </w:tc>
        <w:tc>
          <w:tcPr>
            <w:tcW w:w="2896" w:type="dxa"/>
            <w:tcBorders>
              <w:top w:val="single" w:sz="4" w:space="0" w:color="000000" w:themeColor="text1"/>
              <w:left w:val="nil"/>
              <w:bottom w:val="single" w:sz="4" w:space="0" w:color="000000" w:themeColor="text1"/>
              <w:right w:val="nil"/>
            </w:tcBorders>
            <w:noWrap/>
            <w:hideMark/>
          </w:tcPr>
          <w:p w14:paraId="25279B5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0.01%</w:t>
            </w:r>
          </w:p>
        </w:tc>
      </w:tr>
      <w:tr w:rsidR="00A4300D" w14:paraId="4A40581F"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3A7F5900" w14:textId="77777777" w:rsidR="00A4300D" w:rsidRDefault="004B2917">
            <w:pPr>
              <w:spacing w:after="0" w:line="240" w:lineRule="auto"/>
              <w:rPr>
                <w:rFonts w:eastAsia="Times New Roman" w:cs="Arial"/>
                <w:sz w:val="16"/>
                <w:szCs w:val="14"/>
                <w:lang w:eastAsia="en-AU"/>
              </w:rPr>
            </w:pPr>
            <w:r>
              <w:rPr>
                <w:rFonts w:eastAsia="Times New Roman" w:cs="Arial"/>
                <w:sz w:val="16"/>
                <w:szCs w:val="14"/>
                <w:lang w:eastAsia="en-AU"/>
              </w:rPr>
              <w:t>Environment</w:t>
            </w:r>
          </w:p>
        </w:tc>
        <w:tc>
          <w:tcPr>
            <w:tcW w:w="1518" w:type="dxa"/>
            <w:tcBorders>
              <w:top w:val="single" w:sz="4" w:space="0" w:color="000000" w:themeColor="text1"/>
              <w:left w:val="nil"/>
              <w:bottom w:val="single" w:sz="4" w:space="0" w:color="000000" w:themeColor="text1"/>
              <w:right w:val="nil"/>
            </w:tcBorders>
            <w:noWrap/>
          </w:tcPr>
          <w:p w14:paraId="42862CBE"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306F4366"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377979BF" w14:textId="77777777" w:rsidR="00A4300D" w:rsidRDefault="00A4300D">
            <w:pPr>
              <w:spacing w:after="0" w:line="240" w:lineRule="auto"/>
              <w:jc w:val="center"/>
              <w:rPr>
                <w:rFonts w:eastAsia="Times New Roman" w:cs="Arial"/>
                <w:sz w:val="16"/>
                <w:szCs w:val="14"/>
                <w:lang w:eastAsia="en-AU"/>
              </w:rPr>
            </w:pPr>
          </w:p>
        </w:tc>
      </w:tr>
      <w:tr w:rsidR="00A4300D" w14:paraId="238C5F2C"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21817EE5" w14:textId="77777777" w:rsidR="00A4300D" w:rsidRDefault="004B2917">
            <w:pPr>
              <w:spacing w:after="0" w:line="240" w:lineRule="auto"/>
              <w:rPr>
                <w:rFonts w:eastAsia="Times New Roman" w:cs="Arial"/>
                <w:sz w:val="16"/>
                <w:szCs w:val="14"/>
                <w:lang w:eastAsia="en-AU"/>
              </w:rPr>
            </w:pPr>
            <w:proofErr w:type="spellStart"/>
            <w:r>
              <w:rPr>
                <w:rFonts w:eastAsia="Times New Roman" w:cs="Arial"/>
                <w:sz w:val="16"/>
                <w:szCs w:val="14"/>
                <w:lang w:eastAsia="en-AU"/>
              </w:rPr>
              <w:t>OthAg</w:t>
            </w:r>
            <w:r w:rsidR="00A4300D">
              <w:rPr>
                <w:rFonts w:eastAsia="Times New Roman" w:cs="Arial"/>
                <w:sz w:val="16"/>
                <w:szCs w:val="14"/>
                <w:lang w:eastAsia="en-AU"/>
              </w:rPr>
              <w:t>&amp;Enviro</w:t>
            </w:r>
            <w:proofErr w:type="spellEnd"/>
          </w:p>
        </w:tc>
        <w:tc>
          <w:tcPr>
            <w:tcW w:w="1518" w:type="dxa"/>
            <w:tcBorders>
              <w:top w:val="single" w:sz="4" w:space="0" w:color="000000" w:themeColor="text1"/>
              <w:left w:val="nil"/>
              <w:bottom w:val="single" w:sz="4" w:space="0" w:color="000000" w:themeColor="text1"/>
              <w:right w:val="nil"/>
            </w:tcBorders>
            <w:noWrap/>
            <w:hideMark/>
          </w:tcPr>
          <w:p w14:paraId="7FEDE4AA"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$2,500</w:t>
            </w:r>
          </w:p>
        </w:tc>
        <w:tc>
          <w:tcPr>
            <w:tcW w:w="1425" w:type="dxa"/>
            <w:tcBorders>
              <w:top w:val="single" w:sz="4" w:space="0" w:color="000000" w:themeColor="text1"/>
              <w:left w:val="nil"/>
              <w:bottom w:val="single" w:sz="4" w:space="0" w:color="000000" w:themeColor="text1"/>
              <w:right w:val="nil"/>
            </w:tcBorders>
            <w:noWrap/>
            <w:hideMark/>
          </w:tcPr>
          <w:p w14:paraId="646A46EA"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w:t>
            </w:r>
          </w:p>
        </w:tc>
        <w:tc>
          <w:tcPr>
            <w:tcW w:w="2896" w:type="dxa"/>
            <w:tcBorders>
              <w:top w:val="single" w:sz="4" w:space="0" w:color="000000" w:themeColor="text1"/>
              <w:left w:val="nil"/>
              <w:bottom w:val="single" w:sz="4" w:space="0" w:color="000000" w:themeColor="text1"/>
              <w:right w:val="nil"/>
            </w:tcBorders>
            <w:noWrap/>
            <w:hideMark/>
          </w:tcPr>
          <w:p w14:paraId="5C2F7445"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0.00%</w:t>
            </w:r>
          </w:p>
        </w:tc>
      </w:tr>
      <w:tr w:rsidR="00A4300D" w14:paraId="310ABDF8"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5B2BE83C"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MedicalStudies</w:t>
            </w:r>
            <w:proofErr w:type="spellEnd"/>
          </w:p>
        </w:tc>
        <w:tc>
          <w:tcPr>
            <w:tcW w:w="1518" w:type="dxa"/>
            <w:tcBorders>
              <w:top w:val="single" w:sz="4" w:space="0" w:color="000000" w:themeColor="text1"/>
              <w:left w:val="nil"/>
              <w:bottom w:val="single" w:sz="4" w:space="0" w:color="000000" w:themeColor="text1"/>
              <w:right w:val="nil"/>
            </w:tcBorders>
            <w:noWrap/>
            <w:hideMark/>
          </w:tcPr>
          <w:p w14:paraId="3E792A0D"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$22,010,856</w:t>
            </w:r>
          </w:p>
        </w:tc>
        <w:tc>
          <w:tcPr>
            <w:tcW w:w="1425" w:type="dxa"/>
            <w:tcBorders>
              <w:top w:val="single" w:sz="4" w:space="0" w:color="000000" w:themeColor="text1"/>
              <w:left w:val="nil"/>
              <w:bottom w:val="single" w:sz="4" w:space="0" w:color="000000" w:themeColor="text1"/>
              <w:right w:val="nil"/>
            </w:tcBorders>
            <w:noWrap/>
            <w:hideMark/>
          </w:tcPr>
          <w:p w14:paraId="494F0FE9"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$1,373</w:t>
            </w:r>
          </w:p>
        </w:tc>
        <w:tc>
          <w:tcPr>
            <w:tcW w:w="2896" w:type="dxa"/>
            <w:tcBorders>
              <w:top w:val="single" w:sz="4" w:space="0" w:color="000000" w:themeColor="text1"/>
              <w:left w:val="nil"/>
              <w:bottom w:val="single" w:sz="4" w:space="0" w:color="000000" w:themeColor="text1"/>
              <w:right w:val="nil"/>
            </w:tcBorders>
            <w:noWrap/>
            <w:hideMark/>
          </w:tcPr>
          <w:p w14:paraId="792239A7"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4.14%</w:t>
            </w:r>
          </w:p>
        </w:tc>
      </w:tr>
      <w:tr w:rsidR="00A4300D" w14:paraId="68A5CF33"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0426A824" w14:textId="77777777" w:rsidR="00A4300D" w:rsidRDefault="00A4300D">
            <w:pPr>
              <w:spacing w:after="0" w:line="240" w:lineRule="auto"/>
              <w:rPr>
                <w:rFonts w:eastAsia="Times New Roman" w:cs="Arial"/>
                <w:sz w:val="16"/>
                <w:szCs w:val="14"/>
                <w:lang w:eastAsia="en-AU"/>
              </w:rPr>
            </w:pPr>
            <w:r>
              <w:rPr>
                <w:rFonts w:eastAsia="Times New Roman" w:cs="Arial"/>
                <w:sz w:val="16"/>
                <w:szCs w:val="14"/>
                <w:lang w:eastAsia="en-AU"/>
              </w:rPr>
              <w:t>Nursing</w:t>
            </w:r>
          </w:p>
        </w:tc>
        <w:tc>
          <w:tcPr>
            <w:tcW w:w="1518" w:type="dxa"/>
            <w:tcBorders>
              <w:top w:val="single" w:sz="4" w:space="0" w:color="000000" w:themeColor="text1"/>
              <w:left w:val="nil"/>
              <w:bottom w:val="single" w:sz="4" w:space="0" w:color="000000" w:themeColor="text1"/>
              <w:right w:val="nil"/>
            </w:tcBorders>
            <w:noWrap/>
            <w:hideMark/>
          </w:tcPr>
          <w:p w14:paraId="5A0D26C6"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$3,457,133</w:t>
            </w:r>
          </w:p>
        </w:tc>
        <w:tc>
          <w:tcPr>
            <w:tcW w:w="1425" w:type="dxa"/>
            <w:tcBorders>
              <w:top w:val="single" w:sz="4" w:space="0" w:color="000000" w:themeColor="text1"/>
              <w:left w:val="nil"/>
              <w:bottom w:val="single" w:sz="4" w:space="0" w:color="000000" w:themeColor="text1"/>
              <w:right w:val="nil"/>
            </w:tcBorders>
            <w:noWrap/>
            <w:hideMark/>
          </w:tcPr>
          <w:p w14:paraId="45954E86"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$93</w:t>
            </w:r>
          </w:p>
        </w:tc>
        <w:tc>
          <w:tcPr>
            <w:tcW w:w="2896" w:type="dxa"/>
            <w:tcBorders>
              <w:top w:val="single" w:sz="4" w:space="0" w:color="000000" w:themeColor="text1"/>
              <w:left w:val="nil"/>
              <w:bottom w:val="single" w:sz="4" w:space="0" w:color="000000" w:themeColor="text1"/>
              <w:right w:val="nil"/>
            </w:tcBorders>
            <w:noWrap/>
            <w:hideMark/>
          </w:tcPr>
          <w:p w14:paraId="0BF2474B"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0.55%</w:t>
            </w:r>
          </w:p>
        </w:tc>
      </w:tr>
      <w:tr w:rsidR="00A4300D" w14:paraId="0D408EF4"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3C0AD841" w14:textId="77777777" w:rsidR="00A4300D" w:rsidRDefault="00A4300D">
            <w:pPr>
              <w:spacing w:after="0" w:line="240" w:lineRule="auto"/>
              <w:rPr>
                <w:rFonts w:eastAsia="Times New Roman" w:cs="Arial"/>
                <w:sz w:val="16"/>
                <w:szCs w:val="14"/>
                <w:lang w:eastAsia="en-AU"/>
              </w:rPr>
            </w:pPr>
            <w:r>
              <w:rPr>
                <w:rFonts w:eastAsia="Times New Roman" w:cs="Arial"/>
                <w:sz w:val="16"/>
                <w:szCs w:val="14"/>
                <w:lang w:eastAsia="en-AU"/>
              </w:rPr>
              <w:t>Dental</w:t>
            </w:r>
          </w:p>
        </w:tc>
        <w:tc>
          <w:tcPr>
            <w:tcW w:w="1518" w:type="dxa"/>
            <w:tcBorders>
              <w:top w:val="single" w:sz="4" w:space="0" w:color="000000" w:themeColor="text1"/>
              <w:left w:val="nil"/>
              <w:bottom w:val="single" w:sz="4" w:space="0" w:color="000000" w:themeColor="text1"/>
              <w:right w:val="nil"/>
            </w:tcBorders>
            <w:noWrap/>
            <w:hideMark/>
          </w:tcPr>
          <w:p w14:paraId="071711B4"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$381,345</w:t>
            </w:r>
          </w:p>
        </w:tc>
        <w:tc>
          <w:tcPr>
            <w:tcW w:w="1425" w:type="dxa"/>
            <w:tcBorders>
              <w:top w:val="single" w:sz="4" w:space="0" w:color="000000" w:themeColor="text1"/>
              <w:left w:val="nil"/>
              <w:bottom w:val="single" w:sz="4" w:space="0" w:color="000000" w:themeColor="text1"/>
              <w:right w:val="nil"/>
            </w:tcBorders>
            <w:noWrap/>
            <w:hideMark/>
          </w:tcPr>
          <w:p w14:paraId="1B0EE2EF"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$136</w:t>
            </w:r>
          </w:p>
        </w:tc>
        <w:tc>
          <w:tcPr>
            <w:tcW w:w="2896" w:type="dxa"/>
            <w:tcBorders>
              <w:top w:val="single" w:sz="4" w:space="0" w:color="000000" w:themeColor="text1"/>
              <w:left w:val="nil"/>
              <w:bottom w:val="single" w:sz="4" w:space="0" w:color="000000" w:themeColor="text1"/>
              <w:right w:val="nil"/>
            </w:tcBorders>
            <w:noWrap/>
            <w:hideMark/>
          </w:tcPr>
          <w:p w14:paraId="2524BBAC"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0.33%</w:t>
            </w:r>
          </w:p>
        </w:tc>
      </w:tr>
      <w:tr w:rsidR="00A4300D" w14:paraId="2084169A"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00B8D57A" w14:textId="77777777" w:rsidR="00A4300D" w:rsidRDefault="00A4300D">
            <w:pPr>
              <w:spacing w:after="0" w:line="240" w:lineRule="auto"/>
              <w:rPr>
                <w:rFonts w:eastAsia="Times New Roman" w:cs="Arial"/>
                <w:sz w:val="16"/>
                <w:szCs w:val="14"/>
                <w:lang w:eastAsia="en-AU"/>
              </w:rPr>
            </w:pPr>
            <w:r>
              <w:rPr>
                <w:rFonts w:eastAsia="Times New Roman" w:cs="Arial"/>
                <w:sz w:val="16"/>
                <w:szCs w:val="14"/>
                <w:lang w:eastAsia="en-AU"/>
              </w:rPr>
              <w:t>Veterinary</w:t>
            </w:r>
          </w:p>
        </w:tc>
        <w:tc>
          <w:tcPr>
            <w:tcW w:w="1518" w:type="dxa"/>
            <w:tcBorders>
              <w:top w:val="single" w:sz="4" w:space="0" w:color="000000" w:themeColor="text1"/>
              <w:left w:val="nil"/>
              <w:bottom w:val="single" w:sz="4" w:space="0" w:color="000000" w:themeColor="text1"/>
              <w:right w:val="nil"/>
            </w:tcBorders>
            <w:noWrap/>
          </w:tcPr>
          <w:p w14:paraId="4DE24A97"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7D544F35"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266F8D15" w14:textId="77777777" w:rsidR="00A4300D" w:rsidRDefault="00A4300D">
            <w:pPr>
              <w:spacing w:after="0" w:line="240" w:lineRule="auto"/>
              <w:jc w:val="center"/>
              <w:rPr>
                <w:rFonts w:eastAsia="Times New Roman" w:cs="Arial"/>
                <w:sz w:val="16"/>
                <w:szCs w:val="14"/>
                <w:lang w:eastAsia="en-AU"/>
              </w:rPr>
            </w:pPr>
          </w:p>
        </w:tc>
      </w:tr>
      <w:tr w:rsidR="00A4300D" w14:paraId="163E3A64"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0663DFBA"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OthHealth</w:t>
            </w:r>
            <w:proofErr w:type="spellEnd"/>
          </w:p>
        </w:tc>
        <w:tc>
          <w:tcPr>
            <w:tcW w:w="1518" w:type="dxa"/>
            <w:tcBorders>
              <w:top w:val="single" w:sz="4" w:space="0" w:color="000000" w:themeColor="text1"/>
              <w:left w:val="nil"/>
              <w:bottom w:val="single" w:sz="4" w:space="0" w:color="000000" w:themeColor="text1"/>
              <w:right w:val="nil"/>
            </w:tcBorders>
            <w:noWrap/>
            <w:hideMark/>
          </w:tcPr>
          <w:p w14:paraId="408A8483"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$3,779,680</w:t>
            </w:r>
          </w:p>
        </w:tc>
        <w:tc>
          <w:tcPr>
            <w:tcW w:w="1425" w:type="dxa"/>
            <w:tcBorders>
              <w:top w:val="single" w:sz="4" w:space="0" w:color="000000" w:themeColor="text1"/>
              <w:left w:val="nil"/>
              <w:bottom w:val="single" w:sz="4" w:space="0" w:color="000000" w:themeColor="text1"/>
              <w:right w:val="nil"/>
            </w:tcBorders>
            <w:noWrap/>
            <w:hideMark/>
          </w:tcPr>
          <w:p w14:paraId="1D0A7A4C"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$91</w:t>
            </w:r>
          </w:p>
        </w:tc>
        <w:tc>
          <w:tcPr>
            <w:tcW w:w="2896" w:type="dxa"/>
            <w:tcBorders>
              <w:top w:val="single" w:sz="4" w:space="0" w:color="000000" w:themeColor="text1"/>
              <w:left w:val="nil"/>
              <w:bottom w:val="single" w:sz="4" w:space="0" w:color="000000" w:themeColor="text1"/>
              <w:right w:val="nil"/>
            </w:tcBorders>
            <w:noWrap/>
            <w:hideMark/>
          </w:tcPr>
          <w:p w14:paraId="36026DE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0.44%</w:t>
            </w:r>
          </w:p>
        </w:tc>
      </w:tr>
      <w:tr w:rsidR="00A4300D" w14:paraId="4D0F3547"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6C52C626" w14:textId="77777777" w:rsidR="00A4300D" w:rsidRDefault="00A4300D">
            <w:pPr>
              <w:spacing w:after="0" w:line="240" w:lineRule="auto"/>
              <w:rPr>
                <w:rFonts w:eastAsia="Times New Roman" w:cs="Arial"/>
                <w:sz w:val="16"/>
                <w:szCs w:val="14"/>
                <w:lang w:eastAsia="en-AU"/>
              </w:rPr>
            </w:pPr>
            <w:r>
              <w:rPr>
                <w:rFonts w:eastAsia="Times New Roman" w:cs="Arial"/>
                <w:sz w:val="16"/>
                <w:szCs w:val="14"/>
                <w:lang w:eastAsia="en-AU"/>
              </w:rPr>
              <w:t>Education</w:t>
            </w:r>
          </w:p>
        </w:tc>
        <w:tc>
          <w:tcPr>
            <w:tcW w:w="1518" w:type="dxa"/>
            <w:tcBorders>
              <w:top w:val="single" w:sz="4" w:space="0" w:color="000000" w:themeColor="text1"/>
              <w:left w:val="nil"/>
              <w:bottom w:val="single" w:sz="4" w:space="0" w:color="000000" w:themeColor="text1"/>
              <w:right w:val="nil"/>
            </w:tcBorders>
            <w:noWrap/>
            <w:hideMark/>
          </w:tcPr>
          <w:p w14:paraId="3E88860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$2,778,400</w:t>
            </w:r>
          </w:p>
        </w:tc>
        <w:tc>
          <w:tcPr>
            <w:tcW w:w="1425" w:type="dxa"/>
            <w:tcBorders>
              <w:top w:val="single" w:sz="4" w:space="0" w:color="000000" w:themeColor="text1"/>
              <w:left w:val="nil"/>
              <w:bottom w:val="single" w:sz="4" w:space="0" w:color="000000" w:themeColor="text1"/>
              <w:right w:val="nil"/>
            </w:tcBorders>
            <w:noWrap/>
            <w:hideMark/>
          </w:tcPr>
          <w:p w14:paraId="1689CB47"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$57</w:t>
            </w:r>
          </w:p>
        </w:tc>
        <w:tc>
          <w:tcPr>
            <w:tcW w:w="2896" w:type="dxa"/>
            <w:tcBorders>
              <w:top w:val="single" w:sz="4" w:space="0" w:color="000000" w:themeColor="text1"/>
              <w:left w:val="nil"/>
              <w:bottom w:val="single" w:sz="4" w:space="0" w:color="000000" w:themeColor="text1"/>
              <w:right w:val="nil"/>
            </w:tcBorders>
            <w:noWrap/>
            <w:hideMark/>
          </w:tcPr>
          <w:p w14:paraId="3F48206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0.36%</w:t>
            </w:r>
          </w:p>
        </w:tc>
      </w:tr>
      <w:tr w:rsidR="00A4300D" w14:paraId="61BF99D5"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5B7BD14A"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Mgmt&amp;Comm</w:t>
            </w:r>
            <w:proofErr w:type="spellEnd"/>
          </w:p>
        </w:tc>
        <w:tc>
          <w:tcPr>
            <w:tcW w:w="1518" w:type="dxa"/>
            <w:tcBorders>
              <w:top w:val="single" w:sz="4" w:space="0" w:color="000000" w:themeColor="text1"/>
              <w:left w:val="nil"/>
              <w:bottom w:val="single" w:sz="4" w:space="0" w:color="000000" w:themeColor="text1"/>
              <w:right w:val="nil"/>
            </w:tcBorders>
            <w:noWrap/>
            <w:hideMark/>
          </w:tcPr>
          <w:p w14:paraId="3818DE5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$209,747</w:t>
            </w:r>
          </w:p>
        </w:tc>
        <w:tc>
          <w:tcPr>
            <w:tcW w:w="1425" w:type="dxa"/>
            <w:tcBorders>
              <w:top w:val="single" w:sz="4" w:space="0" w:color="000000" w:themeColor="text1"/>
              <w:left w:val="nil"/>
              <w:bottom w:val="single" w:sz="4" w:space="0" w:color="000000" w:themeColor="text1"/>
              <w:right w:val="nil"/>
            </w:tcBorders>
            <w:noWrap/>
            <w:hideMark/>
          </w:tcPr>
          <w:p w14:paraId="2D15D2D9"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$2</w:t>
            </w:r>
          </w:p>
        </w:tc>
        <w:tc>
          <w:tcPr>
            <w:tcW w:w="2896" w:type="dxa"/>
            <w:tcBorders>
              <w:top w:val="single" w:sz="4" w:space="0" w:color="000000" w:themeColor="text1"/>
              <w:left w:val="nil"/>
              <w:bottom w:val="single" w:sz="4" w:space="0" w:color="000000" w:themeColor="text1"/>
              <w:right w:val="nil"/>
            </w:tcBorders>
            <w:noWrap/>
            <w:hideMark/>
          </w:tcPr>
          <w:p w14:paraId="39468741"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0.01%</w:t>
            </w:r>
          </w:p>
        </w:tc>
      </w:tr>
      <w:tr w:rsidR="00A4300D" w14:paraId="6FFD5C06"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0E7D7CB0"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ForeignLang</w:t>
            </w:r>
            <w:proofErr w:type="spellEnd"/>
          </w:p>
        </w:tc>
        <w:tc>
          <w:tcPr>
            <w:tcW w:w="1518" w:type="dxa"/>
            <w:tcBorders>
              <w:top w:val="single" w:sz="4" w:space="0" w:color="000000" w:themeColor="text1"/>
              <w:left w:val="nil"/>
              <w:bottom w:val="single" w:sz="4" w:space="0" w:color="000000" w:themeColor="text1"/>
              <w:right w:val="nil"/>
            </w:tcBorders>
            <w:noWrap/>
          </w:tcPr>
          <w:p w14:paraId="7F252C86"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502A008C"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7663DC0A" w14:textId="77777777" w:rsidR="00A4300D" w:rsidRDefault="00A4300D">
            <w:pPr>
              <w:spacing w:after="0" w:line="240" w:lineRule="auto"/>
              <w:jc w:val="center"/>
              <w:rPr>
                <w:rFonts w:eastAsia="Times New Roman" w:cs="Arial"/>
                <w:sz w:val="16"/>
                <w:szCs w:val="14"/>
                <w:lang w:eastAsia="en-AU"/>
              </w:rPr>
            </w:pPr>
          </w:p>
        </w:tc>
      </w:tr>
      <w:tr w:rsidR="00A4300D" w14:paraId="1EA11D11"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65C03DB3" w14:textId="77777777" w:rsidR="00A4300D" w:rsidRDefault="00A4300D">
            <w:pPr>
              <w:spacing w:after="0" w:line="240" w:lineRule="auto"/>
              <w:rPr>
                <w:rFonts w:eastAsia="Times New Roman" w:cs="Arial"/>
                <w:sz w:val="16"/>
                <w:szCs w:val="14"/>
                <w:lang w:eastAsia="en-AU"/>
              </w:rPr>
            </w:pPr>
            <w:r>
              <w:rPr>
                <w:rFonts w:eastAsia="Times New Roman" w:cs="Arial"/>
                <w:sz w:val="16"/>
                <w:szCs w:val="14"/>
                <w:lang w:eastAsia="en-AU"/>
              </w:rPr>
              <w:t>Psych</w:t>
            </w:r>
          </w:p>
        </w:tc>
        <w:tc>
          <w:tcPr>
            <w:tcW w:w="1518" w:type="dxa"/>
            <w:tcBorders>
              <w:top w:val="single" w:sz="4" w:space="0" w:color="000000" w:themeColor="text1"/>
              <w:left w:val="nil"/>
              <w:bottom w:val="single" w:sz="4" w:space="0" w:color="000000" w:themeColor="text1"/>
              <w:right w:val="nil"/>
            </w:tcBorders>
            <w:noWrap/>
            <w:hideMark/>
          </w:tcPr>
          <w:p w14:paraId="1B0BEF0B"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$1,079,984</w:t>
            </w:r>
          </w:p>
        </w:tc>
        <w:tc>
          <w:tcPr>
            <w:tcW w:w="1425" w:type="dxa"/>
            <w:tcBorders>
              <w:top w:val="single" w:sz="4" w:space="0" w:color="000000" w:themeColor="text1"/>
              <w:left w:val="nil"/>
              <w:bottom w:val="single" w:sz="4" w:space="0" w:color="000000" w:themeColor="text1"/>
              <w:right w:val="nil"/>
            </w:tcBorders>
            <w:noWrap/>
            <w:hideMark/>
          </w:tcPr>
          <w:p w14:paraId="33DE4BDE"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$59</w:t>
            </w:r>
          </w:p>
        </w:tc>
        <w:tc>
          <w:tcPr>
            <w:tcW w:w="2896" w:type="dxa"/>
            <w:tcBorders>
              <w:top w:val="single" w:sz="4" w:space="0" w:color="000000" w:themeColor="text1"/>
              <w:left w:val="nil"/>
              <w:bottom w:val="single" w:sz="4" w:space="0" w:color="000000" w:themeColor="text1"/>
              <w:right w:val="nil"/>
            </w:tcBorders>
            <w:noWrap/>
            <w:hideMark/>
          </w:tcPr>
          <w:p w14:paraId="72115970"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0.38%</w:t>
            </w:r>
          </w:p>
        </w:tc>
      </w:tr>
      <w:tr w:rsidR="00A4300D" w14:paraId="230B311D"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25E4E6ED"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OtherSoc&amp;Cult</w:t>
            </w:r>
            <w:proofErr w:type="spellEnd"/>
          </w:p>
        </w:tc>
        <w:tc>
          <w:tcPr>
            <w:tcW w:w="1518" w:type="dxa"/>
            <w:tcBorders>
              <w:top w:val="single" w:sz="4" w:space="0" w:color="000000" w:themeColor="text1"/>
              <w:left w:val="nil"/>
              <w:bottom w:val="single" w:sz="4" w:space="0" w:color="000000" w:themeColor="text1"/>
              <w:right w:val="nil"/>
            </w:tcBorders>
            <w:noWrap/>
            <w:hideMark/>
          </w:tcPr>
          <w:p w14:paraId="597BCC17"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$5,514,617</w:t>
            </w:r>
          </w:p>
        </w:tc>
        <w:tc>
          <w:tcPr>
            <w:tcW w:w="1425" w:type="dxa"/>
            <w:tcBorders>
              <w:top w:val="single" w:sz="4" w:space="0" w:color="000000" w:themeColor="text1"/>
              <w:left w:val="nil"/>
              <w:bottom w:val="single" w:sz="4" w:space="0" w:color="000000" w:themeColor="text1"/>
              <w:right w:val="nil"/>
            </w:tcBorders>
            <w:noWrap/>
            <w:hideMark/>
          </w:tcPr>
          <w:p w14:paraId="7D517ED2"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$51</w:t>
            </w:r>
          </w:p>
        </w:tc>
        <w:tc>
          <w:tcPr>
            <w:tcW w:w="2896" w:type="dxa"/>
            <w:tcBorders>
              <w:top w:val="single" w:sz="4" w:space="0" w:color="000000" w:themeColor="text1"/>
              <w:left w:val="nil"/>
              <w:bottom w:val="single" w:sz="4" w:space="0" w:color="000000" w:themeColor="text1"/>
              <w:right w:val="nil"/>
            </w:tcBorders>
            <w:noWrap/>
            <w:hideMark/>
          </w:tcPr>
          <w:p w14:paraId="3A7B30C8" w14:textId="77777777" w:rsidR="00A4300D" w:rsidRDefault="007D1B7E">
            <w:pPr>
              <w:spacing w:after="0" w:line="240" w:lineRule="auto"/>
              <w:jc w:val="center"/>
              <w:rPr>
                <w:rFonts w:eastAsia="Times New Roman" w:cs="Arial"/>
                <w:sz w:val="16"/>
                <w:szCs w:val="14"/>
                <w:lang w:eastAsia="en-AU"/>
              </w:rPr>
            </w:pPr>
            <w:r>
              <w:rPr>
                <w:rFonts w:eastAsia="Times New Roman" w:cs="Arial"/>
                <w:sz w:val="16"/>
                <w:szCs w:val="14"/>
                <w:lang w:eastAsia="en-AU"/>
              </w:rPr>
              <w:t>+</w:t>
            </w:r>
            <w:r w:rsidR="00A4300D">
              <w:rPr>
                <w:rFonts w:eastAsia="Times New Roman" w:cs="Arial"/>
                <w:sz w:val="16"/>
                <w:szCs w:val="14"/>
                <w:lang w:eastAsia="en-AU"/>
              </w:rPr>
              <w:t>0.34%</w:t>
            </w:r>
          </w:p>
        </w:tc>
      </w:tr>
      <w:tr w:rsidR="00A4300D" w14:paraId="5689902D"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7F67F1CF"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Comms&amp;Media</w:t>
            </w:r>
            <w:proofErr w:type="spellEnd"/>
          </w:p>
        </w:tc>
        <w:tc>
          <w:tcPr>
            <w:tcW w:w="1518" w:type="dxa"/>
            <w:tcBorders>
              <w:top w:val="single" w:sz="4" w:space="0" w:color="000000" w:themeColor="text1"/>
              <w:left w:val="nil"/>
              <w:bottom w:val="single" w:sz="4" w:space="0" w:color="000000" w:themeColor="text1"/>
              <w:right w:val="nil"/>
            </w:tcBorders>
            <w:noWrap/>
          </w:tcPr>
          <w:p w14:paraId="51B48EF4"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16DD111E"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39E663A5" w14:textId="77777777" w:rsidR="00A4300D" w:rsidRDefault="00A4300D">
            <w:pPr>
              <w:spacing w:after="0" w:line="240" w:lineRule="auto"/>
              <w:jc w:val="center"/>
              <w:rPr>
                <w:rFonts w:eastAsia="Times New Roman" w:cs="Arial"/>
                <w:sz w:val="16"/>
                <w:szCs w:val="14"/>
                <w:lang w:eastAsia="en-AU"/>
              </w:rPr>
            </w:pPr>
          </w:p>
        </w:tc>
      </w:tr>
      <w:tr w:rsidR="00A4300D" w14:paraId="63958B50"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766CE303"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OthCreative</w:t>
            </w:r>
            <w:proofErr w:type="spellEnd"/>
          </w:p>
        </w:tc>
        <w:tc>
          <w:tcPr>
            <w:tcW w:w="1518" w:type="dxa"/>
            <w:tcBorders>
              <w:top w:val="single" w:sz="4" w:space="0" w:color="000000" w:themeColor="text1"/>
              <w:left w:val="nil"/>
              <w:bottom w:val="single" w:sz="4" w:space="0" w:color="000000" w:themeColor="text1"/>
              <w:right w:val="nil"/>
            </w:tcBorders>
            <w:noWrap/>
          </w:tcPr>
          <w:p w14:paraId="4A4DF408"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2B97C02F"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77B4866A" w14:textId="77777777" w:rsidR="00A4300D" w:rsidRDefault="00A4300D">
            <w:pPr>
              <w:spacing w:after="0" w:line="240" w:lineRule="auto"/>
              <w:jc w:val="center"/>
              <w:rPr>
                <w:rFonts w:eastAsia="Times New Roman" w:cs="Arial"/>
                <w:sz w:val="16"/>
                <w:szCs w:val="14"/>
                <w:lang w:eastAsia="en-AU"/>
              </w:rPr>
            </w:pPr>
          </w:p>
        </w:tc>
      </w:tr>
      <w:tr w:rsidR="00A4300D" w14:paraId="7D3A4F53"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7B0E712C"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FoodHosp&amp;Person</w:t>
            </w:r>
            <w:proofErr w:type="spellEnd"/>
          </w:p>
        </w:tc>
        <w:tc>
          <w:tcPr>
            <w:tcW w:w="1518" w:type="dxa"/>
            <w:tcBorders>
              <w:top w:val="single" w:sz="4" w:space="0" w:color="000000" w:themeColor="text1"/>
              <w:left w:val="nil"/>
              <w:bottom w:val="single" w:sz="4" w:space="0" w:color="000000" w:themeColor="text1"/>
              <w:right w:val="nil"/>
            </w:tcBorders>
            <w:noWrap/>
          </w:tcPr>
          <w:p w14:paraId="7418A183"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6FF91A98"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427E2ABC" w14:textId="77777777" w:rsidR="00A4300D" w:rsidRDefault="00A4300D">
            <w:pPr>
              <w:spacing w:after="0" w:line="240" w:lineRule="auto"/>
              <w:jc w:val="center"/>
              <w:rPr>
                <w:rFonts w:eastAsia="Times New Roman" w:cs="Arial"/>
                <w:sz w:val="16"/>
                <w:szCs w:val="14"/>
                <w:lang w:eastAsia="en-AU"/>
              </w:rPr>
            </w:pPr>
          </w:p>
        </w:tc>
      </w:tr>
      <w:tr w:rsidR="00A4300D" w14:paraId="310628D5" w14:textId="77777777" w:rsidTr="006118C2">
        <w:trPr>
          <w:trHeight w:val="210"/>
        </w:trPr>
        <w:tc>
          <w:tcPr>
            <w:tcW w:w="1880" w:type="dxa"/>
            <w:tcBorders>
              <w:top w:val="single" w:sz="4" w:space="0" w:color="000000" w:themeColor="text1"/>
              <w:left w:val="nil"/>
              <w:bottom w:val="single" w:sz="4" w:space="0" w:color="000000" w:themeColor="text1"/>
              <w:right w:val="nil"/>
            </w:tcBorders>
            <w:noWrap/>
            <w:hideMark/>
          </w:tcPr>
          <w:p w14:paraId="41022BF9" w14:textId="77777777" w:rsidR="00A4300D" w:rsidRDefault="00A4300D">
            <w:pPr>
              <w:spacing w:after="0" w:line="240" w:lineRule="auto"/>
              <w:rPr>
                <w:rFonts w:eastAsia="Times New Roman" w:cs="Arial"/>
                <w:sz w:val="16"/>
                <w:szCs w:val="14"/>
                <w:lang w:eastAsia="en-AU"/>
              </w:rPr>
            </w:pPr>
            <w:proofErr w:type="spellStart"/>
            <w:r>
              <w:rPr>
                <w:rFonts w:eastAsia="Times New Roman" w:cs="Arial"/>
                <w:sz w:val="16"/>
                <w:szCs w:val="14"/>
                <w:lang w:eastAsia="en-AU"/>
              </w:rPr>
              <w:t>MixedField</w:t>
            </w:r>
            <w:proofErr w:type="spellEnd"/>
          </w:p>
        </w:tc>
        <w:tc>
          <w:tcPr>
            <w:tcW w:w="1518" w:type="dxa"/>
            <w:tcBorders>
              <w:top w:val="single" w:sz="4" w:space="0" w:color="000000" w:themeColor="text1"/>
              <w:left w:val="nil"/>
              <w:bottom w:val="single" w:sz="4" w:space="0" w:color="000000" w:themeColor="text1"/>
              <w:right w:val="nil"/>
            </w:tcBorders>
            <w:noWrap/>
          </w:tcPr>
          <w:p w14:paraId="0B5DBD03" w14:textId="77777777" w:rsidR="00A4300D" w:rsidRDefault="00A4300D">
            <w:pPr>
              <w:spacing w:after="0" w:line="240" w:lineRule="auto"/>
              <w:jc w:val="center"/>
              <w:rPr>
                <w:rFonts w:eastAsia="Times New Roman" w:cs="Arial"/>
                <w:sz w:val="16"/>
                <w:szCs w:val="14"/>
                <w:lang w:eastAsia="en-AU"/>
              </w:rPr>
            </w:pPr>
          </w:p>
        </w:tc>
        <w:tc>
          <w:tcPr>
            <w:tcW w:w="1425" w:type="dxa"/>
            <w:tcBorders>
              <w:top w:val="single" w:sz="4" w:space="0" w:color="000000" w:themeColor="text1"/>
              <w:left w:val="nil"/>
              <w:bottom w:val="single" w:sz="4" w:space="0" w:color="000000" w:themeColor="text1"/>
              <w:right w:val="nil"/>
            </w:tcBorders>
            <w:noWrap/>
          </w:tcPr>
          <w:p w14:paraId="2628CF7E" w14:textId="77777777" w:rsidR="00A4300D" w:rsidRDefault="00A4300D">
            <w:pPr>
              <w:spacing w:after="0" w:line="240" w:lineRule="auto"/>
              <w:jc w:val="center"/>
              <w:rPr>
                <w:rFonts w:eastAsia="Times New Roman" w:cs="Arial"/>
                <w:sz w:val="16"/>
                <w:szCs w:val="14"/>
                <w:lang w:eastAsia="en-AU"/>
              </w:rPr>
            </w:pPr>
          </w:p>
        </w:tc>
        <w:tc>
          <w:tcPr>
            <w:tcW w:w="2896" w:type="dxa"/>
            <w:tcBorders>
              <w:top w:val="single" w:sz="4" w:space="0" w:color="000000" w:themeColor="text1"/>
              <w:left w:val="nil"/>
              <w:bottom w:val="single" w:sz="4" w:space="0" w:color="000000" w:themeColor="text1"/>
              <w:right w:val="nil"/>
            </w:tcBorders>
            <w:noWrap/>
          </w:tcPr>
          <w:p w14:paraId="06ACDF7B" w14:textId="77777777" w:rsidR="00A4300D" w:rsidRDefault="00A4300D">
            <w:pPr>
              <w:spacing w:after="0" w:line="240" w:lineRule="auto"/>
              <w:jc w:val="center"/>
              <w:rPr>
                <w:rFonts w:eastAsia="Times New Roman" w:cs="Arial"/>
                <w:sz w:val="16"/>
                <w:szCs w:val="14"/>
                <w:lang w:eastAsia="en-AU"/>
              </w:rPr>
            </w:pPr>
          </w:p>
        </w:tc>
      </w:tr>
      <w:tr w:rsidR="00A4300D" w14:paraId="49CA263F" w14:textId="77777777" w:rsidTr="00A4300D">
        <w:trPr>
          <w:trHeight w:val="210"/>
        </w:trPr>
        <w:tc>
          <w:tcPr>
            <w:tcW w:w="1880" w:type="dxa"/>
            <w:tcBorders>
              <w:top w:val="single" w:sz="4" w:space="0" w:color="000000" w:themeColor="text1"/>
              <w:left w:val="nil"/>
              <w:bottom w:val="single" w:sz="4" w:space="0" w:color="000000" w:themeColor="text1"/>
              <w:right w:val="nil"/>
            </w:tcBorders>
            <w:noWrap/>
            <w:hideMark/>
          </w:tcPr>
          <w:p w14:paraId="5459413A" w14:textId="77777777" w:rsidR="00A4300D" w:rsidRDefault="00A4300D">
            <w:pPr>
              <w:spacing w:after="0" w:line="240" w:lineRule="auto"/>
              <w:rPr>
                <w:rFonts w:eastAsia="Times New Roman" w:cs="Arial"/>
                <w:b/>
                <w:sz w:val="16"/>
                <w:szCs w:val="14"/>
                <w:lang w:eastAsia="en-AU"/>
              </w:rPr>
            </w:pPr>
            <w:r>
              <w:rPr>
                <w:rFonts w:eastAsia="Times New Roman" w:cs="Arial"/>
                <w:b/>
                <w:sz w:val="16"/>
                <w:szCs w:val="14"/>
                <w:lang w:eastAsia="en-AU"/>
              </w:rPr>
              <w:t>Total</w:t>
            </w:r>
          </w:p>
        </w:tc>
        <w:tc>
          <w:tcPr>
            <w:tcW w:w="1518" w:type="dxa"/>
            <w:tcBorders>
              <w:top w:val="single" w:sz="4" w:space="0" w:color="000000" w:themeColor="text1"/>
              <w:left w:val="nil"/>
              <w:bottom w:val="single" w:sz="4" w:space="0" w:color="000000" w:themeColor="text1"/>
              <w:right w:val="nil"/>
            </w:tcBorders>
            <w:noWrap/>
            <w:hideMark/>
          </w:tcPr>
          <w:p w14:paraId="7F2843B4" w14:textId="77777777" w:rsidR="00A4300D" w:rsidRDefault="007D1B7E">
            <w:pPr>
              <w:spacing w:after="0" w:line="240" w:lineRule="auto"/>
              <w:jc w:val="center"/>
              <w:rPr>
                <w:rFonts w:eastAsia="Times New Roman" w:cs="Arial"/>
                <w:b/>
                <w:sz w:val="16"/>
                <w:szCs w:val="14"/>
                <w:lang w:eastAsia="en-AU"/>
              </w:rPr>
            </w:pPr>
            <w:r>
              <w:rPr>
                <w:rFonts w:eastAsia="Times New Roman" w:cs="Arial"/>
                <w:b/>
                <w:sz w:val="16"/>
                <w:szCs w:val="14"/>
                <w:lang w:eastAsia="en-AU"/>
              </w:rPr>
              <w:t>+</w:t>
            </w:r>
            <w:r w:rsidR="00A4300D">
              <w:rPr>
                <w:rFonts w:eastAsia="Times New Roman" w:cs="Arial"/>
                <w:b/>
                <w:sz w:val="16"/>
                <w:szCs w:val="14"/>
                <w:lang w:eastAsia="en-AU"/>
              </w:rPr>
              <w:t>$41,117,338</w:t>
            </w:r>
          </w:p>
        </w:tc>
        <w:tc>
          <w:tcPr>
            <w:tcW w:w="1425" w:type="dxa"/>
            <w:tcBorders>
              <w:top w:val="single" w:sz="4" w:space="0" w:color="000000" w:themeColor="text1"/>
              <w:left w:val="nil"/>
              <w:bottom w:val="single" w:sz="4" w:space="0" w:color="000000" w:themeColor="text1"/>
              <w:right w:val="nil"/>
            </w:tcBorders>
            <w:noWrap/>
            <w:hideMark/>
          </w:tcPr>
          <w:p w14:paraId="46BA5756" w14:textId="77777777" w:rsidR="00A4300D" w:rsidRDefault="007D1B7E">
            <w:pPr>
              <w:spacing w:after="0" w:line="240" w:lineRule="auto"/>
              <w:jc w:val="center"/>
              <w:rPr>
                <w:rFonts w:eastAsia="Times New Roman" w:cs="Arial"/>
                <w:b/>
                <w:sz w:val="16"/>
                <w:szCs w:val="14"/>
                <w:lang w:eastAsia="en-AU"/>
              </w:rPr>
            </w:pPr>
            <w:r>
              <w:rPr>
                <w:rFonts w:eastAsia="Times New Roman" w:cs="Arial"/>
                <w:b/>
                <w:sz w:val="16"/>
                <w:szCs w:val="14"/>
                <w:lang w:eastAsia="en-AU"/>
              </w:rPr>
              <w:t>+</w:t>
            </w:r>
            <w:r w:rsidR="00A4300D">
              <w:rPr>
                <w:rFonts w:eastAsia="Times New Roman" w:cs="Arial"/>
                <w:b/>
                <w:sz w:val="16"/>
                <w:szCs w:val="14"/>
                <w:lang w:eastAsia="en-AU"/>
              </w:rPr>
              <w:t>$73</w:t>
            </w:r>
          </w:p>
        </w:tc>
        <w:tc>
          <w:tcPr>
            <w:tcW w:w="2896" w:type="dxa"/>
            <w:tcBorders>
              <w:top w:val="single" w:sz="4" w:space="0" w:color="000000" w:themeColor="text1"/>
              <w:left w:val="nil"/>
              <w:bottom w:val="single" w:sz="4" w:space="0" w:color="000000" w:themeColor="text1"/>
              <w:right w:val="nil"/>
            </w:tcBorders>
            <w:noWrap/>
            <w:hideMark/>
          </w:tcPr>
          <w:p w14:paraId="75B55D53" w14:textId="77777777" w:rsidR="00A4300D" w:rsidRDefault="007D1B7E">
            <w:pPr>
              <w:spacing w:after="0" w:line="240" w:lineRule="auto"/>
              <w:jc w:val="center"/>
              <w:rPr>
                <w:rFonts w:eastAsia="Times New Roman" w:cs="Arial"/>
                <w:b/>
                <w:sz w:val="16"/>
                <w:szCs w:val="14"/>
                <w:lang w:eastAsia="en-AU"/>
              </w:rPr>
            </w:pPr>
            <w:r>
              <w:rPr>
                <w:rFonts w:eastAsia="Times New Roman" w:cs="Arial"/>
                <w:b/>
                <w:sz w:val="16"/>
                <w:szCs w:val="14"/>
                <w:lang w:eastAsia="en-AU"/>
              </w:rPr>
              <w:t>+</w:t>
            </w:r>
            <w:r w:rsidR="00A4300D">
              <w:rPr>
                <w:rFonts w:eastAsia="Times New Roman" w:cs="Arial"/>
                <w:b/>
                <w:sz w:val="16"/>
                <w:szCs w:val="14"/>
                <w:lang w:eastAsia="en-AU"/>
              </w:rPr>
              <w:t>0.40%</w:t>
            </w:r>
          </w:p>
        </w:tc>
      </w:tr>
    </w:tbl>
    <w:p w14:paraId="6B2A2AB5" w14:textId="77777777" w:rsidR="00A4300D" w:rsidRDefault="00A4300D" w:rsidP="00A4300D"/>
    <w:p w14:paraId="4BB54A34" w14:textId="77777777" w:rsidR="00A4300D" w:rsidRDefault="00A4300D" w:rsidP="00A4300D">
      <w:pPr>
        <w:pStyle w:val="Heading3un-numbered"/>
      </w:pPr>
      <w:r>
        <w:t xml:space="preserve">Additional partnership costs </w:t>
      </w:r>
    </w:p>
    <w:p w14:paraId="04EC8ED3" w14:textId="77777777" w:rsidR="00A4300D" w:rsidRDefault="00A4300D" w:rsidP="00A4300D">
      <w:r>
        <w:t xml:space="preserve">In some instances, universities may arrange for a third-party organisation to deliver teaching for EFTSL that is attributable to, and reported by the university. Costs incurred directly </w:t>
      </w:r>
      <w:proofErr w:type="gramStart"/>
      <w:r>
        <w:t>as a result</w:t>
      </w:r>
      <w:proofErr w:type="gramEnd"/>
      <w:r>
        <w:t xml:space="preserve"> of third party delivery arrangements (such as administrative costs) have previously, and continue to be included appropriately ‘above the line’. However, some universities identified particular arrangements, whereby the full cost of teaching related to EFTSL attributable to the home institution </w:t>
      </w:r>
      <w:proofErr w:type="gramStart"/>
      <w:r>
        <w:t>would not be captured</w:t>
      </w:r>
      <w:proofErr w:type="gramEnd"/>
      <w:r>
        <w:t xml:space="preserve"> in statutory reporting, or the existing template. </w:t>
      </w:r>
    </w:p>
    <w:p w14:paraId="022FF7A4" w14:textId="77777777" w:rsidR="003923CC" w:rsidRDefault="00A4300D" w:rsidP="003923CC">
      <w:r>
        <w:t xml:space="preserve">An example provided by some universities was in instances where the third party collects some or all student fees. In these cases, </w:t>
      </w:r>
      <w:r w:rsidR="003923CC">
        <w:t xml:space="preserve">costs incurred in teaching these students </w:t>
      </w:r>
      <w:proofErr w:type="gramStart"/>
      <w:r w:rsidR="003923CC">
        <w:t>would not be fully reflected</w:t>
      </w:r>
      <w:proofErr w:type="gramEnd"/>
      <w:r w:rsidR="003923CC">
        <w:t xml:space="preserve"> in continuing expenses for the home institution for the relevant EFTSL.</w:t>
      </w:r>
    </w:p>
    <w:p w14:paraId="053C10E5" w14:textId="77777777" w:rsidR="00A4300D" w:rsidRDefault="00A4300D" w:rsidP="00A4300D">
      <w:r>
        <w:t xml:space="preserve">A major drawback to including these additional third party costs is that they are unlikely to </w:t>
      </w:r>
      <w:proofErr w:type="gramStart"/>
      <w:r>
        <w:t>be observed</w:t>
      </w:r>
      <w:proofErr w:type="gramEnd"/>
      <w:r>
        <w:t xml:space="preserve"> by the home university. As such, universities were asked to </w:t>
      </w:r>
      <w:r w:rsidR="003923CC">
        <w:t xml:space="preserve">use </w:t>
      </w:r>
      <w:r>
        <w:t>forgone revenue as a proxy fo</w:t>
      </w:r>
      <w:r w:rsidR="003923CC">
        <w:t xml:space="preserve">r these </w:t>
      </w:r>
      <w:proofErr w:type="gramStart"/>
      <w:r w:rsidR="003923CC">
        <w:t>costs which</w:t>
      </w:r>
      <w:proofErr w:type="gramEnd"/>
      <w:r w:rsidR="003923CC">
        <w:t xml:space="preserve"> may overstate costs if partners make an average operating surplus on teaching these students. </w:t>
      </w:r>
    </w:p>
    <w:p w14:paraId="6C60CB27" w14:textId="77777777" w:rsidR="00C50E37" w:rsidRDefault="00A4300D" w:rsidP="00A4300D">
      <w:r>
        <w:lastRenderedPageBreak/>
        <w:t>In line with this definition, reported additional partnership costs in 2017 resulted in an on average $</w:t>
      </w:r>
      <w:r w:rsidR="003923CC">
        <w:t>77</w:t>
      </w:r>
      <w:r>
        <w:t xml:space="preserve"> (or 0.</w:t>
      </w:r>
      <w:r w:rsidR="003923CC">
        <w:t xml:space="preserve">42%) increase in cost per EFTSL. </w:t>
      </w:r>
      <w:r w:rsidR="00C50E37">
        <w:t xml:space="preserve">The largest impacts were on Information Technology ($310 increase per EFTSL or </w:t>
      </w:r>
      <w:proofErr w:type="gramStart"/>
      <w:r w:rsidR="00C50E37">
        <w:t>1.66%) and Management</w:t>
      </w:r>
      <w:proofErr w:type="gramEnd"/>
      <w:r w:rsidR="00C50E37">
        <w:t xml:space="preserve"> and Commerce ($174 or 1.1%). </w:t>
      </w:r>
    </w:p>
    <w:p w14:paraId="585E7D36" w14:textId="77777777" w:rsidR="00A4300D" w:rsidRDefault="00A4300D" w:rsidP="006118C2">
      <w:pPr>
        <w:pStyle w:val="CaptionTable"/>
      </w:pPr>
      <w:bookmarkStart w:id="437" w:name="_Toc532209786"/>
      <w:bookmarkStart w:id="438" w:name="_Toc532245614"/>
      <w:bookmarkStart w:id="439" w:name="_Toc532376143"/>
      <w:bookmarkStart w:id="440" w:name="_Toc534713879"/>
      <w:bookmarkEnd w:id="437"/>
      <w:bookmarkEnd w:id="438"/>
      <w:bookmarkEnd w:id="439"/>
      <w:r>
        <w:t>: Impact of additional partnership costs on total teaching and scholarship costs</w:t>
      </w:r>
      <w:bookmarkEnd w:id="440"/>
      <w:r>
        <w:t xml:space="preserve"> </w:t>
      </w:r>
    </w:p>
    <w:tbl>
      <w:tblPr>
        <w:tblStyle w:val="Deloittetable"/>
        <w:tblW w:w="7975" w:type="dxa"/>
        <w:tblLook w:val="04A0" w:firstRow="1" w:lastRow="0" w:firstColumn="1" w:lastColumn="0" w:noHBand="0" w:noVBand="1"/>
      </w:tblPr>
      <w:tblGrid>
        <w:gridCol w:w="1960"/>
        <w:gridCol w:w="1598"/>
        <w:gridCol w:w="1505"/>
        <w:gridCol w:w="2976"/>
      </w:tblGrid>
      <w:tr w:rsidR="007D1B7E" w14:paraId="33FC1B17" w14:textId="77777777" w:rsidTr="007D1B7E">
        <w:trPr>
          <w:cnfStyle w:val="100000000000" w:firstRow="1" w:lastRow="0" w:firstColumn="0" w:lastColumn="0" w:oddVBand="0" w:evenVBand="0" w:oddHBand="0" w:evenHBand="0" w:firstRowFirstColumn="0" w:firstRowLastColumn="0" w:lastRowFirstColumn="0" w:lastRowLastColumn="0"/>
          <w:trHeight w:val="446"/>
        </w:trPr>
        <w:tc>
          <w:tcPr>
            <w:tcW w:w="1944" w:type="dxa"/>
            <w:tcBorders>
              <w:left w:val="nil"/>
              <w:bottom w:val="single" w:sz="4" w:space="0" w:color="000000" w:themeColor="text1"/>
              <w:right w:val="nil"/>
            </w:tcBorders>
            <w:noWrap/>
            <w:hideMark/>
          </w:tcPr>
          <w:p w14:paraId="3BF65A75" w14:textId="77777777" w:rsidR="007D1B7E" w:rsidRDefault="007D1B7E" w:rsidP="007D1B7E">
            <w:pPr>
              <w:spacing w:after="0" w:line="240" w:lineRule="auto"/>
              <w:rPr>
                <w:rFonts w:eastAsia="Times New Roman" w:cs="Arial"/>
                <w:b/>
                <w:sz w:val="16"/>
                <w:szCs w:val="16"/>
                <w:lang w:eastAsia="en-AU"/>
              </w:rPr>
            </w:pPr>
            <w:r>
              <w:rPr>
                <w:rFonts w:eastAsia="Times New Roman" w:cs="Arial"/>
                <w:sz w:val="16"/>
                <w:szCs w:val="16"/>
                <w:lang w:eastAsia="en-AU"/>
              </w:rPr>
              <w:t> </w:t>
            </w:r>
            <w:r>
              <w:rPr>
                <w:rFonts w:eastAsia="Times New Roman" w:cs="Arial"/>
                <w:b/>
                <w:sz w:val="16"/>
                <w:szCs w:val="16"/>
                <w:lang w:eastAsia="en-AU"/>
              </w:rPr>
              <w:t>Field of education</w:t>
            </w:r>
          </w:p>
        </w:tc>
        <w:tc>
          <w:tcPr>
            <w:tcW w:w="1582" w:type="dxa"/>
            <w:tcBorders>
              <w:left w:val="nil"/>
              <w:bottom w:val="single" w:sz="4" w:space="0" w:color="000000" w:themeColor="text1"/>
              <w:right w:val="nil"/>
            </w:tcBorders>
            <w:noWrap/>
            <w:hideMark/>
          </w:tcPr>
          <w:p w14:paraId="74F90C2C" w14:textId="77777777" w:rsidR="007D1B7E" w:rsidRDefault="007D1B7E" w:rsidP="007D1B7E">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Impact on total cost</w:t>
            </w:r>
          </w:p>
        </w:tc>
        <w:tc>
          <w:tcPr>
            <w:tcW w:w="1489" w:type="dxa"/>
            <w:tcBorders>
              <w:left w:val="nil"/>
              <w:bottom w:val="single" w:sz="4" w:space="0" w:color="000000" w:themeColor="text1"/>
              <w:right w:val="nil"/>
            </w:tcBorders>
            <w:noWrap/>
            <w:hideMark/>
          </w:tcPr>
          <w:p w14:paraId="1154F3BE" w14:textId="77777777" w:rsidR="007D1B7E" w:rsidRDefault="007D1B7E" w:rsidP="007D1B7E">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Impact on cost per EFTSL</w:t>
            </w:r>
          </w:p>
        </w:tc>
        <w:tc>
          <w:tcPr>
            <w:tcW w:w="2960" w:type="dxa"/>
            <w:tcBorders>
              <w:left w:val="nil"/>
              <w:bottom w:val="single" w:sz="4" w:space="0" w:color="000000" w:themeColor="text1"/>
              <w:right w:val="nil"/>
            </w:tcBorders>
            <w:hideMark/>
          </w:tcPr>
          <w:p w14:paraId="031767F7" w14:textId="77777777" w:rsidR="007D1B7E" w:rsidRDefault="007D1B7E" w:rsidP="007D1B7E">
            <w:pPr>
              <w:spacing w:after="0" w:line="240" w:lineRule="auto"/>
              <w:jc w:val="center"/>
              <w:rPr>
                <w:rFonts w:eastAsia="Times New Roman" w:cs="Arial"/>
                <w:b/>
                <w:i/>
                <w:iCs/>
                <w:sz w:val="16"/>
                <w:szCs w:val="16"/>
                <w:lang w:eastAsia="en-AU"/>
              </w:rPr>
            </w:pPr>
            <w:r>
              <w:rPr>
                <w:rFonts w:eastAsia="Times New Roman" w:cs="Arial"/>
                <w:b/>
                <w:i/>
                <w:iCs/>
                <w:sz w:val="16"/>
                <w:szCs w:val="16"/>
                <w:lang w:eastAsia="en-AU"/>
              </w:rPr>
              <w:t>% impact on total teaching and scholarship costs per EFTSL</w:t>
            </w:r>
          </w:p>
        </w:tc>
      </w:tr>
      <w:tr w:rsidR="0045103F" w14:paraId="727DE635"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69A80936"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MathSci</w:t>
            </w:r>
            <w:proofErr w:type="spellEnd"/>
          </w:p>
        </w:tc>
        <w:tc>
          <w:tcPr>
            <w:tcW w:w="1582" w:type="dxa"/>
            <w:noWrap/>
            <w:vAlign w:val="bottom"/>
            <w:hideMark/>
          </w:tcPr>
          <w:p w14:paraId="6E7654E0"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$1,342,135</w:t>
            </w:r>
          </w:p>
        </w:tc>
        <w:tc>
          <w:tcPr>
            <w:tcW w:w="1489" w:type="dxa"/>
            <w:noWrap/>
            <w:vAlign w:val="bottom"/>
            <w:hideMark/>
          </w:tcPr>
          <w:p w14:paraId="4CA303AB"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$78</w:t>
            </w:r>
          </w:p>
        </w:tc>
        <w:tc>
          <w:tcPr>
            <w:tcW w:w="2960" w:type="dxa"/>
            <w:noWrap/>
            <w:vAlign w:val="bottom"/>
            <w:hideMark/>
          </w:tcPr>
          <w:p w14:paraId="24D09F59"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0.49%</w:t>
            </w:r>
          </w:p>
        </w:tc>
      </w:tr>
      <w:tr w:rsidR="0045103F" w14:paraId="64A37E20" w14:textId="77777777" w:rsidTr="006118C2">
        <w:trPr>
          <w:trHeight w:val="210"/>
        </w:trPr>
        <w:tc>
          <w:tcPr>
            <w:tcW w:w="1944" w:type="dxa"/>
            <w:tcBorders>
              <w:top w:val="single" w:sz="4" w:space="0" w:color="000000" w:themeColor="text1"/>
              <w:left w:val="nil"/>
              <w:bottom w:val="single" w:sz="4" w:space="0" w:color="000000" w:themeColor="text1"/>
              <w:right w:val="nil"/>
            </w:tcBorders>
            <w:noWrap/>
            <w:hideMark/>
          </w:tcPr>
          <w:p w14:paraId="62F56707"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MedicalSci</w:t>
            </w:r>
            <w:proofErr w:type="spellEnd"/>
          </w:p>
        </w:tc>
        <w:tc>
          <w:tcPr>
            <w:tcW w:w="1582" w:type="dxa"/>
            <w:noWrap/>
            <w:vAlign w:val="bottom"/>
          </w:tcPr>
          <w:p w14:paraId="7B7E6768" w14:textId="77777777" w:rsidR="0045103F" w:rsidRDefault="0045103F" w:rsidP="0045103F">
            <w:pPr>
              <w:spacing w:after="0" w:line="240" w:lineRule="auto"/>
              <w:jc w:val="center"/>
              <w:rPr>
                <w:rFonts w:eastAsia="Times New Roman" w:cs="Arial"/>
                <w:sz w:val="16"/>
                <w:szCs w:val="14"/>
                <w:lang w:eastAsia="en-AU"/>
              </w:rPr>
            </w:pPr>
          </w:p>
        </w:tc>
        <w:tc>
          <w:tcPr>
            <w:tcW w:w="1489" w:type="dxa"/>
            <w:noWrap/>
            <w:vAlign w:val="bottom"/>
          </w:tcPr>
          <w:p w14:paraId="3B520841" w14:textId="77777777" w:rsidR="0045103F" w:rsidRDefault="0045103F" w:rsidP="0045103F">
            <w:pPr>
              <w:spacing w:after="0" w:line="240" w:lineRule="auto"/>
              <w:jc w:val="center"/>
              <w:rPr>
                <w:rFonts w:eastAsia="Times New Roman" w:cs="Arial"/>
                <w:sz w:val="16"/>
                <w:szCs w:val="14"/>
                <w:lang w:eastAsia="en-AU"/>
              </w:rPr>
            </w:pPr>
          </w:p>
        </w:tc>
        <w:tc>
          <w:tcPr>
            <w:tcW w:w="2960" w:type="dxa"/>
            <w:noWrap/>
            <w:vAlign w:val="bottom"/>
          </w:tcPr>
          <w:p w14:paraId="551368AC" w14:textId="77777777" w:rsidR="0045103F" w:rsidRDefault="0045103F" w:rsidP="0045103F">
            <w:pPr>
              <w:spacing w:after="0" w:line="240" w:lineRule="auto"/>
              <w:jc w:val="center"/>
              <w:rPr>
                <w:rFonts w:eastAsia="Times New Roman" w:cs="Arial"/>
                <w:sz w:val="16"/>
                <w:szCs w:val="14"/>
                <w:lang w:eastAsia="en-AU"/>
              </w:rPr>
            </w:pPr>
          </w:p>
        </w:tc>
      </w:tr>
      <w:tr w:rsidR="0045103F" w14:paraId="50E88B9E"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6F2A8430"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OthNat-PhysSci</w:t>
            </w:r>
            <w:proofErr w:type="spellEnd"/>
          </w:p>
        </w:tc>
        <w:tc>
          <w:tcPr>
            <w:tcW w:w="1582" w:type="dxa"/>
            <w:noWrap/>
            <w:vAlign w:val="bottom"/>
            <w:hideMark/>
          </w:tcPr>
          <w:p w14:paraId="4D1E1B39"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$272,831</w:t>
            </w:r>
          </w:p>
        </w:tc>
        <w:tc>
          <w:tcPr>
            <w:tcW w:w="1489" w:type="dxa"/>
            <w:noWrap/>
            <w:vAlign w:val="bottom"/>
            <w:hideMark/>
          </w:tcPr>
          <w:p w14:paraId="1707483B"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$6</w:t>
            </w:r>
          </w:p>
        </w:tc>
        <w:tc>
          <w:tcPr>
            <w:tcW w:w="2960" w:type="dxa"/>
            <w:noWrap/>
            <w:vAlign w:val="bottom"/>
            <w:hideMark/>
          </w:tcPr>
          <w:p w14:paraId="0D6AAFD7"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0.03%</w:t>
            </w:r>
          </w:p>
        </w:tc>
      </w:tr>
      <w:tr w:rsidR="0045103F" w14:paraId="15560AAB"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0441154D" w14:textId="77777777" w:rsidR="0045103F" w:rsidRDefault="0045103F" w:rsidP="0045103F">
            <w:pPr>
              <w:spacing w:after="0" w:line="240" w:lineRule="auto"/>
              <w:rPr>
                <w:rFonts w:eastAsia="Times New Roman" w:cs="Arial"/>
                <w:sz w:val="16"/>
                <w:szCs w:val="14"/>
                <w:lang w:eastAsia="en-AU"/>
              </w:rPr>
            </w:pPr>
            <w:r>
              <w:rPr>
                <w:rFonts w:eastAsia="Times New Roman" w:cs="Arial"/>
                <w:sz w:val="16"/>
                <w:szCs w:val="14"/>
                <w:lang w:eastAsia="en-AU"/>
              </w:rPr>
              <w:t>InfoTech</w:t>
            </w:r>
          </w:p>
        </w:tc>
        <w:tc>
          <w:tcPr>
            <w:tcW w:w="1582" w:type="dxa"/>
            <w:noWrap/>
            <w:vAlign w:val="bottom"/>
            <w:hideMark/>
          </w:tcPr>
          <w:p w14:paraId="4FDAE9D6"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$8,918,164</w:t>
            </w:r>
          </w:p>
        </w:tc>
        <w:tc>
          <w:tcPr>
            <w:tcW w:w="1489" w:type="dxa"/>
            <w:noWrap/>
            <w:vAlign w:val="bottom"/>
            <w:hideMark/>
          </w:tcPr>
          <w:p w14:paraId="1C499FCB"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$310</w:t>
            </w:r>
          </w:p>
        </w:tc>
        <w:tc>
          <w:tcPr>
            <w:tcW w:w="2960" w:type="dxa"/>
            <w:noWrap/>
            <w:vAlign w:val="bottom"/>
            <w:hideMark/>
          </w:tcPr>
          <w:p w14:paraId="4F83FB8C"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1.66%</w:t>
            </w:r>
          </w:p>
        </w:tc>
      </w:tr>
      <w:tr w:rsidR="0045103F" w14:paraId="0C852406"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20E40FAD"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Eng&amp;Related</w:t>
            </w:r>
            <w:proofErr w:type="spellEnd"/>
          </w:p>
        </w:tc>
        <w:tc>
          <w:tcPr>
            <w:tcW w:w="1582" w:type="dxa"/>
            <w:noWrap/>
            <w:vAlign w:val="bottom"/>
            <w:hideMark/>
          </w:tcPr>
          <w:p w14:paraId="683A133F"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$41,820</w:t>
            </w:r>
          </w:p>
        </w:tc>
        <w:tc>
          <w:tcPr>
            <w:tcW w:w="1489" w:type="dxa"/>
            <w:noWrap/>
            <w:vAlign w:val="bottom"/>
            <w:hideMark/>
          </w:tcPr>
          <w:p w14:paraId="170148F5"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w:t>
            </w:r>
          </w:p>
        </w:tc>
        <w:tc>
          <w:tcPr>
            <w:tcW w:w="2960" w:type="dxa"/>
            <w:noWrap/>
            <w:vAlign w:val="bottom"/>
            <w:hideMark/>
          </w:tcPr>
          <w:p w14:paraId="27589627"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0.01%</w:t>
            </w:r>
          </w:p>
        </w:tc>
      </w:tr>
      <w:tr w:rsidR="0045103F" w14:paraId="275D0DD4"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6AC3A317"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Archi&amp;Build</w:t>
            </w:r>
            <w:proofErr w:type="spellEnd"/>
          </w:p>
        </w:tc>
        <w:tc>
          <w:tcPr>
            <w:tcW w:w="1582" w:type="dxa"/>
            <w:noWrap/>
            <w:vAlign w:val="bottom"/>
            <w:hideMark/>
          </w:tcPr>
          <w:p w14:paraId="6E5489EF"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$954,845</w:t>
            </w:r>
          </w:p>
        </w:tc>
        <w:tc>
          <w:tcPr>
            <w:tcW w:w="1489" w:type="dxa"/>
            <w:noWrap/>
            <w:vAlign w:val="bottom"/>
            <w:hideMark/>
          </w:tcPr>
          <w:p w14:paraId="3C3C9B32"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$74</w:t>
            </w:r>
          </w:p>
        </w:tc>
        <w:tc>
          <w:tcPr>
            <w:tcW w:w="2960" w:type="dxa"/>
            <w:noWrap/>
            <w:vAlign w:val="bottom"/>
            <w:hideMark/>
          </w:tcPr>
          <w:p w14:paraId="7C1AB34A"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0.39%</w:t>
            </w:r>
          </w:p>
        </w:tc>
      </w:tr>
      <w:tr w:rsidR="0045103F" w14:paraId="682FEF69"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37E83FE1" w14:textId="77777777" w:rsidR="0045103F" w:rsidRDefault="004B2917" w:rsidP="0045103F">
            <w:pPr>
              <w:spacing w:after="0" w:line="240" w:lineRule="auto"/>
              <w:rPr>
                <w:rFonts w:eastAsia="Times New Roman" w:cs="Arial"/>
                <w:sz w:val="16"/>
                <w:szCs w:val="14"/>
                <w:lang w:eastAsia="en-AU"/>
              </w:rPr>
            </w:pPr>
            <w:r>
              <w:rPr>
                <w:rFonts w:eastAsia="Times New Roman" w:cs="Arial"/>
                <w:sz w:val="16"/>
                <w:szCs w:val="14"/>
                <w:lang w:eastAsia="en-AU"/>
              </w:rPr>
              <w:t>Environment</w:t>
            </w:r>
          </w:p>
        </w:tc>
        <w:tc>
          <w:tcPr>
            <w:tcW w:w="1582" w:type="dxa"/>
            <w:noWrap/>
            <w:vAlign w:val="bottom"/>
            <w:hideMark/>
          </w:tcPr>
          <w:p w14:paraId="63E7679D"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$6,766</w:t>
            </w:r>
          </w:p>
        </w:tc>
        <w:tc>
          <w:tcPr>
            <w:tcW w:w="1489" w:type="dxa"/>
            <w:noWrap/>
            <w:vAlign w:val="bottom"/>
            <w:hideMark/>
          </w:tcPr>
          <w:p w14:paraId="3F7ED9D0"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$2</w:t>
            </w:r>
          </w:p>
        </w:tc>
        <w:tc>
          <w:tcPr>
            <w:tcW w:w="2960" w:type="dxa"/>
            <w:noWrap/>
            <w:vAlign w:val="bottom"/>
            <w:hideMark/>
          </w:tcPr>
          <w:p w14:paraId="0076C9FF"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0.01%</w:t>
            </w:r>
          </w:p>
        </w:tc>
      </w:tr>
      <w:tr w:rsidR="0045103F" w14:paraId="02409981" w14:textId="77777777" w:rsidTr="006118C2">
        <w:trPr>
          <w:trHeight w:val="210"/>
        </w:trPr>
        <w:tc>
          <w:tcPr>
            <w:tcW w:w="1944" w:type="dxa"/>
            <w:tcBorders>
              <w:top w:val="single" w:sz="4" w:space="0" w:color="000000" w:themeColor="text1"/>
              <w:left w:val="nil"/>
              <w:bottom w:val="single" w:sz="4" w:space="0" w:color="000000" w:themeColor="text1"/>
              <w:right w:val="nil"/>
            </w:tcBorders>
            <w:noWrap/>
            <w:hideMark/>
          </w:tcPr>
          <w:p w14:paraId="12007CB2" w14:textId="77777777" w:rsidR="0045103F" w:rsidRDefault="0045103F" w:rsidP="004B2917">
            <w:pPr>
              <w:spacing w:after="0" w:line="240" w:lineRule="auto"/>
              <w:rPr>
                <w:rFonts w:eastAsia="Times New Roman" w:cs="Arial"/>
                <w:sz w:val="16"/>
                <w:szCs w:val="14"/>
                <w:lang w:eastAsia="en-AU"/>
              </w:rPr>
            </w:pPr>
            <w:proofErr w:type="spellStart"/>
            <w:r>
              <w:rPr>
                <w:rFonts w:eastAsia="Times New Roman" w:cs="Arial"/>
                <w:sz w:val="16"/>
                <w:szCs w:val="14"/>
                <w:lang w:eastAsia="en-AU"/>
              </w:rPr>
              <w:t>OthAg&amp;Enviro</w:t>
            </w:r>
            <w:proofErr w:type="spellEnd"/>
          </w:p>
        </w:tc>
        <w:tc>
          <w:tcPr>
            <w:tcW w:w="1582" w:type="dxa"/>
            <w:noWrap/>
            <w:vAlign w:val="bottom"/>
          </w:tcPr>
          <w:p w14:paraId="37BC66AC" w14:textId="77777777" w:rsidR="0045103F" w:rsidRDefault="0045103F" w:rsidP="0045103F">
            <w:pPr>
              <w:spacing w:after="0" w:line="240" w:lineRule="auto"/>
              <w:jc w:val="center"/>
              <w:rPr>
                <w:rFonts w:eastAsia="Times New Roman" w:cs="Arial"/>
                <w:sz w:val="16"/>
                <w:szCs w:val="14"/>
                <w:lang w:eastAsia="en-AU"/>
              </w:rPr>
            </w:pPr>
          </w:p>
        </w:tc>
        <w:tc>
          <w:tcPr>
            <w:tcW w:w="1489" w:type="dxa"/>
            <w:noWrap/>
            <w:vAlign w:val="bottom"/>
          </w:tcPr>
          <w:p w14:paraId="51BB9C31" w14:textId="77777777" w:rsidR="0045103F" w:rsidRDefault="0045103F" w:rsidP="0045103F">
            <w:pPr>
              <w:spacing w:after="0" w:line="240" w:lineRule="auto"/>
              <w:jc w:val="center"/>
              <w:rPr>
                <w:rFonts w:eastAsia="Times New Roman" w:cs="Arial"/>
                <w:sz w:val="16"/>
                <w:szCs w:val="14"/>
                <w:lang w:eastAsia="en-AU"/>
              </w:rPr>
            </w:pPr>
          </w:p>
        </w:tc>
        <w:tc>
          <w:tcPr>
            <w:tcW w:w="2960" w:type="dxa"/>
            <w:noWrap/>
            <w:vAlign w:val="bottom"/>
          </w:tcPr>
          <w:p w14:paraId="2563D71F" w14:textId="77777777" w:rsidR="0045103F" w:rsidRDefault="0045103F" w:rsidP="0045103F">
            <w:pPr>
              <w:spacing w:after="0" w:line="240" w:lineRule="auto"/>
              <w:jc w:val="center"/>
              <w:rPr>
                <w:rFonts w:eastAsia="Times New Roman" w:cs="Arial"/>
                <w:sz w:val="16"/>
                <w:szCs w:val="14"/>
                <w:lang w:eastAsia="en-AU"/>
              </w:rPr>
            </w:pPr>
          </w:p>
        </w:tc>
      </w:tr>
      <w:tr w:rsidR="0045103F" w14:paraId="305BABAA"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034DAA28"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MedicalStudies</w:t>
            </w:r>
            <w:proofErr w:type="spellEnd"/>
          </w:p>
        </w:tc>
        <w:tc>
          <w:tcPr>
            <w:tcW w:w="1582" w:type="dxa"/>
            <w:noWrap/>
            <w:vAlign w:val="bottom"/>
            <w:hideMark/>
          </w:tcPr>
          <w:p w14:paraId="55856E2A"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$5,732</w:t>
            </w:r>
          </w:p>
        </w:tc>
        <w:tc>
          <w:tcPr>
            <w:tcW w:w="1489" w:type="dxa"/>
            <w:noWrap/>
            <w:vAlign w:val="bottom"/>
            <w:hideMark/>
          </w:tcPr>
          <w:p w14:paraId="7AE0237B"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w:t>
            </w:r>
            <w:r>
              <w:rPr>
                <w:sz w:val="16"/>
                <w:szCs w:val="16"/>
                <w:lang w:eastAsia="en-AU"/>
              </w:rPr>
              <w:t>.4</w:t>
            </w:r>
          </w:p>
        </w:tc>
        <w:tc>
          <w:tcPr>
            <w:tcW w:w="2960" w:type="dxa"/>
            <w:noWrap/>
            <w:vAlign w:val="bottom"/>
            <w:hideMark/>
          </w:tcPr>
          <w:p w14:paraId="03BE2344"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0.00</w:t>
            </w:r>
            <w:r>
              <w:rPr>
                <w:sz w:val="16"/>
                <w:szCs w:val="16"/>
                <w:lang w:eastAsia="en-AU"/>
              </w:rPr>
              <w:t>1</w:t>
            </w:r>
            <w:r w:rsidR="0045103F">
              <w:rPr>
                <w:sz w:val="16"/>
                <w:szCs w:val="16"/>
                <w:lang w:eastAsia="en-AU"/>
              </w:rPr>
              <w:t>%</w:t>
            </w:r>
          </w:p>
        </w:tc>
      </w:tr>
      <w:tr w:rsidR="0045103F" w14:paraId="4745E602"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47D568EE" w14:textId="77777777" w:rsidR="0045103F" w:rsidRDefault="0045103F" w:rsidP="0045103F">
            <w:pPr>
              <w:spacing w:after="0" w:line="240" w:lineRule="auto"/>
              <w:rPr>
                <w:rFonts w:eastAsia="Times New Roman" w:cs="Arial"/>
                <w:sz w:val="16"/>
                <w:szCs w:val="14"/>
                <w:lang w:eastAsia="en-AU"/>
              </w:rPr>
            </w:pPr>
            <w:r>
              <w:rPr>
                <w:rFonts w:eastAsia="Times New Roman" w:cs="Arial"/>
                <w:sz w:val="16"/>
                <w:szCs w:val="14"/>
                <w:lang w:eastAsia="en-AU"/>
              </w:rPr>
              <w:t>Nursing</w:t>
            </w:r>
          </w:p>
        </w:tc>
        <w:tc>
          <w:tcPr>
            <w:tcW w:w="1582" w:type="dxa"/>
            <w:noWrap/>
            <w:vAlign w:val="bottom"/>
            <w:hideMark/>
          </w:tcPr>
          <w:p w14:paraId="612759EF"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$1,160,977</w:t>
            </w:r>
          </w:p>
        </w:tc>
        <w:tc>
          <w:tcPr>
            <w:tcW w:w="1489" w:type="dxa"/>
            <w:noWrap/>
            <w:vAlign w:val="bottom"/>
            <w:hideMark/>
          </w:tcPr>
          <w:p w14:paraId="3DB2201C"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$31</w:t>
            </w:r>
          </w:p>
        </w:tc>
        <w:tc>
          <w:tcPr>
            <w:tcW w:w="2960" w:type="dxa"/>
            <w:noWrap/>
            <w:vAlign w:val="bottom"/>
            <w:hideMark/>
          </w:tcPr>
          <w:p w14:paraId="7586966E"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0.18%</w:t>
            </w:r>
          </w:p>
        </w:tc>
      </w:tr>
      <w:tr w:rsidR="0045103F" w14:paraId="6934C6CA" w14:textId="77777777" w:rsidTr="006118C2">
        <w:trPr>
          <w:trHeight w:val="210"/>
        </w:trPr>
        <w:tc>
          <w:tcPr>
            <w:tcW w:w="1944" w:type="dxa"/>
            <w:tcBorders>
              <w:top w:val="single" w:sz="4" w:space="0" w:color="000000" w:themeColor="text1"/>
              <w:left w:val="nil"/>
              <w:bottom w:val="single" w:sz="4" w:space="0" w:color="000000" w:themeColor="text1"/>
              <w:right w:val="nil"/>
            </w:tcBorders>
            <w:noWrap/>
            <w:hideMark/>
          </w:tcPr>
          <w:p w14:paraId="5F95B1DE" w14:textId="77777777" w:rsidR="0045103F" w:rsidRDefault="0045103F" w:rsidP="0045103F">
            <w:pPr>
              <w:spacing w:after="0" w:line="240" w:lineRule="auto"/>
              <w:rPr>
                <w:rFonts w:eastAsia="Times New Roman" w:cs="Arial"/>
                <w:sz w:val="16"/>
                <w:szCs w:val="14"/>
                <w:lang w:eastAsia="en-AU"/>
              </w:rPr>
            </w:pPr>
            <w:r>
              <w:rPr>
                <w:rFonts w:eastAsia="Times New Roman" w:cs="Arial"/>
                <w:sz w:val="16"/>
                <w:szCs w:val="14"/>
                <w:lang w:eastAsia="en-AU"/>
              </w:rPr>
              <w:t>Dental</w:t>
            </w:r>
          </w:p>
        </w:tc>
        <w:tc>
          <w:tcPr>
            <w:tcW w:w="1582" w:type="dxa"/>
            <w:noWrap/>
            <w:vAlign w:val="bottom"/>
          </w:tcPr>
          <w:p w14:paraId="0CD57502" w14:textId="77777777" w:rsidR="0045103F" w:rsidRDefault="0045103F" w:rsidP="0045103F">
            <w:pPr>
              <w:spacing w:after="0" w:line="240" w:lineRule="auto"/>
              <w:jc w:val="center"/>
              <w:rPr>
                <w:rFonts w:eastAsia="Times New Roman" w:cs="Arial"/>
                <w:sz w:val="16"/>
                <w:szCs w:val="14"/>
                <w:lang w:eastAsia="en-AU"/>
              </w:rPr>
            </w:pPr>
          </w:p>
        </w:tc>
        <w:tc>
          <w:tcPr>
            <w:tcW w:w="1489" w:type="dxa"/>
            <w:noWrap/>
            <w:vAlign w:val="bottom"/>
          </w:tcPr>
          <w:p w14:paraId="73F67BA8" w14:textId="77777777" w:rsidR="0045103F" w:rsidRDefault="0045103F" w:rsidP="0045103F">
            <w:pPr>
              <w:spacing w:after="0" w:line="240" w:lineRule="auto"/>
              <w:jc w:val="center"/>
              <w:rPr>
                <w:rFonts w:eastAsia="Times New Roman" w:cs="Arial"/>
                <w:sz w:val="16"/>
                <w:szCs w:val="14"/>
                <w:lang w:eastAsia="en-AU"/>
              </w:rPr>
            </w:pPr>
          </w:p>
        </w:tc>
        <w:tc>
          <w:tcPr>
            <w:tcW w:w="2960" w:type="dxa"/>
            <w:noWrap/>
            <w:vAlign w:val="bottom"/>
          </w:tcPr>
          <w:p w14:paraId="51F2C322" w14:textId="77777777" w:rsidR="0045103F" w:rsidRDefault="0045103F" w:rsidP="0045103F">
            <w:pPr>
              <w:spacing w:after="0" w:line="240" w:lineRule="auto"/>
              <w:jc w:val="center"/>
              <w:rPr>
                <w:rFonts w:eastAsia="Times New Roman" w:cs="Arial"/>
                <w:sz w:val="16"/>
                <w:szCs w:val="14"/>
                <w:lang w:eastAsia="en-AU"/>
              </w:rPr>
            </w:pPr>
          </w:p>
        </w:tc>
      </w:tr>
      <w:tr w:rsidR="0045103F" w14:paraId="2A7FD65D" w14:textId="77777777" w:rsidTr="006118C2">
        <w:trPr>
          <w:trHeight w:val="210"/>
        </w:trPr>
        <w:tc>
          <w:tcPr>
            <w:tcW w:w="1944" w:type="dxa"/>
            <w:tcBorders>
              <w:top w:val="single" w:sz="4" w:space="0" w:color="000000" w:themeColor="text1"/>
              <w:left w:val="nil"/>
              <w:bottom w:val="single" w:sz="4" w:space="0" w:color="000000" w:themeColor="text1"/>
              <w:right w:val="nil"/>
            </w:tcBorders>
            <w:noWrap/>
            <w:hideMark/>
          </w:tcPr>
          <w:p w14:paraId="28BB329D" w14:textId="77777777" w:rsidR="0045103F" w:rsidRDefault="0045103F" w:rsidP="0045103F">
            <w:pPr>
              <w:spacing w:after="0" w:line="240" w:lineRule="auto"/>
              <w:rPr>
                <w:rFonts w:eastAsia="Times New Roman" w:cs="Arial"/>
                <w:sz w:val="16"/>
                <w:szCs w:val="14"/>
                <w:lang w:eastAsia="en-AU"/>
              </w:rPr>
            </w:pPr>
            <w:r>
              <w:rPr>
                <w:rFonts w:eastAsia="Times New Roman" w:cs="Arial"/>
                <w:sz w:val="16"/>
                <w:szCs w:val="14"/>
                <w:lang w:eastAsia="en-AU"/>
              </w:rPr>
              <w:t>Veterinary</w:t>
            </w:r>
          </w:p>
        </w:tc>
        <w:tc>
          <w:tcPr>
            <w:tcW w:w="1582" w:type="dxa"/>
            <w:noWrap/>
            <w:vAlign w:val="bottom"/>
          </w:tcPr>
          <w:p w14:paraId="309174D9" w14:textId="77777777" w:rsidR="0045103F" w:rsidRDefault="0045103F" w:rsidP="0045103F">
            <w:pPr>
              <w:spacing w:after="0" w:line="240" w:lineRule="auto"/>
              <w:jc w:val="center"/>
              <w:rPr>
                <w:rFonts w:eastAsia="Times New Roman" w:cs="Arial"/>
                <w:sz w:val="16"/>
                <w:szCs w:val="14"/>
                <w:lang w:eastAsia="en-AU"/>
              </w:rPr>
            </w:pPr>
          </w:p>
        </w:tc>
        <w:tc>
          <w:tcPr>
            <w:tcW w:w="1489" w:type="dxa"/>
            <w:noWrap/>
            <w:vAlign w:val="bottom"/>
          </w:tcPr>
          <w:p w14:paraId="573C6B11" w14:textId="77777777" w:rsidR="0045103F" w:rsidRDefault="0045103F" w:rsidP="0045103F">
            <w:pPr>
              <w:spacing w:after="0" w:line="240" w:lineRule="auto"/>
              <w:jc w:val="center"/>
              <w:rPr>
                <w:rFonts w:eastAsia="Times New Roman" w:cs="Arial"/>
                <w:sz w:val="16"/>
                <w:szCs w:val="14"/>
                <w:lang w:eastAsia="en-AU"/>
              </w:rPr>
            </w:pPr>
          </w:p>
        </w:tc>
        <w:tc>
          <w:tcPr>
            <w:tcW w:w="2960" w:type="dxa"/>
            <w:noWrap/>
            <w:vAlign w:val="bottom"/>
          </w:tcPr>
          <w:p w14:paraId="43E45AE5" w14:textId="77777777" w:rsidR="0045103F" w:rsidRDefault="0045103F" w:rsidP="0045103F">
            <w:pPr>
              <w:spacing w:after="0" w:line="240" w:lineRule="auto"/>
              <w:jc w:val="center"/>
              <w:rPr>
                <w:rFonts w:eastAsia="Times New Roman" w:cs="Arial"/>
                <w:sz w:val="16"/>
                <w:szCs w:val="14"/>
                <w:lang w:eastAsia="en-AU"/>
              </w:rPr>
            </w:pPr>
          </w:p>
        </w:tc>
      </w:tr>
      <w:tr w:rsidR="0045103F" w14:paraId="33F032E3"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054F7918"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OthHealth</w:t>
            </w:r>
            <w:proofErr w:type="spellEnd"/>
          </w:p>
        </w:tc>
        <w:tc>
          <w:tcPr>
            <w:tcW w:w="1582" w:type="dxa"/>
            <w:noWrap/>
            <w:vAlign w:val="bottom"/>
            <w:hideMark/>
          </w:tcPr>
          <w:p w14:paraId="54E52FE3"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$1,043,326</w:t>
            </w:r>
          </w:p>
        </w:tc>
        <w:tc>
          <w:tcPr>
            <w:tcW w:w="1489" w:type="dxa"/>
            <w:noWrap/>
            <w:vAlign w:val="bottom"/>
            <w:hideMark/>
          </w:tcPr>
          <w:p w14:paraId="776AEAB5"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$25</w:t>
            </w:r>
          </w:p>
        </w:tc>
        <w:tc>
          <w:tcPr>
            <w:tcW w:w="2960" w:type="dxa"/>
            <w:noWrap/>
            <w:vAlign w:val="bottom"/>
            <w:hideMark/>
          </w:tcPr>
          <w:p w14:paraId="5BBB1A63"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0.12%</w:t>
            </w:r>
          </w:p>
        </w:tc>
      </w:tr>
      <w:tr w:rsidR="0045103F" w14:paraId="0E961F63"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20DD1006" w14:textId="77777777" w:rsidR="0045103F" w:rsidRDefault="0045103F" w:rsidP="0045103F">
            <w:pPr>
              <w:spacing w:after="0" w:line="240" w:lineRule="auto"/>
              <w:rPr>
                <w:rFonts w:eastAsia="Times New Roman" w:cs="Arial"/>
                <w:sz w:val="16"/>
                <w:szCs w:val="14"/>
                <w:lang w:eastAsia="en-AU"/>
              </w:rPr>
            </w:pPr>
            <w:r>
              <w:rPr>
                <w:rFonts w:eastAsia="Times New Roman" w:cs="Arial"/>
                <w:sz w:val="16"/>
                <w:szCs w:val="14"/>
                <w:lang w:eastAsia="en-AU"/>
              </w:rPr>
              <w:t>Education</w:t>
            </w:r>
          </w:p>
        </w:tc>
        <w:tc>
          <w:tcPr>
            <w:tcW w:w="1582" w:type="dxa"/>
            <w:noWrap/>
            <w:vAlign w:val="bottom"/>
            <w:hideMark/>
          </w:tcPr>
          <w:p w14:paraId="5BBC7CB0"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$5,150,287</w:t>
            </w:r>
          </w:p>
        </w:tc>
        <w:tc>
          <w:tcPr>
            <w:tcW w:w="1489" w:type="dxa"/>
            <w:noWrap/>
            <w:vAlign w:val="bottom"/>
            <w:hideMark/>
          </w:tcPr>
          <w:p w14:paraId="690842DA"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$106</w:t>
            </w:r>
          </w:p>
        </w:tc>
        <w:tc>
          <w:tcPr>
            <w:tcW w:w="2960" w:type="dxa"/>
            <w:noWrap/>
            <w:vAlign w:val="bottom"/>
            <w:hideMark/>
          </w:tcPr>
          <w:p w14:paraId="7CF99A01"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0.67%</w:t>
            </w:r>
          </w:p>
        </w:tc>
      </w:tr>
      <w:tr w:rsidR="0045103F" w14:paraId="65878669"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303ED8BB"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Mgmt&amp;Comm</w:t>
            </w:r>
            <w:proofErr w:type="spellEnd"/>
          </w:p>
        </w:tc>
        <w:tc>
          <w:tcPr>
            <w:tcW w:w="1582" w:type="dxa"/>
            <w:noWrap/>
            <w:vAlign w:val="bottom"/>
            <w:hideMark/>
          </w:tcPr>
          <w:p w14:paraId="760D4783"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$15,354,869</w:t>
            </w:r>
          </w:p>
        </w:tc>
        <w:tc>
          <w:tcPr>
            <w:tcW w:w="1489" w:type="dxa"/>
            <w:noWrap/>
            <w:vAlign w:val="bottom"/>
            <w:hideMark/>
          </w:tcPr>
          <w:p w14:paraId="767D54AA"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$174</w:t>
            </w:r>
          </w:p>
        </w:tc>
        <w:tc>
          <w:tcPr>
            <w:tcW w:w="2960" w:type="dxa"/>
            <w:noWrap/>
            <w:vAlign w:val="bottom"/>
            <w:hideMark/>
          </w:tcPr>
          <w:p w14:paraId="4125E323"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1.10%</w:t>
            </w:r>
          </w:p>
        </w:tc>
      </w:tr>
      <w:tr w:rsidR="0045103F" w14:paraId="091600A0"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1B3C5C0A"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ForeignLang</w:t>
            </w:r>
            <w:proofErr w:type="spellEnd"/>
          </w:p>
        </w:tc>
        <w:tc>
          <w:tcPr>
            <w:tcW w:w="1582" w:type="dxa"/>
            <w:noWrap/>
            <w:vAlign w:val="bottom"/>
            <w:hideMark/>
          </w:tcPr>
          <w:p w14:paraId="75A3A2B4"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$139,086</w:t>
            </w:r>
          </w:p>
        </w:tc>
        <w:tc>
          <w:tcPr>
            <w:tcW w:w="1489" w:type="dxa"/>
            <w:noWrap/>
            <w:vAlign w:val="bottom"/>
            <w:hideMark/>
          </w:tcPr>
          <w:p w14:paraId="21A5C0A3"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$20</w:t>
            </w:r>
          </w:p>
        </w:tc>
        <w:tc>
          <w:tcPr>
            <w:tcW w:w="2960" w:type="dxa"/>
            <w:noWrap/>
            <w:vAlign w:val="bottom"/>
            <w:hideMark/>
          </w:tcPr>
          <w:p w14:paraId="6EDC00C2"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0.11%</w:t>
            </w:r>
          </w:p>
        </w:tc>
      </w:tr>
      <w:tr w:rsidR="0045103F" w14:paraId="41C3BA60"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2C22AE34" w14:textId="77777777" w:rsidR="0045103F" w:rsidRDefault="0045103F" w:rsidP="0045103F">
            <w:pPr>
              <w:spacing w:after="0" w:line="240" w:lineRule="auto"/>
              <w:rPr>
                <w:rFonts w:eastAsia="Times New Roman" w:cs="Arial"/>
                <w:sz w:val="16"/>
                <w:szCs w:val="14"/>
                <w:lang w:eastAsia="en-AU"/>
              </w:rPr>
            </w:pPr>
            <w:r>
              <w:rPr>
                <w:rFonts w:eastAsia="Times New Roman" w:cs="Arial"/>
                <w:sz w:val="16"/>
                <w:szCs w:val="14"/>
                <w:lang w:eastAsia="en-AU"/>
              </w:rPr>
              <w:t>Psych</w:t>
            </w:r>
          </w:p>
        </w:tc>
        <w:tc>
          <w:tcPr>
            <w:tcW w:w="1582" w:type="dxa"/>
            <w:noWrap/>
            <w:vAlign w:val="bottom"/>
            <w:hideMark/>
          </w:tcPr>
          <w:p w14:paraId="4981BD95"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$165,317</w:t>
            </w:r>
          </w:p>
        </w:tc>
        <w:tc>
          <w:tcPr>
            <w:tcW w:w="1489" w:type="dxa"/>
            <w:noWrap/>
            <w:vAlign w:val="bottom"/>
            <w:hideMark/>
          </w:tcPr>
          <w:p w14:paraId="1152DBEB"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$9</w:t>
            </w:r>
          </w:p>
        </w:tc>
        <w:tc>
          <w:tcPr>
            <w:tcW w:w="2960" w:type="dxa"/>
            <w:noWrap/>
            <w:vAlign w:val="bottom"/>
            <w:hideMark/>
          </w:tcPr>
          <w:p w14:paraId="32CB713B"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0.06%</w:t>
            </w:r>
          </w:p>
        </w:tc>
      </w:tr>
      <w:tr w:rsidR="0045103F" w14:paraId="641CECBF"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0CD1DBD4"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OtherSoc&amp;Cult</w:t>
            </w:r>
            <w:proofErr w:type="spellEnd"/>
          </w:p>
        </w:tc>
        <w:tc>
          <w:tcPr>
            <w:tcW w:w="1582" w:type="dxa"/>
            <w:noWrap/>
            <w:vAlign w:val="bottom"/>
            <w:hideMark/>
          </w:tcPr>
          <w:p w14:paraId="69EB1D85"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$6,114,790</w:t>
            </w:r>
          </w:p>
        </w:tc>
        <w:tc>
          <w:tcPr>
            <w:tcW w:w="1489" w:type="dxa"/>
            <w:noWrap/>
            <w:vAlign w:val="bottom"/>
            <w:hideMark/>
          </w:tcPr>
          <w:p w14:paraId="7BD8586C"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$56</w:t>
            </w:r>
          </w:p>
        </w:tc>
        <w:tc>
          <w:tcPr>
            <w:tcW w:w="2960" w:type="dxa"/>
            <w:noWrap/>
            <w:vAlign w:val="bottom"/>
            <w:hideMark/>
          </w:tcPr>
          <w:p w14:paraId="35C510A9"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0.37%</w:t>
            </w:r>
          </w:p>
        </w:tc>
      </w:tr>
      <w:tr w:rsidR="0045103F" w14:paraId="7910F622"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44B354EC"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Comms&amp;Media</w:t>
            </w:r>
            <w:proofErr w:type="spellEnd"/>
          </w:p>
        </w:tc>
        <w:tc>
          <w:tcPr>
            <w:tcW w:w="1582" w:type="dxa"/>
            <w:noWrap/>
            <w:vAlign w:val="bottom"/>
            <w:hideMark/>
          </w:tcPr>
          <w:p w14:paraId="2ECDAD0A"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$2,015,817</w:t>
            </w:r>
          </w:p>
        </w:tc>
        <w:tc>
          <w:tcPr>
            <w:tcW w:w="1489" w:type="dxa"/>
            <w:noWrap/>
            <w:vAlign w:val="bottom"/>
            <w:hideMark/>
          </w:tcPr>
          <w:p w14:paraId="2374212A"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$105</w:t>
            </w:r>
          </w:p>
        </w:tc>
        <w:tc>
          <w:tcPr>
            <w:tcW w:w="2960" w:type="dxa"/>
            <w:noWrap/>
            <w:vAlign w:val="bottom"/>
            <w:hideMark/>
          </w:tcPr>
          <w:p w14:paraId="39291B81"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0.69%</w:t>
            </w:r>
          </w:p>
        </w:tc>
      </w:tr>
      <w:tr w:rsidR="0045103F" w14:paraId="03B2EF4D" w14:textId="77777777" w:rsidTr="007D1B7E">
        <w:trPr>
          <w:trHeight w:val="210"/>
        </w:trPr>
        <w:tc>
          <w:tcPr>
            <w:tcW w:w="1944" w:type="dxa"/>
            <w:tcBorders>
              <w:top w:val="single" w:sz="4" w:space="0" w:color="000000" w:themeColor="text1"/>
              <w:left w:val="nil"/>
              <w:bottom w:val="single" w:sz="4" w:space="0" w:color="000000" w:themeColor="text1"/>
              <w:right w:val="nil"/>
            </w:tcBorders>
            <w:noWrap/>
            <w:hideMark/>
          </w:tcPr>
          <w:p w14:paraId="1ABF6121"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OthCreative</w:t>
            </w:r>
            <w:proofErr w:type="spellEnd"/>
          </w:p>
        </w:tc>
        <w:tc>
          <w:tcPr>
            <w:tcW w:w="1582" w:type="dxa"/>
            <w:noWrap/>
            <w:vAlign w:val="bottom"/>
            <w:hideMark/>
          </w:tcPr>
          <w:p w14:paraId="3AFDDC52" w14:textId="77777777" w:rsidR="0045103F" w:rsidRDefault="007D1B7E"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$787,514</w:t>
            </w:r>
          </w:p>
        </w:tc>
        <w:tc>
          <w:tcPr>
            <w:tcW w:w="1489" w:type="dxa"/>
            <w:noWrap/>
            <w:vAlign w:val="bottom"/>
            <w:hideMark/>
          </w:tcPr>
          <w:p w14:paraId="37FA0B82"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$43</w:t>
            </w:r>
          </w:p>
        </w:tc>
        <w:tc>
          <w:tcPr>
            <w:tcW w:w="2960" w:type="dxa"/>
            <w:noWrap/>
            <w:vAlign w:val="bottom"/>
            <w:hideMark/>
          </w:tcPr>
          <w:p w14:paraId="0E984C47" w14:textId="77777777" w:rsidR="0045103F" w:rsidRDefault="00A555E5" w:rsidP="0045103F">
            <w:pPr>
              <w:spacing w:after="0" w:line="240" w:lineRule="auto"/>
              <w:jc w:val="center"/>
              <w:rPr>
                <w:rFonts w:eastAsia="Times New Roman" w:cs="Arial"/>
                <w:sz w:val="16"/>
                <w:szCs w:val="14"/>
                <w:lang w:eastAsia="en-AU"/>
              </w:rPr>
            </w:pPr>
            <w:r>
              <w:rPr>
                <w:sz w:val="16"/>
                <w:szCs w:val="16"/>
                <w:lang w:eastAsia="en-AU"/>
              </w:rPr>
              <w:t>+</w:t>
            </w:r>
            <w:r w:rsidR="0045103F">
              <w:rPr>
                <w:sz w:val="16"/>
                <w:szCs w:val="16"/>
                <w:lang w:eastAsia="en-AU"/>
              </w:rPr>
              <w:t>0.21%</w:t>
            </w:r>
          </w:p>
        </w:tc>
      </w:tr>
      <w:tr w:rsidR="0045103F" w14:paraId="18DA7624" w14:textId="77777777" w:rsidTr="006118C2">
        <w:trPr>
          <w:trHeight w:val="210"/>
        </w:trPr>
        <w:tc>
          <w:tcPr>
            <w:tcW w:w="1944" w:type="dxa"/>
            <w:tcBorders>
              <w:top w:val="single" w:sz="4" w:space="0" w:color="000000" w:themeColor="text1"/>
              <w:left w:val="nil"/>
              <w:bottom w:val="single" w:sz="4" w:space="0" w:color="000000" w:themeColor="text1"/>
              <w:right w:val="nil"/>
            </w:tcBorders>
            <w:noWrap/>
            <w:hideMark/>
          </w:tcPr>
          <w:p w14:paraId="02931699"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FoodHosp&amp;Person</w:t>
            </w:r>
            <w:proofErr w:type="spellEnd"/>
          </w:p>
        </w:tc>
        <w:tc>
          <w:tcPr>
            <w:tcW w:w="1582" w:type="dxa"/>
            <w:noWrap/>
            <w:vAlign w:val="bottom"/>
          </w:tcPr>
          <w:p w14:paraId="5FD692D8" w14:textId="77777777" w:rsidR="0045103F" w:rsidRDefault="0045103F" w:rsidP="0045103F">
            <w:pPr>
              <w:spacing w:after="0" w:line="240" w:lineRule="auto"/>
              <w:jc w:val="center"/>
              <w:rPr>
                <w:rFonts w:eastAsia="Times New Roman" w:cs="Arial"/>
                <w:sz w:val="16"/>
                <w:szCs w:val="14"/>
                <w:lang w:eastAsia="en-AU"/>
              </w:rPr>
            </w:pPr>
          </w:p>
        </w:tc>
        <w:tc>
          <w:tcPr>
            <w:tcW w:w="1489" w:type="dxa"/>
            <w:noWrap/>
            <w:vAlign w:val="bottom"/>
          </w:tcPr>
          <w:p w14:paraId="45CC4934" w14:textId="77777777" w:rsidR="0045103F" w:rsidRDefault="0045103F" w:rsidP="0045103F">
            <w:pPr>
              <w:spacing w:after="0" w:line="240" w:lineRule="auto"/>
              <w:jc w:val="center"/>
              <w:rPr>
                <w:rFonts w:eastAsia="Times New Roman" w:cs="Arial"/>
                <w:sz w:val="16"/>
                <w:szCs w:val="14"/>
                <w:lang w:eastAsia="en-AU"/>
              </w:rPr>
            </w:pPr>
          </w:p>
        </w:tc>
        <w:tc>
          <w:tcPr>
            <w:tcW w:w="2960" w:type="dxa"/>
            <w:noWrap/>
            <w:vAlign w:val="bottom"/>
          </w:tcPr>
          <w:p w14:paraId="49212D7A" w14:textId="77777777" w:rsidR="0045103F" w:rsidRDefault="0045103F" w:rsidP="0045103F">
            <w:pPr>
              <w:spacing w:after="0" w:line="240" w:lineRule="auto"/>
              <w:jc w:val="center"/>
              <w:rPr>
                <w:rFonts w:eastAsia="Times New Roman" w:cs="Arial"/>
                <w:sz w:val="16"/>
                <w:szCs w:val="14"/>
                <w:lang w:eastAsia="en-AU"/>
              </w:rPr>
            </w:pPr>
          </w:p>
        </w:tc>
      </w:tr>
      <w:tr w:rsidR="0045103F" w14:paraId="7E2F7319" w14:textId="77777777" w:rsidTr="006118C2">
        <w:trPr>
          <w:trHeight w:val="210"/>
        </w:trPr>
        <w:tc>
          <w:tcPr>
            <w:tcW w:w="1944" w:type="dxa"/>
            <w:tcBorders>
              <w:top w:val="single" w:sz="4" w:space="0" w:color="000000" w:themeColor="text1"/>
              <w:left w:val="nil"/>
              <w:bottom w:val="single" w:sz="4" w:space="0" w:color="000000" w:themeColor="text1"/>
              <w:right w:val="nil"/>
            </w:tcBorders>
            <w:noWrap/>
            <w:hideMark/>
          </w:tcPr>
          <w:p w14:paraId="0FF30E3C" w14:textId="77777777" w:rsidR="0045103F" w:rsidRDefault="0045103F" w:rsidP="0045103F">
            <w:pPr>
              <w:spacing w:after="0" w:line="240" w:lineRule="auto"/>
              <w:rPr>
                <w:rFonts w:eastAsia="Times New Roman" w:cs="Arial"/>
                <w:sz w:val="16"/>
                <w:szCs w:val="14"/>
                <w:lang w:eastAsia="en-AU"/>
              </w:rPr>
            </w:pPr>
            <w:proofErr w:type="spellStart"/>
            <w:r>
              <w:rPr>
                <w:rFonts w:eastAsia="Times New Roman" w:cs="Arial"/>
                <w:sz w:val="16"/>
                <w:szCs w:val="14"/>
                <w:lang w:eastAsia="en-AU"/>
              </w:rPr>
              <w:t>MixedField</w:t>
            </w:r>
            <w:proofErr w:type="spellEnd"/>
          </w:p>
        </w:tc>
        <w:tc>
          <w:tcPr>
            <w:tcW w:w="1582" w:type="dxa"/>
            <w:noWrap/>
            <w:vAlign w:val="bottom"/>
          </w:tcPr>
          <w:p w14:paraId="7A75CE63" w14:textId="77777777" w:rsidR="0045103F" w:rsidRDefault="0045103F" w:rsidP="0045103F">
            <w:pPr>
              <w:spacing w:after="0" w:line="240" w:lineRule="auto"/>
              <w:jc w:val="center"/>
              <w:rPr>
                <w:rFonts w:eastAsia="Times New Roman" w:cs="Arial"/>
                <w:sz w:val="16"/>
                <w:szCs w:val="14"/>
                <w:lang w:eastAsia="en-AU"/>
              </w:rPr>
            </w:pPr>
          </w:p>
        </w:tc>
        <w:tc>
          <w:tcPr>
            <w:tcW w:w="1489" w:type="dxa"/>
            <w:noWrap/>
            <w:vAlign w:val="bottom"/>
          </w:tcPr>
          <w:p w14:paraId="147BADD2" w14:textId="77777777" w:rsidR="0045103F" w:rsidRDefault="0045103F" w:rsidP="0045103F">
            <w:pPr>
              <w:spacing w:after="0" w:line="240" w:lineRule="auto"/>
              <w:jc w:val="center"/>
              <w:rPr>
                <w:rFonts w:eastAsia="Times New Roman" w:cs="Arial"/>
                <w:sz w:val="16"/>
                <w:szCs w:val="14"/>
                <w:lang w:eastAsia="en-AU"/>
              </w:rPr>
            </w:pPr>
          </w:p>
        </w:tc>
        <w:tc>
          <w:tcPr>
            <w:tcW w:w="2960" w:type="dxa"/>
            <w:noWrap/>
            <w:vAlign w:val="bottom"/>
          </w:tcPr>
          <w:p w14:paraId="67C7FC85" w14:textId="77777777" w:rsidR="0045103F" w:rsidRDefault="0045103F" w:rsidP="0045103F">
            <w:pPr>
              <w:spacing w:after="0" w:line="240" w:lineRule="auto"/>
              <w:jc w:val="center"/>
              <w:rPr>
                <w:rFonts w:eastAsia="Times New Roman" w:cs="Arial"/>
                <w:sz w:val="16"/>
                <w:szCs w:val="14"/>
                <w:lang w:eastAsia="en-AU"/>
              </w:rPr>
            </w:pPr>
          </w:p>
        </w:tc>
      </w:tr>
      <w:tr w:rsidR="0045103F" w14:paraId="0AB6E87E" w14:textId="77777777" w:rsidTr="004A35AE">
        <w:trPr>
          <w:trHeight w:val="210"/>
        </w:trPr>
        <w:tc>
          <w:tcPr>
            <w:tcW w:w="1944" w:type="dxa"/>
            <w:tcBorders>
              <w:top w:val="single" w:sz="4" w:space="0" w:color="000000" w:themeColor="text1"/>
              <w:left w:val="nil"/>
              <w:bottom w:val="single" w:sz="4" w:space="0" w:color="auto"/>
              <w:right w:val="nil"/>
            </w:tcBorders>
            <w:noWrap/>
            <w:hideMark/>
          </w:tcPr>
          <w:p w14:paraId="7D5F7ECA" w14:textId="77777777" w:rsidR="0045103F" w:rsidRDefault="0045103F" w:rsidP="0045103F">
            <w:pPr>
              <w:spacing w:after="0" w:line="240" w:lineRule="auto"/>
              <w:rPr>
                <w:rFonts w:eastAsia="Times New Roman" w:cs="Arial"/>
                <w:b/>
                <w:sz w:val="16"/>
                <w:szCs w:val="14"/>
                <w:lang w:eastAsia="en-AU"/>
              </w:rPr>
            </w:pPr>
            <w:r>
              <w:rPr>
                <w:rFonts w:eastAsia="Times New Roman" w:cs="Arial"/>
                <w:b/>
                <w:sz w:val="16"/>
                <w:szCs w:val="14"/>
                <w:lang w:eastAsia="en-AU"/>
              </w:rPr>
              <w:t>Total</w:t>
            </w:r>
          </w:p>
        </w:tc>
        <w:tc>
          <w:tcPr>
            <w:tcW w:w="1582" w:type="dxa"/>
            <w:tcBorders>
              <w:top w:val="nil"/>
              <w:left w:val="nil"/>
              <w:bottom w:val="single" w:sz="4" w:space="0" w:color="auto"/>
              <w:right w:val="nil"/>
            </w:tcBorders>
            <w:noWrap/>
            <w:vAlign w:val="bottom"/>
            <w:hideMark/>
          </w:tcPr>
          <w:p w14:paraId="538FFD33" w14:textId="77777777" w:rsidR="0045103F" w:rsidRDefault="007D1B7E" w:rsidP="0045103F">
            <w:pPr>
              <w:spacing w:after="0" w:line="240" w:lineRule="auto"/>
              <w:jc w:val="center"/>
              <w:rPr>
                <w:rFonts w:eastAsia="Times New Roman" w:cs="Arial"/>
                <w:b/>
                <w:sz w:val="16"/>
                <w:szCs w:val="14"/>
                <w:lang w:eastAsia="en-AU"/>
              </w:rPr>
            </w:pPr>
            <w:r>
              <w:rPr>
                <w:sz w:val="16"/>
                <w:szCs w:val="16"/>
                <w:lang w:eastAsia="en-AU"/>
              </w:rPr>
              <w:t>+</w:t>
            </w:r>
            <w:r w:rsidR="0045103F">
              <w:rPr>
                <w:sz w:val="16"/>
                <w:szCs w:val="16"/>
                <w:lang w:eastAsia="en-AU"/>
              </w:rPr>
              <w:t>$43,474,276</w:t>
            </w:r>
          </w:p>
        </w:tc>
        <w:tc>
          <w:tcPr>
            <w:tcW w:w="1489" w:type="dxa"/>
            <w:tcBorders>
              <w:top w:val="nil"/>
              <w:left w:val="nil"/>
              <w:bottom w:val="single" w:sz="4" w:space="0" w:color="auto"/>
              <w:right w:val="nil"/>
            </w:tcBorders>
            <w:noWrap/>
            <w:vAlign w:val="bottom"/>
            <w:hideMark/>
          </w:tcPr>
          <w:p w14:paraId="55F16412" w14:textId="77777777" w:rsidR="0045103F" w:rsidRDefault="00A555E5" w:rsidP="0045103F">
            <w:pPr>
              <w:spacing w:after="0" w:line="240" w:lineRule="auto"/>
              <w:jc w:val="center"/>
              <w:rPr>
                <w:rFonts w:eastAsia="Times New Roman" w:cs="Arial"/>
                <w:b/>
                <w:sz w:val="16"/>
                <w:szCs w:val="14"/>
                <w:lang w:eastAsia="en-AU"/>
              </w:rPr>
            </w:pPr>
            <w:r>
              <w:rPr>
                <w:sz w:val="16"/>
                <w:szCs w:val="16"/>
                <w:lang w:eastAsia="en-AU"/>
              </w:rPr>
              <w:t>+</w:t>
            </w:r>
            <w:r w:rsidR="0045103F">
              <w:rPr>
                <w:sz w:val="16"/>
                <w:szCs w:val="16"/>
                <w:lang w:eastAsia="en-AU"/>
              </w:rPr>
              <w:t>$77</w:t>
            </w:r>
          </w:p>
        </w:tc>
        <w:tc>
          <w:tcPr>
            <w:tcW w:w="2960" w:type="dxa"/>
            <w:tcBorders>
              <w:top w:val="nil"/>
              <w:left w:val="nil"/>
              <w:bottom w:val="single" w:sz="4" w:space="0" w:color="auto"/>
              <w:right w:val="nil"/>
            </w:tcBorders>
            <w:noWrap/>
            <w:vAlign w:val="bottom"/>
            <w:hideMark/>
          </w:tcPr>
          <w:p w14:paraId="2898D883" w14:textId="77777777" w:rsidR="0045103F" w:rsidRDefault="00A555E5" w:rsidP="0045103F">
            <w:pPr>
              <w:spacing w:after="0" w:line="240" w:lineRule="auto"/>
              <w:jc w:val="center"/>
              <w:rPr>
                <w:rFonts w:eastAsia="Times New Roman" w:cs="Arial"/>
                <w:b/>
                <w:sz w:val="16"/>
                <w:szCs w:val="14"/>
                <w:lang w:eastAsia="en-AU"/>
              </w:rPr>
            </w:pPr>
            <w:r>
              <w:rPr>
                <w:sz w:val="16"/>
                <w:szCs w:val="16"/>
                <w:lang w:eastAsia="en-AU"/>
              </w:rPr>
              <w:t>+</w:t>
            </w:r>
            <w:r w:rsidR="0045103F">
              <w:rPr>
                <w:sz w:val="16"/>
                <w:szCs w:val="16"/>
                <w:lang w:eastAsia="en-AU"/>
              </w:rPr>
              <w:t>0.42%</w:t>
            </w:r>
          </w:p>
        </w:tc>
      </w:tr>
    </w:tbl>
    <w:p w14:paraId="2601E784" w14:textId="77777777" w:rsidR="00A4300D" w:rsidRDefault="00A4300D" w:rsidP="00A4300D"/>
    <w:p w14:paraId="321B8035" w14:textId="77777777" w:rsidR="00A4300D" w:rsidRDefault="00A4300D" w:rsidP="006118C2">
      <w:pPr>
        <w:pStyle w:val="Heading2"/>
      </w:pPr>
      <w:bookmarkStart w:id="441" w:name="_Ref532935334"/>
      <w:bookmarkStart w:id="442" w:name="_Toc534713799"/>
      <w:r>
        <w:t>Consideration of contextual factors</w:t>
      </w:r>
      <w:bookmarkEnd w:id="441"/>
      <w:bookmarkEnd w:id="442"/>
    </w:p>
    <w:p w14:paraId="64122F25" w14:textId="77777777" w:rsidR="00A4300D" w:rsidRDefault="00A4300D" w:rsidP="00A4300D">
      <w:r>
        <w:t xml:space="preserve">This section examines the extent to which </w:t>
      </w:r>
      <w:r w:rsidR="00A43D22">
        <w:t xml:space="preserve">variation in costs across universities </w:t>
      </w:r>
      <w:proofErr w:type="gramStart"/>
      <w:r w:rsidR="00A43D22">
        <w:t>is correlated</w:t>
      </w:r>
      <w:proofErr w:type="gramEnd"/>
      <w:r>
        <w:t xml:space="preserve"> with specific contextual factors. In particular, it explores the degree to which cost varies based on different EFTSL sizes</w:t>
      </w:r>
      <w:r w:rsidR="00A43D22">
        <w:t>,</w:t>
      </w:r>
      <w:r>
        <w:t xml:space="preserve"> between metropolitan and regional universities</w:t>
      </w:r>
      <w:r w:rsidR="00A43D22">
        <w:t xml:space="preserve"> and for </w:t>
      </w:r>
      <w:proofErr w:type="gramStart"/>
      <w:r w:rsidR="00A43D22">
        <w:t>research intensive</w:t>
      </w:r>
      <w:proofErr w:type="gramEnd"/>
      <w:r w:rsidR="00A43D22">
        <w:t xml:space="preserve"> universities.</w:t>
      </w:r>
    </w:p>
    <w:p w14:paraId="28A779A2" w14:textId="77777777" w:rsidR="00A4300D" w:rsidRDefault="00A4300D" w:rsidP="00A4300D">
      <w:r>
        <w:t>It is important to note that although universities with certain characteristics (e.g. regional universities) may, on average, have different costs</w:t>
      </w:r>
      <w:r w:rsidR="00A43D22">
        <w:t xml:space="preserve"> to the rest of the </w:t>
      </w:r>
      <w:proofErr w:type="gramStart"/>
      <w:r w:rsidR="00A43D22">
        <w:t>sector</w:t>
      </w:r>
      <w:r>
        <w:t>,</w:t>
      </w:r>
      <w:proofErr w:type="gramEnd"/>
      <w:r>
        <w:t xml:space="preserve"> this correlation could be driven by a range of factors other than purely input costs. For example, higher costs on average could be due to differences in staff stu</w:t>
      </w:r>
      <w:r w:rsidR="00776795">
        <w:t>dent ratios</w:t>
      </w:r>
      <w:r w:rsidR="00A43D22">
        <w:t>,</w:t>
      </w:r>
      <w:r w:rsidR="00776795">
        <w:t xml:space="preserve"> scale effects</w:t>
      </w:r>
      <w:r w:rsidR="00A43D22">
        <w:t xml:space="preserve"> or the need to provide additional support for students</w:t>
      </w:r>
      <w:r>
        <w:t>.</w:t>
      </w:r>
    </w:p>
    <w:p w14:paraId="3BF1F180" w14:textId="77777777" w:rsidR="00A4300D" w:rsidRDefault="00A4300D" w:rsidP="00A4300D">
      <w:pPr>
        <w:pStyle w:val="Heading3un-numbered"/>
      </w:pPr>
      <w:r>
        <w:t xml:space="preserve">Variation by scale of delivery </w:t>
      </w:r>
    </w:p>
    <w:p w14:paraId="4BCA9770" w14:textId="77777777" w:rsidR="00A4300D" w:rsidRDefault="00A4300D" w:rsidP="00A4300D">
      <w:r>
        <w:t xml:space="preserve">The previous 2016 exercise included a detailed econometric analysis of the drivers of cost (see Box 2.3 below). A key finding from this analysis and report was the significance (statistically and </w:t>
      </w:r>
      <w:r>
        <w:lastRenderedPageBreak/>
        <w:t xml:space="preserve">materially) of scale as a determinant of unit costs. This point </w:t>
      </w:r>
      <w:proofErr w:type="gramStart"/>
      <w:r>
        <w:t>was reiterated</w:t>
      </w:r>
      <w:proofErr w:type="gramEnd"/>
      <w:r>
        <w:t xml:space="preserve"> throughout the consultation process and by universities in their accompanying statements. </w:t>
      </w:r>
    </w:p>
    <w:p w14:paraId="362078A8" w14:textId="6BC9EAAA" w:rsidR="00A4300D" w:rsidRDefault="002D3041" w:rsidP="00A4300D">
      <w:r>
        <w:fldChar w:fldCharType="begin"/>
      </w:r>
      <w:r>
        <w:instrText xml:space="preserve"> REF _Ref534713117 \r \h </w:instrText>
      </w:r>
      <w:r>
        <w:fldChar w:fldCharType="separate"/>
      </w:r>
      <w:r w:rsidR="00F47C96">
        <w:t>Chart 2.19</w:t>
      </w:r>
      <w:r>
        <w:fldChar w:fldCharType="end"/>
      </w:r>
      <w:r w:rsidR="00A4300D">
        <w:t xml:space="preserve"> provides further evidence for the existence of ‘economies of scale’ in provision of higher education, whereby an increasing quantum of teaching delivery is associated with declining unit costs, and conversely, delivery at small-scale is correlated with higher average costs per EFTSL.  </w:t>
      </w:r>
    </w:p>
    <w:p w14:paraId="16C19E20" w14:textId="77777777" w:rsidR="00A4300D" w:rsidRDefault="00A4300D" w:rsidP="006118C2">
      <w:pPr>
        <w:pStyle w:val="CaptionChart"/>
      </w:pPr>
      <w:bookmarkStart w:id="443" w:name="_Ref534713117"/>
      <w:bookmarkStart w:id="444" w:name="_Toc534713842"/>
      <w:r>
        <w:t>: Unit costs and deviation from average using different EFTSL thresholds, by level</w:t>
      </w:r>
      <w:bookmarkEnd w:id="443"/>
      <w:bookmarkEnd w:id="444"/>
      <w:r>
        <w:t xml:space="preserve"> </w:t>
      </w:r>
    </w:p>
    <w:p w14:paraId="1CDBE3FB" w14:textId="6560B82C" w:rsidR="00A4300D" w:rsidRDefault="002D7620" w:rsidP="00A4300D">
      <w:pPr>
        <w:rPr>
          <w:noProof/>
          <w:lang w:eastAsia="en-AU"/>
        </w:rPr>
      </w:pPr>
      <w:r w:rsidRPr="002D7620">
        <w:rPr>
          <w:noProof/>
          <w:lang w:eastAsia="en-AU"/>
        </w:rPr>
        <w:t xml:space="preserve"> </w:t>
      </w:r>
      <w:r w:rsidR="00BD2CC7">
        <w:rPr>
          <w:noProof/>
          <w:lang w:eastAsia="en-AU"/>
        </w:rPr>
        <w:drawing>
          <wp:inline distT="0" distB="0" distL="0" distR="0" wp14:anchorId="07DDDCE9" wp14:editId="76699AD9">
            <wp:extent cx="4572000" cy="2731477"/>
            <wp:effectExtent l="0" t="0" r="0" b="0"/>
            <wp:docPr id="63" name="Chart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AC5CA0F" w14:textId="77777777" w:rsidR="002D7620" w:rsidRDefault="002D7620" w:rsidP="006118C2">
      <w:pPr>
        <w:pStyle w:val="Source"/>
      </w:pPr>
      <w:r>
        <w:t xml:space="preserve">Note: </w:t>
      </w:r>
      <w:proofErr w:type="gramStart"/>
      <w:r>
        <w:t>%</w:t>
      </w:r>
      <w:proofErr w:type="gramEnd"/>
      <w:r>
        <w:t xml:space="preserve"> indicates deviation from average cost per EFTSL for the given level. Outliers excluded.</w:t>
      </w:r>
    </w:p>
    <w:tbl>
      <w:tblPr>
        <w:tblStyle w:val="TableGrid"/>
        <w:tblW w:w="0" w:type="auto"/>
        <w:shd w:val="clear" w:color="auto" w:fill="E7E6E6" w:themeFill="background2"/>
        <w:tblLook w:val="04A0" w:firstRow="1" w:lastRow="0" w:firstColumn="1" w:lastColumn="0" w:noHBand="0" w:noVBand="1"/>
      </w:tblPr>
      <w:tblGrid>
        <w:gridCol w:w="6945"/>
      </w:tblGrid>
      <w:tr w:rsidR="00A4300D" w14:paraId="4B816A51" w14:textId="77777777" w:rsidTr="00A4300D">
        <w:trPr>
          <w:cnfStyle w:val="100000000000" w:firstRow="1" w:lastRow="0" w:firstColumn="0" w:lastColumn="0" w:oddVBand="0" w:evenVBand="0" w:oddHBand="0" w:evenHBand="0" w:firstRowFirstColumn="0" w:firstRowLastColumn="0" w:lastRowFirstColumn="0" w:lastRowLastColumn="0"/>
        </w:trPr>
        <w:tc>
          <w:tcPr>
            <w:tcW w:w="6945" w:type="dxa"/>
            <w:shd w:val="clear" w:color="auto" w:fill="E7E6E6" w:themeFill="background2"/>
            <w:hideMark/>
          </w:tcPr>
          <w:p w14:paraId="50E56BED" w14:textId="77777777" w:rsidR="00A4300D" w:rsidRDefault="00A4300D">
            <w:pPr>
              <w:ind w:left="142"/>
              <w:rPr>
                <w:b/>
                <w:sz w:val="16"/>
              </w:rPr>
            </w:pPr>
            <w:r>
              <w:rPr>
                <w:b/>
                <w:sz w:val="16"/>
              </w:rPr>
              <w:t>Box 2.</w:t>
            </w:r>
            <w:r w:rsidR="007B63E6">
              <w:rPr>
                <w:b/>
                <w:sz w:val="16"/>
              </w:rPr>
              <w:t>3</w:t>
            </w:r>
            <w:r>
              <w:rPr>
                <w:b/>
                <w:sz w:val="16"/>
              </w:rPr>
              <w:t xml:space="preserve">: Drivers of cost from </w:t>
            </w:r>
            <w:r>
              <w:rPr>
                <w:b/>
                <w:i/>
                <w:sz w:val="16"/>
              </w:rPr>
              <w:t>Cost of delivery of higher education (2016)</w:t>
            </w:r>
          </w:p>
          <w:p w14:paraId="0C6A5212" w14:textId="77777777" w:rsidR="00A4300D" w:rsidRDefault="00A4300D">
            <w:pPr>
              <w:ind w:left="142"/>
              <w:rPr>
                <w:sz w:val="16"/>
              </w:rPr>
            </w:pPr>
            <w:r>
              <w:rPr>
                <w:sz w:val="16"/>
              </w:rPr>
              <w:t xml:space="preserve">The 2016 study had a broader scope that included the identification of the drivers of higher costs. Regression analysis </w:t>
            </w:r>
            <w:proofErr w:type="gramStart"/>
            <w:r>
              <w:rPr>
                <w:sz w:val="16"/>
              </w:rPr>
              <w:t>was used</w:t>
            </w:r>
            <w:proofErr w:type="gramEnd"/>
            <w:r>
              <w:rPr>
                <w:sz w:val="16"/>
              </w:rPr>
              <w:t xml:space="preserve"> to identify these cost drivers by (1) statistical significance and (2) magnitude of correlation. This type of analysis allows </w:t>
            </w:r>
            <w:proofErr w:type="gramStart"/>
            <w:r>
              <w:rPr>
                <w:sz w:val="16"/>
              </w:rPr>
              <w:t>for the</w:t>
            </w:r>
            <w:proofErr w:type="gramEnd"/>
            <w:r>
              <w:rPr>
                <w:sz w:val="16"/>
              </w:rPr>
              <w:t xml:space="preserve"> correlation effects to be disentangled among multiple competing drivers of a single outcome (in this instance, cost per EFTSL). </w:t>
            </w:r>
          </w:p>
          <w:p w14:paraId="65DB3063" w14:textId="77777777" w:rsidR="00A4300D" w:rsidRDefault="00A4300D">
            <w:pPr>
              <w:ind w:left="142"/>
              <w:rPr>
                <w:sz w:val="16"/>
                <w:szCs w:val="16"/>
              </w:rPr>
            </w:pPr>
            <w:r>
              <w:rPr>
                <w:sz w:val="16"/>
              </w:rPr>
              <w:t>The key identified drivers that had a significant effect on costs</w:t>
            </w:r>
            <w:r>
              <w:rPr>
                <w:sz w:val="16"/>
                <w:szCs w:val="16"/>
              </w:rPr>
              <w:t xml:space="preserve">: </w:t>
            </w:r>
          </w:p>
          <w:p w14:paraId="24DC3A7B" w14:textId="77777777" w:rsidR="00A4300D" w:rsidRDefault="00A4300D" w:rsidP="00A4300D">
            <w:pPr>
              <w:pStyle w:val="ListBullet"/>
              <w:numPr>
                <w:ilvl w:val="0"/>
                <w:numId w:val="61"/>
              </w:numPr>
              <w:ind w:left="567"/>
              <w:rPr>
                <w:sz w:val="16"/>
                <w:szCs w:val="16"/>
              </w:rPr>
            </w:pPr>
            <w:r>
              <w:rPr>
                <w:b/>
                <w:sz w:val="16"/>
                <w:szCs w:val="16"/>
              </w:rPr>
              <w:t>Staff-student ratios</w:t>
            </w:r>
            <w:r>
              <w:rPr>
                <w:sz w:val="16"/>
                <w:szCs w:val="16"/>
              </w:rPr>
              <w:t xml:space="preserve"> (teaching FTE/student EFTSL) which </w:t>
            </w:r>
            <w:proofErr w:type="gramStart"/>
            <w:r>
              <w:rPr>
                <w:sz w:val="16"/>
                <w:szCs w:val="16"/>
              </w:rPr>
              <w:t>was correlated</w:t>
            </w:r>
            <w:proofErr w:type="gramEnd"/>
            <w:r>
              <w:rPr>
                <w:sz w:val="16"/>
                <w:szCs w:val="16"/>
              </w:rPr>
              <w:t xml:space="preserve"> with higher costs, reflecting labour as a key factor in the cost of teaching. Notably, this driver was consistently the largest determinant of cost. </w:t>
            </w:r>
          </w:p>
          <w:p w14:paraId="2FBC4578" w14:textId="77777777" w:rsidR="00A4300D" w:rsidRDefault="00A4300D" w:rsidP="00A4300D">
            <w:pPr>
              <w:pStyle w:val="ListBullet"/>
              <w:numPr>
                <w:ilvl w:val="0"/>
                <w:numId w:val="61"/>
              </w:numPr>
              <w:ind w:left="567"/>
              <w:rPr>
                <w:sz w:val="16"/>
                <w:szCs w:val="16"/>
              </w:rPr>
            </w:pPr>
            <w:r>
              <w:rPr>
                <w:b/>
                <w:sz w:val="16"/>
                <w:szCs w:val="16"/>
              </w:rPr>
              <w:t xml:space="preserve">Scale </w:t>
            </w:r>
            <w:r>
              <w:rPr>
                <w:sz w:val="16"/>
                <w:szCs w:val="16"/>
              </w:rPr>
              <w:t xml:space="preserve">(total student EFTSL) </w:t>
            </w:r>
            <w:proofErr w:type="gramStart"/>
            <w:r>
              <w:rPr>
                <w:sz w:val="16"/>
                <w:szCs w:val="16"/>
              </w:rPr>
              <w:t>was correlated</w:t>
            </w:r>
            <w:proofErr w:type="gramEnd"/>
            <w:r>
              <w:rPr>
                <w:sz w:val="16"/>
                <w:szCs w:val="16"/>
              </w:rPr>
              <w:t xml:space="preserve"> with lower costs, indicating some scale efficiencies, although the statistical significance weakened after controlling for additional drivers (particularly as some of this effect is likely to be captured through staff-student ratios). </w:t>
            </w:r>
          </w:p>
          <w:p w14:paraId="64C1DCB1" w14:textId="77777777" w:rsidR="00A4300D" w:rsidRDefault="00A4300D" w:rsidP="00A4300D">
            <w:pPr>
              <w:pStyle w:val="ListBullet"/>
              <w:numPr>
                <w:ilvl w:val="0"/>
                <w:numId w:val="61"/>
              </w:numPr>
              <w:ind w:left="567"/>
              <w:rPr>
                <w:sz w:val="16"/>
                <w:szCs w:val="16"/>
              </w:rPr>
            </w:pPr>
            <w:proofErr w:type="spellStart"/>
            <w:r>
              <w:rPr>
                <w:b/>
                <w:sz w:val="16"/>
                <w:szCs w:val="16"/>
              </w:rPr>
              <w:t>Regionality</w:t>
            </w:r>
            <w:proofErr w:type="spellEnd"/>
            <w:r>
              <w:rPr>
                <w:sz w:val="16"/>
                <w:szCs w:val="16"/>
              </w:rPr>
              <w:t xml:space="preserve"> (proportion of regional EFTSL) correlated with higher costs (even after controlling for scale), suggesting that in addition to thin market costs, regional provision involves greater costs. </w:t>
            </w:r>
          </w:p>
          <w:p w14:paraId="7C3C52CE" w14:textId="77777777" w:rsidR="00A4300D" w:rsidRDefault="00A4300D" w:rsidP="00A4300D">
            <w:pPr>
              <w:pStyle w:val="ListBullet"/>
              <w:numPr>
                <w:ilvl w:val="0"/>
                <w:numId w:val="61"/>
              </w:numPr>
              <w:ind w:left="567"/>
              <w:rPr>
                <w:sz w:val="16"/>
                <w:szCs w:val="16"/>
              </w:rPr>
            </w:pPr>
            <w:proofErr w:type="spellStart"/>
            <w:r>
              <w:rPr>
                <w:b/>
                <w:sz w:val="16"/>
                <w:szCs w:val="16"/>
              </w:rPr>
              <w:t>Casualised</w:t>
            </w:r>
            <w:proofErr w:type="spellEnd"/>
            <w:r>
              <w:rPr>
                <w:b/>
                <w:sz w:val="16"/>
                <w:szCs w:val="16"/>
              </w:rPr>
              <w:t xml:space="preserve"> workforce</w:t>
            </w:r>
            <w:r>
              <w:rPr>
                <w:sz w:val="16"/>
                <w:szCs w:val="16"/>
              </w:rPr>
              <w:t xml:space="preserve"> (proportion of casual FTE) correlated with lower costs, which may reflect more adaptive workforces. </w:t>
            </w:r>
          </w:p>
          <w:p w14:paraId="3141A73E" w14:textId="77777777" w:rsidR="00A4300D" w:rsidRDefault="00A4300D">
            <w:pPr>
              <w:ind w:left="142"/>
              <w:rPr>
                <w:sz w:val="16"/>
              </w:rPr>
            </w:pPr>
            <w:r>
              <w:rPr>
                <w:sz w:val="16"/>
              </w:rPr>
              <w:t>Other cost drivers were considered but were generally not found to be statistically significant drivers of cost after controlling for other factors :</w:t>
            </w:r>
          </w:p>
          <w:p w14:paraId="3EB9B97C" w14:textId="77777777" w:rsidR="00A4300D" w:rsidRDefault="00A4300D" w:rsidP="00A4300D">
            <w:pPr>
              <w:pStyle w:val="ListBullet"/>
              <w:numPr>
                <w:ilvl w:val="0"/>
                <w:numId w:val="61"/>
              </w:numPr>
              <w:ind w:left="567"/>
              <w:rPr>
                <w:sz w:val="16"/>
                <w:szCs w:val="16"/>
              </w:rPr>
            </w:pPr>
            <w:r>
              <w:rPr>
                <w:b/>
                <w:sz w:val="16"/>
                <w:szCs w:val="16"/>
              </w:rPr>
              <w:t>External delivery</w:t>
            </w:r>
            <w:r>
              <w:rPr>
                <w:sz w:val="16"/>
                <w:szCs w:val="16"/>
              </w:rPr>
              <w:t xml:space="preserve"> (proportion of external mode EFTSL) </w:t>
            </w:r>
            <w:proofErr w:type="gramStart"/>
            <w:r>
              <w:rPr>
                <w:sz w:val="16"/>
                <w:szCs w:val="16"/>
              </w:rPr>
              <w:t>was correlated</w:t>
            </w:r>
            <w:proofErr w:type="gramEnd"/>
            <w:r>
              <w:rPr>
                <w:sz w:val="16"/>
                <w:szCs w:val="16"/>
              </w:rPr>
              <w:t xml:space="preserve"> with lower costs, which may reflect efficiencies in online and off-campus delivery but was not statistically significant. </w:t>
            </w:r>
          </w:p>
          <w:p w14:paraId="760D9A38" w14:textId="77777777" w:rsidR="00A4300D" w:rsidRDefault="00A4300D" w:rsidP="00A4300D">
            <w:pPr>
              <w:pStyle w:val="ListBullet"/>
              <w:numPr>
                <w:ilvl w:val="0"/>
                <w:numId w:val="61"/>
              </w:numPr>
              <w:ind w:left="567"/>
              <w:rPr>
                <w:sz w:val="16"/>
                <w:szCs w:val="16"/>
              </w:rPr>
            </w:pPr>
            <w:r>
              <w:rPr>
                <w:b/>
                <w:sz w:val="16"/>
                <w:szCs w:val="16"/>
              </w:rPr>
              <w:lastRenderedPageBreak/>
              <w:t>International students</w:t>
            </w:r>
            <w:r>
              <w:rPr>
                <w:sz w:val="16"/>
                <w:szCs w:val="16"/>
              </w:rPr>
              <w:t xml:space="preserve"> (proportion of EFTSL that comprised overseas students) </w:t>
            </w:r>
            <w:proofErr w:type="gramStart"/>
            <w:r>
              <w:rPr>
                <w:sz w:val="16"/>
                <w:szCs w:val="16"/>
              </w:rPr>
              <w:t>was correlated</w:t>
            </w:r>
            <w:proofErr w:type="gramEnd"/>
            <w:r>
              <w:rPr>
                <w:sz w:val="16"/>
                <w:szCs w:val="16"/>
              </w:rPr>
              <w:t xml:space="preserve"> with higher costs, however this effect was not statistically significant. </w:t>
            </w:r>
          </w:p>
          <w:p w14:paraId="02E23DD3" w14:textId="77777777" w:rsidR="00A4300D" w:rsidRDefault="00A4300D" w:rsidP="00A4300D">
            <w:pPr>
              <w:pStyle w:val="ListBullet"/>
              <w:numPr>
                <w:ilvl w:val="0"/>
                <w:numId w:val="61"/>
              </w:numPr>
              <w:ind w:left="567"/>
              <w:rPr>
                <w:sz w:val="16"/>
                <w:szCs w:val="16"/>
              </w:rPr>
            </w:pPr>
            <w:r>
              <w:rPr>
                <w:b/>
                <w:sz w:val="16"/>
                <w:szCs w:val="16"/>
              </w:rPr>
              <w:t>Research intensity</w:t>
            </w:r>
            <w:r>
              <w:rPr>
                <w:sz w:val="16"/>
                <w:szCs w:val="16"/>
              </w:rPr>
              <w:t xml:space="preserve"> (level of HDR research) correlated with higher </w:t>
            </w:r>
            <w:proofErr w:type="gramStart"/>
            <w:r>
              <w:rPr>
                <w:sz w:val="16"/>
                <w:szCs w:val="16"/>
              </w:rPr>
              <w:t>costs,</w:t>
            </w:r>
            <w:proofErr w:type="gramEnd"/>
            <w:r>
              <w:rPr>
                <w:sz w:val="16"/>
                <w:szCs w:val="16"/>
              </w:rPr>
              <w:t xml:space="preserve"> however this effect disappeared after controlling for fields of education. This may suggest that research intensities are partly reflecting systematic differences in costs across fields. </w:t>
            </w:r>
          </w:p>
          <w:p w14:paraId="3C6A7549" w14:textId="77777777" w:rsidR="00A4300D" w:rsidRDefault="00A4300D">
            <w:pPr>
              <w:ind w:left="142"/>
              <w:rPr>
                <w:sz w:val="16"/>
              </w:rPr>
            </w:pPr>
            <w:r>
              <w:rPr>
                <w:sz w:val="16"/>
              </w:rPr>
              <w:t xml:space="preserve">Notably, the key cost drivers remained generally statistically significant even after controlling for fields of education, which suggests these are common cost drivers, rather than reflections of idiosyncrasies among fields. </w:t>
            </w:r>
          </w:p>
          <w:p w14:paraId="5B223CC0" w14:textId="77777777" w:rsidR="00A4300D" w:rsidRDefault="00A4300D">
            <w:pPr>
              <w:ind w:left="142"/>
              <w:rPr>
                <w:sz w:val="16"/>
              </w:rPr>
            </w:pPr>
            <w:r>
              <w:rPr>
                <w:sz w:val="16"/>
              </w:rPr>
              <w:t xml:space="preserve">Furthermore, the analysis showed stronger field effects versus institution effects, which suggests that there are stronger variations in cost between disciplines than universities, which may be unsurprising given a regulated funding environment and wide scopes of delivery. </w:t>
            </w:r>
          </w:p>
        </w:tc>
      </w:tr>
    </w:tbl>
    <w:p w14:paraId="3ED873BA" w14:textId="77777777" w:rsidR="00A4300D" w:rsidRDefault="00A4300D" w:rsidP="00A4300D"/>
    <w:p w14:paraId="10DC794B" w14:textId="77BCDA7D" w:rsidR="00A4300D" w:rsidRDefault="002D3041" w:rsidP="00A4300D">
      <w:r>
        <w:fldChar w:fldCharType="begin"/>
      </w:r>
      <w:r>
        <w:instrText xml:space="preserve"> REF _Ref534713128 \r \h </w:instrText>
      </w:r>
      <w:r>
        <w:fldChar w:fldCharType="separate"/>
      </w:r>
      <w:r w:rsidR="00F47C96">
        <w:t>Chart 2.20</w:t>
      </w:r>
      <w:r>
        <w:fldChar w:fldCharType="end"/>
      </w:r>
      <w:r w:rsidR="00A4300D">
        <w:t xml:space="preserve"> describes the negative correlation between scale and cost, whereby increasing total EFTSL is associated with decreasing unit costs for each level of education. Notably, the highest cost observations </w:t>
      </w:r>
      <w:proofErr w:type="gramStart"/>
      <w:r w:rsidR="00A4300D">
        <w:t>are all delivered</w:t>
      </w:r>
      <w:proofErr w:type="gramEnd"/>
      <w:r w:rsidR="00A4300D">
        <w:t xml:space="preserve"> in instances of smaller EFTSL. </w:t>
      </w:r>
    </w:p>
    <w:p w14:paraId="7525FA19" w14:textId="77777777" w:rsidR="00A4300D" w:rsidRDefault="00A4300D" w:rsidP="006118C2">
      <w:pPr>
        <w:pStyle w:val="CaptionChart"/>
      </w:pPr>
      <w:bookmarkStart w:id="445" w:name="_Ref534713128"/>
      <w:bookmarkStart w:id="446" w:name="_Toc534713843"/>
      <w:r>
        <w:t>: Correlation between scale and unit costs</w:t>
      </w:r>
      <w:bookmarkEnd w:id="445"/>
      <w:bookmarkEnd w:id="446"/>
      <w:r>
        <w:t xml:space="preserve"> </w:t>
      </w:r>
    </w:p>
    <w:p w14:paraId="4CF898B4" w14:textId="21E3FA9D" w:rsidR="00A4300D" w:rsidRDefault="00BD2CC7" w:rsidP="00A4300D">
      <w:pPr>
        <w:rPr>
          <w:i/>
        </w:rPr>
      </w:pPr>
      <w:r w:rsidRPr="00BD2CC7">
        <w:rPr>
          <w:noProof/>
          <w:lang w:eastAsia="en-AU"/>
        </w:rPr>
        <w:drawing>
          <wp:inline distT="0" distB="0" distL="0" distR="0" wp14:anchorId="5E6A12D0" wp14:editId="2660A030">
            <wp:extent cx="4554220" cy="2713355"/>
            <wp:effectExtent l="0" t="0" r="0" b="0"/>
            <wp:docPr id="459974144" name="Picture 45997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54220" cy="2713355"/>
                    </a:xfrm>
                    <a:prstGeom prst="rect">
                      <a:avLst/>
                    </a:prstGeom>
                    <a:noFill/>
                    <a:ln>
                      <a:noFill/>
                    </a:ln>
                  </pic:spPr>
                </pic:pic>
              </a:graphicData>
            </a:graphic>
          </wp:inline>
        </w:drawing>
      </w:r>
    </w:p>
    <w:p w14:paraId="78070289" w14:textId="421214E7" w:rsidR="00A4300D" w:rsidRDefault="00BD2CC7" w:rsidP="00A4300D">
      <w:pPr>
        <w:rPr>
          <w:i/>
        </w:rPr>
      </w:pPr>
      <w:r w:rsidRPr="00BD2CC7">
        <w:rPr>
          <w:noProof/>
          <w:lang w:eastAsia="en-AU"/>
        </w:rPr>
        <w:lastRenderedPageBreak/>
        <w:drawing>
          <wp:inline distT="0" distB="0" distL="0" distR="0" wp14:anchorId="6EC3AE07" wp14:editId="63F84571">
            <wp:extent cx="4554220" cy="2713355"/>
            <wp:effectExtent l="0" t="0" r="0" b="0"/>
            <wp:docPr id="459974145" name="Picture 459974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554220" cy="2713355"/>
                    </a:xfrm>
                    <a:prstGeom prst="rect">
                      <a:avLst/>
                    </a:prstGeom>
                    <a:noFill/>
                    <a:ln>
                      <a:noFill/>
                    </a:ln>
                  </pic:spPr>
                </pic:pic>
              </a:graphicData>
            </a:graphic>
          </wp:inline>
        </w:drawing>
      </w:r>
    </w:p>
    <w:p w14:paraId="3FF9371C" w14:textId="4AB8C0C7" w:rsidR="00A4300D" w:rsidRDefault="00BD2CC7" w:rsidP="00A4300D">
      <w:r w:rsidRPr="00BD2CC7">
        <w:rPr>
          <w:noProof/>
          <w:lang w:eastAsia="en-AU"/>
        </w:rPr>
        <w:drawing>
          <wp:inline distT="0" distB="0" distL="0" distR="0" wp14:anchorId="1A9A7286" wp14:editId="32283F1F">
            <wp:extent cx="4554220" cy="2725420"/>
            <wp:effectExtent l="0" t="0" r="0" b="0"/>
            <wp:docPr id="459974146" name="Picture 45997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54220" cy="2725420"/>
                    </a:xfrm>
                    <a:prstGeom prst="rect">
                      <a:avLst/>
                    </a:prstGeom>
                    <a:noFill/>
                    <a:ln>
                      <a:noFill/>
                    </a:ln>
                  </pic:spPr>
                </pic:pic>
              </a:graphicData>
            </a:graphic>
          </wp:inline>
        </w:drawing>
      </w:r>
    </w:p>
    <w:p w14:paraId="56C3F208" w14:textId="77777777" w:rsidR="00A4300D" w:rsidRDefault="00A4300D" w:rsidP="00A4300D">
      <w:pPr>
        <w:pStyle w:val="Source"/>
        <w:rPr>
          <w:i/>
        </w:rPr>
      </w:pPr>
      <w:r>
        <w:t xml:space="preserve">Note: Each marker represents a unique university field-level cost observation. Line of best fit included. </w:t>
      </w:r>
    </w:p>
    <w:p w14:paraId="3628F3F9" w14:textId="77777777" w:rsidR="00A4300D" w:rsidRDefault="00A4300D" w:rsidP="00A4300D">
      <w:pPr>
        <w:pStyle w:val="Heading3un-numbered"/>
      </w:pPr>
      <w:r>
        <w:t xml:space="preserve">Variation between metropolitan and regional institutions </w:t>
      </w:r>
      <w:r w:rsidR="00291ADC">
        <w:t>and those with a greater degree of research focus</w:t>
      </w:r>
    </w:p>
    <w:p w14:paraId="5C2473D8" w14:textId="77777777" w:rsidR="00A4300D" w:rsidRDefault="00A4300D" w:rsidP="00A4300D">
      <w:r>
        <w:t>Universities that predominately operate in more reg</w:t>
      </w:r>
      <w:r w:rsidR="003923CC">
        <w:t xml:space="preserve">ional settings often face </w:t>
      </w:r>
      <w:r>
        <w:t xml:space="preserve">distinctive local contexts, including: </w:t>
      </w:r>
    </w:p>
    <w:p w14:paraId="7D7CFDE1" w14:textId="77777777" w:rsidR="00A4300D" w:rsidRDefault="00A4300D" w:rsidP="00A4300D">
      <w:pPr>
        <w:pStyle w:val="ListBullet"/>
        <w:numPr>
          <w:ilvl w:val="0"/>
          <w:numId w:val="61"/>
        </w:numPr>
      </w:pPr>
      <w:r>
        <w:t xml:space="preserve">Less readily available scale economies due to thin markets and lower populations; </w:t>
      </w:r>
    </w:p>
    <w:p w14:paraId="3F24ADD4" w14:textId="77777777" w:rsidR="00A4300D" w:rsidRDefault="00A4300D" w:rsidP="00A4300D">
      <w:pPr>
        <w:pStyle w:val="ListBullet"/>
        <w:numPr>
          <w:ilvl w:val="0"/>
          <w:numId w:val="61"/>
        </w:numPr>
      </w:pPr>
      <w:r>
        <w:t xml:space="preserve">A higher share of distance or online learning; </w:t>
      </w:r>
    </w:p>
    <w:p w14:paraId="7D2D790D" w14:textId="77777777" w:rsidR="00A4300D" w:rsidRDefault="00A4300D" w:rsidP="00A4300D">
      <w:pPr>
        <w:pStyle w:val="ListBullet"/>
        <w:numPr>
          <w:ilvl w:val="0"/>
          <w:numId w:val="61"/>
        </w:numPr>
      </w:pPr>
      <w:r>
        <w:t>Potentially lower per unit capital and/or labour costs; and</w:t>
      </w:r>
    </w:p>
    <w:p w14:paraId="5489DC29" w14:textId="77777777" w:rsidR="00A4300D" w:rsidRDefault="00A43D22" w:rsidP="00A4300D">
      <w:pPr>
        <w:pStyle w:val="ListBullet"/>
        <w:numPr>
          <w:ilvl w:val="0"/>
          <w:numId w:val="61"/>
        </w:numPr>
      </w:pPr>
      <w:r>
        <w:t>A g</w:t>
      </w:r>
      <w:r w:rsidR="00A4300D">
        <w:t xml:space="preserve">reater </w:t>
      </w:r>
      <w:r>
        <w:t xml:space="preserve">need for </w:t>
      </w:r>
      <w:r w:rsidR="00A4300D">
        <w:t>student support</w:t>
      </w:r>
      <w:r>
        <w:t xml:space="preserve"> as many regional universities may cater to a more disadvantaged student cohort. </w:t>
      </w:r>
    </w:p>
    <w:p w14:paraId="47CFF539" w14:textId="3A0903CE" w:rsidR="00317155" w:rsidRDefault="00317155" w:rsidP="006118C2">
      <w:r>
        <w:t xml:space="preserve">Overall, the cost per EFTSL for regional universities </w:t>
      </w:r>
      <w:proofErr w:type="gramStart"/>
      <w:r>
        <w:t xml:space="preserve">was </w:t>
      </w:r>
      <w:r w:rsidR="00A43D22">
        <w:t>found</w:t>
      </w:r>
      <w:proofErr w:type="gramEnd"/>
      <w:r w:rsidR="00A43D22">
        <w:t xml:space="preserve"> to be </w:t>
      </w:r>
      <w:r>
        <w:t>5.</w:t>
      </w:r>
      <w:r w:rsidR="00914306">
        <w:t>5</w:t>
      </w:r>
      <w:r>
        <w:t xml:space="preserve">% higher than metropolitan universities after controlling for differences in the enrolment mix in terms of FOE and differences in the mix of enrolments across different levels of study between the two groups. However, results varied by level of study. Costs per EFTSL at regional universities </w:t>
      </w:r>
      <w:proofErr w:type="gramStart"/>
      <w:r>
        <w:t>were found</w:t>
      </w:r>
      <w:proofErr w:type="gramEnd"/>
      <w:r>
        <w:t xml:space="preserve"> to be </w:t>
      </w:r>
      <w:r w:rsidR="00914306">
        <w:t>10.1</w:t>
      </w:r>
      <w:r>
        <w:t xml:space="preserve">% higher for bachelor degree students but </w:t>
      </w:r>
      <w:r w:rsidR="00914306">
        <w:t>5.9</w:t>
      </w:r>
      <w:r>
        <w:t xml:space="preserve">% lower for postgraduate students </w:t>
      </w:r>
      <w:r w:rsidR="00A43D22">
        <w:t>than for</w:t>
      </w:r>
      <w:r>
        <w:t xml:space="preserve"> metropolitan universities. </w:t>
      </w:r>
    </w:p>
    <w:p w14:paraId="0FFF6DDE" w14:textId="77777777" w:rsidR="00317155" w:rsidRDefault="00317155" w:rsidP="006118C2">
      <w:r>
        <w:lastRenderedPageBreak/>
        <w:t>Universities with a greater focus on research activity may also have differential costs of teaching to other universities. This may arise due to more senior staff tending to be involved in joint teaching and research functions, the lack of efficiencies that may arise from employing teaching-only staff, as well as other higher cost resources (such as facilities or equipment)</w:t>
      </w:r>
      <w:r w:rsidR="00A43D22">
        <w:t xml:space="preserve"> used for both teaching and research</w:t>
      </w:r>
      <w:r>
        <w:t>, which</w:t>
      </w:r>
      <w:r w:rsidR="00A43D22">
        <w:t xml:space="preserve"> may be</w:t>
      </w:r>
      <w:r>
        <w:t xml:space="preserve"> more prevalent when a university has a research-focus. Alternatively, </w:t>
      </w:r>
      <w:proofErr w:type="gramStart"/>
      <w:r>
        <w:t>it is possible that some institutions with a greater research focus may</w:t>
      </w:r>
      <w:proofErr w:type="gramEnd"/>
      <w:r>
        <w:t xml:space="preserve"> allocate a greater proportion of available resources to research</w:t>
      </w:r>
      <w:r w:rsidR="00A43D22">
        <w:t xml:space="preserve"> relative to teaching</w:t>
      </w:r>
      <w:r>
        <w:t xml:space="preserve">. </w:t>
      </w:r>
    </w:p>
    <w:p w14:paraId="55268F2D" w14:textId="5129B641" w:rsidR="00317155" w:rsidRPr="00291ADC" w:rsidRDefault="00317155" w:rsidP="006118C2">
      <w:r>
        <w:t xml:space="preserve">After controlling for differences in student load by FOE </w:t>
      </w:r>
      <w:r w:rsidR="00A43D22">
        <w:t xml:space="preserve">and </w:t>
      </w:r>
      <w:r>
        <w:t>the proportion undertaking different levels of study across Group of Eight (Go8) and non</w:t>
      </w:r>
      <w:r w:rsidR="002D3041">
        <w:t>-</w:t>
      </w:r>
      <w:r>
        <w:t xml:space="preserve">Go8 universities, cost per EFTSL was found to be </w:t>
      </w:r>
      <w:r w:rsidR="00914306">
        <w:t>2.1</w:t>
      </w:r>
      <w:r>
        <w:t xml:space="preserve">% higher on average for Go8 universities. Go8 universities had a cost per EFTSL that was </w:t>
      </w:r>
      <w:r w:rsidR="00914306">
        <w:t>2.8</w:t>
      </w:r>
      <w:r>
        <w:t xml:space="preserve">% higher on average for bachelor degree students and </w:t>
      </w:r>
      <w:r w:rsidR="00914306">
        <w:t>0.8</w:t>
      </w:r>
      <w:r>
        <w:t xml:space="preserve">% higher for postgraduate students than other institutions. </w:t>
      </w:r>
      <w:r w:rsidR="00A43D22">
        <w:t>This suggests that there is a relatively small difference in average teaching costs between Go8 and non</w:t>
      </w:r>
      <w:r w:rsidR="002D3041">
        <w:t>-</w:t>
      </w:r>
      <w:r w:rsidR="00A43D22">
        <w:t>Go8 universities.</w:t>
      </w:r>
    </w:p>
    <w:p w14:paraId="434F8DA9" w14:textId="77777777" w:rsidR="00660F7F" w:rsidRPr="00660F7F" w:rsidRDefault="00660F7F"/>
    <w:p w14:paraId="5DFA5DD7" w14:textId="77777777" w:rsidR="00477E68" w:rsidRDefault="00BC1C07" w:rsidP="005A7020">
      <w:pPr>
        <w:pStyle w:val="Heading1"/>
      </w:pPr>
      <w:bookmarkStart w:id="447" w:name="_Toc529546285"/>
      <w:bookmarkStart w:id="448" w:name="_Toc529546933"/>
      <w:bookmarkStart w:id="449" w:name="_Toc529546286"/>
      <w:bookmarkStart w:id="450" w:name="_Toc529546934"/>
      <w:bookmarkStart w:id="451" w:name="_Toc529370358"/>
      <w:bookmarkStart w:id="452" w:name="_Toc529546287"/>
      <w:bookmarkStart w:id="453" w:name="_Toc529546935"/>
      <w:bookmarkStart w:id="454" w:name="_Toc529370359"/>
      <w:bookmarkStart w:id="455" w:name="_Toc529546288"/>
      <w:bookmarkStart w:id="456" w:name="_Toc529546936"/>
      <w:bookmarkStart w:id="457" w:name="_Toc529370360"/>
      <w:bookmarkStart w:id="458" w:name="_Toc529546289"/>
      <w:bookmarkStart w:id="459" w:name="_Toc529546937"/>
      <w:bookmarkStart w:id="460" w:name="_Toc529370361"/>
      <w:bookmarkStart w:id="461" w:name="_Toc529546290"/>
      <w:bookmarkStart w:id="462" w:name="_Toc529546938"/>
      <w:bookmarkStart w:id="463" w:name="_Ref529189703"/>
      <w:bookmarkStart w:id="464" w:name="_Toc534713800"/>
      <w:bookmarkEnd w:id="203"/>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r>
        <w:lastRenderedPageBreak/>
        <w:t>Discussion and k</w:t>
      </w:r>
      <w:r w:rsidR="00477E68">
        <w:t>ey limitations</w:t>
      </w:r>
      <w:bookmarkEnd w:id="463"/>
      <w:bookmarkEnd w:id="464"/>
      <w:r w:rsidR="00477E68">
        <w:t xml:space="preserve"> </w:t>
      </w:r>
    </w:p>
    <w:p w14:paraId="68EEEBF3" w14:textId="77777777" w:rsidR="00EB779E" w:rsidRDefault="00EB779E" w:rsidP="00EB779E">
      <w:r>
        <w:t>This chapter complements the quantitative analysis in the previous chapter by highlighting a number of key considerations that are important in interpreting the results. The qualitative discussion and quantitative findings together comprise the totality of the evidence-base for readers. The chapter also outlines some important limitations and caveats of the analysis, and includes some broader reflections from universities on the data collection process</w:t>
      </w:r>
      <w:r w:rsidR="00492785">
        <w:t xml:space="preserve">. </w:t>
      </w:r>
      <w:r>
        <w:t xml:space="preserve">This discussion draws heavily on the consultation process with universities as well as the supporting statements provided by universities to accompany their data submission.  </w:t>
      </w:r>
    </w:p>
    <w:p w14:paraId="30DECA3B" w14:textId="77777777" w:rsidR="00EB779E" w:rsidRDefault="00EB779E" w:rsidP="00EB779E">
      <w:r>
        <w:t xml:space="preserve">The remainder of this chapter </w:t>
      </w:r>
      <w:proofErr w:type="gramStart"/>
      <w:r>
        <w:t>is structured</w:t>
      </w:r>
      <w:proofErr w:type="gramEnd"/>
      <w:r>
        <w:t xml:space="preserve"> as follows: </w:t>
      </w:r>
    </w:p>
    <w:p w14:paraId="6E01040F" w14:textId="77777777" w:rsidR="00EB779E" w:rsidRDefault="00EB779E" w:rsidP="00EB779E">
      <w:pPr>
        <w:pStyle w:val="ListBullet"/>
        <w:numPr>
          <w:ilvl w:val="0"/>
          <w:numId w:val="23"/>
        </w:numPr>
      </w:pPr>
      <w:r>
        <w:t xml:space="preserve">Section 3.1 presents the key considerations for interpreting the quantitative analysis, including the relevant limitations and instances where potential deviations from true costs are more likely to arise. </w:t>
      </w:r>
    </w:p>
    <w:p w14:paraId="3805B05B" w14:textId="77777777" w:rsidR="00EB779E" w:rsidRDefault="00EB779E" w:rsidP="00EB779E">
      <w:pPr>
        <w:pStyle w:val="ListBullet"/>
        <w:numPr>
          <w:ilvl w:val="0"/>
          <w:numId w:val="23"/>
        </w:numPr>
      </w:pPr>
      <w:r>
        <w:t xml:space="preserve">Section 3.2 reflects on the apportioning of costs to major activities by universities, in particular, the approach universities have taken to identifying and separating teaching and scholarship costs from research. </w:t>
      </w:r>
    </w:p>
    <w:p w14:paraId="4D4B651B" w14:textId="77777777" w:rsidR="00EB779E" w:rsidRDefault="00EB779E" w:rsidP="00EB779E">
      <w:pPr>
        <w:pStyle w:val="ListBullet"/>
        <w:numPr>
          <w:ilvl w:val="0"/>
          <w:numId w:val="23"/>
        </w:numPr>
      </w:pPr>
      <w:r>
        <w:t xml:space="preserve">Section 3.3 discusses the treatment of capital costs and they have been included in this exercise. </w:t>
      </w:r>
    </w:p>
    <w:p w14:paraId="607292AD" w14:textId="77777777" w:rsidR="00EB779E" w:rsidRDefault="00EB779E" w:rsidP="00EB779E">
      <w:pPr>
        <w:pStyle w:val="ListBullet"/>
        <w:numPr>
          <w:ilvl w:val="0"/>
          <w:numId w:val="23"/>
        </w:numPr>
      </w:pPr>
      <w:r>
        <w:t xml:space="preserve">Section 3.4 provides some reflections on the use of top-down versus bottom-up methodologies, and the extent to which these methodological considerations may create biases in the results. </w:t>
      </w:r>
    </w:p>
    <w:p w14:paraId="2671D6D5" w14:textId="77777777" w:rsidR="00EB779E" w:rsidRPr="00AC6EDD" w:rsidRDefault="00EB779E" w:rsidP="00EB779E">
      <w:pPr>
        <w:pStyle w:val="ListBullet"/>
        <w:numPr>
          <w:ilvl w:val="0"/>
          <w:numId w:val="23"/>
        </w:numPr>
      </w:pPr>
      <w:r>
        <w:t xml:space="preserve">Section 3.5 summarises some of the other issues raised by universities during this process. </w:t>
      </w:r>
    </w:p>
    <w:p w14:paraId="784B7700" w14:textId="77777777" w:rsidR="00EB779E" w:rsidRPr="0075071D" w:rsidRDefault="00EB779E" w:rsidP="00EB779E">
      <w:pPr>
        <w:pStyle w:val="Heading2"/>
      </w:pPr>
      <w:bookmarkStart w:id="465" w:name="_Toc532245510"/>
      <w:bookmarkStart w:id="466" w:name="_Toc534713801"/>
      <w:r>
        <w:t>Key considerations in interpreting the analysis</w:t>
      </w:r>
      <w:bookmarkEnd w:id="465"/>
      <w:bookmarkEnd w:id="466"/>
      <w:r>
        <w:t xml:space="preserve"> </w:t>
      </w:r>
    </w:p>
    <w:p w14:paraId="0221421A" w14:textId="59CF29CD" w:rsidR="00EB779E" w:rsidRDefault="00EB779E" w:rsidP="00EB779E">
      <w:r>
        <w:t xml:space="preserve">The key limitations in this analysis </w:t>
      </w:r>
      <w:proofErr w:type="gramStart"/>
      <w:r>
        <w:t>are described</w:t>
      </w:r>
      <w:proofErr w:type="gramEnd"/>
      <w:r>
        <w:t xml:space="preserve"> in </w:t>
      </w:r>
      <w:r>
        <w:fldChar w:fldCharType="begin"/>
      </w:r>
      <w:r>
        <w:instrText xml:space="preserve"> REF _Ref529194548 \r \h </w:instrText>
      </w:r>
      <w:r>
        <w:fldChar w:fldCharType="separate"/>
      </w:r>
      <w:r w:rsidR="00F47C96">
        <w:t>Table 3.1</w:t>
      </w:r>
      <w:r>
        <w:fldChar w:fldCharType="end"/>
      </w:r>
      <w:r>
        <w:t xml:space="preserve">. These limitations </w:t>
      </w:r>
      <w:proofErr w:type="gramStart"/>
      <w:r>
        <w:t>were recognised</w:t>
      </w:r>
      <w:proofErr w:type="gramEnd"/>
      <w:r>
        <w:t xml:space="preserve"> at the outset of this exercise and are ongoing challenges faced by that exercises of this nature. Importantly, strategies </w:t>
      </w:r>
      <w:proofErr w:type="gramStart"/>
      <w:r>
        <w:t>have been undertaken</w:t>
      </w:r>
      <w:proofErr w:type="gramEnd"/>
      <w:r>
        <w:t xml:space="preserve"> to minimise their impact over time, including working with universities to improve the accuracy of their cost allocation processes. </w:t>
      </w:r>
    </w:p>
    <w:p w14:paraId="50F17FBD" w14:textId="77777777" w:rsidR="00EB779E" w:rsidRDefault="00EB779E" w:rsidP="00EB779E">
      <w:pPr>
        <w:pStyle w:val="CaptionTable"/>
      </w:pPr>
      <w:bookmarkStart w:id="467" w:name="_Toc532245616"/>
      <w:bookmarkStart w:id="468" w:name="_Toc533173877"/>
      <w:bookmarkStart w:id="469" w:name="_Toc532245617"/>
      <w:bookmarkStart w:id="470" w:name="_Toc533173878"/>
      <w:bookmarkStart w:id="471" w:name="_Toc532245618"/>
      <w:bookmarkStart w:id="472" w:name="_Toc533173879"/>
      <w:bookmarkStart w:id="473" w:name="_Ref529194548"/>
      <w:bookmarkStart w:id="474" w:name="_Toc532245619"/>
      <w:bookmarkStart w:id="475" w:name="_Toc534713880"/>
      <w:bookmarkEnd w:id="467"/>
      <w:bookmarkEnd w:id="468"/>
      <w:bookmarkEnd w:id="469"/>
      <w:bookmarkEnd w:id="470"/>
      <w:bookmarkEnd w:id="471"/>
      <w:bookmarkEnd w:id="472"/>
      <w:r>
        <w:t>: Key limitations of the exercise</w:t>
      </w:r>
      <w:bookmarkEnd w:id="473"/>
      <w:bookmarkEnd w:id="474"/>
      <w:bookmarkEnd w:id="475"/>
    </w:p>
    <w:tbl>
      <w:tblPr>
        <w:tblStyle w:val="Deloittetable"/>
        <w:tblW w:w="8647" w:type="dxa"/>
        <w:tblLook w:val="04A0" w:firstRow="1" w:lastRow="0" w:firstColumn="1" w:lastColumn="0" w:noHBand="0" w:noVBand="1"/>
      </w:tblPr>
      <w:tblGrid>
        <w:gridCol w:w="2977"/>
        <w:gridCol w:w="5670"/>
      </w:tblGrid>
      <w:tr w:rsidR="00EB779E" w14:paraId="0553BE9A" w14:textId="77777777" w:rsidTr="00146B33">
        <w:trPr>
          <w:cnfStyle w:val="100000000000" w:firstRow="1" w:lastRow="0" w:firstColumn="0" w:lastColumn="0" w:oddVBand="0" w:evenVBand="0" w:oddHBand="0" w:evenHBand="0" w:firstRowFirstColumn="0" w:firstRowLastColumn="0" w:lastRowFirstColumn="0" w:lastRowLastColumn="0"/>
          <w:tblHeader/>
        </w:trPr>
        <w:tc>
          <w:tcPr>
            <w:tcW w:w="2977" w:type="dxa"/>
          </w:tcPr>
          <w:p w14:paraId="5BBE5A84" w14:textId="77777777" w:rsidR="00EB779E" w:rsidRPr="002E1084" w:rsidRDefault="00EB779E" w:rsidP="00B76EFD">
            <w:pPr>
              <w:ind w:right="135"/>
              <w:rPr>
                <w:b/>
              </w:rPr>
            </w:pPr>
            <w:r w:rsidRPr="002E1084">
              <w:rPr>
                <w:b/>
              </w:rPr>
              <w:t xml:space="preserve">Limitation </w:t>
            </w:r>
          </w:p>
        </w:tc>
        <w:tc>
          <w:tcPr>
            <w:tcW w:w="5670" w:type="dxa"/>
          </w:tcPr>
          <w:p w14:paraId="30A3572A" w14:textId="77777777" w:rsidR="00EB779E" w:rsidRPr="002E1084" w:rsidRDefault="00EB779E" w:rsidP="00B76EFD">
            <w:pPr>
              <w:rPr>
                <w:b/>
              </w:rPr>
            </w:pPr>
            <w:r w:rsidRPr="002E1084">
              <w:rPr>
                <w:b/>
              </w:rPr>
              <w:t>Detail</w:t>
            </w:r>
            <w:r>
              <w:rPr>
                <w:b/>
              </w:rPr>
              <w:t xml:space="preserve"> and implication </w:t>
            </w:r>
          </w:p>
        </w:tc>
      </w:tr>
      <w:tr w:rsidR="00EB779E" w14:paraId="7D3E57E8" w14:textId="77777777" w:rsidTr="00B76EFD">
        <w:tc>
          <w:tcPr>
            <w:tcW w:w="2977" w:type="dxa"/>
          </w:tcPr>
          <w:p w14:paraId="78C3D356" w14:textId="77777777" w:rsidR="00EB779E" w:rsidRDefault="00EB779E" w:rsidP="00B76EFD">
            <w:pPr>
              <w:ind w:right="135"/>
            </w:pPr>
            <w:r>
              <w:t xml:space="preserve">Accurately separating university functions to teaching, scholarship, research and other. </w:t>
            </w:r>
          </w:p>
        </w:tc>
        <w:tc>
          <w:tcPr>
            <w:tcW w:w="5670" w:type="dxa"/>
          </w:tcPr>
          <w:p w14:paraId="0B8F8FB1" w14:textId="77777777" w:rsidR="00EB779E" w:rsidRDefault="00EB779E" w:rsidP="00B76EFD">
            <w:r>
              <w:t>An ongoing challenge is the accurate attribution of costs between teaching and research functions and costs for universities, recognising that these are often interrelated.</w:t>
            </w:r>
          </w:p>
          <w:p w14:paraId="1D88401C" w14:textId="77777777" w:rsidR="00EB779E" w:rsidRDefault="00EB779E" w:rsidP="00B76EFD">
            <w:r>
              <w:t xml:space="preserve">A number of universities identified difficulties in systematically and consistently identifying staff time (as an input to splitting FTE costs) related to research and scholarship, and employed a range of methods from broad based assumptions, workload models, detailed timesheets and activity based costing models. </w:t>
            </w:r>
          </w:p>
          <w:p w14:paraId="0F103E9A" w14:textId="77777777" w:rsidR="00EB779E" w:rsidRDefault="00EB779E" w:rsidP="00B76EFD">
            <w:r>
              <w:t xml:space="preserve">Due to differences in university processes and ability to apportion staff time, there was not a prescribed methodology, but rather a set of principles described for universities to employ.  </w:t>
            </w:r>
          </w:p>
        </w:tc>
      </w:tr>
      <w:tr w:rsidR="00EB779E" w14:paraId="715A934F" w14:textId="77777777" w:rsidTr="00B76EFD">
        <w:tc>
          <w:tcPr>
            <w:tcW w:w="2977" w:type="dxa"/>
          </w:tcPr>
          <w:p w14:paraId="5BBF67CD" w14:textId="77777777" w:rsidR="00EB779E" w:rsidRPr="002E1084" w:rsidRDefault="00EB779E" w:rsidP="00B76EFD">
            <w:pPr>
              <w:ind w:right="135"/>
            </w:pPr>
            <w:r w:rsidRPr="002E1084">
              <w:t xml:space="preserve">Cost variation </w:t>
            </w:r>
            <w:r>
              <w:t xml:space="preserve">between levels within the same field. </w:t>
            </w:r>
          </w:p>
        </w:tc>
        <w:tc>
          <w:tcPr>
            <w:tcW w:w="5670" w:type="dxa"/>
          </w:tcPr>
          <w:p w14:paraId="58FDFB83" w14:textId="77777777" w:rsidR="00EB779E" w:rsidRDefault="00EB779E" w:rsidP="00B76EFD">
            <w:r w:rsidRPr="002E1084">
              <w:t xml:space="preserve">A number of </w:t>
            </w:r>
            <w:r>
              <w:t xml:space="preserve">universities (eight of 25) noted that while they were able to isolate costs between different fields of education, they </w:t>
            </w:r>
            <w:r>
              <w:lastRenderedPageBreak/>
              <w:t xml:space="preserve">were not able to separate costs between levels – that is, costs specific to each level within a given faculty or school. </w:t>
            </w:r>
          </w:p>
          <w:p w14:paraId="22A6BAD7" w14:textId="7FC9AF9B" w:rsidR="00EB779E" w:rsidRPr="002E1084" w:rsidRDefault="00EB779E" w:rsidP="00B76EFD">
            <w:r>
              <w:t xml:space="preserve">In these instances, unit costs were identical within the same faculty or school and were often similar across levels within a field of education (depending on the mix of schools and faculties within a given field), and hence the results are likely to have a convergence in costs between levels. This </w:t>
            </w:r>
            <w:proofErr w:type="gramStart"/>
            <w:r>
              <w:t>is discussed</w:t>
            </w:r>
            <w:proofErr w:type="gramEnd"/>
            <w:r>
              <w:t xml:space="preserve"> in more detail in Section </w:t>
            </w:r>
            <w:r>
              <w:fldChar w:fldCharType="begin"/>
            </w:r>
            <w:r>
              <w:instrText xml:space="preserve"> REF _Ref529288172 \r \h </w:instrText>
            </w:r>
            <w:r>
              <w:fldChar w:fldCharType="separate"/>
            </w:r>
            <w:r w:rsidR="00F47C96">
              <w:t>2.2</w:t>
            </w:r>
            <w:r>
              <w:fldChar w:fldCharType="end"/>
            </w:r>
            <w:r>
              <w:t xml:space="preserve">. </w:t>
            </w:r>
          </w:p>
        </w:tc>
      </w:tr>
      <w:tr w:rsidR="00EB779E" w14:paraId="76796EE3" w14:textId="77777777" w:rsidTr="00B76EFD">
        <w:tc>
          <w:tcPr>
            <w:tcW w:w="2977" w:type="dxa"/>
          </w:tcPr>
          <w:p w14:paraId="3AD2294C" w14:textId="77777777" w:rsidR="00EB779E" w:rsidRDefault="00EB779E" w:rsidP="00B76EFD">
            <w:pPr>
              <w:ind w:right="135"/>
            </w:pPr>
            <w:r>
              <w:lastRenderedPageBreak/>
              <w:t xml:space="preserve">Identifying specific FOE costs within a given school or faculty or relevant business unit. </w:t>
            </w:r>
          </w:p>
        </w:tc>
        <w:tc>
          <w:tcPr>
            <w:tcW w:w="5670" w:type="dxa"/>
          </w:tcPr>
          <w:p w14:paraId="2B871C28" w14:textId="77777777" w:rsidR="00EB779E" w:rsidRDefault="00EB779E" w:rsidP="00B76EFD">
            <w:r>
              <w:t xml:space="preserve">Some universities noted a level of convergence between certain fields of education, where they were unable to systematically separate costs specifically between those fields. </w:t>
            </w:r>
          </w:p>
          <w:p w14:paraId="794FF24F" w14:textId="77777777" w:rsidR="00EB779E" w:rsidRDefault="00EB779E" w:rsidP="00B76EFD">
            <w:r>
              <w:t xml:space="preserve">This is particularly pertinent for universities that undertook a top-down approach using relatively large business units (e.g. a small number of faculties, compared to a larger number of schools). </w:t>
            </w:r>
          </w:p>
          <w:p w14:paraId="0B0FC15B" w14:textId="261C5933" w:rsidR="00EB779E" w:rsidRDefault="00EB779E" w:rsidP="00B76EFD">
            <w:r>
              <w:t xml:space="preserve">As costs may be allocated </w:t>
            </w:r>
            <w:proofErr w:type="gramStart"/>
            <w:r>
              <w:t>using</w:t>
            </w:r>
            <w:proofErr w:type="gramEnd"/>
            <w:r>
              <w:t xml:space="preserve"> only an EFTSL driver this can lead to the same unit costs being applied to several different fields. However, in many instances, universities stated that these fields do indeed have very similar costs of delivery of teaching. This issue </w:t>
            </w:r>
            <w:proofErr w:type="gramStart"/>
            <w:r>
              <w:t>is discussed</w:t>
            </w:r>
            <w:proofErr w:type="gramEnd"/>
            <w:r>
              <w:t xml:space="preserve"> in more detail in Section </w:t>
            </w:r>
            <w:r>
              <w:fldChar w:fldCharType="begin"/>
            </w:r>
            <w:r>
              <w:instrText xml:space="preserve"> REF _Ref529202326 \r \h </w:instrText>
            </w:r>
            <w:r>
              <w:fldChar w:fldCharType="separate"/>
            </w:r>
            <w:r w:rsidR="00F47C96">
              <w:t>3.4</w:t>
            </w:r>
            <w:r>
              <w:fldChar w:fldCharType="end"/>
            </w:r>
            <w:r>
              <w:t>.</w:t>
            </w:r>
          </w:p>
        </w:tc>
      </w:tr>
      <w:tr w:rsidR="00EB779E" w14:paraId="623F18B4" w14:textId="77777777" w:rsidTr="00B76EFD">
        <w:tc>
          <w:tcPr>
            <w:tcW w:w="2977" w:type="dxa"/>
          </w:tcPr>
          <w:p w14:paraId="2B9FE876" w14:textId="77777777" w:rsidR="00EB779E" w:rsidRDefault="00EB779E" w:rsidP="00B76EFD">
            <w:pPr>
              <w:ind w:right="135"/>
            </w:pPr>
            <w:r>
              <w:t xml:space="preserve">Differences in methodology across universities, including broad method and use of cost drivers. </w:t>
            </w:r>
          </w:p>
        </w:tc>
        <w:tc>
          <w:tcPr>
            <w:tcW w:w="5670" w:type="dxa"/>
          </w:tcPr>
          <w:p w14:paraId="30A5C338" w14:textId="77777777" w:rsidR="00EB779E" w:rsidRDefault="00EB779E" w:rsidP="00B76EFD">
            <w:r>
              <w:t xml:space="preserve">While </w:t>
            </w:r>
            <w:proofErr w:type="gramStart"/>
            <w:r>
              <w:t>the collection exercise was governed by a standardised template and guidelines</w:t>
            </w:r>
            <w:proofErr w:type="gramEnd"/>
            <w:r>
              <w:t xml:space="preserve">, there was nevertheless variation in the methodology used across universities. The level of sophistication and ability to identify appropriate cost drivers to allocate costs is likely to influence the overall accuracy of each university’s cost observations.  </w:t>
            </w:r>
          </w:p>
        </w:tc>
      </w:tr>
      <w:tr w:rsidR="00EB779E" w14:paraId="14420D6A" w14:textId="77777777" w:rsidTr="00B76EFD">
        <w:tc>
          <w:tcPr>
            <w:tcW w:w="2977" w:type="dxa"/>
          </w:tcPr>
          <w:p w14:paraId="29A397AB" w14:textId="77777777" w:rsidR="00EB779E" w:rsidRDefault="00EB779E" w:rsidP="00B76EFD">
            <w:pPr>
              <w:ind w:right="135"/>
            </w:pPr>
            <w:r>
              <w:t xml:space="preserve">Incorporation of quality.  </w:t>
            </w:r>
          </w:p>
        </w:tc>
        <w:tc>
          <w:tcPr>
            <w:tcW w:w="5670" w:type="dxa"/>
          </w:tcPr>
          <w:p w14:paraId="03FE52A4" w14:textId="77777777" w:rsidR="00EB779E" w:rsidRDefault="00EB779E" w:rsidP="00B76EFD">
            <w:r>
              <w:t>In measuring the cost of delivery of teaching and scholarship, this exercise only considers quantity of teaching as the unit to distribute costs. This exercise does not capture variations in quality (however defined), where higher quality may be correlated with higher costs.</w:t>
            </w:r>
          </w:p>
          <w:p w14:paraId="4EB5170C" w14:textId="77777777" w:rsidR="00EB779E" w:rsidRDefault="00EB779E" w:rsidP="00B76EFD">
            <w:r>
              <w:t xml:space="preserve">Relatedly, this exercise also does not make adjustments for differences in student cohort mix, specifically differences in average student needs and levels of disadvantage. Some universities are likely </w:t>
            </w:r>
            <w:proofErr w:type="gramStart"/>
            <w:r>
              <w:t>to systematically enrol</w:t>
            </w:r>
            <w:proofErr w:type="gramEnd"/>
            <w:r>
              <w:t xml:space="preserve"> more students with greater need for student supports, which will in turn result in higher costs. As a result, there is likely to be a degree of variation in costs across the sector due to contextual factors and differences in quality across the sector and across FOEs. </w:t>
            </w:r>
          </w:p>
        </w:tc>
      </w:tr>
      <w:tr w:rsidR="00EB779E" w14:paraId="741F1EF7" w14:textId="77777777" w:rsidTr="00B76EFD">
        <w:tc>
          <w:tcPr>
            <w:tcW w:w="2977" w:type="dxa"/>
          </w:tcPr>
          <w:p w14:paraId="45095E1E" w14:textId="77777777" w:rsidR="00EB779E" w:rsidRDefault="00EB779E" w:rsidP="00B76EFD">
            <w:pPr>
              <w:ind w:right="135"/>
            </w:pPr>
            <w:r w:rsidRPr="00841031">
              <w:t>Difficulties in specifying and isolating certain cost items.</w:t>
            </w:r>
          </w:p>
        </w:tc>
        <w:tc>
          <w:tcPr>
            <w:tcW w:w="5670" w:type="dxa"/>
          </w:tcPr>
          <w:p w14:paraId="136C9119" w14:textId="77777777" w:rsidR="00EB779E" w:rsidRDefault="00EB779E" w:rsidP="00B76EFD">
            <w:r>
              <w:t xml:space="preserve">Differences in internal processes and systems across universities meant that some universities were unable to identify specific costs that aligned with the line items specified as part of the costing template. </w:t>
            </w:r>
          </w:p>
          <w:p w14:paraId="47072AA6" w14:textId="77777777" w:rsidR="00EB779E" w:rsidRDefault="00EB779E" w:rsidP="00B76EFD">
            <w:r>
              <w:t xml:space="preserve">The implication of this is that the examination of some specific line items may not be accurate in instances where a university </w:t>
            </w:r>
            <w:r>
              <w:lastRenderedPageBreak/>
              <w:t xml:space="preserve">was unable to separate costs appropriately (and where costs were instead included elsewhere in the template). </w:t>
            </w:r>
          </w:p>
          <w:p w14:paraId="78FBEF7A" w14:textId="77777777" w:rsidR="00EB779E" w:rsidRDefault="00EB779E" w:rsidP="00B76EFD">
            <w:r>
              <w:t xml:space="preserve">While this does not </w:t>
            </w:r>
            <w:proofErr w:type="gramStart"/>
            <w:r>
              <w:t>impact</w:t>
            </w:r>
            <w:proofErr w:type="gramEnd"/>
            <w:r>
              <w:t xml:space="preserve"> the overall unit cost calculation, it does caveat any comparison of specific costs, e.g. when comparing specific line items of non-staff costs. For this reason, analysis of these items has not been a significant focus of this report. </w:t>
            </w:r>
          </w:p>
        </w:tc>
      </w:tr>
    </w:tbl>
    <w:p w14:paraId="68F3EF7A" w14:textId="77777777" w:rsidR="00EB779E" w:rsidRDefault="00EB779E" w:rsidP="00EB779E">
      <w:pPr>
        <w:pStyle w:val="Heading2"/>
      </w:pPr>
      <w:bookmarkStart w:id="476" w:name="_Ref532206251"/>
      <w:bookmarkStart w:id="477" w:name="_Toc532245511"/>
      <w:bookmarkStart w:id="478" w:name="_Toc534713802"/>
      <w:r w:rsidRPr="00EF38B7">
        <w:lastRenderedPageBreak/>
        <w:t>Reflections</w:t>
      </w:r>
      <w:r>
        <w:t xml:space="preserve"> on splitting teaching and research</w:t>
      </w:r>
      <w:bookmarkEnd w:id="476"/>
      <w:bookmarkEnd w:id="477"/>
      <w:bookmarkEnd w:id="478"/>
      <w:r>
        <w:t xml:space="preserve"> </w:t>
      </w:r>
    </w:p>
    <w:p w14:paraId="7136FE00" w14:textId="77777777" w:rsidR="00EB779E" w:rsidRDefault="00EB779E" w:rsidP="00EB779E">
      <w:pPr>
        <w:pStyle w:val="BodyText"/>
      </w:pPr>
      <w:r>
        <w:t>The split of staff time between teaching and research activities</w:t>
      </w:r>
      <w:r>
        <w:rPr>
          <w:rStyle w:val="FootnoteReference"/>
        </w:rPr>
        <w:footnoteReference w:id="19"/>
      </w:r>
      <w:r>
        <w:t xml:space="preserve"> was an area where there was large variation in approaches across universities. While some universities had staff survey data that allowed a relatively detailed understanding of staff time, or used workload allocation models (which </w:t>
      </w:r>
      <w:proofErr w:type="gramStart"/>
      <w:r>
        <w:t>were used</w:t>
      </w:r>
      <w:proofErr w:type="gramEnd"/>
      <w:r>
        <w:t xml:space="preserve"> by the majority of universities), others made more high-level assumptions in the absence of similar data. In some cases, this was based on estimates at the whole-of-faculty level, while others based estimates on enterprise bargaining agreements that specify a division of time, and which may vary in accuracy across staff levels and disciplines. Four universities indicated that the split of staff time </w:t>
      </w:r>
      <w:proofErr w:type="gramStart"/>
      <w:r>
        <w:t>was largely based</w:t>
      </w:r>
      <w:proofErr w:type="gramEnd"/>
      <w:r>
        <w:t xml:space="preserve"> on enterprise bargaining agreements. </w:t>
      </w:r>
    </w:p>
    <w:p w14:paraId="65BB284E" w14:textId="390A3EEE" w:rsidR="00EB779E" w:rsidRDefault="00EB779E" w:rsidP="00EB779E">
      <w:pPr>
        <w:pStyle w:val="BodyText"/>
      </w:pPr>
      <w:r>
        <w:t xml:space="preserve">The allocation of academic time is a critical assumption in separating the costs of teaching and scholarship from research. Thus, differences in approaches to estimating this can affect individual university results. Nevertheless, the evidence provided in </w:t>
      </w:r>
      <w:r w:rsidR="002D3041">
        <w:fldChar w:fldCharType="begin"/>
      </w:r>
      <w:r w:rsidR="002D3041">
        <w:instrText xml:space="preserve"> REF _Ref534713378 \r \h </w:instrText>
      </w:r>
      <w:r w:rsidR="002D3041">
        <w:fldChar w:fldCharType="separate"/>
      </w:r>
      <w:r w:rsidR="00F47C96">
        <w:t>Chart 2.2</w:t>
      </w:r>
      <w:r w:rsidR="002D3041">
        <w:fldChar w:fldCharType="end"/>
      </w:r>
      <w:r>
        <w:t xml:space="preserve"> suggests that the share of teaching and scholarship expenses as a share of total expenditure is largely as expected. This share is lower for the </w:t>
      </w:r>
      <w:proofErr w:type="gramStart"/>
      <w:r>
        <w:t>research intensive</w:t>
      </w:r>
      <w:proofErr w:type="gramEnd"/>
      <w:r>
        <w:t xml:space="preserve"> Group of Eight universities, and higher for regional universities who are typically less research intensive and receive less fee income from international students. </w:t>
      </w:r>
    </w:p>
    <w:p w14:paraId="58061E2A" w14:textId="77777777" w:rsidR="00EB779E" w:rsidRDefault="00EB779E" w:rsidP="00EB779E">
      <w:pPr>
        <w:pStyle w:val="Heading2"/>
      </w:pPr>
      <w:bookmarkStart w:id="479" w:name="_Toc532245512"/>
      <w:bookmarkStart w:id="480" w:name="_Toc534713803"/>
      <w:r>
        <w:t>Treatment and accounting for capital costs</w:t>
      </w:r>
      <w:bookmarkEnd w:id="479"/>
      <w:bookmarkEnd w:id="480"/>
      <w:r>
        <w:t xml:space="preserve"> </w:t>
      </w:r>
    </w:p>
    <w:p w14:paraId="7DC00553" w14:textId="77777777" w:rsidR="00EB779E" w:rsidRDefault="00EB779E" w:rsidP="00EB779E">
      <w:r>
        <w:t xml:space="preserve">The approach to capturing capital costs related to teaching and scholarship </w:t>
      </w:r>
      <w:proofErr w:type="gramStart"/>
      <w:r>
        <w:t>was raised</w:t>
      </w:r>
      <w:proofErr w:type="gramEnd"/>
      <w:r>
        <w:t xml:space="preserve"> by universities, both through the Universities Australia reference group and forum, and through individual consultations and supporting statements. </w:t>
      </w:r>
    </w:p>
    <w:p w14:paraId="4A9939B6" w14:textId="77777777" w:rsidR="00EB779E" w:rsidRDefault="00EB779E" w:rsidP="00EB779E">
      <w:r>
        <w:t xml:space="preserve">The approach used in the 2016 study to capture capital costs was to include the costs of depreciation, amortisation, repairs and maintenance, borrowing costs and bad debts associated with teaching and scholarship. This represents the standard accounting-based approach to capturing capital costs. Some universities raised concerns about this approach noting that: </w:t>
      </w:r>
    </w:p>
    <w:p w14:paraId="7347DEFE" w14:textId="77777777" w:rsidR="00EB779E" w:rsidRDefault="00EB779E" w:rsidP="00EB779E">
      <w:pPr>
        <w:pStyle w:val="ListBullet"/>
        <w:numPr>
          <w:ilvl w:val="0"/>
          <w:numId w:val="23"/>
        </w:numPr>
      </w:pPr>
      <w:r>
        <w:t>in some cases the application of accounting standards or treatments meant that reported depreciation levels were not consistent with what the university considered to be the true level of depreciation of its assets; and</w:t>
      </w:r>
    </w:p>
    <w:p w14:paraId="2742BB59" w14:textId="77777777" w:rsidR="00EB779E" w:rsidRDefault="00EB779E" w:rsidP="00EB779E">
      <w:pPr>
        <w:pStyle w:val="ListBullet"/>
        <w:numPr>
          <w:ilvl w:val="0"/>
          <w:numId w:val="23"/>
        </w:numPr>
      </w:pPr>
      <w:proofErr w:type="gramStart"/>
      <w:r>
        <w:t>current</w:t>
      </w:r>
      <w:proofErr w:type="gramEnd"/>
      <w:r>
        <w:t xml:space="preserve"> reported levels of depreciation did not reflect the cost of replacing those assets due to functional obsolescence and changes in technology, which meant that future capital expenditure is likely to exceed current depreciation levels.</w:t>
      </w:r>
    </w:p>
    <w:p w14:paraId="461A0F96" w14:textId="77777777" w:rsidR="00EB779E" w:rsidRDefault="00EB779E" w:rsidP="00EB779E">
      <w:pPr>
        <w:rPr>
          <w:sz w:val="17"/>
          <w:szCs w:val="17"/>
        </w:rPr>
      </w:pPr>
      <w:r>
        <w:t xml:space="preserve">These issues </w:t>
      </w:r>
      <w:proofErr w:type="gramStart"/>
      <w:r>
        <w:t>were discussed</w:t>
      </w:r>
      <w:proofErr w:type="gramEnd"/>
      <w:r>
        <w:t xml:space="preserve"> in a 2007 OECD working paper entitled </w:t>
      </w:r>
      <w:r w:rsidRPr="008C51DA">
        <w:rPr>
          <w:i/>
        </w:rPr>
        <w:t>On the Edge: Securing a Sustainable Future for Higher Education</w:t>
      </w:r>
      <w:r>
        <w:t xml:space="preserve">. The report focuses on </w:t>
      </w:r>
      <w:r w:rsidRPr="00496F96">
        <w:t>the concept of a</w:t>
      </w:r>
      <w:r>
        <w:rPr>
          <w:sz w:val="17"/>
          <w:szCs w:val="17"/>
        </w:rPr>
        <w:t xml:space="preserve"> “</w:t>
      </w:r>
      <w:r w:rsidRPr="00496F96">
        <w:t>Full Economic Cost”,</w:t>
      </w:r>
      <w:r>
        <w:rPr>
          <w:sz w:val="17"/>
          <w:szCs w:val="17"/>
        </w:rPr>
        <w:t xml:space="preserve"> </w:t>
      </w:r>
      <w:r w:rsidRPr="00496F96">
        <w:t>which encompasses:</w:t>
      </w:r>
      <w:r>
        <w:rPr>
          <w:sz w:val="17"/>
          <w:szCs w:val="17"/>
        </w:rPr>
        <w:t xml:space="preserve"> </w:t>
      </w:r>
    </w:p>
    <w:p w14:paraId="70D4C78E" w14:textId="77777777" w:rsidR="00EB779E" w:rsidRDefault="00EB779E" w:rsidP="00EB779E">
      <w:pPr>
        <w:pStyle w:val="ListBullet"/>
        <w:numPr>
          <w:ilvl w:val="0"/>
          <w:numId w:val="23"/>
        </w:numPr>
      </w:pPr>
      <w:r>
        <w:t xml:space="preserve">consumption of assets (depreciation); </w:t>
      </w:r>
    </w:p>
    <w:p w14:paraId="2DF8792A" w14:textId="77777777" w:rsidR="00EB779E" w:rsidRDefault="00EB779E" w:rsidP="00EB779E">
      <w:pPr>
        <w:pStyle w:val="ListBullet"/>
        <w:numPr>
          <w:ilvl w:val="0"/>
          <w:numId w:val="23"/>
        </w:numPr>
      </w:pPr>
      <w:r>
        <w:t xml:space="preserve">renewing assets; </w:t>
      </w:r>
    </w:p>
    <w:p w14:paraId="304D0D5C" w14:textId="77777777" w:rsidR="00EB779E" w:rsidRDefault="00EB779E" w:rsidP="00EB779E">
      <w:pPr>
        <w:pStyle w:val="ListBullet"/>
        <w:numPr>
          <w:ilvl w:val="0"/>
          <w:numId w:val="23"/>
        </w:numPr>
      </w:pPr>
      <w:r>
        <w:t xml:space="preserve">financing (costs of capital); and </w:t>
      </w:r>
    </w:p>
    <w:p w14:paraId="170658BE" w14:textId="77777777" w:rsidR="00EB779E" w:rsidRDefault="00EB779E" w:rsidP="00EB779E">
      <w:pPr>
        <w:pStyle w:val="ListBullet"/>
        <w:numPr>
          <w:ilvl w:val="0"/>
          <w:numId w:val="23"/>
        </w:numPr>
      </w:pPr>
      <w:proofErr w:type="gramStart"/>
      <w:r>
        <w:lastRenderedPageBreak/>
        <w:t>risk</w:t>
      </w:r>
      <w:proofErr w:type="gramEnd"/>
      <w:r>
        <w:t xml:space="preserve">. </w:t>
      </w:r>
    </w:p>
    <w:p w14:paraId="69872E16" w14:textId="77777777" w:rsidR="00EB779E" w:rsidRDefault="00EB779E" w:rsidP="00EB779E">
      <w:r>
        <w:t xml:space="preserve">The report suggests that in order to be sustainable, universities must generate appropriate operating surpluses such that the full economic cost </w:t>
      </w:r>
      <w:proofErr w:type="gramStart"/>
      <w:r>
        <w:t>is recovered</w:t>
      </w:r>
      <w:proofErr w:type="gramEnd"/>
      <w:r>
        <w:t xml:space="preserve">. The OECD report also argues that it is appropriate for universities to plan for an ongoing operating surplus, which it notes would normally be 3-4% of income to finance strategically planned investment, rather than the replacement of existing buildings: </w:t>
      </w:r>
    </w:p>
    <w:p w14:paraId="0200039F" w14:textId="77777777" w:rsidR="00EB779E" w:rsidRPr="00495A65" w:rsidRDefault="00EB779E" w:rsidP="00EB779E">
      <w:pPr>
        <w:pStyle w:val="Default"/>
        <w:rPr>
          <w:i/>
          <w:iCs/>
          <w:sz w:val="16"/>
          <w:szCs w:val="17"/>
        </w:rPr>
      </w:pPr>
      <w:r w:rsidRPr="00495A65">
        <w:rPr>
          <w:i/>
          <w:iCs/>
          <w:sz w:val="16"/>
          <w:szCs w:val="17"/>
        </w:rPr>
        <w:t xml:space="preserve">“In any event, future investment needs should be determined by institutional strategic plans, not simply renewing historic infrastructure, some of which may be no longer required...” </w:t>
      </w:r>
    </w:p>
    <w:p w14:paraId="5597A761" w14:textId="77777777" w:rsidR="00EB779E" w:rsidRDefault="00EB779E" w:rsidP="00EB779E">
      <w:pPr>
        <w:pStyle w:val="Default"/>
        <w:rPr>
          <w:sz w:val="17"/>
          <w:szCs w:val="17"/>
        </w:rPr>
      </w:pPr>
    </w:p>
    <w:p w14:paraId="35FD0C0F" w14:textId="77777777" w:rsidR="00EB779E" w:rsidRDefault="00EB779E" w:rsidP="00EB779E">
      <w:r>
        <w:t xml:space="preserve">The OECD report cites the UK example of the Transparent Approach to Costing (TRAC) methodology. TRAC </w:t>
      </w:r>
      <w:proofErr w:type="gramStart"/>
      <w:r>
        <w:t>was first implemented</w:t>
      </w:r>
      <w:proofErr w:type="gramEnd"/>
      <w:r>
        <w:t xml:space="preserve"> in the UK in 2000, following a national survey of university infrastructure. Since its introduction, the method to determine the cost of capital, and appropriate surplus, has developed over time. The current iteration of TRAC-UK establishes a so-called Margin for Sustainability and Investment (MSI). Importantly, this is institution-specific, rather than a sector-wide benchmark, as discussed in the TRAC guidance for 2016-17 returns: </w:t>
      </w:r>
    </w:p>
    <w:p w14:paraId="47C4616F" w14:textId="77777777" w:rsidR="00EB779E" w:rsidRDefault="00EB779E" w:rsidP="00EB779E">
      <w:r w:rsidRPr="00495A65">
        <w:rPr>
          <w:i/>
          <w:sz w:val="16"/>
        </w:rPr>
        <w:t xml:space="preserve">“The MSI provides an institution-specific margin that is based on an average of past financial performance and forecast performance. This will reflect each institution’s own financial strategy and is based on an agreed definition of the ‘Earnings </w:t>
      </w:r>
      <w:proofErr w:type="gramStart"/>
      <w:r w:rsidRPr="00495A65">
        <w:rPr>
          <w:i/>
          <w:sz w:val="16"/>
        </w:rPr>
        <w:t>Before</w:t>
      </w:r>
      <w:proofErr w:type="gramEnd"/>
      <w:r w:rsidRPr="00495A65">
        <w:rPr>
          <w:i/>
          <w:sz w:val="16"/>
        </w:rPr>
        <w:t xml:space="preserve"> Interest, Taxation, Depreciation and Amortisation’ (EBITDA).” </w:t>
      </w:r>
    </w:p>
    <w:p w14:paraId="53DAABD3" w14:textId="77777777" w:rsidR="00EB779E" w:rsidRPr="00787257" w:rsidRDefault="00EB779E" w:rsidP="00EB779E">
      <w:r>
        <w:t xml:space="preserve">While relevant to a discussion of university finances more broadly, the adoption of an equivalent to the MSI in the Australian context should be the result of a specific and deliberate policy discussion that is outside the parameters of the current project. From the UK experience, establishing a process for an appropriate margin would require a significant amount of preparatory work, to understand current asset stocks and building maintenance backlogs, for example. In particular, the precise margin for sustainability is likely to vary across the sector reflecting each universities’ strategic plans and position in the capital investment cycle. </w:t>
      </w:r>
    </w:p>
    <w:p w14:paraId="06FEA8F4" w14:textId="77777777" w:rsidR="00EB779E" w:rsidRDefault="00EB779E" w:rsidP="00EB779E">
      <w:r>
        <w:t xml:space="preserve">To inform this </w:t>
      </w:r>
      <w:proofErr w:type="gramStart"/>
      <w:r>
        <w:t>discussion,</w:t>
      </w:r>
      <w:proofErr w:type="gramEnd"/>
      <w:r>
        <w:t xml:space="preserve"> and to understand the potential data that future research might draw from, a series of questions were posed to universities in the supporting statement to understand: </w:t>
      </w:r>
    </w:p>
    <w:p w14:paraId="72A4504F" w14:textId="77777777" w:rsidR="00EB779E" w:rsidRDefault="00496F96" w:rsidP="00EB779E">
      <w:pPr>
        <w:pStyle w:val="ListBullet"/>
        <w:numPr>
          <w:ilvl w:val="0"/>
          <w:numId w:val="23"/>
        </w:numPr>
      </w:pPr>
      <w:r>
        <w:t>W</w:t>
      </w:r>
      <w:r w:rsidR="00EB779E">
        <w:t>hether universities saw the recorded levels of depreciation and amortisation and repairs and maintenance in their financial statements as reflecting the true costs of these items;</w:t>
      </w:r>
    </w:p>
    <w:p w14:paraId="24A9E554" w14:textId="77777777" w:rsidR="00EB779E" w:rsidRDefault="00496F96" w:rsidP="00EB779E">
      <w:pPr>
        <w:pStyle w:val="ListBullet"/>
        <w:numPr>
          <w:ilvl w:val="0"/>
          <w:numId w:val="23"/>
        </w:numPr>
      </w:pPr>
      <w:r>
        <w:t>W</w:t>
      </w:r>
      <w:r w:rsidR="00EB779E">
        <w:t xml:space="preserve">hether universities had developed longer term capital expenditure plans; </w:t>
      </w:r>
    </w:p>
    <w:p w14:paraId="24CFA075" w14:textId="77777777" w:rsidR="00EB779E" w:rsidRDefault="00496F96" w:rsidP="00EB779E">
      <w:pPr>
        <w:pStyle w:val="ListBullet"/>
        <w:numPr>
          <w:ilvl w:val="0"/>
          <w:numId w:val="23"/>
        </w:numPr>
      </w:pPr>
      <w:r>
        <w:t>H</w:t>
      </w:r>
      <w:r w:rsidR="00EB779E">
        <w:t xml:space="preserve">ow they expected their capital expenditure profile to compare in the medium term relative to recent years; and </w:t>
      </w:r>
    </w:p>
    <w:p w14:paraId="4C4B7348" w14:textId="77777777" w:rsidR="00EB779E" w:rsidRDefault="00496F96" w:rsidP="00EB779E">
      <w:pPr>
        <w:pStyle w:val="ListBullet"/>
        <w:numPr>
          <w:ilvl w:val="0"/>
          <w:numId w:val="23"/>
        </w:numPr>
      </w:pPr>
      <w:r>
        <w:t>T</w:t>
      </w:r>
      <w:r w:rsidR="00EB779E">
        <w:t xml:space="preserve">he extent to which it would be feasible to allocate future capital expenditure associated with teaching and scholarship to individual FOEs. </w:t>
      </w:r>
    </w:p>
    <w:p w14:paraId="059275A4" w14:textId="77777777" w:rsidR="00EB779E" w:rsidRDefault="00EB779E" w:rsidP="00EB779E">
      <w:r>
        <w:t xml:space="preserve">This approach ensured that the costs of depreciation and amortisation, repairs and maintenance, borrowing costs and bad debts associated with teaching and scholarship continued to be captured in the main part of the Transparent Costing Worksheet in a way that was consistent with the 2016 exercise. At the same </w:t>
      </w:r>
      <w:proofErr w:type="gramStart"/>
      <w:r>
        <w:t>time</w:t>
      </w:r>
      <w:proofErr w:type="gramEnd"/>
      <w:r>
        <w:t xml:space="preserve"> the consultations and supporting statements were used to gather information on the extent to which these items were reflective of actual capital costs in the sector, and to understand the potential scope to adopt a different approach to capturing capital costs in future exercises. A summary of this information </w:t>
      </w:r>
      <w:proofErr w:type="gramStart"/>
      <w:r>
        <w:t>is provided</w:t>
      </w:r>
      <w:proofErr w:type="gramEnd"/>
      <w:r>
        <w:t xml:space="preserve"> below.</w:t>
      </w:r>
    </w:p>
    <w:p w14:paraId="5EB7B7F1" w14:textId="77777777" w:rsidR="00EB779E" w:rsidRPr="008C51DA" w:rsidRDefault="00EB779E" w:rsidP="00EB779E">
      <w:pPr>
        <w:pStyle w:val="Heading3un-numbered"/>
      </w:pPr>
      <w:r w:rsidRPr="008C51DA">
        <w:t xml:space="preserve">Depreciation </w:t>
      </w:r>
    </w:p>
    <w:p w14:paraId="49188E90" w14:textId="77777777" w:rsidR="00EB779E" w:rsidRDefault="00EB779E" w:rsidP="00EB779E">
      <w:r>
        <w:t xml:space="preserve">Half of the universities that responded to the question on depreciation and amortisation indicated that reported levels of depreciation and amortisation in their financial accounts did not reflect the true costs of depreciation for their university. However, the reasons for this varied considerably across universities. </w:t>
      </w:r>
    </w:p>
    <w:p w14:paraId="4E22075F" w14:textId="77777777" w:rsidR="00EB779E" w:rsidRDefault="00EB779E" w:rsidP="00EB779E">
      <w:r>
        <w:t xml:space="preserve">Five universities noted that reported depreciation was underestimated </w:t>
      </w:r>
      <w:proofErr w:type="gramStart"/>
      <w:r>
        <w:t>as a result</w:t>
      </w:r>
      <w:proofErr w:type="gramEnd"/>
      <w:r>
        <w:t xml:space="preserve"> of the method used to calculate depreciation either because their institution calculated it based on the historical cost of assets (which was often around only half the current replacement value) or because very long asset lives were assumed for university buildings which were felt to be unrealistic. A small </w:t>
      </w:r>
      <w:r>
        <w:lastRenderedPageBreak/>
        <w:t xml:space="preserve">number of universities noted that some of their buildings had already been fully depreciated and thus reported depreciation levels did not account for this. </w:t>
      </w:r>
    </w:p>
    <w:p w14:paraId="0A81B848" w14:textId="77777777" w:rsidR="00EB779E" w:rsidRDefault="00EB779E" w:rsidP="00EB779E">
      <w:r>
        <w:t xml:space="preserve">A number of other universities who believed depreciation </w:t>
      </w:r>
      <w:proofErr w:type="gramStart"/>
      <w:r>
        <w:t>was accurately estimated</w:t>
      </w:r>
      <w:proofErr w:type="gramEnd"/>
      <w:r>
        <w:t xml:space="preserve"> in their financial report, nonetheless similarly indicated that it was an incomplete measure of capital costs. Often the reason for this was that depreciation levels differed from actual levels of capital expenditure currently, or capital expenditure levels expected in the future.  </w:t>
      </w:r>
    </w:p>
    <w:p w14:paraId="2D8763CB" w14:textId="77777777" w:rsidR="00EB779E" w:rsidRDefault="00EB779E" w:rsidP="00EB779E">
      <w:pPr>
        <w:pStyle w:val="ListBullet"/>
        <w:numPr>
          <w:ilvl w:val="0"/>
          <w:numId w:val="0"/>
        </w:numPr>
      </w:pPr>
      <w:r>
        <w:t xml:space="preserve">Conversely, some universities were of the view that reported depreciation levels for their institution were appropriate and provided a sensible basis for capturing capital expenditure. In some cases, depreciation exceeded current capital expenditure levels. One university noted that </w:t>
      </w:r>
      <w:proofErr w:type="gramStart"/>
      <w:r>
        <w:t>as a result</w:t>
      </w:r>
      <w:proofErr w:type="gramEnd"/>
      <w:r>
        <w:t xml:space="preserve"> of a decline in government funding of specific capital works, depreciation had significantly exceeded capital expenditure over the last three years. </w:t>
      </w:r>
    </w:p>
    <w:p w14:paraId="3E0C4115" w14:textId="77777777" w:rsidR="00EB779E" w:rsidRDefault="00EB779E" w:rsidP="00EB779E">
      <w:r>
        <w:t xml:space="preserve">Overall, the divergence in views suggests that the appropriateness of depreciation as a measure of capital costs at a given point in time is likely to vary based on the circumstances of individual universities, including where universities </w:t>
      </w:r>
      <w:proofErr w:type="gramStart"/>
      <w:r>
        <w:t>are positioned</w:t>
      </w:r>
      <w:proofErr w:type="gramEnd"/>
      <w:r>
        <w:t xml:space="preserve"> in the capital expenditure cycle, the nature of assets invested in, and the historical profile of investments made. </w:t>
      </w:r>
    </w:p>
    <w:p w14:paraId="77299067" w14:textId="77777777" w:rsidR="00EB779E" w:rsidRPr="008C51DA" w:rsidRDefault="00EB779E" w:rsidP="00EB779E">
      <w:pPr>
        <w:pStyle w:val="Heading3un-numbered"/>
      </w:pPr>
      <w:r w:rsidRPr="008C51DA">
        <w:t>Repairs and maintenance</w:t>
      </w:r>
    </w:p>
    <w:p w14:paraId="1095AE17" w14:textId="77777777" w:rsidR="00EB779E" w:rsidRDefault="00EB779E" w:rsidP="00EB779E">
      <w:r>
        <w:t xml:space="preserve">Over two-thirds of universities indicated that levels of repairs and maintenance were insufficient to maintain their assets in appropriate conditions. A number of universities noted that budgets for repairs and maintenance were determined based on whatever funds </w:t>
      </w:r>
      <w:proofErr w:type="gramStart"/>
      <w:r>
        <w:t>were left over</w:t>
      </w:r>
      <w:proofErr w:type="gramEnd"/>
      <w:r>
        <w:t xml:space="preserve"> after other initiatives had been funded, rather than in a systematic way.</w:t>
      </w:r>
      <w:r w:rsidRPr="005A02A2">
        <w:t xml:space="preserve"> </w:t>
      </w:r>
      <w:r>
        <w:t>Many universities indicated they had been underinvesting in repairs and maintenance for some time and had generated a backlog worth in some cases hundreds of millions of dollars.</w:t>
      </w:r>
    </w:p>
    <w:p w14:paraId="594466C5" w14:textId="77777777" w:rsidR="00EB779E" w:rsidRDefault="00EB779E" w:rsidP="00EB779E">
      <w:r>
        <w:t xml:space="preserve">Only three universities who indicated they had a shortfall specifically quantified the degree of the shortfall. Two of these three universities indicated that expenditure on repairs and maintenance expenditure were currently only at 60% of required levels, while the other indicated that current expenditure was only at 85% of required levels.  </w:t>
      </w:r>
    </w:p>
    <w:p w14:paraId="3027792C" w14:textId="77777777" w:rsidR="00EB779E" w:rsidRDefault="00EB779E" w:rsidP="00EB779E">
      <w:r>
        <w:t xml:space="preserve">These findings suggest that in most cases universities are underinvesting in repairs and maintenance relative to optimal levels. </w:t>
      </w:r>
    </w:p>
    <w:p w14:paraId="75604C25" w14:textId="77777777" w:rsidR="00EB779E" w:rsidRDefault="00EB779E" w:rsidP="00EB779E">
      <w:pPr>
        <w:pStyle w:val="Heading3un-numbered"/>
      </w:pPr>
      <w:r w:rsidRPr="008C51DA">
        <w:t>Capital expenditure profiles and plans</w:t>
      </w:r>
    </w:p>
    <w:p w14:paraId="0A562C5E" w14:textId="77777777" w:rsidR="00EB779E" w:rsidRDefault="00EB779E" w:rsidP="00EB779E">
      <w:r w:rsidRPr="008C51DA">
        <w:t>Finally, in the consultations and suppor</w:t>
      </w:r>
      <w:r w:rsidRPr="00FE40A9">
        <w:t xml:space="preserve">ting statement universities </w:t>
      </w:r>
      <w:proofErr w:type="gramStart"/>
      <w:r w:rsidRPr="00FE40A9">
        <w:t>were</w:t>
      </w:r>
      <w:r w:rsidRPr="008C51DA">
        <w:t xml:space="preserve"> asked</w:t>
      </w:r>
      <w:proofErr w:type="gramEnd"/>
      <w:r w:rsidRPr="008C51DA">
        <w:t xml:space="preserve"> to comment on whet</w:t>
      </w:r>
      <w:r>
        <w:t xml:space="preserve">her they had a capital expenditure plan in place and whether they believed it would be possible to allocate expected future capital expenditure associated with teaching and scholarship by FOE. </w:t>
      </w:r>
    </w:p>
    <w:p w14:paraId="26F0CE9E" w14:textId="77777777" w:rsidR="00EB779E" w:rsidRDefault="00EB779E" w:rsidP="00EB779E">
      <w:r>
        <w:t xml:space="preserve">In total, seven universities indicated they had a capital asset management plan in place. A number of other universities indicated their approach to capital expenditure was somewhat ad-hoc and depended on the availability of operating surpluses or their success in winning government grants. Of those that had a capital asset management plan, there </w:t>
      </w:r>
      <w:proofErr w:type="gramStart"/>
      <w:r>
        <w:t>were mixed</w:t>
      </w:r>
      <w:proofErr w:type="gramEnd"/>
      <w:r>
        <w:t xml:space="preserve"> views about the ability to reliably and accurately allocate this expected future expenditure by FOEs.</w:t>
      </w:r>
    </w:p>
    <w:p w14:paraId="7F334D46" w14:textId="77777777" w:rsidR="00EB779E" w:rsidRDefault="00EB779E" w:rsidP="00EB779E">
      <w:r>
        <w:t xml:space="preserve">The vast majority of universities that provided information on their expected capital expenditure in the next five years relative to the previous five years expected future capital expenditure to grow. This suggests that levels of depreciation </w:t>
      </w:r>
      <w:proofErr w:type="gramStart"/>
      <w:r>
        <w:t>would be expected</w:t>
      </w:r>
      <w:proofErr w:type="gramEnd"/>
      <w:r>
        <w:t xml:space="preserve"> to grow in the future as more investment is completed, but also means that the difference between capital costs and depreciation may grow into the future. </w:t>
      </w:r>
    </w:p>
    <w:p w14:paraId="6E287A60" w14:textId="77777777" w:rsidR="00924B60" w:rsidRPr="00924B60" w:rsidRDefault="00EB779E" w:rsidP="00EB779E">
      <w:r>
        <w:t>It is clear that this experience is not uniform across the sector. Some universities saw future capital expenditure as being broadly similar to current levels while some universities expected capital expenditure over the next few years to fall. This diversity across the sector makes it difficult to rely on simple assumptions regarding expected capital expenditure alone in estimating true current-period university capital costs.</w:t>
      </w:r>
      <w:r w:rsidR="00924B60">
        <w:t xml:space="preserve"> </w:t>
      </w:r>
    </w:p>
    <w:p w14:paraId="21EBB022" w14:textId="77777777" w:rsidR="00AB65CE" w:rsidRDefault="004B2163" w:rsidP="004F307D">
      <w:pPr>
        <w:pStyle w:val="Heading2"/>
      </w:pPr>
      <w:bookmarkStart w:id="481" w:name="_Toc525908607"/>
      <w:bookmarkStart w:id="482" w:name="_Toc534713804"/>
      <w:bookmarkStart w:id="483" w:name="_Ref529202326"/>
      <w:bookmarkEnd w:id="481"/>
      <w:r>
        <w:lastRenderedPageBreak/>
        <w:t>T</w:t>
      </w:r>
      <w:r w:rsidR="00AB65CE">
        <w:t>op-down vs bottom-up methodology</w:t>
      </w:r>
      <w:bookmarkEnd w:id="482"/>
      <w:r w:rsidR="00AB65CE">
        <w:t xml:space="preserve"> </w:t>
      </w:r>
      <w:bookmarkEnd w:id="483"/>
    </w:p>
    <w:p w14:paraId="69D0DA8C" w14:textId="77777777" w:rsidR="00924B60" w:rsidRDefault="00E80CC9" w:rsidP="004F307D">
      <w:r>
        <w:t xml:space="preserve">There </w:t>
      </w:r>
      <w:proofErr w:type="gramStart"/>
      <w:r>
        <w:t>are a range</w:t>
      </w:r>
      <w:proofErr w:type="gramEnd"/>
      <w:r>
        <w:t xml:space="preserve"> of methodologies that universities may use to allocate</w:t>
      </w:r>
      <w:r w:rsidR="00924B60">
        <w:t xml:space="preserve"> </w:t>
      </w:r>
      <w:r>
        <w:t xml:space="preserve">costs. Some universities have detailed activity based costing (ABC) models available to estimate costs at a relatively granular level (often the unit of study) based on a range of drivers. The use of an ABC model </w:t>
      </w:r>
      <w:proofErr w:type="gramStart"/>
      <w:r>
        <w:t>is often referred</w:t>
      </w:r>
      <w:proofErr w:type="gramEnd"/>
      <w:r>
        <w:t xml:space="preserve"> to as a ‘bottom-up’ approach, although some costs may still be apportioned from a whole-of-university basis using a cost driver, known as a ‘top-down’ approach. </w:t>
      </w:r>
    </w:p>
    <w:p w14:paraId="0C5D10AB" w14:textId="77777777" w:rsidR="00E80CC9" w:rsidRDefault="00924B60" w:rsidP="004F307D">
      <w:r>
        <w:t xml:space="preserve">Other </w:t>
      </w:r>
      <w:proofErr w:type="gramStart"/>
      <w:r>
        <w:t>universities which</w:t>
      </w:r>
      <w:proofErr w:type="gramEnd"/>
      <w:r>
        <w:t xml:space="preserve"> do not have cost allocation models that reliably estimate costs at the unit of study level will </w:t>
      </w:r>
      <w:r w:rsidR="00E80CC9">
        <w:t xml:space="preserve">rely predominately on a </w:t>
      </w:r>
      <w:r>
        <w:t>‘</w:t>
      </w:r>
      <w:r w:rsidR="00E80CC9">
        <w:t>top-down methodology</w:t>
      </w:r>
      <w:r>
        <w:t>’</w:t>
      </w:r>
      <w:r w:rsidR="00E80CC9">
        <w:t xml:space="preserve">. On this basis, bottom-up approaches </w:t>
      </w:r>
      <w:proofErr w:type="gramStart"/>
      <w:r w:rsidR="00E80CC9">
        <w:t>will on average provide</w:t>
      </w:r>
      <w:proofErr w:type="gramEnd"/>
      <w:r w:rsidR="00E80CC9">
        <w:t xml:space="preserve"> more </w:t>
      </w:r>
      <w:r w:rsidR="00EB779E">
        <w:t xml:space="preserve">differentiated </w:t>
      </w:r>
      <w:r w:rsidR="00E80CC9">
        <w:t>cost information, and hence are typically considered to provide more accurate results by field and level of education.</w:t>
      </w:r>
    </w:p>
    <w:p w14:paraId="6955217F" w14:textId="77777777" w:rsidR="007D3BEF" w:rsidRDefault="00EB779E" w:rsidP="004F307D">
      <w:r>
        <w:t xml:space="preserve">Questions </w:t>
      </w:r>
      <w:proofErr w:type="gramStart"/>
      <w:r w:rsidR="007D3BEF">
        <w:t>were raised</w:t>
      </w:r>
      <w:proofErr w:type="gramEnd"/>
      <w:r w:rsidR="007D3BEF">
        <w:t xml:space="preserve"> during the UA forum on the 2</w:t>
      </w:r>
      <w:r w:rsidR="007D3BEF" w:rsidRPr="004F307D">
        <w:rPr>
          <w:vertAlign w:val="superscript"/>
        </w:rPr>
        <w:t>nd</w:t>
      </w:r>
      <w:r w:rsidR="007D3BEF">
        <w:t xml:space="preserve"> of July by some universities about the reliability of comparing results across universities given potential variation in methodologies. </w:t>
      </w:r>
      <w:proofErr w:type="gramStart"/>
      <w:r>
        <w:t>Similar</w:t>
      </w:r>
      <w:r w:rsidR="007D3BEF">
        <w:t xml:space="preserve"> concerns were further raised by a number of universities in the consultation process</w:t>
      </w:r>
      <w:r w:rsidR="00924B60">
        <w:t xml:space="preserve"> and supporting statements</w:t>
      </w:r>
      <w:proofErr w:type="gramEnd"/>
      <w:r w:rsidR="007D3BEF">
        <w:t xml:space="preserve">. </w:t>
      </w:r>
    </w:p>
    <w:p w14:paraId="01F2F9E1" w14:textId="77777777" w:rsidR="007D3BEF" w:rsidRDefault="004F6F93" w:rsidP="004F307D">
      <w:r>
        <w:t>In the course of the consultations, a</w:t>
      </w:r>
      <w:r w:rsidR="007D3BEF">
        <w:t xml:space="preserve"> number of universities </w:t>
      </w:r>
      <w:r>
        <w:t>did note</w:t>
      </w:r>
      <w:r w:rsidR="007D3BEF">
        <w:t xml:space="preserve"> that regardless of the overarching methodology employed, the accuracy of results was most dependent on the sophistication of the application of any methodology, and that, in principle, a top-down method could also be highly accurate if appropriate cost drivers were used. </w:t>
      </w:r>
    </w:p>
    <w:p w14:paraId="6168E010" w14:textId="77777777" w:rsidR="007D3BEF" w:rsidRDefault="007D3BEF" w:rsidP="004F307D">
      <w:pPr>
        <w:pStyle w:val="Heading3un-numbered"/>
      </w:pPr>
      <w:r>
        <w:t xml:space="preserve">Extent of variation in practice </w:t>
      </w:r>
    </w:p>
    <w:p w14:paraId="0F68AFEB" w14:textId="77777777" w:rsidR="00324689" w:rsidRDefault="007D3BEF" w:rsidP="004F307D">
      <w:pPr>
        <w:pStyle w:val="ListBullet"/>
        <w:numPr>
          <w:ilvl w:val="0"/>
          <w:numId w:val="0"/>
        </w:numPr>
      </w:pPr>
      <w:r>
        <w:t xml:space="preserve">In practice, universities will often use a mix of both top-down and bottom-up methodologies. This leads to some </w:t>
      </w:r>
      <w:r w:rsidR="00F60D0F">
        <w:t>ambiguity in strictly defining the</w:t>
      </w:r>
      <w:r>
        <w:t xml:space="preserve"> methodology employed, however, at a broad level there was an almost equal split across the two methods</w:t>
      </w:r>
      <w:r w:rsidR="00F60D0F">
        <w:t>:</w:t>
      </w:r>
      <w:r w:rsidR="00324689">
        <w:t xml:space="preserve"> </w:t>
      </w:r>
    </w:p>
    <w:p w14:paraId="3E317648" w14:textId="77777777" w:rsidR="00324689" w:rsidRPr="00DD49A9" w:rsidRDefault="00F60D0F" w:rsidP="00495A65">
      <w:pPr>
        <w:pStyle w:val="ListBullet"/>
      </w:pPr>
      <w:r>
        <w:t xml:space="preserve">Thirteen </w:t>
      </w:r>
      <w:r w:rsidR="00324689" w:rsidRPr="00DD49A9">
        <w:t>universities employed a bottom-up methodology with an activity-based costing model; while</w:t>
      </w:r>
    </w:p>
    <w:p w14:paraId="0A936C92" w14:textId="77777777" w:rsidR="00324689" w:rsidRDefault="00F60D0F" w:rsidP="00495A65">
      <w:pPr>
        <w:pStyle w:val="ListBullet"/>
      </w:pPr>
      <w:r>
        <w:t>Twelve</w:t>
      </w:r>
      <w:r w:rsidRPr="00DD49A9">
        <w:t xml:space="preserve"> </w:t>
      </w:r>
      <w:r w:rsidR="00324689" w:rsidRPr="00DD49A9">
        <w:t xml:space="preserve">universities employed a top-down methodology, noting that </w:t>
      </w:r>
      <w:r>
        <w:t>three</w:t>
      </w:r>
      <w:r w:rsidR="00324689" w:rsidRPr="00DD49A9">
        <w:t xml:space="preserve"> of the </w:t>
      </w:r>
      <w:r>
        <w:t>twelve</w:t>
      </w:r>
      <w:r w:rsidR="00324689" w:rsidRPr="00DD49A9">
        <w:t xml:space="preserve"> had some bottom-up elements in their approach. </w:t>
      </w:r>
    </w:p>
    <w:p w14:paraId="54B8CA4B" w14:textId="77777777" w:rsidR="00AC6EDD" w:rsidRDefault="00AC6EDD" w:rsidP="00AC6EDD">
      <w:pPr>
        <w:pStyle w:val="Heading2"/>
      </w:pPr>
      <w:bookmarkStart w:id="484" w:name="_Toc532209753"/>
      <w:bookmarkStart w:id="485" w:name="_Toc532224676"/>
      <w:bookmarkStart w:id="486" w:name="_Toc532376038"/>
      <w:bookmarkStart w:id="487" w:name="_Toc532209754"/>
      <w:bookmarkStart w:id="488" w:name="_Toc532224677"/>
      <w:bookmarkStart w:id="489" w:name="_Toc532376039"/>
      <w:bookmarkStart w:id="490" w:name="_Toc532209755"/>
      <w:bookmarkStart w:id="491" w:name="_Toc532224678"/>
      <w:bookmarkStart w:id="492" w:name="_Toc532376040"/>
      <w:bookmarkStart w:id="493" w:name="_Toc532209756"/>
      <w:bookmarkStart w:id="494" w:name="_Toc532224679"/>
      <w:bookmarkStart w:id="495" w:name="_Toc532376041"/>
      <w:bookmarkStart w:id="496" w:name="_Toc532209757"/>
      <w:bookmarkStart w:id="497" w:name="_Toc532224680"/>
      <w:bookmarkStart w:id="498" w:name="_Toc532376042"/>
      <w:bookmarkStart w:id="499" w:name="_Toc532209758"/>
      <w:bookmarkStart w:id="500" w:name="_Toc532224681"/>
      <w:bookmarkStart w:id="501" w:name="_Toc532376043"/>
      <w:bookmarkStart w:id="502" w:name="_Toc532209759"/>
      <w:bookmarkStart w:id="503" w:name="_Toc532224682"/>
      <w:bookmarkStart w:id="504" w:name="_Toc532376044"/>
      <w:bookmarkStart w:id="505" w:name="_Toc532209760"/>
      <w:bookmarkStart w:id="506" w:name="_Toc532224683"/>
      <w:bookmarkStart w:id="507" w:name="_Toc532376045"/>
      <w:bookmarkStart w:id="508" w:name="_Toc532209761"/>
      <w:bookmarkStart w:id="509" w:name="_Toc532224684"/>
      <w:bookmarkStart w:id="510" w:name="_Toc532376046"/>
      <w:bookmarkStart w:id="511" w:name="_Toc532209762"/>
      <w:bookmarkStart w:id="512" w:name="_Toc532224685"/>
      <w:bookmarkStart w:id="513" w:name="_Toc532376047"/>
      <w:bookmarkStart w:id="514" w:name="_Toc529546296"/>
      <w:bookmarkStart w:id="515" w:name="_Toc529546944"/>
      <w:bookmarkStart w:id="516" w:name="_Toc529546297"/>
      <w:bookmarkStart w:id="517" w:name="_Toc529546945"/>
      <w:bookmarkStart w:id="518" w:name="_Toc529546298"/>
      <w:bookmarkStart w:id="519" w:name="_Toc529546946"/>
      <w:bookmarkStart w:id="520" w:name="_Toc529546299"/>
      <w:bookmarkStart w:id="521" w:name="_Toc529546947"/>
      <w:bookmarkStart w:id="522" w:name="_Toc534713805"/>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t>Other reflections from universities</w:t>
      </w:r>
      <w:bookmarkEnd w:id="522"/>
    </w:p>
    <w:p w14:paraId="5035945C" w14:textId="77777777" w:rsidR="00924B60" w:rsidRDefault="00924B60" w:rsidP="00924B60">
      <w:r w:rsidRPr="008C51DA">
        <w:t xml:space="preserve">Universities were </w:t>
      </w:r>
      <w:r>
        <w:t>generally</w:t>
      </w:r>
      <w:r w:rsidRPr="008C51DA">
        <w:t xml:space="preserve"> highly engaged with the Transparency in Higher Education Expenditure project and </w:t>
      </w:r>
      <w:r>
        <w:t xml:space="preserve">were keen to do what they could to provide accurate data in the time available. Throughout the process, universities provided a range of reflections both </w:t>
      </w:r>
      <w:proofErr w:type="gramStart"/>
      <w:r>
        <w:t>in relation to</w:t>
      </w:r>
      <w:proofErr w:type="gramEnd"/>
      <w:r>
        <w:t xml:space="preserve">: </w:t>
      </w:r>
    </w:p>
    <w:p w14:paraId="32896397" w14:textId="77777777" w:rsidR="00924B60" w:rsidRDefault="00924B60" w:rsidP="00924B60">
      <w:pPr>
        <w:pStyle w:val="ListBullet"/>
        <w:numPr>
          <w:ilvl w:val="0"/>
          <w:numId w:val="23"/>
        </w:numPr>
      </w:pPr>
      <w:r>
        <w:t xml:space="preserve">The purpose of the data collection process and how key data should be interpreted; and </w:t>
      </w:r>
    </w:p>
    <w:p w14:paraId="5BBE6D59" w14:textId="77777777" w:rsidR="00924B60" w:rsidRDefault="00924B60" w:rsidP="00924B60">
      <w:pPr>
        <w:pStyle w:val="ListBullet"/>
        <w:numPr>
          <w:ilvl w:val="0"/>
          <w:numId w:val="23"/>
        </w:numPr>
      </w:pPr>
      <w:r>
        <w:t xml:space="preserve">Some of the potential issues that might </w:t>
      </w:r>
      <w:r w:rsidR="006D3D69">
        <w:t>limit the ability</w:t>
      </w:r>
      <w:r>
        <w:t xml:space="preserve"> to draw comparisons between universities. </w:t>
      </w:r>
    </w:p>
    <w:p w14:paraId="3375D2D7" w14:textId="77777777" w:rsidR="00924B60" w:rsidRDefault="00924B60" w:rsidP="00924B60">
      <w:pPr>
        <w:pStyle w:val="ListBullet"/>
        <w:numPr>
          <w:ilvl w:val="0"/>
          <w:numId w:val="0"/>
        </w:numPr>
      </w:pPr>
    </w:p>
    <w:p w14:paraId="4A263DF9" w14:textId="77777777" w:rsidR="00924B60" w:rsidRPr="008C51DA" w:rsidRDefault="00924B60" w:rsidP="00924B60">
      <w:pPr>
        <w:pStyle w:val="ListBullet"/>
        <w:numPr>
          <w:ilvl w:val="0"/>
          <w:numId w:val="0"/>
        </w:numPr>
      </w:pPr>
      <w:r>
        <w:t xml:space="preserve">These insights were useful in helping to highlight broader </w:t>
      </w:r>
      <w:r w:rsidR="00F60D0F">
        <w:t xml:space="preserve">issues </w:t>
      </w:r>
      <w:r>
        <w:t>for the sector</w:t>
      </w:r>
      <w:r w:rsidR="00F60D0F">
        <w:t>,</w:t>
      </w:r>
      <w:r>
        <w:t xml:space="preserve"> and in helping to refine the analysis to explore reasons </w:t>
      </w:r>
      <w:r w:rsidR="00F60D0F">
        <w:t>for</w:t>
      </w:r>
      <w:r>
        <w:t xml:space="preserve"> differ</w:t>
      </w:r>
      <w:r w:rsidR="00F60D0F">
        <w:t>ing results</w:t>
      </w:r>
      <w:r>
        <w:t xml:space="preserve"> across the sector.  </w:t>
      </w:r>
    </w:p>
    <w:p w14:paraId="38245851" w14:textId="77777777" w:rsidR="00924B60" w:rsidRDefault="00924B60" w:rsidP="00495A65">
      <w:pPr>
        <w:pStyle w:val="Heading3un-numbered"/>
      </w:pPr>
      <w:r w:rsidRPr="008C51DA">
        <w:t>Reflections from universities on the data collection process and interpretation of key data</w:t>
      </w:r>
    </w:p>
    <w:p w14:paraId="655CF39D" w14:textId="77777777" w:rsidR="00924B60" w:rsidRDefault="00924B60" w:rsidP="00924B60">
      <w:r w:rsidRPr="008C51DA">
        <w:t xml:space="preserve">Universities expressed a range of </w:t>
      </w:r>
      <w:r w:rsidR="00FD4C6C">
        <w:t>views regarding</w:t>
      </w:r>
      <w:r>
        <w:t xml:space="preserve"> the process and its broader objectives. The </w:t>
      </w:r>
      <w:r w:rsidR="00FD4C6C">
        <w:t xml:space="preserve">issues </w:t>
      </w:r>
      <w:r>
        <w:t xml:space="preserve">most frequently articulated by universities included: </w:t>
      </w:r>
    </w:p>
    <w:p w14:paraId="39FAC639" w14:textId="77777777" w:rsidR="00924B60" w:rsidRDefault="00924B60" w:rsidP="00924B60">
      <w:pPr>
        <w:pStyle w:val="ListBullet"/>
        <w:numPr>
          <w:ilvl w:val="0"/>
          <w:numId w:val="23"/>
        </w:numPr>
      </w:pPr>
      <w:r>
        <w:t xml:space="preserve">The decision to </w:t>
      </w:r>
      <w:r w:rsidRPr="008C51DA">
        <w:rPr>
          <w:i/>
        </w:rPr>
        <w:t>exclude research from the analysis</w:t>
      </w:r>
      <w:r>
        <w:t>, which many universities saw as being inherently included in the scope of CGS funding. Related</w:t>
      </w:r>
      <w:r w:rsidR="00FD4C6C">
        <w:t>ly</w:t>
      </w:r>
      <w:r>
        <w:t xml:space="preserve">, many universities noted that teaching, research and community engagement </w:t>
      </w:r>
      <w:proofErr w:type="gramStart"/>
      <w:r>
        <w:t>were jointly produced</w:t>
      </w:r>
      <w:proofErr w:type="gramEnd"/>
      <w:r>
        <w:t>, with inherent efficiencies in producing these activities jointly</w:t>
      </w:r>
      <w:r w:rsidR="00B76EFD">
        <w:t>,</w:t>
      </w:r>
      <w:r>
        <w:t xml:space="preserve"> such that an estimate of teaching and scholarship costs on a proportional basis would underestimate the costs of achieving this activity alone. </w:t>
      </w:r>
    </w:p>
    <w:p w14:paraId="649339AB" w14:textId="77777777" w:rsidR="00987C79" w:rsidRDefault="00987C79" w:rsidP="00495A65">
      <w:pPr>
        <w:pStyle w:val="ListBullet"/>
        <w:numPr>
          <w:ilvl w:val="0"/>
          <w:numId w:val="0"/>
        </w:numPr>
        <w:ind w:left="340"/>
      </w:pPr>
    </w:p>
    <w:p w14:paraId="7F184177" w14:textId="77777777" w:rsidR="004F6F93" w:rsidRDefault="00FD4C6C" w:rsidP="004F6F93">
      <w:pPr>
        <w:pStyle w:val="ListBullet"/>
        <w:numPr>
          <w:ilvl w:val="0"/>
          <w:numId w:val="23"/>
        </w:numPr>
        <w:contextualSpacing w:val="0"/>
      </w:pPr>
      <w:r>
        <w:t>The</w:t>
      </w:r>
      <w:r w:rsidR="00924B60">
        <w:t xml:space="preserve"> </w:t>
      </w:r>
      <w:r w:rsidRPr="00FD4C6C">
        <w:rPr>
          <w:i/>
        </w:rPr>
        <w:t>provision of</w:t>
      </w:r>
      <w:r w:rsidR="00924B60" w:rsidRPr="00FD4C6C">
        <w:rPr>
          <w:i/>
        </w:rPr>
        <w:t xml:space="preserve"> </w:t>
      </w:r>
      <w:r w:rsidRPr="00FD4C6C">
        <w:rPr>
          <w:i/>
        </w:rPr>
        <w:t xml:space="preserve">data </w:t>
      </w:r>
      <w:r w:rsidR="00924B60" w:rsidRPr="00FD4C6C">
        <w:rPr>
          <w:i/>
        </w:rPr>
        <w:t>on an FOE basis</w:t>
      </w:r>
      <w:r w:rsidR="00924B60">
        <w:t xml:space="preserve"> was inconsistent with universities’ underlying operating structures</w:t>
      </w:r>
      <w:r>
        <w:t>,</w:t>
      </w:r>
      <w:r w:rsidR="00924B60">
        <w:t xml:space="preserve"> as universities do not </w:t>
      </w:r>
      <w:r w:rsidR="00B76EFD">
        <w:t xml:space="preserve">tend to </w:t>
      </w:r>
      <w:r w:rsidR="00924B60">
        <w:t xml:space="preserve">budget on the basis of FOEs but rather on the basis of Faculties and Schools. While universities have relatively refined data on teaching costs at the faculty or school level, mapping this to individual FOEs proved difficult </w:t>
      </w:r>
      <w:r>
        <w:t>for some. V</w:t>
      </w:r>
      <w:r w:rsidR="00924B60">
        <w:t xml:space="preserve">arious </w:t>
      </w:r>
      <w:r w:rsidR="00924B60">
        <w:lastRenderedPageBreak/>
        <w:t xml:space="preserve">assumptions </w:t>
      </w:r>
      <w:proofErr w:type="gramStart"/>
      <w:r w:rsidR="00924B60">
        <w:t>were made</w:t>
      </w:r>
      <w:proofErr w:type="gramEnd"/>
      <w:r w:rsidR="00924B60">
        <w:t xml:space="preserve"> in </w:t>
      </w:r>
      <w:r>
        <w:t xml:space="preserve">conducting </w:t>
      </w:r>
      <w:r w:rsidR="00924B60">
        <w:t>this mapping. Further, because universities provide courses, which are more granular than FOEs, there will be some variation in the offerings (that is, differences in the weightings of particular courses) included within an FOE across institutions.</w:t>
      </w:r>
      <w:r>
        <w:t xml:space="preserve"> </w:t>
      </w:r>
      <w:r w:rsidR="00924B60">
        <w:t xml:space="preserve">One university also noted that inter-disciplinary co-operation was widespread which limited the ability to accurately allocate costs at an FOE level and compare these to CGS </w:t>
      </w:r>
      <w:r w:rsidR="006D3D69">
        <w:t xml:space="preserve">and SCA </w:t>
      </w:r>
      <w:r w:rsidR="00924B60">
        <w:t xml:space="preserve">funding rates. </w:t>
      </w:r>
    </w:p>
    <w:p w14:paraId="60946518" w14:textId="77777777" w:rsidR="00924B60" w:rsidRDefault="0057794B" w:rsidP="00EB4550">
      <w:pPr>
        <w:pStyle w:val="ListBullet"/>
        <w:numPr>
          <w:ilvl w:val="0"/>
          <w:numId w:val="0"/>
        </w:numPr>
        <w:ind w:left="340"/>
        <w:contextualSpacing w:val="0"/>
      </w:pPr>
      <w:r>
        <w:t>As the sophistication of internal university models increases, and more institutions adopt activity-based (bottom-up) accounting methodologies</w:t>
      </w:r>
      <w:r w:rsidR="00B76EFD">
        <w:t>,</w:t>
      </w:r>
      <w:r>
        <w:t xml:space="preserve"> this issue will diminish ove</w:t>
      </w:r>
      <w:r w:rsidR="004F6F93">
        <w:t>r time although there will always be a degree of variation in course mix across universities.</w:t>
      </w:r>
    </w:p>
    <w:p w14:paraId="37F73518" w14:textId="77777777" w:rsidR="0057794B" w:rsidRDefault="00924B60" w:rsidP="00FD4C6C">
      <w:pPr>
        <w:pStyle w:val="ListBullet"/>
        <w:numPr>
          <w:ilvl w:val="0"/>
          <w:numId w:val="23"/>
        </w:numPr>
      </w:pPr>
      <w:r>
        <w:t xml:space="preserve">Universities also noted that costs for a given calendar year are a partial indicator given that there may be </w:t>
      </w:r>
      <w:r w:rsidRPr="008C51DA">
        <w:rPr>
          <w:i/>
        </w:rPr>
        <w:t>substantial year</w:t>
      </w:r>
      <w:r w:rsidR="00C502EF">
        <w:rPr>
          <w:i/>
        </w:rPr>
        <w:t>-</w:t>
      </w:r>
      <w:r w:rsidRPr="008C51DA">
        <w:rPr>
          <w:i/>
        </w:rPr>
        <w:t>to</w:t>
      </w:r>
      <w:r w:rsidR="00C502EF">
        <w:rPr>
          <w:i/>
        </w:rPr>
        <w:t>-</w:t>
      </w:r>
      <w:r w:rsidRPr="008C51DA">
        <w:rPr>
          <w:i/>
        </w:rPr>
        <w:t>year variation</w:t>
      </w:r>
      <w:r>
        <w:t xml:space="preserve"> </w:t>
      </w:r>
      <w:proofErr w:type="gramStart"/>
      <w:r>
        <w:t>as a result</w:t>
      </w:r>
      <w:proofErr w:type="gramEnd"/>
      <w:r>
        <w:t xml:space="preserve"> of </w:t>
      </w:r>
      <w:r w:rsidR="00FD4C6C">
        <w:t xml:space="preserve">non-recurring events, such as </w:t>
      </w:r>
      <w:r>
        <w:t xml:space="preserve">faculty restructures, redundancies and the cost of creating new faculties. Approximately 45% of universities indicated there were one-off items that </w:t>
      </w:r>
      <w:proofErr w:type="gramStart"/>
      <w:r>
        <w:t>impacted</w:t>
      </w:r>
      <w:proofErr w:type="gramEnd"/>
      <w:r>
        <w:t xml:space="preserve"> costs f</w:t>
      </w:r>
      <w:r w:rsidR="00FD4C6C">
        <w:t>or 2017</w:t>
      </w:r>
      <w:r>
        <w:t xml:space="preserve"> relative to previous years</w:t>
      </w:r>
      <w:r w:rsidR="00FD4C6C">
        <w:t>,</w:t>
      </w:r>
      <w:r>
        <w:t xml:space="preserve"> although in some cases this related to capital rather than operating expenditures.</w:t>
      </w:r>
      <w:r w:rsidR="00FD4C6C" w:rsidRPr="00FD4C6C">
        <w:t xml:space="preserve"> </w:t>
      </w:r>
    </w:p>
    <w:p w14:paraId="21BC985C" w14:textId="77777777" w:rsidR="0057794B" w:rsidRDefault="0057794B" w:rsidP="00EB4550">
      <w:pPr>
        <w:pStyle w:val="ListBullet"/>
        <w:numPr>
          <w:ilvl w:val="0"/>
          <w:numId w:val="0"/>
        </w:numPr>
        <w:ind w:left="340"/>
      </w:pPr>
    </w:p>
    <w:p w14:paraId="5B2DD591" w14:textId="77777777" w:rsidR="00C502EF" w:rsidRDefault="00FD4C6C" w:rsidP="00EB4550">
      <w:pPr>
        <w:pStyle w:val="ListBullet"/>
        <w:numPr>
          <w:ilvl w:val="0"/>
          <w:numId w:val="0"/>
        </w:numPr>
        <w:ind w:left="340"/>
      </w:pPr>
      <w:r>
        <w:t xml:space="preserve">The decision to undertake data collection process over </w:t>
      </w:r>
      <w:r w:rsidR="00B76EFD">
        <w:t xml:space="preserve">(initially) </w:t>
      </w:r>
      <w:r>
        <w:t xml:space="preserve">a </w:t>
      </w:r>
      <w:proofErr w:type="gramStart"/>
      <w:r>
        <w:t>three year</w:t>
      </w:r>
      <w:proofErr w:type="gramEnd"/>
      <w:r>
        <w:t xml:space="preserve"> period</w:t>
      </w:r>
      <w:r w:rsidR="00B76EFD">
        <w:t xml:space="preserve"> will h</w:t>
      </w:r>
      <w:r>
        <w:t xml:space="preserve">elp minimise the potential impact of these </w:t>
      </w:r>
      <w:r w:rsidR="00B76EFD">
        <w:t>non-recurring costs</w:t>
      </w:r>
      <w:r>
        <w:t>.</w:t>
      </w:r>
    </w:p>
    <w:p w14:paraId="0866F4D8" w14:textId="77777777" w:rsidR="00924B60" w:rsidRDefault="00924B60" w:rsidP="00D53381">
      <w:pPr>
        <w:pStyle w:val="ListBullet"/>
        <w:numPr>
          <w:ilvl w:val="0"/>
          <w:numId w:val="0"/>
        </w:numPr>
        <w:ind w:left="340"/>
      </w:pPr>
      <w:r>
        <w:t xml:space="preserve"> </w:t>
      </w:r>
    </w:p>
    <w:p w14:paraId="70CBBBC9" w14:textId="77777777" w:rsidR="00E57227" w:rsidRDefault="00924B60" w:rsidP="00E57227">
      <w:pPr>
        <w:pStyle w:val="ListBullet"/>
        <w:numPr>
          <w:ilvl w:val="0"/>
          <w:numId w:val="23"/>
        </w:numPr>
      </w:pPr>
      <w:r>
        <w:t xml:space="preserve">A </w:t>
      </w:r>
      <w:r w:rsidR="0057794B">
        <w:t xml:space="preserve">small number of </w:t>
      </w:r>
      <w:r>
        <w:t xml:space="preserve">universities noted that the </w:t>
      </w:r>
      <w:r w:rsidRPr="008C51DA">
        <w:rPr>
          <w:i/>
        </w:rPr>
        <w:t xml:space="preserve">exclusion of the costs of teaching </w:t>
      </w:r>
      <w:r w:rsidR="00B76EFD">
        <w:rPr>
          <w:i/>
        </w:rPr>
        <w:t>incurr</w:t>
      </w:r>
      <w:r w:rsidR="00B76EFD" w:rsidRPr="008C51DA">
        <w:rPr>
          <w:i/>
        </w:rPr>
        <w:t xml:space="preserve">ed </w:t>
      </w:r>
      <w:r w:rsidRPr="008C51DA">
        <w:rPr>
          <w:i/>
        </w:rPr>
        <w:t>by industry partners</w:t>
      </w:r>
      <w:r>
        <w:t xml:space="preserve"> </w:t>
      </w:r>
      <w:r w:rsidR="00B76EFD">
        <w:t xml:space="preserve">(where no exchange </w:t>
      </w:r>
      <w:proofErr w:type="gramStart"/>
      <w:r w:rsidR="00B76EFD">
        <w:t>was made</w:t>
      </w:r>
      <w:proofErr w:type="gramEnd"/>
      <w:r w:rsidR="00B76EFD">
        <w:t xml:space="preserve"> in kind) </w:t>
      </w:r>
      <w:r>
        <w:t xml:space="preserve">meant that the study was not capturing the </w:t>
      </w:r>
      <w:r w:rsidR="00B76EFD">
        <w:t xml:space="preserve">full </w:t>
      </w:r>
      <w:r>
        <w:t xml:space="preserve">costs of teaching. </w:t>
      </w:r>
      <w:r w:rsidR="0058313A">
        <w:t xml:space="preserve">In particular, universities noted that some of the costs of teaching and scholarship associated with clinical placements </w:t>
      </w:r>
      <w:r w:rsidR="00B76EFD">
        <w:t xml:space="preserve">that </w:t>
      </w:r>
      <w:proofErr w:type="gramStart"/>
      <w:r w:rsidR="0058313A">
        <w:t xml:space="preserve">were </w:t>
      </w:r>
      <w:r w:rsidR="00B76EFD">
        <w:t>incurr</w:t>
      </w:r>
      <w:r w:rsidR="0058313A">
        <w:t>ed</w:t>
      </w:r>
      <w:proofErr w:type="gramEnd"/>
      <w:r w:rsidR="0058313A">
        <w:t xml:space="preserve"> by industry partners </w:t>
      </w:r>
      <w:r w:rsidR="00B76EFD">
        <w:t>could be material</w:t>
      </w:r>
      <w:r w:rsidR="00E57227">
        <w:t xml:space="preserve">. </w:t>
      </w:r>
    </w:p>
    <w:p w14:paraId="52F00C7F" w14:textId="77777777" w:rsidR="000B1CD7" w:rsidRDefault="00E57227">
      <w:pPr>
        <w:pStyle w:val="ListBullet2"/>
      </w:pPr>
      <w:r>
        <w:t>One university estimated the cost of supervisory time for its industry partners who hosted unpaid work</w:t>
      </w:r>
      <w:r w:rsidR="00B76EFD">
        <w:t>place</w:t>
      </w:r>
      <w:r>
        <w:t xml:space="preserve"> learning </w:t>
      </w:r>
      <w:r w:rsidR="000B1CD7">
        <w:t>to be 8.7% of its total teaching and scholarship costs. It</w:t>
      </w:r>
      <w:r w:rsidR="000B1CD7" w:rsidDel="00B76EFD">
        <w:t xml:space="preserve"> </w:t>
      </w:r>
      <w:r w:rsidR="00B76EFD">
        <w:t>us</w:t>
      </w:r>
      <w:r w:rsidR="000B1CD7">
        <w:t>ed</w:t>
      </w:r>
      <w:r>
        <w:t xml:space="preserve"> the comparative costs </w:t>
      </w:r>
      <w:r w:rsidR="000B1CD7">
        <w:t xml:space="preserve">incurred when </w:t>
      </w:r>
      <w:r>
        <w:t>t</w:t>
      </w:r>
      <w:r w:rsidR="000B1CD7">
        <w:t>he</w:t>
      </w:r>
      <w:r>
        <w:t xml:space="preserve"> university </w:t>
      </w:r>
      <w:r w:rsidR="000B1CD7">
        <w:t xml:space="preserve">is </w:t>
      </w:r>
      <w:r>
        <w:t xml:space="preserve">required to pay </w:t>
      </w:r>
      <w:proofErr w:type="gramStart"/>
      <w:r>
        <w:t xml:space="preserve">for </w:t>
      </w:r>
      <w:r w:rsidR="000B1CD7">
        <w:t>such</w:t>
      </w:r>
      <w:proofErr w:type="gramEnd"/>
      <w:r w:rsidR="000B1CD7">
        <w:t xml:space="preserve"> </w:t>
      </w:r>
      <w:r>
        <w:t>placements</w:t>
      </w:r>
      <w:r w:rsidR="000B1CD7">
        <w:t xml:space="preserve"> to derive this figure</w:t>
      </w:r>
      <w:r>
        <w:t xml:space="preserve">. While it is </w:t>
      </w:r>
      <w:r w:rsidR="000B1CD7">
        <w:t>unlikely this</w:t>
      </w:r>
      <w:r>
        <w:t xml:space="preserve"> university is</w:t>
      </w:r>
      <w:r w:rsidR="000B1CD7">
        <w:t xml:space="preserve"> representative</w:t>
      </w:r>
      <w:r>
        <w:t xml:space="preserve"> of the broader sector in </w:t>
      </w:r>
      <w:r w:rsidR="006D3D69">
        <w:t xml:space="preserve">relation to </w:t>
      </w:r>
      <w:proofErr w:type="gramStart"/>
      <w:r w:rsidR="006D3D69">
        <w:t>work integrated</w:t>
      </w:r>
      <w:proofErr w:type="gramEnd"/>
      <w:r w:rsidR="006D3D69">
        <w:t xml:space="preserve"> learning</w:t>
      </w:r>
      <w:r>
        <w:t xml:space="preserve">, this figure suggests that </w:t>
      </w:r>
      <w:r w:rsidR="000B1CD7">
        <w:t>some</w:t>
      </w:r>
      <w:r w:rsidR="006D3D69">
        <w:t xml:space="preserve"> </w:t>
      </w:r>
      <w:r>
        <w:t xml:space="preserve">costs may </w:t>
      </w:r>
      <w:r w:rsidR="000B1CD7">
        <w:t xml:space="preserve">exist that are out of the scope of the current methodology. </w:t>
      </w:r>
    </w:p>
    <w:p w14:paraId="5E1C555A" w14:textId="77777777" w:rsidR="00924B60" w:rsidRDefault="00924B60" w:rsidP="00924B60">
      <w:pPr>
        <w:pStyle w:val="ListBullet"/>
        <w:numPr>
          <w:ilvl w:val="0"/>
          <w:numId w:val="23"/>
        </w:numPr>
      </w:pPr>
      <w:r>
        <w:t xml:space="preserve">Finally, a number of universities raised concerns about plans to identify results for individual universities in the future. They noted that there would need to be guidance on interpreting the results, potentially through the inclusion </w:t>
      </w:r>
      <w:r w:rsidR="000B1CD7">
        <w:t>visual aids</w:t>
      </w:r>
      <w:r>
        <w:t xml:space="preserve"> to allow universities to explain why particular results differed from the sector average e.g. low EFTSL, unique characteristics of each university etc. In particular</w:t>
      </w:r>
      <w:r w:rsidR="000B1CD7">
        <w:t>,</w:t>
      </w:r>
      <w:r>
        <w:t xml:space="preserve"> some universities were keen for cost information to be included alongside quality measures, which </w:t>
      </w:r>
      <w:proofErr w:type="gramStart"/>
      <w:r w:rsidR="00C502EF">
        <w:t>has been noted</w:t>
      </w:r>
      <w:proofErr w:type="gramEnd"/>
      <w:r w:rsidR="00C502EF">
        <w:t xml:space="preserve"> as </w:t>
      </w:r>
      <w:r>
        <w:t xml:space="preserve">an area not </w:t>
      </w:r>
      <w:r w:rsidR="000B1CD7">
        <w:t xml:space="preserve">within the scope </w:t>
      </w:r>
      <w:r>
        <w:t>of this study.</w:t>
      </w:r>
    </w:p>
    <w:p w14:paraId="00034926" w14:textId="77777777" w:rsidR="00924B60" w:rsidRDefault="00924B60" w:rsidP="00495A65">
      <w:pPr>
        <w:pStyle w:val="Heading3un-numbered"/>
      </w:pPr>
      <w:r w:rsidRPr="008C51DA">
        <w:t>Challenges in validly comparing results across universities</w:t>
      </w:r>
    </w:p>
    <w:p w14:paraId="1919D60D" w14:textId="77777777" w:rsidR="00924B60" w:rsidRDefault="00924B60" w:rsidP="00924B60">
      <w:r>
        <w:t xml:space="preserve">In addition to </w:t>
      </w:r>
      <w:r w:rsidR="0034051F">
        <w:t>the items noted above</w:t>
      </w:r>
      <w:r>
        <w:t xml:space="preserve">, many universities </w:t>
      </w:r>
      <w:r w:rsidR="0034051F">
        <w:t>commented on</w:t>
      </w:r>
      <w:r>
        <w:t xml:space="preserve"> the validity of comparing results across the sector</w:t>
      </w:r>
      <w:r w:rsidR="0034051F">
        <w:t xml:space="preserve">. </w:t>
      </w:r>
    </w:p>
    <w:p w14:paraId="0F3580C0" w14:textId="77777777" w:rsidR="00924B60" w:rsidRDefault="00C11E1C" w:rsidP="00924B60">
      <w:r>
        <w:t xml:space="preserve">Universities raised concerns around the extent to which differences in costs across the sector are likely to </w:t>
      </w:r>
      <w:proofErr w:type="gramStart"/>
      <w:r>
        <w:t>be driven</w:t>
      </w:r>
      <w:proofErr w:type="gramEnd"/>
      <w:r>
        <w:t xml:space="preserve"> by differences in methodologies and the sophistication of cost allocation models. As discussed previously, </w:t>
      </w:r>
      <w:r w:rsidR="00924B60">
        <w:t>s</w:t>
      </w:r>
      <w:r>
        <w:t xml:space="preserve">everal </w:t>
      </w:r>
      <w:r w:rsidR="00924B60">
        <w:t xml:space="preserve">universities </w:t>
      </w:r>
      <w:r>
        <w:t>are</w:t>
      </w:r>
      <w:r w:rsidR="00924B60">
        <w:t xml:space="preserve"> unable to differentiate between costs </w:t>
      </w:r>
      <w:r>
        <w:t xml:space="preserve">at different levels of study </w:t>
      </w:r>
      <w:r w:rsidR="00924B60">
        <w:t xml:space="preserve">within an FOE. </w:t>
      </w:r>
      <w:r>
        <w:t xml:space="preserve">Questions </w:t>
      </w:r>
      <w:proofErr w:type="gramStart"/>
      <w:r>
        <w:t>were also</w:t>
      </w:r>
      <w:r w:rsidR="00924B60">
        <w:t xml:space="preserve"> raised</w:t>
      </w:r>
      <w:proofErr w:type="gramEnd"/>
      <w:r w:rsidR="00924B60">
        <w:t xml:space="preserve"> about the potential for the results to be driven by different degrees of accuracy in allocating </w:t>
      </w:r>
      <w:r>
        <w:t xml:space="preserve">costs between </w:t>
      </w:r>
      <w:r w:rsidR="00924B60">
        <w:t xml:space="preserve">teaching </w:t>
      </w:r>
      <w:r>
        <w:t>and</w:t>
      </w:r>
      <w:r w:rsidR="00924B60">
        <w:t xml:space="preserve"> research, </w:t>
      </w:r>
      <w:r>
        <w:t>including the separate identification of</w:t>
      </w:r>
      <w:r w:rsidR="00924B60">
        <w:t xml:space="preserve"> scholarship</w:t>
      </w:r>
      <w:r>
        <w:t xml:space="preserve"> costs</w:t>
      </w:r>
      <w:r w:rsidR="004F6F93">
        <w:t xml:space="preserve"> although approaches to estimating these components were discussed in the course of university consultations.</w:t>
      </w:r>
    </w:p>
    <w:p w14:paraId="129906C1" w14:textId="77777777" w:rsidR="00924B60" w:rsidRDefault="00C11E1C" w:rsidP="00924B60">
      <w:r>
        <w:t xml:space="preserve">Questions were also raised regarding the extent to which differences in costs across the sector are likely to be driven by contextual factors at a university </w:t>
      </w:r>
      <w:proofErr w:type="gramStart"/>
      <w:r>
        <w:t>level,</w:t>
      </w:r>
      <w:proofErr w:type="gramEnd"/>
      <w:r>
        <w:t xml:space="preserve"> and by</w:t>
      </w:r>
      <w:r w:rsidR="00F75331">
        <w:t xml:space="preserve"> </w:t>
      </w:r>
      <w:r>
        <w:t xml:space="preserve">differences in strategic objectives across the sector. </w:t>
      </w:r>
      <w:r w:rsidR="00F75331">
        <w:t>F</w:t>
      </w:r>
      <w:r w:rsidR="00924B60">
        <w:t>actors</w:t>
      </w:r>
      <w:r w:rsidR="00F75331">
        <w:t xml:space="preserve"> that </w:t>
      </w:r>
      <w:proofErr w:type="gramStart"/>
      <w:r w:rsidR="00F75331">
        <w:t>were noted</w:t>
      </w:r>
      <w:proofErr w:type="gramEnd"/>
      <w:r w:rsidR="00F75331">
        <w:t xml:space="preserve"> by universities included</w:t>
      </w:r>
      <w:r w:rsidR="00924B60">
        <w:t xml:space="preserve">: </w:t>
      </w:r>
    </w:p>
    <w:p w14:paraId="13A4D067" w14:textId="77777777" w:rsidR="00924B60" w:rsidRDefault="00924B60" w:rsidP="00924B60">
      <w:pPr>
        <w:pStyle w:val="ListBullet"/>
        <w:numPr>
          <w:ilvl w:val="0"/>
          <w:numId w:val="23"/>
        </w:numPr>
      </w:pPr>
      <w:r>
        <w:t>Scale;</w:t>
      </w:r>
    </w:p>
    <w:p w14:paraId="34DBB6AE" w14:textId="77777777" w:rsidR="00924B60" w:rsidRDefault="00924B60" w:rsidP="00924B60">
      <w:pPr>
        <w:pStyle w:val="ListBullet"/>
        <w:numPr>
          <w:ilvl w:val="0"/>
          <w:numId w:val="23"/>
        </w:numPr>
      </w:pPr>
      <w:r>
        <w:t>Capital footprint;</w:t>
      </w:r>
    </w:p>
    <w:p w14:paraId="6BFBF654" w14:textId="77777777" w:rsidR="00924B60" w:rsidRDefault="00924B60" w:rsidP="00924B60">
      <w:pPr>
        <w:pStyle w:val="ListBullet"/>
        <w:numPr>
          <w:ilvl w:val="0"/>
          <w:numId w:val="23"/>
        </w:numPr>
      </w:pPr>
      <w:r>
        <w:lastRenderedPageBreak/>
        <w:t>Regional presence</w:t>
      </w:r>
      <w:r w:rsidR="00C11E1C">
        <w:t>,</w:t>
      </w:r>
      <w:r>
        <w:t xml:space="preserve"> which could raise the cost of certain types of delivery and may require universities to provide a range of </w:t>
      </w:r>
      <w:r w:rsidR="00C11E1C">
        <w:t xml:space="preserve">support </w:t>
      </w:r>
      <w:r>
        <w:t>services e.g. childcare, student accommodation etc. that may be otherwise provided by the private sector in capital cities;</w:t>
      </w:r>
    </w:p>
    <w:p w14:paraId="3C25F727" w14:textId="77777777" w:rsidR="00924B60" w:rsidRDefault="00924B60" w:rsidP="00924B60">
      <w:pPr>
        <w:pStyle w:val="ListBullet"/>
        <w:numPr>
          <w:ilvl w:val="0"/>
          <w:numId w:val="23"/>
        </w:numPr>
      </w:pPr>
      <w:r>
        <w:t>The range of programs offered;</w:t>
      </w:r>
    </w:p>
    <w:p w14:paraId="1787745A" w14:textId="77777777" w:rsidR="00924B60" w:rsidRDefault="00924B60" w:rsidP="00924B60">
      <w:pPr>
        <w:pStyle w:val="ListBullet"/>
        <w:numPr>
          <w:ilvl w:val="0"/>
          <w:numId w:val="23"/>
        </w:numPr>
      </w:pPr>
      <w:r>
        <w:t>The proportion of international students</w:t>
      </w:r>
      <w:r w:rsidR="00C11E1C">
        <w:t>,</w:t>
      </w:r>
      <w:r>
        <w:t xml:space="preserve"> which may help fund greater expenditure on teaching and scholarship but also create some international student specific teaching costs;</w:t>
      </w:r>
    </w:p>
    <w:p w14:paraId="42876ABA" w14:textId="77777777" w:rsidR="00924B60" w:rsidRDefault="00924B60" w:rsidP="00924B60">
      <w:pPr>
        <w:pStyle w:val="ListBullet"/>
        <w:numPr>
          <w:ilvl w:val="0"/>
          <w:numId w:val="23"/>
        </w:numPr>
      </w:pPr>
      <w:r>
        <w:t>The extent of research activity undertaken by a university</w:t>
      </w:r>
      <w:r w:rsidR="00C11E1C">
        <w:t>,</w:t>
      </w:r>
      <w:r>
        <w:t xml:space="preserve"> as some research intensive universities may more heavily cross-subsidise research;</w:t>
      </w:r>
    </w:p>
    <w:p w14:paraId="601626BA" w14:textId="77777777" w:rsidR="00924B60" w:rsidRDefault="00C11E1C" w:rsidP="00924B60">
      <w:pPr>
        <w:pStyle w:val="ListBullet"/>
        <w:numPr>
          <w:ilvl w:val="0"/>
          <w:numId w:val="23"/>
        </w:numPr>
      </w:pPr>
      <w:r>
        <w:t>Program d</w:t>
      </w:r>
      <w:r w:rsidR="00924B60">
        <w:t>elivery modes;</w:t>
      </w:r>
    </w:p>
    <w:p w14:paraId="4CD8A083" w14:textId="77777777" w:rsidR="00924B60" w:rsidRDefault="00924B60" w:rsidP="00924B60">
      <w:pPr>
        <w:pStyle w:val="ListBullet"/>
        <w:numPr>
          <w:ilvl w:val="0"/>
          <w:numId w:val="23"/>
        </w:numPr>
      </w:pPr>
      <w:r>
        <w:t>The proportion of part time students (part-time students may still incur similar fixed costs of enrolment to full-time students)</w:t>
      </w:r>
      <w:r w:rsidR="00987C79">
        <w:t>; and</w:t>
      </w:r>
    </w:p>
    <w:p w14:paraId="2D928D7E" w14:textId="77777777" w:rsidR="00924B60" w:rsidRDefault="00924B60" w:rsidP="00924B60">
      <w:pPr>
        <w:pStyle w:val="ListBullet"/>
        <w:numPr>
          <w:ilvl w:val="0"/>
          <w:numId w:val="23"/>
        </w:numPr>
      </w:pPr>
      <w:r>
        <w:t xml:space="preserve">The level of disadvantage and past educational attainment in the student cohort.  </w:t>
      </w:r>
    </w:p>
    <w:p w14:paraId="6A4AF4AF" w14:textId="49D64102" w:rsidR="00924B60" w:rsidRDefault="00F75331" w:rsidP="00924B60">
      <w:r>
        <w:t>T</w:t>
      </w:r>
      <w:r w:rsidR="00924B60">
        <w:t>hese concerns relate less to whether or not the exercise is accurately capturing the costs of teaching and scholarship</w:t>
      </w:r>
      <w:r>
        <w:t xml:space="preserve">, </w:t>
      </w:r>
      <w:r w:rsidR="00924B60">
        <w:t xml:space="preserve">and more to the extent to which any inferences in relation to efficiency </w:t>
      </w:r>
      <w:proofErr w:type="gramStart"/>
      <w:r w:rsidR="00924B60">
        <w:t>can be drawn</w:t>
      </w:r>
      <w:proofErr w:type="gramEnd"/>
      <w:r w:rsidR="00924B60">
        <w:t xml:space="preserve"> based on comparisons across individual universities. Put simply, contextual factors </w:t>
      </w:r>
      <w:r>
        <w:t xml:space="preserve">may </w:t>
      </w:r>
      <w:r w:rsidR="00924B60">
        <w:t xml:space="preserve">mean that two equally efficient universities may have costs that vary from </w:t>
      </w:r>
      <w:r>
        <w:t>one an</w:t>
      </w:r>
      <w:r w:rsidR="00924B60">
        <w:t>other</w:t>
      </w:r>
      <w:r>
        <w:t>,</w:t>
      </w:r>
      <w:r w:rsidR="00924B60">
        <w:t xml:space="preserve"> both overall and at an FOE level. </w:t>
      </w:r>
      <w:r>
        <w:t xml:space="preserve">A more detailed discussion of contextual factors appears in Section </w:t>
      </w:r>
      <w:r>
        <w:fldChar w:fldCharType="begin"/>
      </w:r>
      <w:r>
        <w:instrText xml:space="preserve"> REF _Ref532935334 \r \h </w:instrText>
      </w:r>
      <w:r>
        <w:fldChar w:fldCharType="separate"/>
      </w:r>
      <w:r w:rsidR="00F47C96">
        <w:t>2.6</w:t>
      </w:r>
      <w:r>
        <w:fldChar w:fldCharType="end"/>
      </w:r>
      <w:r>
        <w:t>.</w:t>
      </w:r>
    </w:p>
    <w:p w14:paraId="5899DC94" w14:textId="77777777" w:rsidR="00BC1C07" w:rsidRPr="00BC1C07" w:rsidRDefault="00BC1C07" w:rsidP="00BC1C07">
      <w:pPr>
        <w:rPr>
          <w:i/>
        </w:rPr>
      </w:pPr>
    </w:p>
    <w:p w14:paraId="21AFEF09" w14:textId="77777777" w:rsidR="00073FAB" w:rsidRDefault="00087F61" w:rsidP="005A7020">
      <w:pPr>
        <w:pStyle w:val="Heading1"/>
      </w:pPr>
      <w:bookmarkStart w:id="523" w:name="_Ref529189712"/>
      <w:bookmarkStart w:id="524" w:name="_Toc534713806"/>
      <w:r>
        <w:lastRenderedPageBreak/>
        <w:t xml:space="preserve">Potential areas for improvement in </w:t>
      </w:r>
      <w:r w:rsidR="005A7020">
        <w:t>2019</w:t>
      </w:r>
      <w:bookmarkEnd w:id="523"/>
      <w:bookmarkEnd w:id="524"/>
      <w:r w:rsidR="005A7020">
        <w:t xml:space="preserve"> </w:t>
      </w:r>
    </w:p>
    <w:p w14:paraId="7571FADE" w14:textId="77777777" w:rsidR="002901DA" w:rsidRDefault="002901DA" w:rsidP="002901DA">
      <w:r>
        <w:t xml:space="preserve">As with any exercise that is staged over a </w:t>
      </w:r>
      <w:proofErr w:type="gramStart"/>
      <w:r>
        <w:t>three year</w:t>
      </w:r>
      <w:proofErr w:type="gramEnd"/>
      <w:r>
        <w:t xml:space="preserve"> period</w:t>
      </w:r>
      <w:r w:rsidR="00A67D3F">
        <w:t>,</w:t>
      </w:r>
      <w:r>
        <w:t xml:space="preserve"> it is important to reflect on how the process could potentially be improved in subsequent iterations. In the course of consultations with universities and in reviewing their supporting </w:t>
      </w:r>
      <w:proofErr w:type="gramStart"/>
      <w:r>
        <w:t>statements</w:t>
      </w:r>
      <w:proofErr w:type="gramEnd"/>
      <w:r>
        <w:t xml:space="preserve"> a number of potential areas for improvement were identified in the template and data collection process were identified. </w:t>
      </w:r>
    </w:p>
    <w:p w14:paraId="30B2053E" w14:textId="77777777" w:rsidR="002901DA" w:rsidRDefault="002901DA" w:rsidP="002901DA">
      <w:r>
        <w:t xml:space="preserve">Some of the key areas for improvement in subsequent years </w:t>
      </w:r>
      <w:proofErr w:type="gramStart"/>
      <w:r>
        <w:t>are discussed</w:t>
      </w:r>
      <w:proofErr w:type="gramEnd"/>
      <w:r>
        <w:t xml:space="preserve"> in further below. It should be noted that any changes to the process in subsequent years </w:t>
      </w:r>
      <w:proofErr w:type="gramStart"/>
      <w:r>
        <w:t>will</w:t>
      </w:r>
      <w:proofErr w:type="gramEnd"/>
      <w:r>
        <w:t xml:space="preserve"> need to be agreed to by the Universities Australia Reference Group and the Department. </w:t>
      </w:r>
    </w:p>
    <w:p w14:paraId="387FF942" w14:textId="77777777" w:rsidR="002901DA" w:rsidRDefault="002901DA" w:rsidP="002901DA">
      <w:pPr>
        <w:pStyle w:val="Heading2"/>
      </w:pPr>
      <w:bookmarkStart w:id="525" w:name="_Toc534713807"/>
      <w:r>
        <w:t xml:space="preserve">Potential changes to the </w:t>
      </w:r>
      <w:r w:rsidR="004E5402">
        <w:t>Transparent Costing Worksheet</w:t>
      </w:r>
      <w:bookmarkEnd w:id="525"/>
    </w:p>
    <w:p w14:paraId="208A3BBC" w14:textId="77777777" w:rsidR="002901DA" w:rsidRDefault="002901DA" w:rsidP="002901DA">
      <w:r>
        <w:t xml:space="preserve">A number of universities noted that the TCW used in the 2018 study represented a significant improvement on that used in the 2016 study. Nevertheless, a number of changes </w:t>
      </w:r>
      <w:proofErr w:type="gramStart"/>
      <w:r>
        <w:t>were suggested</w:t>
      </w:r>
      <w:proofErr w:type="gramEnd"/>
      <w:r>
        <w:t xml:space="preserve"> to the template by universities</w:t>
      </w:r>
      <w:r w:rsidR="00FE635C">
        <w:t xml:space="preserve"> as outlined in Table 4.1 below</w:t>
      </w:r>
      <w:r>
        <w:t xml:space="preserve">. </w:t>
      </w:r>
    </w:p>
    <w:p w14:paraId="72225E35" w14:textId="77777777" w:rsidR="002901DA" w:rsidRDefault="002901DA" w:rsidP="002901DA">
      <w:pPr>
        <w:pStyle w:val="CaptionTable"/>
      </w:pPr>
      <w:bookmarkStart w:id="526" w:name="_Ref532209428"/>
      <w:bookmarkStart w:id="527" w:name="_Toc534713881"/>
      <w:r>
        <w:t xml:space="preserve">: Suggested changes to the </w:t>
      </w:r>
      <w:r w:rsidR="004E5402">
        <w:t>Transparent Costing Worksheet</w:t>
      </w:r>
      <w:r>
        <w:t xml:space="preserve"> based on university feedback</w:t>
      </w:r>
      <w:bookmarkEnd w:id="526"/>
      <w:bookmarkEnd w:id="527"/>
    </w:p>
    <w:tbl>
      <w:tblPr>
        <w:tblStyle w:val="Deloittetable"/>
        <w:tblW w:w="8647" w:type="dxa"/>
        <w:tblLook w:val="04A0" w:firstRow="1" w:lastRow="0" w:firstColumn="1" w:lastColumn="0" w:noHBand="0" w:noVBand="1"/>
      </w:tblPr>
      <w:tblGrid>
        <w:gridCol w:w="2635"/>
        <w:gridCol w:w="6012"/>
      </w:tblGrid>
      <w:tr w:rsidR="002901DA" w14:paraId="3AFDFF3D" w14:textId="77777777" w:rsidTr="006118C2">
        <w:trPr>
          <w:cnfStyle w:val="100000000000" w:firstRow="1" w:lastRow="0" w:firstColumn="0" w:lastColumn="0" w:oddVBand="0" w:evenVBand="0" w:oddHBand="0" w:evenHBand="0" w:firstRowFirstColumn="0" w:firstRowLastColumn="0" w:lastRowFirstColumn="0" w:lastRowLastColumn="0"/>
        </w:trPr>
        <w:tc>
          <w:tcPr>
            <w:tcW w:w="2635" w:type="dxa"/>
          </w:tcPr>
          <w:p w14:paraId="2B84F8F6" w14:textId="77777777" w:rsidR="002901DA" w:rsidRPr="00A11130" w:rsidRDefault="002901DA" w:rsidP="00CA3169">
            <w:pPr>
              <w:rPr>
                <w:b/>
              </w:rPr>
            </w:pPr>
            <w:r w:rsidRPr="00A11130">
              <w:rPr>
                <w:b/>
              </w:rPr>
              <w:t>Suggested change</w:t>
            </w:r>
          </w:p>
        </w:tc>
        <w:tc>
          <w:tcPr>
            <w:tcW w:w="6012" w:type="dxa"/>
          </w:tcPr>
          <w:p w14:paraId="274FC9D0" w14:textId="77777777" w:rsidR="002901DA" w:rsidRPr="00A11130" w:rsidRDefault="002901DA" w:rsidP="00CA3169">
            <w:pPr>
              <w:rPr>
                <w:b/>
              </w:rPr>
            </w:pPr>
            <w:r w:rsidRPr="00A11130">
              <w:rPr>
                <w:b/>
              </w:rPr>
              <w:t>Reason</w:t>
            </w:r>
          </w:p>
        </w:tc>
      </w:tr>
      <w:tr w:rsidR="002901DA" w14:paraId="4CACE3CF" w14:textId="77777777" w:rsidTr="006118C2">
        <w:tc>
          <w:tcPr>
            <w:tcW w:w="2635" w:type="dxa"/>
          </w:tcPr>
          <w:p w14:paraId="3D35965C" w14:textId="77777777" w:rsidR="002901DA" w:rsidRDefault="002901DA" w:rsidP="00CA3169">
            <w:r>
              <w:t>Adding a universities HEIMS submission used to calculate the pre-filled EFTSL data to the Transparent Costing Worksheet</w:t>
            </w:r>
          </w:p>
        </w:tc>
        <w:tc>
          <w:tcPr>
            <w:tcW w:w="6012" w:type="dxa"/>
          </w:tcPr>
          <w:p w14:paraId="4BD62109" w14:textId="77777777" w:rsidR="002901DA" w:rsidRDefault="002901DA" w:rsidP="00CA3169">
            <w:pPr>
              <w:pStyle w:val="TabletextLeft"/>
            </w:pPr>
            <w:r>
              <w:t xml:space="preserve">A </w:t>
            </w:r>
            <w:r w:rsidRPr="00EE5222">
              <w:t>number of universities had difficult</w:t>
            </w:r>
            <w:r w:rsidR="009548BA">
              <w:t>ies reconciling EFTSL data</w:t>
            </w:r>
            <w:r w:rsidRPr="00EE5222">
              <w:t xml:space="preserve"> provided to the Department </w:t>
            </w:r>
            <w:r w:rsidRPr="00A91F61">
              <w:t xml:space="preserve">with internal data and wished to know the </w:t>
            </w:r>
            <w:r w:rsidR="009548BA">
              <w:t xml:space="preserve">date </w:t>
            </w:r>
            <w:r w:rsidRPr="00A91F61">
              <w:t xml:space="preserve">at which they had provided EFTSL data to the </w:t>
            </w:r>
            <w:r w:rsidRPr="00A11130">
              <w:t>Department given that these figures can fluctuate throughout the year. They suggested that including the data submitted as part of the Higher Education Information Management System (HEIMS) submission alongside the template would make it easier to reconcile the pre-filled EFTSL data with internal data sources.</w:t>
            </w:r>
            <w:r>
              <w:t xml:space="preserve"> </w:t>
            </w:r>
          </w:p>
          <w:p w14:paraId="70BE3966" w14:textId="77777777" w:rsidR="002901DA" w:rsidRDefault="002901DA" w:rsidP="00CA3169">
            <w:pPr>
              <w:pStyle w:val="TabletextLeft"/>
            </w:pPr>
          </w:p>
        </w:tc>
      </w:tr>
      <w:tr w:rsidR="002901DA" w14:paraId="2F237546" w14:textId="77777777" w:rsidTr="006118C2">
        <w:tc>
          <w:tcPr>
            <w:tcW w:w="2635" w:type="dxa"/>
          </w:tcPr>
          <w:p w14:paraId="1FAC4974" w14:textId="77777777" w:rsidR="002901DA" w:rsidRDefault="002901DA" w:rsidP="00CA3169">
            <w:r>
              <w:t>Remove the separate line item for the cost of placements</w:t>
            </w:r>
          </w:p>
        </w:tc>
        <w:tc>
          <w:tcPr>
            <w:tcW w:w="6012" w:type="dxa"/>
          </w:tcPr>
          <w:p w14:paraId="2F8AA508" w14:textId="77777777" w:rsidR="009548BA" w:rsidRDefault="002901DA" w:rsidP="00CA3169">
            <w:pPr>
              <w:pStyle w:val="TabletextLeft"/>
            </w:pPr>
            <w:proofErr w:type="gramStart"/>
            <w:r>
              <w:t>As a result</w:t>
            </w:r>
            <w:proofErr w:type="gramEnd"/>
            <w:r>
              <w:t xml:space="preserve"> of feedback received at the Universities Australia forum about the value of a separate line item for ‘labs, practicums and fieldwork’ this line item was changes to focus on the ‘cost of placements’. </w:t>
            </w:r>
          </w:p>
          <w:p w14:paraId="74E9FF17" w14:textId="77777777" w:rsidR="009548BA" w:rsidRDefault="009548BA" w:rsidP="00CA3169">
            <w:pPr>
              <w:pStyle w:val="TabletextLeft"/>
            </w:pPr>
          </w:p>
          <w:p w14:paraId="4FEC17BB" w14:textId="77777777" w:rsidR="009548BA" w:rsidRDefault="002901DA" w:rsidP="00CA3169">
            <w:pPr>
              <w:pStyle w:val="TabletextLeft"/>
            </w:pPr>
            <w:r>
              <w:t xml:space="preserve">However, a number of universities suggested in practice it was difficult to identify the costs of placements and in cases where the cost of placements could not be easily identified in university accounting systems these costs were likely to be included under ‘other non-staff expenses’.  </w:t>
            </w:r>
          </w:p>
          <w:p w14:paraId="2F573CDF" w14:textId="77777777" w:rsidR="009548BA" w:rsidRDefault="009548BA" w:rsidP="00CA3169">
            <w:pPr>
              <w:pStyle w:val="TabletextLeft"/>
            </w:pPr>
          </w:p>
          <w:p w14:paraId="40C70BFB" w14:textId="77777777" w:rsidR="002901DA" w:rsidRDefault="002901DA" w:rsidP="00CA3169">
            <w:pPr>
              <w:pStyle w:val="TabletextLeft"/>
            </w:pPr>
            <w:r>
              <w:t xml:space="preserve">As such, any analysis of this line item may not capture the full costs of placements for all universities. Some universities suggested that this line item </w:t>
            </w:r>
            <w:proofErr w:type="gramStart"/>
            <w:r>
              <w:t>could be removed</w:t>
            </w:r>
            <w:proofErr w:type="gramEnd"/>
            <w:r>
              <w:t xml:space="preserve"> with the cost of placements included in other non-staff expenses. </w:t>
            </w:r>
          </w:p>
        </w:tc>
      </w:tr>
      <w:tr w:rsidR="002901DA" w14:paraId="64386D62" w14:textId="77777777" w:rsidTr="006118C2">
        <w:tc>
          <w:tcPr>
            <w:tcW w:w="2635" w:type="dxa"/>
          </w:tcPr>
          <w:p w14:paraId="7E56D724" w14:textId="77777777" w:rsidR="002901DA" w:rsidRDefault="002901DA" w:rsidP="00CA3169">
            <w:r>
              <w:t>Remove requirement to include casual academic staff costs</w:t>
            </w:r>
          </w:p>
        </w:tc>
        <w:tc>
          <w:tcPr>
            <w:tcW w:w="6012" w:type="dxa"/>
          </w:tcPr>
          <w:p w14:paraId="648882AD" w14:textId="77777777" w:rsidR="009548BA" w:rsidRDefault="002901DA" w:rsidP="00CA3169">
            <w:pPr>
              <w:pStyle w:val="TabletextLeft"/>
            </w:pPr>
            <w:r>
              <w:t xml:space="preserve">Some universities noted that they had difficulties in estimating costs for casual academic staff as no distinction between casual and permanent staff </w:t>
            </w:r>
            <w:proofErr w:type="gramStart"/>
            <w:r>
              <w:t>was made</w:t>
            </w:r>
            <w:proofErr w:type="gramEnd"/>
            <w:r>
              <w:t xml:space="preserve"> in internal cost allocation systems. As a result, these universities had to estimate casual academic staff costs separately and noted that there was a degree of imprecision in these estimates. Universities also noted that casual staff were </w:t>
            </w:r>
            <w:proofErr w:type="gramStart"/>
            <w:r>
              <w:t>either on contracts for teaching or research but not</w:t>
            </w:r>
            <w:proofErr w:type="gramEnd"/>
            <w:r>
              <w:t xml:space="preserve"> both.</w:t>
            </w:r>
          </w:p>
          <w:p w14:paraId="640A17C3" w14:textId="77777777" w:rsidR="002901DA" w:rsidRDefault="002901DA" w:rsidP="00CA3169">
            <w:pPr>
              <w:pStyle w:val="TabletextLeft"/>
            </w:pPr>
            <w:r>
              <w:t xml:space="preserve"> </w:t>
            </w:r>
          </w:p>
          <w:p w14:paraId="723E89C6" w14:textId="77777777" w:rsidR="002901DA" w:rsidRDefault="002901DA" w:rsidP="00CA3169">
            <w:pPr>
              <w:pStyle w:val="TabletextLeft"/>
            </w:pPr>
            <w:r>
              <w:t xml:space="preserve">However, a decision to aggregate the wages and salaries of casual academic staff to total academic staff costs in future data exercises </w:t>
            </w:r>
            <w:r>
              <w:lastRenderedPageBreak/>
              <w:t xml:space="preserve">would limit the ability to analyse changes in casual academic staff costs over time which would need to be weighed against potential inaccuracies in the estimation of these costs. </w:t>
            </w:r>
          </w:p>
        </w:tc>
      </w:tr>
      <w:tr w:rsidR="002901DA" w14:paraId="040EC105" w14:textId="77777777" w:rsidTr="006118C2">
        <w:tc>
          <w:tcPr>
            <w:tcW w:w="2635" w:type="dxa"/>
          </w:tcPr>
          <w:p w14:paraId="63C93D90" w14:textId="275D8428" w:rsidR="002901DA" w:rsidRDefault="002901DA" w:rsidP="00CA3169">
            <w:r>
              <w:lastRenderedPageBreak/>
              <w:t>Include a 6</w:t>
            </w:r>
            <w:r w:rsidR="002D3041">
              <w:t>-</w:t>
            </w:r>
            <w:r>
              <w:t>digit FOE row in the TCW to allow look ups</w:t>
            </w:r>
          </w:p>
        </w:tc>
        <w:tc>
          <w:tcPr>
            <w:tcW w:w="6012" w:type="dxa"/>
          </w:tcPr>
          <w:p w14:paraId="3A4BABE8" w14:textId="77777777" w:rsidR="002901DA" w:rsidRDefault="002901DA" w:rsidP="00CA3169">
            <w:r>
              <w:t xml:space="preserve">The FOEs in the TCW are currently a mix of two digit, four digit and six digit categories. Some universities indicated that including a list of six digit FOEs within each of the FOE categories in the TCW would improve their ability to complete the data collection exercise. </w:t>
            </w:r>
          </w:p>
        </w:tc>
      </w:tr>
      <w:tr w:rsidR="002901DA" w14:paraId="527FED32" w14:textId="77777777" w:rsidTr="006118C2">
        <w:tc>
          <w:tcPr>
            <w:tcW w:w="2635" w:type="dxa"/>
          </w:tcPr>
          <w:p w14:paraId="450F9935" w14:textId="77777777" w:rsidR="002901DA" w:rsidRDefault="002901DA" w:rsidP="00CA3169">
            <w:r>
              <w:t>Inclusion of ‘in-kind’ costs</w:t>
            </w:r>
          </w:p>
        </w:tc>
        <w:tc>
          <w:tcPr>
            <w:tcW w:w="6012" w:type="dxa"/>
          </w:tcPr>
          <w:p w14:paraId="02756F88" w14:textId="078171D6" w:rsidR="002901DA" w:rsidRDefault="002901DA" w:rsidP="00CA3169">
            <w:r>
              <w:t xml:space="preserve">As discussed in </w:t>
            </w:r>
            <w:r w:rsidR="00E818BB">
              <w:t>S</w:t>
            </w:r>
            <w:r>
              <w:t>ection</w:t>
            </w:r>
            <w:r w:rsidR="00E818BB">
              <w:t xml:space="preserve"> </w:t>
            </w:r>
            <w:r w:rsidR="00E818BB">
              <w:fldChar w:fldCharType="begin"/>
            </w:r>
            <w:r w:rsidR="00E818BB">
              <w:instrText xml:space="preserve"> REF _Ref534706439 \r \h </w:instrText>
            </w:r>
            <w:r w:rsidR="00E818BB">
              <w:fldChar w:fldCharType="separate"/>
            </w:r>
            <w:r w:rsidR="00F47C96">
              <w:t>2.5</w:t>
            </w:r>
            <w:r w:rsidR="00E818BB">
              <w:fldChar w:fldCharType="end"/>
            </w:r>
            <w:r>
              <w:t xml:space="preserve">, a number of universities noted that they did not have ‘in-kind’ costs or were unable to quantify them in the time available. </w:t>
            </w:r>
          </w:p>
          <w:p w14:paraId="6E446FBF" w14:textId="77777777" w:rsidR="002901DA" w:rsidRDefault="002901DA" w:rsidP="00CA3169">
            <w:r>
              <w:t xml:space="preserve">Given that a number of universities were unable </w:t>
            </w:r>
            <w:proofErr w:type="gramStart"/>
            <w:r>
              <w:t>to robustly quantify</w:t>
            </w:r>
            <w:proofErr w:type="gramEnd"/>
            <w:r>
              <w:t xml:space="preserve"> ‘in-kind’ costs, some consideration could be given to the value of including these costs in future iterations.  </w:t>
            </w:r>
          </w:p>
        </w:tc>
      </w:tr>
    </w:tbl>
    <w:p w14:paraId="10BB7CD8" w14:textId="77777777" w:rsidR="002901DA" w:rsidRDefault="002901DA" w:rsidP="002901DA"/>
    <w:p w14:paraId="03B1309B" w14:textId="63C23EB8" w:rsidR="002901DA" w:rsidRDefault="002901DA" w:rsidP="002901DA">
      <w:r>
        <w:t xml:space="preserve">It should </w:t>
      </w:r>
      <w:r w:rsidR="00FE635C">
        <w:t xml:space="preserve">be noted that </w:t>
      </w:r>
      <w:r>
        <w:t>there are important trade</w:t>
      </w:r>
      <w:r w:rsidR="002D3041">
        <w:t>-</w:t>
      </w:r>
      <w:r>
        <w:t>offs involved in implementing some of the changes suggested in</w:t>
      </w:r>
      <w:r w:rsidR="009548BA">
        <w:t xml:space="preserve"> </w:t>
      </w:r>
      <w:r w:rsidR="009548BA">
        <w:fldChar w:fldCharType="begin"/>
      </w:r>
      <w:r w:rsidR="009548BA">
        <w:instrText xml:space="preserve"> REF _Ref532209428 \r \h </w:instrText>
      </w:r>
      <w:r w:rsidR="009548BA">
        <w:fldChar w:fldCharType="separate"/>
      </w:r>
      <w:r w:rsidR="00F47C96">
        <w:t>Table 4.1</w:t>
      </w:r>
      <w:r w:rsidR="009548BA">
        <w:fldChar w:fldCharType="end"/>
      </w:r>
      <w:r>
        <w:t xml:space="preserve">. In particular, a number of universities have noted the value of keeping consistency in the template over time, although the changes suggested above are relatively minor. The decision to implement any changes in future exercises will need to </w:t>
      </w:r>
      <w:proofErr w:type="gramStart"/>
      <w:r>
        <w:t>be considered</w:t>
      </w:r>
      <w:proofErr w:type="gramEnd"/>
      <w:r>
        <w:t xml:space="preserve"> in conjunction with the Department and Universities Australia Reference Group. </w:t>
      </w:r>
    </w:p>
    <w:p w14:paraId="3FA25E62" w14:textId="5D34ED3D" w:rsidR="002901DA" w:rsidRDefault="002901DA" w:rsidP="002901DA">
      <w:r>
        <w:t>There was also some confusion for universities in relation to approach to third party and partnership costs in the TCW. In particular, some universities initially included partnership costs included in their financial accounts below the line in the separate line item</w:t>
      </w:r>
      <w:r w:rsidR="002D3041">
        <w:t>,</w:t>
      </w:r>
      <w:r>
        <w:t xml:space="preserve"> which was intended to capture costs to the partner not included in </w:t>
      </w:r>
      <w:proofErr w:type="gramStart"/>
      <w:r>
        <w:t>a universities</w:t>
      </w:r>
      <w:proofErr w:type="gramEnd"/>
      <w:r>
        <w:t xml:space="preserve">’ financial accounts. </w:t>
      </w:r>
      <w:r w:rsidR="00FE635C">
        <w:t xml:space="preserve">While the process of consultations and subsequent follow-ups with universities ensured the costs </w:t>
      </w:r>
      <w:proofErr w:type="gramStart"/>
      <w:r w:rsidR="00FE635C">
        <w:t>were recorded</w:t>
      </w:r>
      <w:proofErr w:type="gramEnd"/>
      <w:r w:rsidR="00FE635C">
        <w:t xml:space="preserve"> consistently across the sector, </w:t>
      </w:r>
      <w:r>
        <w:t xml:space="preserve">greater clarity in the TCW could potentially assist universities in relation to third party and partnership costs.  </w:t>
      </w:r>
    </w:p>
    <w:p w14:paraId="530BB8A8" w14:textId="77777777" w:rsidR="002901DA" w:rsidRDefault="002901DA" w:rsidP="002901DA">
      <w:pPr>
        <w:pStyle w:val="Heading2"/>
      </w:pPr>
      <w:bookmarkStart w:id="528" w:name="_Toc534713808"/>
      <w:r>
        <w:t>Potential changes to the data collection process</w:t>
      </w:r>
      <w:bookmarkEnd w:id="528"/>
    </w:p>
    <w:p w14:paraId="03B7E3D2" w14:textId="77777777" w:rsidR="000918F8" w:rsidRPr="003879BC" w:rsidRDefault="002901DA" w:rsidP="00541F72">
      <w:r>
        <w:t xml:space="preserve">In addition to suggesting changes to the TCW itself, universities also reflected on the data collection process itself. In particular, a number of universities raised concerns about the relatively short period to complete the TCW in 2019 and noted that the timing conflicted with the annual budget cycle. They noted that changing the timing to June as planned for the 2019 and 2020 exercises would be more conducive to university budget processes and provide more time if the TCW </w:t>
      </w:r>
      <w:proofErr w:type="gramStart"/>
      <w:r>
        <w:t>was provided</w:t>
      </w:r>
      <w:proofErr w:type="gramEnd"/>
      <w:r>
        <w:t xml:space="preserve"> to universities in February. </w:t>
      </w:r>
    </w:p>
    <w:p w14:paraId="40AB9A26" w14:textId="77777777" w:rsidR="00477E68" w:rsidRDefault="005A7020" w:rsidP="009E1EFA">
      <w:pPr>
        <w:pStyle w:val="Appendixhead1"/>
      </w:pPr>
      <w:r>
        <w:lastRenderedPageBreak/>
        <w:t xml:space="preserve">: </w:t>
      </w:r>
      <w:r w:rsidR="00CF2F64">
        <w:t>Transparent Costing Worksheet</w:t>
      </w:r>
    </w:p>
    <w:p w14:paraId="124579C0" w14:textId="77777777" w:rsidR="009548BA" w:rsidRPr="006712D0" w:rsidRDefault="009548BA" w:rsidP="006118C2">
      <w:r>
        <w:t>[</w:t>
      </w:r>
      <w:proofErr w:type="gramStart"/>
      <w:r>
        <w:t>see</w:t>
      </w:r>
      <w:proofErr w:type="gramEnd"/>
      <w:r>
        <w:t xml:space="preserve"> over page] </w:t>
      </w:r>
    </w:p>
    <w:p w14:paraId="0E5C7B57" w14:textId="77777777" w:rsidR="00CF2F64" w:rsidRDefault="00CF2F64" w:rsidP="00477E68">
      <w:pPr>
        <w:sectPr w:rsidR="00CF2F64" w:rsidSect="00201BEB">
          <w:headerReference w:type="default" r:id="rId55"/>
          <w:pgSz w:w="11906" w:h="16838" w:code="9"/>
          <w:pgMar w:top="1985" w:right="1416" w:bottom="1134" w:left="1418" w:header="680" w:footer="425" w:gutter="0"/>
          <w:cols w:space="284"/>
          <w:docGrid w:linePitch="360"/>
        </w:sectPr>
      </w:pPr>
    </w:p>
    <w:p w14:paraId="0CF4821D" w14:textId="77777777" w:rsidR="00CF2F64" w:rsidRDefault="00E97DE5" w:rsidP="00477E68">
      <w:r w:rsidRPr="00E97DE5">
        <w:rPr>
          <w:noProof/>
          <w:lang w:eastAsia="en-AU"/>
        </w:rPr>
        <w:lastRenderedPageBreak/>
        <w:drawing>
          <wp:inline distT="0" distB="0" distL="0" distR="0" wp14:anchorId="4D0A43D4" wp14:editId="1DD9055E">
            <wp:extent cx="10170795" cy="5911271"/>
            <wp:effectExtent l="0" t="0" r="190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170795" cy="5911271"/>
                    </a:xfrm>
                    <a:prstGeom prst="rect">
                      <a:avLst/>
                    </a:prstGeom>
                    <a:noFill/>
                    <a:ln>
                      <a:noFill/>
                    </a:ln>
                  </pic:spPr>
                </pic:pic>
              </a:graphicData>
            </a:graphic>
          </wp:inline>
        </w:drawing>
      </w:r>
    </w:p>
    <w:p w14:paraId="1B304D48" w14:textId="77777777" w:rsidR="00E97DE5" w:rsidRDefault="00E97DE5" w:rsidP="00477E68">
      <w:r w:rsidRPr="00E97DE5">
        <w:rPr>
          <w:noProof/>
          <w:lang w:eastAsia="en-AU"/>
        </w:rPr>
        <w:lastRenderedPageBreak/>
        <w:drawing>
          <wp:inline distT="0" distB="0" distL="0" distR="0" wp14:anchorId="29AFA976" wp14:editId="5304E431">
            <wp:extent cx="10170795" cy="2370963"/>
            <wp:effectExtent l="0" t="0" r="190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170795" cy="2370963"/>
                    </a:xfrm>
                    <a:prstGeom prst="rect">
                      <a:avLst/>
                    </a:prstGeom>
                    <a:noFill/>
                    <a:ln>
                      <a:noFill/>
                    </a:ln>
                  </pic:spPr>
                </pic:pic>
              </a:graphicData>
            </a:graphic>
          </wp:inline>
        </w:drawing>
      </w:r>
    </w:p>
    <w:p w14:paraId="27118638" w14:textId="77777777" w:rsidR="00E97DE5" w:rsidRDefault="00E97DE5" w:rsidP="00477E68"/>
    <w:p w14:paraId="6656DB9F" w14:textId="77777777" w:rsidR="00E97DE5" w:rsidRDefault="00E97DE5" w:rsidP="00477E68">
      <w:pPr>
        <w:sectPr w:rsidR="00E97DE5" w:rsidSect="006118C2">
          <w:pgSz w:w="16838" w:h="11906" w:orient="landscape" w:code="9"/>
          <w:pgMar w:top="680" w:right="395" w:bottom="4281" w:left="426" w:header="680" w:footer="425" w:gutter="0"/>
          <w:cols w:space="284"/>
          <w:docGrid w:linePitch="360"/>
        </w:sectPr>
      </w:pPr>
    </w:p>
    <w:p w14:paraId="2D345554" w14:textId="77777777" w:rsidR="00492785" w:rsidRDefault="00492785" w:rsidP="00505EC5">
      <w:pPr>
        <w:pStyle w:val="Appendixhead1"/>
      </w:pPr>
      <w:bookmarkStart w:id="529" w:name="_Toc521918510"/>
      <w:r>
        <w:lastRenderedPageBreak/>
        <w:t>: Data collection guidelines</w:t>
      </w:r>
    </w:p>
    <w:p w14:paraId="4BBA46F0" w14:textId="77777777" w:rsidR="00492785" w:rsidRDefault="00492785" w:rsidP="00146B33">
      <w:pPr>
        <w:pStyle w:val="Appendixhead2"/>
      </w:pPr>
      <w:r>
        <w:t>Definitions</w:t>
      </w:r>
      <w:bookmarkEnd w:id="529"/>
    </w:p>
    <w:tbl>
      <w:tblPr>
        <w:tblStyle w:val="Deloittetable"/>
        <w:tblW w:w="8505" w:type="dxa"/>
        <w:tblLayout w:type="fixed"/>
        <w:tblLook w:val="04A0" w:firstRow="1" w:lastRow="0" w:firstColumn="1" w:lastColumn="0" w:noHBand="0" w:noVBand="1"/>
      </w:tblPr>
      <w:tblGrid>
        <w:gridCol w:w="2101"/>
        <w:gridCol w:w="6404"/>
      </w:tblGrid>
      <w:tr w:rsidR="00492785" w:rsidRPr="004B4D01" w14:paraId="67F15E31" w14:textId="77777777" w:rsidTr="00146B33">
        <w:trPr>
          <w:cnfStyle w:val="100000000000" w:firstRow="1" w:lastRow="0" w:firstColumn="0" w:lastColumn="0" w:oddVBand="0" w:evenVBand="0" w:oddHBand="0" w:evenHBand="0" w:firstRowFirstColumn="0" w:firstRowLastColumn="0" w:lastRowFirstColumn="0" w:lastRowLastColumn="0"/>
          <w:tblHeader/>
        </w:trPr>
        <w:tc>
          <w:tcPr>
            <w:tcW w:w="2694" w:type="dxa"/>
          </w:tcPr>
          <w:p w14:paraId="444053B5" w14:textId="77777777" w:rsidR="00492785" w:rsidRPr="007F2C34" w:rsidRDefault="00492785" w:rsidP="00101F62">
            <w:pPr>
              <w:pStyle w:val="TabletextLeft"/>
              <w:rPr>
                <w:b/>
              </w:rPr>
            </w:pPr>
            <w:r w:rsidRPr="007F2C34">
              <w:rPr>
                <w:b/>
              </w:rPr>
              <w:t>Term</w:t>
            </w:r>
          </w:p>
        </w:tc>
        <w:tc>
          <w:tcPr>
            <w:tcW w:w="8221" w:type="dxa"/>
          </w:tcPr>
          <w:p w14:paraId="72D81D85" w14:textId="77777777" w:rsidR="00492785" w:rsidRPr="007F2C34" w:rsidRDefault="00492785" w:rsidP="00101F62">
            <w:pPr>
              <w:pStyle w:val="TabletextLeft"/>
              <w:rPr>
                <w:b/>
              </w:rPr>
            </w:pPr>
            <w:r w:rsidRPr="007F2C34">
              <w:rPr>
                <w:b/>
              </w:rPr>
              <w:t xml:space="preserve">Description </w:t>
            </w:r>
          </w:p>
        </w:tc>
      </w:tr>
      <w:tr w:rsidR="00492785" w:rsidRPr="004B4D01" w14:paraId="5567FE8D" w14:textId="77777777" w:rsidTr="00376F97">
        <w:tc>
          <w:tcPr>
            <w:tcW w:w="2694" w:type="dxa"/>
          </w:tcPr>
          <w:p w14:paraId="31B766C7" w14:textId="77777777" w:rsidR="00492785" w:rsidRPr="005D550E" w:rsidRDefault="00492785" w:rsidP="00101F62">
            <w:pPr>
              <w:pStyle w:val="TabletextLeft"/>
            </w:pPr>
            <w:r>
              <w:t xml:space="preserve">Field of education </w:t>
            </w:r>
          </w:p>
        </w:tc>
        <w:tc>
          <w:tcPr>
            <w:tcW w:w="8221" w:type="dxa"/>
          </w:tcPr>
          <w:p w14:paraId="63EEA620" w14:textId="77777777" w:rsidR="00492785" w:rsidRPr="005D550E" w:rsidRDefault="00492785" w:rsidP="00101F62">
            <w:pPr>
              <w:pStyle w:val="TabletextLeft"/>
            </w:pPr>
            <w:r>
              <w:t xml:space="preserve">Fields of education </w:t>
            </w:r>
            <w:proofErr w:type="gramStart"/>
            <w:r w:rsidRPr="007F2C34">
              <w:t>are defined</w:t>
            </w:r>
            <w:proofErr w:type="gramEnd"/>
            <w:r w:rsidRPr="007F2C34">
              <w:t xml:space="preserve"> </w:t>
            </w:r>
            <w:r>
              <w:t xml:space="preserve">using the </w:t>
            </w:r>
            <w:r w:rsidRPr="007F2C34">
              <w:t>Australian Standard Classification of Education (ASCED).</w:t>
            </w:r>
            <w:r>
              <w:t xml:space="preserve"> The </w:t>
            </w:r>
            <w:proofErr w:type="gramStart"/>
            <w:r>
              <w:t>specific categorisation of fields has been determined by the Department</w:t>
            </w:r>
            <w:proofErr w:type="gramEnd"/>
            <w:r>
              <w:t xml:space="preserve">. </w:t>
            </w:r>
          </w:p>
        </w:tc>
      </w:tr>
      <w:tr w:rsidR="00492785" w:rsidRPr="004B4D01" w14:paraId="5E9D52EF" w14:textId="77777777" w:rsidTr="00376F97">
        <w:tc>
          <w:tcPr>
            <w:tcW w:w="2694" w:type="dxa"/>
          </w:tcPr>
          <w:p w14:paraId="119D5AC4" w14:textId="77777777" w:rsidR="00492785" w:rsidRPr="005D550E" w:rsidRDefault="00492785" w:rsidP="00101F62">
            <w:pPr>
              <w:pStyle w:val="TabletextLeft"/>
            </w:pPr>
            <w:r w:rsidRPr="00F43493">
              <w:t xml:space="preserve">Sub-bachelor </w:t>
            </w:r>
          </w:p>
        </w:tc>
        <w:tc>
          <w:tcPr>
            <w:tcW w:w="8221" w:type="dxa"/>
          </w:tcPr>
          <w:p w14:paraId="5CAFC820" w14:textId="77777777" w:rsidR="00492785" w:rsidRPr="005D550E" w:rsidRDefault="00492785" w:rsidP="00101F62">
            <w:pPr>
              <w:pStyle w:val="TabletextLeft"/>
            </w:pPr>
            <w:r w:rsidRPr="004C3617">
              <w:t>Sub-bachelor covers all courses delivered at the diploma, advanced diploma</w:t>
            </w:r>
            <w:r>
              <w:t xml:space="preserve"> and</w:t>
            </w:r>
            <w:r w:rsidRPr="004C3617">
              <w:t xml:space="preserve"> associate degree level.</w:t>
            </w:r>
            <w:r>
              <w:t xml:space="preserve"> </w:t>
            </w:r>
            <w:r w:rsidRPr="00797FAB">
              <w:t>Excludes non-award and enabling courses.</w:t>
            </w:r>
          </w:p>
        </w:tc>
      </w:tr>
      <w:tr w:rsidR="00492785" w:rsidRPr="004B4D01" w14:paraId="719C95B9" w14:textId="77777777" w:rsidTr="00376F97">
        <w:tc>
          <w:tcPr>
            <w:tcW w:w="2694" w:type="dxa"/>
          </w:tcPr>
          <w:p w14:paraId="54837676" w14:textId="77777777" w:rsidR="00492785" w:rsidRPr="005D550E" w:rsidRDefault="00492785" w:rsidP="00101F62">
            <w:pPr>
              <w:pStyle w:val="TabletextLeft"/>
            </w:pPr>
            <w:r w:rsidRPr="00F43493">
              <w:t>Bachelor</w:t>
            </w:r>
          </w:p>
        </w:tc>
        <w:tc>
          <w:tcPr>
            <w:tcW w:w="8221" w:type="dxa"/>
          </w:tcPr>
          <w:p w14:paraId="52646C53" w14:textId="77777777" w:rsidR="00492785" w:rsidRPr="005D550E" w:rsidRDefault="00492785" w:rsidP="00101F62">
            <w:pPr>
              <w:pStyle w:val="TabletextLeft"/>
            </w:pPr>
            <w:r w:rsidRPr="004C3617">
              <w:t xml:space="preserve">Bachelor covers all courses delivered at a Bachelor degree level. This includes Bachelor's Pass, Bachelor's Honours and Bachelor's Graduate Entry. </w:t>
            </w:r>
            <w:r w:rsidRPr="00797FAB">
              <w:t xml:space="preserve">Excludes non-award and enabling courses. </w:t>
            </w:r>
          </w:p>
        </w:tc>
      </w:tr>
      <w:tr w:rsidR="00492785" w:rsidRPr="004B4D01" w14:paraId="63DE1424" w14:textId="77777777" w:rsidTr="00376F97">
        <w:tc>
          <w:tcPr>
            <w:tcW w:w="2694" w:type="dxa"/>
          </w:tcPr>
          <w:p w14:paraId="1F28D7CA" w14:textId="77777777" w:rsidR="00492785" w:rsidRPr="005D550E" w:rsidRDefault="00492785" w:rsidP="00101F62">
            <w:pPr>
              <w:pStyle w:val="TabletextLeft"/>
            </w:pPr>
            <w:r w:rsidRPr="00F43493">
              <w:t>Postgraduate coursework</w:t>
            </w:r>
          </w:p>
        </w:tc>
        <w:tc>
          <w:tcPr>
            <w:tcW w:w="8221" w:type="dxa"/>
          </w:tcPr>
          <w:p w14:paraId="7CEB2457" w14:textId="77777777" w:rsidR="00492785" w:rsidRPr="005D550E" w:rsidRDefault="00492785" w:rsidP="00101F62">
            <w:pPr>
              <w:pStyle w:val="TabletextLeft"/>
            </w:pPr>
            <w:r w:rsidRPr="004C3617">
              <w:t>Postgraduate coursework includes all postgraduate degrees that are delivered predominantly through coursework</w:t>
            </w:r>
            <w:r>
              <w:t xml:space="preserve"> (e.g. those courses for which research makes up less than two thirds of the student load as per the </w:t>
            </w:r>
            <w:r w:rsidRPr="009434EF">
              <w:t>Commonwealth Scholarships Guidelines (Research) 2017</w:t>
            </w:r>
            <w:r>
              <w:t>)</w:t>
            </w:r>
            <w:r w:rsidRPr="004C3617">
              <w:t xml:space="preserve">, including Masters and coursework PhDs. Where a coursework postgraduate degree includes a research component, this should be included as postgraduate coursework. </w:t>
            </w:r>
            <w:r w:rsidRPr="00797FAB">
              <w:t xml:space="preserve">Excludes non-award and enabling courses. </w:t>
            </w:r>
          </w:p>
        </w:tc>
      </w:tr>
      <w:tr w:rsidR="00492785" w:rsidRPr="004B4D01" w14:paraId="4982F244" w14:textId="77777777" w:rsidTr="00376F97">
        <w:tc>
          <w:tcPr>
            <w:tcW w:w="2694" w:type="dxa"/>
          </w:tcPr>
          <w:p w14:paraId="59B790B4" w14:textId="77777777" w:rsidR="00492785" w:rsidRPr="005D550E" w:rsidRDefault="00492785" w:rsidP="00101F62">
            <w:pPr>
              <w:pStyle w:val="TabletextLeft"/>
            </w:pPr>
            <w:r w:rsidRPr="00F43493">
              <w:t>Academic staff</w:t>
            </w:r>
          </w:p>
        </w:tc>
        <w:tc>
          <w:tcPr>
            <w:tcW w:w="8221" w:type="dxa"/>
          </w:tcPr>
          <w:p w14:paraId="72372B3F" w14:textId="77777777" w:rsidR="00492785" w:rsidRPr="005D550E" w:rsidRDefault="00492785" w:rsidP="00101F62">
            <w:pPr>
              <w:pStyle w:val="TabletextLeft"/>
            </w:pPr>
            <w:r w:rsidRPr="004C3617">
              <w:t xml:space="preserve">Members of staff, whether full-time or part-time, who are employed wholly or principally in teaching and/or research or to whom such persons are responsible in relation to their teaching or research. </w:t>
            </w:r>
            <w:r>
              <w:t xml:space="preserve">This includes staff who are employed wholly or principally to assist other academic staff in teaching and/or research activities </w:t>
            </w:r>
            <w:r w:rsidRPr="004C3617">
              <w:t>(e.g. t</w:t>
            </w:r>
            <w:r>
              <w:t>utors</w:t>
            </w:r>
            <w:r w:rsidRPr="004C3617">
              <w:t xml:space="preserve">, research assistants, etc.). </w:t>
            </w:r>
            <w:r>
              <w:t>This</w:t>
            </w:r>
            <w:r w:rsidRPr="004C3617">
              <w:t xml:space="preserve"> excludes casual academic staff.</w:t>
            </w:r>
          </w:p>
        </w:tc>
      </w:tr>
      <w:tr w:rsidR="00492785" w:rsidRPr="004B4D01" w14:paraId="4EE53D3D" w14:textId="77777777" w:rsidTr="00376F97">
        <w:tc>
          <w:tcPr>
            <w:tcW w:w="2694" w:type="dxa"/>
          </w:tcPr>
          <w:p w14:paraId="3F950793" w14:textId="77777777" w:rsidR="00492785" w:rsidRPr="005D550E" w:rsidRDefault="00492785" w:rsidP="00101F62">
            <w:pPr>
              <w:pStyle w:val="TabletextLeft"/>
            </w:pPr>
            <w:r w:rsidRPr="00F43493">
              <w:t>Casual academic staff</w:t>
            </w:r>
          </w:p>
        </w:tc>
        <w:tc>
          <w:tcPr>
            <w:tcW w:w="8221" w:type="dxa"/>
          </w:tcPr>
          <w:p w14:paraId="53506951" w14:textId="77777777" w:rsidR="00492785" w:rsidRPr="005D550E" w:rsidRDefault="00492785" w:rsidP="00101F62">
            <w:pPr>
              <w:pStyle w:val="TabletextLeft"/>
            </w:pPr>
            <w:r w:rsidRPr="00B402E9">
              <w:t>Members of staff employed on a casual basis, wholly or principally involved in teaching and/or research (e.g. tutors, research assistants, and labour hire arrangements</w:t>
            </w:r>
            <w:r>
              <w:t xml:space="preserve">, </w:t>
            </w:r>
            <w:r w:rsidRPr="00B402E9">
              <w:t xml:space="preserve">where a 3rd party </w:t>
            </w:r>
            <w:proofErr w:type="gramStart"/>
            <w:r w:rsidRPr="00B402E9">
              <w:t>is contracted</w:t>
            </w:r>
            <w:proofErr w:type="gramEnd"/>
            <w:r w:rsidRPr="00B402E9">
              <w:t xml:space="preserve"> to provide teaching services on a casual basis). </w:t>
            </w:r>
            <w:r>
              <w:t>This</w:t>
            </w:r>
            <w:r w:rsidRPr="00B402E9">
              <w:t xml:space="preserve"> excludes members of staff employed on a full-time or part-time basis</w:t>
            </w:r>
            <w:r>
              <w:t>.</w:t>
            </w:r>
          </w:p>
        </w:tc>
      </w:tr>
      <w:tr w:rsidR="00492785" w:rsidRPr="004B4D01" w14:paraId="74C8CFEC" w14:textId="77777777" w:rsidTr="00376F97">
        <w:tc>
          <w:tcPr>
            <w:tcW w:w="2694" w:type="dxa"/>
          </w:tcPr>
          <w:p w14:paraId="4B6B2DD1" w14:textId="77777777" w:rsidR="00492785" w:rsidRPr="005D550E" w:rsidRDefault="00492785" w:rsidP="00101F62">
            <w:pPr>
              <w:pStyle w:val="TabletextLeft"/>
            </w:pPr>
            <w:r w:rsidRPr="00F43493">
              <w:t>Non-academic staff</w:t>
            </w:r>
          </w:p>
        </w:tc>
        <w:tc>
          <w:tcPr>
            <w:tcW w:w="8221" w:type="dxa"/>
          </w:tcPr>
          <w:p w14:paraId="69C990E7" w14:textId="77777777" w:rsidR="00492785" w:rsidRPr="005D550E" w:rsidRDefault="00492785" w:rsidP="00101F62">
            <w:pPr>
              <w:pStyle w:val="TabletextLeft"/>
            </w:pPr>
            <w:r>
              <w:t>Both permanent and casual members</w:t>
            </w:r>
            <w:r w:rsidRPr="004C3617">
              <w:t xml:space="preserve"> of staff who are not academic staff</w:t>
            </w:r>
            <w:r>
              <w:t xml:space="preserve"> (teaching and/or research), and instead provide support functions for the university</w:t>
            </w:r>
            <w:r w:rsidRPr="004C3617">
              <w:t>, e.g. administrative staff, IT staff, those involved in student enrol</w:t>
            </w:r>
            <w:r>
              <w:t>ments and learning assistance. Non-academic staffing levels s</w:t>
            </w:r>
            <w:r w:rsidRPr="004C3617">
              <w:t>hould amount to total staff minus academic staff and casual academic staff.</w:t>
            </w:r>
          </w:p>
        </w:tc>
      </w:tr>
      <w:tr w:rsidR="00492785" w:rsidRPr="004B4D01" w14:paraId="1E8FB85D" w14:textId="77777777" w:rsidTr="00376F97">
        <w:tc>
          <w:tcPr>
            <w:tcW w:w="2694" w:type="dxa"/>
          </w:tcPr>
          <w:p w14:paraId="56DD810D" w14:textId="77777777" w:rsidR="00492785" w:rsidRPr="005D550E" w:rsidRDefault="00492785" w:rsidP="00101F62">
            <w:pPr>
              <w:pStyle w:val="TabletextLeft"/>
            </w:pPr>
            <w:r w:rsidRPr="00F43493">
              <w:t>Teaching</w:t>
            </w:r>
          </w:p>
        </w:tc>
        <w:tc>
          <w:tcPr>
            <w:tcW w:w="8221" w:type="dxa"/>
          </w:tcPr>
          <w:p w14:paraId="0AACB45B" w14:textId="77777777" w:rsidR="00492785" w:rsidRPr="005D550E" w:rsidRDefault="00492785" w:rsidP="00101F62">
            <w:pPr>
              <w:pStyle w:val="TabletextLeft"/>
            </w:pPr>
            <w:proofErr w:type="gramStart"/>
            <w:r w:rsidRPr="004C3617">
              <w:t>Teaching time includes all of the following: lecturing, tutoring, demonstrating, reading and preparation for classes (lecture and tutorial content, handouts, workbooks, placing material on the Web, laboratories), all forms of marking and assessment, discussion and feedback to students (both face-to-face and electronically), administration of subjects, course advice and enrolment, organisation and supervision of practicum (including work experience and excursions), supervision of Honours students and committee work related to teaching.</w:t>
            </w:r>
            <w:proofErr w:type="gramEnd"/>
            <w:r w:rsidRPr="004C3617">
              <w:t xml:space="preserve"> </w:t>
            </w:r>
            <w:r>
              <w:t>Teaching only staff are those whose time is spent exclusively on teaching and scholarship activities</w:t>
            </w:r>
            <w:r w:rsidRPr="004C3617">
              <w:t>.</w:t>
            </w:r>
          </w:p>
        </w:tc>
      </w:tr>
      <w:tr w:rsidR="00492785" w:rsidRPr="004B4D01" w14:paraId="03FCD266" w14:textId="77777777" w:rsidTr="00376F97">
        <w:tc>
          <w:tcPr>
            <w:tcW w:w="2694" w:type="dxa"/>
          </w:tcPr>
          <w:p w14:paraId="0AA08F32" w14:textId="77777777" w:rsidR="00492785" w:rsidRPr="005D550E" w:rsidRDefault="00492785" w:rsidP="00101F62">
            <w:pPr>
              <w:pStyle w:val="TabletextLeft"/>
            </w:pPr>
            <w:r w:rsidRPr="00F43493">
              <w:t>Teaching &amp; Research</w:t>
            </w:r>
          </w:p>
        </w:tc>
        <w:tc>
          <w:tcPr>
            <w:tcW w:w="8221" w:type="dxa"/>
          </w:tcPr>
          <w:p w14:paraId="4CA2289C" w14:textId="77777777" w:rsidR="00492785" w:rsidRPr="005D550E" w:rsidRDefault="00492785" w:rsidP="00101F62">
            <w:pPr>
              <w:pStyle w:val="TabletextLeft"/>
            </w:pPr>
            <w:r w:rsidRPr="004C3617">
              <w:t xml:space="preserve">Time spent by staff members that are involved in both teaching and research activities.  This category recognises that staff may be involved in a variety of activities including teaching, supervising research students and engaging in research and scholarship. </w:t>
            </w:r>
          </w:p>
        </w:tc>
      </w:tr>
      <w:tr w:rsidR="00492785" w:rsidRPr="004B4D01" w14:paraId="133ECB26" w14:textId="77777777" w:rsidTr="00376F97">
        <w:tc>
          <w:tcPr>
            <w:tcW w:w="2694" w:type="dxa"/>
          </w:tcPr>
          <w:p w14:paraId="152051D9" w14:textId="77777777" w:rsidR="00492785" w:rsidRPr="00F43493" w:rsidRDefault="00492785" w:rsidP="00101F62">
            <w:pPr>
              <w:pStyle w:val="TabletextLeft"/>
            </w:pPr>
            <w:r>
              <w:lastRenderedPageBreak/>
              <w:t>Research only</w:t>
            </w:r>
          </w:p>
        </w:tc>
        <w:tc>
          <w:tcPr>
            <w:tcW w:w="8221" w:type="dxa"/>
          </w:tcPr>
          <w:p w14:paraId="13F0AD8E" w14:textId="77777777" w:rsidR="00492785" w:rsidRPr="004C3617" w:rsidRDefault="00492785" w:rsidP="00101F62">
            <w:pPr>
              <w:pStyle w:val="TabletextLeft"/>
            </w:pPr>
            <w:r>
              <w:t xml:space="preserve">Certain staff </w:t>
            </w:r>
            <w:proofErr w:type="gramStart"/>
            <w:r>
              <w:t>will only be employed</w:t>
            </w:r>
            <w:proofErr w:type="gramEnd"/>
            <w:r>
              <w:t xml:space="preserve"> for research, i.e. staff with no teaching responsibilities. These staff, activities and costs </w:t>
            </w:r>
            <w:proofErr w:type="gramStart"/>
            <w:r>
              <w:t>are explicitly excluded</w:t>
            </w:r>
            <w:proofErr w:type="gramEnd"/>
            <w:r>
              <w:t xml:space="preserve">. </w:t>
            </w:r>
          </w:p>
        </w:tc>
      </w:tr>
      <w:tr w:rsidR="00492785" w:rsidRPr="004B4D01" w14:paraId="4CCA97EF" w14:textId="77777777" w:rsidTr="00376F97">
        <w:tc>
          <w:tcPr>
            <w:tcW w:w="2694" w:type="dxa"/>
          </w:tcPr>
          <w:p w14:paraId="6B042ADF" w14:textId="77777777" w:rsidR="00492785" w:rsidRPr="005D550E" w:rsidRDefault="00492785" w:rsidP="00101F62">
            <w:pPr>
              <w:pStyle w:val="TabletextLeft"/>
            </w:pPr>
            <w:r w:rsidRPr="00F43493">
              <w:t>Employee</w:t>
            </w:r>
            <w:r>
              <w:t xml:space="preserve"> wages,</w:t>
            </w:r>
            <w:r w:rsidRPr="00F43493">
              <w:t xml:space="preserve"> benefits and on-costs (i.e. total wage bill)</w:t>
            </w:r>
          </w:p>
        </w:tc>
        <w:tc>
          <w:tcPr>
            <w:tcW w:w="8221" w:type="dxa"/>
          </w:tcPr>
          <w:p w14:paraId="19EDA473" w14:textId="77777777" w:rsidR="00492785" w:rsidRPr="005D550E" w:rsidRDefault="00492785" w:rsidP="00101F62">
            <w:pPr>
              <w:pStyle w:val="TabletextLeft"/>
            </w:pPr>
            <w:r w:rsidRPr="004C3617">
              <w:t>All staff-related expenses. The wage bill should include all expenditure on staff compensation including gross salaries and salary on-costs such as superannuation and leave entitlements (i.e. annual leave, personal leave and long service leave).</w:t>
            </w:r>
          </w:p>
        </w:tc>
      </w:tr>
      <w:tr w:rsidR="00492785" w:rsidRPr="004B4D01" w14:paraId="55860BD5" w14:textId="77777777" w:rsidTr="00376F97">
        <w:tc>
          <w:tcPr>
            <w:tcW w:w="2694" w:type="dxa"/>
          </w:tcPr>
          <w:p w14:paraId="13338298" w14:textId="77777777" w:rsidR="00492785" w:rsidRPr="005D550E" w:rsidRDefault="00492785" w:rsidP="00101F62">
            <w:pPr>
              <w:pStyle w:val="TabletextLeft"/>
            </w:pPr>
            <w:r w:rsidRPr="00F43493">
              <w:t>Cost of materials, utilities, equipment</w:t>
            </w:r>
          </w:p>
        </w:tc>
        <w:tc>
          <w:tcPr>
            <w:tcW w:w="8221" w:type="dxa"/>
          </w:tcPr>
          <w:p w14:paraId="3A25C1BC" w14:textId="77777777" w:rsidR="00492785" w:rsidRPr="005D550E" w:rsidRDefault="00492785" w:rsidP="00101F62">
            <w:pPr>
              <w:pStyle w:val="TabletextLeft"/>
            </w:pPr>
            <w:r w:rsidRPr="004C3617">
              <w:t xml:space="preserve">Cost of teaching-related expenses such as materials, utilities and equipment by </w:t>
            </w:r>
            <w:r>
              <w:t>field of education</w:t>
            </w:r>
          </w:p>
        </w:tc>
      </w:tr>
      <w:tr w:rsidR="00492785" w:rsidRPr="004B4D01" w14:paraId="6562D439" w14:textId="77777777" w:rsidTr="00376F97">
        <w:tc>
          <w:tcPr>
            <w:tcW w:w="2694" w:type="dxa"/>
          </w:tcPr>
          <w:p w14:paraId="1280CF9C" w14:textId="77777777" w:rsidR="00492785" w:rsidRPr="005D550E" w:rsidRDefault="00492785" w:rsidP="00101F62">
            <w:pPr>
              <w:pStyle w:val="TabletextLeft"/>
            </w:pPr>
            <w:r w:rsidRPr="009648C2">
              <w:t xml:space="preserve">Expenses that relate to </w:t>
            </w:r>
            <w:r>
              <w:t>placements</w:t>
            </w:r>
          </w:p>
        </w:tc>
        <w:tc>
          <w:tcPr>
            <w:tcW w:w="8221" w:type="dxa"/>
          </w:tcPr>
          <w:p w14:paraId="72A9565B" w14:textId="77777777" w:rsidR="00492785" w:rsidRPr="005D550E" w:rsidRDefault="00492785" w:rsidP="00101F62">
            <w:pPr>
              <w:pStyle w:val="TabletextLeft"/>
            </w:pPr>
            <w:r w:rsidRPr="004C3617">
              <w:t xml:space="preserve">Cost of teaching-related expenses associated with the </w:t>
            </w:r>
            <w:r>
              <w:t xml:space="preserve">placements by field of education. </w:t>
            </w:r>
          </w:p>
        </w:tc>
      </w:tr>
      <w:tr w:rsidR="00492785" w:rsidRPr="004B4D01" w14:paraId="0FB8E085" w14:textId="77777777" w:rsidTr="00376F97">
        <w:trPr>
          <w:trHeight w:val="370"/>
        </w:trPr>
        <w:tc>
          <w:tcPr>
            <w:tcW w:w="2694" w:type="dxa"/>
          </w:tcPr>
          <w:p w14:paraId="1B746F98" w14:textId="77777777" w:rsidR="00492785" w:rsidRPr="005D550E" w:rsidRDefault="00492785" w:rsidP="00101F62">
            <w:pPr>
              <w:pStyle w:val="TabletextLeft"/>
              <w:spacing w:line="0" w:lineRule="atLeast"/>
            </w:pPr>
            <w:r w:rsidRPr="009648C2">
              <w:t>Depreciation, amortisation, repairs</w:t>
            </w:r>
            <w:r>
              <w:t xml:space="preserve"> and</w:t>
            </w:r>
            <w:r w:rsidRPr="009648C2">
              <w:t xml:space="preserve"> maintenance</w:t>
            </w:r>
            <w:r>
              <w:t>, borrowing and bad debts.</w:t>
            </w:r>
          </w:p>
        </w:tc>
        <w:tc>
          <w:tcPr>
            <w:tcW w:w="8221" w:type="dxa"/>
          </w:tcPr>
          <w:p w14:paraId="5CE9C860" w14:textId="77777777" w:rsidR="00492785" w:rsidRPr="005D550E" w:rsidRDefault="00492785" w:rsidP="00101F62">
            <w:pPr>
              <w:pStyle w:val="TabletextLeft"/>
              <w:spacing w:line="0" w:lineRule="atLeast"/>
            </w:pPr>
            <w:r w:rsidRPr="004C3617">
              <w:t>Cost associated with asset and capital management.</w:t>
            </w:r>
            <w:r>
              <w:t xml:space="preserve"> </w:t>
            </w:r>
          </w:p>
        </w:tc>
      </w:tr>
      <w:tr w:rsidR="00492785" w:rsidRPr="004B4D01" w14:paraId="759C1FD1" w14:textId="77777777" w:rsidTr="00376F97">
        <w:trPr>
          <w:trHeight w:val="534"/>
        </w:trPr>
        <w:tc>
          <w:tcPr>
            <w:tcW w:w="2694" w:type="dxa"/>
          </w:tcPr>
          <w:p w14:paraId="428A1965" w14:textId="77777777" w:rsidR="00492785" w:rsidRPr="005D550E" w:rsidRDefault="00492785" w:rsidP="00101F62">
            <w:pPr>
              <w:pStyle w:val="TabletextLeft"/>
            </w:pPr>
            <w:r w:rsidRPr="009648C2">
              <w:t>Other non-staff expenses</w:t>
            </w:r>
          </w:p>
        </w:tc>
        <w:tc>
          <w:tcPr>
            <w:tcW w:w="8221" w:type="dxa"/>
          </w:tcPr>
          <w:p w14:paraId="46FD11AE" w14:textId="77777777" w:rsidR="00492785" w:rsidRPr="005D550E" w:rsidRDefault="00492785" w:rsidP="00101F62">
            <w:pPr>
              <w:pStyle w:val="TabletextLeft"/>
            </w:pPr>
            <w:r w:rsidRPr="004C3617">
              <w:t xml:space="preserve">All remaining costs by </w:t>
            </w:r>
            <w:r>
              <w:t>field of education</w:t>
            </w:r>
            <w:r w:rsidRPr="004C3617">
              <w:t>, i.e. costs not captured by 'staff costs', 'cost of materials, utilities and equipment',  'expenses relating to labs/practicum/field work' and 'depreciation, amortisation, repairs, maintenance, borrowing and bad debts'.</w:t>
            </w:r>
          </w:p>
        </w:tc>
      </w:tr>
    </w:tbl>
    <w:p w14:paraId="017D8C71" w14:textId="77777777" w:rsidR="00492785" w:rsidRPr="00672300" w:rsidRDefault="00492785" w:rsidP="00492785">
      <w:pPr>
        <w:sectPr w:rsidR="00492785" w:rsidRPr="00672300" w:rsidSect="00376F97">
          <w:headerReference w:type="default" r:id="rId58"/>
          <w:footerReference w:type="default" r:id="rId59"/>
          <w:pgSz w:w="11906" w:h="16838" w:code="9"/>
          <w:pgMar w:top="1985" w:right="1418" w:bottom="1134" w:left="1418" w:header="680" w:footer="425" w:gutter="0"/>
          <w:cols w:space="284"/>
          <w:docGrid w:linePitch="360"/>
        </w:sectPr>
      </w:pPr>
    </w:p>
    <w:p w14:paraId="488173BD" w14:textId="77777777" w:rsidR="00492785" w:rsidRDefault="00492785" w:rsidP="00146B33">
      <w:pPr>
        <w:pStyle w:val="Appendixhead2"/>
      </w:pPr>
      <w:bookmarkStart w:id="530" w:name="_Toc521918511"/>
      <w:r>
        <w:lastRenderedPageBreak/>
        <w:t>Background</w:t>
      </w:r>
      <w:bookmarkEnd w:id="530"/>
    </w:p>
    <w:p w14:paraId="2941E557" w14:textId="77777777" w:rsidR="00492785" w:rsidRDefault="00492785" w:rsidP="00492785">
      <w:r>
        <w:t xml:space="preserve">Deloitte Access Economics </w:t>
      </w:r>
      <w:proofErr w:type="gramStart"/>
      <w:r>
        <w:t>has been engaged</w:t>
      </w:r>
      <w:proofErr w:type="gramEnd"/>
      <w:r>
        <w:t xml:space="preserve"> by the Department of Education and Training (the Department) to conduct a three-year project to collect and analyse data on the cost of delivering higher education. This is an extension of a previous 2016 study, and will include all Australian public universities in the final year of the exercise (in 2020). </w:t>
      </w:r>
    </w:p>
    <w:p w14:paraId="60080B14" w14:textId="77777777" w:rsidR="00492785" w:rsidRDefault="00492785" w:rsidP="00146B33">
      <w:pPr>
        <w:pStyle w:val="Appendixhead3"/>
      </w:pPr>
      <w:bookmarkStart w:id="531" w:name="_Toc521918512"/>
      <w:r>
        <w:t>Introduction and context</w:t>
      </w:r>
      <w:bookmarkEnd w:id="531"/>
      <w:r>
        <w:t xml:space="preserve"> </w:t>
      </w:r>
    </w:p>
    <w:p w14:paraId="2F9DDB41" w14:textId="77777777" w:rsidR="00492785" w:rsidRDefault="00492785" w:rsidP="00492785">
      <w:pPr>
        <w:spacing w:before="120"/>
      </w:pPr>
      <w:r>
        <w:t>At a high level, the key objectives that the Department is seeking to achieve with this exercise include:</w:t>
      </w:r>
    </w:p>
    <w:p w14:paraId="55F1100C" w14:textId="77777777" w:rsidR="00492785" w:rsidRDefault="00492785" w:rsidP="00492785">
      <w:pPr>
        <w:pStyle w:val="ListNumber"/>
        <w:numPr>
          <w:ilvl w:val="0"/>
          <w:numId w:val="67"/>
        </w:numPr>
      </w:pPr>
      <w:r>
        <w:t>Accurately measuring the costs of teaching (including scholarship</w:t>
      </w:r>
      <w:r>
        <w:rPr>
          <w:rStyle w:val="FootnoteReference"/>
        </w:rPr>
        <w:footnoteReference w:id="20"/>
      </w:r>
      <w:r>
        <w:t>) by field and level of education; and</w:t>
      </w:r>
    </w:p>
    <w:p w14:paraId="1C01887C" w14:textId="77777777" w:rsidR="00492785" w:rsidRDefault="00492785" w:rsidP="00492785">
      <w:pPr>
        <w:pStyle w:val="ListNumber"/>
        <w:numPr>
          <w:ilvl w:val="0"/>
          <w:numId w:val="67"/>
        </w:numPr>
      </w:pPr>
      <w:r>
        <w:t>The continued transition to a more comprehensive, systematic and streamlined data collection process over the three years from 2018 to 2020 (and beyond).</w:t>
      </w:r>
    </w:p>
    <w:p w14:paraId="01DDB4A6" w14:textId="77777777" w:rsidR="00492785" w:rsidRDefault="00492785" w:rsidP="00492785">
      <w:pPr>
        <w:pStyle w:val="ListNumber"/>
        <w:numPr>
          <w:ilvl w:val="0"/>
          <w:numId w:val="0"/>
        </w:numPr>
        <w:ind w:left="340" w:hanging="340"/>
      </w:pPr>
    </w:p>
    <w:p w14:paraId="3167EF3D" w14:textId="77777777" w:rsidR="00492785" w:rsidRDefault="00492785" w:rsidP="00492785">
      <w:r>
        <w:t xml:space="preserve">As part of this important study, Deloitte Access Economics will work closely with universities to support the successful collection of data. This document forms one element of this support, and </w:t>
      </w:r>
      <w:proofErr w:type="gramStart"/>
      <w:r>
        <w:t>has been developed</w:t>
      </w:r>
      <w:proofErr w:type="gramEnd"/>
      <w:r>
        <w:t xml:space="preserve"> to assist universities in reporting their data on a consistent basis, and to cover common questions that are likely to arise in the course of collecting and allocating the costs of teaching. </w:t>
      </w:r>
    </w:p>
    <w:p w14:paraId="7B51D412" w14:textId="77777777" w:rsidR="00492785" w:rsidRDefault="00492785" w:rsidP="00492785">
      <w:r>
        <w:t>Importantly, while this document intends to cover a number of issues and clarifications, it is unlikely to cover all scenarios or questions that you may have for your institution. For this reason, the Deloitte Access Economics team will arrange a time (if it has not already done so) to conduct an extended discussion with each institution, which will address:</w:t>
      </w:r>
    </w:p>
    <w:p w14:paraId="0D41B060" w14:textId="77777777" w:rsidR="00492785" w:rsidRDefault="00492785" w:rsidP="00492785">
      <w:pPr>
        <w:pStyle w:val="ListBullet"/>
        <w:numPr>
          <w:ilvl w:val="0"/>
          <w:numId w:val="23"/>
        </w:numPr>
      </w:pPr>
      <w:r>
        <w:t>any issues or queries you have with respect to the data collection tool;</w:t>
      </w:r>
    </w:p>
    <w:p w14:paraId="2C1813D7" w14:textId="77777777" w:rsidR="00492785" w:rsidRDefault="00492785" w:rsidP="00492785">
      <w:pPr>
        <w:pStyle w:val="ListBullet"/>
        <w:numPr>
          <w:ilvl w:val="0"/>
          <w:numId w:val="23"/>
        </w:numPr>
      </w:pPr>
      <w:r>
        <w:t>any contextual points specific to your university that we should be aware of in interpreting the data provided; and</w:t>
      </w:r>
    </w:p>
    <w:p w14:paraId="32BDE517" w14:textId="77777777" w:rsidR="00492785" w:rsidRDefault="00492785" w:rsidP="00492785">
      <w:pPr>
        <w:pStyle w:val="ListBullet"/>
        <w:numPr>
          <w:ilvl w:val="0"/>
          <w:numId w:val="23"/>
        </w:numPr>
      </w:pPr>
      <w:proofErr w:type="gramStart"/>
      <w:r>
        <w:t>any</w:t>
      </w:r>
      <w:proofErr w:type="gramEnd"/>
      <w:r>
        <w:t xml:space="preserve"> further background on the decision-making regarding the relative costs of teaching within your institution.</w:t>
      </w:r>
    </w:p>
    <w:p w14:paraId="3A0A6FDC" w14:textId="77777777" w:rsidR="00492785" w:rsidRDefault="00492785" w:rsidP="00492785">
      <w:r>
        <w:t xml:space="preserve">Alongside the Excel-based Transparent Costing Worksheet, universities </w:t>
      </w:r>
      <w:proofErr w:type="gramStart"/>
      <w:r>
        <w:t>will also be provided</w:t>
      </w:r>
      <w:proofErr w:type="gramEnd"/>
      <w:r>
        <w:t xml:space="preserve"> with guidelines for a supporting statement in order to provide additional commentary on how they have completed the data collection exercise. </w:t>
      </w:r>
    </w:p>
    <w:p w14:paraId="3D720FDB" w14:textId="77777777" w:rsidR="00492785" w:rsidRDefault="00492785" w:rsidP="00492785">
      <w:r w:rsidRPr="00ED0F97">
        <w:t>In addition, the Deloitte Access Economics team is available to answer questions as they arise</w:t>
      </w:r>
      <w:r>
        <w:t>.</w:t>
      </w:r>
      <w:r w:rsidRPr="00ED0F97">
        <w:t xml:space="preserve"> </w:t>
      </w:r>
      <w:r>
        <w:t xml:space="preserve">In any instances where you require clarification or guidance, please contact the project email address at </w:t>
      </w:r>
      <w:hyperlink r:id="rId60" w:history="1">
        <w:r w:rsidRPr="00E21340">
          <w:rPr>
            <w:rStyle w:val="Hyperlink"/>
          </w:rPr>
          <w:t>HEcosting@deloitte.com.au</w:t>
        </w:r>
      </w:hyperlink>
      <w:r>
        <w:t>.</w:t>
      </w:r>
    </w:p>
    <w:p w14:paraId="6756F97B" w14:textId="61162EEB" w:rsidR="00492785" w:rsidRDefault="00492785" w:rsidP="00492785">
      <w:r>
        <w:t xml:space="preserve">We thank you for your participation in this important research and look forward to being in contact. </w:t>
      </w:r>
    </w:p>
    <w:p w14:paraId="0EADE2D7" w14:textId="77777777" w:rsidR="00492785" w:rsidRPr="00546722" w:rsidRDefault="00492785" w:rsidP="00146B33">
      <w:pPr>
        <w:pStyle w:val="Appendixhead3"/>
      </w:pPr>
      <w:bookmarkStart w:id="532" w:name="_Toc521918513"/>
      <w:r w:rsidRPr="00422E90">
        <w:t>Some g</w:t>
      </w:r>
      <w:r w:rsidRPr="00546722">
        <w:t>uiding principles</w:t>
      </w:r>
      <w:bookmarkEnd w:id="532"/>
      <w:r w:rsidRPr="00546722">
        <w:t xml:space="preserve"> </w:t>
      </w:r>
    </w:p>
    <w:p w14:paraId="3FE40EF3" w14:textId="77777777" w:rsidR="00492785" w:rsidRDefault="00492785" w:rsidP="00492785">
      <w:pPr>
        <w:spacing w:before="240"/>
      </w:pPr>
      <w:r>
        <w:t>T</w:t>
      </w:r>
      <w:r w:rsidRPr="007A7821">
        <w:t xml:space="preserve">he objective of this </w:t>
      </w:r>
      <w:r>
        <w:t xml:space="preserve">exercise, as outlined above, </w:t>
      </w:r>
      <w:r w:rsidRPr="007A7821">
        <w:t xml:space="preserve">is to estimate the cost of </w:t>
      </w:r>
      <w:r>
        <w:t xml:space="preserve">teaching (including scholarship) in </w:t>
      </w:r>
      <w:r w:rsidRPr="007A7821">
        <w:t>higher education</w:t>
      </w:r>
      <w:r>
        <w:t>.</w:t>
      </w:r>
      <w:r w:rsidRPr="007A7821">
        <w:t xml:space="preserve"> </w:t>
      </w:r>
      <w:r>
        <w:t xml:space="preserve">While the collection </w:t>
      </w:r>
      <w:proofErr w:type="gramStart"/>
      <w:r>
        <w:t>is intended</w:t>
      </w:r>
      <w:proofErr w:type="gramEnd"/>
      <w:r>
        <w:t xml:space="preserve"> to reconcile against universities’ statutory financial accounts, the basis upon which costs are characterised in the collection differs to standard accounting approaches.  </w:t>
      </w:r>
    </w:p>
    <w:p w14:paraId="2B1E46A3" w14:textId="77777777" w:rsidR="00492785" w:rsidRDefault="00492785" w:rsidP="00492785">
      <w:pPr>
        <w:spacing w:before="240"/>
      </w:pPr>
      <w:r>
        <w:t>In seeking to appropriately estimate the cost of higher education teaching (including scholarship)</w:t>
      </w:r>
      <w:proofErr w:type="gramStart"/>
      <w:r>
        <w:t>,</w:t>
      </w:r>
      <w:proofErr w:type="gramEnd"/>
      <w:r>
        <w:t xml:space="preserve"> the exercise is concerned with the economic cost attributable to each field and level of education. This may see costs allocated across activities in a manner, which differs to how they </w:t>
      </w:r>
      <w:proofErr w:type="gramStart"/>
      <w:r>
        <w:t>might be allocated</w:t>
      </w:r>
      <w:proofErr w:type="gramEnd"/>
      <w:r>
        <w:t xml:space="preserve"> for other – accounting – purposes.  </w:t>
      </w:r>
    </w:p>
    <w:p w14:paraId="4388A432" w14:textId="77777777" w:rsidR="00492785" w:rsidRPr="003F698B" w:rsidRDefault="00492785" w:rsidP="00492785">
      <w:pPr>
        <w:spacing w:before="240"/>
      </w:pPr>
      <w:r>
        <w:lastRenderedPageBreak/>
        <w:t xml:space="preserve">With this in mind, the design of the </w:t>
      </w:r>
      <w:r w:rsidRPr="00186397">
        <w:t xml:space="preserve">approach and methodology </w:t>
      </w:r>
      <w:proofErr w:type="gramStart"/>
      <w:r>
        <w:t xml:space="preserve">has been </w:t>
      </w:r>
      <w:r w:rsidRPr="00186397">
        <w:t>geared</w:t>
      </w:r>
      <w:proofErr w:type="gramEnd"/>
      <w:r w:rsidRPr="00186397">
        <w:t xml:space="preserve"> toward achieving </w:t>
      </w:r>
      <w:r>
        <w:t xml:space="preserve">the overarching objectives of this exercise, and has been informed by a </w:t>
      </w:r>
      <w:r w:rsidRPr="00186397">
        <w:t>number of guiding principles</w:t>
      </w:r>
      <w:r>
        <w:t xml:space="preserve">. These principles </w:t>
      </w:r>
      <w:proofErr w:type="gramStart"/>
      <w:r>
        <w:t>are</w:t>
      </w:r>
      <w:r w:rsidRPr="003F698B">
        <w:t xml:space="preserve"> intended</w:t>
      </w:r>
      <w:proofErr w:type="gramEnd"/>
      <w:r w:rsidRPr="003F698B">
        <w:t xml:space="preserve"> to </w:t>
      </w:r>
      <w:r>
        <w:t>support the generation of a</w:t>
      </w:r>
      <w:r w:rsidRPr="003F698B">
        <w:t xml:space="preserve"> final </w:t>
      </w:r>
      <w:r>
        <w:t xml:space="preserve">dataset in which costs are characterised and captured in a manner that is: </w:t>
      </w:r>
    </w:p>
    <w:p w14:paraId="6C0FE8DB" w14:textId="77777777" w:rsidR="00492785" w:rsidRPr="002673A9" w:rsidRDefault="00492785" w:rsidP="00492785">
      <w:pPr>
        <w:pStyle w:val="ListNumber"/>
        <w:numPr>
          <w:ilvl w:val="0"/>
          <w:numId w:val="33"/>
        </w:numPr>
      </w:pPr>
      <w:r w:rsidRPr="002D17AD">
        <w:rPr>
          <w:b/>
        </w:rPr>
        <w:t>Reliable</w:t>
      </w:r>
      <w:r w:rsidRPr="00186397">
        <w:t xml:space="preserve"> - such that a suitable level of assurance </w:t>
      </w:r>
      <w:proofErr w:type="gramStart"/>
      <w:r w:rsidRPr="00186397">
        <w:t>can be established</w:t>
      </w:r>
      <w:proofErr w:type="gramEnd"/>
      <w:r w:rsidRPr="00186397">
        <w:t xml:space="preserve"> regarding the underlying data.</w:t>
      </w:r>
    </w:p>
    <w:p w14:paraId="3964F978" w14:textId="77777777" w:rsidR="00492785" w:rsidRPr="002673A9" w:rsidRDefault="00492785" w:rsidP="00492785">
      <w:pPr>
        <w:pStyle w:val="ListNumber"/>
        <w:numPr>
          <w:ilvl w:val="0"/>
          <w:numId w:val="25"/>
        </w:numPr>
      </w:pPr>
      <w:r w:rsidRPr="002D17AD">
        <w:rPr>
          <w:b/>
        </w:rPr>
        <w:t>Comparable</w:t>
      </w:r>
      <w:r w:rsidRPr="002673A9">
        <w:t xml:space="preserve"> - across universities, given differences in university context, and over time. </w:t>
      </w:r>
    </w:p>
    <w:p w14:paraId="71C33740" w14:textId="77777777" w:rsidR="00492785" w:rsidRPr="002673A9" w:rsidRDefault="00492785" w:rsidP="00492785">
      <w:pPr>
        <w:pStyle w:val="ListNumber"/>
        <w:numPr>
          <w:ilvl w:val="0"/>
          <w:numId w:val="25"/>
        </w:numPr>
      </w:pPr>
      <w:r w:rsidRPr="002D17AD">
        <w:rPr>
          <w:b/>
        </w:rPr>
        <w:t>Attributable</w:t>
      </w:r>
      <w:r w:rsidRPr="002673A9">
        <w:t xml:space="preserve"> - ensuring costs are captured only to the extent that they are incurred </w:t>
      </w:r>
      <w:proofErr w:type="gramStart"/>
      <w:r w:rsidRPr="002673A9">
        <w:t>as a result</w:t>
      </w:r>
      <w:proofErr w:type="gramEnd"/>
      <w:r w:rsidRPr="002673A9">
        <w:t xml:space="preserve"> of </w:t>
      </w:r>
      <w:r>
        <w:t>a</w:t>
      </w:r>
      <w:r w:rsidRPr="002673A9">
        <w:t xml:space="preserve"> defined </w:t>
      </w:r>
      <w:r>
        <w:t xml:space="preserve">and in-scope </w:t>
      </w:r>
      <w:r w:rsidRPr="002673A9">
        <w:t>activity.</w:t>
      </w:r>
    </w:p>
    <w:p w14:paraId="692B771A" w14:textId="77777777" w:rsidR="00492785" w:rsidRDefault="00492785" w:rsidP="00492785">
      <w:pPr>
        <w:pStyle w:val="ListNumber"/>
        <w:numPr>
          <w:ilvl w:val="0"/>
          <w:numId w:val="25"/>
        </w:numPr>
      </w:pPr>
      <w:r w:rsidRPr="002D17AD">
        <w:rPr>
          <w:b/>
        </w:rPr>
        <w:t>Actual</w:t>
      </w:r>
      <w:r w:rsidRPr="002673A9">
        <w:t xml:space="preserve"> - in that the economic rather than the accounting measure of cost is of primary interest to the exercise. </w:t>
      </w:r>
    </w:p>
    <w:p w14:paraId="43850D2B" w14:textId="77777777" w:rsidR="00492785" w:rsidRPr="002673A9" w:rsidRDefault="00492785" w:rsidP="00492785">
      <w:pPr>
        <w:pStyle w:val="ListNumber"/>
        <w:numPr>
          <w:ilvl w:val="0"/>
          <w:numId w:val="0"/>
        </w:numPr>
        <w:ind w:left="340"/>
      </w:pPr>
    </w:p>
    <w:p w14:paraId="6256F399" w14:textId="77777777" w:rsidR="00492785" w:rsidRPr="002673A9" w:rsidRDefault="00492785" w:rsidP="00492785">
      <w:r w:rsidRPr="002673A9">
        <w:t>The practical application of these principles necessitates an approach which:</w:t>
      </w:r>
    </w:p>
    <w:p w14:paraId="3CCC31A3" w14:textId="77777777" w:rsidR="00492785" w:rsidRPr="00AD2BB2" w:rsidRDefault="00492785" w:rsidP="00492785">
      <w:pPr>
        <w:pStyle w:val="ListBullet"/>
        <w:numPr>
          <w:ilvl w:val="0"/>
          <w:numId w:val="23"/>
        </w:numPr>
        <w:spacing w:before="60" w:after="0"/>
        <w:contextualSpacing w:val="0"/>
      </w:pPr>
      <w:r w:rsidRPr="002673A9">
        <w:t>scrutinises existing information sources carefully</w:t>
      </w:r>
      <w:r>
        <w:t>;</w:t>
      </w:r>
    </w:p>
    <w:p w14:paraId="00991A21" w14:textId="77777777" w:rsidR="00492785" w:rsidRPr="00AD2BB2" w:rsidRDefault="00492785" w:rsidP="00492785">
      <w:pPr>
        <w:pStyle w:val="ListBullet"/>
        <w:numPr>
          <w:ilvl w:val="0"/>
          <w:numId w:val="23"/>
        </w:numPr>
        <w:spacing w:before="60" w:after="0"/>
        <w:contextualSpacing w:val="0"/>
      </w:pPr>
      <w:r w:rsidRPr="00AD2BB2">
        <w:t>applies common definitions while allowing for local context</w:t>
      </w:r>
      <w:r>
        <w:t>;</w:t>
      </w:r>
      <w:r w:rsidRPr="00AD2BB2">
        <w:t xml:space="preserve"> </w:t>
      </w:r>
    </w:p>
    <w:p w14:paraId="0C8C0449" w14:textId="77777777" w:rsidR="00492785" w:rsidRPr="00AD2BB2" w:rsidRDefault="00492785" w:rsidP="00492785">
      <w:pPr>
        <w:pStyle w:val="ListBullet"/>
        <w:numPr>
          <w:ilvl w:val="0"/>
          <w:numId w:val="23"/>
        </w:numPr>
        <w:spacing w:before="60" w:after="0"/>
        <w:contextualSpacing w:val="0"/>
      </w:pPr>
      <w:r w:rsidRPr="00186397">
        <w:t xml:space="preserve">requires </w:t>
      </w:r>
      <w:r>
        <w:t xml:space="preserve">the </w:t>
      </w:r>
      <w:r w:rsidRPr="00186397">
        <w:t>application of standards and rules for apportioning shared costs in line with appropriate economic attribution</w:t>
      </w:r>
      <w:r>
        <w:t xml:space="preserve">; and </w:t>
      </w:r>
    </w:p>
    <w:p w14:paraId="728D2302" w14:textId="77777777" w:rsidR="00492785" w:rsidRDefault="00492785" w:rsidP="00492785">
      <w:pPr>
        <w:pStyle w:val="ListBullet"/>
        <w:numPr>
          <w:ilvl w:val="0"/>
          <w:numId w:val="23"/>
        </w:numPr>
        <w:spacing w:before="60" w:after="0"/>
        <w:contextualSpacing w:val="0"/>
      </w:pPr>
      <w:proofErr w:type="gramStart"/>
      <w:r w:rsidRPr="00186397">
        <w:t>sees</w:t>
      </w:r>
      <w:proofErr w:type="gramEnd"/>
      <w:r w:rsidRPr="00186397">
        <w:t xml:space="preserve"> iterative interaction through the course of the collection to support real time guidance and moderation</w:t>
      </w:r>
      <w:r>
        <w:t>.</w:t>
      </w:r>
    </w:p>
    <w:p w14:paraId="2B84FBCD" w14:textId="77777777" w:rsidR="00492785" w:rsidRPr="003F698B" w:rsidRDefault="00492785" w:rsidP="00492785">
      <w:pPr>
        <w:spacing w:before="120"/>
      </w:pPr>
      <w:r>
        <w:t xml:space="preserve">Their application </w:t>
      </w:r>
      <w:proofErr w:type="gramStart"/>
      <w:r>
        <w:t>can be further understood</w:t>
      </w:r>
      <w:proofErr w:type="gramEnd"/>
      <w:r>
        <w:t xml:space="preserve"> with reference to two practical examples.  </w:t>
      </w:r>
    </w:p>
    <w:p w14:paraId="27BCB147" w14:textId="77777777" w:rsidR="00492785" w:rsidRDefault="00492785" w:rsidP="00492785">
      <w:pPr>
        <w:pStyle w:val="Heading4un-numbered"/>
      </w:pPr>
      <w:r>
        <w:t>Example 1: Pro-rating common costs by a common cost driver</w:t>
      </w:r>
    </w:p>
    <w:p w14:paraId="0CE9C76A" w14:textId="77777777" w:rsidR="00492785" w:rsidRDefault="00492785" w:rsidP="00492785">
      <w:r>
        <w:t xml:space="preserve">Using common cost drivers to allocate central costs is an example of applying the ‘attributable’ principle, whereby a common cost driver (or drivers) </w:t>
      </w:r>
      <w:proofErr w:type="gramStart"/>
      <w:r>
        <w:t>is chosen</w:t>
      </w:r>
      <w:proofErr w:type="gramEnd"/>
      <w:r>
        <w:t xml:space="preserve"> that allows systematic alignment of costs to specific teaching activities. </w:t>
      </w:r>
    </w:p>
    <w:p w14:paraId="7F93E015" w14:textId="77777777" w:rsidR="00492785" w:rsidRDefault="00492785" w:rsidP="00492785">
      <w:r>
        <w:t xml:space="preserve">For example – IT systems and computer labs </w:t>
      </w:r>
      <w:proofErr w:type="gramStart"/>
      <w:r>
        <w:t>may be a central cost for the whole-of-institution, but clearly have a role in teaching and may not be equally shared or used by each</w:t>
      </w:r>
      <w:proofErr w:type="gramEnd"/>
      <w:r>
        <w:t xml:space="preserve"> teaching unit. Depending on the systems available, and a university’s understanding of how </w:t>
      </w:r>
      <w:proofErr w:type="gramStart"/>
      <w:r>
        <w:t>to most reliably allocate</w:t>
      </w:r>
      <w:proofErr w:type="gramEnd"/>
      <w:r>
        <w:t xml:space="preserve"> costs to where they are ultimately incurred, one or multiple cost drivers may be used to partition this central cost (e.g. EFTSL, staff numbers, student login counts, etc.).   </w:t>
      </w:r>
    </w:p>
    <w:p w14:paraId="670876C5" w14:textId="77777777" w:rsidR="00492785" w:rsidRDefault="00492785" w:rsidP="00492785">
      <w:pPr>
        <w:pStyle w:val="Heading4un-numbered"/>
      </w:pPr>
      <w:r>
        <w:t>Example 2: Recognising scholarship activities that are required for teaching</w:t>
      </w:r>
    </w:p>
    <w:p w14:paraId="4AC14832" w14:textId="77777777" w:rsidR="00492785" w:rsidRDefault="00492785" w:rsidP="00492785">
      <w:r>
        <w:t>The inclusion of ‘scholarship’ costs is another example of the ‘attributable’ principle, by recognising that activities such as presenting public lectures or keeping up to date with contemporary discipline knowledge is important and necessary for the delivery of teaching and learning by staff.</w:t>
      </w:r>
      <w:r>
        <w:rPr>
          <w:rStyle w:val="FootnoteReference"/>
        </w:rPr>
        <w:footnoteReference w:id="21"/>
      </w:r>
      <w:r>
        <w:t xml:space="preserve"> </w:t>
      </w:r>
    </w:p>
    <w:p w14:paraId="0CF37C23" w14:textId="2B12DCA4" w:rsidR="001B01D0" w:rsidRPr="00065FF0" w:rsidRDefault="00492785" w:rsidP="00492785">
      <w:r>
        <w:t xml:space="preserve">Noting that the breadth and depth of scholarship activities can vary by staff type and discipline, universities are required to consider the principle of attributable costs in identifying and defining costs of scholarship, as they necessarily relate to the delivery of teaching. </w:t>
      </w:r>
    </w:p>
    <w:p w14:paraId="12171BCA" w14:textId="0DA74F4E" w:rsidR="00492785" w:rsidRPr="00065FF0" w:rsidRDefault="00492785"/>
    <w:p w14:paraId="657FB5F6" w14:textId="77777777" w:rsidR="001B01D0" w:rsidRDefault="001B01D0" w:rsidP="00146B33">
      <w:pPr>
        <w:rPr>
          <w:rFonts w:eastAsia="Times New Roman" w:cs="Times New Roman"/>
          <w:color w:val="62B5E5" w:themeColor="accent3"/>
          <w:szCs w:val="28"/>
        </w:rPr>
      </w:pPr>
      <w:bookmarkStart w:id="533" w:name="_Toc521918514"/>
      <w:r>
        <w:br w:type="page"/>
      </w:r>
    </w:p>
    <w:p w14:paraId="1B91CBE8" w14:textId="14B100FD" w:rsidR="00492785" w:rsidRDefault="00492785" w:rsidP="00146B33">
      <w:pPr>
        <w:pStyle w:val="Appendixhead2"/>
      </w:pPr>
      <w:r>
        <w:lastRenderedPageBreak/>
        <w:t>Guidelines</w:t>
      </w:r>
      <w:bookmarkEnd w:id="533"/>
    </w:p>
    <w:p w14:paraId="43484D9C" w14:textId="77777777" w:rsidR="00492785" w:rsidRDefault="00492785" w:rsidP="00146B33">
      <w:pPr>
        <w:pStyle w:val="Appendixhead3"/>
      </w:pPr>
      <w:bookmarkStart w:id="534" w:name="_Toc521918515"/>
      <w:r>
        <w:t>Structure of the template</w:t>
      </w:r>
      <w:bookmarkEnd w:id="534"/>
      <w:r>
        <w:t xml:space="preserve"> </w:t>
      </w:r>
    </w:p>
    <w:p w14:paraId="47D63AB4" w14:textId="77777777" w:rsidR="00492785" w:rsidRDefault="00492785" w:rsidP="00492785">
      <w:r>
        <w:t xml:space="preserve">At a high level, the Transparent Costing Worksheet is structured by cost item and level of education (along rows), and by field of education (across columns). Data </w:t>
      </w:r>
      <w:proofErr w:type="gramStart"/>
      <w:r>
        <w:t>is collected</w:t>
      </w:r>
      <w:proofErr w:type="gramEnd"/>
      <w:r>
        <w:t xml:space="preserve"> for each combination of these three elements, which are described in detail below. </w:t>
      </w:r>
    </w:p>
    <w:p w14:paraId="0096EDDA" w14:textId="77777777" w:rsidR="00492785" w:rsidRDefault="00492785" w:rsidP="00492785">
      <w:pPr>
        <w:pStyle w:val="Heading3un-numbered"/>
      </w:pPr>
      <w:bookmarkStart w:id="535" w:name="_Toc521918516"/>
      <w:r>
        <w:t>Levels of education</w:t>
      </w:r>
      <w:bookmarkEnd w:id="535"/>
    </w:p>
    <w:p w14:paraId="392F6B3C" w14:textId="77EA39A1" w:rsidR="00492785" w:rsidRDefault="00492785" w:rsidP="00492785">
      <w:pPr>
        <w:pStyle w:val="ListBullet"/>
        <w:numPr>
          <w:ilvl w:val="0"/>
          <w:numId w:val="0"/>
        </w:numPr>
      </w:pPr>
      <w:r>
        <w:t xml:space="preserve">The levels of education to </w:t>
      </w:r>
      <w:proofErr w:type="gramStart"/>
      <w:r>
        <w:t>be reported</w:t>
      </w:r>
      <w:proofErr w:type="gramEnd"/>
      <w:r>
        <w:t xml:space="preserve"> separately are sub-bachelor, bachelor, and coursework postgraduate. These </w:t>
      </w:r>
      <w:proofErr w:type="gramStart"/>
      <w:r>
        <w:t>are defined</w:t>
      </w:r>
      <w:proofErr w:type="gramEnd"/>
      <w:r>
        <w:t xml:space="preserve"> in </w:t>
      </w:r>
      <w:r w:rsidR="00234795">
        <w:t>Table B.1</w:t>
      </w:r>
      <w:r>
        <w:t xml:space="preserve">. Only onshore enrolments are included in the scope of the data collection. </w:t>
      </w:r>
    </w:p>
    <w:p w14:paraId="6B31A8A0" w14:textId="19C83E7A" w:rsidR="00492785" w:rsidRDefault="00492785" w:rsidP="00146B33">
      <w:pPr>
        <w:pStyle w:val="AppendixTableCaption"/>
      </w:pPr>
      <w:bookmarkStart w:id="536" w:name="_Toc534713882"/>
      <w:r>
        <w:t>: Levels of education</w:t>
      </w:r>
      <w:bookmarkEnd w:id="536"/>
    </w:p>
    <w:tbl>
      <w:tblPr>
        <w:tblStyle w:val="Deloittetable"/>
        <w:tblW w:w="6946" w:type="dxa"/>
        <w:tblLayout w:type="fixed"/>
        <w:tblLook w:val="04A0" w:firstRow="1" w:lastRow="0" w:firstColumn="1" w:lastColumn="0" w:noHBand="0" w:noVBand="1"/>
      </w:tblPr>
      <w:tblGrid>
        <w:gridCol w:w="2037"/>
        <w:gridCol w:w="4909"/>
      </w:tblGrid>
      <w:tr w:rsidR="00492785" w:rsidRPr="004B4D01" w14:paraId="7084D836" w14:textId="77777777" w:rsidTr="00101F62">
        <w:trPr>
          <w:cnfStyle w:val="100000000000" w:firstRow="1" w:lastRow="0" w:firstColumn="0" w:lastColumn="0" w:oddVBand="0" w:evenVBand="0" w:oddHBand="0" w:evenHBand="0" w:firstRowFirstColumn="0" w:firstRowLastColumn="0" w:lastRowFirstColumn="0" w:lastRowLastColumn="0"/>
          <w:trHeight w:val="219"/>
        </w:trPr>
        <w:tc>
          <w:tcPr>
            <w:tcW w:w="2037" w:type="dxa"/>
          </w:tcPr>
          <w:p w14:paraId="6B1EE088" w14:textId="77777777" w:rsidR="00492785" w:rsidRPr="007F2C34" w:rsidRDefault="00492785" w:rsidP="00101F62">
            <w:pPr>
              <w:pStyle w:val="TabletextLeft"/>
              <w:rPr>
                <w:b/>
              </w:rPr>
            </w:pPr>
            <w:r>
              <w:rPr>
                <w:b/>
              </w:rPr>
              <w:t>Level of education</w:t>
            </w:r>
          </w:p>
        </w:tc>
        <w:tc>
          <w:tcPr>
            <w:tcW w:w="4909" w:type="dxa"/>
          </w:tcPr>
          <w:p w14:paraId="1A98BC84" w14:textId="77777777" w:rsidR="00492785" w:rsidRPr="007F2C34" w:rsidRDefault="00492785" w:rsidP="00101F62">
            <w:pPr>
              <w:pStyle w:val="TabletextLeft"/>
              <w:rPr>
                <w:b/>
              </w:rPr>
            </w:pPr>
            <w:r w:rsidRPr="007F2C34">
              <w:rPr>
                <w:b/>
              </w:rPr>
              <w:t>De</w:t>
            </w:r>
            <w:r>
              <w:rPr>
                <w:b/>
              </w:rPr>
              <w:t>finition</w:t>
            </w:r>
            <w:r w:rsidRPr="007F2C34">
              <w:rPr>
                <w:b/>
              </w:rPr>
              <w:t xml:space="preserve"> </w:t>
            </w:r>
          </w:p>
        </w:tc>
      </w:tr>
      <w:tr w:rsidR="00492785" w:rsidRPr="004B4D01" w14:paraId="2F08FDE9" w14:textId="77777777" w:rsidTr="00101F62">
        <w:trPr>
          <w:trHeight w:val="424"/>
        </w:trPr>
        <w:tc>
          <w:tcPr>
            <w:tcW w:w="2037" w:type="dxa"/>
          </w:tcPr>
          <w:p w14:paraId="33677BAA" w14:textId="77777777" w:rsidR="00492785" w:rsidRPr="005D550E" w:rsidRDefault="00492785" w:rsidP="00101F62">
            <w:pPr>
              <w:pStyle w:val="TabletextLeft"/>
            </w:pPr>
            <w:r w:rsidRPr="00F43493">
              <w:t xml:space="preserve">Sub-bachelor </w:t>
            </w:r>
          </w:p>
        </w:tc>
        <w:tc>
          <w:tcPr>
            <w:tcW w:w="4909" w:type="dxa"/>
          </w:tcPr>
          <w:p w14:paraId="23FFFFE7" w14:textId="77777777" w:rsidR="00492785" w:rsidRPr="005D550E" w:rsidRDefault="00492785" w:rsidP="00101F62">
            <w:pPr>
              <w:pStyle w:val="TabletextLeft"/>
            </w:pPr>
            <w:r w:rsidRPr="004C3617">
              <w:t>Sub-bachelor covers all courses delivered at the diploma, advanced diploma</w:t>
            </w:r>
            <w:r>
              <w:t xml:space="preserve"> and</w:t>
            </w:r>
            <w:r w:rsidRPr="004C3617">
              <w:t xml:space="preserve"> associate degree level.</w:t>
            </w:r>
            <w:r>
              <w:t xml:space="preserve"> </w:t>
            </w:r>
            <w:r w:rsidRPr="00797FAB">
              <w:t>Excludes non-award and enabling courses.</w:t>
            </w:r>
          </w:p>
        </w:tc>
      </w:tr>
      <w:tr w:rsidR="00492785" w:rsidRPr="004B4D01" w14:paraId="0E63B354" w14:textId="77777777" w:rsidTr="00101F62">
        <w:trPr>
          <w:trHeight w:val="424"/>
        </w:trPr>
        <w:tc>
          <w:tcPr>
            <w:tcW w:w="2037" w:type="dxa"/>
          </w:tcPr>
          <w:p w14:paraId="0701A7F1" w14:textId="77777777" w:rsidR="00492785" w:rsidRPr="005D550E" w:rsidRDefault="00492785" w:rsidP="00101F62">
            <w:pPr>
              <w:pStyle w:val="TabletextLeft"/>
            </w:pPr>
            <w:r w:rsidRPr="00F43493">
              <w:t>Bachelor</w:t>
            </w:r>
          </w:p>
        </w:tc>
        <w:tc>
          <w:tcPr>
            <w:tcW w:w="4909" w:type="dxa"/>
          </w:tcPr>
          <w:p w14:paraId="65948949" w14:textId="77777777" w:rsidR="00492785" w:rsidRPr="005D550E" w:rsidRDefault="00492785" w:rsidP="00101F62">
            <w:pPr>
              <w:pStyle w:val="TabletextLeft"/>
            </w:pPr>
            <w:r w:rsidRPr="004C3617">
              <w:t xml:space="preserve">Bachelor covers all courses delivered at a Bachelor degree level. This includes Bachelor's Pass, Bachelor's Honours and Bachelor's Graduate Entry. </w:t>
            </w:r>
            <w:r w:rsidRPr="00797FAB">
              <w:t xml:space="preserve">Excludes non-award and enabling courses. </w:t>
            </w:r>
          </w:p>
        </w:tc>
      </w:tr>
      <w:tr w:rsidR="00492785" w:rsidRPr="004B4D01" w14:paraId="0E0949BA" w14:textId="77777777" w:rsidTr="00101F62">
        <w:trPr>
          <w:trHeight w:val="1275"/>
        </w:trPr>
        <w:tc>
          <w:tcPr>
            <w:tcW w:w="2037" w:type="dxa"/>
          </w:tcPr>
          <w:p w14:paraId="21E35005" w14:textId="77777777" w:rsidR="00492785" w:rsidRPr="005D550E" w:rsidRDefault="00492785" w:rsidP="00101F62">
            <w:pPr>
              <w:pStyle w:val="TabletextLeft"/>
            </w:pPr>
            <w:r w:rsidRPr="00F43493">
              <w:t>Postgraduate coursework</w:t>
            </w:r>
          </w:p>
        </w:tc>
        <w:tc>
          <w:tcPr>
            <w:tcW w:w="4909" w:type="dxa"/>
          </w:tcPr>
          <w:p w14:paraId="288193A1" w14:textId="77777777" w:rsidR="00492785" w:rsidRPr="005D550E" w:rsidRDefault="00492785" w:rsidP="00101F62">
            <w:pPr>
              <w:pStyle w:val="TabletextLeft"/>
            </w:pPr>
            <w:r w:rsidRPr="004C3617">
              <w:t>Postgraduate coursework includes all postgraduate degrees that are delivered predominantly through coursework</w:t>
            </w:r>
            <w:r>
              <w:t xml:space="preserve"> (e.g. those courses for which research makes up less than two thirds of the student load as per the </w:t>
            </w:r>
            <w:r w:rsidRPr="009434EF">
              <w:t>Commonwealth Scholarships Guidelines (Research) 2017</w:t>
            </w:r>
            <w:r>
              <w:t>)</w:t>
            </w:r>
            <w:r w:rsidRPr="004C3617">
              <w:t xml:space="preserve">, including Masters and coursework PhDs. Where a coursework postgraduate degree includes a research component, this should be included as postgraduate coursework. </w:t>
            </w:r>
            <w:r w:rsidRPr="00797FAB">
              <w:t xml:space="preserve">Excludes non-award and enabling courses. </w:t>
            </w:r>
          </w:p>
        </w:tc>
      </w:tr>
    </w:tbl>
    <w:p w14:paraId="155E2DEE" w14:textId="77777777" w:rsidR="00492785" w:rsidRDefault="00492785" w:rsidP="00492785">
      <w:pPr>
        <w:pStyle w:val="ListBullet"/>
        <w:numPr>
          <w:ilvl w:val="0"/>
          <w:numId w:val="0"/>
        </w:numPr>
      </w:pPr>
    </w:p>
    <w:p w14:paraId="5914B044" w14:textId="77777777" w:rsidR="00492785" w:rsidRDefault="00492785" w:rsidP="00492785">
      <w:pPr>
        <w:pStyle w:val="ListBullet"/>
        <w:numPr>
          <w:ilvl w:val="0"/>
          <w:numId w:val="0"/>
        </w:numPr>
      </w:pPr>
      <w:r>
        <w:t xml:space="preserve">The scope of the data collection includes all students in award courses at the sub-bachelor, bachelor and postgraduate coursework level including Commonwealth Supported Places, domestic fee-paying students and onshore international students. Student in non-award courses and enabling programs are not included within the scope of the data collection exercise.  </w:t>
      </w:r>
    </w:p>
    <w:p w14:paraId="09BB125F" w14:textId="77777777" w:rsidR="00492785" w:rsidRDefault="00492785" w:rsidP="00492785">
      <w:pPr>
        <w:pStyle w:val="Heading3un-numbered"/>
      </w:pPr>
      <w:bookmarkStart w:id="537" w:name="_Toc521918517"/>
      <w:r>
        <w:t>Cost items</w:t>
      </w:r>
      <w:bookmarkEnd w:id="537"/>
    </w:p>
    <w:p w14:paraId="68BC8F0A" w14:textId="77777777" w:rsidR="00492785" w:rsidRDefault="00492785" w:rsidP="00492785">
      <w:r>
        <w:t xml:space="preserve">The cost items are distinguishable types of costs and </w:t>
      </w:r>
      <w:proofErr w:type="gramStart"/>
      <w:r>
        <w:t>have been chosen</w:t>
      </w:r>
      <w:proofErr w:type="gramEnd"/>
      <w:r>
        <w:t xml:space="preserve"> to reflect commonly understood categories of disaggregation. These cost types are:</w:t>
      </w:r>
    </w:p>
    <w:p w14:paraId="24C86C3E" w14:textId="77777777" w:rsidR="00492785" w:rsidRDefault="00492785" w:rsidP="00492785">
      <w:pPr>
        <w:pStyle w:val="ListBullet"/>
        <w:numPr>
          <w:ilvl w:val="0"/>
          <w:numId w:val="23"/>
        </w:numPr>
      </w:pPr>
      <w:r>
        <w:t>Total staff costs - employee benefits and on-costs (i.e. total wage bill) – teaching and scholarship:</w:t>
      </w:r>
    </w:p>
    <w:p w14:paraId="37ED58CC" w14:textId="77777777" w:rsidR="00492785" w:rsidRDefault="00492785" w:rsidP="00492785">
      <w:pPr>
        <w:pStyle w:val="ListBullet"/>
        <w:numPr>
          <w:ilvl w:val="1"/>
          <w:numId w:val="23"/>
        </w:numPr>
      </w:pPr>
      <w:r>
        <w:t xml:space="preserve">Academic staff costs attributable to teaching and scholarship; </w:t>
      </w:r>
    </w:p>
    <w:p w14:paraId="27744E85" w14:textId="77777777" w:rsidR="00492785" w:rsidRDefault="00492785" w:rsidP="00492785">
      <w:pPr>
        <w:pStyle w:val="ListBullet"/>
        <w:numPr>
          <w:ilvl w:val="1"/>
          <w:numId w:val="23"/>
        </w:numPr>
      </w:pPr>
      <w:r>
        <w:t>Casual academic staff costs attributable to teaching and scholarship; and</w:t>
      </w:r>
    </w:p>
    <w:p w14:paraId="33F517F0" w14:textId="77777777" w:rsidR="00492785" w:rsidRDefault="00492785" w:rsidP="00492785">
      <w:pPr>
        <w:pStyle w:val="ListBullet"/>
        <w:numPr>
          <w:ilvl w:val="1"/>
          <w:numId w:val="23"/>
        </w:numPr>
      </w:pPr>
      <w:r>
        <w:t>Non-academic staff costs attributable to teaching and scholarship.</w:t>
      </w:r>
    </w:p>
    <w:p w14:paraId="5CA420F0" w14:textId="77777777" w:rsidR="00492785" w:rsidRDefault="00492785" w:rsidP="00492785">
      <w:pPr>
        <w:pStyle w:val="ListBullet"/>
        <w:numPr>
          <w:ilvl w:val="0"/>
          <w:numId w:val="23"/>
        </w:numPr>
      </w:pPr>
      <w:r>
        <w:t>Non-staff costs attributable to teaching and learning:</w:t>
      </w:r>
    </w:p>
    <w:p w14:paraId="1F906D5B" w14:textId="77777777" w:rsidR="00492785" w:rsidRDefault="00492785" w:rsidP="00492785">
      <w:pPr>
        <w:pStyle w:val="ListBullet"/>
        <w:numPr>
          <w:ilvl w:val="1"/>
          <w:numId w:val="23"/>
        </w:numPr>
      </w:pPr>
      <w:r>
        <w:t xml:space="preserve">Cost of materials, utilities, equipment; </w:t>
      </w:r>
    </w:p>
    <w:p w14:paraId="02C0118E" w14:textId="77777777" w:rsidR="00492785" w:rsidRDefault="00492785" w:rsidP="00492785">
      <w:pPr>
        <w:pStyle w:val="ListBullet"/>
        <w:numPr>
          <w:ilvl w:val="1"/>
          <w:numId w:val="23"/>
        </w:numPr>
      </w:pPr>
      <w:r>
        <w:t xml:space="preserve">Expenses that relate to placements; </w:t>
      </w:r>
    </w:p>
    <w:p w14:paraId="1D6E31BB" w14:textId="77777777" w:rsidR="00492785" w:rsidRDefault="00492785" w:rsidP="00492785">
      <w:pPr>
        <w:pStyle w:val="ListBullet"/>
        <w:numPr>
          <w:ilvl w:val="1"/>
          <w:numId w:val="23"/>
        </w:numPr>
      </w:pPr>
      <w:r>
        <w:t>Depreciation, amortisation, repairs, maintenance, borrowing, bad debts; and</w:t>
      </w:r>
    </w:p>
    <w:p w14:paraId="27768ECE" w14:textId="77777777" w:rsidR="00492785" w:rsidRDefault="00492785" w:rsidP="00492785">
      <w:pPr>
        <w:pStyle w:val="ListBullet"/>
        <w:numPr>
          <w:ilvl w:val="1"/>
          <w:numId w:val="23"/>
        </w:numPr>
      </w:pPr>
      <w:r>
        <w:t>Other non-staff expenses.</w:t>
      </w:r>
    </w:p>
    <w:p w14:paraId="0A514457" w14:textId="77777777" w:rsidR="00492785" w:rsidRDefault="00492785" w:rsidP="00492785">
      <w:pPr>
        <w:pStyle w:val="ListBullet"/>
        <w:numPr>
          <w:ilvl w:val="0"/>
          <w:numId w:val="0"/>
        </w:numPr>
        <w:ind w:left="340" w:hanging="340"/>
      </w:pPr>
    </w:p>
    <w:p w14:paraId="6AB7665D" w14:textId="77777777" w:rsidR="00492785" w:rsidRPr="0097769C" w:rsidRDefault="00492785" w:rsidP="00492785">
      <w:pPr>
        <w:pStyle w:val="ListBullet"/>
        <w:numPr>
          <w:ilvl w:val="0"/>
          <w:numId w:val="0"/>
        </w:numPr>
        <w:contextualSpacing w:val="0"/>
      </w:pPr>
      <w:r w:rsidRPr="00E565FA">
        <w:t>Some</w:t>
      </w:r>
      <w:r w:rsidRPr="0097769C">
        <w:t xml:space="preserve"> further cost </w:t>
      </w:r>
      <w:r w:rsidRPr="00E565FA">
        <w:t>measures</w:t>
      </w:r>
      <w:r w:rsidRPr="0097769C">
        <w:t xml:space="preserve"> are defined which relate to total costs across the institution (i.e. including research and </w:t>
      </w:r>
      <w:r w:rsidRPr="00E97224">
        <w:t>non-teaching-related commercial activities)</w:t>
      </w:r>
      <w:r w:rsidRPr="00E565FA">
        <w:t xml:space="preserve"> and total costs for non-teaching activities</w:t>
      </w:r>
      <w:r w:rsidRPr="0097769C">
        <w:t>, to be used for the purposes of reconciliation with institution-wide financial reporting. These additional cost types are:</w:t>
      </w:r>
    </w:p>
    <w:p w14:paraId="18DEF6CC" w14:textId="77777777" w:rsidR="00492785" w:rsidRPr="00E565FA" w:rsidRDefault="00492785" w:rsidP="00492785">
      <w:pPr>
        <w:pStyle w:val="ListBullet"/>
        <w:numPr>
          <w:ilvl w:val="0"/>
          <w:numId w:val="23"/>
        </w:numPr>
      </w:pPr>
      <w:r w:rsidRPr="00E565FA">
        <w:t>Total staff costs - employee benefits and on-costs for staff excluding teaching and scholarship activities</w:t>
      </w:r>
      <w:r>
        <w:t xml:space="preserve"> (e.g. research, community activities etc.)</w:t>
      </w:r>
      <w:r w:rsidRPr="00E565FA">
        <w:t>;</w:t>
      </w:r>
    </w:p>
    <w:p w14:paraId="3CAEB0FF" w14:textId="77777777" w:rsidR="00492785" w:rsidRPr="0097769C" w:rsidRDefault="00492785" w:rsidP="00492785">
      <w:pPr>
        <w:pStyle w:val="ListBullet"/>
        <w:numPr>
          <w:ilvl w:val="0"/>
          <w:numId w:val="23"/>
        </w:numPr>
      </w:pPr>
      <w:r w:rsidRPr="0097769C">
        <w:lastRenderedPageBreak/>
        <w:t xml:space="preserve">Total staff costs - employee benefits and on-costs for all staff (i.e. total wage bill); </w:t>
      </w:r>
    </w:p>
    <w:p w14:paraId="14C90C05" w14:textId="77777777" w:rsidR="00492785" w:rsidRPr="00E565FA" w:rsidRDefault="00492785" w:rsidP="00492785">
      <w:pPr>
        <w:pStyle w:val="ListBullet"/>
        <w:numPr>
          <w:ilvl w:val="0"/>
          <w:numId w:val="23"/>
        </w:numPr>
      </w:pPr>
      <w:r w:rsidRPr="00E565FA">
        <w:t>Total non-staff costs excluding teaching and scholarship activit</w:t>
      </w:r>
      <w:r>
        <w:t>ies (e.g. research, community activities etc.); and</w:t>
      </w:r>
    </w:p>
    <w:p w14:paraId="7FDEC613" w14:textId="77777777" w:rsidR="00492785" w:rsidRPr="0097769C" w:rsidRDefault="00492785" w:rsidP="00492785">
      <w:pPr>
        <w:pStyle w:val="ListBullet"/>
        <w:numPr>
          <w:ilvl w:val="0"/>
          <w:numId w:val="23"/>
        </w:numPr>
      </w:pPr>
      <w:r w:rsidRPr="0097769C">
        <w:t>Total non-staff costs for the whole institution.</w:t>
      </w:r>
    </w:p>
    <w:p w14:paraId="2061B1D4" w14:textId="77777777" w:rsidR="00492785" w:rsidRDefault="00492785" w:rsidP="00492785">
      <w:r>
        <w:t>It is not required that these costs be provided by field of education, but rather at the whole of institution level.</w:t>
      </w:r>
    </w:p>
    <w:p w14:paraId="5EEFCD48" w14:textId="1B264FFE" w:rsidR="00492785" w:rsidRDefault="00492785" w:rsidP="00492785">
      <w:r>
        <w:t xml:space="preserve">Two additional </w:t>
      </w:r>
      <w:r w:rsidRPr="008824A8">
        <w:t>items</w:t>
      </w:r>
      <w:r>
        <w:t xml:space="preserve"> </w:t>
      </w:r>
      <w:proofErr w:type="gramStart"/>
      <w:r>
        <w:t>are also separately identified</w:t>
      </w:r>
      <w:proofErr w:type="gramEnd"/>
      <w:r>
        <w:t xml:space="preserve"> below the main costing collection area of the template – ‘in kind’ costs and ‘third party and partnership’ costs. These items are collected to inform a broader picture of costs, but </w:t>
      </w:r>
      <w:proofErr w:type="gramStart"/>
      <w:r>
        <w:t>are not used</w:t>
      </w:r>
      <w:proofErr w:type="gramEnd"/>
      <w:r>
        <w:t xml:space="preserve"> in reconciliation with financial</w:t>
      </w:r>
      <w:r w:rsidRPr="008824A8">
        <w:t xml:space="preserve"> reporting.</w:t>
      </w:r>
      <w:r>
        <w:t xml:space="preserve"> These two items </w:t>
      </w:r>
      <w:proofErr w:type="gramStart"/>
      <w:r>
        <w:t>are described</w:t>
      </w:r>
      <w:proofErr w:type="gramEnd"/>
      <w:r>
        <w:t xml:space="preserve"> in more detail in Section </w:t>
      </w:r>
      <w:r>
        <w:fldChar w:fldCharType="begin"/>
      </w:r>
      <w:r>
        <w:instrText xml:space="preserve"> REF _Ref519631433 \r \h  \* MERGEFORMAT </w:instrText>
      </w:r>
      <w:r>
        <w:fldChar w:fldCharType="separate"/>
      </w:r>
      <w:r w:rsidR="00F47C96">
        <w:t>B.3.4</w:t>
      </w:r>
      <w:r>
        <w:fldChar w:fldCharType="end"/>
      </w:r>
      <w:r>
        <w:t>.</w:t>
      </w:r>
    </w:p>
    <w:p w14:paraId="30A336FF" w14:textId="77777777" w:rsidR="00492785" w:rsidRDefault="00492785" w:rsidP="00492785">
      <w:pPr>
        <w:pStyle w:val="Heading3un-numbered"/>
      </w:pPr>
      <w:bookmarkStart w:id="538" w:name="_Toc521918518"/>
      <w:r>
        <w:t>Fields of education</w:t>
      </w:r>
      <w:bookmarkEnd w:id="538"/>
    </w:p>
    <w:p w14:paraId="0081A770" w14:textId="5F645EA3" w:rsidR="00492785" w:rsidRDefault="00492785" w:rsidP="00492785">
      <w:pPr>
        <w:pStyle w:val="ListBullet"/>
        <w:numPr>
          <w:ilvl w:val="0"/>
          <w:numId w:val="0"/>
        </w:numPr>
      </w:pPr>
      <w:r>
        <w:t xml:space="preserve">Fields of education are defined using 22 ASCED code groupings in </w:t>
      </w:r>
      <w:r w:rsidR="00234795">
        <w:t>Table B.2</w:t>
      </w:r>
      <w:r>
        <w:t xml:space="preserve">. These fields of education </w:t>
      </w:r>
      <w:proofErr w:type="gramStart"/>
      <w:r>
        <w:t>have been chosen</w:t>
      </w:r>
      <w:proofErr w:type="gramEnd"/>
      <w:r>
        <w:t xml:space="preserve"> by the Department and are broadly consistent with those chosen in the previous 2016 exercise. The columns representing fields of education should be considered </w:t>
      </w:r>
      <w:proofErr w:type="gramStart"/>
      <w:r>
        <w:t>to be exhaustive</w:t>
      </w:r>
      <w:proofErr w:type="gramEnd"/>
      <w:r>
        <w:t>, such that all courses and teaching activity are captured.</w:t>
      </w:r>
    </w:p>
    <w:p w14:paraId="09011C27" w14:textId="5FEDC860" w:rsidR="00492785" w:rsidRDefault="00492785" w:rsidP="00146B33">
      <w:pPr>
        <w:pStyle w:val="AppendixTableCaption"/>
      </w:pPr>
      <w:bookmarkStart w:id="539" w:name="_Toc534713883"/>
      <w:r>
        <w:t>: Fields of education</w:t>
      </w:r>
      <w:bookmarkEnd w:id="539"/>
      <w:r>
        <w:t xml:space="preserve"> </w:t>
      </w:r>
    </w:p>
    <w:tbl>
      <w:tblPr>
        <w:tblStyle w:val="Deloittetable"/>
        <w:tblW w:w="8080" w:type="dxa"/>
        <w:tblLook w:val="04A0" w:firstRow="1" w:lastRow="0" w:firstColumn="1" w:lastColumn="0" w:noHBand="0" w:noVBand="1"/>
      </w:tblPr>
      <w:tblGrid>
        <w:gridCol w:w="1560"/>
        <w:gridCol w:w="2126"/>
        <w:gridCol w:w="4394"/>
      </w:tblGrid>
      <w:tr w:rsidR="00492785" w14:paraId="2C240113" w14:textId="77777777" w:rsidTr="00F47C96">
        <w:trPr>
          <w:cnfStyle w:val="100000000000" w:firstRow="1" w:lastRow="0" w:firstColumn="0" w:lastColumn="0" w:oddVBand="0" w:evenVBand="0" w:oddHBand="0" w:evenHBand="0" w:firstRowFirstColumn="0" w:firstRowLastColumn="0" w:lastRowFirstColumn="0" w:lastRowLastColumn="0"/>
        </w:trPr>
        <w:tc>
          <w:tcPr>
            <w:tcW w:w="1560" w:type="dxa"/>
          </w:tcPr>
          <w:p w14:paraId="0AA1BAF2" w14:textId="77777777" w:rsidR="00492785" w:rsidRPr="001471D6" w:rsidRDefault="00492785" w:rsidP="00101F62">
            <w:pPr>
              <w:rPr>
                <w:b/>
              </w:rPr>
            </w:pPr>
            <w:r w:rsidRPr="001471D6">
              <w:rPr>
                <w:b/>
              </w:rPr>
              <w:t>Number</w:t>
            </w:r>
          </w:p>
        </w:tc>
        <w:tc>
          <w:tcPr>
            <w:tcW w:w="2126" w:type="dxa"/>
          </w:tcPr>
          <w:p w14:paraId="798D8C6C" w14:textId="77777777" w:rsidR="00492785" w:rsidRPr="001471D6" w:rsidRDefault="00492785" w:rsidP="00101F62">
            <w:pPr>
              <w:rPr>
                <w:b/>
              </w:rPr>
            </w:pPr>
            <w:r>
              <w:rPr>
                <w:b/>
              </w:rPr>
              <w:t xml:space="preserve">ASCED </w:t>
            </w:r>
            <w:r w:rsidRPr="001471D6">
              <w:rPr>
                <w:b/>
              </w:rPr>
              <w:t>Code</w:t>
            </w:r>
          </w:p>
        </w:tc>
        <w:tc>
          <w:tcPr>
            <w:tcW w:w="4394" w:type="dxa"/>
          </w:tcPr>
          <w:p w14:paraId="4650FDC3" w14:textId="77777777" w:rsidR="00492785" w:rsidRPr="001471D6" w:rsidRDefault="00492785" w:rsidP="00101F62">
            <w:pPr>
              <w:rPr>
                <w:b/>
              </w:rPr>
            </w:pPr>
            <w:r w:rsidRPr="001471D6">
              <w:rPr>
                <w:b/>
              </w:rPr>
              <w:t>Title</w:t>
            </w:r>
          </w:p>
        </w:tc>
      </w:tr>
      <w:tr w:rsidR="00492785" w14:paraId="1DF73C31" w14:textId="77777777" w:rsidTr="00F47C96">
        <w:tc>
          <w:tcPr>
            <w:tcW w:w="1560" w:type="dxa"/>
          </w:tcPr>
          <w:p w14:paraId="7C4A0A91"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w:t>
            </w:r>
          </w:p>
        </w:tc>
        <w:tc>
          <w:tcPr>
            <w:tcW w:w="2126" w:type="dxa"/>
            <w:vAlign w:val="bottom"/>
          </w:tcPr>
          <w:p w14:paraId="3F84669E"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0101</w:t>
            </w:r>
          </w:p>
        </w:tc>
        <w:tc>
          <w:tcPr>
            <w:tcW w:w="4394" w:type="dxa"/>
            <w:vAlign w:val="bottom"/>
          </w:tcPr>
          <w:p w14:paraId="5561A4AC"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Mathematical Science</w:t>
            </w:r>
          </w:p>
        </w:tc>
      </w:tr>
      <w:tr w:rsidR="00492785" w14:paraId="410BC134" w14:textId="77777777" w:rsidTr="00F47C96">
        <w:tc>
          <w:tcPr>
            <w:tcW w:w="1560" w:type="dxa"/>
          </w:tcPr>
          <w:p w14:paraId="30CCF83F"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2</w:t>
            </w:r>
          </w:p>
        </w:tc>
        <w:tc>
          <w:tcPr>
            <w:tcW w:w="2126" w:type="dxa"/>
            <w:vAlign w:val="bottom"/>
          </w:tcPr>
          <w:p w14:paraId="425C5790"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0109901</w:t>
            </w:r>
          </w:p>
        </w:tc>
        <w:tc>
          <w:tcPr>
            <w:tcW w:w="4394" w:type="dxa"/>
            <w:vAlign w:val="bottom"/>
          </w:tcPr>
          <w:p w14:paraId="6B97FE82"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Medical Science</w:t>
            </w:r>
          </w:p>
        </w:tc>
      </w:tr>
      <w:tr w:rsidR="00492785" w14:paraId="16A3B524" w14:textId="77777777" w:rsidTr="00F47C96">
        <w:tc>
          <w:tcPr>
            <w:tcW w:w="1560" w:type="dxa"/>
          </w:tcPr>
          <w:p w14:paraId="7AFFCB04"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3</w:t>
            </w:r>
          </w:p>
        </w:tc>
        <w:tc>
          <w:tcPr>
            <w:tcW w:w="2126" w:type="dxa"/>
            <w:vAlign w:val="bottom"/>
          </w:tcPr>
          <w:p w14:paraId="421C6492"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 xml:space="preserve">01 – Other </w:t>
            </w:r>
          </w:p>
        </w:tc>
        <w:tc>
          <w:tcPr>
            <w:tcW w:w="4394" w:type="dxa"/>
            <w:vAlign w:val="bottom"/>
          </w:tcPr>
          <w:p w14:paraId="564B024A"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S</w:t>
            </w:r>
            <w:r w:rsidRPr="00775BEE">
              <w:rPr>
                <w:rFonts w:asciiTheme="majorHAnsi" w:hAnsiTheme="majorHAnsi" w:cs="Arial"/>
                <w:color w:val="000000"/>
                <w:sz w:val="16"/>
                <w:szCs w:val="16"/>
              </w:rPr>
              <w:t>cience</w:t>
            </w:r>
          </w:p>
        </w:tc>
      </w:tr>
      <w:tr w:rsidR="00492785" w14:paraId="1A980F07" w14:textId="77777777" w:rsidTr="00F47C96">
        <w:tc>
          <w:tcPr>
            <w:tcW w:w="1560" w:type="dxa"/>
          </w:tcPr>
          <w:p w14:paraId="2168DAE8"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4</w:t>
            </w:r>
          </w:p>
        </w:tc>
        <w:tc>
          <w:tcPr>
            <w:tcW w:w="2126" w:type="dxa"/>
            <w:vAlign w:val="bottom"/>
          </w:tcPr>
          <w:p w14:paraId="4EA2ABEE"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02</w:t>
            </w:r>
          </w:p>
        </w:tc>
        <w:tc>
          <w:tcPr>
            <w:tcW w:w="4394" w:type="dxa"/>
            <w:vAlign w:val="bottom"/>
          </w:tcPr>
          <w:p w14:paraId="51AAA566" w14:textId="77777777" w:rsidR="00492785" w:rsidRPr="00775BEE" w:rsidRDefault="00492785" w:rsidP="00101F62">
            <w:pPr>
              <w:spacing w:after="0"/>
              <w:rPr>
                <w:rFonts w:asciiTheme="majorHAnsi" w:hAnsiTheme="majorHAnsi"/>
                <w:sz w:val="16"/>
                <w:szCs w:val="16"/>
              </w:rPr>
            </w:pPr>
            <w:r>
              <w:rPr>
                <w:rFonts w:asciiTheme="majorHAnsi" w:hAnsiTheme="majorHAnsi" w:cs="Arial"/>
                <w:color w:val="000000"/>
                <w:sz w:val="16"/>
                <w:szCs w:val="16"/>
              </w:rPr>
              <w:t>Information Technology</w:t>
            </w:r>
          </w:p>
        </w:tc>
      </w:tr>
      <w:tr w:rsidR="00492785" w14:paraId="3EC700AC" w14:textId="77777777" w:rsidTr="00F47C96">
        <w:tc>
          <w:tcPr>
            <w:tcW w:w="1560" w:type="dxa"/>
          </w:tcPr>
          <w:p w14:paraId="56853245"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5</w:t>
            </w:r>
          </w:p>
        </w:tc>
        <w:tc>
          <w:tcPr>
            <w:tcW w:w="2126" w:type="dxa"/>
            <w:vAlign w:val="bottom"/>
          </w:tcPr>
          <w:p w14:paraId="4EE659C8"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03</w:t>
            </w:r>
          </w:p>
        </w:tc>
        <w:tc>
          <w:tcPr>
            <w:tcW w:w="4394" w:type="dxa"/>
            <w:vAlign w:val="bottom"/>
          </w:tcPr>
          <w:p w14:paraId="760F29E4"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Engineering and Related Technology</w:t>
            </w:r>
          </w:p>
        </w:tc>
      </w:tr>
      <w:tr w:rsidR="00492785" w14:paraId="751D86BB" w14:textId="77777777" w:rsidTr="00F47C96">
        <w:tc>
          <w:tcPr>
            <w:tcW w:w="1560" w:type="dxa"/>
          </w:tcPr>
          <w:p w14:paraId="73718F3D"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6</w:t>
            </w:r>
          </w:p>
        </w:tc>
        <w:tc>
          <w:tcPr>
            <w:tcW w:w="2126" w:type="dxa"/>
            <w:vAlign w:val="bottom"/>
          </w:tcPr>
          <w:p w14:paraId="6690FF4F"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04</w:t>
            </w:r>
          </w:p>
        </w:tc>
        <w:tc>
          <w:tcPr>
            <w:tcW w:w="4394" w:type="dxa"/>
            <w:vAlign w:val="bottom"/>
          </w:tcPr>
          <w:p w14:paraId="639F661E"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Architecture and Building</w:t>
            </w:r>
          </w:p>
        </w:tc>
      </w:tr>
      <w:tr w:rsidR="00492785" w14:paraId="7C58DE72" w14:textId="77777777" w:rsidTr="00F47C96">
        <w:tc>
          <w:tcPr>
            <w:tcW w:w="1560" w:type="dxa"/>
          </w:tcPr>
          <w:p w14:paraId="08C69B1D"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7</w:t>
            </w:r>
          </w:p>
        </w:tc>
        <w:tc>
          <w:tcPr>
            <w:tcW w:w="2126" w:type="dxa"/>
            <w:vAlign w:val="bottom"/>
          </w:tcPr>
          <w:p w14:paraId="46395FA8"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0509</w:t>
            </w:r>
          </w:p>
        </w:tc>
        <w:tc>
          <w:tcPr>
            <w:tcW w:w="4394" w:type="dxa"/>
            <w:vAlign w:val="bottom"/>
          </w:tcPr>
          <w:p w14:paraId="22178BBF"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Environmental Science</w:t>
            </w:r>
          </w:p>
        </w:tc>
      </w:tr>
      <w:tr w:rsidR="00492785" w14:paraId="798498C4" w14:textId="77777777" w:rsidTr="00F47C96">
        <w:tc>
          <w:tcPr>
            <w:tcW w:w="1560" w:type="dxa"/>
          </w:tcPr>
          <w:p w14:paraId="785AC73A"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8</w:t>
            </w:r>
          </w:p>
        </w:tc>
        <w:tc>
          <w:tcPr>
            <w:tcW w:w="2126" w:type="dxa"/>
          </w:tcPr>
          <w:p w14:paraId="4D99FA2D"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 xml:space="preserve">05 – Other </w:t>
            </w:r>
          </w:p>
        </w:tc>
        <w:tc>
          <w:tcPr>
            <w:tcW w:w="4394" w:type="dxa"/>
            <w:vAlign w:val="bottom"/>
          </w:tcPr>
          <w:p w14:paraId="271F5ECD"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A</w:t>
            </w:r>
            <w:r w:rsidRPr="00775BEE">
              <w:rPr>
                <w:rFonts w:asciiTheme="majorHAnsi" w:hAnsiTheme="majorHAnsi" w:cs="Arial"/>
                <w:color w:val="000000"/>
                <w:sz w:val="16"/>
                <w:szCs w:val="16"/>
              </w:rPr>
              <w:t>griculture</w:t>
            </w:r>
            <w:r>
              <w:rPr>
                <w:rFonts w:asciiTheme="majorHAnsi" w:hAnsiTheme="majorHAnsi" w:cs="Arial"/>
                <w:color w:val="000000"/>
                <w:sz w:val="16"/>
                <w:szCs w:val="16"/>
              </w:rPr>
              <w:t>, Environmental and Related Studies</w:t>
            </w:r>
          </w:p>
        </w:tc>
      </w:tr>
      <w:tr w:rsidR="00492785" w14:paraId="759E137F" w14:textId="77777777" w:rsidTr="00F47C96">
        <w:tc>
          <w:tcPr>
            <w:tcW w:w="1560" w:type="dxa"/>
          </w:tcPr>
          <w:p w14:paraId="6EE57D2E"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9</w:t>
            </w:r>
          </w:p>
        </w:tc>
        <w:tc>
          <w:tcPr>
            <w:tcW w:w="2126" w:type="dxa"/>
            <w:vAlign w:val="bottom"/>
          </w:tcPr>
          <w:p w14:paraId="75002FCA"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0601</w:t>
            </w:r>
          </w:p>
        </w:tc>
        <w:tc>
          <w:tcPr>
            <w:tcW w:w="4394" w:type="dxa"/>
            <w:vAlign w:val="bottom"/>
          </w:tcPr>
          <w:p w14:paraId="23364FBF"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Medical Studies</w:t>
            </w:r>
          </w:p>
        </w:tc>
      </w:tr>
      <w:tr w:rsidR="00492785" w14:paraId="532C206E" w14:textId="77777777" w:rsidTr="00F47C96">
        <w:tc>
          <w:tcPr>
            <w:tcW w:w="1560" w:type="dxa"/>
          </w:tcPr>
          <w:p w14:paraId="4C5EE96B"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10</w:t>
            </w:r>
          </w:p>
        </w:tc>
        <w:tc>
          <w:tcPr>
            <w:tcW w:w="2126" w:type="dxa"/>
            <w:vAlign w:val="bottom"/>
          </w:tcPr>
          <w:p w14:paraId="702D987E"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0603</w:t>
            </w:r>
          </w:p>
        </w:tc>
        <w:tc>
          <w:tcPr>
            <w:tcW w:w="4394" w:type="dxa"/>
            <w:vAlign w:val="bottom"/>
          </w:tcPr>
          <w:p w14:paraId="204005D3"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Nursing</w:t>
            </w:r>
          </w:p>
        </w:tc>
      </w:tr>
      <w:tr w:rsidR="00492785" w14:paraId="6780FA5A" w14:textId="77777777" w:rsidTr="00F47C96">
        <w:tc>
          <w:tcPr>
            <w:tcW w:w="1560" w:type="dxa"/>
          </w:tcPr>
          <w:p w14:paraId="5EE4FF50"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11</w:t>
            </w:r>
          </w:p>
        </w:tc>
        <w:tc>
          <w:tcPr>
            <w:tcW w:w="2126" w:type="dxa"/>
            <w:vAlign w:val="bottom"/>
          </w:tcPr>
          <w:p w14:paraId="12239AB9"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0607</w:t>
            </w:r>
          </w:p>
        </w:tc>
        <w:tc>
          <w:tcPr>
            <w:tcW w:w="4394" w:type="dxa"/>
            <w:vAlign w:val="bottom"/>
          </w:tcPr>
          <w:p w14:paraId="7AF36BF1"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Dental Studies</w:t>
            </w:r>
          </w:p>
        </w:tc>
      </w:tr>
      <w:tr w:rsidR="00492785" w14:paraId="4625B3A9" w14:textId="77777777" w:rsidTr="00F47C96">
        <w:tc>
          <w:tcPr>
            <w:tcW w:w="1560" w:type="dxa"/>
          </w:tcPr>
          <w:p w14:paraId="5A114DFF"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12</w:t>
            </w:r>
          </w:p>
        </w:tc>
        <w:tc>
          <w:tcPr>
            <w:tcW w:w="2126" w:type="dxa"/>
            <w:vAlign w:val="bottom"/>
          </w:tcPr>
          <w:p w14:paraId="64EA20C7"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 xml:space="preserve">0611 </w:t>
            </w:r>
          </w:p>
        </w:tc>
        <w:tc>
          <w:tcPr>
            <w:tcW w:w="4394" w:type="dxa"/>
            <w:vAlign w:val="bottom"/>
          </w:tcPr>
          <w:p w14:paraId="04F856C7"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Veterinary Studies</w:t>
            </w:r>
          </w:p>
        </w:tc>
      </w:tr>
      <w:tr w:rsidR="00492785" w14:paraId="58F88532" w14:textId="77777777" w:rsidTr="00F47C96">
        <w:tc>
          <w:tcPr>
            <w:tcW w:w="1560" w:type="dxa"/>
          </w:tcPr>
          <w:p w14:paraId="2F6A2A0B"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13</w:t>
            </w:r>
          </w:p>
        </w:tc>
        <w:tc>
          <w:tcPr>
            <w:tcW w:w="2126" w:type="dxa"/>
            <w:vAlign w:val="bottom"/>
          </w:tcPr>
          <w:p w14:paraId="16DBC50F"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 xml:space="preserve">06 – Other </w:t>
            </w:r>
          </w:p>
        </w:tc>
        <w:tc>
          <w:tcPr>
            <w:tcW w:w="4394" w:type="dxa"/>
            <w:vAlign w:val="bottom"/>
          </w:tcPr>
          <w:p w14:paraId="08239ADB"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Other Health</w:t>
            </w:r>
          </w:p>
        </w:tc>
      </w:tr>
      <w:tr w:rsidR="00492785" w14:paraId="5D711CC9" w14:textId="77777777" w:rsidTr="00F47C96">
        <w:tc>
          <w:tcPr>
            <w:tcW w:w="1560" w:type="dxa"/>
          </w:tcPr>
          <w:p w14:paraId="511AAD80"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14</w:t>
            </w:r>
          </w:p>
        </w:tc>
        <w:tc>
          <w:tcPr>
            <w:tcW w:w="2126" w:type="dxa"/>
            <w:vAlign w:val="bottom"/>
          </w:tcPr>
          <w:p w14:paraId="077ED548"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07</w:t>
            </w:r>
          </w:p>
        </w:tc>
        <w:tc>
          <w:tcPr>
            <w:tcW w:w="4394" w:type="dxa"/>
            <w:vAlign w:val="bottom"/>
          </w:tcPr>
          <w:p w14:paraId="27C8CD1A"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Education</w:t>
            </w:r>
          </w:p>
        </w:tc>
      </w:tr>
      <w:tr w:rsidR="00492785" w14:paraId="7C73E0DF" w14:textId="77777777" w:rsidTr="00F47C96">
        <w:tc>
          <w:tcPr>
            <w:tcW w:w="1560" w:type="dxa"/>
          </w:tcPr>
          <w:p w14:paraId="576A29A7"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15</w:t>
            </w:r>
          </w:p>
        </w:tc>
        <w:tc>
          <w:tcPr>
            <w:tcW w:w="2126" w:type="dxa"/>
            <w:vAlign w:val="bottom"/>
          </w:tcPr>
          <w:p w14:paraId="1ECCD552"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08</w:t>
            </w:r>
          </w:p>
        </w:tc>
        <w:tc>
          <w:tcPr>
            <w:tcW w:w="4394" w:type="dxa"/>
            <w:vAlign w:val="bottom"/>
          </w:tcPr>
          <w:p w14:paraId="3320629D"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Management and Commerce</w:t>
            </w:r>
          </w:p>
        </w:tc>
      </w:tr>
      <w:tr w:rsidR="00492785" w14:paraId="2336BC6D" w14:textId="77777777" w:rsidTr="00F47C96">
        <w:tc>
          <w:tcPr>
            <w:tcW w:w="1560" w:type="dxa"/>
          </w:tcPr>
          <w:p w14:paraId="0486C1ED"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16</w:t>
            </w:r>
          </w:p>
        </w:tc>
        <w:tc>
          <w:tcPr>
            <w:tcW w:w="2126" w:type="dxa"/>
            <w:vAlign w:val="bottom"/>
          </w:tcPr>
          <w:p w14:paraId="40CA5EC4"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090701</w:t>
            </w:r>
          </w:p>
        </w:tc>
        <w:tc>
          <w:tcPr>
            <w:tcW w:w="4394" w:type="dxa"/>
            <w:vAlign w:val="bottom"/>
          </w:tcPr>
          <w:p w14:paraId="2EA24B7D"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Psychology</w:t>
            </w:r>
            <w:r>
              <w:rPr>
                <w:rFonts w:asciiTheme="majorHAnsi" w:hAnsiTheme="majorHAnsi" w:cs="Arial"/>
                <w:color w:val="000000"/>
                <w:sz w:val="16"/>
                <w:szCs w:val="16"/>
              </w:rPr>
              <w:t>*</w:t>
            </w:r>
          </w:p>
        </w:tc>
      </w:tr>
      <w:tr w:rsidR="00492785" w14:paraId="5BB1CF9B" w14:textId="77777777" w:rsidTr="00F47C96">
        <w:tc>
          <w:tcPr>
            <w:tcW w:w="1560" w:type="dxa"/>
          </w:tcPr>
          <w:p w14:paraId="05E7560D"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w:t>
            </w:r>
            <w:r>
              <w:rPr>
                <w:rFonts w:asciiTheme="majorHAnsi" w:hAnsiTheme="majorHAnsi"/>
                <w:sz w:val="16"/>
                <w:szCs w:val="16"/>
              </w:rPr>
              <w:t>7</w:t>
            </w:r>
          </w:p>
        </w:tc>
        <w:tc>
          <w:tcPr>
            <w:tcW w:w="2126" w:type="dxa"/>
            <w:vAlign w:val="bottom"/>
          </w:tcPr>
          <w:p w14:paraId="16DCE9E5"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091503 to 091519</w:t>
            </w:r>
          </w:p>
        </w:tc>
        <w:tc>
          <w:tcPr>
            <w:tcW w:w="4394" w:type="dxa"/>
            <w:vAlign w:val="bottom"/>
          </w:tcPr>
          <w:p w14:paraId="3405C05F"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Foreign Languages and Translating</w:t>
            </w:r>
          </w:p>
        </w:tc>
      </w:tr>
      <w:tr w:rsidR="00492785" w14:paraId="1D76CCF8" w14:textId="77777777" w:rsidTr="00F47C96">
        <w:tc>
          <w:tcPr>
            <w:tcW w:w="1560" w:type="dxa"/>
          </w:tcPr>
          <w:p w14:paraId="4F765802"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18</w:t>
            </w:r>
          </w:p>
        </w:tc>
        <w:tc>
          <w:tcPr>
            <w:tcW w:w="2126" w:type="dxa"/>
            <w:vAlign w:val="bottom"/>
          </w:tcPr>
          <w:p w14:paraId="0A1B1162"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 xml:space="preserve">09 – Other </w:t>
            </w:r>
          </w:p>
        </w:tc>
        <w:tc>
          <w:tcPr>
            <w:tcW w:w="4394" w:type="dxa"/>
            <w:vAlign w:val="bottom"/>
          </w:tcPr>
          <w:p w14:paraId="4B76891C"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S</w:t>
            </w:r>
            <w:r w:rsidRPr="00775BEE">
              <w:rPr>
                <w:rFonts w:asciiTheme="majorHAnsi" w:hAnsiTheme="majorHAnsi" w:cs="Arial"/>
                <w:color w:val="000000"/>
                <w:sz w:val="16"/>
                <w:szCs w:val="16"/>
              </w:rPr>
              <w:t xml:space="preserve">ociety and </w:t>
            </w:r>
            <w:r>
              <w:rPr>
                <w:rFonts w:asciiTheme="majorHAnsi" w:hAnsiTheme="majorHAnsi" w:cs="Arial"/>
                <w:color w:val="000000"/>
                <w:sz w:val="16"/>
                <w:szCs w:val="16"/>
              </w:rPr>
              <w:t>C</w:t>
            </w:r>
            <w:r w:rsidRPr="00775BEE">
              <w:rPr>
                <w:rFonts w:asciiTheme="majorHAnsi" w:hAnsiTheme="majorHAnsi" w:cs="Arial"/>
                <w:color w:val="000000"/>
                <w:sz w:val="16"/>
                <w:szCs w:val="16"/>
              </w:rPr>
              <w:t>ulture</w:t>
            </w:r>
          </w:p>
        </w:tc>
      </w:tr>
      <w:tr w:rsidR="00492785" w14:paraId="0062992C" w14:textId="77777777" w:rsidTr="00F47C96">
        <w:tc>
          <w:tcPr>
            <w:tcW w:w="1560" w:type="dxa"/>
          </w:tcPr>
          <w:p w14:paraId="71A1F8BE" w14:textId="77777777" w:rsidR="00492785" w:rsidRPr="00775BEE" w:rsidRDefault="00492785" w:rsidP="00101F62">
            <w:pPr>
              <w:spacing w:after="0"/>
              <w:rPr>
                <w:rFonts w:asciiTheme="majorHAnsi" w:hAnsiTheme="majorHAnsi"/>
                <w:sz w:val="16"/>
                <w:szCs w:val="16"/>
              </w:rPr>
            </w:pPr>
            <w:r w:rsidRPr="00775BEE">
              <w:rPr>
                <w:rFonts w:asciiTheme="majorHAnsi" w:hAnsiTheme="majorHAnsi"/>
                <w:sz w:val="16"/>
                <w:szCs w:val="16"/>
              </w:rPr>
              <w:t>19</w:t>
            </w:r>
          </w:p>
        </w:tc>
        <w:tc>
          <w:tcPr>
            <w:tcW w:w="2126" w:type="dxa"/>
            <w:vAlign w:val="bottom"/>
          </w:tcPr>
          <w:p w14:paraId="6DD08922"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1007</w:t>
            </w:r>
          </w:p>
        </w:tc>
        <w:tc>
          <w:tcPr>
            <w:tcW w:w="4394" w:type="dxa"/>
            <w:vAlign w:val="bottom"/>
          </w:tcPr>
          <w:p w14:paraId="7429BDC8" w14:textId="77777777" w:rsidR="00492785" w:rsidRPr="00775BEE" w:rsidRDefault="00492785" w:rsidP="00101F62">
            <w:pPr>
              <w:spacing w:after="0"/>
              <w:rPr>
                <w:rFonts w:asciiTheme="majorHAnsi" w:hAnsiTheme="majorHAnsi"/>
                <w:sz w:val="16"/>
                <w:szCs w:val="16"/>
              </w:rPr>
            </w:pPr>
            <w:r w:rsidRPr="00775BEE">
              <w:rPr>
                <w:rFonts w:asciiTheme="majorHAnsi" w:hAnsiTheme="majorHAnsi" w:cs="Arial"/>
                <w:color w:val="000000"/>
                <w:sz w:val="16"/>
                <w:szCs w:val="16"/>
              </w:rPr>
              <w:t>Communication and Media Studies</w:t>
            </w:r>
          </w:p>
        </w:tc>
      </w:tr>
      <w:tr w:rsidR="00492785" w14:paraId="6E0C97E0" w14:textId="77777777" w:rsidTr="00F47C96">
        <w:tc>
          <w:tcPr>
            <w:tcW w:w="1560" w:type="dxa"/>
          </w:tcPr>
          <w:p w14:paraId="619AD5AB"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20</w:t>
            </w:r>
          </w:p>
        </w:tc>
        <w:tc>
          <w:tcPr>
            <w:tcW w:w="2126" w:type="dxa"/>
            <w:vAlign w:val="bottom"/>
          </w:tcPr>
          <w:p w14:paraId="0C03F32B" w14:textId="77777777" w:rsidR="00492785" w:rsidRPr="00775BEE" w:rsidRDefault="00492785" w:rsidP="00101F62">
            <w:pPr>
              <w:spacing w:after="0"/>
              <w:rPr>
                <w:rFonts w:asciiTheme="majorHAnsi" w:hAnsiTheme="majorHAnsi"/>
                <w:sz w:val="16"/>
                <w:szCs w:val="16"/>
              </w:rPr>
            </w:pPr>
            <w:r>
              <w:rPr>
                <w:rFonts w:asciiTheme="majorHAnsi" w:hAnsiTheme="majorHAnsi"/>
                <w:sz w:val="16"/>
                <w:szCs w:val="16"/>
              </w:rPr>
              <w:t xml:space="preserve">10 – Other </w:t>
            </w:r>
          </w:p>
        </w:tc>
        <w:tc>
          <w:tcPr>
            <w:tcW w:w="4394" w:type="dxa"/>
            <w:vAlign w:val="bottom"/>
          </w:tcPr>
          <w:p w14:paraId="0E9465A8" w14:textId="77777777" w:rsidR="00492785" w:rsidRPr="00775BEE" w:rsidRDefault="00492785" w:rsidP="00101F62">
            <w:pPr>
              <w:spacing w:after="0"/>
              <w:rPr>
                <w:rFonts w:asciiTheme="majorHAnsi" w:hAnsiTheme="majorHAnsi" w:cs="Arial"/>
                <w:color w:val="000000"/>
                <w:sz w:val="16"/>
                <w:szCs w:val="16"/>
              </w:rPr>
            </w:pPr>
            <w:r w:rsidRPr="00775BEE">
              <w:rPr>
                <w:rFonts w:asciiTheme="majorHAnsi" w:hAnsiTheme="majorHAnsi" w:cs="Arial"/>
                <w:color w:val="000000"/>
                <w:sz w:val="16"/>
                <w:szCs w:val="16"/>
              </w:rPr>
              <w:t xml:space="preserve">Other </w:t>
            </w:r>
            <w:r>
              <w:rPr>
                <w:rFonts w:asciiTheme="majorHAnsi" w:hAnsiTheme="majorHAnsi" w:cs="Arial"/>
                <w:color w:val="000000"/>
                <w:sz w:val="16"/>
                <w:szCs w:val="16"/>
              </w:rPr>
              <w:t>C</w:t>
            </w:r>
            <w:r w:rsidRPr="00775BEE">
              <w:rPr>
                <w:rFonts w:asciiTheme="majorHAnsi" w:hAnsiTheme="majorHAnsi" w:cs="Arial"/>
                <w:color w:val="000000"/>
                <w:sz w:val="16"/>
                <w:szCs w:val="16"/>
              </w:rPr>
              <w:t xml:space="preserve">reative </w:t>
            </w:r>
            <w:r>
              <w:rPr>
                <w:rFonts w:asciiTheme="majorHAnsi" w:hAnsiTheme="majorHAnsi" w:cs="Arial"/>
                <w:color w:val="000000"/>
                <w:sz w:val="16"/>
                <w:szCs w:val="16"/>
              </w:rPr>
              <w:t>A</w:t>
            </w:r>
            <w:r w:rsidRPr="00775BEE">
              <w:rPr>
                <w:rFonts w:asciiTheme="majorHAnsi" w:hAnsiTheme="majorHAnsi" w:cs="Arial"/>
                <w:color w:val="000000"/>
                <w:sz w:val="16"/>
                <w:szCs w:val="16"/>
              </w:rPr>
              <w:t>rts</w:t>
            </w:r>
          </w:p>
        </w:tc>
      </w:tr>
      <w:tr w:rsidR="00492785" w14:paraId="4A1333F5" w14:textId="77777777" w:rsidTr="00F47C96">
        <w:tc>
          <w:tcPr>
            <w:tcW w:w="1560" w:type="dxa"/>
          </w:tcPr>
          <w:p w14:paraId="742B4EE7" w14:textId="77777777" w:rsidR="00492785" w:rsidRDefault="00492785" w:rsidP="00101F62">
            <w:pPr>
              <w:spacing w:after="0"/>
              <w:rPr>
                <w:rFonts w:asciiTheme="majorHAnsi" w:hAnsiTheme="majorHAnsi"/>
                <w:sz w:val="16"/>
                <w:szCs w:val="16"/>
              </w:rPr>
            </w:pPr>
            <w:r>
              <w:rPr>
                <w:rFonts w:asciiTheme="majorHAnsi" w:hAnsiTheme="majorHAnsi"/>
                <w:sz w:val="16"/>
                <w:szCs w:val="16"/>
              </w:rPr>
              <w:t>21</w:t>
            </w:r>
          </w:p>
        </w:tc>
        <w:tc>
          <w:tcPr>
            <w:tcW w:w="2126" w:type="dxa"/>
            <w:vAlign w:val="bottom"/>
          </w:tcPr>
          <w:p w14:paraId="3C7EEEBA" w14:textId="77777777" w:rsidR="00492785" w:rsidRDefault="00492785" w:rsidP="00101F62">
            <w:pPr>
              <w:spacing w:after="0"/>
              <w:rPr>
                <w:rFonts w:asciiTheme="majorHAnsi" w:hAnsiTheme="majorHAnsi"/>
                <w:sz w:val="16"/>
                <w:szCs w:val="16"/>
              </w:rPr>
            </w:pPr>
            <w:r>
              <w:rPr>
                <w:rFonts w:asciiTheme="majorHAnsi" w:hAnsiTheme="majorHAnsi"/>
                <w:sz w:val="16"/>
                <w:szCs w:val="16"/>
              </w:rPr>
              <w:t>11</w:t>
            </w:r>
          </w:p>
        </w:tc>
        <w:tc>
          <w:tcPr>
            <w:tcW w:w="4394" w:type="dxa"/>
            <w:vAlign w:val="bottom"/>
          </w:tcPr>
          <w:p w14:paraId="6C992451" w14:textId="77777777" w:rsidR="00492785" w:rsidRPr="00775BEE" w:rsidRDefault="00492785" w:rsidP="00101F62">
            <w:pPr>
              <w:spacing w:after="0"/>
              <w:rPr>
                <w:rFonts w:asciiTheme="majorHAnsi" w:hAnsiTheme="majorHAnsi" w:cs="Arial"/>
                <w:color w:val="000000"/>
                <w:sz w:val="16"/>
                <w:szCs w:val="16"/>
              </w:rPr>
            </w:pPr>
            <w:r>
              <w:rPr>
                <w:rFonts w:asciiTheme="majorHAnsi" w:hAnsiTheme="majorHAnsi"/>
                <w:sz w:val="16"/>
                <w:szCs w:val="16"/>
              </w:rPr>
              <w:t>Food, Hospitality and Personal Services</w:t>
            </w:r>
          </w:p>
        </w:tc>
      </w:tr>
      <w:tr w:rsidR="00492785" w14:paraId="73D5E776" w14:textId="77777777" w:rsidTr="00F47C96">
        <w:tc>
          <w:tcPr>
            <w:tcW w:w="1560" w:type="dxa"/>
            <w:tcBorders>
              <w:bottom w:val="single" w:sz="4" w:space="0" w:color="000000" w:themeColor="text1"/>
            </w:tcBorders>
          </w:tcPr>
          <w:p w14:paraId="5DBD13A5" w14:textId="77777777" w:rsidR="00492785" w:rsidRDefault="00492785" w:rsidP="00101F62">
            <w:pPr>
              <w:spacing w:after="0"/>
              <w:rPr>
                <w:rFonts w:asciiTheme="majorHAnsi" w:hAnsiTheme="majorHAnsi"/>
                <w:sz w:val="16"/>
                <w:szCs w:val="16"/>
              </w:rPr>
            </w:pPr>
            <w:r>
              <w:rPr>
                <w:rFonts w:asciiTheme="majorHAnsi" w:hAnsiTheme="majorHAnsi"/>
                <w:sz w:val="16"/>
                <w:szCs w:val="16"/>
              </w:rPr>
              <w:t>22</w:t>
            </w:r>
          </w:p>
        </w:tc>
        <w:tc>
          <w:tcPr>
            <w:tcW w:w="2126" w:type="dxa"/>
            <w:tcBorders>
              <w:bottom w:val="single" w:sz="4" w:space="0" w:color="000000" w:themeColor="text1"/>
            </w:tcBorders>
            <w:vAlign w:val="bottom"/>
          </w:tcPr>
          <w:p w14:paraId="39A79262" w14:textId="77777777" w:rsidR="00492785" w:rsidRDefault="00492785" w:rsidP="00101F62">
            <w:pPr>
              <w:spacing w:after="0"/>
              <w:rPr>
                <w:rFonts w:asciiTheme="majorHAnsi" w:hAnsiTheme="majorHAnsi"/>
                <w:sz w:val="16"/>
                <w:szCs w:val="16"/>
              </w:rPr>
            </w:pPr>
            <w:r>
              <w:rPr>
                <w:rFonts w:asciiTheme="majorHAnsi" w:hAnsiTheme="majorHAnsi"/>
                <w:sz w:val="16"/>
                <w:szCs w:val="16"/>
              </w:rPr>
              <w:t>12</w:t>
            </w:r>
          </w:p>
        </w:tc>
        <w:tc>
          <w:tcPr>
            <w:tcW w:w="4394" w:type="dxa"/>
            <w:tcBorders>
              <w:bottom w:val="single" w:sz="4" w:space="0" w:color="000000" w:themeColor="text1"/>
            </w:tcBorders>
            <w:vAlign w:val="bottom"/>
          </w:tcPr>
          <w:p w14:paraId="6CA79397" w14:textId="77777777" w:rsidR="00492785" w:rsidRPr="00775BEE" w:rsidRDefault="00492785" w:rsidP="00101F62">
            <w:pPr>
              <w:spacing w:after="0"/>
              <w:rPr>
                <w:rFonts w:asciiTheme="majorHAnsi" w:hAnsiTheme="majorHAnsi" w:cs="Arial"/>
                <w:color w:val="000000"/>
                <w:sz w:val="16"/>
                <w:szCs w:val="16"/>
              </w:rPr>
            </w:pPr>
            <w:r>
              <w:rPr>
                <w:rFonts w:asciiTheme="majorHAnsi" w:hAnsiTheme="majorHAnsi" w:cs="Arial"/>
                <w:color w:val="000000"/>
                <w:sz w:val="16"/>
                <w:szCs w:val="16"/>
              </w:rPr>
              <w:t>Mixed Field Programmes</w:t>
            </w:r>
          </w:p>
        </w:tc>
      </w:tr>
      <w:tr w:rsidR="00492785" w14:paraId="395F054A" w14:textId="77777777" w:rsidTr="00F47C96">
        <w:tc>
          <w:tcPr>
            <w:tcW w:w="8080" w:type="dxa"/>
            <w:gridSpan w:val="3"/>
            <w:tcBorders>
              <w:top w:val="single" w:sz="4" w:space="0" w:color="000000" w:themeColor="text1"/>
              <w:bottom w:val="nil"/>
            </w:tcBorders>
          </w:tcPr>
          <w:p w14:paraId="701D9160" w14:textId="77777777" w:rsidR="00492785" w:rsidRPr="00261DDC" w:rsidRDefault="00492785" w:rsidP="00101F62">
            <w:pPr>
              <w:spacing w:after="0"/>
              <w:rPr>
                <w:rFonts w:asciiTheme="majorHAnsi" w:hAnsiTheme="majorHAnsi" w:cs="Arial"/>
                <w:color w:val="000000"/>
                <w:sz w:val="14"/>
                <w:szCs w:val="16"/>
              </w:rPr>
            </w:pPr>
            <w:r w:rsidRPr="00261DDC">
              <w:rPr>
                <w:rFonts w:asciiTheme="majorHAnsi" w:hAnsiTheme="majorHAnsi"/>
                <w:sz w:val="14"/>
                <w:szCs w:val="16"/>
              </w:rPr>
              <w:t xml:space="preserve">* This field </w:t>
            </w:r>
            <w:proofErr w:type="gramStart"/>
            <w:r w:rsidRPr="00261DDC">
              <w:rPr>
                <w:rFonts w:asciiTheme="majorHAnsi" w:hAnsiTheme="majorHAnsi"/>
                <w:sz w:val="14"/>
                <w:szCs w:val="16"/>
              </w:rPr>
              <w:t>is intended</w:t>
            </w:r>
            <w:proofErr w:type="gramEnd"/>
            <w:r w:rsidRPr="00261DDC">
              <w:rPr>
                <w:rFonts w:asciiTheme="majorHAnsi" w:hAnsiTheme="majorHAnsi"/>
                <w:sz w:val="14"/>
                <w:szCs w:val="16"/>
              </w:rPr>
              <w:t xml:space="preserve"> to represe</w:t>
            </w:r>
            <w:bookmarkStart w:id="540" w:name="_GoBack"/>
            <w:bookmarkEnd w:id="540"/>
            <w:r w:rsidRPr="00261DDC">
              <w:rPr>
                <w:rFonts w:asciiTheme="majorHAnsi" w:hAnsiTheme="majorHAnsi"/>
                <w:sz w:val="14"/>
                <w:szCs w:val="16"/>
              </w:rPr>
              <w:t>nt all psychology, not just ‘clinical psychology’.</w:t>
            </w:r>
          </w:p>
        </w:tc>
      </w:tr>
    </w:tbl>
    <w:p w14:paraId="0D5AB3A4" w14:textId="77777777" w:rsidR="00492785" w:rsidRDefault="00492785" w:rsidP="00492785"/>
    <w:p w14:paraId="6BAA4031" w14:textId="77777777" w:rsidR="00492785" w:rsidRPr="00A420A7" w:rsidRDefault="00492785" w:rsidP="00492785">
      <w:r>
        <w:t xml:space="preserve">The structure of the data collection template is not to </w:t>
      </w:r>
      <w:proofErr w:type="gramStart"/>
      <w:r>
        <w:t>be changed</w:t>
      </w:r>
      <w:proofErr w:type="gramEnd"/>
      <w:r>
        <w:t>, however the Deloitte Access Economics team welcomes suggestions from universities regarding any potential refinements for future versions of the survey.</w:t>
      </w:r>
    </w:p>
    <w:p w14:paraId="7D6D78AE" w14:textId="77777777" w:rsidR="00492785" w:rsidRDefault="00492785" w:rsidP="00146B33">
      <w:pPr>
        <w:pStyle w:val="Appendixhead3"/>
      </w:pPr>
      <w:bookmarkStart w:id="541" w:name="_Toc521918519"/>
      <w:r>
        <w:t>Which activities and costs are in-scope?</w:t>
      </w:r>
      <w:bookmarkEnd w:id="541"/>
    </w:p>
    <w:p w14:paraId="6BBBA62A" w14:textId="77777777" w:rsidR="00492785" w:rsidRDefault="00492785" w:rsidP="00492785">
      <w:r>
        <w:t xml:space="preserve">The focus of this research is to collect and analyse costs related to teaching and scholarship for 2017, such that only costs relevant to these activities should be included. Other university operations </w:t>
      </w:r>
      <w:proofErr w:type="gramStart"/>
      <w:r>
        <w:t>should be separated and excluded, such as costs related to research, community outreach and commercial activities (i.e. not related to teaching)</w:t>
      </w:r>
      <w:proofErr w:type="gramEnd"/>
      <w:r>
        <w:t>.</w:t>
      </w:r>
    </w:p>
    <w:p w14:paraId="18E29C4F" w14:textId="77777777" w:rsidR="00492785" w:rsidRDefault="00492785" w:rsidP="00492785">
      <w:r>
        <w:t xml:space="preserve">This study recognises that teaching requires some ‘scholarship’ activities, which are required to support teaching, i.e. activities that maintain and advance the knowledge of an academic discipline required </w:t>
      </w:r>
      <w:proofErr w:type="gramStart"/>
      <w:r>
        <w:t>for staff</w:t>
      </w:r>
      <w:proofErr w:type="gramEnd"/>
      <w:r>
        <w:t xml:space="preserve"> to deliver teaching and training. </w:t>
      </w:r>
    </w:p>
    <w:p w14:paraId="489350B3" w14:textId="77777777" w:rsidR="00492785" w:rsidRDefault="00492785" w:rsidP="00492785">
      <w:r>
        <w:t xml:space="preserve">The level of scholarship may vary across field of education, and may include activities such as: </w:t>
      </w:r>
    </w:p>
    <w:p w14:paraId="568BC03D" w14:textId="77777777" w:rsidR="00492785" w:rsidRDefault="00492785" w:rsidP="00492785">
      <w:pPr>
        <w:pStyle w:val="ListBullet"/>
        <w:numPr>
          <w:ilvl w:val="0"/>
          <w:numId w:val="23"/>
        </w:numPr>
      </w:pPr>
      <w:r>
        <w:t xml:space="preserve">Keeping up-to-date with contemporary discipline knowledge; </w:t>
      </w:r>
    </w:p>
    <w:p w14:paraId="4A5ABC80" w14:textId="77777777" w:rsidR="00492785" w:rsidRDefault="00492785" w:rsidP="00492785">
      <w:pPr>
        <w:pStyle w:val="ListBullet"/>
        <w:numPr>
          <w:ilvl w:val="0"/>
          <w:numId w:val="23"/>
        </w:numPr>
      </w:pPr>
      <w:r>
        <w:t xml:space="preserve">Writing textbooks or newspaper articles; </w:t>
      </w:r>
    </w:p>
    <w:p w14:paraId="15FE5A43" w14:textId="77777777" w:rsidR="00492785" w:rsidRDefault="00492785" w:rsidP="00492785">
      <w:pPr>
        <w:pStyle w:val="ListBullet"/>
        <w:numPr>
          <w:ilvl w:val="0"/>
          <w:numId w:val="23"/>
        </w:numPr>
      </w:pPr>
      <w:r>
        <w:t xml:space="preserve">Participating in conferences; </w:t>
      </w:r>
    </w:p>
    <w:p w14:paraId="59D9750F" w14:textId="77777777" w:rsidR="00492785" w:rsidRDefault="00492785" w:rsidP="00492785">
      <w:pPr>
        <w:pStyle w:val="ListBullet"/>
        <w:numPr>
          <w:ilvl w:val="0"/>
          <w:numId w:val="23"/>
        </w:numPr>
      </w:pPr>
      <w:r>
        <w:t xml:space="preserve">Delivering public lectures; and </w:t>
      </w:r>
    </w:p>
    <w:p w14:paraId="066CAD8C" w14:textId="77777777" w:rsidR="00492785" w:rsidRDefault="00492785" w:rsidP="00492785">
      <w:pPr>
        <w:pStyle w:val="ListBullet"/>
        <w:numPr>
          <w:ilvl w:val="0"/>
          <w:numId w:val="23"/>
        </w:numPr>
      </w:pPr>
      <w:r>
        <w:t>Participating in government enquires, among other relevant activities.</w:t>
      </w:r>
    </w:p>
    <w:p w14:paraId="124A9952" w14:textId="77777777" w:rsidR="00492785" w:rsidRDefault="00492785" w:rsidP="00492785">
      <w:r>
        <w:t xml:space="preserve">Universities are required </w:t>
      </w:r>
      <w:proofErr w:type="gramStart"/>
      <w:r>
        <w:t>to proportionally separate</w:t>
      </w:r>
      <w:proofErr w:type="gramEnd"/>
      <w:r>
        <w:t xml:space="preserve"> time spent by staff on teaching and scholarship activities, from other non-teaching activities. </w:t>
      </w:r>
      <w:r w:rsidRPr="00CB0B41">
        <w:t>Those staff who teach across multiple fields should have their costs appropriately partitioned across each of these fields based on staff time or alternatively EFTSL taught.</w:t>
      </w:r>
      <w:r>
        <w:t xml:space="preserve"> Based on the approach agreed in the 2016 study, other areas of university activity that are included to the extent that they </w:t>
      </w:r>
      <w:proofErr w:type="gramStart"/>
      <w:r>
        <w:t>are related</w:t>
      </w:r>
      <w:proofErr w:type="gramEnd"/>
      <w:r>
        <w:t xml:space="preserve"> to delivery of teaching are:</w:t>
      </w:r>
    </w:p>
    <w:p w14:paraId="52E8A0E0" w14:textId="77777777" w:rsidR="00492785" w:rsidRDefault="00492785" w:rsidP="00492785">
      <w:pPr>
        <w:pStyle w:val="ListBullet"/>
        <w:numPr>
          <w:ilvl w:val="0"/>
          <w:numId w:val="23"/>
        </w:numPr>
      </w:pPr>
      <w:r>
        <w:t xml:space="preserve">Student support and welfare systems; </w:t>
      </w:r>
    </w:p>
    <w:p w14:paraId="41709328" w14:textId="77777777" w:rsidR="00492785" w:rsidRDefault="00492785" w:rsidP="00492785">
      <w:pPr>
        <w:pStyle w:val="ListBullet"/>
        <w:numPr>
          <w:ilvl w:val="0"/>
          <w:numId w:val="23"/>
        </w:numPr>
      </w:pPr>
      <w:r>
        <w:t>Marketing related to teaching e.g. coursework student recruitment, or a reasonable proportion of brand marketing; and</w:t>
      </w:r>
    </w:p>
    <w:p w14:paraId="16CA40F2" w14:textId="77777777" w:rsidR="00492785" w:rsidRDefault="00492785" w:rsidP="00492785">
      <w:pPr>
        <w:pStyle w:val="ListBullet"/>
        <w:numPr>
          <w:ilvl w:val="0"/>
          <w:numId w:val="23"/>
        </w:numPr>
      </w:pPr>
      <w:r>
        <w:t>Central administration costs that relate to university operations.</w:t>
      </w:r>
    </w:p>
    <w:p w14:paraId="682A4E77" w14:textId="77777777" w:rsidR="00492785" w:rsidRDefault="00492785" w:rsidP="00492785">
      <w:pPr>
        <w:pStyle w:val="Heading3un-numbered"/>
      </w:pPr>
      <w:bookmarkStart w:id="542" w:name="_Toc521918520"/>
      <w:r>
        <w:t>Costs for low EFTSL</w:t>
      </w:r>
      <w:bookmarkEnd w:id="542"/>
      <w:r>
        <w:t xml:space="preserve"> </w:t>
      </w:r>
    </w:p>
    <w:p w14:paraId="3A11212B" w14:textId="77777777" w:rsidR="00492785" w:rsidRDefault="00492785" w:rsidP="00492785">
      <w:r>
        <w:t xml:space="preserve">Costing data </w:t>
      </w:r>
      <w:proofErr w:type="gramStart"/>
      <w:r>
        <w:t>will be collected</w:t>
      </w:r>
      <w:proofErr w:type="gramEnd"/>
      <w:r>
        <w:t xml:space="preserve"> for 22 fields of education by level of education, i.e. Management and Commerce at the bachelor level. </w:t>
      </w:r>
    </w:p>
    <w:p w14:paraId="3E3244B7" w14:textId="77777777" w:rsidR="00492785" w:rsidRDefault="00492785" w:rsidP="00492785">
      <w:r>
        <w:t xml:space="preserve">All field-level combinations are to </w:t>
      </w:r>
      <w:proofErr w:type="gramStart"/>
      <w:r>
        <w:t>be reported</w:t>
      </w:r>
      <w:proofErr w:type="gramEnd"/>
      <w:r>
        <w:t xml:space="preserve"> in the template. Minimum EFTSL thresholds </w:t>
      </w:r>
      <w:proofErr w:type="gramStart"/>
      <w:r>
        <w:t>will be applied</w:t>
      </w:r>
      <w:proofErr w:type="gramEnd"/>
      <w:r>
        <w:t xml:space="preserve"> in the reporting and analysis of data to exclude low EFTSL counts but institutions are asked to report all data as per the template even for field-level combinations with minimal EFTSL. </w:t>
      </w:r>
    </w:p>
    <w:p w14:paraId="2982EF02" w14:textId="77777777" w:rsidR="00492785" w:rsidRDefault="00492785" w:rsidP="00492785">
      <w:pPr>
        <w:pStyle w:val="Heading3un-numbered"/>
      </w:pPr>
      <w:bookmarkStart w:id="543" w:name="_Toc521918521"/>
      <w:r w:rsidRPr="00A420A7">
        <w:t>Irregular costs</w:t>
      </w:r>
      <w:bookmarkEnd w:id="543"/>
    </w:p>
    <w:p w14:paraId="1F17E0FE" w14:textId="77777777" w:rsidR="00492785" w:rsidRDefault="00492785" w:rsidP="00492785">
      <w:r w:rsidRPr="00A420A7">
        <w:t xml:space="preserve">Additional costs </w:t>
      </w:r>
      <w:proofErr w:type="gramStart"/>
      <w:r w:rsidRPr="00A420A7">
        <w:t>may be incurred</w:t>
      </w:r>
      <w:proofErr w:type="gramEnd"/>
      <w:r w:rsidRPr="00A420A7">
        <w:t xml:space="preserve"> in a given year</w:t>
      </w:r>
      <w:r>
        <w:t>, for example,</w:t>
      </w:r>
      <w:r w:rsidRPr="00A420A7">
        <w:t xml:space="preserve"> to </w:t>
      </w:r>
      <w:r>
        <w:t xml:space="preserve">support the development of new courses, or due to organisational restructures. These can be included in the template, but the irregular nature of these costs </w:t>
      </w:r>
      <w:proofErr w:type="gramStart"/>
      <w:r>
        <w:t>should be noted</w:t>
      </w:r>
      <w:proofErr w:type="gramEnd"/>
      <w:r>
        <w:t xml:space="preserve"> in the accompanying supporting statement.   </w:t>
      </w:r>
    </w:p>
    <w:p w14:paraId="721F2BC4" w14:textId="77777777" w:rsidR="00492785" w:rsidRDefault="00492785" w:rsidP="00146B33">
      <w:pPr>
        <w:pStyle w:val="Appendixhead3"/>
      </w:pPr>
      <w:bookmarkStart w:id="544" w:name="_Toc521918522"/>
      <w:r>
        <w:t xml:space="preserve">Which costs and activities </w:t>
      </w:r>
      <w:proofErr w:type="gramStart"/>
      <w:r>
        <w:t>should be excluded</w:t>
      </w:r>
      <w:proofErr w:type="gramEnd"/>
      <w:r>
        <w:t>?</w:t>
      </w:r>
      <w:bookmarkEnd w:id="544"/>
    </w:p>
    <w:p w14:paraId="30DEE096" w14:textId="77777777" w:rsidR="00492785" w:rsidRDefault="00492785" w:rsidP="00492785">
      <w:r>
        <w:t xml:space="preserve">All costs and activities not directly related to ‘teaching’ </w:t>
      </w:r>
      <w:proofErr w:type="gramStart"/>
      <w:r>
        <w:t>are considered out-of-scope and excluded from this analysis based on the scope for the exercise established by the Department</w:t>
      </w:r>
      <w:proofErr w:type="gramEnd"/>
      <w:r>
        <w:t xml:space="preserve">. A non-exhaustive list of activities and </w:t>
      </w:r>
      <w:proofErr w:type="gramStart"/>
      <w:r>
        <w:t>costs which should be excluded – based on the agreed approach in the 2016 exercise</w:t>
      </w:r>
      <w:proofErr w:type="gramEnd"/>
      <w:r>
        <w:t xml:space="preserve"> is provided below: </w:t>
      </w:r>
    </w:p>
    <w:p w14:paraId="715AA0FF" w14:textId="77777777" w:rsidR="00492785" w:rsidRDefault="00492785" w:rsidP="00492785">
      <w:pPr>
        <w:pStyle w:val="ListBullet"/>
        <w:numPr>
          <w:ilvl w:val="0"/>
          <w:numId w:val="23"/>
        </w:numPr>
      </w:pPr>
      <w:r>
        <w:t>Non-award program and enabling courses, and any education not reported to the Department as EFTSL, examples including;</w:t>
      </w:r>
    </w:p>
    <w:p w14:paraId="3CDF53EB" w14:textId="77777777" w:rsidR="00492785" w:rsidRDefault="00492785" w:rsidP="00492785">
      <w:pPr>
        <w:pStyle w:val="ListBullet"/>
        <w:numPr>
          <w:ilvl w:val="1"/>
          <w:numId w:val="23"/>
        </w:numPr>
      </w:pPr>
      <w:r>
        <w:t>English language commercial courses</w:t>
      </w:r>
    </w:p>
    <w:p w14:paraId="5EA32CD2" w14:textId="77777777" w:rsidR="00492785" w:rsidRDefault="00492785" w:rsidP="00492785">
      <w:pPr>
        <w:pStyle w:val="ListBullet"/>
        <w:numPr>
          <w:ilvl w:val="1"/>
          <w:numId w:val="23"/>
        </w:numPr>
      </w:pPr>
      <w:r>
        <w:t>Open Academies/continuing education businesses for Conservatorium</w:t>
      </w:r>
    </w:p>
    <w:p w14:paraId="34FB54F3" w14:textId="77777777" w:rsidR="00492785" w:rsidRDefault="00492785" w:rsidP="00492785">
      <w:pPr>
        <w:pStyle w:val="ListBullet"/>
        <w:numPr>
          <w:ilvl w:val="1"/>
          <w:numId w:val="23"/>
        </w:numPr>
      </w:pPr>
      <w:r>
        <w:t xml:space="preserve">Rural Schools for Medicine/Dentistry funded by State Governments  </w:t>
      </w:r>
    </w:p>
    <w:p w14:paraId="28F6ADE5" w14:textId="77777777" w:rsidR="00492785" w:rsidRDefault="00492785" w:rsidP="00492785">
      <w:pPr>
        <w:pStyle w:val="ListBullet"/>
        <w:numPr>
          <w:ilvl w:val="0"/>
          <w:numId w:val="23"/>
        </w:numPr>
      </w:pPr>
      <w:r>
        <w:lastRenderedPageBreak/>
        <w:t xml:space="preserve">Off-shore activity and international campuses; </w:t>
      </w:r>
    </w:p>
    <w:p w14:paraId="1A79E5D6" w14:textId="77777777" w:rsidR="00492785" w:rsidRDefault="00492785" w:rsidP="00492785">
      <w:pPr>
        <w:pStyle w:val="ListBullet"/>
        <w:numPr>
          <w:ilvl w:val="0"/>
          <w:numId w:val="23"/>
        </w:numPr>
      </w:pPr>
      <w:r>
        <w:t>Most commercial activities, including investments and investment funds management business (see further clarification in relation to commercial activities below);</w:t>
      </w:r>
    </w:p>
    <w:p w14:paraId="51730CB2" w14:textId="77777777" w:rsidR="00492785" w:rsidRDefault="00492785" w:rsidP="00492785">
      <w:pPr>
        <w:pStyle w:val="ListBullet"/>
        <w:numPr>
          <w:ilvl w:val="0"/>
          <w:numId w:val="23"/>
        </w:numPr>
      </w:pPr>
      <w:r>
        <w:t xml:space="preserve">Student and staff support services, provided on the basis of a fee for service or co-payment, for example childcare, health services (including IVF clinics), and student accommodation services </w:t>
      </w:r>
      <w:r>
        <w:rPr>
          <w:szCs w:val="18"/>
        </w:rPr>
        <w:t>(further clarification is provided below on services that are included to the extent that they contribute to education of students)</w:t>
      </w:r>
      <w:r>
        <w:t>;</w:t>
      </w:r>
    </w:p>
    <w:p w14:paraId="45BAED38" w14:textId="77777777" w:rsidR="00492785" w:rsidRDefault="00492785" w:rsidP="00492785">
      <w:pPr>
        <w:pStyle w:val="ListBullet"/>
        <w:numPr>
          <w:ilvl w:val="0"/>
          <w:numId w:val="23"/>
        </w:numPr>
      </w:pPr>
      <w:r>
        <w:t xml:space="preserve">Research activities, including research training and HDR supervision and expenditure related to research only staff; </w:t>
      </w:r>
    </w:p>
    <w:p w14:paraId="2F2B4E0B" w14:textId="77777777" w:rsidR="00492785" w:rsidRDefault="00492785" w:rsidP="00492785">
      <w:pPr>
        <w:pStyle w:val="ListBullet"/>
        <w:numPr>
          <w:ilvl w:val="0"/>
          <w:numId w:val="23"/>
        </w:numPr>
      </w:pPr>
      <w:r>
        <w:t xml:space="preserve">Marketing not related to coursework student recruitment; </w:t>
      </w:r>
    </w:p>
    <w:p w14:paraId="2B5DC787" w14:textId="77777777" w:rsidR="00492785" w:rsidRDefault="00492785" w:rsidP="00492785">
      <w:pPr>
        <w:pStyle w:val="ListBullet"/>
        <w:numPr>
          <w:ilvl w:val="0"/>
          <w:numId w:val="23"/>
        </w:numPr>
      </w:pPr>
      <w:r>
        <w:t xml:space="preserve">Philanthropic and community engagement activities; and </w:t>
      </w:r>
    </w:p>
    <w:p w14:paraId="47BC3D1D" w14:textId="77777777" w:rsidR="00492785" w:rsidRDefault="00492785" w:rsidP="00492785">
      <w:pPr>
        <w:pStyle w:val="ListBullet"/>
        <w:numPr>
          <w:ilvl w:val="0"/>
          <w:numId w:val="23"/>
        </w:numPr>
      </w:pPr>
      <w:r>
        <w:t xml:space="preserve">All activities and staff that are for VET-training or administration (where that training and administration does not overlap with higher education activity) </w:t>
      </w:r>
      <w:proofErr w:type="gramStart"/>
      <w:r>
        <w:t>are explicitly excluded</w:t>
      </w:r>
      <w:proofErr w:type="gramEnd"/>
      <w:r>
        <w:t xml:space="preserve">.  </w:t>
      </w:r>
    </w:p>
    <w:p w14:paraId="1B816EC8" w14:textId="77777777" w:rsidR="00492785" w:rsidRDefault="00492785" w:rsidP="00492785">
      <w:pPr>
        <w:pStyle w:val="Heading3un-numbered"/>
      </w:pPr>
      <w:bookmarkStart w:id="545" w:name="_Toc521918523"/>
      <w:r>
        <w:t>Other university activities (including commercial activities) which may have a teaching component</w:t>
      </w:r>
      <w:bookmarkEnd w:id="545"/>
    </w:p>
    <w:p w14:paraId="4F83C20D" w14:textId="77777777" w:rsidR="00492785" w:rsidRDefault="00492785" w:rsidP="00492785">
      <w:r>
        <w:t>Many university activities have multiple purposes, where one of those is to support teaching. For example, some commercial activities may also serve to provide teaching or placements to students.</w:t>
      </w:r>
    </w:p>
    <w:p w14:paraId="0CB84CEF" w14:textId="77777777" w:rsidR="00492785" w:rsidRDefault="00492785" w:rsidP="00492785">
      <w:r>
        <w:t xml:space="preserve">For activities with multiple purposes, universities should include an estimate of the portion of costs that is associated with teaching and report this in the template, while excluding any other costs unrelated to teaching. </w:t>
      </w:r>
    </w:p>
    <w:p w14:paraId="156C28FF" w14:textId="77777777" w:rsidR="00492785" w:rsidRDefault="00492785" w:rsidP="00492785">
      <w:r>
        <w:t xml:space="preserve">The aim is to capture the costs associated with teaching activities and to separate these from other costs associated with running other university activities (commercial or otherwise) that are not associated with teaching. </w:t>
      </w:r>
    </w:p>
    <w:p w14:paraId="716D6CA4" w14:textId="77777777" w:rsidR="00492785" w:rsidRDefault="00492785" w:rsidP="00492785">
      <w:r>
        <w:t xml:space="preserve">Since the focus is on the costs of teaching and scholarship, there is no requirement to offset these costs with revenue received. Commercial activities that have no role in teaching students </w:t>
      </w:r>
      <w:proofErr w:type="gramStart"/>
      <w:r>
        <w:t>are excluded</w:t>
      </w:r>
      <w:proofErr w:type="gramEnd"/>
      <w:r>
        <w:t xml:space="preserve"> from the scope of the data collection.</w:t>
      </w:r>
    </w:p>
    <w:p w14:paraId="0DEDBDA7" w14:textId="77777777" w:rsidR="00492785" w:rsidRDefault="00492785" w:rsidP="00492785">
      <w:r>
        <w:t xml:space="preserve">Examples of other university activities (including commercial activities) in which the costs of teaching may be included are:  </w:t>
      </w:r>
    </w:p>
    <w:p w14:paraId="74915CB2" w14:textId="77777777" w:rsidR="00492785" w:rsidRDefault="00492785" w:rsidP="00492785">
      <w:pPr>
        <w:pStyle w:val="ListBullet"/>
        <w:numPr>
          <w:ilvl w:val="0"/>
          <w:numId w:val="23"/>
        </w:numPr>
      </w:pPr>
      <w:r>
        <w:t>Veterinary teaching hospitals used for training veterinary students;</w:t>
      </w:r>
    </w:p>
    <w:p w14:paraId="079E1F3D" w14:textId="77777777" w:rsidR="00492785" w:rsidRDefault="00492785" w:rsidP="00492785">
      <w:pPr>
        <w:pStyle w:val="ListBullet"/>
        <w:numPr>
          <w:ilvl w:val="0"/>
          <w:numId w:val="23"/>
        </w:numPr>
      </w:pPr>
      <w:r>
        <w:t>Physio clinics used for training physiotherapy students;</w:t>
      </w:r>
    </w:p>
    <w:p w14:paraId="58212354" w14:textId="77777777" w:rsidR="00492785" w:rsidRDefault="00492785" w:rsidP="00492785">
      <w:pPr>
        <w:pStyle w:val="ListBullet"/>
        <w:numPr>
          <w:ilvl w:val="0"/>
          <w:numId w:val="23"/>
        </w:numPr>
      </w:pPr>
      <w:r>
        <w:t xml:space="preserve">Farms used for training agriculture students; </w:t>
      </w:r>
    </w:p>
    <w:p w14:paraId="0A5521E3" w14:textId="77777777" w:rsidR="00492785" w:rsidRDefault="00492785" w:rsidP="00492785">
      <w:pPr>
        <w:pStyle w:val="ListBullet"/>
        <w:numPr>
          <w:ilvl w:val="0"/>
          <w:numId w:val="23"/>
        </w:numPr>
      </w:pPr>
      <w:r>
        <w:t xml:space="preserve">Performing Arts theatres for training theatre and performance students; and </w:t>
      </w:r>
    </w:p>
    <w:p w14:paraId="7F01C92B" w14:textId="77777777" w:rsidR="00492785" w:rsidRDefault="00492785" w:rsidP="00492785">
      <w:pPr>
        <w:pStyle w:val="ListBullet"/>
        <w:numPr>
          <w:ilvl w:val="0"/>
          <w:numId w:val="23"/>
        </w:numPr>
      </w:pPr>
      <w:r>
        <w:t>Reciprocal arrangements in medical hospitals or medical clinics where services are provided in return for teaching services from non-University staff, e.g. professional administrative staff provided in return for ‘no cost teaching’ from hospital staff.</w:t>
      </w:r>
    </w:p>
    <w:p w14:paraId="028F704F" w14:textId="77777777" w:rsidR="00492785" w:rsidRDefault="00492785" w:rsidP="00492785">
      <w:pPr>
        <w:pStyle w:val="ListBullet"/>
        <w:numPr>
          <w:ilvl w:val="0"/>
          <w:numId w:val="0"/>
        </w:numPr>
      </w:pPr>
    </w:p>
    <w:p w14:paraId="53D43993" w14:textId="77777777" w:rsidR="00492785" w:rsidRDefault="00492785" w:rsidP="00492785">
      <w:pPr>
        <w:pStyle w:val="Heading3un-numbered"/>
      </w:pPr>
      <w:bookmarkStart w:id="546" w:name="_Toc521918524"/>
      <w:r>
        <w:t>Vocational Education and Training (VET) delivered by Dual-sector universities</w:t>
      </w:r>
      <w:bookmarkEnd w:id="546"/>
      <w:r>
        <w:t xml:space="preserve"> </w:t>
      </w:r>
    </w:p>
    <w:p w14:paraId="0FB1A30F" w14:textId="77777777" w:rsidR="00492785" w:rsidRDefault="00492785" w:rsidP="00492785">
      <w:pPr>
        <w:pStyle w:val="ListBullet"/>
        <w:numPr>
          <w:ilvl w:val="0"/>
          <w:numId w:val="0"/>
        </w:numPr>
      </w:pPr>
      <w:r>
        <w:t xml:space="preserve">Universities that also deliver </w:t>
      </w:r>
      <w:proofErr w:type="gramStart"/>
      <w:r>
        <w:t>VET-training</w:t>
      </w:r>
      <w:proofErr w:type="gramEnd"/>
      <w:r>
        <w:t xml:space="preserve"> should not include any enrolment activity in VET courses. </w:t>
      </w:r>
      <w:r w:rsidRPr="00CC7CC2">
        <w:t xml:space="preserve">All </w:t>
      </w:r>
      <w:r>
        <w:t xml:space="preserve">costs </w:t>
      </w:r>
      <w:r w:rsidRPr="00CC7CC2">
        <w:t xml:space="preserve">for VET-training or administration (where that training and administration does not overlap with higher education activity) </w:t>
      </w:r>
      <w:proofErr w:type="gramStart"/>
      <w:r w:rsidRPr="00CC7CC2">
        <w:t>are explicitly excluded</w:t>
      </w:r>
      <w:proofErr w:type="gramEnd"/>
      <w:r>
        <w:t>. However, all centralised administration costs associated with teaching of higher education students should be included.</w:t>
      </w:r>
    </w:p>
    <w:p w14:paraId="2CC93B16" w14:textId="77777777" w:rsidR="00492785" w:rsidRDefault="00492785" w:rsidP="00146B33">
      <w:pPr>
        <w:pStyle w:val="Appendixhead3"/>
      </w:pPr>
      <w:bookmarkStart w:id="547" w:name="_Ref519631433"/>
      <w:bookmarkStart w:id="548" w:name="_Toc521918525"/>
      <w:r>
        <w:t>Additional collection items</w:t>
      </w:r>
      <w:bookmarkEnd w:id="547"/>
      <w:bookmarkEnd w:id="548"/>
    </w:p>
    <w:p w14:paraId="3EEC7D27" w14:textId="77777777" w:rsidR="00492785" w:rsidRDefault="00492785" w:rsidP="00492785">
      <w:r>
        <w:t>B</w:t>
      </w:r>
      <w:r w:rsidRPr="00872536">
        <w:t xml:space="preserve">elow the main </w:t>
      </w:r>
      <w:r>
        <w:t>data</w:t>
      </w:r>
      <w:r w:rsidRPr="00872536">
        <w:t xml:space="preserve"> collection area of the </w:t>
      </w:r>
      <w:r>
        <w:t>Transparent Costing Worksheet</w:t>
      </w:r>
      <w:r w:rsidRPr="00872536">
        <w:t xml:space="preserve">, there are two additional items. These items are collected to inform a broader picture of costs, but </w:t>
      </w:r>
      <w:proofErr w:type="gramStart"/>
      <w:r w:rsidRPr="00872536">
        <w:t>are not used</w:t>
      </w:r>
      <w:proofErr w:type="gramEnd"/>
      <w:r w:rsidRPr="00872536">
        <w:t xml:space="preserve"> in reconciliation with financial reporting.</w:t>
      </w:r>
      <w:r>
        <w:t xml:space="preserve"> </w:t>
      </w:r>
    </w:p>
    <w:p w14:paraId="118A29EC" w14:textId="77777777" w:rsidR="00492785" w:rsidRDefault="00492785" w:rsidP="00492785">
      <w:pPr>
        <w:pStyle w:val="Heading3un-numbered"/>
      </w:pPr>
      <w:bookmarkStart w:id="549" w:name="_Toc521918526"/>
      <w:r>
        <w:t>Third party and partnership arrangement costs</w:t>
      </w:r>
      <w:bookmarkEnd w:id="549"/>
      <w:r>
        <w:t xml:space="preserve"> </w:t>
      </w:r>
    </w:p>
    <w:p w14:paraId="7C76F3A9" w14:textId="77777777" w:rsidR="00492785" w:rsidRDefault="00492785" w:rsidP="00492785">
      <w:r>
        <w:t xml:space="preserve">All costs to the institution related to the delivery of teaching by any partner organisations (for EFTSL applicable to the institution) are to be included, as well as any administrative and management costs associated with the partnership agreement attributable to teaching. </w:t>
      </w:r>
    </w:p>
    <w:p w14:paraId="7A6E8BAF" w14:textId="77777777" w:rsidR="00492785" w:rsidRDefault="00492785" w:rsidP="00492785">
      <w:r w:rsidRPr="00CC7CC2">
        <w:lastRenderedPageBreak/>
        <w:t xml:space="preserve">The key principle </w:t>
      </w:r>
      <w:r>
        <w:t xml:space="preserve">in assigning partnership costs </w:t>
      </w:r>
      <w:r w:rsidRPr="00CC7CC2">
        <w:t>is that all teaching costs</w:t>
      </w:r>
      <w:r>
        <w:t xml:space="preserve"> (or reasonable proxies thereof)</w:t>
      </w:r>
      <w:r w:rsidRPr="00CC7CC2">
        <w:t xml:space="preserve"> should be included. If this involves</w:t>
      </w:r>
      <w:r>
        <w:t>, for example,</w:t>
      </w:r>
      <w:r w:rsidRPr="00CC7CC2">
        <w:t xml:space="preserve"> the sharing of revenue with partner institutions, the revenue </w:t>
      </w:r>
      <w:r>
        <w:t xml:space="preserve">(foregone) which </w:t>
      </w:r>
      <w:r w:rsidRPr="00CC7CC2">
        <w:t>accru</w:t>
      </w:r>
      <w:r>
        <w:t>es</w:t>
      </w:r>
      <w:r w:rsidRPr="00CC7CC2">
        <w:t xml:space="preserve"> to the partner for the purposes of teaching can be included</w:t>
      </w:r>
      <w:r>
        <w:t>, as this represents a reasonable proxy for teaching costs</w:t>
      </w:r>
      <w:r w:rsidRPr="00CC7CC2">
        <w:t>.</w:t>
      </w:r>
      <w:r>
        <w:t xml:space="preserve"> </w:t>
      </w:r>
    </w:p>
    <w:p w14:paraId="7DF1AAFC" w14:textId="77777777" w:rsidR="00492785" w:rsidRDefault="00492785" w:rsidP="00492785">
      <w:r>
        <w:t>However, costs which are incurred (or estimated to have been incurred) by a partner organisation may need to be recorded in a different part of the Transparent Costing Worksheet to costs incurred by universities.</w:t>
      </w:r>
    </w:p>
    <w:p w14:paraId="3B3993D6" w14:textId="77777777" w:rsidR="00492785" w:rsidRDefault="00492785" w:rsidP="00492785">
      <w:r>
        <w:t xml:space="preserve">Where universities incur teaching costs in relation to a partnership </w:t>
      </w:r>
      <w:proofErr w:type="gramStart"/>
      <w:r>
        <w:t>agreement which</w:t>
      </w:r>
      <w:proofErr w:type="gramEnd"/>
      <w:r>
        <w:t xml:space="preserve"> would be recorded in their statutory accounts, these costs are to be included in the main cost collection area of the Transparent Costing Worksheet (i.e. above the line). This could include teaching, administration or management costs incurred by the university itself or payments to third parties for teaching activities. </w:t>
      </w:r>
    </w:p>
    <w:p w14:paraId="2AE9502F" w14:textId="77777777" w:rsidR="00492785" w:rsidRPr="00CC7CC2" w:rsidRDefault="00492785" w:rsidP="00492785">
      <w:r>
        <w:t xml:space="preserve">In cases where costs related to teaching are incurred by a partner organisation, and this is </w:t>
      </w:r>
      <w:proofErr w:type="spellStart"/>
      <w:r>
        <w:t>proxied</w:t>
      </w:r>
      <w:proofErr w:type="spellEnd"/>
      <w:r>
        <w:t xml:space="preserve"> by the revenue that partner organisation receives, this revenue can be recorded in a separate line item below ‘Total teaching and scholarship costs’ labelled ‘Third-party and partnership costs’ (i.e. below the line). Notably, these costs will not appear in a university’s statutory accounts. </w:t>
      </w:r>
    </w:p>
    <w:p w14:paraId="53B5F3F0" w14:textId="77777777" w:rsidR="00492785" w:rsidRDefault="00492785" w:rsidP="00492785">
      <w:r>
        <w:t>While each university relationship with a partner organisation may vary, there are likely to be some common types of arrangements, for example:</w:t>
      </w:r>
    </w:p>
    <w:p w14:paraId="065C285D" w14:textId="77777777" w:rsidR="00492785" w:rsidRDefault="00492785" w:rsidP="00492785">
      <w:pPr>
        <w:pStyle w:val="ListBullet"/>
        <w:numPr>
          <w:ilvl w:val="0"/>
          <w:numId w:val="23"/>
        </w:numPr>
      </w:pPr>
      <w:r>
        <w:t xml:space="preserve">A university may collect all revenue (and report the EFTSL), while the partner institution delivers all teaching. The partner receives some share of the revenue collected as payment. In the likely absence of cost data for the partner instruction, the revenue shared is likely to be a suitable measure of the cost of teaching, and </w:t>
      </w:r>
      <w:proofErr w:type="gramStart"/>
      <w:r>
        <w:t>should be used</w:t>
      </w:r>
      <w:proofErr w:type="gramEnd"/>
      <w:r>
        <w:t xml:space="preserve"> as a proxy measure of the actual cost of teaching. The revenue shared should be included in the separate line item for third party and partnership costs. </w:t>
      </w:r>
    </w:p>
    <w:p w14:paraId="18853A06" w14:textId="77777777" w:rsidR="00492785" w:rsidRDefault="00492785" w:rsidP="00492785">
      <w:pPr>
        <w:pStyle w:val="ListBullet"/>
        <w:numPr>
          <w:ilvl w:val="0"/>
          <w:numId w:val="23"/>
        </w:numPr>
      </w:pPr>
      <w:r>
        <w:t xml:space="preserve">A university may collect all revenue and subcontract additional teaching requirements to a partner institution. The partner charges additional fees to students in order to cover the costs of additional tuition. In this instance, no additional considerations are required for the partner institution, as there are no additional costs to the university. </w:t>
      </w:r>
    </w:p>
    <w:p w14:paraId="4A0FC189" w14:textId="77777777" w:rsidR="00492785" w:rsidRDefault="00492785" w:rsidP="00492785">
      <w:r>
        <w:t xml:space="preserve">In some instances, the EFTSL </w:t>
      </w:r>
      <w:proofErr w:type="gramStart"/>
      <w:r>
        <w:t>may be recorded</w:t>
      </w:r>
      <w:proofErr w:type="gramEnd"/>
      <w:r>
        <w:t xml:space="preserve"> to the partner institution (and not the host university). As the EFTSL is not attributable, no costs of teaching are to be included.</w:t>
      </w:r>
    </w:p>
    <w:p w14:paraId="598077F0" w14:textId="77777777" w:rsidR="00492785" w:rsidRDefault="00492785" w:rsidP="00492785">
      <w:pPr>
        <w:pStyle w:val="Heading3un-numbered"/>
      </w:pPr>
      <w:bookmarkStart w:id="550" w:name="_Toc521918527"/>
      <w:r>
        <w:t>Indirect or ‘In-kind’ costs of teaching</w:t>
      </w:r>
      <w:bookmarkEnd w:id="550"/>
    </w:p>
    <w:p w14:paraId="308623DB" w14:textId="77777777" w:rsidR="00492785" w:rsidRPr="007C4FAE" w:rsidRDefault="00492785" w:rsidP="00492785">
      <w:r w:rsidRPr="00AF5D84">
        <w:rPr>
          <w:iCs/>
        </w:rPr>
        <w:t xml:space="preserve">In some instances, teaching may be delivered by another institution, or using another institution’s staff or other resources.  The university may provide certain resources ‘in kind’ in relation to this teaching.  Such ‘in kind’ contributions may include use of university buildings, research and library facilities or other resources. </w:t>
      </w:r>
    </w:p>
    <w:p w14:paraId="251A5117" w14:textId="77777777" w:rsidR="00492785" w:rsidRPr="007C4FAE" w:rsidRDefault="00492785" w:rsidP="00492785">
      <w:r w:rsidRPr="00AF5D84">
        <w:rPr>
          <w:iCs/>
        </w:rPr>
        <w:t xml:space="preserve"> Universities may include a reasonable estimate of their ‘in kind’ costs such as the building and facility utilisation, staff time or other resources that they provide to the other institution. Only the ‘in kind’ costs to the university in the teaching arrangement should be </w:t>
      </w:r>
      <w:proofErr w:type="gramStart"/>
      <w:r w:rsidRPr="00AF5D84">
        <w:rPr>
          <w:iCs/>
        </w:rPr>
        <w:t>included,</w:t>
      </w:r>
      <w:proofErr w:type="gramEnd"/>
      <w:r w:rsidRPr="00AF5D84">
        <w:rPr>
          <w:iCs/>
        </w:rPr>
        <w:t xml:space="preserve"> and not any costs borne by the other institutions.</w:t>
      </w:r>
    </w:p>
    <w:p w14:paraId="7DA5B299" w14:textId="77777777" w:rsidR="00492785" w:rsidRDefault="00492785" w:rsidP="00492785">
      <w:r w:rsidRPr="00AF5D84">
        <w:rPr>
          <w:iCs/>
        </w:rPr>
        <w:t xml:space="preserve"> These ‘in-kind’ costs will need to be </w:t>
      </w:r>
      <w:proofErr w:type="gramStart"/>
      <w:r w:rsidRPr="00AF5D84">
        <w:rPr>
          <w:iCs/>
        </w:rPr>
        <w:t>converted</w:t>
      </w:r>
      <w:proofErr w:type="gramEnd"/>
      <w:r w:rsidRPr="00AF5D84">
        <w:rPr>
          <w:iCs/>
        </w:rPr>
        <w:t xml:space="preserve"> to a dollar figure and included in the template. The high-level process for calculating ‘in-kind’ costs and any relevant considerations in interpreting these figures should be included in the supporting statement</w:t>
      </w:r>
      <w:r>
        <w:rPr>
          <w:i/>
          <w:iCs/>
        </w:rPr>
        <w:t xml:space="preserve">.  </w:t>
      </w:r>
    </w:p>
    <w:p w14:paraId="58C19037" w14:textId="77777777" w:rsidR="00492785" w:rsidRDefault="00492785" w:rsidP="00146B33">
      <w:pPr>
        <w:pStyle w:val="Appendixhead3"/>
      </w:pPr>
      <w:r>
        <w:t xml:space="preserve">  </w:t>
      </w:r>
      <w:bookmarkStart w:id="551" w:name="_Toc519766607"/>
      <w:bookmarkStart w:id="552" w:name="_Toc519766608"/>
      <w:bookmarkStart w:id="553" w:name="_Toc519766609"/>
      <w:bookmarkStart w:id="554" w:name="_Toc519766610"/>
      <w:bookmarkStart w:id="555" w:name="_Toc519766611"/>
      <w:bookmarkStart w:id="556" w:name="_Toc519766612"/>
      <w:bookmarkStart w:id="557" w:name="_Toc519766613"/>
      <w:bookmarkStart w:id="558" w:name="_Toc519766614"/>
      <w:bookmarkStart w:id="559" w:name="_Toc521918528"/>
      <w:bookmarkEnd w:id="551"/>
      <w:bookmarkEnd w:id="552"/>
      <w:bookmarkEnd w:id="553"/>
      <w:bookmarkEnd w:id="554"/>
      <w:bookmarkEnd w:id="555"/>
      <w:bookmarkEnd w:id="556"/>
      <w:bookmarkEnd w:id="557"/>
      <w:bookmarkEnd w:id="558"/>
      <w:r>
        <w:t>Staff costs: Allocating between teaching, scholarship and research</w:t>
      </w:r>
      <w:bookmarkEnd w:id="559"/>
    </w:p>
    <w:p w14:paraId="14C678E8" w14:textId="77777777" w:rsidR="00492785" w:rsidRDefault="00492785" w:rsidP="00492785">
      <w:r>
        <w:t xml:space="preserve">To estimate the costs of teaching, only staffing costs related to ‘teaching and scholarship’ are to be included in the data collection. Universities will have different methods of allocating staff activities and costs between teaching, scholarship and research (and others). Common methods include: </w:t>
      </w:r>
    </w:p>
    <w:p w14:paraId="1D19177A" w14:textId="77777777" w:rsidR="00492785" w:rsidRDefault="00492785" w:rsidP="00492785">
      <w:pPr>
        <w:pStyle w:val="ListBullet"/>
        <w:numPr>
          <w:ilvl w:val="0"/>
          <w:numId w:val="23"/>
        </w:numPr>
      </w:pPr>
      <w:r>
        <w:t xml:space="preserve">Activity-based costing tools; </w:t>
      </w:r>
    </w:p>
    <w:p w14:paraId="66A669D3" w14:textId="77777777" w:rsidR="00492785" w:rsidRDefault="00492785" w:rsidP="00492785">
      <w:pPr>
        <w:pStyle w:val="ListBullet"/>
        <w:numPr>
          <w:ilvl w:val="0"/>
          <w:numId w:val="23"/>
        </w:numPr>
      </w:pPr>
      <w:r>
        <w:t xml:space="preserve">Detailed timesheets; </w:t>
      </w:r>
    </w:p>
    <w:p w14:paraId="1936C0EF" w14:textId="77777777" w:rsidR="00492785" w:rsidRDefault="00492785" w:rsidP="00492785">
      <w:pPr>
        <w:pStyle w:val="ListBullet"/>
        <w:numPr>
          <w:ilvl w:val="0"/>
          <w:numId w:val="23"/>
        </w:numPr>
      </w:pPr>
      <w:r>
        <w:t>Workload models; and</w:t>
      </w:r>
    </w:p>
    <w:p w14:paraId="64945F46" w14:textId="77777777" w:rsidR="00492785" w:rsidRDefault="00492785" w:rsidP="00492785">
      <w:pPr>
        <w:pStyle w:val="ListBullet"/>
        <w:numPr>
          <w:ilvl w:val="0"/>
          <w:numId w:val="23"/>
        </w:numPr>
      </w:pPr>
      <w:r>
        <w:lastRenderedPageBreak/>
        <w:t>Enterprise Bargaining Agreements and other employment contracts that dictate specific allocations of time.</w:t>
      </w:r>
    </w:p>
    <w:p w14:paraId="2B17E117" w14:textId="77777777" w:rsidR="00492785" w:rsidRDefault="00492785" w:rsidP="00492785">
      <w:r>
        <w:t xml:space="preserve">Universities should use the most rigorous and consistent method of allocating staff activities available to them to reflect the true time spent on teaching and scholarship. Where detailed time allocation data is not available, reasonable assumptions </w:t>
      </w:r>
      <w:proofErr w:type="gramStart"/>
      <w:r>
        <w:t>can be used</w:t>
      </w:r>
      <w:proofErr w:type="gramEnd"/>
      <w:r>
        <w:t xml:space="preserve">. </w:t>
      </w:r>
    </w:p>
    <w:p w14:paraId="4E22EEF8" w14:textId="77777777" w:rsidR="00492785" w:rsidRDefault="00492785" w:rsidP="00492785">
      <w:pPr>
        <w:pStyle w:val="ListBullet"/>
        <w:numPr>
          <w:ilvl w:val="0"/>
          <w:numId w:val="0"/>
        </w:numPr>
      </w:pPr>
      <w:r>
        <w:t xml:space="preserve">If administrative costs </w:t>
      </w:r>
      <w:proofErr w:type="gramStart"/>
      <w:r>
        <w:t>would be incurred</w:t>
      </w:r>
      <w:proofErr w:type="gramEnd"/>
      <w:r>
        <w:t xml:space="preserve"> even in the absence of other activities, such as research or commercial activities, they should be included in teaching costs.</w:t>
      </w:r>
    </w:p>
    <w:p w14:paraId="2D36821A" w14:textId="77777777" w:rsidR="00492785" w:rsidRDefault="00492785" w:rsidP="00146B33">
      <w:pPr>
        <w:pStyle w:val="Appendixhead3"/>
      </w:pPr>
      <w:bookmarkStart w:id="560" w:name="_Toc521918529"/>
      <w:r>
        <w:t>Non-staff costs: allocating assets and facilities costs across different fields of education</w:t>
      </w:r>
      <w:bookmarkEnd w:id="560"/>
    </w:p>
    <w:p w14:paraId="1F29E967" w14:textId="77777777" w:rsidR="00492785" w:rsidRDefault="00492785" w:rsidP="00492785">
      <w:r>
        <w:t xml:space="preserve">Similar to staffing costs, only the proportion of asset and facilities costs that relate to delivering teaching should be included in the data collection. </w:t>
      </w:r>
    </w:p>
    <w:p w14:paraId="25EBD29C" w14:textId="77777777" w:rsidR="00492785" w:rsidRDefault="00492785" w:rsidP="00492785">
      <w:r>
        <w:t xml:space="preserve">In the 2016 exercise, universities used various approaches to allocate non-salary costs to different FOES. The approaches tended to be based on the drivers that were judged </w:t>
      </w:r>
      <w:proofErr w:type="gramStart"/>
      <w:r>
        <w:t>to be most</w:t>
      </w:r>
      <w:proofErr w:type="gramEnd"/>
      <w:r>
        <w:t xml:space="preserve"> appropriate for each cost category. Some of the common drivers used included:</w:t>
      </w:r>
    </w:p>
    <w:p w14:paraId="62FB7B5E" w14:textId="77777777" w:rsidR="00492785" w:rsidRDefault="00492785" w:rsidP="00492785">
      <w:pPr>
        <w:pStyle w:val="ListBullet"/>
        <w:numPr>
          <w:ilvl w:val="0"/>
          <w:numId w:val="23"/>
        </w:numPr>
      </w:pPr>
      <w:r>
        <w:t>floor space – used to apportion building (depreciation or maintenance) costs across FOEs;</w:t>
      </w:r>
    </w:p>
    <w:p w14:paraId="64B8B70A" w14:textId="77777777" w:rsidR="00492785" w:rsidRDefault="00492785" w:rsidP="00492785">
      <w:pPr>
        <w:pStyle w:val="ListBullet"/>
        <w:numPr>
          <w:ilvl w:val="0"/>
          <w:numId w:val="23"/>
        </w:numPr>
      </w:pPr>
      <w:r>
        <w:t>FTEs – used to apportion staff support services (such as a university’s finance function);</w:t>
      </w:r>
    </w:p>
    <w:p w14:paraId="1D52D812" w14:textId="77777777" w:rsidR="00492785" w:rsidRDefault="00492785" w:rsidP="00492785">
      <w:pPr>
        <w:pStyle w:val="ListBullet"/>
        <w:numPr>
          <w:ilvl w:val="0"/>
          <w:numId w:val="23"/>
        </w:numPr>
      </w:pPr>
      <w:r>
        <w:t>EFTSL – used to apportion non-salary costs driven by students (such as student support services); and</w:t>
      </w:r>
    </w:p>
    <w:p w14:paraId="0E37F16D" w14:textId="77777777" w:rsidR="00492785" w:rsidRDefault="00492785" w:rsidP="00492785">
      <w:pPr>
        <w:pStyle w:val="ListBullet"/>
        <w:numPr>
          <w:ilvl w:val="0"/>
          <w:numId w:val="23"/>
        </w:numPr>
      </w:pPr>
      <w:proofErr w:type="gramStart"/>
      <w:r>
        <w:t>enrolment</w:t>
      </w:r>
      <w:proofErr w:type="gramEnd"/>
      <w:r>
        <w:t xml:space="preserve"> headcount – used to apportion those costs driven by student numbers rather than load intensity (such as IT or enrolment costs).</w:t>
      </w:r>
    </w:p>
    <w:p w14:paraId="13358FA2" w14:textId="77777777" w:rsidR="00492785" w:rsidRDefault="00492785" w:rsidP="00492785">
      <w:r>
        <w:t xml:space="preserve">Other potential </w:t>
      </w:r>
      <w:proofErr w:type="gramStart"/>
      <w:r>
        <w:t>drivers which could be used</w:t>
      </w:r>
      <w:proofErr w:type="gramEnd"/>
      <w:r>
        <w:t xml:space="preserve"> include: whether the student is a domestic or international student; level of study; delivery mode and number of staff by type. Deloitte will discuss the approach used with individual institutions to ensure consistency across the data collection exercise. </w:t>
      </w:r>
    </w:p>
    <w:p w14:paraId="08D3F3B3" w14:textId="77777777" w:rsidR="00492785" w:rsidRDefault="00492785" w:rsidP="00492785">
      <w:r>
        <w:t xml:space="preserve">Instances of underutilisation attributable to teaching </w:t>
      </w:r>
      <w:proofErr w:type="gramStart"/>
      <w:r>
        <w:t>can be apportioned</w:t>
      </w:r>
      <w:proofErr w:type="gramEnd"/>
      <w:r>
        <w:t xml:space="preserve"> centrally. These central costs </w:t>
      </w:r>
      <w:proofErr w:type="gramStart"/>
      <w:r>
        <w:t>can then be allocated</w:t>
      </w:r>
      <w:proofErr w:type="gramEnd"/>
      <w:r>
        <w:t xml:space="preserve"> equally across all university EFTSL. </w:t>
      </w:r>
    </w:p>
    <w:p w14:paraId="4638D632" w14:textId="77777777" w:rsidR="00492785" w:rsidRDefault="00492785" w:rsidP="00492785">
      <w:r>
        <w:t xml:space="preserve">EFTSL data </w:t>
      </w:r>
      <w:proofErr w:type="gramStart"/>
      <w:r>
        <w:t>will be pre-populated</w:t>
      </w:r>
      <w:proofErr w:type="gramEnd"/>
      <w:r>
        <w:t xml:space="preserve"> in the data collection template at the beginning of the data collection process for participating universities in 2018.</w:t>
      </w:r>
      <w:bookmarkStart w:id="561" w:name="_Toc517783467"/>
      <w:bookmarkEnd w:id="561"/>
    </w:p>
    <w:p w14:paraId="0D7E1089" w14:textId="77777777" w:rsidR="00492785" w:rsidRDefault="00492785" w:rsidP="00146B33">
      <w:pPr>
        <w:pStyle w:val="Appendixhead3"/>
      </w:pPr>
      <w:bookmarkStart w:id="562" w:name="_Toc521918530"/>
      <w:r>
        <w:t>Capital replacement costs</w:t>
      </w:r>
      <w:bookmarkEnd w:id="562"/>
      <w:r>
        <w:t xml:space="preserve"> </w:t>
      </w:r>
    </w:p>
    <w:p w14:paraId="384D1F7A" w14:textId="77777777" w:rsidR="00492785" w:rsidRPr="00E41752" w:rsidRDefault="00492785" w:rsidP="00492785">
      <w:r w:rsidRPr="00E41752">
        <w:t>Costs associated with asset and capital management including depreciation, amortisation, repairs and maintenance should be included in the template, as reflected in universities’ financial reporting.</w:t>
      </w:r>
    </w:p>
    <w:p w14:paraId="01BD5EA5" w14:textId="77777777" w:rsidR="00492785" w:rsidRPr="00546722" w:rsidRDefault="00492785" w:rsidP="00492785">
      <w:r>
        <w:t>I</w:t>
      </w:r>
      <w:r w:rsidRPr="00E41752">
        <w:t xml:space="preserve">t </w:t>
      </w:r>
      <w:proofErr w:type="gramStart"/>
      <w:r w:rsidRPr="00E41752">
        <w:t>is noted</w:t>
      </w:r>
      <w:proofErr w:type="gramEnd"/>
      <w:r w:rsidRPr="00E41752">
        <w:t xml:space="preserve"> that </w:t>
      </w:r>
      <w:r>
        <w:t>future</w:t>
      </w:r>
      <w:r w:rsidRPr="00E41752">
        <w:t xml:space="preserve"> upgrades</w:t>
      </w:r>
      <w:r>
        <w:t>,</w:t>
      </w:r>
      <w:r w:rsidRPr="00E41752">
        <w:t xml:space="preserve"> refurbishment</w:t>
      </w:r>
      <w:r>
        <w:t xml:space="preserve">, or replacement of an </w:t>
      </w:r>
      <w:r w:rsidRPr="00E41752">
        <w:t>asset may be needed, due to changes in function, new pedagogy, technological advancement or changes in legal or regulatory requirements.</w:t>
      </w:r>
      <w:r w:rsidRPr="00546722">
        <w:t xml:space="preserve"> </w:t>
      </w:r>
      <w:r>
        <w:t>This</w:t>
      </w:r>
      <w:r w:rsidRPr="005F0E07">
        <w:t xml:space="preserve"> provisioning for future capital expenditure via retained </w:t>
      </w:r>
      <w:r>
        <w:t>operating margins</w:t>
      </w:r>
      <w:r w:rsidRPr="005F0E07">
        <w:t>, borrowing, and/or other means is a</w:t>
      </w:r>
      <w:r>
        <w:t>n</w:t>
      </w:r>
      <w:r w:rsidRPr="005F0E07">
        <w:t xml:space="preserve"> important consideration for universities.</w:t>
      </w:r>
      <w:r>
        <w:t xml:space="preserve"> This future provisioning </w:t>
      </w:r>
      <w:proofErr w:type="gramStart"/>
      <w:r>
        <w:t>should nonetheless be kept</w:t>
      </w:r>
      <w:proofErr w:type="gramEnd"/>
      <w:r>
        <w:t xml:space="preserve"> separate from current depreciation and asset costs in the template.</w:t>
      </w:r>
    </w:p>
    <w:p w14:paraId="58E492D1" w14:textId="77777777" w:rsidR="00492785" w:rsidRDefault="00492785" w:rsidP="00492785">
      <w:r>
        <w:t>U</w:t>
      </w:r>
      <w:r w:rsidRPr="00A507D0">
        <w:t>niversities</w:t>
      </w:r>
      <w:r>
        <w:t xml:space="preserve"> are able to</w:t>
      </w:r>
      <w:r w:rsidRPr="00A507D0">
        <w:t xml:space="preserve"> provide a d</w:t>
      </w:r>
      <w:r>
        <w:t xml:space="preserve">escription </w:t>
      </w:r>
      <w:r w:rsidRPr="00A507D0">
        <w:t xml:space="preserve">of their processes and budget for sufficient </w:t>
      </w:r>
      <w:r>
        <w:t xml:space="preserve">future investment </w:t>
      </w:r>
      <w:r w:rsidRPr="00A507D0">
        <w:t xml:space="preserve">as part of the </w:t>
      </w:r>
      <w:r>
        <w:t>supporting</w:t>
      </w:r>
      <w:r w:rsidRPr="00A507D0">
        <w:t xml:space="preserve"> s</w:t>
      </w:r>
      <w:r>
        <w:t xml:space="preserve">tatement that will accompany the Transparent Costing Worksheet. Some universities have also noted that there may be reasons why the stated level of depreciation, amortisation and repairs and maintenance in their statutory accounts may be understated. Again, universities can use the supporting statement to outline reasons why stated levels of depreciation may not reflect the true rate of depreciation on their assets. </w:t>
      </w:r>
    </w:p>
    <w:p w14:paraId="53E14294" w14:textId="77777777" w:rsidR="00492785" w:rsidRDefault="00492785" w:rsidP="00146B33">
      <w:pPr>
        <w:pStyle w:val="Appendixhead3"/>
      </w:pPr>
      <w:bookmarkStart w:id="563" w:name="_Toc521413313"/>
      <w:bookmarkStart w:id="564" w:name="_Toc520208144"/>
      <w:bookmarkStart w:id="565" w:name="_Toc521918531"/>
      <w:bookmarkEnd w:id="563"/>
      <w:bookmarkEnd w:id="564"/>
      <w:r>
        <w:t>Trimesters and summer semesters</w:t>
      </w:r>
      <w:bookmarkEnd w:id="565"/>
    </w:p>
    <w:p w14:paraId="03C412C4" w14:textId="77777777" w:rsidR="00492785" w:rsidRDefault="00492785" w:rsidP="00492785">
      <w:pPr>
        <w:jc w:val="both"/>
      </w:pPr>
      <w:r>
        <w:t xml:space="preserve">Many universities offer summer subjects or a trimester option for students. For subjects/units that have census dates in the same calendar year, e.g. 2017, the EFTSL for the subjects/units </w:t>
      </w:r>
      <w:proofErr w:type="gramStart"/>
      <w:r>
        <w:t xml:space="preserve">will be </w:t>
      </w:r>
      <w:r>
        <w:lastRenderedPageBreak/>
        <w:t>recorded</w:t>
      </w:r>
      <w:proofErr w:type="gramEnd"/>
      <w:r>
        <w:t xml:space="preserve"> for 2017, even if the subjects/units are delivered across two calendar years – 2017 and 2018. </w:t>
      </w:r>
    </w:p>
    <w:p w14:paraId="1410AB5E" w14:textId="77777777" w:rsidR="00492785" w:rsidRPr="0005465B" w:rsidRDefault="00492785" w:rsidP="00492785">
      <w:r>
        <w:t xml:space="preserve">This means there may be a misalignment between EFTSL data and cost data for a given calendar year. Universities should apportion the costs for these units consistently across different collection years and if EFTSL for these units differ significantly year-on-year, it </w:t>
      </w:r>
      <w:proofErr w:type="gramStart"/>
      <w:r>
        <w:t>should be outlined</w:t>
      </w:r>
      <w:proofErr w:type="gramEnd"/>
      <w:r>
        <w:t xml:space="preserve"> in the supporting statement.</w:t>
      </w:r>
    </w:p>
    <w:p w14:paraId="5E8AF789" w14:textId="77777777" w:rsidR="00492785" w:rsidRDefault="00492785" w:rsidP="00146B33">
      <w:pPr>
        <w:pStyle w:val="Appendixhead3"/>
      </w:pPr>
      <w:bookmarkStart w:id="566" w:name="_Toc521918532"/>
      <w:r w:rsidRPr="00A204B4">
        <w:t>Reconciliation</w:t>
      </w:r>
      <w:bookmarkEnd w:id="566"/>
    </w:p>
    <w:p w14:paraId="14471A10" w14:textId="77777777" w:rsidR="00492785" w:rsidRDefault="00492785" w:rsidP="00492785">
      <w:r w:rsidRPr="00A204B4">
        <w:t>Total expenses reported in the template (excluding in-</w:t>
      </w:r>
      <w:r>
        <w:t xml:space="preserve">kind costs and third party and partnership costs) should be reconciled to statutory accounts, in particular Total Expenses from Continuing Operations (including deferred superannuation). This total expenses figure </w:t>
      </w:r>
      <w:proofErr w:type="gramStart"/>
      <w:r>
        <w:t>will be pre-populated</w:t>
      </w:r>
      <w:proofErr w:type="gramEnd"/>
      <w:r>
        <w:t xml:space="preserve"> for universities using data provided to the Department. </w:t>
      </w:r>
    </w:p>
    <w:p w14:paraId="06BFA2BF" w14:textId="77777777" w:rsidR="00492785" w:rsidRDefault="00492785" w:rsidP="00492785">
      <w:r>
        <w:t xml:space="preserve">When reconciling the costs of teaching and scholarship with total expenses, the difference between total expenses and the costs of teaching and scholarship will include costs associated with activities that are outside the scope of this project such as research, community activities and costs for non-award students, enabling programs, higher degree research students and offshore enrolments. </w:t>
      </w:r>
    </w:p>
    <w:p w14:paraId="00D31F14" w14:textId="77777777" w:rsidR="00492785" w:rsidRDefault="00492785" w:rsidP="00492785">
      <w:r>
        <w:t xml:space="preserve">Noting the guiding principle regarding a focus on actual economic costs (as opposed to accounting costs), there may be some additional variations in reported costs. Any differences </w:t>
      </w:r>
      <w:proofErr w:type="gramStart"/>
      <w:r>
        <w:t>can be explained</w:t>
      </w:r>
      <w:proofErr w:type="gramEnd"/>
      <w:r>
        <w:t xml:space="preserve"> in the supporting statement provided by the university. </w:t>
      </w:r>
    </w:p>
    <w:p w14:paraId="6B08D383" w14:textId="09B73870" w:rsidR="005B00B8" w:rsidRDefault="00CF2F64" w:rsidP="00BF4216">
      <w:pPr>
        <w:pStyle w:val="Heading1un-numbered"/>
      </w:pPr>
      <w:bookmarkStart w:id="567" w:name="_Toc463002439"/>
      <w:bookmarkStart w:id="568" w:name="_Toc472586353"/>
      <w:bookmarkStart w:id="569" w:name="_Toc482168131"/>
      <w:bookmarkStart w:id="570" w:name="_Toc482174916"/>
      <w:bookmarkStart w:id="571" w:name="_Toc534713809"/>
      <w:r>
        <w:lastRenderedPageBreak/>
        <w:t>L</w:t>
      </w:r>
      <w:r w:rsidR="00BF4216" w:rsidRPr="00BF4216">
        <w:t>imitation of our work</w:t>
      </w:r>
      <w:bookmarkEnd w:id="567"/>
      <w:bookmarkEnd w:id="568"/>
      <w:bookmarkEnd w:id="569"/>
      <w:bookmarkEnd w:id="570"/>
      <w:bookmarkEnd w:id="571"/>
    </w:p>
    <w:p w14:paraId="4CA72A12" w14:textId="77777777" w:rsidR="00BF4216" w:rsidRDefault="00BF4216" w:rsidP="00BF4216">
      <w:pPr>
        <w:pStyle w:val="Heading2un-numbered"/>
      </w:pPr>
      <w:bookmarkStart w:id="572" w:name="_Toc463002440"/>
      <w:bookmarkStart w:id="573" w:name="_Toc472586354"/>
      <w:bookmarkStart w:id="574" w:name="_Toc482168132"/>
      <w:bookmarkStart w:id="575" w:name="_Toc482174917"/>
      <w:bookmarkStart w:id="576" w:name="_Toc534713810"/>
      <w:r w:rsidRPr="006345F9">
        <w:t>General use restriction</w:t>
      </w:r>
      <w:bookmarkEnd w:id="572"/>
      <w:bookmarkEnd w:id="573"/>
      <w:bookmarkEnd w:id="574"/>
      <w:bookmarkEnd w:id="575"/>
      <w:bookmarkEnd w:id="576"/>
    </w:p>
    <w:p w14:paraId="4405DA84" w14:textId="77777777" w:rsidR="00DF06E9" w:rsidRDefault="00BF4216" w:rsidP="007C1760">
      <w:r w:rsidRPr="00BF4216">
        <w:t>This report is prepared solely for the</w:t>
      </w:r>
      <w:r w:rsidR="000918F8">
        <w:t xml:space="preserve"> </w:t>
      </w:r>
      <w:r w:rsidRPr="00BF4216">
        <w:t>use of</w:t>
      </w:r>
      <w:r w:rsidR="00645A8A">
        <w:t xml:space="preserve"> the Australian Government Department of Education and Training. </w:t>
      </w:r>
      <w:r w:rsidRPr="00BF4216">
        <w:t xml:space="preserve">This report </w:t>
      </w:r>
      <w:proofErr w:type="gramStart"/>
      <w:r w:rsidRPr="00BF4216">
        <w:t>is not intended</w:t>
      </w:r>
      <w:proofErr w:type="gramEnd"/>
      <w:r w:rsidRPr="00BF4216">
        <w:t xml:space="preserve"> to and should not be used or relied upon by anyone else and we accept no duty of care to any other person or</w:t>
      </w:r>
      <w:r>
        <w:t xml:space="preserve"> entity. </w:t>
      </w:r>
      <w:r w:rsidRPr="00BF4216">
        <w:t xml:space="preserve">The report has been prepared </w:t>
      </w:r>
      <w:proofErr w:type="gramStart"/>
      <w:r w:rsidRPr="00BF4216">
        <w:t xml:space="preserve">for the purpose </w:t>
      </w:r>
      <w:r w:rsidR="00645A8A">
        <w:t>of</w:t>
      </w:r>
      <w:proofErr w:type="gramEnd"/>
      <w:r w:rsidR="00645A8A">
        <w:t xml:space="preserve"> </w:t>
      </w:r>
      <w:r w:rsidR="00C26A66">
        <w:t>assessing</w:t>
      </w:r>
      <w:r w:rsidR="00645A8A">
        <w:t xml:space="preserve"> the cost of teaching and scholarship in the higher education sector</w:t>
      </w:r>
      <w:r>
        <w:t xml:space="preserve">. </w:t>
      </w:r>
      <w:r w:rsidRPr="00BF4216">
        <w:t>You should not refer to or use our name or the advice for any other purpose</w:t>
      </w:r>
      <w:r w:rsidR="00645A8A">
        <w:t>.</w:t>
      </w:r>
    </w:p>
    <w:p w14:paraId="2F9CDBF6" w14:textId="77777777" w:rsidR="00983929" w:rsidRPr="009232DC" w:rsidRDefault="00983929" w:rsidP="00983929">
      <w:pPr>
        <w:pageBreakBefore/>
      </w:pPr>
    </w:p>
    <w:p w14:paraId="2FAF3653" w14:textId="77777777" w:rsidR="00D01239" w:rsidRPr="000F05E4" w:rsidRDefault="00D01239" w:rsidP="00983929"/>
    <w:tbl>
      <w:tblPr>
        <w:tblStyle w:val="TableGrid"/>
        <w:tblpPr w:horzAnchor="margin" w:tblpYSpec="bottom"/>
        <w:tblOverlap w:val="never"/>
        <w:tblW w:w="9185" w:type="dxa"/>
        <w:tblLook w:val="04A0" w:firstRow="1" w:lastRow="0" w:firstColumn="1" w:lastColumn="0" w:noHBand="0" w:noVBand="1"/>
      </w:tblPr>
      <w:tblGrid>
        <w:gridCol w:w="9185"/>
      </w:tblGrid>
      <w:tr w:rsidR="00493AF9" w:rsidRPr="00DB2D17" w14:paraId="4FB84DCF" w14:textId="77777777" w:rsidTr="00CC75FD">
        <w:trPr>
          <w:cnfStyle w:val="100000000000" w:firstRow="1" w:lastRow="0" w:firstColumn="0" w:lastColumn="0" w:oddVBand="0" w:evenVBand="0" w:oddHBand="0" w:evenHBand="0" w:firstRowFirstColumn="0" w:firstRowLastColumn="0" w:lastRowFirstColumn="0" w:lastRowLastColumn="0"/>
          <w:trHeight w:val="6379"/>
        </w:trPr>
        <w:tc>
          <w:tcPr>
            <w:tcW w:w="9214" w:type="dxa"/>
            <w:vAlign w:val="bottom"/>
          </w:tcPr>
          <w:p w14:paraId="6FC3CC57" w14:textId="77777777" w:rsidR="00493AF9" w:rsidRPr="00DB2D17" w:rsidRDefault="00493AF9" w:rsidP="004D6E06">
            <w:pPr>
              <w:pStyle w:val="Legaltext"/>
            </w:pPr>
          </w:p>
          <w:p w14:paraId="45831CAB" w14:textId="77777777" w:rsidR="00493AF9" w:rsidRPr="00DB2D17" w:rsidRDefault="00554A5F" w:rsidP="004D6E06">
            <w:pPr>
              <w:pStyle w:val="Legaltext"/>
            </w:pPr>
            <w:r>
              <w:rPr>
                <w:noProof/>
                <w:lang w:eastAsia="en-AU"/>
              </w:rPr>
              <w:drawing>
                <wp:inline distT="0" distB="0" distL="0" distR="0" wp14:anchorId="7DB2FAD9" wp14:editId="564E48DF">
                  <wp:extent cx="1908000" cy="557110"/>
                  <wp:effectExtent l="0" t="0" r="0" b="0"/>
                  <wp:docPr id="1091442236" name="Picture 1091442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442236" name="D3.PNG"/>
                          <pic:cNvPicPr/>
                        </pic:nvPicPr>
                        <pic:blipFill>
                          <a:blip r:embed="rId61">
                            <a:extLst>
                              <a:ext uri="{28A0092B-C50C-407E-A947-70E740481C1C}">
                                <a14:useLocalDpi xmlns:a14="http://schemas.microsoft.com/office/drawing/2010/main" val="0"/>
                              </a:ext>
                            </a:extLst>
                          </a:blip>
                          <a:stretch>
                            <a:fillRect/>
                          </a:stretch>
                        </pic:blipFill>
                        <pic:spPr>
                          <a:xfrm>
                            <a:off x="0" y="0"/>
                            <a:ext cx="1908000" cy="557110"/>
                          </a:xfrm>
                          <a:prstGeom prst="rect">
                            <a:avLst/>
                          </a:prstGeom>
                        </pic:spPr>
                      </pic:pic>
                    </a:graphicData>
                  </a:graphic>
                </wp:inline>
              </w:drawing>
            </w:r>
          </w:p>
          <w:p w14:paraId="51EF97B9" w14:textId="77777777" w:rsidR="00493AF9" w:rsidRPr="00DB2D17" w:rsidRDefault="00493AF9" w:rsidP="004D6E06">
            <w:pPr>
              <w:pStyle w:val="Legaltext"/>
            </w:pPr>
          </w:p>
          <w:p w14:paraId="6F9C789C" w14:textId="77777777" w:rsidR="00493AF9" w:rsidRPr="00DB2D17" w:rsidRDefault="00493AF9" w:rsidP="004D6E06">
            <w:pPr>
              <w:pStyle w:val="Legaltext"/>
            </w:pPr>
          </w:p>
          <w:p w14:paraId="60CBE1CB" w14:textId="77777777" w:rsidR="00CC75FD" w:rsidRPr="00CC75FD" w:rsidRDefault="00CC75FD" w:rsidP="00CC75FD">
            <w:pPr>
              <w:pStyle w:val="Legaltext"/>
              <w:rPr>
                <w:b/>
              </w:rPr>
            </w:pPr>
            <w:r w:rsidRPr="00CC75FD">
              <w:rPr>
                <w:b/>
              </w:rPr>
              <w:t>Deloitte Access Economics</w:t>
            </w:r>
          </w:p>
          <w:p w14:paraId="08A222F5" w14:textId="77777777" w:rsidR="00CC75FD" w:rsidRDefault="00CC75FD" w:rsidP="00CC75FD">
            <w:pPr>
              <w:pStyle w:val="Legaltext"/>
            </w:pPr>
            <w:r>
              <w:t>ACN: 149 633 116</w:t>
            </w:r>
          </w:p>
          <w:p w14:paraId="4F23CE4B" w14:textId="77777777" w:rsidR="00CC75FD" w:rsidRDefault="00CC75FD" w:rsidP="00CC75FD">
            <w:pPr>
              <w:pStyle w:val="Legaltext"/>
            </w:pPr>
            <w:r>
              <w:t xml:space="preserve">8 Brindabella Circuit </w:t>
            </w:r>
          </w:p>
          <w:p w14:paraId="2BAE036A" w14:textId="77777777" w:rsidR="00CC75FD" w:rsidRDefault="00CC75FD" w:rsidP="00CC75FD">
            <w:pPr>
              <w:pStyle w:val="Legaltext"/>
            </w:pPr>
            <w:r>
              <w:t xml:space="preserve">Brindabella Business Park </w:t>
            </w:r>
          </w:p>
          <w:p w14:paraId="4DC5D020" w14:textId="77777777" w:rsidR="00CC75FD" w:rsidRDefault="00CC75FD" w:rsidP="00CC75FD">
            <w:pPr>
              <w:pStyle w:val="Legaltext"/>
            </w:pPr>
            <w:r>
              <w:t xml:space="preserve">Canberra Airport ACT 2609 </w:t>
            </w:r>
          </w:p>
          <w:p w14:paraId="38CE3491" w14:textId="77777777" w:rsidR="00CC75FD" w:rsidRDefault="00CC75FD" w:rsidP="00CC75FD">
            <w:pPr>
              <w:pStyle w:val="Legaltext"/>
            </w:pPr>
            <w:r>
              <w:t xml:space="preserve">Tel: +61 2 6263 7000 </w:t>
            </w:r>
          </w:p>
          <w:p w14:paraId="59C36974" w14:textId="77777777" w:rsidR="00CC75FD" w:rsidRDefault="00CC75FD" w:rsidP="00CC75FD">
            <w:pPr>
              <w:pStyle w:val="Legaltext"/>
            </w:pPr>
            <w:r>
              <w:t xml:space="preserve">Fax: +61 2 6263 7004 </w:t>
            </w:r>
          </w:p>
          <w:p w14:paraId="38B16B9F" w14:textId="77777777" w:rsidR="00CC75FD" w:rsidRDefault="00CC75FD" w:rsidP="00CC75FD">
            <w:pPr>
              <w:pStyle w:val="Legaltext"/>
            </w:pPr>
          </w:p>
          <w:p w14:paraId="097A7C7F" w14:textId="77777777" w:rsidR="00CC75FD" w:rsidRDefault="00CC75FD" w:rsidP="00CC75FD">
            <w:pPr>
              <w:pStyle w:val="Legaltext"/>
            </w:pPr>
            <w:r>
              <w:t xml:space="preserve">Deloitte Access Economics is Australia’s pre-eminent economics advisory practice and a member of Deloitte's global economics group. For more information, please visit our website </w:t>
            </w:r>
          </w:p>
          <w:p w14:paraId="3B06BD6C" w14:textId="77777777" w:rsidR="00CC75FD" w:rsidRDefault="00CC75FD" w:rsidP="00CC75FD">
            <w:pPr>
              <w:pStyle w:val="Legaltext"/>
            </w:pPr>
          </w:p>
          <w:p w14:paraId="0C9DB54C" w14:textId="77777777" w:rsidR="00CC75FD" w:rsidRDefault="0081649B" w:rsidP="00CC75FD">
            <w:pPr>
              <w:pStyle w:val="Legaltext"/>
            </w:pPr>
            <w:hyperlink r:id="rId62" w:history="1">
              <w:r w:rsidR="00CE44D4" w:rsidRPr="001278B2">
                <w:rPr>
                  <w:rStyle w:val="Hyperlink"/>
                </w:rPr>
                <w:t>www.deloitte.com/au/deloitte-access-economics</w:t>
              </w:r>
            </w:hyperlink>
            <w:r w:rsidR="00CE44D4">
              <w:t xml:space="preserve"> </w:t>
            </w:r>
          </w:p>
          <w:p w14:paraId="1940EF04" w14:textId="77777777" w:rsidR="00CC75FD" w:rsidRDefault="00CC75FD" w:rsidP="00CC75FD">
            <w:pPr>
              <w:pStyle w:val="Legaltext"/>
            </w:pPr>
          </w:p>
          <w:p w14:paraId="6B1E2E17" w14:textId="77777777" w:rsidR="00CC75FD" w:rsidRDefault="00CC75FD" w:rsidP="00CC75FD">
            <w:pPr>
              <w:pStyle w:val="Legaltext"/>
            </w:pPr>
            <w:r>
              <w:t xml:space="preserve">Deloitte refers to one or more of Deloitte </w:t>
            </w:r>
            <w:proofErr w:type="spellStart"/>
            <w:r>
              <w:t>Touche</w:t>
            </w:r>
            <w:proofErr w:type="spellEnd"/>
            <w:r>
              <w:t xml:space="preserve"> Tohmatsu Limited, a UK private company limited by guarantee, and its network of member firms, each of which is a legally separate and independent entity. Please see www.deloitte.com/au/about for a detailed description of the legal structure of Deloitte </w:t>
            </w:r>
            <w:proofErr w:type="spellStart"/>
            <w:r>
              <w:t>Touche</w:t>
            </w:r>
            <w:proofErr w:type="spellEnd"/>
            <w:r>
              <w:t xml:space="preserve"> Tohmatsu Limited and its member firms.</w:t>
            </w:r>
          </w:p>
          <w:p w14:paraId="7FDB06B0" w14:textId="77777777" w:rsidR="00CC75FD" w:rsidRDefault="00CC75FD" w:rsidP="00CC75FD">
            <w:pPr>
              <w:pStyle w:val="Legaltext"/>
            </w:pPr>
          </w:p>
          <w:p w14:paraId="109C8228" w14:textId="77777777" w:rsidR="00CC75FD" w:rsidRDefault="00CC75FD" w:rsidP="00CC75FD">
            <w:pPr>
              <w:pStyle w:val="Legaltext"/>
            </w:pPr>
            <w:r>
              <w:t xml:space="preserve">The entity named herein is a legally separate and independent entity. In providing this document, the author only acts in the named capacity and does not act in any other capacity. Nothing in this document, nor any related </w:t>
            </w:r>
            <w:proofErr w:type="gramStart"/>
            <w:r>
              <w:t>attachments or communications</w:t>
            </w:r>
            <w:proofErr w:type="gramEnd"/>
            <w:r>
              <w:t xml:space="preserve"> or services, have any capacity to bind any other entity under the ‘Deloitte’ network of member firms (including those operating in Australia).</w:t>
            </w:r>
          </w:p>
          <w:p w14:paraId="5F39E184" w14:textId="77777777" w:rsidR="00CC75FD" w:rsidRDefault="00CC75FD" w:rsidP="00CC75FD">
            <w:pPr>
              <w:pStyle w:val="Legaltext"/>
            </w:pPr>
          </w:p>
          <w:p w14:paraId="4A8D6C81" w14:textId="77777777" w:rsidR="00CC75FD" w:rsidRPr="00CC75FD" w:rsidRDefault="00CC75FD" w:rsidP="00CC75FD">
            <w:pPr>
              <w:pStyle w:val="Legaltext"/>
              <w:rPr>
                <w:b/>
              </w:rPr>
            </w:pPr>
            <w:r w:rsidRPr="00CC75FD">
              <w:rPr>
                <w:b/>
              </w:rPr>
              <w:t>About Deloitte</w:t>
            </w:r>
          </w:p>
          <w:p w14:paraId="2E886BC1" w14:textId="77777777" w:rsidR="00CC75FD" w:rsidRDefault="00CC75FD" w:rsidP="00CC75FD">
            <w:pPr>
              <w:pStyle w:val="Legaltext"/>
            </w:pPr>
            <w:r>
              <w:t xml:space="preserve">Deloitte provides audit, tax, consulting, and financial advisory services to public and private clients spanning multiple industries. With a globally connected network of member firms in more than 150 countries, Deloitte brings </w:t>
            </w:r>
            <w:proofErr w:type="gramStart"/>
            <w:r>
              <w:t>world-class</w:t>
            </w:r>
            <w:proofErr w:type="gramEnd"/>
            <w:r>
              <w:t xml:space="preserve"> capabilities and high-quality service to clients, delivering the insights they need to address their most complex business challenges. Deloitte's approximately 2</w:t>
            </w:r>
            <w:r w:rsidR="00C45436">
              <w:t>44</w:t>
            </w:r>
            <w:r>
              <w:t>,000 professionals are committed to becoming the standard of excellence.</w:t>
            </w:r>
          </w:p>
          <w:p w14:paraId="429A8B41" w14:textId="77777777" w:rsidR="00CC75FD" w:rsidRDefault="00CC75FD" w:rsidP="00CC75FD">
            <w:pPr>
              <w:pStyle w:val="Legaltext"/>
            </w:pPr>
          </w:p>
          <w:p w14:paraId="3DDD02AC" w14:textId="77777777" w:rsidR="00CC75FD" w:rsidRPr="00CC75FD" w:rsidRDefault="00CC75FD" w:rsidP="00CC75FD">
            <w:pPr>
              <w:pStyle w:val="Legaltext"/>
              <w:rPr>
                <w:b/>
              </w:rPr>
            </w:pPr>
            <w:r w:rsidRPr="00CC75FD">
              <w:rPr>
                <w:b/>
              </w:rPr>
              <w:t>About Deloitte Australia</w:t>
            </w:r>
          </w:p>
          <w:p w14:paraId="62BC53F4" w14:textId="77777777" w:rsidR="00CC75FD" w:rsidRDefault="00CC75FD" w:rsidP="00CC75FD">
            <w:pPr>
              <w:pStyle w:val="Legaltext"/>
            </w:pPr>
            <w:r>
              <w:t xml:space="preserve">In Australia, the member firm is the Australian partnership of Deloitte </w:t>
            </w:r>
            <w:proofErr w:type="spellStart"/>
            <w:r>
              <w:t>Touche</w:t>
            </w:r>
            <w:proofErr w:type="spellEnd"/>
            <w:r>
              <w:t xml:space="preserve"> Tohmatsu. As one of </w:t>
            </w:r>
            <w:proofErr w:type="gramStart"/>
            <w:r>
              <w:t>Australia’s</w:t>
            </w:r>
            <w:proofErr w:type="gramEnd"/>
            <w:r>
              <w:t xml:space="preserve"> leading professional services firms. Deloitte </w:t>
            </w:r>
            <w:proofErr w:type="spellStart"/>
            <w:r>
              <w:t>Touche</w:t>
            </w:r>
            <w:proofErr w:type="spellEnd"/>
            <w:r>
              <w:t xml:space="preserve"> Tohmatsu and its affiliates provide audit, tax, consulting, and financial advisory </w:t>
            </w:r>
            <w:r w:rsidR="00C45436">
              <w:t>services through approximately 7,</w:t>
            </w:r>
            <w:r>
              <w:t>000 people across the country. Focused on the creation of value and growth, and known as an employer of choice for innovative human resources programs, we are dedicated to helping our clients and our people excel. For more information, please visit our web site at www.deloitte.com.au.</w:t>
            </w:r>
          </w:p>
          <w:p w14:paraId="6DED9ED0" w14:textId="77777777" w:rsidR="00CC75FD" w:rsidRDefault="00CC75FD" w:rsidP="00CC75FD">
            <w:pPr>
              <w:pStyle w:val="Legaltext"/>
            </w:pPr>
          </w:p>
          <w:p w14:paraId="4FF29656" w14:textId="77777777" w:rsidR="00CC75FD" w:rsidRDefault="00CC75FD" w:rsidP="00CC75FD">
            <w:pPr>
              <w:pStyle w:val="Legaltext"/>
            </w:pPr>
            <w:r>
              <w:t>Liability limited by a scheme approved under Professional Standards Legislation.</w:t>
            </w:r>
          </w:p>
          <w:p w14:paraId="287E35FD" w14:textId="77777777" w:rsidR="00CC75FD" w:rsidRDefault="00CC75FD" w:rsidP="00CC75FD">
            <w:pPr>
              <w:pStyle w:val="Legaltext"/>
            </w:pPr>
          </w:p>
          <w:p w14:paraId="0CE9EF19" w14:textId="77777777" w:rsidR="00CC75FD" w:rsidRDefault="00CC75FD" w:rsidP="00CC75FD">
            <w:pPr>
              <w:pStyle w:val="Legaltext"/>
            </w:pPr>
            <w:r>
              <w:t xml:space="preserve">Member of Deloitte </w:t>
            </w:r>
            <w:proofErr w:type="spellStart"/>
            <w:r>
              <w:t>Touche</w:t>
            </w:r>
            <w:proofErr w:type="spellEnd"/>
            <w:r>
              <w:t xml:space="preserve"> Tohmatsu Limited</w:t>
            </w:r>
          </w:p>
          <w:p w14:paraId="058650CD" w14:textId="77777777" w:rsidR="00CC75FD" w:rsidRDefault="00CC75FD" w:rsidP="00CC75FD">
            <w:pPr>
              <w:pStyle w:val="Legaltext"/>
            </w:pPr>
          </w:p>
          <w:p w14:paraId="0CD67D3A" w14:textId="12970162" w:rsidR="00493AF9" w:rsidRDefault="00892E65" w:rsidP="00CC75FD">
            <w:pPr>
              <w:pStyle w:val="Legaltext"/>
            </w:pPr>
            <w:r>
              <w:t>© 201</w:t>
            </w:r>
            <w:r w:rsidR="00146B33">
              <w:t>9</w:t>
            </w:r>
            <w:r w:rsidR="00CC75FD">
              <w:t xml:space="preserve"> Deloitte </w:t>
            </w:r>
            <w:r w:rsidR="004D21C7">
              <w:t>Access Economics</w:t>
            </w:r>
            <w:r w:rsidR="00C45436">
              <w:t xml:space="preserve"> Pty Ltd</w:t>
            </w:r>
          </w:p>
          <w:p w14:paraId="1B8EC8C1" w14:textId="77777777" w:rsidR="00417D85" w:rsidRPr="00417D85" w:rsidRDefault="00417D85" w:rsidP="00417D85">
            <w:pPr>
              <w:pStyle w:val="Legaltext"/>
              <w:spacing w:line="0" w:lineRule="atLeast"/>
              <w:rPr>
                <w:sz w:val="2"/>
                <w:szCs w:val="2"/>
              </w:rPr>
            </w:pPr>
          </w:p>
        </w:tc>
      </w:tr>
    </w:tbl>
    <w:p w14:paraId="6C8DD2CA" w14:textId="77777777" w:rsidR="00BF6F8B" w:rsidRPr="000F05E4" w:rsidRDefault="00680CEC" w:rsidP="009B139F">
      <w:r w:rsidRPr="000F05E4">
        <w:rPr>
          <w:noProof/>
          <w:lang w:eastAsia="en-AU"/>
        </w:rPr>
        <mc:AlternateContent>
          <mc:Choice Requires="wps">
            <w:drawing>
              <wp:anchor distT="0" distB="0" distL="114300" distR="114300" simplePos="0" relativeHeight="251679744" behindDoc="1" locked="1" layoutInCell="1" allowOverlap="1" wp14:anchorId="144E7E89" wp14:editId="22591A59">
                <wp:simplePos x="0" y="0"/>
                <wp:positionH relativeFrom="page">
                  <wp:posOffset>0</wp:posOffset>
                </wp:positionH>
                <wp:positionV relativeFrom="page">
                  <wp:posOffset>0</wp:posOffset>
                </wp:positionV>
                <wp:extent cx="7563600" cy="10695600"/>
                <wp:effectExtent l="0" t="0" r="0" b="0"/>
                <wp:wrapNone/>
                <wp:docPr id="3" name="Backpage backgroun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gray">
                        <a:xfrm>
                          <a:off x="0" y="0"/>
                          <a:ext cx="7563600" cy="10695600"/>
                        </a:xfrm>
                        <a:prstGeom prst="rect">
                          <a:avLst/>
                        </a:prstGeom>
                        <a:solidFill>
                          <a:srgbClr val="FFFFFF"/>
                        </a:solidFill>
                        <a:ln w="19050" algn="ctr">
                          <a:noFill/>
                          <a:miter lim="800000"/>
                          <a:headEnd/>
                          <a:tailEnd/>
                        </a:ln>
                      </wps:spPr>
                      <wps:bodyPr rot="0" spcFirstLastPara="0" vertOverflow="overflow" horzOverflow="overflow" vert="horz" wrap="square" lIns="88900" tIns="88900" rIns="88900" bIns="889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363BAF" id="Backpage background" o:spid="_x0000_s1026" style="position:absolute;margin-left:0;margin-top:0;width:595.55pt;height:842.1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" stroked="f" strokeweight="1.5pt">
                <v:path arrowok="t"/>
                <o:lock v:ext="edit" aspectratio="t"/>
                <v:textbox inset="7pt,7pt,7pt,7pt"/>
                <w10:wrap anchorx="page" anchory="page"/>
                <w10:anchorlock/>
              </v:rect>
            </w:pict>
          </mc:Fallback>
        </mc:AlternateContent>
      </w:r>
    </w:p>
    <w:p w14:paraId="17DC925C" w14:textId="77777777" w:rsidR="007629C6" w:rsidRPr="000F05E4" w:rsidRDefault="007629C6" w:rsidP="009B139F"/>
    <w:sectPr w:rsidR="007629C6" w:rsidRPr="000F05E4" w:rsidSect="00376F97">
      <w:pgSz w:w="11906" w:h="16838" w:code="9"/>
      <w:pgMar w:top="1985" w:right="1418" w:bottom="1134" w:left="1418" w:header="680" w:footer="425"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1E36A0" w14:textId="77777777" w:rsidR="0081649B" w:rsidRDefault="0081649B" w:rsidP="00C702C7">
      <w:pPr>
        <w:spacing w:line="240" w:lineRule="auto"/>
      </w:pPr>
      <w:r>
        <w:separator/>
      </w:r>
    </w:p>
  </w:endnote>
  <w:endnote w:type="continuationSeparator" w:id="0">
    <w:p w14:paraId="3903ABC6" w14:textId="77777777" w:rsidR="0081649B" w:rsidRDefault="0081649B" w:rsidP="00C702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otham Bold">
    <w:altName w:val="Times New Roman"/>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PMingLiU">
    <w:altName w:val="Microsoft JhengHei"/>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Layout w:type="fixed"/>
      <w:tblLook w:val="04A0" w:firstRow="1" w:lastRow="0" w:firstColumn="1" w:lastColumn="0" w:noHBand="0" w:noVBand="1"/>
    </w:tblPr>
    <w:tblGrid>
      <w:gridCol w:w="3544"/>
      <w:gridCol w:w="7002"/>
    </w:tblGrid>
    <w:tr w:rsidR="0081649B" w14:paraId="01CBFD41" w14:textId="77777777" w:rsidTr="00137F51">
      <w:trPr>
        <w:cnfStyle w:val="100000000000" w:firstRow="1" w:lastRow="0" w:firstColumn="0" w:lastColumn="0" w:oddVBand="0" w:evenVBand="0" w:oddHBand="0" w:evenHBand="0" w:firstRowFirstColumn="0" w:firstRowLastColumn="0" w:lastRowFirstColumn="0" w:lastRowLastColumn="0"/>
      </w:trPr>
      <w:tc>
        <w:tcPr>
          <w:tcW w:w="3544" w:type="dxa"/>
          <w:vAlign w:val="bottom"/>
        </w:tcPr>
        <w:p w14:paraId="4A4C06D3" w14:textId="16FB72BB" w:rsidR="0081649B" w:rsidRDefault="0081649B" w:rsidP="00536AB8">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F47C96">
            <w:rPr>
              <w:rStyle w:val="PageNumber"/>
              <w:noProof/>
            </w:rPr>
            <w:t>1</w:t>
          </w:r>
          <w:r w:rsidRPr="006C4F67">
            <w:rPr>
              <w:rStyle w:val="PageNumber"/>
            </w:rPr>
            <w:fldChar w:fldCharType="end"/>
          </w:r>
        </w:p>
      </w:tc>
      <w:tc>
        <w:tcPr>
          <w:tcW w:w="7002" w:type="dxa"/>
          <w:vAlign w:val="bottom"/>
        </w:tcPr>
        <w:p w14:paraId="61AE9661" w14:textId="77777777" w:rsidR="0081649B" w:rsidRPr="00904097" w:rsidRDefault="0081649B" w:rsidP="00536AB8">
          <w:pPr>
            <w:pStyle w:val="Footer"/>
            <w:spacing w:line="180" w:lineRule="atLeast"/>
            <w:rPr>
              <w:sz w:val="14"/>
              <w:szCs w:val="14"/>
            </w:rPr>
          </w:pPr>
        </w:p>
      </w:tc>
    </w:tr>
  </w:tbl>
  <w:p w14:paraId="09BF5D51" w14:textId="77777777" w:rsidR="0081649B" w:rsidRDefault="0081649B" w:rsidP="00536AB8">
    <w:pPr>
      <w:pStyle w:val="Footer"/>
      <w:spacing w:line="14" w:lineRule="exac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8FF39" w14:textId="77777777" w:rsidR="0081649B" w:rsidRPr="0012388F" w:rsidRDefault="0081649B" w:rsidP="0012388F">
    <w:pPr>
      <w:pStyle w:val="Disclaimer"/>
      <w:spacing w:after="120" w:line="240" w:lineRule="auto"/>
      <w:rPr>
        <w:szCs w:val="11"/>
      </w:rPr>
    </w:pPr>
    <w:r w:rsidRPr="005719A7">
      <w:rPr>
        <w:szCs w:val="11"/>
      </w:rPr>
      <w:t xml:space="preserve">Deloitte refers to one or more of Deloitte </w:t>
    </w:r>
    <w:proofErr w:type="spellStart"/>
    <w:r w:rsidRPr="005719A7">
      <w:rPr>
        <w:szCs w:val="11"/>
      </w:rPr>
      <w:t>Touche</w:t>
    </w:r>
    <w:proofErr w:type="spellEnd"/>
    <w:r w:rsidRPr="005719A7">
      <w:rPr>
        <w:szCs w:val="11"/>
      </w:rPr>
      <w:t xml:space="preserve"> Tohmatsu Limited, a UK private company limited by guarantee, and its network of member firms, each of which is a legally separate and independent entity. Please see www.deloitte.com/au/about for a detailed description of the legal structure of Deloitte </w:t>
    </w:r>
    <w:proofErr w:type="spellStart"/>
    <w:r w:rsidRPr="005719A7">
      <w:rPr>
        <w:szCs w:val="11"/>
      </w:rPr>
      <w:t>Touche</w:t>
    </w:r>
    <w:proofErr w:type="spellEnd"/>
    <w:r w:rsidRPr="005719A7">
      <w:rPr>
        <w:szCs w:val="11"/>
      </w:rPr>
      <w:t xml:space="preserve"> Tohmatsu Limited and it</w:t>
    </w:r>
    <w:r w:rsidRPr="0012388F">
      <w:rPr>
        <w:szCs w:val="11"/>
      </w:rPr>
      <w:t>s member firms.</w:t>
    </w:r>
  </w:p>
  <w:p w14:paraId="47342704" w14:textId="77777777" w:rsidR="0081649B" w:rsidRPr="0012388F" w:rsidRDefault="0081649B" w:rsidP="0012388F">
    <w:pPr>
      <w:pStyle w:val="Disclaimer"/>
      <w:spacing w:after="120" w:line="240" w:lineRule="auto"/>
      <w:rPr>
        <w:szCs w:val="11"/>
      </w:rPr>
    </w:pPr>
    <w:r w:rsidRPr="0012388F">
      <w:rPr>
        <w:szCs w:val="11"/>
      </w:rPr>
      <w:t>The entity named herein is a legally separate and independent entity. In providing this document, the author only acts in the named capacity and does not act in any other capacity. Nothing in this document, nor any related attachments or communications or services, have any capacity to bind any other entity under the ‘Deloitte’ network of member firms (including those operating in Australia).</w:t>
    </w:r>
  </w:p>
  <w:p w14:paraId="36C9A14A" w14:textId="77777777" w:rsidR="0081649B" w:rsidRPr="0012388F" w:rsidRDefault="0081649B" w:rsidP="0012388F">
    <w:pPr>
      <w:pStyle w:val="Disclaimer"/>
      <w:spacing w:after="120" w:line="240" w:lineRule="auto"/>
      <w:rPr>
        <w:szCs w:val="11"/>
      </w:rPr>
    </w:pPr>
    <w:r w:rsidRPr="0012388F">
      <w:rPr>
        <w:szCs w:val="11"/>
      </w:rPr>
      <w:t>Liability limited by a scheme approved under Professional Standards Legislation.</w:t>
    </w:r>
  </w:p>
  <w:p w14:paraId="703D6FBE" w14:textId="239B4944" w:rsidR="0081649B" w:rsidRPr="006118C2" w:rsidRDefault="0081649B" w:rsidP="0012388F">
    <w:pPr>
      <w:pStyle w:val="Footer"/>
      <w:rPr>
        <w:sz w:val="11"/>
        <w:szCs w:val="11"/>
      </w:rPr>
    </w:pPr>
    <w:r w:rsidRPr="006118C2">
      <w:rPr>
        <w:sz w:val="11"/>
        <w:szCs w:val="11"/>
      </w:rPr>
      <w:t>© 201</w:t>
    </w:r>
    <w:r>
      <w:rPr>
        <w:sz w:val="11"/>
        <w:szCs w:val="11"/>
      </w:rPr>
      <w:t>9</w:t>
    </w:r>
    <w:r w:rsidRPr="006118C2">
      <w:rPr>
        <w:sz w:val="11"/>
        <w:szCs w:val="11"/>
      </w:rPr>
      <w:t xml:space="preserve"> Deloitte Access Economics</w:t>
    </w:r>
  </w:p>
  <w:p w14:paraId="7FF4C062" w14:textId="77777777" w:rsidR="0081649B" w:rsidRDefault="0081649B" w:rsidP="0012388F">
    <w:pPr>
      <w:pStyle w:val="Footer"/>
      <w:tabs>
        <w:tab w:val="left" w:pos="4536"/>
      </w:tabs>
      <w:rPr>
        <w:szCs w:val="11"/>
      </w:rPr>
    </w:pPr>
  </w:p>
  <w:p w14:paraId="6B857340" w14:textId="77777777" w:rsidR="0081649B" w:rsidRPr="00FD7D79" w:rsidRDefault="0081649B" w:rsidP="0012388F">
    <w:pPr>
      <w:pStyle w:val="Footer"/>
    </w:pPr>
    <w:r w:rsidRPr="005719A7">
      <w:rPr>
        <w:noProof/>
        <w:lang w:eastAsia="en-AU"/>
      </w:rPr>
      <w:drawing>
        <wp:anchor distT="0" distB="0" distL="0" distR="0" simplePos="0" relativeHeight="251656704" behindDoc="0" locked="0" layoutInCell="1" allowOverlap="1" wp14:anchorId="6C36ED10" wp14:editId="123176A0">
          <wp:simplePos x="0" y="0"/>
          <wp:positionH relativeFrom="margin">
            <wp:posOffset>2096</wp:posOffset>
          </wp:positionH>
          <wp:positionV relativeFrom="page">
            <wp:posOffset>10313719</wp:posOffset>
          </wp:positionV>
          <wp:extent cx="5729844" cy="156210"/>
          <wp:effectExtent l="0" t="0" r="4445" b="0"/>
          <wp:wrapNone/>
          <wp:docPr id="1993015561" name="Draft_Text3" hidden="1"/>
          <wp:cNvGraphicFramePr/>
          <a:graphic xmlns:a="http://schemas.openxmlformats.org/drawingml/2006/main">
            <a:graphicData uri="http://schemas.openxmlformats.org/drawingml/2006/picture">
              <pic:pic xmlns:pic="http://schemas.openxmlformats.org/drawingml/2006/picture">
                <pic:nvPicPr>
                  <pic:cNvPr id="1656465298" name="Draft_Text3"/>
                  <pic:cNvPicPr/>
                </pic:nvPicPr>
                <pic:blipFill>
                  <a:blip r:embed="rId1"/>
                  <a:srcRect/>
                  <a:stretch/>
                </pic:blipFill>
                <pic:spPr>
                  <a:xfrm>
                    <a:off x="0" y="0"/>
                    <a:ext cx="5751824" cy="156809"/>
                  </a:xfrm>
                  <a:prstGeom prst="rect">
                    <a:avLst/>
                  </a:prstGeom>
                </pic:spPr>
              </pic:pic>
            </a:graphicData>
          </a:graphic>
          <wp14:sizeRelH relativeFrom="margin">
            <wp14:pctWidth>0</wp14:pctWidth>
          </wp14:sizeRelH>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C64505" w14:textId="355B7585" w:rsidR="0081649B" w:rsidRPr="00672300" w:rsidRDefault="0081649B" w:rsidP="00810613">
    <w:pPr>
      <w:pStyle w:val="Footer"/>
      <w:tabs>
        <w:tab w:val="left" w:pos="4536"/>
      </w:tabs>
    </w:pPr>
    <w:r>
      <w:rPr>
        <w:noProof/>
        <w:lang w:eastAsia="en-AU"/>
      </w:rPr>
      <w:drawing>
        <wp:anchor distT="0" distB="0" distL="0" distR="0" simplePos="0" relativeHeight="251666944" behindDoc="0" locked="0" layoutInCell="1" allowOverlap="1" wp14:anchorId="686AED80" wp14:editId="69262981">
          <wp:simplePos x="0" y="0"/>
          <wp:positionH relativeFrom="margin">
            <wp:posOffset>131012</wp:posOffset>
          </wp:positionH>
          <wp:positionV relativeFrom="page">
            <wp:posOffset>10314432</wp:posOffset>
          </wp:positionV>
          <wp:extent cx="5603443" cy="156210"/>
          <wp:effectExtent l="0" t="0" r="0" b="0"/>
          <wp:wrapNone/>
          <wp:docPr id="25796243" name="Draft_Text5" hidden="1"/>
          <wp:cNvGraphicFramePr/>
          <a:graphic xmlns:a="http://schemas.openxmlformats.org/drawingml/2006/main">
            <a:graphicData uri="http://schemas.openxmlformats.org/drawingml/2006/picture">
              <pic:pic xmlns:pic="http://schemas.openxmlformats.org/drawingml/2006/picture">
                <pic:nvPicPr>
                  <pic:cNvPr id="919912007" name="Draft_Text5"/>
                  <pic:cNvPicPr/>
                </pic:nvPicPr>
                <pic:blipFill>
                  <a:blip r:embed="rId1"/>
                  <a:srcRect/>
                  <a:stretch/>
                </pic:blipFill>
                <pic:spPr>
                  <a:xfrm>
                    <a:off x="0" y="0"/>
                    <a:ext cx="5606360" cy="156291"/>
                  </a:xfrm>
                  <a:prstGeom prst="rect">
                    <a:avLst/>
                  </a:prstGeom>
                </pic:spPr>
              </pic:pic>
            </a:graphicData>
          </a:graphic>
          <wp14:sizeRelH relativeFrom="margin">
            <wp14:pctWidth>0</wp14:pctWidth>
          </wp14:sizeRelH>
          <wp14:sizeRelV relativeFrom="margin">
            <wp14:pctHeight>0</wp14:pctHeight>
          </wp14:sizeRelV>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F47C96">
      <w:rPr>
        <w:rStyle w:val="PageNumber"/>
        <w:noProof/>
      </w:rPr>
      <w:t>ii</w:t>
    </w:r>
    <w:r w:rsidRPr="006C4F67">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81ACA" w14:textId="4283B430" w:rsidR="0081649B" w:rsidRPr="007E7D93" w:rsidRDefault="0081649B" w:rsidP="00554A5F">
    <w:pPr>
      <w:pStyle w:val="Footer"/>
      <w:tabs>
        <w:tab w:val="left" w:pos="3969"/>
        <w:tab w:val="left" w:pos="4536"/>
      </w:tabs>
    </w:pPr>
    <w:r>
      <w:rPr>
        <w:noProof/>
        <w:lang w:eastAsia="en-AU"/>
      </w:rPr>
      <w:drawing>
        <wp:anchor distT="0" distB="0" distL="0" distR="0" simplePos="0" relativeHeight="251672064" behindDoc="0" locked="0" layoutInCell="1" allowOverlap="1" wp14:anchorId="5BC911E6" wp14:editId="4BC081EB">
          <wp:simplePos x="0" y="0"/>
          <wp:positionH relativeFrom="margin">
            <wp:posOffset>186162</wp:posOffset>
          </wp:positionH>
          <wp:positionV relativeFrom="page">
            <wp:posOffset>10313719</wp:posOffset>
          </wp:positionV>
          <wp:extent cx="5569527" cy="155575"/>
          <wp:effectExtent l="0" t="0" r="0" b="0"/>
          <wp:wrapNone/>
          <wp:docPr id="1091442183" name="Draft_Text6" hidden="1"/>
          <wp:cNvGraphicFramePr/>
          <a:graphic xmlns:a="http://schemas.openxmlformats.org/drawingml/2006/main">
            <a:graphicData uri="http://schemas.openxmlformats.org/drawingml/2006/picture">
              <pic:pic xmlns:pic="http://schemas.openxmlformats.org/drawingml/2006/picture">
                <pic:nvPicPr>
                  <pic:cNvPr id="1134514730" name="Draft_Text6"/>
                  <pic:cNvPicPr/>
                </pic:nvPicPr>
                <pic:blipFill>
                  <a:blip r:embed="rId1"/>
                  <a:srcRect/>
                  <a:stretch/>
                </pic:blipFill>
                <pic:spPr>
                  <a:xfrm>
                    <a:off x="0" y="0"/>
                    <a:ext cx="5571462" cy="155629"/>
                  </a:xfrm>
                  <a:prstGeom prst="rect">
                    <a:avLst/>
                  </a:prstGeom>
                </pic:spPr>
              </pic:pic>
            </a:graphicData>
          </a:graphic>
          <wp14:sizeRelH relativeFrom="margin">
            <wp14:pctWidth>0</wp14:pctWidth>
          </wp14:sizeRelH>
        </wp:anchor>
      </w:drawing>
    </w: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F47C96">
      <w:rPr>
        <w:rStyle w:val="PageNumber"/>
        <w:noProof/>
      </w:rPr>
      <w:t>25</w:t>
    </w:r>
    <w:r w:rsidRPr="006C4F67">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798FD" w14:textId="5F5725F7" w:rsidR="0081649B" w:rsidRPr="00672300" w:rsidRDefault="0081649B" w:rsidP="00672300">
    <w:pPr>
      <w:pStyle w:val="Footer"/>
    </w:pPr>
    <w:r w:rsidRPr="006C4F67">
      <w:rPr>
        <w:rStyle w:val="PageNumber"/>
      </w:rPr>
      <w:fldChar w:fldCharType="begin"/>
    </w:r>
    <w:r w:rsidRPr="006C4F67">
      <w:rPr>
        <w:rStyle w:val="PageNumber"/>
      </w:rPr>
      <w:instrText xml:space="preserve"> PAGE</w:instrText>
    </w:r>
    <w:r>
      <w:rPr>
        <w:rStyle w:val="PageNumber"/>
      </w:rPr>
      <w:instrText xml:space="preserve"> </w:instrText>
    </w:r>
    <w:r w:rsidRPr="006C4F67">
      <w:rPr>
        <w:rStyle w:val="PageNumber"/>
      </w:rPr>
      <w:fldChar w:fldCharType="separate"/>
    </w:r>
    <w:r w:rsidR="00F47C96">
      <w:rPr>
        <w:rStyle w:val="PageNumber"/>
        <w:noProof/>
      </w:rPr>
      <w:t>65</w:t>
    </w:r>
    <w:r w:rsidRPr="006C4F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4FC977" w14:textId="77777777" w:rsidR="0081649B" w:rsidRDefault="0081649B" w:rsidP="00C702C7">
      <w:pPr>
        <w:spacing w:line="240" w:lineRule="auto"/>
      </w:pPr>
      <w:r>
        <w:separator/>
      </w:r>
    </w:p>
  </w:footnote>
  <w:footnote w:type="continuationSeparator" w:id="0">
    <w:p w14:paraId="70B0C960" w14:textId="77777777" w:rsidR="0081649B" w:rsidRDefault="0081649B" w:rsidP="00C702C7">
      <w:pPr>
        <w:spacing w:line="240" w:lineRule="auto"/>
      </w:pPr>
      <w:r>
        <w:continuationSeparator/>
      </w:r>
    </w:p>
  </w:footnote>
  <w:footnote w:id="1">
    <w:p w14:paraId="12AFA85A" w14:textId="77777777" w:rsidR="0081649B" w:rsidRDefault="0081649B" w:rsidP="00537973">
      <w:pPr>
        <w:pStyle w:val="FootnoteText"/>
      </w:pPr>
      <w:r>
        <w:rPr>
          <w:rStyle w:val="FootnoteReference"/>
        </w:rPr>
        <w:footnoteRef/>
      </w:r>
      <w:r>
        <w:t xml:space="preserve"> Higher Education Support Act 2003, </w:t>
      </w:r>
      <w:proofErr w:type="gramStart"/>
      <w:r>
        <w:t>s2(</w:t>
      </w:r>
      <w:proofErr w:type="gramEnd"/>
      <w:r>
        <w:t>1)(b).</w:t>
      </w:r>
    </w:p>
  </w:footnote>
  <w:footnote w:id="2">
    <w:p w14:paraId="6565CA86" w14:textId="4828F9B7" w:rsidR="00F6787F" w:rsidRDefault="00F6787F">
      <w:pPr>
        <w:pStyle w:val="FootnoteText"/>
      </w:pPr>
      <w:r>
        <w:rPr>
          <w:rStyle w:val="FootnoteReference"/>
        </w:rPr>
        <w:footnoteRef/>
      </w:r>
      <w:r>
        <w:t xml:space="preserve"> </w:t>
      </w:r>
      <w:r>
        <w:t>U</w:t>
      </w:r>
      <w:r w:rsidRPr="00C45264">
        <w:t xml:space="preserve">nlike the 2016 </w:t>
      </w:r>
      <w:r>
        <w:t>study</w:t>
      </w:r>
      <w:r w:rsidRPr="00C45264">
        <w:t>, this report does not seek to provide estimates of the reasonable costs of teaching and scholarship by field of education or to use a regression framework to identify the size of particular cost drivers</w:t>
      </w:r>
      <w:r>
        <w:t>. Importantly, this means that the cost estimates reflect the actual costs of teaching and scholarship for the universities concerned.  This report does not explicitly analyse notions of efficiency or quality</w:t>
      </w:r>
      <w:r>
        <w:t>.</w:t>
      </w:r>
    </w:p>
  </w:footnote>
  <w:footnote w:id="3">
    <w:p w14:paraId="3092ACE5" w14:textId="1035872E" w:rsidR="0081649B" w:rsidRDefault="0081649B">
      <w:pPr>
        <w:pStyle w:val="FootnoteText"/>
      </w:pPr>
      <w:r>
        <w:rPr>
          <w:rStyle w:val="FootnoteReference"/>
        </w:rPr>
        <w:footnoteRef/>
      </w:r>
      <w:r>
        <w:t xml:space="preserve"> For simplicity, the ‘cost of teaching and scholarship’ </w:t>
      </w:r>
      <w:proofErr w:type="gramStart"/>
      <w:r>
        <w:t>is often referred</w:t>
      </w:r>
      <w:proofErr w:type="gramEnd"/>
      <w:r>
        <w:t xml:space="preserve"> to as the ‘cost of teaching’ throughout this report. </w:t>
      </w:r>
    </w:p>
  </w:footnote>
  <w:footnote w:id="4">
    <w:p w14:paraId="760F6E10" w14:textId="77777777" w:rsidR="0081649B" w:rsidRDefault="0081649B" w:rsidP="00537973">
      <w:pPr>
        <w:pStyle w:val="FootnoteText"/>
      </w:pPr>
      <w:r>
        <w:rPr>
          <w:rStyle w:val="FootnoteReference"/>
        </w:rPr>
        <w:footnoteRef/>
      </w:r>
      <w:r>
        <w:t xml:space="preserve"> Affiliations </w:t>
      </w:r>
      <w:proofErr w:type="gramStart"/>
      <w:r>
        <w:t>include:</w:t>
      </w:r>
      <w:proofErr w:type="gramEnd"/>
      <w:r>
        <w:t xml:space="preserve"> Group of Eight (Go8), Innovative Universities Australia (IRU), Australian University Technology Network (ATN), and Regional Universities Network (RUN), noting that some universities have no formal affiliations (i.e. Nil group). </w:t>
      </w:r>
    </w:p>
  </w:footnote>
  <w:footnote w:id="5">
    <w:p w14:paraId="48FE60BC" w14:textId="77777777" w:rsidR="0081649B" w:rsidRDefault="0081649B" w:rsidP="00537973">
      <w:pPr>
        <w:pStyle w:val="FootnoteText"/>
      </w:pPr>
      <w:r>
        <w:rPr>
          <w:rStyle w:val="FootnoteReference"/>
        </w:rPr>
        <w:footnoteRef/>
      </w:r>
      <w:r>
        <w:t xml:space="preserve"> In addition to this outliers were removed where costs per EFTSL were greater than $100,000 and an EFTSL count was less than 10, when costs per EFTSL were greater than $300,000, or in instances where participating universities explicitly indicated that costs for a field-level combination should not be relied upon. </w:t>
      </w:r>
    </w:p>
  </w:footnote>
  <w:footnote w:id="6">
    <w:p w14:paraId="61D1EF20" w14:textId="77777777" w:rsidR="0081649B" w:rsidRDefault="0081649B" w:rsidP="00537973">
      <w:pPr>
        <w:pStyle w:val="FootnoteText"/>
      </w:pPr>
      <w:r>
        <w:rPr>
          <w:rStyle w:val="FootnoteReference"/>
        </w:rPr>
        <w:footnoteRef/>
      </w:r>
      <w:r>
        <w:t xml:space="preserve"> Greater research intensity or focus within a field or institution may simultaneously drive higher costs in teaching, due to more senior professional staff with both teaching and research roles. </w:t>
      </w:r>
    </w:p>
  </w:footnote>
  <w:footnote w:id="7">
    <w:p w14:paraId="4DCF8EDE" w14:textId="77777777" w:rsidR="0081649B" w:rsidRPr="00E92475" w:rsidRDefault="0081649B" w:rsidP="00537973">
      <w:pPr>
        <w:pStyle w:val="FootnoteText"/>
        <w:rPr>
          <w:lang w:val="en-US"/>
        </w:rPr>
      </w:pPr>
      <w:r>
        <w:rPr>
          <w:rStyle w:val="FootnoteReference"/>
        </w:rPr>
        <w:footnoteRef/>
      </w:r>
      <w:r>
        <w:t xml:space="preserve"> A relatively high cost per EFTSL (</w:t>
      </w:r>
      <w:r>
        <w:rPr>
          <w:lang w:val="en-US"/>
        </w:rPr>
        <w:t xml:space="preserve">$50,300) </w:t>
      </w:r>
      <w:proofErr w:type="gramStart"/>
      <w:r>
        <w:rPr>
          <w:lang w:val="en-US"/>
        </w:rPr>
        <w:t>was observed</w:t>
      </w:r>
      <w:proofErr w:type="gramEnd"/>
      <w:r>
        <w:rPr>
          <w:lang w:val="en-US"/>
        </w:rPr>
        <w:t xml:space="preserve"> for Mixed Field </w:t>
      </w:r>
      <w:proofErr w:type="spellStart"/>
      <w:r>
        <w:rPr>
          <w:lang w:val="en-US"/>
        </w:rPr>
        <w:t>Programmes</w:t>
      </w:r>
      <w:proofErr w:type="spellEnd"/>
      <w:r>
        <w:rPr>
          <w:lang w:val="en-US"/>
        </w:rPr>
        <w:t xml:space="preserve">, while a low cost per EFTSL ($17,200) was observed for Food, Hospitality and Personal Services but these programs were only delivered to 48 and 18 EFTSL respectively.  </w:t>
      </w:r>
    </w:p>
  </w:footnote>
  <w:footnote w:id="8">
    <w:p w14:paraId="2EA8B83C" w14:textId="77777777" w:rsidR="0081649B" w:rsidRDefault="0081649B">
      <w:pPr>
        <w:pStyle w:val="FootnoteText"/>
      </w:pPr>
      <w:r>
        <w:rPr>
          <w:rStyle w:val="FootnoteReference"/>
        </w:rPr>
        <w:footnoteRef/>
      </w:r>
      <w:r>
        <w:t xml:space="preserve"> For simplicity, references to teaching and scholarship </w:t>
      </w:r>
      <w:proofErr w:type="gramStart"/>
      <w:r>
        <w:t>costs,</w:t>
      </w:r>
      <w:proofErr w:type="gramEnd"/>
      <w:r>
        <w:t xml:space="preserve"> and teaching costs are treated synonymously in this report. </w:t>
      </w:r>
    </w:p>
  </w:footnote>
  <w:footnote w:id="9">
    <w:p w14:paraId="19B0AA9E" w14:textId="77777777" w:rsidR="0081649B" w:rsidRDefault="0081649B" w:rsidP="00776795">
      <w:pPr>
        <w:pStyle w:val="FootnoteText"/>
      </w:pPr>
      <w:r>
        <w:rPr>
          <w:rStyle w:val="FootnoteReference"/>
        </w:rPr>
        <w:footnoteRef/>
      </w:r>
      <w:r>
        <w:t xml:space="preserve"> Notably, this only applies for EFTSL that </w:t>
      </w:r>
      <w:proofErr w:type="gramStart"/>
      <w:r>
        <w:t>are attributed</w:t>
      </w:r>
      <w:proofErr w:type="gramEnd"/>
      <w:r>
        <w:t xml:space="preserve"> to the host university institution. </w:t>
      </w:r>
    </w:p>
  </w:footnote>
  <w:footnote w:id="10">
    <w:p w14:paraId="298E3A8E" w14:textId="77777777" w:rsidR="0081649B" w:rsidRDefault="0081649B" w:rsidP="00776795">
      <w:pPr>
        <w:pStyle w:val="FootnoteText"/>
      </w:pPr>
      <w:r>
        <w:rPr>
          <w:rStyle w:val="FootnoteReference"/>
        </w:rPr>
        <w:footnoteRef/>
      </w:r>
      <w:r>
        <w:t xml:space="preserve"> Notably, Mixed Field Programmes represent a very small proportion of EFTSL in higher education and are foundation programs delivered by few institutions. </w:t>
      </w:r>
    </w:p>
  </w:footnote>
  <w:footnote w:id="11">
    <w:p w14:paraId="5069142E" w14:textId="77777777" w:rsidR="0081649B" w:rsidRDefault="0081649B" w:rsidP="00776795">
      <w:pPr>
        <w:pStyle w:val="FootnoteText"/>
      </w:pPr>
      <w:r>
        <w:rPr>
          <w:rStyle w:val="FootnoteReference"/>
        </w:rPr>
        <w:footnoteRef/>
      </w:r>
      <w:r>
        <w:t xml:space="preserve"> Regional universities include: Charles Darwin University (2018 sample), Charles Sturt University (2016/18), Federation University Australia (2018), James Cook University (2016/18), Southern Cross University (2016/18), The University of New England (2016/18), University of Southern Queensland (2016/18), University of Tasmania (2018), Central Queensland University.  </w:t>
      </w:r>
    </w:p>
  </w:footnote>
  <w:footnote w:id="12">
    <w:p w14:paraId="6A380432" w14:textId="77777777" w:rsidR="0081649B" w:rsidRDefault="0081649B" w:rsidP="00776795">
      <w:pPr>
        <w:pStyle w:val="FootnoteText"/>
      </w:pPr>
      <w:r>
        <w:rPr>
          <w:rStyle w:val="FootnoteReference"/>
        </w:rPr>
        <w:footnoteRef/>
      </w:r>
      <w:r>
        <w:t xml:space="preserve"> Dual sector universities </w:t>
      </w:r>
      <w:proofErr w:type="gramStart"/>
      <w:r>
        <w:t>include:</w:t>
      </w:r>
      <w:proofErr w:type="gramEnd"/>
      <w:r>
        <w:t xml:space="preserve"> Charles Darwin University (2018 sample), Victoria University (2016/18), Federation University Australia (2018), Central Queensland University, RMIT University, Swinburne University of Australia. </w:t>
      </w:r>
    </w:p>
  </w:footnote>
  <w:footnote w:id="13">
    <w:p w14:paraId="0205EA0E" w14:textId="77777777" w:rsidR="0081649B" w:rsidRDefault="0081649B" w:rsidP="00BB4C45">
      <w:pPr>
        <w:pStyle w:val="FootnoteText"/>
      </w:pPr>
      <w:r>
        <w:rPr>
          <w:rStyle w:val="FootnoteReference"/>
        </w:rPr>
        <w:footnoteRef/>
      </w:r>
      <w:r>
        <w:t xml:space="preserve"> Higher Education Loan Program (HELP) refers to a number of Commonwealth loan policies to support student contributions, as well as fees and other selected expenses related to study.  </w:t>
      </w:r>
    </w:p>
  </w:footnote>
  <w:footnote w:id="14">
    <w:p w14:paraId="37F0C02D" w14:textId="77777777" w:rsidR="0081649B" w:rsidRDefault="0081649B" w:rsidP="001548C2">
      <w:pPr>
        <w:pStyle w:val="FootnoteText"/>
      </w:pPr>
      <w:r>
        <w:rPr>
          <w:rStyle w:val="FootnoteReference"/>
        </w:rPr>
        <w:footnoteRef/>
      </w:r>
      <w:r>
        <w:t xml:space="preserve"> It should be noted that the true share of teaching costs attributable to higher education staff </w:t>
      </w:r>
      <w:proofErr w:type="gramStart"/>
      <w:r>
        <w:t>may</w:t>
      </w:r>
      <w:proofErr w:type="gramEnd"/>
      <w:r>
        <w:t xml:space="preserve"> be marginally higher as universities were asked to attribute teaching costs to third party providers under ‘non-staff expenses’. </w:t>
      </w:r>
      <w:proofErr w:type="gramStart"/>
      <w:r>
        <w:t>Thus</w:t>
      </w:r>
      <w:proofErr w:type="gramEnd"/>
      <w:r>
        <w:t xml:space="preserve"> staff expenses (as described in this report) only represent costs associated with staff under the employment of the relevant university. </w:t>
      </w:r>
    </w:p>
  </w:footnote>
  <w:footnote w:id="15">
    <w:p w14:paraId="2A0954D2" w14:textId="77777777" w:rsidR="0081649B" w:rsidRPr="00495A65" w:rsidRDefault="0081649B">
      <w:pPr>
        <w:pStyle w:val="FootnoteText"/>
        <w:rPr>
          <w:lang w:val="en-US"/>
        </w:rPr>
      </w:pPr>
      <w:r>
        <w:rPr>
          <w:rStyle w:val="FootnoteReference"/>
        </w:rPr>
        <w:footnoteRef/>
      </w:r>
      <w:r>
        <w:t xml:space="preserve"> </w:t>
      </w:r>
      <w:r>
        <w:rPr>
          <w:lang w:val="en-US"/>
        </w:rPr>
        <w:t xml:space="preserve">This excludes Mixed Field </w:t>
      </w:r>
      <w:proofErr w:type="spellStart"/>
      <w:r>
        <w:rPr>
          <w:lang w:val="en-US"/>
        </w:rPr>
        <w:t>Programmes</w:t>
      </w:r>
      <w:proofErr w:type="spellEnd"/>
      <w:r>
        <w:rPr>
          <w:lang w:val="en-US"/>
        </w:rPr>
        <w:t xml:space="preserve"> which was observed with very low unit costs (around $9,600), however, this was delivered by few universities and only for 46 EFTSL in total.  </w:t>
      </w:r>
    </w:p>
  </w:footnote>
  <w:footnote w:id="16">
    <w:p w14:paraId="4307B7EF" w14:textId="213D4B0B" w:rsidR="0081649B" w:rsidRDefault="0081649B" w:rsidP="00CB6DC1">
      <w:pPr>
        <w:pStyle w:val="FootnoteText"/>
      </w:pPr>
      <w:r>
        <w:rPr>
          <w:rStyle w:val="FootnoteReference"/>
        </w:rPr>
        <w:footnoteRef/>
      </w:r>
      <w:r>
        <w:t xml:space="preserve"> This variation is substantially larger than the variation in average costs. For example, the variation in average costs between these two fields is around 300%, while the variation in dispersion is around 1000%. </w:t>
      </w:r>
    </w:p>
  </w:footnote>
  <w:footnote w:id="17">
    <w:p w14:paraId="1A2815C8" w14:textId="77777777" w:rsidR="0081649B" w:rsidRDefault="0081649B">
      <w:pPr>
        <w:pStyle w:val="FootnoteText"/>
      </w:pPr>
      <w:r>
        <w:rPr>
          <w:rStyle w:val="FootnoteReference"/>
        </w:rPr>
        <w:footnoteRef/>
      </w:r>
      <w:r>
        <w:t xml:space="preserve"> Noting that these figures vary to the full sample discussed earlier. </w:t>
      </w:r>
    </w:p>
  </w:footnote>
  <w:footnote w:id="18">
    <w:p w14:paraId="0ED857DA" w14:textId="77777777" w:rsidR="0081649B" w:rsidRPr="000E7E57" w:rsidRDefault="0081649B" w:rsidP="000E7E57">
      <w:pPr>
        <w:pStyle w:val="FootnoteText"/>
      </w:pPr>
      <w:r>
        <w:rPr>
          <w:rStyle w:val="FootnoteReference"/>
        </w:rPr>
        <w:footnoteRef/>
      </w:r>
      <w:r>
        <w:t xml:space="preserve"> Department of Education and Training (2017), </w:t>
      </w:r>
      <w:r w:rsidRPr="006D3D16">
        <w:rPr>
          <w:i/>
        </w:rPr>
        <w:t>Selected Higher Education Statistics – 2017 Staff data</w:t>
      </w:r>
      <w:r>
        <w:t>.</w:t>
      </w:r>
    </w:p>
  </w:footnote>
  <w:footnote w:id="19">
    <w:p w14:paraId="1CAEF088" w14:textId="77777777" w:rsidR="0081649B" w:rsidRDefault="0081649B" w:rsidP="00EB779E">
      <w:pPr>
        <w:pStyle w:val="FootnoteText"/>
      </w:pPr>
      <w:r>
        <w:rPr>
          <w:rStyle w:val="FootnoteReference"/>
        </w:rPr>
        <w:footnoteRef/>
      </w:r>
      <w:r>
        <w:t xml:space="preserve"> For those academic staff classified as ‘teaching and research’ as well as non-academic staff tasked with supporting teaching and research academic staff.</w:t>
      </w:r>
    </w:p>
  </w:footnote>
  <w:footnote w:id="20">
    <w:p w14:paraId="7E4E5CEE" w14:textId="77777777" w:rsidR="0081649B" w:rsidRPr="002673A9" w:rsidRDefault="0081649B" w:rsidP="00492785">
      <w:pPr>
        <w:pStyle w:val="FootnoteText"/>
        <w:rPr>
          <w:lang w:val="en-US"/>
        </w:rPr>
      </w:pPr>
      <w:r>
        <w:rPr>
          <w:rStyle w:val="FootnoteReference"/>
        </w:rPr>
        <w:footnoteRef/>
      </w:r>
      <w:r>
        <w:t xml:space="preserve"> </w:t>
      </w:r>
      <w:r>
        <w:rPr>
          <w:lang w:val="en-US"/>
        </w:rPr>
        <w:t>Note: For simplicity in this document, ‘teaching and scholarship’ and ‘teaching’ are used and referred to synonymously throughout.</w:t>
      </w:r>
    </w:p>
  </w:footnote>
  <w:footnote w:id="21">
    <w:p w14:paraId="1F501A43" w14:textId="77777777" w:rsidR="0081649B" w:rsidRDefault="0081649B" w:rsidP="00492785">
      <w:pPr>
        <w:pStyle w:val="FootnoteText"/>
      </w:pPr>
      <w:r>
        <w:rPr>
          <w:rStyle w:val="FootnoteReference"/>
        </w:rPr>
        <w:footnoteRef/>
      </w:r>
      <w:r>
        <w:t xml:space="preserve"> More detail on the types of activities that </w:t>
      </w:r>
      <w:proofErr w:type="gramStart"/>
      <w:r>
        <w:t>may be considered</w:t>
      </w:r>
      <w:proofErr w:type="gramEnd"/>
      <w:r>
        <w:t xml:space="preserve"> ‘scholarship’ is provided in Section 2.2 of these guidelines.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A7943" w14:textId="77777777" w:rsidR="0081649B" w:rsidRDefault="0081649B" w:rsidP="00474643">
    <w:pPr>
      <w:pStyle w:val="Header"/>
    </w:pPr>
    <w:sdt>
      <w:sdtPr>
        <w:alias w:val="Title"/>
        <w:id w:val="122897596"/>
        <w:placeholder>
          <w:docPart w:val="320FB5E9C79748E18DABFD65734C759E"/>
        </w:placeholder>
        <w:dataBinding w:prefixMappings="xmlns:ns0='http://purl.org/dc/elements/1.1/' xmlns:ns1='http://schemas.openxmlformats.org/package/2006/metadata/core-properties' " w:xpath="/ns1:coreProperties[1]/ns0:title[1]" w:storeItemID="{6C3C8BC8-F283-45AE-878A-BAB7291924A1}"/>
        <w:text/>
      </w:sdtPr>
      <w:sdtContent>
        <w:r>
          <w:t>Transparency in Higher Education Expenditure</w:t>
        </w:r>
      </w:sdtContent>
    </w:sdt>
  </w:p>
  <w:p w14:paraId="01DADB5B" w14:textId="77777777" w:rsidR="0081649B" w:rsidRPr="00474643" w:rsidRDefault="0081649B" w:rsidP="00474643">
    <w:pPr>
      <w:pStyle w:val="Header"/>
    </w:pPr>
    <w:r>
      <w:rPr>
        <w:noProof/>
        <w:lang w:eastAsia="en-AU"/>
      </w:rPr>
      <w:drawing>
        <wp:anchor distT="0" distB="0" distL="0" distR="0" simplePos="0" relativeHeight="251630080" behindDoc="0" locked="0" layoutInCell="1" allowOverlap="1" wp14:anchorId="3F324CC6" wp14:editId="07B824B2">
          <wp:simplePos x="0" y="0"/>
          <wp:positionH relativeFrom="page">
            <wp:align>center</wp:align>
          </wp:positionH>
          <wp:positionV relativeFrom="page">
            <wp:align>center</wp:align>
          </wp:positionV>
          <wp:extent cx="5117755" cy="5400000"/>
          <wp:effectExtent l="0" t="0" r="6985" b="0"/>
          <wp:wrapNone/>
          <wp:docPr id="597878560" name="Draft" hidden="1"/>
          <wp:cNvGraphicFramePr/>
          <a:graphic xmlns:a="http://schemas.openxmlformats.org/drawingml/2006/main">
            <a:graphicData uri="http://schemas.openxmlformats.org/drawingml/2006/picture">
              <pic:pic xmlns:pic="http://schemas.openxmlformats.org/drawingml/2006/picture">
                <pic:nvPicPr>
                  <pic:cNvPr id="597878544" name="Draft"/>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31104" behindDoc="0" locked="0" layoutInCell="1" allowOverlap="1" wp14:anchorId="3E646F32" wp14:editId="2E0AA349">
          <wp:simplePos x="0" y="0"/>
          <wp:positionH relativeFrom="margin">
            <wp:align>left</wp:align>
          </wp:positionH>
          <wp:positionV relativeFrom="page">
            <wp:posOffset>10314000</wp:posOffset>
          </wp:positionV>
          <wp:extent cx="5940000" cy="156704"/>
          <wp:effectExtent l="0" t="0" r="0" b="0"/>
          <wp:wrapNone/>
          <wp:docPr id="597878561" name="Draft_Text" hidden="1"/>
          <wp:cNvGraphicFramePr/>
          <a:graphic xmlns:a="http://schemas.openxmlformats.org/drawingml/2006/main">
            <a:graphicData uri="http://schemas.openxmlformats.org/drawingml/2006/picture">
              <pic:pic xmlns:pic="http://schemas.openxmlformats.org/drawingml/2006/picture">
                <pic:nvPicPr>
                  <pic:cNvPr id="1042018341" name="Draft_Text"/>
                  <pic:cNvPicPr/>
                </pic:nvPicPr>
                <pic:blipFill>
                  <a:blip r:embed="rId2"/>
                  <a:srcRect/>
                  <a:stretch/>
                </pic:blipFill>
                <pic:spPr>
                  <a:xfrm>
                    <a:off x="0" y="0"/>
                    <a:ext cx="5940000" cy="156704"/>
                  </a:xfrm>
                  <a:prstGeom prst="rect">
                    <a:avLst/>
                  </a:prstGeom>
                </pic:spPr>
              </pic:pic>
            </a:graphicData>
          </a:graphic>
        </wp:anchor>
      </w:drawing>
    </w:r>
    <w:r>
      <w:rPr>
        <w:noProof/>
        <w:lang w:eastAsia="en-AU"/>
      </w:rPr>
      <w:drawing>
        <wp:anchor distT="0" distB="0" distL="0" distR="0" simplePos="0" relativeHeight="251633152" behindDoc="1" locked="0" layoutInCell="1" allowOverlap="1" wp14:anchorId="6927045A" wp14:editId="18DEF2EC">
          <wp:simplePos x="0" y="0"/>
          <wp:positionH relativeFrom="page">
            <wp:posOffset>3600000</wp:posOffset>
          </wp:positionH>
          <wp:positionV relativeFrom="page">
            <wp:posOffset>10188000</wp:posOffset>
          </wp:positionV>
          <wp:extent cx="5553450" cy="154800"/>
          <wp:effectExtent l="0" t="0" r="0" b="0"/>
          <wp:wrapNone/>
          <wp:docPr id="597878562" name="Public_Hide" hidden="1"/>
          <wp:cNvGraphicFramePr/>
          <a:graphic xmlns:a="http://schemas.openxmlformats.org/drawingml/2006/main">
            <a:graphicData uri="http://schemas.openxmlformats.org/drawingml/2006/picture">
              <pic:pic xmlns:pic="http://schemas.openxmlformats.org/drawingml/2006/picture">
                <pic:nvPicPr>
                  <pic:cNvPr id="1091442215" name="Public_Hide"/>
                  <pic:cNvPicPr/>
                </pic:nvPicPr>
                <pic:blipFill>
                  <a:blip r:embed="rId3"/>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34176" behindDoc="1" locked="0" layoutInCell="1" allowOverlap="1" wp14:anchorId="3C1A15BC" wp14:editId="4FC0AA82">
          <wp:simplePos x="0" y="0"/>
          <wp:positionH relativeFrom="page">
            <wp:posOffset>3600000</wp:posOffset>
          </wp:positionH>
          <wp:positionV relativeFrom="page">
            <wp:posOffset>10188000</wp:posOffset>
          </wp:positionV>
          <wp:extent cx="5553450" cy="154800"/>
          <wp:effectExtent l="0" t="0" r="0" b="0"/>
          <wp:wrapNone/>
          <wp:docPr id="597878563" name="Confidential_Hide"/>
          <wp:cNvGraphicFramePr/>
          <a:graphic xmlns:a="http://schemas.openxmlformats.org/drawingml/2006/main">
            <a:graphicData uri="http://schemas.openxmlformats.org/drawingml/2006/picture">
              <pic:pic xmlns:pic="http://schemas.openxmlformats.org/drawingml/2006/picture">
                <pic:nvPicPr>
                  <pic:cNvPr id="459974203" name="Confidential_Hide"/>
                  <pic:cNvPicPr/>
                </pic:nvPicPr>
                <pic:blipFill>
                  <a:blip r:embed="rId4"/>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35200" behindDoc="1" locked="0" layoutInCell="1" allowOverlap="1" wp14:anchorId="2D5A1592" wp14:editId="73FA3B6E">
          <wp:simplePos x="0" y="0"/>
          <wp:positionH relativeFrom="page">
            <wp:posOffset>3600000</wp:posOffset>
          </wp:positionH>
          <wp:positionV relativeFrom="page">
            <wp:posOffset>10188000</wp:posOffset>
          </wp:positionV>
          <wp:extent cx="5553450" cy="154800"/>
          <wp:effectExtent l="0" t="0" r="0" b="0"/>
          <wp:wrapNone/>
          <wp:docPr id="597878564" name="HighRisk_Hide" hidden="1"/>
          <wp:cNvGraphicFramePr/>
          <a:graphic xmlns:a="http://schemas.openxmlformats.org/drawingml/2006/main">
            <a:graphicData uri="http://schemas.openxmlformats.org/drawingml/2006/picture">
              <pic:pic xmlns:pic="http://schemas.openxmlformats.org/drawingml/2006/picture">
                <pic:nvPicPr>
                  <pic:cNvPr id="25796226" name="HighRisk_Hide"/>
                  <pic:cNvPicPr/>
                </pic:nvPicPr>
                <pic:blipFill>
                  <a:blip r:embed="rId5"/>
                  <a:srcRect/>
                  <a:stretch/>
                </pic:blipFill>
                <pic:spPr>
                  <a:xfrm>
                    <a:off x="0" y="0"/>
                    <a:ext cx="5553450" cy="1548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922439" w14:textId="77777777" w:rsidR="0081649B" w:rsidRPr="000116B0" w:rsidRDefault="0081649B" w:rsidP="00474643">
    <w:pPr>
      <w:pStyle w:val="Header"/>
    </w:pPr>
    <w:sdt>
      <w:sdtPr>
        <w:alias w:val="Title"/>
        <w:id w:val="-2061086959"/>
        <w:dataBinding w:prefixMappings="xmlns:ns0='http://purl.org/dc/elements/1.1/' xmlns:ns1='http://schemas.openxmlformats.org/package/2006/metadata/core-properties' " w:xpath="/ns1:coreProperties[1]/ns0:title[1]" w:storeItemID="{6C3C8BC8-F283-45AE-878A-BAB7291924A1}"/>
        <w:text/>
      </w:sdtPr>
      <w:sdtContent>
        <w:r>
          <w:t>Transparency in Higher Education Expenditure</w:t>
        </w:r>
      </w:sdtContent>
    </w:sdt>
  </w:p>
  <w:p w14:paraId="6B848B17" w14:textId="77777777" w:rsidR="0081649B" w:rsidRDefault="0081649B" w:rsidP="00474643">
    <w:pPr>
      <w:pStyle w:val="Header"/>
    </w:pPr>
  </w:p>
  <w:p w14:paraId="56D8D4A2" w14:textId="77777777" w:rsidR="0081649B" w:rsidRPr="000116B0" w:rsidRDefault="0081649B" w:rsidP="0012388F">
    <w:pPr>
      <w:pStyle w:val="Header"/>
    </w:pPr>
    <w:r>
      <w:rPr>
        <w:noProof/>
        <w:lang w:eastAsia="en-AU"/>
      </w:rPr>
      <w:drawing>
        <wp:anchor distT="0" distB="0" distL="0" distR="0" simplePos="0" relativeHeight="251655680" behindDoc="0" locked="0" layoutInCell="1" allowOverlap="1" wp14:anchorId="61C6F068" wp14:editId="2801B2F4">
          <wp:simplePos x="0" y="0"/>
          <wp:positionH relativeFrom="page">
            <wp:align>center</wp:align>
          </wp:positionH>
          <wp:positionV relativeFrom="page">
            <wp:align>center</wp:align>
          </wp:positionV>
          <wp:extent cx="5117755" cy="5400000"/>
          <wp:effectExtent l="0" t="0" r="6985" b="0"/>
          <wp:wrapNone/>
          <wp:docPr id="1993015560" name="Draft3" hidden="1"/>
          <wp:cNvGraphicFramePr/>
          <a:graphic xmlns:a="http://schemas.openxmlformats.org/drawingml/2006/main">
            <a:graphicData uri="http://schemas.openxmlformats.org/drawingml/2006/picture">
              <pic:pic xmlns:pic="http://schemas.openxmlformats.org/drawingml/2006/picture">
                <pic:nvPicPr>
                  <pic:cNvPr id="985804461" name="Draft3"/>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57728" behindDoc="1" locked="0" layoutInCell="1" allowOverlap="1" wp14:anchorId="643B0711" wp14:editId="478AFB81">
          <wp:simplePos x="0" y="0"/>
          <wp:positionH relativeFrom="page">
            <wp:posOffset>3600000</wp:posOffset>
          </wp:positionH>
          <wp:positionV relativeFrom="page">
            <wp:posOffset>10188000</wp:posOffset>
          </wp:positionV>
          <wp:extent cx="5553450" cy="154800"/>
          <wp:effectExtent l="0" t="0" r="0" b="0"/>
          <wp:wrapNone/>
          <wp:docPr id="1993015562" name="Public_Hide3" hidden="1"/>
          <wp:cNvGraphicFramePr/>
          <a:graphic xmlns:a="http://schemas.openxmlformats.org/drawingml/2006/main">
            <a:graphicData uri="http://schemas.openxmlformats.org/drawingml/2006/picture">
              <pic:pic xmlns:pic="http://schemas.openxmlformats.org/drawingml/2006/picture">
                <pic:nvPicPr>
                  <pic:cNvPr id="549516878" name="Public_Hide3"/>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59776" behindDoc="1" locked="0" layoutInCell="1" allowOverlap="1" wp14:anchorId="39DF6605" wp14:editId="4A59A5B5">
          <wp:simplePos x="0" y="0"/>
          <wp:positionH relativeFrom="page">
            <wp:posOffset>3600000</wp:posOffset>
          </wp:positionH>
          <wp:positionV relativeFrom="page">
            <wp:posOffset>10188000</wp:posOffset>
          </wp:positionV>
          <wp:extent cx="5553450" cy="154800"/>
          <wp:effectExtent l="0" t="0" r="0" b="0"/>
          <wp:wrapNone/>
          <wp:docPr id="1993015564" name="HighRisk_Hide3" hidden="1"/>
          <wp:cNvGraphicFramePr/>
          <a:graphic xmlns:a="http://schemas.openxmlformats.org/drawingml/2006/main">
            <a:graphicData uri="http://schemas.openxmlformats.org/drawingml/2006/picture">
              <pic:pic xmlns:pic="http://schemas.openxmlformats.org/drawingml/2006/picture">
                <pic:nvPicPr>
                  <pic:cNvPr id="1102634888" name="HighRisk_Hide3"/>
                  <pic:cNvPicPr/>
                </pic:nvPicPr>
                <pic:blipFill>
                  <a:blip r:embed="rId3"/>
                  <a:srcRect/>
                  <a:stretch/>
                </pic:blipFill>
                <pic:spPr>
                  <a:xfrm>
                    <a:off x="0" y="0"/>
                    <a:ext cx="5553450" cy="1548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805289" w14:textId="77777777" w:rsidR="0081649B" w:rsidRDefault="0081649B" w:rsidP="00E33B5F">
    <w:pPr>
      <w:pStyle w:val="Header"/>
    </w:pPr>
    <w:sdt>
      <w:sdtPr>
        <w:alias w:val="Title"/>
        <w:id w:val="634224116"/>
        <w:dataBinding w:prefixMappings="xmlns:ns0='http://purl.org/dc/elements/1.1/' xmlns:ns1='http://schemas.openxmlformats.org/package/2006/metadata/core-properties' " w:xpath="/ns1:coreProperties[1]/ns0:title[1]" w:storeItemID="{6C3C8BC8-F283-45AE-878A-BAB7291924A1}"/>
        <w:text/>
      </w:sdtPr>
      <w:sdtContent>
        <w:r>
          <w:t>Transparency in Higher Education Expenditure</w:t>
        </w:r>
      </w:sdtContent>
    </w:sdt>
  </w:p>
  <w:p w14:paraId="03EB0DCB" w14:textId="77777777" w:rsidR="0081649B" w:rsidRDefault="0081649B" w:rsidP="00E33B5F">
    <w:pPr>
      <w:pStyle w:val="Header"/>
    </w:pPr>
  </w:p>
  <w:p w14:paraId="6B7CC4D0" w14:textId="77777777" w:rsidR="0081649B" w:rsidRPr="00E33B5F" w:rsidRDefault="0081649B" w:rsidP="00810613">
    <w:pPr>
      <w:pStyle w:val="Header"/>
    </w:pPr>
    <w:r>
      <w:rPr>
        <w:noProof/>
        <w:lang w:eastAsia="en-AU"/>
      </w:rPr>
      <w:drawing>
        <wp:anchor distT="0" distB="0" distL="0" distR="0" simplePos="0" relativeHeight="251665920" behindDoc="0" locked="0" layoutInCell="1" allowOverlap="1" wp14:anchorId="0EA09CB0" wp14:editId="42A7C722">
          <wp:simplePos x="0" y="0"/>
          <wp:positionH relativeFrom="page">
            <wp:align>center</wp:align>
          </wp:positionH>
          <wp:positionV relativeFrom="page">
            <wp:align>center</wp:align>
          </wp:positionV>
          <wp:extent cx="5117755" cy="5400000"/>
          <wp:effectExtent l="0" t="0" r="6985" b="0"/>
          <wp:wrapNone/>
          <wp:docPr id="25796242" name="Draft5" hidden="1"/>
          <wp:cNvGraphicFramePr/>
          <a:graphic xmlns:a="http://schemas.openxmlformats.org/drawingml/2006/main">
            <a:graphicData uri="http://schemas.openxmlformats.org/drawingml/2006/picture">
              <pic:pic xmlns:pic="http://schemas.openxmlformats.org/drawingml/2006/picture">
                <pic:nvPicPr>
                  <pic:cNvPr id="1993015572" name="Draft5"/>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67968" behindDoc="1" locked="0" layoutInCell="1" allowOverlap="1" wp14:anchorId="398F29DC" wp14:editId="4445B3D7">
          <wp:simplePos x="0" y="0"/>
          <wp:positionH relativeFrom="page">
            <wp:posOffset>3600000</wp:posOffset>
          </wp:positionH>
          <wp:positionV relativeFrom="page">
            <wp:posOffset>10188000</wp:posOffset>
          </wp:positionV>
          <wp:extent cx="5553450" cy="154800"/>
          <wp:effectExtent l="0" t="0" r="0" b="0"/>
          <wp:wrapNone/>
          <wp:docPr id="25796244" name="Public_Hide5" hidden="1"/>
          <wp:cNvGraphicFramePr/>
          <a:graphic xmlns:a="http://schemas.openxmlformats.org/drawingml/2006/main">
            <a:graphicData uri="http://schemas.openxmlformats.org/drawingml/2006/picture">
              <pic:pic xmlns:pic="http://schemas.openxmlformats.org/drawingml/2006/picture">
                <pic:nvPicPr>
                  <pic:cNvPr id="1894658511" name="Public_Hide5"/>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70016" behindDoc="1" locked="0" layoutInCell="1" allowOverlap="1" wp14:anchorId="41110D8E" wp14:editId="4641E13E">
          <wp:simplePos x="0" y="0"/>
          <wp:positionH relativeFrom="page">
            <wp:posOffset>3600000</wp:posOffset>
          </wp:positionH>
          <wp:positionV relativeFrom="page">
            <wp:posOffset>10188000</wp:posOffset>
          </wp:positionV>
          <wp:extent cx="5553450" cy="154800"/>
          <wp:effectExtent l="0" t="0" r="0" b="0"/>
          <wp:wrapNone/>
          <wp:docPr id="25796246" name="HighRisk_Hide5" hidden="1"/>
          <wp:cNvGraphicFramePr/>
          <a:graphic xmlns:a="http://schemas.openxmlformats.org/drawingml/2006/main">
            <a:graphicData uri="http://schemas.openxmlformats.org/drawingml/2006/picture">
              <pic:pic xmlns:pic="http://schemas.openxmlformats.org/drawingml/2006/picture">
                <pic:nvPicPr>
                  <pic:cNvPr id="111778917" name="HighRisk_Hide5"/>
                  <pic:cNvPicPr/>
                </pic:nvPicPr>
                <pic:blipFill>
                  <a:blip r:embed="rId3"/>
                  <a:srcRect/>
                  <a:stretch/>
                </pic:blipFill>
                <pic:spPr>
                  <a:xfrm>
                    <a:off x="0" y="0"/>
                    <a:ext cx="5553450" cy="15480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6C498E" w14:textId="77777777" w:rsidR="0081649B" w:rsidRPr="000116B0" w:rsidRDefault="0081649B" w:rsidP="00E33B5F">
    <w:pPr>
      <w:pStyle w:val="Header"/>
    </w:pPr>
    <w:sdt>
      <w:sdtPr>
        <w:alias w:val="Title"/>
        <w:id w:val="-1009360711"/>
        <w:dataBinding w:prefixMappings="xmlns:ns0='http://purl.org/dc/elements/1.1/' xmlns:ns1='http://schemas.openxmlformats.org/package/2006/metadata/core-properties' " w:xpath="/ns1:coreProperties[1]/ns0:title[1]" w:storeItemID="{6C3C8BC8-F283-45AE-878A-BAB7291924A1}"/>
        <w:text/>
      </w:sdtPr>
      <w:sdtContent>
        <w:r>
          <w:t>Transparency in Higher Education Expenditure</w:t>
        </w:r>
      </w:sdtContent>
    </w:sdt>
  </w:p>
  <w:p w14:paraId="424E9D35" w14:textId="77777777" w:rsidR="0081649B" w:rsidRDefault="0081649B" w:rsidP="00E33B5F">
    <w:pPr>
      <w:pStyle w:val="Header"/>
    </w:pPr>
  </w:p>
  <w:p w14:paraId="5CF1E52D" w14:textId="77777777" w:rsidR="0081649B" w:rsidRPr="00E33B5F" w:rsidRDefault="0081649B" w:rsidP="00E33B5F">
    <w:pPr>
      <w:pStyle w:val="Header"/>
    </w:pPr>
    <w:r>
      <w:rPr>
        <w:noProof/>
        <w:lang w:eastAsia="en-AU"/>
      </w:rPr>
      <w:drawing>
        <wp:anchor distT="0" distB="0" distL="0" distR="0" simplePos="0" relativeHeight="251671040" behindDoc="0" locked="0" layoutInCell="1" allowOverlap="1" wp14:anchorId="78132A2D" wp14:editId="12460B45">
          <wp:simplePos x="0" y="0"/>
          <wp:positionH relativeFrom="page">
            <wp:align>center</wp:align>
          </wp:positionH>
          <wp:positionV relativeFrom="page">
            <wp:align>center</wp:align>
          </wp:positionV>
          <wp:extent cx="5117755" cy="5400000"/>
          <wp:effectExtent l="0" t="0" r="6985" b="0"/>
          <wp:wrapNone/>
          <wp:docPr id="1091442178" name="Draft6" hidden="1"/>
          <wp:cNvGraphicFramePr/>
          <a:graphic xmlns:a="http://schemas.openxmlformats.org/drawingml/2006/main">
            <a:graphicData uri="http://schemas.openxmlformats.org/drawingml/2006/picture">
              <pic:pic xmlns:pic="http://schemas.openxmlformats.org/drawingml/2006/picture">
                <pic:nvPicPr>
                  <pic:cNvPr id="1767178131" name="Draft6"/>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73088" behindDoc="1" locked="0" layoutInCell="1" allowOverlap="1" wp14:anchorId="242B008E" wp14:editId="20C0FAB0">
          <wp:simplePos x="0" y="0"/>
          <wp:positionH relativeFrom="page">
            <wp:posOffset>3600000</wp:posOffset>
          </wp:positionH>
          <wp:positionV relativeFrom="page">
            <wp:posOffset>10188000</wp:posOffset>
          </wp:positionV>
          <wp:extent cx="5553450" cy="154800"/>
          <wp:effectExtent l="0" t="0" r="0" b="0"/>
          <wp:wrapNone/>
          <wp:docPr id="1091442179" name="Public_Hide6" hidden="1"/>
          <wp:cNvGraphicFramePr/>
          <a:graphic xmlns:a="http://schemas.openxmlformats.org/drawingml/2006/main">
            <a:graphicData uri="http://schemas.openxmlformats.org/drawingml/2006/picture">
              <pic:pic xmlns:pic="http://schemas.openxmlformats.org/drawingml/2006/picture">
                <pic:nvPicPr>
                  <pic:cNvPr id="1623797462" name="Public_Hide6"/>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75136" behindDoc="1" locked="0" layoutInCell="1" allowOverlap="1" wp14:anchorId="265E0722" wp14:editId="00446AFD">
          <wp:simplePos x="0" y="0"/>
          <wp:positionH relativeFrom="page">
            <wp:posOffset>3600000</wp:posOffset>
          </wp:positionH>
          <wp:positionV relativeFrom="page">
            <wp:posOffset>10188000</wp:posOffset>
          </wp:positionV>
          <wp:extent cx="5553450" cy="154800"/>
          <wp:effectExtent l="0" t="0" r="0" b="0"/>
          <wp:wrapNone/>
          <wp:docPr id="1091442181" name="HighRisk_Hide6" hidden="1"/>
          <wp:cNvGraphicFramePr/>
          <a:graphic xmlns:a="http://schemas.openxmlformats.org/drawingml/2006/main">
            <a:graphicData uri="http://schemas.openxmlformats.org/drawingml/2006/picture">
              <pic:pic xmlns:pic="http://schemas.openxmlformats.org/drawingml/2006/picture">
                <pic:nvPicPr>
                  <pic:cNvPr id="1114427076" name="HighRisk_Hide6"/>
                  <pic:cNvPicPr/>
                </pic:nvPicPr>
                <pic:blipFill>
                  <a:blip r:embed="rId3"/>
                  <a:srcRect/>
                  <a:stretch/>
                </pic:blipFill>
                <pic:spPr>
                  <a:xfrm>
                    <a:off x="0" y="0"/>
                    <a:ext cx="5553450" cy="154800"/>
                  </a:xfrm>
                  <a:prstGeom prst="rect">
                    <a:avLst/>
                  </a:prstGeom>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7EE6D" w14:textId="77777777" w:rsidR="0081649B" w:rsidRDefault="0081649B">
    <w:r>
      <w:rPr>
        <w:noProof/>
        <w:lang w:eastAsia="en-AU"/>
      </w:rPr>
      <w:drawing>
        <wp:anchor distT="0" distB="0" distL="0" distR="0" simplePos="0" relativeHeight="251681280" behindDoc="0" locked="0" layoutInCell="1" allowOverlap="1" wp14:anchorId="3344E2AC" wp14:editId="74B8B334">
          <wp:simplePos x="0" y="0"/>
          <wp:positionH relativeFrom="page">
            <wp:align>center</wp:align>
          </wp:positionH>
          <wp:positionV relativeFrom="page">
            <wp:align>center</wp:align>
          </wp:positionV>
          <wp:extent cx="5117755" cy="5400000"/>
          <wp:effectExtent l="0" t="0" r="6985" b="0"/>
          <wp:wrapNone/>
          <wp:docPr id="1091442231" name="Draft8" hidden="1"/>
          <wp:cNvGraphicFramePr/>
          <a:graphic xmlns:a="http://schemas.openxmlformats.org/drawingml/2006/main">
            <a:graphicData uri="http://schemas.openxmlformats.org/drawingml/2006/picture">
              <pic:pic xmlns:pic="http://schemas.openxmlformats.org/drawingml/2006/picture">
                <pic:nvPicPr>
                  <pic:cNvPr id="1528422307" name="Draft8"/>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83328" behindDoc="1" locked="0" layoutInCell="1" allowOverlap="1" wp14:anchorId="6CBFC01C" wp14:editId="1339D382">
          <wp:simplePos x="0" y="0"/>
          <wp:positionH relativeFrom="page">
            <wp:posOffset>3600000</wp:posOffset>
          </wp:positionH>
          <wp:positionV relativeFrom="page">
            <wp:posOffset>10188000</wp:posOffset>
          </wp:positionV>
          <wp:extent cx="5553450" cy="154800"/>
          <wp:effectExtent l="0" t="0" r="0" b="0"/>
          <wp:wrapNone/>
          <wp:docPr id="1091442232" name="Public_Hide8" hidden="1"/>
          <wp:cNvGraphicFramePr/>
          <a:graphic xmlns:a="http://schemas.openxmlformats.org/drawingml/2006/main">
            <a:graphicData uri="http://schemas.openxmlformats.org/drawingml/2006/picture">
              <pic:pic xmlns:pic="http://schemas.openxmlformats.org/drawingml/2006/picture">
                <pic:nvPicPr>
                  <pic:cNvPr id="862670971" name="Public_Hide8"/>
                  <pic:cNvPicPr/>
                </pic:nvPicPr>
                <pic:blipFill>
                  <a:blip r:embed="rId2"/>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85376" behindDoc="1" locked="0" layoutInCell="1" allowOverlap="1" wp14:anchorId="2C73D3E8" wp14:editId="72952F2A">
          <wp:simplePos x="0" y="0"/>
          <wp:positionH relativeFrom="page">
            <wp:posOffset>3600000</wp:posOffset>
          </wp:positionH>
          <wp:positionV relativeFrom="page">
            <wp:posOffset>10188000</wp:posOffset>
          </wp:positionV>
          <wp:extent cx="5553450" cy="154800"/>
          <wp:effectExtent l="0" t="0" r="0" b="0"/>
          <wp:wrapNone/>
          <wp:docPr id="1091442234" name="HighRisk_Hide8" hidden="1"/>
          <wp:cNvGraphicFramePr/>
          <a:graphic xmlns:a="http://schemas.openxmlformats.org/drawingml/2006/main">
            <a:graphicData uri="http://schemas.openxmlformats.org/drawingml/2006/picture">
              <pic:pic xmlns:pic="http://schemas.openxmlformats.org/drawingml/2006/picture">
                <pic:nvPicPr>
                  <pic:cNvPr id="694948373" name="HighRisk_Hide8"/>
                  <pic:cNvPicPr/>
                </pic:nvPicPr>
                <pic:blipFill>
                  <a:blip r:embed="rId3"/>
                  <a:srcRect/>
                  <a:stretch/>
                </pic:blipFill>
                <pic:spPr>
                  <a:xfrm>
                    <a:off x="0" y="0"/>
                    <a:ext cx="5553450" cy="154800"/>
                  </a:xfrm>
                  <a:prstGeom prst="rect">
                    <a:avLst/>
                  </a:prstGeom>
                </pic:spPr>
              </pic:pic>
            </a:graphicData>
          </a:graphic>
        </wp:anchor>
      </w:drawing>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BA41AE" w14:textId="77777777" w:rsidR="0081649B" w:rsidRPr="000116B0" w:rsidRDefault="0081649B" w:rsidP="00E33B5F">
    <w:pPr>
      <w:pStyle w:val="Header"/>
    </w:pPr>
    <w:sdt>
      <w:sdtPr>
        <w:alias w:val="Title"/>
        <w:id w:val="1636916390"/>
        <w:dataBinding w:prefixMappings="xmlns:ns0='http://purl.org/dc/elements/1.1/' xmlns:ns1='http://schemas.openxmlformats.org/package/2006/metadata/core-properties' " w:xpath="/ns1:coreProperties[1]/ns0:title[1]" w:storeItemID="{6C3C8BC8-F283-45AE-878A-BAB7291924A1}"/>
        <w:text/>
      </w:sdtPr>
      <w:sdtContent>
        <w:r>
          <w:t>Transparency in Higher Education Expenditure</w:t>
        </w:r>
      </w:sdtContent>
    </w:sdt>
  </w:p>
  <w:p w14:paraId="467667BC" w14:textId="77777777" w:rsidR="0081649B" w:rsidRDefault="0081649B" w:rsidP="00E33B5F">
    <w:pPr>
      <w:pStyle w:val="Header"/>
    </w:pPr>
    <w:r>
      <w:rPr>
        <w:noProof/>
        <w:lang w:eastAsia="en-AU"/>
      </w:rPr>
      <mc:AlternateContent>
        <mc:Choice Requires="wps">
          <w:drawing>
            <wp:anchor distT="0" distB="0" distL="0" distR="0" simplePos="0" relativeHeight="251687424" behindDoc="1" locked="1" layoutInCell="1" allowOverlap="1" wp14:anchorId="603F4DD3" wp14:editId="77998352">
              <wp:simplePos x="0" y="0"/>
              <wp:positionH relativeFrom="page">
                <wp:posOffset>0</wp:posOffset>
              </wp:positionH>
              <wp:positionV relativeFrom="page">
                <wp:posOffset>0</wp:posOffset>
              </wp:positionV>
              <wp:extent cx="2880000" cy="770400"/>
              <wp:effectExtent l="0" t="0" r="0" b="10795"/>
              <wp:wrapNone/>
              <wp:docPr id="4" name="Commercial-in-confidence_Hide"/>
              <wp:cNvGraphicFramePr/>
              <a:graphic xmlns:a="http://schemas.openxmlformats.org/drawingml/2006/main">
                <a:graphicData uri="http://schemas.microsoft.com/office/word/2010/wordprocessingShape">
                  <wps:wsp>
                    <wps:cNvSpPr txBox="1"/>
                    <wps:spPr>
                      <a:xfrm>
                        <a:off x="0" y="0"/>
                        <a:ext cx="2880000" cy="7704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223FFDF" w14:textId="56567584" w:rsidR="0081649B" w:rsidRDefault="0081649B" w:rsidP="00E33B5F">
                          <w:pPr>
                            <w:pStyle w:val="Footer"/>
                          </w:pPr>
                        </w:p>
                      </w:txbxContent>
                    </wps:txbx>
                    <wps:bodyPr rot="0" spcFirstLastPara="0" vertOverflow="overflow" horzOverflow="overflow" vert="horz" wrap="square" lIns="43200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F4DD3" id="_x0000_t202" coordsize="21600,21600" o:spt="202" path="m,l,21600r21600,l21600,xe">
              <v:stroke joinstyle="miter"/>
              <v:path gradientshapeok="t" o:connecttype="rect"/>
            </v:shapetype>
            <v:shape id="Commercial-in-confidence_Hide" o:spid="_x0000_s1028" type="#_x0000_t202" style="position:absolute;margin-left:0;margin-top:0;width:226.75pt;height:60.65pt;z-index:-251629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" filled="f" stroked="f" strokeweight=".5pt">
              <v:textbox inset="12mm,0,0,0">
                <w:txbxContent>
                  <w:p w14:paraId="5223FFDF" w14:textId="56567584" w:rsidR="0081649B" w:rsidRDefault="0081649B" w:rsidP="00E33B5F">
                    <w:pPr>
                      <w:pStyle w:val="Footer"/>
                    </w:pPr>
                  </w:p>
                </w:txbxContent>
              </v:textbox>
              <w10:wrap anchorx="page" anchory="page"/>
              <w10:anchorlock/>
            </v:shape>
          </w:pict>
        </mc:Fallback>
      </mc:AlternateContent>
    </w:r>
  </w:p>
  <w:p w14:paraId="477661A0" w14:textId="77777777" w:rsidR="0081649B" w:rsidRPr="00E33B5F" w:rsidRDefault="0081649B" w:rsidP="00E33B5F">
    <w:pPr>
      <w:pStyle w:val="Header"/>
    </w:pPr>
    <w:r>
      <w:rPr>
        <w:noProof/>
        <w:lang w:eastAsia="en-AU"/>
      </w:rPr>
      <w:drawing>
        <wp:anchor distT="0" distB="0" distL="0" distR="0" simplePos="0" relativeHeight="251688448" behindDoc="0" locked="0" layoutInCell="1" allowOverlap="1" wp14:anchorId="574FE1AA" wp14:editId="2E9120C8">
          <wp:simplePos x="0" y="0"/>
          <wp:positionH relativeFrom="page">
            <wp:align>center</wp:align>
          </wp:positionH>
          <wp:positionV relativeFrom="page">
            <wp:align>center</wp:align>
          </wp:positionV>
          <wp:extent cx="5117755" cy="5400000"/>
          <wp:effectExtent l="0" t="0" r="6985" b="0"/>
          <wp:wrapNone/>
          <wp:docPr id="25" name="Draft5" hidden="1"/>
          <wp:cNvGraphicFramePr/>
          <a:graphic xmlns:a="http://schemas.openxmlformats.org/drawingml/2006/main">
            <a:graphicData uri="http://schemas.openxmlformats.org/drawingml/2006/picture">
              <pic:pic xmlns:pic="http://schemas.openxmlformats.org/drawingml/2006/picture">
                <pic:nvPicPr>
                  <pic:cNvPr id="780598102" name="Draft5"/>
                  <pic:cNvPicPr/>
                </pic:nvPicPr>
                <pic:blipFill>
                  <a:blip r:embed="rId1"/>
                  <a:srcRect/>
                  <a:stretch/>
                </pic:blipFill>
                <pic:spPr>
                  <a:xfrm>
                    <a:off x="0" y="0"/>
                    <a:ext cx="5117755" cy="5400000"/>
                  </a:xfrm>
                  <a:prstGeom prst="rect">
                    <a:avLst/>
                  </a:prstGeom>
                </pic:spPr>
              </pic:pic>
            </a:graphicData>
          </a:graphic>
        </wp:anchor>
      </w:drawing>
    </w:r>
    <w:r>
      <w:rPr>
        <w:noProof/>
        <w:lang w:eastAsia="en-AU"/>
      </w:rPr>
      <w:drawing>
        <wp:anchor distT="0" distB="0" distL="0" distR="0" simplePos="0" relativeHeight="251689472" behindDoc="0" locked="0" layoutInCell="1" allowOverlap="1" wp14:anchorId="10A37353" wp14:editId="698BE262">
          <wp:simplePos x="0" y="0"/>
          <wp:positionH relativeFrom="margin">
            <wp:align>left</wp:align>
          </wp:positionH>
          <wp:positionV relativeFrom="page">
            <wp:posOffset>10314000</wp:posOffset>
          </wp:positionV>
          <wp:extent cx="5940000" cy="156704"/>
          <wp:effectExtent l="0" t="0" r="0" b="0"/>
          <wp:wrapNone/>
          <wp:docPr id="26" name="Draft_Text5" hidden="1"/>
          <wp:cNvGraphicFramePr/>
          <a:graphic xmlns:a="http://schemas.openxmlformats.org/drawingml/2006/main">
            <a:graphicData uri="http://schemas.openxmlformats.org/drawingml/2006/picture">
              <pic:pic xmlns:pic="http://schemas.openxmlformats.org/drawingml/2006/picture">
                <pic:nvPicPr>
                  <pic:cNvPr id="271207820" name="Draft_Text5"/>
                  <pic:cNvPicPr/>
                </pic:nvPicPr>
                <pic:blipFill>
                  <a:blip r:embed="rId2"/>
                  <a:srcRect/>
                  <a:stretch/>
                </pic:blipFill>
                <pic:spPr>
                  <a:xfrm>
                    <a:off x="0" y="0"/>
                    <a:ext cx="5940000" cy="156704"/>
                  </a:xfrm>
                  <a:prstGeom prst="rect">
                    <a:avLst/>
                  </a:prstGeom>
                </pic:spPr>
              </pic:pic>
            </a:graphicData>
          </a:graphic>
        </wp:anchor>
      </w:drawing>
    </w:r>
    <w:r>
      <w:rPr>
        <w:noProof/>
        <w:lang w:eastAsia="en-AU"/>
      </w:rPr>
      <w:drawing>
        <wp:anchor distT="0" distB="0" distL="0" distR="0" simplePos="0" relativeHeight="251690496" behindDoc="1" locked="0" layoutInCell="1" allowOverlap="1" wp14:anchorId="3678C263" wp14:editId="51C6224F">
          <wp:simplePos x="0" y="0"/>
          <wp:positionH relativeFrom="page">
            <wp:posOffset>3600000</wp:posOffset>
          </wp:positionH>
          <wp:positionV relativeFrom="page">
            <wp:posOffset>10188000</wp:posOffset>
          </wp:positionV>
          <wp:extent cx="5553450" cy="154800"/>
          <wp:effectExtent l="0" t="0" r="0" b="0"/>
          <wp:wrapNone/>
          <wp:docPr id="27" name="Public_Hide5" hidden="1"/>
          <wp:cNvGraphicFramePr/>
          <a:graphic xmlns:a="http://schemas.openxmlformats.org/drawingml/2006/main">
            <a:graphicData uri="http://schemas.openxmlformats.org/drawingml/2006/picture">
              <pic:pic xmlns:pic="http://schemas.openxmlformats.org/drawingml/2006/picture">
                <pic:nvPicPr>
                  <pic:cNvPr id="1559747236" name="Public_Hide5"/>
                  <pic:cNvPicPr/>
                </pic:nvPicPr>
                <pic:blipFill>
                  <a:blip r:embed="rId3"/>
                  <a:srcRect/>
                  <a:stretch/>
                </pic:blipFill>
                <pic:spPr>
                  <a:xfrm>
                    <a:off x="0" y="0"/>
                    <a:ext cx="5553450" cy="154800"/>
                  </a:xfrm>
                  <a:prstGeom prst="rect">
                    <a:avLst/>
                  </a:prstGeom>
                </pic:spPr>
              </pic:pic>
            </a:graphicData>
          </a:graphic>
        </wp:anchor>
      </w:drawing>
    </w:r>
    <w:r>
      <w:rPr>
        <w:noProof/>
        <w:lang w:eastAsia="en-AU"/>
      </w:rPr>
      <w:drawing>
        <wp:anchor distT="0" distB="0" distL="0" distR="0" simplePos="0" relativeHeight="251691520" behindDoc="1" locked="0" layoutInCell="1" allowOverlap="1" wp14:anchorId="391F2271" wp14:editId="7A79188C">
          <wp:simplePos x="0" y="0"/>
          <wp:positionH relativeFrom="page">
            <wp:posOffset>3600000</wp:posOffset>
          </wp:positionH>
          <wp:positionV relativeFrom="page">
            <wp:posOffset>10188000</wp:posOffset>
          </wp:positionV>
          <wp:extent cx="5553450" cy="154800"/>
          <wp:effectExtent l="0" t="0" r="0" b="0"/>
          <wp:wrapNone/>
          <wp:docPr id="28" name="HighRisk_Hide5" hidden="1"/>
          <wp:cNvGraphicFramePr/>
          <a:graphic xmlns:a="http://schemas.openxmlformats.org/drawingml/2006/main">
            <a:graphicData uri="http://schemas.openxmlformats.org/drawingml/2006/picture">
              <pic:pic xmlns:pic="http://schemas.openxmlformats.org/drawingml/2006/picture">
                <pic:nvPicPr>
                  <pic:cNvPr id="1341926152" name="HighRisk_Hide5"/>
                  <pic:cNvPicPr/>
                </pic:nvPicPr>
                <pic:blipFill>
                  <a:blip r:embed="rId4"/>
                  <a:srcRect/>
                  <a:stretch/>
                </pic:blipFill>
                <pic:spPr>
                  <a:xfrm>
                    <a:off x="0" y="0"/>
                    <a:ext cx="5553450" cy="15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6649B6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2CAA2C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E12EB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F0AA5C0"/>
    <w:lvl w:ilvl="0">
      <w:start w:val="1"/>
      <w:numFmt w:val="lowerLetter"/>
      <w:lvlText w:val="%1."/>
      <w:lvlJc w:val="left"/>
      <w:pPr>
        <w:ind w:left="644" w:hanging="360"/>
      </w:pPr>
    </w:lvl>
  </w:abstractNum>
  <w:abstractNum w:abstractNumId="4" w15:restartNumberingAfterBreak="0">
    <w:nsid w:val="FFFFFF80"/>
    <w:multiLevelType w:val="singleLevel"/>
    <w:tmpl w:val="13643C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6A32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108F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FD21C66"/>
    <w:lvl w:ilvl="0">
      <w:start w:val="1"/>
      <w:numFmt w:val="bullet"/>
      <w:lvlText w:val="‒"/>
      <w:lvlJc w:val="left"/>
      <w:pPr>
        <w:ind w:left="587" w:hanging="360"/>
      </w:pPr>
      <w:rPr>
        <w:rFonts w:ascii="Calibri" w:hAnsi="Calibri" w:hint="default"/>
      </w:rPr>
    </w:lvl>
  </w:abstractNum>
  <w:abstractNum w:abstractNumId="8" w15:restartNumberingAfterBreak="0">
    <w:nsid w:val="FFFFFF88"/>
    <w:multiLevelType w:val="singleLevel"/>
    <w:tmpl w:val="1248948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D04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2430B"/>
    <w:multiLevelType w:val="multilevel"/>
    <w:tmpl w:val="6CA69BAE"/>
    <w:lvl w:ilvl="0">
      <w:start w:val="1"/>
      <w:numFmt w:val="none"/>
      <w:suff w:val="space"/>
      <w:lvlText w:val=""/>
      <w:lvlJc w:val="left"/>
      <w:pPr>
        <w:ind w:left="0" w:hanging="113"/>
      </w:pPr>
      <w:rPr>
        <w:rFonts w:hint="default"/>
      </w:rPr>
    </w:lvl>
    <w:lvl w:ilvl="1">
      <w:start w:val="1"/>
      <w:numFmt w:val="lowerRoman"/>
      <w:suff w:val="nothing"/>
      <w:lvlText w:val="Table %2"/>
      <w:lvlJc w:val="left"/>
      <w:pPr>
        <w:ind w:left="0" w:firstLine="0"/>
      </w:pPr>
      <w:rPr>
        <w:rFonts w:ascii="Calibri" w:hAnsi="Calibri" w:hint="default"/>
        <w:b/>
        <w:i w:val="0"/>
        <w:color w:val="002776"/>
        <w:sz w:val="22"/>
      </w:rPr>
    </w:lvl>
    <w:lvl w:ilvl="2">
      <w:start w:val="1"/>
      <w:numFmt w:val="lowerRoman"/>
      <w:lvlRestart w:val="1"/>
      <w:suff w:val="nothing"/>
      <w:lvlText w:val="Chart %3"/>
      <w:lvlJc w:val="left"/>
      <w:pPr>
        <w:ind w:left="0" w:firstLine="0"/>
      </w:pPr>
      <w:rPr>
        <w:rFonts w:ascii="Calibri" w:hAnsi="Calibri" w:hint="default"/>
        <w:b/>
        <w:i w:val="0"/>
        <w:color w:val="002776"/>
        <w:sz w:val="22"/>
      </w:rPr>
    </w:lvl>
    <w:lvl w:ilvl="3">
      <w:start w:val="1"/>
      <w:numFmt w:val="lowerRoman"/>
      <w:lvlRestart w:val="1"/>
      <w:suff w:val="nothing"/>
      <w:lvlText w:val="Figure %4"/>
      <w:lvlJc w:val="left"/>
      <w:pPr>
        <w:ind w:left="0" w:firstLine="0"/>
      </w:pPr>
      <w:rPr>
        <w:rFonts w:ascii="Calibri" w:hAnsi="Calibri" w:hint="default"/>
        <w:b/>
        <w:i w:val="0"/>
        <w:color w:val="002776"/>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2DB2827"/>
    <w:multiLevelType w:val="multilevel"/>
    <w:tmpl w:val="E0023528"/>
    <w:lvl w:ilvl="0">
      <w:start w:val="1"/>
      <w:numFmt w:val="upperLetter"/>
      <w:pStyle w:val="AlphabeticList"/>
      <w:lvlText w:val="%1"/>
      <w:lvlJc w:val="left"/>
      <w:pPr>
        <w:ind w:left="340" w:hanging="340"/>
      </w:pPr>
      <w:rPr>
        <w:rFonts w:hint="default"/>
      </w:rPr>
    </w:lvl>
    <w:lvl w:ilvl="1">
      <w:start w:val="1"/>
      <w:numFmt w:val="lowerLetter"/>
      <w:pStyle w:val="AlphabeticList2"/>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2" w15:restartNumberingAfterBreak="0">
    <w:nsid w:val="02EA78F0"/>
    <w:multiLevelType w:val="hybridMultilevel"/>
    <w:tmpl w:val="C97E8F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0BE805CD"/>
    <w:multiLevelType w:val="multilevel"/>
    <w:tmpl w:val="BE0A3C7C"/>
    <w:lvl w:ilvl="0">
      <w:start w:val="1"/>
      <w:numFmt w:val="upperLetter"/>
      <w:pStyle w:val="Appendixhead1"/>
      <w:suff w:val="nothing"/>
      <w:lvlText w:val="Appendix %1"/>
      <w:lvlJc w:val="left"/>
      <w:pPr>
        <w:ind w:left="0" w:firstLine="0"/>
      </w:pPr>
      <w:rPr>
        <w:rFonts w:hint="default"/>
      </w:rPr>
    </w:lvl>
    <w:lvl w:ilvl="1">
      <w:start w:val="1"/>
      <w:numFmt w:val="decimal"/>
      <w:pStyle w:val="Appendixhead2"/>
      <w:lvlText w:val="%1.%2."/>
      <w:lvlJc w:val="left"/>
      <w:pPr>
        <w:ind w:left="792" w:hanging="792"/>
      </w:pPr>
      <w:rPr>
        <w:rFonts w:hint="default"/>
      </w:rPr>
    </w:lvl>
    <w:lvl w:ilvl="2">
      <w:start w:val="1"/>
      <w:numFmt w:val="decimal"/>
      <w:pStyle w:val="Appendixhead3"/>
      <w:lvlText w:val="%1.%2.%3."/>
      <w:lvlJc w:val="left"/>
      <w:pPr>
        <w:ind w:left="794" w:hanging="794"/>
      </w:pPr>
      <w:rPr>
        <w:rFonts w:hint="default"/>
      </w:rPr>
    </w:lvl>
    <w:lvl w:ilvl="3">
      <w:start w:val="1"/>
      <w:numFmt w:val="decimal"/>
      <w:pStyle w:val="Appendixhead4"/>
      <w:lvlText w:val="%1.%2.%3.%4."/>
      <w:lvlJc w:val="left"/>
      <w:pPr>
        <w:ind w:left="794" w:hanging="794"/>
      </w:pPr>
      <w:rPr>
        <w:rFonts w:hint="default"/>
      </w:rPr>
    </w:lvl>
    <w:lvl w:ilvl="4">
      <w:start w:val="1"/>
      <w:numFmt w:val="decimal"/>
      <w:lvlText w:val="%1.%2.%3.%4.%5."/>
      <w:lvlJc w:val="left"/>
      <w:pPr>
        <w:ind w:left="1134" w:hanging="1134"/>
      </w:pPr>
      <w:rPr>
        <w:rFonts w:hint="default"/>
        <w:color w:val="44546A" w:themeColor="text2"/>
        <w:sz w:val="22"/>
      </w:rPr>
    </w:lvl>
    <w:lvl w:ilvl="5">
      <w:start w:val="1"/>
      <w:numFmt w:val="decimal"/>
      <w:lvlText w:val="%1.%2.%3.%4.%5.%6."/>
      <w:lvlJc w:val="left"/>
      <w:pPr>
        <w:ind w:left="1701" w:hanging="1701"/>
      </w:pPr>
      <w:rPr>
        <w:rFonts w:hint="default"/>
      </w:rPr>
    </w:lvl>
    <w:lvl w:ilvl="6">
      <w:start w:val="1"/>
      <w:numFmt w:val="decimal"/>
      <w:lvlRestart w:val="1"/>
      <w:pStyle w:val="AppendixTableCaption"/>
      <w:suff w:val="nothing"/>
      <w:lvlText w:val="Table %1.%7"/>
      <w:lvlJc w:val="left"/>
      <w:pPr>
        <w:ind w:left="0" w:firstLine="0"/>
      </w:pPr>
      <w:rPr>
        <w:rFonts w:hint="default"/>
      </w:rPr>
    </w:lvl>
    <w:lvl w:ilvl="7">
      <w:start w:val="1"/>
      <w:numFmt w:val="decimal"/>
      <w:lvlRestart w:val="1"/>
      <w:pStyle w:val="AppendixChartCaption"/>
      <w:suff w:val="nothing"/>
      <w:lvlText w:val="Chart %1.%8"/>
      <w:lvlJc w:val="left"/>
      <w:pPr>
        <w:ind w:left="0" w:firstLine="0"/>
      </w:pPr>
      <w:rPr>
        <w:rFonts w:hint="default"/>
      </w:rPr>
    </w:lvl>
    <w:lvl w:ilvl="8">
      <w:start w:val="1"/>
      <w:numFmt w:val="decimal"/>
      <w:lvlRestart w:val="1"/>
      <w:pStyle w:val="AppendixFigureCaption"/>
      <w:suff w:val="nothing"/>
      <w:lvlText w:val="Figure %1.%9"/>
      <w:lvlJc w:val="left"/>
      <w:pPr>
        <w:ind w:left="0" w:firstLine="0"/>
      </w:pPr>
      <w:rPr>
        <w:rFonts w:hint="default"/>
      </w:rPr>
    </w:lvl>
  </w:abstractNum>
  <w:abstractNum w:abstractNumId="14" w15:restartNumberingAfterBreak="0">
    <w:nsid w:val="0EEE03BD"/>
    <w:multiLevelType w:val="hybridMultilevel"/>
    <w:tmpl w:val="32D0B2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0FAB44B9"/>
    <w:multiLevelType w:val="hybridMultilevel"/>
    <w:tmpl w:val="7DB643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10F41F0F"/>
    <w:multiLevelType w:val="hybridMultilevel"/>
    <w:tmpl w:val="8834A964"/>
    <w:lvl w:ilvl="0" w:tplc="2BEEC30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D86B80"/>
    <w:multiLevelType w:val="hybridMultilevel"/>
    <w:tmpl w:val="C2388D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579747A"/>
    <w:multiLevelType w:val="multilevel"/>
    <w:tmpl w:val="20085C34"/>
    <w:lvl w:ilvl="0">
      <w:start w:val="1"/>
      <w:numFmt w:val="none"/>
      <w:pStyle w:val="ExecutiveHeading"/>
      <w:suff w:val="nothing"/>
      <w:lvlText w:val=""/>
      <w:lvlJc w:val="left"/>
      <w:pPr>
        <w:ind w:left="0" w:firstLine="0"/>
      </w:pPr>
      <w:rPr>
        <w:rFonts w:hint="default"/>
      </w:rPr>
    </w:lvl>
    <w:lvl w:ilvl="1">
      <w:start w:val="1"/>
      <w:numFmt w:val="lowerRoman"/>
      <w:lvlRestart w:val="0"/>
      <w:pStyle w:val="ExecTableCaption"/>
      <w:suff w:val="nothing"/>
      <w:lvlText w:val="Table %2"/>
      <w:lvlJc w:val="left"/>
      <w:pPr>
        <w:ind w:left="0" w:firstLine="0"/>
      </w:pPr>
      <w:rPr>
        <w:rFonts w:hint="default"/>
      </w:rPr>
    </w:lvl>
    <w:lvl w:ilvl="2">
      <w:start w:val="1"/>
      <w:numFmt w:val="lowerRoman"/>
      <w:lvlRestart w:val="0"/>
      <w:pStyle w:val="ExecChartCaption"/>
      <w:suff w:val="nothing"/>
      <w:lvlText w:val="Chart %3"/>
      <w:lvlJc w:val="left"/>
      <w:pPr>
        <w:ind w:left="0" w:firstLine="0"/>
      </w:pPr>
      <w:rPr>
        <w:rFonts w:hint="default"/>
      </w:rPr>
    </w:lvl>
    <w:lvl w:ilvl="3">
      <w:start w:val="1"/>
      <w:numFmt w:val="lowerRoman"/>
      <w:lvlRestart w:val="0"/>
      <w:pStyle w:val="ExecFigureCaption"/>
      <w:suff w:val="nothing"/>
      <w:lvlText w:val="Figure %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8"/>
      <w:lvlJc w:val="left"/>
      <w:pPr>
        <w:ind w:left="0" w:firstLine="0"/>
      </w:pPr>
      <w:rPr>
        <w:rFonts w:hint="default"/>
      </w:rPr>
    </w:lvl>
    <w:lvl w:ilvl="8">
      <w:start w:val="1"/>
      <w:numFmt w:val="none"/>
      <w:lvlText w:val="%9"/>
      <w:lvlJc w:val="left"/>
      <w:pPr>
        <w:ind w:left="0" w:firstLine="0"/>
      </w:pPr>
      <w:rPr>
        <w:rFonts w:hint="default"/>
      </w:rPr>
    </w:lvl>
  </w:abstractNum>
  <w:abstractNum w:abstractNumId="19" w15:restartNumberingAfterBreak="0">
    <w:nsid w:val="18E0104F"/>
    <w:multiLevelType w:val="multilevel"/>
    <w:tmpl w:val="57629E32"/>
    <w:lvl w:ilvl="0">
      <w:start w:val="1"/>
      <w:numFmt w:val="bullet"/>
      <w:pStyle w:val="ListBullet3"/>
      <w:lvlText w:val=""/>
      <w:lvlJc w:val="left"/>
      <w:pPr>
        <w:ind w:left="1021" w:hanging="341"/>
      </w:pPr>
      <w:rPr>
        <w:rFonts w:ascii="Symbol" w:hAnsi="Symbol" w:hint="default"/>
      </w:rPr>
    </w:lvl>
    <w:lvl w:ilvl="1">
      <w:start w:val="1"/>
      <w:numFmt w:val="bullet"/>
      <w:lvlText w:val="–"/>
      <w:lvlJc w:val="left"/>
      <w:pPr>
        <w:ind w:left="1361" w:hanging="341"/>
      </w:pPr>
      <w:rPr>
        <w:rFonts w:ascii="Verdana" w:hAnsi="Verdana" w:hint="default"/>
      </w:rPr>
    </w:lvl>
    <w:lvl w:ilvl="2">
      <w:start w:val="1"/>
      <w:numFmt w:val="bullet"/>
      <w:lvlText w:val=""/>
      <w:lvlJc w:val="left"/>
      <w:pPr>
        <w:ind w:left="1701" w:hanging="341"/>
      </w:pPr>
      <w:rPr>
        <w:rFonts w:ascii="Symbol" w:hAnsi="Symbol" w:hint="default"/>
      </w:rPr>
    </w:lvl>
    <w:lvl w:ilvl="3">
      <w:start w:val="1"/>
      <w:numFmt w:val="bullet"/>
      <w:lvlText w:val="–"/>
      <w:lvlJc w:val="left"/>
      <w:pPr>
        <w:ind w:left="2041" w:hanging="341"/>
      </w:pPr>
      <w:rPr>
        <w:rFonts w:ascii="Verdana" w:hAnsi="Verdana" w:hint="default"/>
      </w:rPr>
    </w:lvl>
    <w:lvl w:ilvl="4">
      <w:start w:val="1"/>
      <w:numFmt w:val="bullet"/>
      <w:lvlText w:val=""/>
      <w:lvlJc w:val="left"/>
      <w:pPr>
        <w:ind w:left="2381" w:hanging="341"/>
      </w:pPr>
      <w:rPr>
        <w:rFonts w:ascii="Symbol" w:hAnsi="Symbol" w:hint="default"/>
      </w:rPr>
    </w:lvl>
    <w:lvl w:ilvl="5">
      <w:start w:val="1"/>
      <w:numFmt w:val="bullet"/>
      <w:lvlText w:val="–"/>
      <w:lvlJc w:val="left"/>
      <w:pPr>
        <w:ind w:left="2721" w:hanging="341"/>
      </w:pPr>
      <w:rPr>
        <w:rFonts w:ascii="Verdana" w:hAnsi="Verdana" w:hint="default"/>
      </w:rPr>
    </w:lvl>
    <w:lvl w:ilvl="6">
      <w:start w:val="1"/>
      <w:numFmt w:val="bullet"/>
      <w:lvlText w:val=""/>
      <w:lvlJc w:val="left"/>
      <w:pPr>
        <w:ind w:left="3061" w:hanging="341"/>
      </w:pPr>
      <w:rPr>
        <w:rFonts w:ascii="Symbol" w:hAnsi="Symbol" w:hint="default"/>
      </w:rPr>
    </w:lvl>
    <w:lvl w:ilvl="7">
      <w:start w:val="1"/>
      <w:numFmt w:val="bullet"/>
      <w:lvlText w:val="–"/>
      <w:lvlJc w:val="left"/>
      <w:pPr>
        <w:ind w:left="3401" w:hanging="341"/>
      </w:pPr>
      <w:rPr>
        <w:rFonts w:ascii="Verdana" w:hAnsi="Verdana" w:hint="default"/>
      </w:rPr>
    </w:lvl>
    <w:lvl w:ilvl="8">
      <w:start w:val="1"/>
      <w:numFmt w:val="bullet"/>
      <w:lvlText w:val=""/>
      <w:lvlJc w:val="left"/>
      <w:pPr>
        <w:ind w:left="3741" w:hanging="341"/>
      </w:pPr>
      <w:rPr>
        <w:rFonts w:ascii="Symbol" w:hAnsi="Symbol" w:hint="default"/>
      </w:rPr>
    </w:lvl>
  </w:abstractNum>
  <w:abstractNum w:abstractNumId="20" w15:restartNumberingAfterBreak="0">
    <w:nsid w:val="1B6A6E74"/>
    <w:multiLevelType w:val="hybridMultilevel"/>
    <w:tmpl w:val="376A36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0686D0A"/>
    <w:multiLevelType w:val="hybridMultilevel"/>
    <w:tmpl w:val="D1C88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82F44F2"/>
    <w:multiLevelType w:val="multilevel"/>
    <w:tmpl w:val="D3E460AC"/>
    <w:lvl w:ilvl="0">
      <w:start w:val="1"/>
      <w:numFmt w:val="decimal"/>
      <w:pStyle w:val="ListNumber"/>
      <w:lvlText w:val="%1."/>
      <w:lvlJc w:val="left"/>
      <w:pPr>
        <w:ind w:left="340" w:hanging="340"/>
      </w:pPr>
      <w:rPr>
        <w:rFonts w:hint="default"/>
        <w:sz w:val="14"/>
        <w:szCs w:val="14"/>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23" w15:restartNumberingAfterBreak="0">
    <w:nsid w:val="293C1ADA"/>
    <w:multiLevelType w:val="multilevel"/>
    <w:tmpl w:val="D908ABD6"/>
    <w:lvl w:ilvl="0">
      <w:start w:val="1"/>
      <w:numFmt w:val="decimal"/>
      <w:lvlText w:val="%1"/>
      <w:lvlJc w:val="left"/>
      <w:pPr>
        <w:ind w:left="360" w:hanging="360"/>
      </w:pPr>
      <w:rPr>
        <w:rFonts w:hint="default"/>
        <w:b/>
        <w:i w:val="0"/>
        <w:color w:val="002776"/>
        <w:sz w:val="56"/>
        <w:szCs w:val="56"/>
      </w:rPr>
    </w:lvl>
    <w:lvl w:ilvl="1">
      <w:start w:val="1"/>
      <w:numFmt w:val="decimal"/>
      <w:lvlText w:val="%1.%2"/>
      <w:lvlJc w:val="left"/>
      <w:pPr>
        <w:tabs>
          <w:tab w:val="num" w:pos="709"/>
        </w:tabs>
        <w:ind w:left="709" w:hanging="567"/>
      </w:pPr>
      <w:rPr>
        <w:rFonts w:ascii="Calibri" w:hAnsi="Calibri" w:cs="Arial" w:hint="default"/>
        <w:b/>
        <w:i w:val="0"/>
        <w:color w:val="00A1DE"/>
        <w:sz w:val="40"/>
        <w:szCs w:val="40"/>
      </w:rPr>
    </w:lvl>
    <w:lvl w:ilvl="2">
      <w:start w:val="1"/>
      <w:numFmt w:val="decimal"/>
      <w:lvlText w:val="%1.%2.%3"/>
      <w:lvlJc w:val="left"/>
      <w:pPr>
        <w:tabs>
          <w:tab w:val="num" w:pos="1134"/>
        </w:tabs>
        <w:ind w:left="1134" w:hanging="1134"/>
      </w:pPr>
      <w:rPr>
        <w:rFonts w:ascii="Calibri" w:hAnsi="Calibri" w:cs="Arial" w:hint="default"/>
        <w:b w:val="0"/>
        <w:i w:val="0"/>
        <w:color w:val="00A1DE"/>
        <w:sz w:val="26"/>
        <w:szCs w:val="24"/>
      </w:rPr>
    </w:lvl>
    <w:lvl w:ilvl="3">
      <w:start w:val="1"/>
      <w:numFmt w:val="decimal"/>
      <w:lvlText w:val="%1.%2.%3.%4"/>
      <w:lvlJc w:val="left"/>
      <w:pPr>
        <w:tabs>
          <w:tab w:val="num" w:pos="1134"/>
        </w:tabs>
        <w:ind w:left="1134" w:hanging="1134"/>
      </w:pPr>
      <w:rPr>
        <w:rFonts w:ascii="Calibri" w:hAnsi="Calibri" w:cs="Arial" w:hint="default"/>
        <w:b/>
        <w:i w:val="0"/>
        <w:color w:val="00A1DE"/>
        <w:sz w:val="24"/>
        <w:szCs w:val="24"/>
        <w:u w:val="none"/>
      </w:rPr>
    </w:lvl>
    <w:lvl w:ilvl="4">
      <w:start w:val="1"/>
      <w:numFmt w:val="decimal"/>
      <w:lvlRestart w:val="1"/>
      <w:suff w:val="space"/>
      <w:lvlText w:val="Box %1.%5"/>
      <w:lvlJc w:val="left"/>
      <w:pPr>
        <w:ind w:left="1134" w:hanging="850"/>
      </w:pPr>
      <w:rPr>
        <w:rFonts w:ascii="Calibri" w:hAnsi="Calibri" w:cs="Arial" w:hint="default"/>
        <w:b/>
        <w:i w:val="0"/>
        <w:color w:val="FFFFFF"/>
        <w:sz w:val="20"/>
        <w:szCs w:val="20"/>
      </w:rPr>
    </w:lvl>
    <w:lvl w:ilvl="5">
      <w:start w:val="1"/>
      <w:numFmt w:val="none"/>
      <w:lvlRestart w:val="0"/>
      <w:lvlText w:val=""/>
      <w:lvlJc w:val="center"/>
      <w:pPr>
        <w:ind w:left="0" w:firstLine="0"/>
      </w:pPr>
      <w:rPr>
        <w:rFonts w:ascii="Arial" w:hAnsi="Arial" w:cs="Arial" w:hint="default"/>
        <w:b/>
        <w:i w:val="0"/>
        <w:color w:val="931638"/>
        <w:sz w:val="20"/>
        <w:szCs w:val="20"/>
      </w:rPr>
    </w:lvl>
    <w:lvl w:ilvl="6">
      <w:start w:val="1"/>
      <w:numFmt w:val="decimal"/>
      <w:lvlRestart w:val="1"/>
      <w:suff w:val="nothing"/>
      <w:lvlText w:val="Table %1.%7"/>
      <w:lvlJc w:val="left"/>
      <w:pPr>
        <w:ind w:left="0" w:firstLine="0"/>
      </w:pPr>
      <w:rPr>
        <w:rFonts w:ascii="Calibri" w:hAnsi="Calibri" w:cs="Arial" w:hint="default"/>
        <w:b/>
        <w:i w:val="0"/>
        <w:color w:val="002776"/>
        <w:sz w:val="22"/>
        <w:szCs w:val="20"/>
      </w:rPr>
    </w:lvl>
    <w:lvl w:ilvl="7">
      <w:start w:val="1"/>
      <w:numFmt w:val="decimal"/>
      <w:lvlRestart w:val="1"/>
      <w:suff w:val="nothing"/>
      <w:lvlText w:val="Chart %1.%8"/>
      <w:lvlJc w:val="left"/>
      <w:pPr>
        <w:ind w:left="0" w:firstLine="0"/>
      </w:pPr>
      <w:rPr>
        <w:rFonts w:ascii="Calibri" w:hAnsi="Calibri" w:cs="Arial" w:hint="default"/>
        <w:b/>
        <w:i w:val="0"/>
        <w:color w:val="002776"/>
        <w:sz w:val="22"/>
        <w:szCs w:val="20"/>
      </w:rPr>
    </w:lvl>
    <w:lvl w:ilvl="8">
      <w:start w:val="1"/>
      <w:numFmt w:val="decimal"/>
      <w:lvlRestart w:val="1"/>
      <w:suff w:val="nothing"/>
      <w:lvlText w:val="Figure %1.%9"/>
      <w:lvlJc w:val="left"/>
      <w:pPr>
        <w:ind w:left="0" w:firstLine="0"/>
      </w:pPr>
      <w:rPr>
        <w:rFonts w:ascii="Calibri" w:hAnsi="Calibri" w:cs="Arial" w:hint="default"/>
        <w:b/>
        <w:i w:val="0"/>
        <w:color w:val="002776"/>
        <w:sz w:val="22"/>
        <w:szCs w:val="20"/>
      </w:rPr>
    </w:lvl>
  </w:abstractNum>
  <w:abstractNum w:abstractNumId="24" w15:restartNumberingAfterBreak="0">
    <w:nsid w:val="2A860BEE"/>
    <w:multiLevelType w:val="hybridMultilevel"/>
    <w:tmpl w:val="80AE150A"/>
    <w:lvl w:ilvl="0" w:tplc="89DAE7D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B9F302D"/>
    <w:multiLevelType w:val="multilevel"/>
    <w:tmpl w:val="58063B50"/>
    <w:lvl w:ilvl="0">
      <w:start w:val="1"/>
      <w:numFmt w:val="bullet"/>
      <w:pStyle w:val="BulletedText1"/>
      <w:lvlText w:val=""/>
      <w:lvlJc w:val="left"/>
      <w:pPr>
        <w:ind w:left="227" w:hanging="227"/>
      </w:pPr>
      <w:rPr>
        <w:rFonts w:ascii="Wingdings" w:hAnsi="Wingdings" w:hint="default"/>
        <w:color w:val="44546A" w:themeColor="text2"/>
        <w:sz w:val="18"/>
      </w:rPr>
    </w:lvl>
    <w:lvl w:ilvl="1">
      <w:start w:val="1"/>
      <w:numFmt w:val="bullet"/>
      <w:pStyle w:val="BulletedText2"/>
      <w:lvlText w:val="–"/>
      <w:lvlJc w:val="left"/>
      <w:pPr>
        <w:ind w:left="454" w:hanging="227"/>
      </w:pPr>
      <w:rPr>
        <w:rFonts w:ascii="Verdana" w:hAnsi="Verdana" w:hint="default"/>
      </w:rPr>
    </w:lvl>
    <w:lvl w:ilvl="2">
      <w:start w:val="1"/>
      <w:numFmt w:val="bullet"/>
      <w:lvlText w:val=""/>
      <w:lvlJc w:val="left"/>
      <w:pPr>
        <w:ind w:left="681" w:hanging="227"/>
      </w:pPr>
      <w:rPr>
        <w:rFonts w:ascii="Wingdings" w:hAnsi="Wingdings" w:hint="default"/>
        <w:color w:val="44546A" w:themeColor="text2"/>
      </w:rPr>
    </w:lvl>
    <w:lvl w:ilvl="3">
      <w:start w:val="1"/>
      <w:numFmt w:val="bullet"/>
      <w:lvlText w:val="–"/>
      <w:lvlJc w:val="left"/>
      <w:pPr>
        <w:ind w:left="908" w:hanging="227"/>
      </w:pPr>
      <w:rPr>
        <w:rFonts w:ascii="Gotham Bold" w:hAnsi="Gotham Bold" w:hint="default"/>
        <w:color w:val="64645A"/>
      </w:rPr>
    </w:lvl>
    <w:lvl w:ilvl="4">
      <w:start w:val="1"/>
      <w:numFmt w:val="bullet"/>
      <w:lvlText w:val=""/>
      <w:lvlJc w:val="left"/>
      <w:pPr>
        <w:ind w:left="1135" w:hanging="227"/>
      </w:pPr>
      <w:rPr>
        <w:rFonts w:ascii="Wingdings" w:hAnsi="Wingdings" w:hint="default"/>
        <w:color w:val="44546A" w:themeColor="text2"/>
      </w:rPr>
    </w:lvl>
    <w:lvl w:ilvl="5">
      <w:start w:val="1"/>
      <w:numFmt w:val="bullet"/>
      <w:lvlText w:val="–"/>
      <w:lvlJc w:val="left"/>
      <w:pPr>
        <w:ind w:left="1362" w:hanging="227"/>
      </w:pPr>
      <w:rPr>
        <w:rFonts w:ascii="Gotham Bold" w:hAnsi="Gotham Bold" w:hint="default"/>
        <w:color w:val="64645A"/>
      </w:rPr>
    </w:lvl>
    <w:lvl w:ilvl="6">
      <w:start w:val="1"/>
      <w:numFmt w:val="bullet"/>
      <w:lvlText w:val=""/>
      <w:lvlJc w:val="left"/>
      <w:pPr>
        <w:ind w:left="1589" w:hanging="227"/>
      </w:pPr>
      <w:rPr>
        <w:rFonts w:ascii="Wingdings" w:hAnsi="Wingdings" w:hint="default"/>
        <w:color w:val="44546A" w:themeColor="text2"/>
      </w:rPr>
    </w:lvl>
    <w:lvl w:ilvl="7">
      <w:start w:val="1"/>
      <w:numFmt w:val="bullet"/>
      <w:lvlText w:val="–"/>
      <w:lvlJc w:val="left"/>
      <w:pPr>
        <w:ind w:left="1816" w:hanging="227"/>
      </w:pPr>
      <w:rPr>
        <w:rFonts w:ascii="Gotham Bold" w:hAnsi="Gotham Bold" w:hint="default"/>
        <w:color w:val="64645A"/>
      </w:rPr>
    </w:lvl>
    <w:lvl w:ilvl="8">
      <w:start w:val="1"/>
      <w:numFmt w:val="bullet"/>
      <w:lvlText w:val=""/>
      <w:lvlJc w:val="left"/>
      <w:pPr>
        <w:ind w:left="2043" w:hanging="227"/>
      </w:pPr>
      <w:rPr>
        <w:rFonts w:ascii="Wingdings" w:hAnsi="Wingdings" w:hint="default"/>
        <w:color w:val="44546A" w:themeColor="text2"/>
      </w:rPr>
    </w:lvl>
  </w:abstractNum>
  <w:abstractNum w:abstractNumId="26" w15:restartNumberingAfterBreak="0">
    <w:nsid w:val="2CAA1F9B"/>
    <w:multiLevelType w:val="hybridMultilevel"/>
    <w:tmpl w:val="4D38F55C"/>
    <w:lvl w:ilvl="0" w:tplc="0C090001">
      <w:start w:val="1"/>
      <w:numFmt w:val="bullet"/>
      <w:lvlText w:val=""/>
      <w:lvlJc w:val="left"/>
      <w:pPr>
        <w:ind w:left="1572" w:hanging="360"/>
      </w:pPr>
      <w:rPr>
        <w:rFonts w:ascii="Symbol" w:hAnsi="Symbol" w:hint="default"/>
      </w:rPr>
    </w:lvl>
    <w:lvl w:ilvl="1" w:tplc="0C090003" w:tentative="1">
      <w:start w:val="1"/>
      <w:numFmt w:val="bullet"/>
      <w:lvlText w:val="o"/>
      <w:lvlJc w:val="left"/>
      <w:pPr>
        <w:ind w:left="2292" w:hanging="360"/>
      </w:pPr>
      <w:rPr>
        <w:rFonts w:ascii="Courier New" w:hAnsi="Courier New" w:cs="Courier New" w:hint="default"/>
      </w:rPr>
    </w:lvl>
    <w:lvl w:ilvl="2" w:tplc="0C090005" w:tentative="1">
      <w:start w:val="1"/>
      <w:numFmt w:val="bullet"/>
      <w:lvlText w:val=""/>
      <w:lvlJc w:val="left"/>
      <w:pPr>
        <w:ind w:left="3012" w:hanging="360"/>
      </w:pPr>
      <w:rPr>
        <w:rFonts w:ascii="Wingdings" w:hAnsi="Wingdings" w:hint="default"/>
      </w:rPr>
    </w:lvl>
    <w:lvl w:ilvl="3" w:tplc="0C090001" w:tentative="1">
      <w:start w:val="1"/>
      <w:numFmt w:val="bullet"/>
      <w:lvlText w:val=""/>
      <w:lvlJc w:val="left"/>
      <w:pPr>
        <w:ind w:left="3732" w:hanging="360"/>
      </w:pPr>
      <w:rPr>
        <w:rFonts w:ascii="Symbol" w:hAnsi="Symbol" w:hint="default"/>
      </w:rPr>
    </w:lvl>
    <w:lvl w:ilvl="4" w:tplc="0C090003" w:tentative="1">
      <w:start w:val="1"/>
      <w:numFmt w:val="bullet"/>
      <w:lvlText w:val="o"/>
      <w:lvlJc w:val="left"/>
      <w:pPr>
        <w:ind w:left="4452" w:hanging="360"/>
      </w:pPr>
      <w:rPr>
        <w:rFonts w:ascii="Courier New" w:hAnsi="Courier New" w:cs="Courier New" w:hint="default"/>
      </w:rPr>
    </w:lvl>
    <w:lvl w:ilvl="5" w:tplc="0C090005" w:tentative="1">
      <w:start w:val="1"/>
      <w:numFmt w:val="bullet"/>
      <w:lvlText w:val=""/>
      <w:lvlJc w:val="left"/>
      <w:pPr>
        <w:ind w:left="5172" w:hanging="360"/>
      </w:pPr>
      <w:rPr>
        <w:rFonts w:ascii="Wingdings" w:hAnsi="Wingdings" w:hint="default"/>
      </w:rPr>
    </w:lvl>
    <w:lvl w:ilvl="6" w:tplc="0C090001" w:tentative="1">
      <w:start w:val="1"/>
      <w:numFmt w:val="bullet"/>
      <w:lvlText w:val=""/>
      <w:lvlJc w:val="left"/>
      <w:pPr>
        <w:ind w:left="5892" w:hanging="360"/>
      </w:pPr>
      <w:rPr>
        <w:rFonts w:ascii="Symbol" w:hAnsi="Symbol" w:hint="default"/>
      </w:rPr>
    </w:lvl>
    <w:lvl w:ilvl="7" w:tplc="0C090003" w:tentative="1">
      <w:start w:val="1"/>
      <w:numFmt w:val="bullet"/>
      <w:lvlText w:val="o"/>
      <w:lvlJc w:val="left"/>
      <w:pPr>
        <w:ind w:left="6612" w:hanging="360"/>
      </w:pPr>
      <w:rPr>
        <w:rFonts w:ascii="Courier New" w:hAnsi="Courier New" w:cs="Courier New" w:hint="default"/>
      </w:rPr>
    </w:lvl>
    <w:lvl w:ilvl="8" w:tplc="0C090005" w:tentative="1">
      <w:start w:val="1"/>
      <w:numFmt w:val="bullet"/>
      <w:lvlText w:val=""/>
      <w:lvlJc w:val="left"/>
      <w:pPr>
        <w:ind w:left="7332" w:hanging="360"/>
      </w:pPr>
      <w:rPr>
        <w:rFonts w:ascii="Wingdings" w:hAnsi="Wingdings" w:hint="default"/>
      </w:rPr>
    </w:lvl>
  </w:abstractNum>
  <w:abstractNum w:abstractNumId="27" w15:restartNumberingAfterBreak="0">
    <w:nsid w:val="2F272DAF"/>
    <w:multiLevelType w:val="hybridMultilevel"/>
    <w:tmpl w:val="9BEC59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1000236"/>
    <w:multiLevelType w:val="hybridMultilevel"/>
    <w:tmpl w:val="E9A85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5D605EC"/>
    <w:multiLevelType w:val="hybridMultilevel"/>
    <w:tmpl w:val="CB703B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7504692"/>
    <w:multiLevelType w:val="hybridMultilevel"/>
    <w:tmpl w:val="9C5865B2"/>
    <w:lvl w:ilvl="0" w:tplc="2BEEC308">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AE8030C"/>
    <w:multiLevelType w:val="hybridMultilevel"/>
    <w:tmpl w:val="34C83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FAD01D2"/>
    <w:multiLevelType w:val="multilevel"/>
    <w:tmpl w:val="4874E29E"/>
    <w:lvl w:ilvl="0">
      <w:start w:val="4"/>
      <w:numFmt w:val="decimal"/>
      <w:pStyle w:val="Heading1"/>
      <w:lvlText w:val="%1"/>
      <w:lvlJc w:val="left"/>
      <w:pPr>
        <w:ind w:left="794" w:hanging="794"/>
      </w:pPr>
      <w:rPr>
        <w:rFonts w:hint="default"/>
      </w:rPr>
    </w:lvl>
    <w:lvl w:ilvl="1">
      <w:start w:val="1"/>
      <w:numFmt w:val="decimal"/>
      <w:pStyle w:val="Heading2"/>
      <w:lvlText w:val="%1.%2"/>
      <w:lvlJc w:val="left"/>
      <w:pPr>
        <w:ind w:left="794" w:hanging="794"/>
      </w:pPr>
      <w:rPr>
        <w:rFonts w:hint="default"/>
      </w:rPr>
    </w:lvl>
    <w:lvl w:ilvl="2">
      <w:start w:val="1"/>
      <w:numFmt w:val="decimal"/>
      <w:pStyle w:val="Heading3"/>
      <w:lvlText w:val="%1.%2.%3"/>
      <w:lvlJc w:val="left"/>
      <w:pPr>
        <w:ind w:left="1021" w:hanging="1021"/>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077" w:hanging="1077"/>
      </w:pPr>
      <w:rPr>
        <w:rFonts w:hint="default"/>
      </w:rPr>
    </w:lvl>
    <w:lvl w:ilvl="5">
      <w:start w:val="1"/>
      <w:numFmt w:val="decimal"/>
      <w:pStyle w:val="Heading6"/>
      <w:lvlText w:val="%1.%2.%3.%4.%5.%6"/>
      <w:lvlJc w:val="left"/>
      <w:pPr>
        <w:ind w:left="1247" w:hanging="1247"/>
      </w:pPr>
      <w:rPr>
        <w:rFonts w:hint="default"/>
      </w:rPr>
    </w:lvl>
    <w:lvl w:ilvl="6">
      <w:start w:val="1"/>
      <w:numFmt w:val="decimal"/>
      <w:lvlRestart w:val="1"/>
      <w:pStyle w:val="CaptionTable"/>
      <w:suff w:val="nothing"/>
      <w:lvlText w:val="Table %1.%7"/>
      <w:lvlJc w:val="left"/>
      <w:pPr>
        <w:ind w:left="0" w:firstLine="0"/>
      </w:pPr>
      <w:rPr>
        <w:rFonts w:hint="default"/>
      </w:rPr>
    </w:lvl>
    <w:lvl w:ilvl="7">
      <w:start w:val="1"/>
      <w:numFmt w:val="decimal"/>
      <w:lvlRestart w:val="1"/>
      <w:pStyle w:val="CaptionChart"/>
      <w:suff w:val="nothing"/>
      <w:lvlText w:val="Chart %1.%8"/>
      <w:lvlJc w:val="left"/>
      <w:pPr>
        <w:ind w:left="0" w:firstLine="0"/>
      </w:pPr>
      <w:rPr>
        <w:rFonts w:hint="default"/>
        <w:i w:val="0"/>
      </w:rPr>
    </w:lvl>
    <w:lvl w:ilvl="8">
      <w:start w:val="1"/>
      <w:numFmt w:val="decimal"/>
      <w:lvlRestart w:val="1"/>
      <w:pStyle w:val="CaptionFigure"/>
      <w:suff w:val="nothing"/>
      <w:lvlText w:val="Figure %1.%9"/>
      <w:lvlJc w:val="left"/>
      <w:pPr>
        <w:ind w:left="0" w:firstLine="0"/>
      </w:pPr>
      <w:rPr>
        <w:rFonts w:hint="default"/>
      </w:rPr>
    </w:lvl>
  </w:abstractNum>
  <w:abstractNum w:abstractNumId="33" w15:restartNumberingAfterBreak="0">
    <w:nsid w:val="405F4842"/>
    <w:multiLevelType w:val="multilevel"/>
    <w:tmpl w:val="6A5007B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34" w15:restartNumberingAfterBreak="0">
    <w:nsid w:val="442E693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5" w15:restartNumberingAfterBreak="0">
    <w:nsid w:val="451578A7"/>
    <w:multiLevelType w:val="multilevel"/>
    <w:tmpl w:val="1356211C"/>
    <w:lvl w:ilvl="0">
      <w:start w:val="1"/>
      <w:numFmt w:val="bullet"/>
      <w:pStyle w:val="ListBullet"/>
      <w:lvlText w:val=""/>
      <w:lvlJc w:val="left"/>
      <w:pPr>
        <w:ind w:left="340" w:hanging="340"/>
      </w:pPr>
      <w:rPr>
        <w:rFonts w:ascii="Symbol" w:hAnsi="Symbol" w:hint="default"/>
        <w:color w:val="auto"/>
      </w:rPr>
    </w:lvl>
    <w:lvl w:ilvl="1">
      <w:start w:val="1"/>
      <w:numFmt w:val="bullet"/>
      <w:lvlText w:val="–"/>
      <w:lvlJc w:val="left"/>
      <w:pPr>
        <w:ind w:left="680" w:hanging="340"/>
      </w:pPr>
      <w:rPr>
        <w:rFonts w:ascii="Verdana" w:hAnsi="Verdana" w:hint="default"/>
      </w:rPr>
    </w:lvl>
    <w:lvl w:ilvl="2">
      <w:start w:val="1"/>
      <w:numFmt w:val="bullet"/>
      <w:lvlText w:val=""/>
      <w:lvlJc w:val="left"/>
      <w:pPr>
        <w:ind w:left="1020" w:hanging="340"/>
      </w:pPr>
      <w:rPr>
        <w:rFonts w:ascii="Symbol" w:hAnsi="Symbol" w:hint="default"/>
        <w:color w:val="auto"/>
      </w:rPr>
    </w:lvl>
    <w:lvl w:ilvl="3">
      <w:start w:val="1"/>
      <w:numFmt w:val="bullet"/>
      <w:lvlText w:val="–"/>
      <w:lvlJc w:val="left"/>
      <w:pPr>
        <w:ind w:left="1360" w:hanging="340"/>
      </w:pPr>
      <w:rPr>
        <w:rFonts w:ascii="Verdana" w:hAnsi="Verdana"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Verdana" w:hAnsi="Verdana"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Verdana" w:hAnsi="Verdana" w:hint="default"/>
      </w:rPr>
    </w:lvl>
    <w:lvl w:ilvl="8">
      <w:start w:val="1"/>
      <w:numFmt w:val="bullet"/>
      <w:lvlText w:val=""/>
      <w:lvlJc w:val="left"/>
      <w:pPr>
        <w:ind w:left="3060" w:hanging="340"/>
      </w:pPr>
      <w:rPr>
        <w:rFonts w:ascii="Symbol" w:hAnsi="Symbol" w:hint="default"/>
      </w:rPr>
    </w:lvl>
  </w:abstractNum>
  <w:abstractNum w:abstractNumId="36" w15:restartNumberingAfterBreak="0">
    <w:nsid w:val="457C67BE"/>
    <w:multiLevelType w:val="hybridMultilevel"/>
    <w:tmpl w:val="9A7E6C42"/>
    <w:lvl w:ilvl="0" w:tplc="2E444D5E">
      <w:start w:val="1"/>
      <w:numFmt w:val="bullet"/>
      <w:pStyle w:val="Tablebullets"/>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77E6EBC"/>
    <w:multiLevelType w:val="multilevel"/>
    <w:tmpl w:val="7B98EE74"/>
    <w:lvl w:ilvl="0">
      <w:start w:val="1"/>
      <w:numFmt w:val="decimal"/>
      <w:pStyle w:val="Numberslevel1"/>
      <w:lvlText w:val="%1."/>
      <w:lvlJc w:val="left"/>
      <w:pPr>
        <w:ind w:left="360" w:hanging="360"/>
      </w:pPr>
      <w:rPr>
        <w:rFonts w:hint="default"/>
      </w:rPr>
    </w:lvl>
    <w:lvl w:ilvl="1">
      <w:start w:val="1"/>
      <w:numFmt w:val="lowerLetter"/>
      <w:pStyle w:val="Numberslevel2"/>
      <w:lvlText w:val="%2)"/>
      <w:lvlJc w:val="left"/>
      <w:pPr>
        <w:ind w:left="720" w:hanging="360"/>
      </w:pPr>
      <w:rPr>
        <w:rFonts w:hint="default"/>
      </w:rPr>
    </w:lvl>
    <w:lvl w:ilvl="2">
      <w:start w:val="1"/>
      <w:numFmt w:val="lowerRoman"/>
      <w:pStyle w:val="Numberslevel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4DB2724F"/>
    <w:multiLevelType w:val="hybridMultilevel"/>
    <w:tmpl w:val="318418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4DCE2E8E"/>
    <w:multiLevelType w:val="multilevel"/>
    <w:tmpl w:val="3D485516"/>
    <w:name w:val="BulletList"/>
    <w:lvl w:ilvl="0">
      <w:numFmt w:val="none"/>
      <w:lvlText w:val=""/>
      <w:lvlJc w:val="left"/>
      <w:pPr>
        <w:tabs>
          <w:tab w:val="num" w:pos="360"/>
        </w:tabs>
      </w:p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4E682BCE"/>
    <w:multiLevelType w:val="hybridMultilevel"/>
    <w:tmpl w:val="01543F12"/>
    <w:lvl w:ilvl="0" w:tplc="364EB64C">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47F6445"/>
    <w:multiLevelType w:val="hybridMultilevel"/>
    <w:tmpl w:val="57A0EBB2"/>
    <w:lvl w:ilvl="0" w:tplc="93325E40">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E93B43"/>
    <w:multiLevelType w:val="hybridMultilevel"/>
    <w:tmpl w:val="D5D851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86E41B8"/>
    <w:multiLevelType w:val="hybridMultilevel"/>
    <w:tmpl w:val="FDF8B2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5B062C04"/>
    <w:multiLevelType w:val="hybridMultilevel"/>
    <w:tmpl w:val="FECED3F8"/>
    <w:lvl w:ilvl="0" w:tplc="B4247B42">
      <w:start w:val="1"/>
      <w:numFmt w:val="decimal"/>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5" w15:restartNumberingAfterBreak="0">
    <w:nsid w:val="609152D5"/>
    <w:multiLevelType w:val="hybridMultilevel"/>
    <w:tmpl w:val="95E85276"/>
    <w:lvl w:ilvl="0" w:tplc="0D3636FA">
      <w:start w:val="1"/>
      <w:numFmt w:val="decimal"/>
      <w:pStyle w:val="Tablenumbered"/>
      <w:lvlText w:val="%1."/>
      <w:lvlJc w:val="left"/>
      <w:pPr>
        <w:ind w:left="720" w:hanging="360"/>
      </w:pPr>
    </w:lvl>
    <w:lvl w:ilvl="1" w:tplc="7996F936" w:tentative="1">
      <w:start w:val="1"/>
      <w:numFmt w:val="lowerLetter"/>
      <w:lvlText w:val="%2."/>
      <w:lvlJc w:val="left"/>
      <w:pPr>
        <w:ind w:left="1440" w:hanging="360"/>
      </w:pPr>
    </w:lvl>
    <w:lvl w:ilvl="2" w:tplc="0E6C94CC" w:tentative="1">
      <w:start w:val="1"/>
      <w:numFmt w:val="lowerRoman"/>
      <w:lvlText w:val="%3."/>
      <w:lvlJc w:val="right"/>
      <w:pPr>
        <w:ind w:left="2160" w:hanging="180"/>
      </w:pPr>
    </w:lvl>
    <w:lvl w:ilvl="3" w:tplc="00DA055E" w:tentative="1">
      <w:start w:val="1"/>
      <w:numFmt w:val="decimal"/>
      <w:lvlText w:val="%4."/>
      <w:lvlJc w:val="left"/>
      <w:pPr>
        <w:ind w:left="2880" w:hanging="360"/>
      </w:pPr>
    </w:lvl>
    <w:lvl w:ilvl="4" w:tplc="5BE0FF6A" w:tentative="1">
      <w:start w:val="1"/>
      <w:numFmt w:val="lowerLetter"/>
      <w:lvlText w:val="%5."/>
      <w:lvlJc w:val="left"/>
      <w:pPr>
        <w:ind w:left="3600" w:hanging="360"/>
      </w:pPr>
    </w:lvl>
    <w:lvl w:ilvl="5" w:tplc="0AE2F662" w:tentative="1">
      <w:start w:val="1"/>
      <w:numFmt w:val="lowerRoman"/>
      <w:lvlText w:val="%6."/>
      <w:lvlJc w:val="right"/>
      <w:pPr>
        <w:ind w:left="4320" w:hanging="180"/>
      </w:pPr>
    </w:lvl>
    <w:lvl w:ilvl="6" w:tplc="BB2E865E" w:tentative="1">
      <w:start w:val="1"/>
      <w:numFmt w:val="decimal"/>
      <w:lvlText w:val="%7."/>
      <w:lvlJc w:val="left"/>
      <w:pPr>
        <w:ind w:left="5040" w:hanging="360"/>
      </w:pPr>
    </w:lvl>
    <w:lvl w:ilvl="7" w:tplc="23A4B1A6" w:tentative="1">
      <w:start w:val="1"/>
      <w:numFmt w:val="lowerLetter"/>
      <w:lvlText w:val="%8."/>
      <w:lvlJc w:val="left"/>
      <w:pPr>
        <w:ind w:left="5760" w:hanging="360"/>
      </w:pPr>
    </w:lvl>
    <w:lvl w:ilvl="8" w:tplc="C82247A4" w:tentative="1">
      <w:start w:val="1"/>
      <w:numFmt w:val="lowerRoman"/>
      <w:lvlText w:val="%9."/>
      <w:lvlJc w:val="right"/>
      <w:pPr>
        <w:ind w:left="6480" w:hanging="180"/>
      </w:pPr>
    </w:lvl>
  </w:abstractNum>
  <w:abstractNum w:abstractNumId="46" w15:restartNumberingAfterBreak="0">
    <w:nsid w:val="62F46508"/>
    <w:multiLevelType w:val="multilevel"/>
    <w:tmpl w:val="ABF0BB72"/>
    <w:lvl w:ilvl="0">
      <w:start w:val="1"/>
      <w:numFmt w:val="bullet"/>
      <w:pStyle w:val="ListBullet2"/>
      <w:lvlText w:val="–"/>
      <w:lvlJc w:val="left"/>
      <w:pPr>
        <w:ind w:left="680" w:hanging="340"/>
      </w:pPr>
      <w:rPr>
        <w:rFonts w:ascii="Verdana" w:hAnsi="Verdana" w:hint="default"/>
      </w:rPr>
    </w:lvl>
    <w:lvl w:ilvl="1">
      <w:start w:val="1"/>
      <w:numFmt w:val="bullet"/>
      <w:lvlText w:val=""/>
      <w:lvlJc w:val="left"/>
      <w:pPr>
        <w:ind w:left="1020" w:hanging="340"/>
      </w:pPr>
      <w:rPr>
        <w:rFonts w:ascii="Symbol" w:hAnsi="Symbol" w:hint="default"/>
      </w:rPr>
    </w:lvl>
    <w:lvl w:ilvl="2">
      <w:start w:val="1"/>
      <w:numFmt w:val="bullet"/>
      <w:lvlText w:val="–"/>
      <w:lvlJc w:val="left"/>
      <w:pPr>
        <w:ind w:left="1360" w:hanging="340"/>
      </w:pPr>
      <w:rPr>
        <w:rFonts w:ascii="Verdana" w:hAnsi="Verdana" w:hint="default"/>
      </w:rPr>
    </w:lvl>
    <w:lvl w:ilvl="3">
      <w:start w:val="1"/>
      <w:numFmt w:val="bullet"/>
      <w:lvlText w:val=""/>
      <w:lvlJc w:val="left"/>
      <w:pPr>
        <w:ind w:left="1700" w:hanging="340"/>
      </w:pPr>
      <w:rPr>
        <w:rFonts w:ascii="Symbol" w:hAnsi="Symbol" w:hint="default"/>
        <w:color w:val="auto"/>
      </w:rPr>
    </w:lvl>
    <w:lvl w:ilvl="4">
      <w:start w:val="1"/>
      <w:numFmt w:val="bullet"/>
      <w:lvlText w:val="–"/>
      <w:lvlJc w:val="left"/>
      <w:pPr>
        <w:ind w:left="2040" w:hanging="340"/>
      </w:pPr>
      <w:rPr>
        <w:rFonts w:ascii="Verdana" w:hAnsi="Verdana" w:hint="default"/>
      </w:rPr>
    </w:lvl>
    <w:lvl w:ilvl="5">
      <w:start w:val="1"/>
      <w:numFmt w:val="bullet"/>
      <w:lvlText w:val=""/>
      <w:lvlJc w:val="left"/>
      <w:pPr>
        <w:ind w:left="2380" w:hanging="340"/>
      </w:pPr>
      <w:rPr>
        <w:rFonts w:ascii="Symbol" w:hAnsi="Symbol" w:hint="default"/>
      </w:rPr>
    </w:lvl>
    <w:lvl w:ilvl="6">
      <w:start w:val="1"/>
      <w:numFmt w:val="bullet"/>
      <w:lvlText w:val="–"/>
      <w:lvlJc w:val="left"/>
      <w:pPr>
        <w:ind w:left="2720" w:hanging="340"/>
      </w:pPr>
      <w:rPr>
        <w:rFonts w:ascii="Verdana" w:hAnsi="Verdana" w:hint="default"/>
      </w:rPr>
    </w:lvl>
    <w:lvl w:ilvl="7">
      <w:start w:val="1"/>
      <w:numFmt w:val="bullet"/>
      <w:lvlText w:val=""/>
      <w:lvlJc w:val="left"/>
      <w:pPr>
        <w:ind w:left="3060" w:hanging="340"/>
      </w:pPr>
      <w:rPr>
        <w:rFonts w:ascii="Symbol" w:hAnsi="Symbol" w:hint="default"/>
      </w:rPr>
    </w:lvl>
    <w:lvl w:ilvl="8">
      <w:start w:val="1"/>
      <w:numFmt w:val="bullet"/>
      <w:lvlText w:val="–"/>
      <w:lvlJc w:val="left"/>
      <w:pPr>
        <w:ind w:left="3400" w:hanging="340"/>
      </w:pPr>
      <w:rPr>
        <w:rFonts w:ascii="Verdana" w:hAnsi="Verdana" w:hint="default"/>
      </w:rPr>
    </w:lvl>
  </w:abstractNum>
  <w:abstractNum w:abstractNumId="47" w15:restartNumberingAfterBreak="0">
    <w:nsid w:val="6C5671D9"/>
    <w:multiLevelType w:val="hybridMultilevel"/>
    <w:tmpl w:val="9FDC32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0D73999"/>
    <w:multiLevelType w:val="hybridMultilevel"/>
    <w:tmpl w:val="B96E51E6"/>
    <w:lvl w:ilvl="0" w:tplc="0C090001">
      <w:start w:val="1"/>
      <w:numFmt w:val="bullet"/>
      <w:lvlText w:val=""/>
      <w:lvlJc w:val="left"/>
      <w:pPr>
        <w:ind w:left="787" w:hanging="360"/>
      </w:pPr>
      <w:rPr>
        <w:rFonts w:ascii="Symbol" w:hAnsi="Symbol" w:hint="default"/>
      </w:rPr>
    </w:lvl>
    <w:lvl w:ilvl="1" w:tplc="0C090003" w:tentative="1">
      <w:start w:val="1"/>
      <w:numFmt w:val="bullet"/>
      <w:lvlText w:val="o"/>
      <w:lvlJc w:val="left"/>
      <w:pPr>
        <w:ind w:left="1507" w:hanging="360"/>
      </w:pPr>
      <w:rPr>
        <w:rFonts w:ascii="Courier New" w:hAnsi="Courier New" w:cs="Courier New" w:hint="default"/>
      </w:rPr>
    </w:lvl>
    <w:lvl w:ilvl="2" w:tplc="0C090005" w:tentative="1">
      <w:start w:val="1"/>
      <w:numFmt w:val="bullet"/>
      <w:lvlText w:val=""/>
      <w:lvlJc w:val="left"/>
      <w:pPr>
        <w:ind w:left="2227" w:hanging="360"/>
      </w:pPr>
      <w:rPr>
        <w:rFonts w:ascii="Wingdings" w:hAnsi="Wingdings" w:hint="default"/>
      </w:rPr>
    </w:lvl>
    <w:lvl w:ilvl="3" w:tplc="0C090001" w:tentative="1">
      <w:start w:val="1"/>
      <w:numFmt w:val="bullet"/>
      <w:lvlText w:val=""/>
      <w:lvlJc w:val="left"/>
      <w:pPr>
        <w:ind w:left="2947" w:hanging="360"/>
      </w:pPr>
      <w:rPr>
        <w:rFonts w:ascii="Symbol" w:hAnsi="Symbol" w:hint="default"/>
      </w:rPr>
    </w:lvl>
    <w:lvl w:ilvl="4" w:tplc="0C090003" w:tentative="1">
      <w:start w:val="1"/>
      <w:numFmt w:val="bullet"/>
      <w:lvlText w:val="o"/>
      <w:lvlJc w:val="left"/>
      <w:pPr>
        <w:ind w:left="3667" w:hanging="360"/>
      </w:pPr>
      <w:rPr>
        <w:rFonts w:ascii="Courier New" w:hAnsi="Courier New" w:cs="Courier New" w:hint="default"/>
      </w:rPr>
    </w:lvl>
    <w:lvl w:ilvl="5" w:tplc="0C090005" w:tentative="1">
      <w:start w:val="1"/>
      <w:numFmt w:val="bullet"/>
      <w:lvlText w:val=""/>
      <w:lvlJc w:val="left"/>
      <w:pPr>
        <w:ind w:left="4387" w:hanging="360"/>
      </w:pPr>
      <w:rPr>
        <w:rFonts w:ascii="Wingdings" w:hAnsi="Wingdings" w:hint="default"/>
      </w:rPr>
    </w:lvl>
    <w:lvl w:ilvl="6" w:tplc="0C090001" w:tentative="1">
      <w:start w:val="1"/>
      <w:numFmt w:val="bullet"/>
      <w:lvlText w:val=""/>
      <w:lvlJc w:val="left"/>
      <w:pPr>
        <w:ind w:left="5107" w:hanging="360"/>
      </w:pPr>
      <w:rPr>
        <w:rFonts w:ascii="Symbol" w:hAnsi="Symbol" w:hint="default"/>
      </w:rPr>
    </w:lvl>
    <w:lvl w:ilvl="7" w:tplc="0C090003" w:tentative="1">
      <w:start w:val="1"/>
      <w:numFmt w:val="bullet"/>
      <w:lvlText w:val="o"/>
      <w:lvlJc w:val="left"/>
      <w:pPr>
        <w:ind w:left="5827" w:hanging="360"/>
      </w:pPr>
      <w:rPr>
        <w:rFonts w:ascii="Courier New" w:hAnsi="Courier New" w:cs="Courier New" w:hint="default"/>
      </w:rPr>
    </w:lvl>
    <w:lvl w:ilvl="8" w:tplc="0C090005" w:tentative="1">
      <w:start w:val="1"/>
      <w:numFmt w:val="bullet"/>
      <w:lvlText w:val=""/>
      <w:lvlJc w:val="left"/>
      <w:pPr>
        <w:ind w:left="6547" w:hanging="360"/>
      </w:pPr>
      <w:rPr>
        <w:rFonts w:ascii="Wingdings" w:hAnsi="Wingdings" w:hint="default"/>
      </w:rPr>
    </w:lvl>
  </w:abstractNum>
  <w:abstractNum w:abstractNumId="49" w15:restartNumberingAfterBreak="0">
    <w:nsid w:val="74D31029"/>
    <w:multiLevelType w:val="multilevel"/>
    <w:tmpl w:val="B080CDA2"/>
    <w:lvl w:ilvl="0">
      <w:start w:val="1"/>
      <w:numFmt w:val="bullet"/>
      <w:pStyle w:val="Bullet1"/>
      <w:lvlText w:val=""/>
      <w:lvlJc w:val="left"/>
      <w:pPr>
        <w:ind w:left="360" w:hanging="360"/>
      </w:pPr>
      <w:rPr>
        <w:rFonts w:ascii="Symbol" w:hAnsi="Symbol" w:hint="default"/>
        <w:color w:val="002776"/>
        <w:sz w:val="22"/>
      </w:rPr>
    </w:lvl>
    <w:lvl w:ilvl="1">
      <w:start w:val="1"/>
      <w:numFmt w:val="bullet"/>
      <w:lvlRestart w:val="0"/>
      <w:lvlText w:val=""/>
      <w:lvlJc w:val="left"/>
      <w:pPr>
        <w:tabs>
          <w:tab w:val="num" w:pos="1134"/>
        </w:tabs>
        <w:ind w:left="1134" w:hanging="567"/>
      </w:pPr>
      <w:rPr>
        <w:rFonts w:ascii="Wingdings 3" w:hAnsi="Wingdings 3" w:hint="default"/>
        <w:b/>
        <w:i w:val="0"/>
        <w:color w:val="931638"/>
        <w:sz w:val="24"/>
      </w:rPr>
    </w:lvl>
    <w:lvl w:ilvl="2">
      <w:start w:val="1"/>
      <w:numFmt w:val="bullet"/>
      <w:lvlText w:val="-"/>
      <w:lvlJc w:val="left"/>
      <w:pPr>
        <w:tabs>
          <w:tab w:val="num" w:pos="1701"/>
        </w:tabs>
        <w:ind w:left="1701" w:hanging="567"/>
      </w:pPr>
      <w:rPr>
        <w:rFonts w:ascii="Arial" w:hAnsi="Arial" w:hint="default"/>
        <w:color w:val="931638"/>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15:restartNumberingAfterBreak="0">
    <w:nsid w:val="761C711D"/>
    <w:multiLevelType w:val="multilevel"/>
    <w:tmpl w:val="53D6A804"/>
    <w:lvl w:ilvl="0">
      <w:start w:val="1"/>
      <w:numFmt w:val="bullet"/>
      <w:lvlText w:val=""/>
      <w:lvlJc w:val="left"/>
      <w:pPr>
        <w:ind w:left="340" w:hanging="340"/>
      </w:pPr>
      <w:rPr>
        <w:rFonts w:ascii="Symbol" w:hAnsi="Symbol"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51" w15:restartNumberingAfterBreak="0">
    <w:nsid w:val="79ED4E11"/>
    <w:multiLevelType w:val="hybridMultilevel"/>
    <w:tmpl w:val="2924B942"/>
    <w:lvl w:ilvl="0" w:tplc="77A6C132">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3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37"/>
  </w:num>
  <w:num w:numId="15">
    <w:abstractNumId w:val="36"/>
  </w:num>
  <w:num w:numId="16">
    <w:abstractNumId w:val="45"/>
  </w:num>
  <w:num w:numId="17">
    <w:abstractNumId w:val="23"/>
  </w:num>
  <w:num w:numId="18">
    <w:abstractNumId w:val="10"/>
  </w:num>
  <w:num w:numId="19">
    <w:abstractNumId w:val="18"/>
  </w:num>
  <w:num w:numId="20">
    <w:abstractNumId w:val="13"/>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35"/>
  </w:num>
  <w:num w:numId="24">
    <w:abstractNumId w:val="35"/>
  </w:num>
  <w:num w:numId="25">
    <w:abstractNumId w:val="33"/>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6"/>
  </w:num>
  <w:num w:numId="30">
    <w:abstractNumId w:val="34"/>
  </w:num>
  <w:num w:numId="31">
    <w:abstractNumId w:val="19"/>
  </w:num>
  <w:num w:numId="32">
    <w:abstractNumId w:val="41"/>
  </w:num>
  <w:num w:numId="3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2"/>
  </w:num>
  <w:num w:numId="35">
    <w:abstractNumId w:val="22"/>
  </w:num>
  <w:num w:numId="3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4"/>
  </w:num>
  <w:num w:numId="39">
    <w:abstractNumId w:val="26"/>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num>
  <w:num w:numId="43">
    <w:abstractNumId w:val="14"/>
  </w:num>
  <w:num w:numId="44">
    <w:abstractNumId w:val="21"/>
  </w:num>
  <w:num w:numId="45">
    <w:abstractNumId w:val="28"/>
  </w:num>
  <w:num w:numId="46">
    <w:abstractNumId w:val="30"/>
  </w:num>
  <w:num w:numId="47">
    <w:abstractNumId w:val="16"/>
  </w:num>
  <w:num w:numId="48">
    <w:abstractNumId w:val="17"/>
  </w:num>
  <w:num w:numId="49">
    <w:abstractNumId w:val="31"/>
  </w:num>
  <w:num w:numId="50">
    <w:abstractNumId w:val="27"/>
  </w:num>
  <w:num w:numId="51">
    <w:abstractNumId w:val="49"/>
  </w:num>
  <w:num w:numId="52">
    <w:abstractNumId w:val="42"/>
  </w:num>
  <w:num w:numId="53">
    <w:abstractNumId w:val="48"/>
  </w:num>
  <w:num w:numId="54">
    <w:abstractNumId w:val="38"/>
  </w:num>
  <w:num w:numId="55">
    <w:abstractNumId w:val="20"/>
  </w:num>
  <w:num w:numId="56">
    <w:abstractNumId w:val="12"/>
  </w:num>
  <w:num w:numId="57">
    <w:abstractNumId w:val="15"/>
  </w:num>
  <w:num w:numId="58">
    <w:abstractNumId w:val="47"/>
  </w:num>
  <w:num w:numId="5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1"/>
  </w:num>
  <w:num w:numId="61">
    <w:abstractNumId w:val="35"/>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
  </w:num>
  <w:num w:numId="64">
    <w:abstractNumId w:val="32"/>
  </w:num>
  <w:num w:numId="65">
    <w:abstractNumId w:val="32"/>
  </w:num>
  <w:num w:numId="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0"/>
  </w:num>
  <w:num w:numId="68">
    <w:abstractNumId w:val="44"/>
  </w:num>
  <w:num w:numId="69">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AU" w:vendorID="64" w:dllVersion="6" w:nlCheck="1" w:checkStyle="1"/>
  <w:activeWritingStyle w:appName="MSWord" w:lang="en-AU" w:vendorID="64" w:dllVersion="0"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en-AU" w:vendorID="64" w:dllVersion="131078" w:nlCheck="1" w:checkStyle="0"/>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50AB"/>
    <w:rsid w:val="000005FE"/>
    <w:rsid w:val="00002F86"/>
    <w:rsid w:val="00003E4E"/>
    <w:rsid w:val="000063C9"/>
    <w:rsid w:val="000116B0"/>
    <w:rsid w:val="00012069"/>
    <w:rsid w:val="0001307D"/>
    <w:rsid w:val="000131A3"/>
    <w:rsid w:val="00014B89"/>
    <w:rsid w:val="0001685A"/>
    <w:rsid w:val="000173B3"/>
    <w:rsid w:val="00020297"/>
    <w:rsid w:val="00020D44"/>
    <w:rsid w:val="00021115"/>
    <w:rsid w:val="00021A39"/>
    <w:rsid w:val="00024F0C"/>
    <w:rsid w:val="00025E7D"/>
    <w:rsid w:val="000264EA"/>
    <w:rsid w:val="00027D0C"/>
    <w:rsid w:val="00031F08"/>
    <w:rsid w:val="00032574"/>
    <w:rsid w:val="000346B3"/>
    <w:rsid w:val="00035B92"/>
    <w:rsid w:val="00035DBA"/>
    <w:rsid w:val="0003632B"/>
    <w:rsid w:val="00037C17"/>
    <w:rsid w:val="00041DB4"/>
    <w:rsid w:val="00042653"/>
    <w:rsid w:val="000429AC"/>
    <w:rsid w:val="00042B6A"/>
    <w:rsid w:val="00042B99"/>
    <w:rsid w:val="000432D5"/>
    <w:rsid w:val="00045ECD"/>
    <w:rsid w:val="00047653"/>
    <w:rsid w:val="000506E6"/>
    <w:rsid w:val="00051339"/>
    <w:rsid w:val="000516C4"/>
    <w:rsid w:val="000517C0"/>
    <w:rsid w:val="00055E2B"/>
    <w:rsid w:val="000561C6"/>
    <w:rsid w:val="00056876"/>
    <w:rsid w:val="00057C98"/>
    <w:rsid w:val="000637A6"/>
    <w:rsid w:val="00065D26"/>
    <w:rsid w:val="00066BBA"/>
    <w:rsid w:val="00066EFD"/>
    <w:rsid w:val="00070DC5"/>
    <w:rsid w:val="00071509"/>
    <w:rsid w:val="0007200B"/>
    <w:rsid w:val="00073B21"/>
    <w:rsid w:val="00073FAB"/>
    <w:rsid w:val="00074AB9"/>
    <w:rsid w:val="00076294"/>
    <w:rsid w:val="00076BC8"/>
    <w:rsid w:val="00083DD5"/>
    <w:rsid w:val="000857ED"/>
    <w:rsid w:val="00086A21"/>
    <w:rsid w:val="00087F61"/>
    <w:rsid w:val="000918F8"/>
    <w:rsid w:val="00092341"/>
    <w:rsid w:val="00092708"/>
    <w:rsid w:val="000938A3"/>
    <w:rsid w:val="000956FA"/>
    <w:rsid w:val="000961D8"/>
    <w:rsid w:val="000978C6"/>
    <w:rsid w:val="000A0317"/>
    <w:rsid w:val="000A0FC5"/>
    <w:rsid w:val="000A32A8"/>
    <w:rsid w:val="000A7231"/>
    <w:rsid w:val="000A7F05"/>
    <w:rsid w:val="000B007F"/>
    <w:rsid w:val="000B136C"/>
    <w:rsid w:val="000B1CD7"/>
    <w:rsid w:val="000B2E3C"/>
    <w:rsid w:val="000B3CBD"/>
    <w:rsid w:val="000B458E"/>
    <w:rsid w:val="000B55D6"/>
    <w:rsid w:val="000B6C05"/>
    <w:rsid w:val="000C0668"/>
    <w:rsid w:val="000C167B"/>
    <w:rsid w:val="000C20BD"/>
    <w:rsid w:val="000C2B24"/>
    <w:rsid w:val="000C5EA5"/>
    <w:rsid w:val="000D2DE0"/>
    <w:rsid w:val="000D4DA3"/>
    <w:rsid w:val="000D5929"/>
    <w:rsid w:val="000D7158"/>
    <w:rsid w:val="000E2C94"/>
    <w:rsid w:val="000E45E9"/>
    <w:rsid w:val="000E4AA4"/>
    <w:rsid w:val="000E759A"/>
    <w:rsid w:val="000E7E57"/>
    <w:rsid w:val="000F05E4"/>
    <w:rsid w:val="000F4057"/>
    <w:rsid w:val="000F4685"/>
    <w:rsid w:val="000F5C22"/>
    <w:rsid w:val="0010113D"/>
    <w:rsid w:val="00101557"/>
    <w:rsid w:val="001018AB"/>
    <w:rsid w:val="00101C8E"/>
    <w:rsid w:val="00101F62"/>
    <w:rsid w:val="0010462B"/>
    <w:rsid w:val="00105163"/>
    <w:rsid w:val="00105DD5"/>
    <w:rsid w:val="001060BA"/>
    <w:rsid w:val="00107526"/>
    <w:rsid w:val="00107DB5"/>
    <w:rsid w:val="0011016C"/>
    <w:rsid w:val="001101C1"/>
    <w:rsid w:val="00110C92"/>
    <w:rsid w:val="001116A9"/>
    <w:rsid w:val="00112BB6"/>
    <w:rsid w:val="00112EEA"/>
    <w:rsid w:val="00113907"/>
    <w:rsid w:val="00113B50"/>
    <w:rsid w:val="0011439F"/>
    <w:rsid w:val="00120A79"/>
    <w:rsid w:val="0012183F"/>
    <w:rsid w:val="0012388F"/>
    <w:rsid w:val="00123AD3"/>
    <w:rsid w:val="001249AB"/>
    <w:rsid w:val="00124B34"/>
    <w:rsid w:val="001265CF"/>
    <w:rsid w:val="00130191"/>
    <w:rsid w:val="0013092E"/>
    <w:rsid w:val="001310DD"/>
    <w:rsid w:val="00131252"/>
    <w:rsid w:val="0013158F"/>
    <w:rsid w:val="00133E73"/>
    <w:rsid w:val="0013418D"/>
    <w:rsid w:val="0013581E"/>
    <w:rsid w:val="00136294"/>
    <w:rsid w:val="001363B6"/>
    <w:rsid w:val="00137F51"/>
    <w:rsid w:val="001417EE"/>
    <w:rsid w:val="00143B85"/>
    <w:rsid w:val="001457BC"/>
    <w:rsid w:val="00146B33"/>
    <w:rsid w:val="00152B3C"/>
    <w:rsid w:val="001539AC"/>
    <w:rsid w:val="0015475D"/>
    <w:rsid w:val="001548C2"/>
    <w:rsid w:val="0015606F"/>
    <w:rsid w:val="0015611E"/>
    <w:rsid w:val="00156844"/>
    <w:rsid w:val="00157BD7"/>
    <w:rsid w:val="00161814"/>
    <w:rsid w:val="001634C2"/>
    <w:rsid w:val="00163881"/>
    <w:rsid w:val="00163EF5"/>
    <w:rsid w:val="001653B2"/>
    <w:rsid w:val="001659E4"/>
    <w:rsid w:val="001670AF"/>
    <w:rsid w:val="001708B9"/>
    <w:rsid w:val="0017280D"/>
    <w:rsid w:val="0017372D"/>
    <w:rsid w:val="001757CE"/>
    <w:rsid w:val="00177C6F"/>
    <w:rsid w:val="00180BDA"/>
    <w:rsid w:val="0018108F"/>
    <w:rsid w:val="00185FED"/>
    <w:rsid w:val="00186D77"/>
    <w:rsid w:val="00186FC8"/>
    <w:rsid w:val="00187D98"/>
    <w:rsid w:val="0019167C"/>
    <w:rsid w:val="00191BF1"/>
    <w:rsid w:val="00193FCB"/>
    <w:rsid w:val="00196B4D"/>
    <w:rsid w:val="001975EF"/>
    <w:rsid w:val="0019765A"/>
    <w:rsid w:val="001A0002"/>
    <w:rsid w:val="001A29B4"/>
    <w:rsid w:val="001A39A3"/>
    <w:rsid w:val="001A3B1F"/>
    <w:rsid w:val="001A45CF"/>
    <w:rsid w:val="001A74CC"/>
    <w:rsid w:val="001B01D0"/>
    <w:rsid w:val="001B0724"/>
    <w:rsid w:val="001B0F94"/>
    <w:rsid w:val="001B4781"/>
    <w:rsid w:val="001B4AFB"/>
    <w:rsid w:val="001B5C19"/>
    <w:rsid w:val="001B74DA"/>
    <w:rsid w:val="001C07DD"/>
    <w:rsid w:val="001C0824"/>
    <w:rsid w:val="001C0AF7"/>
    <w:rsid w:val="001C7EDD"/>
    <w:rsid w:val="001D03A7"/>
    <w:rsid w:val="001D0641"/>
    <w:rsid w:val="001D206E"/>
    <w:rsid w:val="001D2601"/>
    <w:rsid w:val="001D312C"/>
    <w:rsid w:val="001D3D06"/>
    <w:rsid w:val="001D3FD6"/>
    <w:rsid w:val="001D5438"/>
    <w:rsid w:val="001D55E0"/>
    <w:rsid w:val="001D7FF5"/>
    <w:rsid w:val="001E016B"/>
    <w:rsid w:val="001E349B"/>
    <w:rsid w:val="001E5234"/>
    <w:rsid w:val="001E7D3E"/>
    <w:rsid w:val="001F0793"/>
    <w:rsid w:val="001F3235"/>
    <w:rsid w:val="001F38BE"/>
    <w:rsid w:val="001F3FB2"/>
    <w:rsid w:val="001F4B59"/>
    <w:rsid w:val="001F61B8"/>
    <w:rsid w:val="001F6563"/>
    <w:rsid w:val="001F6839"/>
    <w:rsid w:val="00200234"/>
    <w:rsid w:val="00201BEB"/>
    <w:rsid w:val="00204CBA"/>
    <w:rsid w:val="00205930"/>
    <w:rsid w:val="0020606D"/>
    <w:rsid w:val="00206776"/>
    <w:rsid w:val="00212852"/>
    <w:rsid w:val="0021366A"/>
    <w:rsid w:val="00213CC2"/>
    <w:rsid w:val="00216CF6"/>
    <w:rsid w:val="00220950"/>
    <w:rsid w:val="00220CCF"/>
    <w:rsid w:val="00223783"/>
    <w:rsid w:val="0022418F"/>
    <w:rsid w:val="0022424E"/>
    <w:rsid w:val="00224264"/>
    <w:rsid w:val="00224EC9"/>
    <w:rsid w:val="00225410"/>
    <w:rsid w:val="002268CC"/>
    <w:rsid w:val="00227F1F"/>
    <w:rsid w:val="002310CF"/>
    <w:rsid w:val="00231B44"/>
    <w:rsid w:val="00231DAE"/>
    <w:rsid w:val="00232866"/>
    <w:rsid w:val="0023379D"/>
    <w:rsid w:val="00234019"/>
    <w:rsid w:val="002340B6"/>
    <w:rsid w:val="00234795"/>
    <w:rsid w:val="00234BA2"/>
    <w:rsid w:val="00235582"/>
    <w:rsid w:val="002370AB"/>
    <w:rsid w:val="00237872"/>
    <w:rsid w:val="00243688"/>
    <w:rsid w:val="00244010"/>
    <w:rsid w:val="00251D7A"/>
    <w:rsid w:val="00253D2A"/>
    <w:rsid w:val="002546B7"/>
    <w:rsid w:val="002552D9"/>
    <w:rsid w:val="00255D53"/>
    <w:rsid w:val="00256C6F"/>
    <w:rsid w:val="00260CDE"/>
    <w:rsid w:val="00261E7C"/>
    <w:rsid w:val="00264038"/>
    <w:rsid w:val="002647BB"/>
    <w:rsid w:val="00270B15"/>
    <w:rsid w:val="00274DD9"/>
    <w:rsid w:val="002754EA"/>
    <w:rsid w:val="00275D3E"/>
    <w:rsid w:val="002768E8"/>
    <w:rsid w:val="00281D31"/>
    <w:rsid w:val="0028418E"/>
    <w:rsid w:val="002847B8"/>
    <w:rsid w:val="002901DA"/>
    <w:rsid w:val="00291ADC"/>
    <w:rsid w:val="002930B2"/>
    <w:rsid w:val="00294BBA"/>
    <w:rsid w:val="002960C6"/>
    <w:rsid w:val="00296F29"/>
    <w:rsid w:val="00297214"/>
    <w:rsid w:val="00297A67"/>
    <w:rsid w:val="002A32B3"/>
    <w:rsid w:val="002A50B2"/>
    <w:rsid w:val="002A6BB3"/>
    <w:rsid w:val="002B2281"/>
    <w:rsid w:val="002B2376"/>
    <w:rsid w:val="002B35D6"/>
    <w:rsid w:val="002B37E9"/>
    <w:rsid w:val="002B4054"/>
    <w:rsid w:val="002B40AF"/>
    <w:rsid w:val="002B4164"/>
    <w:rsid w:val="002B47FC"/>
    <w:rsid w:val="002B4D02"/>
    <w:rsid w:val="002B6D2E"/>
    <w:rsid w:val="002C1140"/>
    <w:rsid w:val="002C5707"/>
    <w:rsid w:val="002C5FEA"/>
    <w:rsid w:val="002C690A"/>
    <w:rsid w:val="002C6F50"/>
    <w:rsid w:val="002C7E6E"/>
    <w:rsid w:val="002D01D4"/>
    <w:rsid w:val="002D18B5"/>
    <w:rsid w:val="002D3041"/>
    <w:rsid w:val="002D41F7"/>
    <w:rsid w:val="002D6FF4"/>
    <w:rsid w:val="002D7620"/>
    <w:rsid w:val="002D7A96"/>
    <w:rsid w:val="002E022C"/>
    <w:rsid w:val="002E1084"/>
    <w:rsid w:val="002E1C00"/>
    <w:rsid w:val="002E26F9"/>
    <w:rsid w:val="002E67BC"/>
    <w:rsid w:val="002E7099"/>
    <w:rsid w:val="002F2771"/>
    <w:rsid w:val="002F3303"/>
    <w:rsid w:val="002F423A"/>
    <w:rsid w:val="002F5462"/>
    <w:rsid w:val="002F5DAF"/>
    <w:rsid w:val="002F67DC"/>
    <w:rsid w:val="002F6A4B"/>
    <w:rsid w:val="002F7406"/>
    <w:rsid w:val="00300AC6"/>
    <w:rsid w:val="00300E92"/>
    <w:rsid w:val="00301444"/>
    <w:rsid w:val="003029FA"/>
    <w:rsid w:val="0030610B"/>
    <w:rsid w:val="00307E5F"/>
    <w:rsid w:val="003121C1"/>
    <w:rsid w:val="00312F84"/>
    <w:rsid w:val="00315C25"/>
    <w:rsid w:val="00317155"/>
    <w:rsid w:val="00317D24"/>
    <w:rsid w:val="0032373B"/>
    <w:rsid w:val="00324689"/>
    <w:rsid w:val="003261E6"/>
    <w:rsid w:val="00326F86"/>
    <w:rsid w:val="00330389"/>
    <w:rsid w:val="00331D1F"/>
    <w:rsid w:val="00334C69"/>
    <w:rsid w:val="003360AE"/>
    <w:rsid w:val="00336FB5"/>
    <w:rsid w:val="00337680"/>
    <w:rsid w:val="0034051F"/>
    <w:rsid w:val="00340D73"/>
    <w:rsid w:val="00341EA8"/>
    <w:rsid w:val="003439BB"/>
    <w:rsid w:val="00343F35"/>
    <w:rsid w:val="00351469"/>
    <w:rsid w:val="00352222"/>
    <w:rsid w:val="0035353B"/>
    <w:rsid w:val="00354EBB"/>
    <w:rsid w:val="003551F3"/>
    <w:rsid w:val="00357E4F"/>
    <w:rsid w:val="0036159E"/>
    <w:rsid w:val="00363ABD"/>
    <w:rsid w:val="00365B2A"/>
    <w:rsid w:val="003663DA"/>
    <w:rsid w:val="00366B13"/>
    <w:rsid w:val="00372238"/>
    <w:rsid w:val="003731A9"/>
    <w:rsid w:val="00373338"/>
    <w:rsid w:val="00375EB8"/>
    <w:rsid w:val="00376317"/>
    <w:rsid w:val="00376F97"/>
    <w:rsid w:val="00377AE4"/>
    <w:rsid w:val="0038428B"/>
    <w:rsid w:val="003842E4"/>
    <w:rsid w:val="003863C7"/>
    <w:rsid w:val="003879BC"/>
    <w:rsid w:val="00390E31"/>
    <w:rsid w:val="0039181B"/>
    <w:rsid w:val="00391C70"/>
    <w:rsid w:val="003923CC"/>
    <w:rsid w:val="003923FD"/>
    <w:rsid w:val="003944DC"/>
    <w:rsid w:val="00395415"/>
    <w:rsid w:val="0039673B"/>
    <w:rsid w:val="00396E2E"/>
    <w:rsid w:val="003A14A8"/>
    <w:rsid w:val="003A494E"/>
    <w:rsid w:val="003A5189"/>
    <w:rsid w:val="003A6080"/>
    <w:rsid w:val="003B10B2"/>
    <w:rsid w:val="003B1B67"/>
    <w:rsid w:val="003B1EA4"/>
    <w:rsid w:val="003B23B4"/>
    <w:rsid w:val="003B327D"/>
    <w:rsid w:val="003B3379"/>
    <w:rsid w:val="003B3C47"/>
    <w:rsid w:val="003B3F96"/>
    <w:rsid w:val="003B6B5A"/>
    <w:rsid w:val="003B7E00"/>
    <w:rsid w:val="003C12AF"/>
    <w:rsid w:val="003C1642"/>
    <w:rsid w:val="003C1AA1"/>
    <w:rsid w:val="003C4BE4"/>
    <w:rsid w:val="003C4DE4"/>
    <w:rsid w:val="003C77A9"/>
    <w:rsid w:val="003D1A80"/>
    <w:rsid w:val="003D2144"/>
    <w:rsid w:val="003D21DC"/>
    <w:rsid w:val="003D2B8B"/>
    <w:rsid w:val="003D353E"/>
    <w:rsid w:val="003D368F"/>
    <w:rsid w:val="003D75C0"/>
    <w:rsid w:val="003E11EF"/>
    <w:rsid w:val="003E138D"/>
    <w:rsid w:val="003E1820"/>
    <w:rsid w:val="003E49BA"/>
    <w:rsid w:val="003E6259"/>
    <w:rsid w:val="003F0ADC"/>
    <w:rsid w:val="003F2224"/>
    <w:rsid w:val="003F2FE3"/>
    <w:rsid w:val="003F3B8A"/>
    <w:rsid w:val="003F42B7"/>
    <w:rsid w:val="003F6FF0"/>
    <w:rsid w:val="003F7332"/>
    <w:rsid w:val="003F741B"/>
    <w:rsid w:val="003F7786"/>
    <w:rsid w:val="004010E8"/>
    <w:rsid w:val="00404297"/>
    <w:rsid w:val="004051B8"/>
    <w:rsid w:val="004052BC"/>
    <w:rsid w:val="004066C3"/>
    <w:rsid w:val="00411BBD"/>
    <w:rsid w:val="00412AEE"/>
    <w:rsid w:val="00412EA0"/>
    <w:rsid w:val="00415C77"/>
    <w:rsid w:val="00417D85"/>
    <w:rsid w:val="004213EA"/>
    <w:rsid w:val="004218A3"/>
    <w:rsid w:val="00422341"/>
    <w:rsid w:val="00422DCD"/>
    <w:rsid w:val="00423E67"/>
    <w:rsid w:val="0042644B"/>
    <w:rsid w:val="0043034A"/>
    <w:rsid w:val="004314E1"/>
    <w:rsid w:val="00432002"/>
    <w:rsid w:val="00432984"/>
    <w:rsid w:val="00434AA9"/>
    <w:rsid w:val="00434E68"/>
    <w:rsid w:val="004350B0"/>
    <w:rsid w:val="00436E4A"/>
    <w:rsid w:val="00440582"/>
    <w:rsid w:val="0044117C"/>
    <w:rsid w:val="0044230B"/>
    <w:rsid w:val="004427DE"/>
    <w:rsid w:val="00445298"/>
    <w:rsid w:val="0044558B"/>
    <w:rsid w:val="004509E3"/>
    <w:rsid w:val="0045103F"/>
    <w:rsid w:val="00451AD9"/>
    <w:rsid w:val="00452BA1"/>
    <w:rsid w:val="00452BD2"/>
    <w:rsid w:val="00452F12"/>
    <w:rsid w:val="0045442A"/>
    <w:rsid w:val="004565B5"/>
    <w:rsid w:val="0045662C"/>
    <w:rsid w:val="00456824"/>
    <w:rsid w:val="00457938"/>
    <w:rsid w:val="004609F1"/>
    <w:rsid w:val="00460EA7"/>
    <w:rsid w:val="00461105"/>
    <w:rsid w:val="00461322"/>
    <w:rsid w:val="0046286C"/>
    <w:rsid w:val="00464FD2"/>
    <w:rsid w:val="00466770"/>
    <w:rsid w:val="00466DCC"/>
    <w:rsid w:val="00471E84"/>
    <w:rsid w:val="00472731"/>
    <w:rsid w:val="00473614"/>
    <w:rsid w:val="0047361E"/>
    <w:rsid w:val="00474643"/>
    <w:rsid w:val="00476CEB"/>
    <w:rsid w:val="004779FA"/>
    <w:rsid w:val="00477E68"/>
    <w:rsid w:val="00482102"/>
    <w:rsid w:val="00483BC3"/>
    <w:rsid w:val="004843D6"/>
    <w:rsid w:val="00485B99"/>
    <w:rsid w:val="00485C27"/>
    <w:rsid w:val="004860A3"/>
    <w:rsid w:val="00486736"/>
    <w:rsid w:val="00492028"/>
    <w:rsid w:val="00492785"/>
    <w:rsid w:val="00493AF9"/>
    <w:rsid w:val="00493F0C"/>
    <w:rsid w:val="00494D2A"/>
    <w:rsid w:val="00494EC9"/>
    <w:rsid w:val="00495A65"/>
    <w:rsid w:val="00496F96"/>
    <w:rsid w:val="00497785"/>
    <w:rsid w:val="00497E7C"/>
    <w:rsid w:val="004A02CF"/>
    <w:rsid w:val="004A0742"/>
    <w:rsid w:val="004A0DCC"/>
    <w:rsid w:val="004A18AE"/>
    <w:rsid w:val="004A35AE"/>
    <w:rsid w:val="004A7262"/>
    <w:rsid w:val="004B05A7"/>
    <w:rsid w:val="004B065D"/>
    <w:rsid w:val="004B2163"/>
    <w:rsid w:val="004B2360"/>
    <w:rsid w:val="004B2917"/>
    <w:rsid w:val="004B39E2"/>
    <w:rsid w:val="004B3DEC"/>
    <w:rsid w:val="004B45A0"/>
    <w:rsid w:val="004B4D01"/>
    <w:rsid w:val="004B4E14"/>
    <w:rsid w:val="004B6258"/>
    <w:rsid w:val="004B7FED"/>
    <w:rsid w:val="004C1520"/>
    <w:rsid w:val="004C2616"/>
    <w:rsid w:val="004C2AC4"/>
    <w:rsid w:val="004C2FB0"/>
    <w:rsid w:val="004C45BD"/>
    <w:rsid w:val="004C7228"/>
    <w:rsid w:val="004C7DDB"/>
    <w:rsid w:val="004D0B0A"/>
    <w:rsid w:val="004D0BB9"/>
    <w:rsid w:val="004D1416"/>
    <w:rsid w:val="004D159E"/>
    <w:rsid w:val="004D1F57"/>
    <w:rsid w:val="004D21C7"/>
    <w:rsid w:val="004D49FC"/>
    <w:rsid w:val="004D6E06"/>
    <w:rsid w:val="004D7A98"/>
    <w:rsid w:val="004E06DE"/>
    <w:rsid w:val="004E2131"/>
    <w:rsid w:val="004E5402"/>
    <w:rsid w:val="004E5B04"/>
    <w:rsid w:val="004E5B39"/>
    <w:rsid w:val="004E637E"/>
    <w:rsid w:val="004F307D"/>
    <w:rsid w:val="004F3C52"/>
    <w:rsid w:val="004F47B4"/>
    <w:rsid w:val="004F4A4B"/>
    <w:rsid w:val="004F6F93"/>
    <w:rsid w:val="0050043B"/>
    <w:rsid w:val="005004C0"/>
    <w:rsid w:val="00501EFF"/>
    <w:rsid w:val="00503A40"/>
    <w:rsid w:val="005047B7"/>
    <w:rsid w:val="00505EC5"/>
    <w:rsid w:val="0050685A"/>
    <w:rsid w:val="0051190A"/>
    <w:rsid w:val="0051379D"/>
    <w:rsid w:val="00514098"/>
    <w:rsid w:val="00514EB7"/>
    <w:rsid w:val="00514EFA"/>
    <w:rsid w:val="005221BB"/>
    <w:rsid w:val="00522DFB"/>
    <w:rsid w:val="005248B7"/>
    <w:rsid w:val="00526863"/>
    <w:rsid w:val="00526A4F"/>
    <w:rsid w:val="00526D31"/>
    <w:rsid w:val="005270F9"/>
    <w:rsid w:val="00532A39"/>
    <w:rsid w:val="0053478A"/>
    <w:rsid w:val="00536AB8"/>
    <w:rsid w:val="00537973"/>
    <w:rsid w:val="00541F24"/>
    <w:rsid w:val="00541F72"/>
    <w:rsid w:val="00542505"/>
    <w:rsid w:val="00543BA8"/>
    <w:rsid w:val="00545196"/>
    <w:rsid w:val="005471ED"/>
    <w:rsid w:val="00547EB3"/>
    <w:rsid w:val="00554A5F"/>
    <w:rsid w:val="0056021E"/>
    <w:rsid w:val="0056065D"/>
    <w:rsid w:val="00563C6F"/>
    <w:rsid w:val="00564F21"/>
    <w:rsid w:val="00565C8A"/>
    <w:rsid w:val="0056654A"/>
    <w:rsid w:val="00566BEB"/>
    <w:rsid w:val="005719A7"/>
    <w:rsid w:val="005726F6"/>
    <w:rsid w:val="00573556"/>
    <w:rsid w:val="0057366B"/>
    <w:rsid w:val="00573D2F"/>
    <w:rsid w:val="00577598"/>
    <w:rsid w:val="0057794B"/>
    <w:rsid w:val="00581423"/>
    <w:rsid w:val="00581F7B"/>
    <w:rsid w:val="0058313A"/>
    <w:rsid w:val="005843DE"/>
    <w:rsid w:val="00586E9F"/>
    <w:rsid w:val="005873CA"/>
    <w:rsid w:val="00590CEB"/>
    <w:rsid w:val="00591C13"/>
    <w:rsid w:val="0059216D"/>
    <w:rsid w:val="00592E6C"/>
    <w:rsid w:val="00593412"/>
    <w:rsid w:val="00593627"/>
    <w:rsid w:val="00593AA1"/>
    <w:rsid w:val="00593BF7"/>
    <w:rsid w:val="0059535E"/>
    <w:rsid w:val="005967D7"/>
    <w:rsid w:val="0059682F"/>
    <w:rsid w:val="005969FB"/>
    <w:rsid w:val="00596AE3"/>
    <w:rsid w:val="005971CA"/>
    <w:rsid w:val="005A04B2"/>
    <w:rsid w:val="005A055A"/>
    <w:rsid w:val="005A08B1"/>
    <w:rsid w:val="005A172A"/>
    <w:rsid w:val="005A175C"/>
    <w:rsid w:val="005A1AE9"/>
    <w:rsid w:val="005A3506"/>
    <w:rsid w:val="005A4FDE"/>
    <w:rsid w:val="005A50A3"/>
    <w:rsid w:val="005A66CF"/>
    <w:rsid w:val="005A66E4"/>
    <w:rsid w:val="005A7020"/>
    <w:rsid w:val="005B00B8"/>
    <w:rsid w:val="005B3184"/>
    <w:rsid w:val="005B3798"/>
    <w:rsid w:val="005B6B53"/>
    <w:rsid w:val="005C209A"/>
    <w:rsid w:val="005C2497"/>
    <w:rsid w:val="005C2C43"/>
    <w:rsid w:val="005C444C"/>
    <w:rsid w:val="005C4763"/>
    <w:rsid w:val="005C69F8"/>
    <w:rsid w:val="005D13B5"/>
    <w:rsid w:val="005D3384"/>
    <w:rsid w:val="005D3CA2"/>
    <w:rsid w:val="005D4FB6"/>
    <w:rsid w:val="005D550E"/>
    <w:rsid w:val="005D5512"/>
    <w:rsid w:val="005D6648"/>
    <w:rsid w:val="005D6BC4"/>
    <w:rsid w:val="005D6FAD"/>
    <w:rsid w:val="005D77DA"/>
    <w:rsid w:val="005E12F6"/>
    <w:rsid w:val="005E3501"/>
    <w:rsid w:val="005E5001"/>
    <w:rsid w:val="005E5A0A"/>
    <w:rsid w:val="005F0E80"/>
    <w:rsid w:val="005F15A2"/>
    <w:rsid w:val="005F19AF"/>
    <w:rsid w:val="005F3BE6"/>
    <w:rsid w:val="005F3D7B"/>
    <w:rsid w:val="005F525A"/>
    <w:rsid w:val="005F54F5"/>
    <w:rsid w:val="005F57A0"/>
    <w:rsid w:val="005F68FD"/>
    <w:rsid w:val="005F74C0"/>
    <w:rsid w:val="00600B90"/>
    <w:rsid w:val="00601792"/>
    <w:rsid w:val="0060320D"/>
    <w:rsid w:val="00603FE7"/>
    <w:rsid w:val="00604792"/>
    <w:rsid w:val="00605199"/>
    <w:rsid w:val="006074A1"/>
    <w:rsid w:val="006118C2"/>
    <w:rsid w:val="006126B6"/>
    <w:rsid w:val="00612FB3"/>
    <w:rsid w:val="00612FCE"/>
    <w:rsid w:val="00621F7A"/>
    <w:rsid w:val="00624C5E"/>
    <w:rsid w:val="00626168"/>
    <w:rsid w:val="00626FD8"/>
    <w:rsid w:val="00635E21"/>
    <w:rsid w:val="00640DEA"/>
    <w:rsid w:val="006418A6"/>
    <w:rsid w:val="006439A8"/>
    <w:rsid w:val="00644640"/>
    <w:rsid w:val="006456D9"/>
    <w:rsid w:val="00645A8A"/>
    <w:rsid w:val="006463BD"/>
    <w:rsid w:val="006464CD"/>
    <w:rsid w:val="006476AC"/>
    <w:rsid w:val="00647A99"/>
    <w:rsid w:val="00650D85"/>
    <w:rsid w:val="00651537"/>
    <w:rsid w:val="0065213C"/>
    <w:rsid w:val="006528C9"/>
    <w:rsid w:val="006542F2"/>
    <w:rsid w:val="00654422"/>
    <w:rsid w:val="00656CBC"/>
    <w:rsid w:val="00660F7F"/>
    <w:rsid w:val="006632D2"/>
    <w:rsid w:val="0066438D"/>
    <w:rsid w:val="006651BD"/>
    <w:rsid w:val="00666E44"/>
    <w:rsid w:val="006673E8"/>
    <w:rsid w:val="00670ADF"/>
    <w:rsid w:val="006712D0"/>
    <w:rsid w:val="00671DEE"/>
    <w:rsid w:val="00671EC0"/>
    <w:rsid w:val="00672300"/>
    <w:rsid w:val="00674ACE"/>
    <w:rsid w:val="00674BCE"/>
    <w:rsid w:val="00675640"/>
    <w:rsid w:val="00676951"/>
    <w:rsid w:val="00676F48"/>
    <w:rsid w:val="00677124"/>
    <w:rsid w:val="006771EE"/>
    <w:rsid w:val="0067770B"/>
    <w:rsid w:val="00680CEC"/>
    <w:rsid w:val="00685D95"/>
    <w:rsid w:val="00686056"/>
    <w:rsid w:val="00687024"/>
    <w:rsid w:val="0068753A"/>
    <w:rsid w:val="00690A6B"/>
    <w:rsid w:val="00691956"/>
    <w:rsid w:val="00691C32"/>
    <w:rsid w:val="00691E61"/>
    <w:rsid w:val="00693A8E"/>
    <w:rsid w:val="00695628"/>
    <w:rsid w:val="006A29E3"/>
    <w:rsid w:val="006A3559"/>
    <w:rsid w:val="006A39D8"/>
    <w:rsid w:val="006A473D"/>
    <w:rsid w:val="006A73C6"/>
    <w:rsid w:val="006B0513"/>
    <w:rsid w:val="006B16E0"/>
    <w:rsid w:val="006B24BB"/>
    <w:rsid w:val="006B30D1"/>
    <w:rsid w:val="006B4816"/>
    <w:rsid w:val="006B4A43"/>
    <w:rsid w:val="006C02E4"/>
    <w:rsid w:val="006C1B91"/>
    <w:rsid w:val="006C5AD3"/>
    <w:rsid w:val="006C617F"/>
    <w:rsid w:val="006C63ED"/>
    <w:rsid w:val="006C74B8"/>
    <w:rsid w:val="006D1220"/>
    <w:rsid w:val="006D2666"/>
    <w:rsid w:val="006D3D69"/>
    <w:rsid w:val="006D413B"/>
    <w:rsid w:val="006D6829"/>
    <w:rsid w:val="006D6A17"/>
    <w:rsid w:val="006D7C2D"/>
    <w:rsid w:val="006E04CD"/>
    <w:rsid w:val="006E16BB"/>
    <w:rsid w:val="006E302F"/>
    <w:rsid w:val="006E4463"/>
    <w:rsid w:val="006E7217"/>
    <w:rsid w:val="0070025A"/>
    <w:rsid w:val="00700937"/>
    <w:rsid w:val="00701D1F"/>
    <w:rsid w:val="00705766"/>
    <w:rsid w:val="00706640"/>
    <w:rsid w:val="007106EB"/>
    <w:rsid w:val="007127F9"/>
    <w:rsid w:val="0071415E"/>
    <w:rsid w:val="00714778"/>
    <w:rsid w:val="007162C7"/>
    <w:rsid w:val="007172D9"/>
    <w:rsid w:val="00717E9F"/>
    <w:rsid w:val="00720888"/>
    <w:rsid w:val="0072138D"/>
    <w:rsid w:val="00721A49"/>
    <w:rsid w:val="0072252F"/>
    <w:rsid w:val="00725553"/>
    <w:rsid w:val="0072746D"/>
    <w:rsid w:val="00730039"/>
    <w:rsid w:val="007312AA"/>
    <w:rsid w:val="007325CF"/>
    <w:rsid w:val="0073497A"/>
    <w:rsid w:val="00734C1B"/>
    <w:rsid w:val="00737293"/>
    <w:rsid w:val="0074548E"/>
    <w:rsid w:val="007460A4"/>
    <w:rsid w:val="0074668E"/>
    <w:rsid w:val="0075071D"/>
    <w:rsid w:val="00750D3B"/>
    <w:rsid w:val="007516F0"/>
    <w:rsid w:val="00751B51"/>
    <w:rsid w:val="00753A99"/>
    <w:rsid w:val="00753E9D"/>
    <w:rsid w:val="007550AB"/>
    <w:rsid w:val="0075608C"/>
    <w:rsid w:val="007573C8"/>
    <w:rsid w:val="007629C6"/>
    <w:rsid w:val="007653DA"/>
    <w:rsid w:val="00765408"/>
    <w:rsid w:val="00765DC4"/>
    <w:rsid w:val="0076614E"/>
    <w:rsid w:val="00766962"/>
    <w:rsid w:val="00767848"/>
    <w:rsid w:val="00770DFD"/>
    <w:rsid w:val="00771F8B"/>
    <w:rsid w:val="00772577"/>
    <w:rsid w:val="00773725"/>
    <w:rsid w:val="0077594B"/>
    <w:rsid w:val="00775ED4"/>
    <w:rsid w:val="00776795"/>
    <w:rsid w:val="0078176A"/>
    <w:rsid w:val="00782BBB"/>
    <w:rsid w:val="00782BF7"/>
    <w:rsid w:val="00785F53"/>
    <w:rsid w:val="00786144"/>
    <w:rsid w:val="00790472"/>
    <w:rsid w:val="00791932"/>
    <w:rsid w:val="0079305A"/>
    <w:rsid w:val="007932FC"/>
    <w:rsid w:val="00795236"/>
    <w:rsid w:val="00796FE3"/>
    <w:rsid w:val="00797D62"/>
    <w:rsid w:val="007A063D"/>
    <w:rsid w:val="007A1421"/>
    <w:rsid w:val="007A5223"/>
    <w:rsid w:val="007A617E"/>
    <w:rsid w:val="007B19BB"/>
    <w:rsid w:val="007B29C4"/>
    <w:rsid w:val="007B2FB1"/>
    <w:rsid w:val="007B4261"/>
    <w:rsid w:val="007B5024"/>
    <w:rsid w:val="007B63E6"/>
    <w:rsid w:val="007B69CD"/>
    <w:rsid w:val="007C008A"/>
    <w:rsid w:val="007C0C20"/>
    <w:rsid w:val="007C1760"/>
    <w:rsid w:val="007C25F3"/>
    <w:rsid w:val="007C7944"/>
    <w:rsid w:val="007C7C55"/>
    <w:rsid w:val="007D1B7E"/>
    <w:rsid w:val="007D22BC"/>
    <w:rsid w:val="007D3BEF"/>
    <w:rsid w:val="007D61BF"/>
    <w:rsid w:val="007E03C0"/>
    <w:rsid w:val="007E2034"/>
    <w:rsid w:val="007E2836"/>
    <w:rsid w:val="007E562B"/>
    <w:rsid w:val="007E568A"/>
    <w:rsid w:val="007E60D1"/>
    <w:rsid w:val="007E63EA"/>
    <w:rsid w:val="007E7D93"/>
    <w:rsid w:val="007F0D03"/>
    <w:rsid w:val="007F44A3"/>
    <w:rsid w:val="007F4828"/>
    <w:rsid w:val="007F4EE8"/>
    <w:rsid w:val="007F7A8C"/>
    <w:rsid w:val="0080001F"/>
    <w:rsid w:val="008005C8"/>
    <w:rsid w:val="008006BE"/>
    <w:rsid w:val="008036E9"/>
    <w:rsid w:val="0080378B"/>
    <w:rsid w:val="0080397A"/>
    <w:rsid w:val="00805471"/>
    <w:rsid w:val="00805C3F"/>
    <w:rsid w:val="00807054"/>
    <w:rsid w:val="0080710D"/>
    <w:rsid w:val="0080728A"/>
    <w:rsid w:val="00807BFC"/>
    <w:rsid w:val="00810613"/>
    <w:rsid w:val="00813DBC"/>
    <w:rsid w:val="00813F7A"/>
    <w:rsid w:val="00816289"/>
    <w:rsid w:val="0081649B"/>
    <w:rsid w:val="0081705B"/>
    <w:rsid w:val="00821F18"/>
    <w:rsid w:val="00822995"/>
    <w:rsid w:val="00822FC7"/>
    <w:rsid w:val="00823611"/>
    <w:rsid w:val="00825CB7"/>
    <w:rsid w:val="00830657"/>
    <w:rsid w:val="00832D59"/>
    <w:rsid w:val="00835A69"/>
    <w:rsid w:val="00837560"/>
    <w:rsid w:val="00837807"/>
    <w:rsid w:val="008406AD"/>
    <w:rsid w:val="00841031"/>
    <w:rsid w:val="00842601"/>
    <w:rsid w:val="00842FE4"/>
    <w:rsid w:val="0084389C"/>
    <w:rsid w:val="00846265"/>
    <w:rsid w:val="008468E3"/>
    <w:rsid w:val="008476E2"/>
    <w:rsid w:val="008544E6"/>
    <w:rsid w:val="008544F7"/>
    <w:rsid w:val="00855A9A"/>
    <w:rsid w:val="00856A0E"/>
    <w:rsid w:val="0085770B"/>
    <w:rsid w:val="008631CE"/>
    <w:rsid w:val="0086443E"/>
    <w:rsid w:val="00864DE4"/>
    <w:rsid w:val="00865758"/>
    <w:rsid w:val="00865B49"/>
    <w:rsid w:val="00870193"/>
    <w:rsid w:val="00870C2E"/>
    <w:rsid w:val="00872260"/>
    <w:rsid w:val="00872FD2"/>
    <w:rsid w:val="00873D35"/>
    <w:rsid w:val="00876341"/>
    <w:rsid w:val="00876869"/>
    <w:rsid w:val="008822E3"/>
    <w:rsid w:val="00884A10"/>
    <w:rsid w:val="00884F1E"/>
    <w:rsid w:val="00885EF5"/>
    <w:rsid w:val="00887C8A"/>
    <w:rsid w:val="00890EA7"/>
    <w:rsid w:val="00892DAA"/>
    <w:rsid w:val="00892E65"/>
    <w:rsid w:val="00893A4F"/>
    <w:rsid w:val="00894F9A"/>
    <w:rsid w:val="00896BD0"/>
    <w:rsid w:val="00896D99"/>
    <w:rsid w:val="008A2BA6"/>
    <w:rsid w:val="008A3662"/>
    <w:rsid w:val="008A70F4"/>
    <w:rsid w:val="008A76E1"/>
    <w:rsid w:val="008B10A9"/>
    <w:rsid w:val="008B20E8"/>
    <w:rsid w:val="008B26FD"/>
    <w:rsid w:val="008B2E86"/>
    <w:rsid w:val="008B6643"/>
    <w:rsid w:val="008C0EAA"/>
    <w:rsid w:val="008C16DC"/>
    <w:rsid w:val="008C1D31"/>
    <w:rsid w:val="008C3255"/>
    <w:rsid w:val="008C5A91"/>
    <w:rsid w:val="008C72C2"/>
    <w:rsid w:val="008C7CFC"/>
    <w:rsid w:val="008D7E32"/>
    <w:rsid w:val="008E518E"/>
    <w:rsid w:val="008E784F"/>
    <w:rsid w:val="008E7B8E"/>
    <w:rsid w:val="008E7DEE"/>
    <w:rsid w:val="008E7ED3"/>
    <w:rsid w:val="008F2FB2"/>
    <w:rsid w:val="008F31BA"/>
    <w:rsid w:val="008F3240"/>
    <w:rsid w:val="008F4062"/>
    <w:rsid w:val="008F58A1"/>
    <w:rsid w:val="008F71F5"/>
    <w:rsid w:val="00904097"/>
    <w:rsid w:val="009053F7"/>
    <w:rsid w:val="00905422"/>
    <w:rsid w:val="00910503"/>
    <w:rsid w:val="00914133"/>
    <w:rsid w:val="00914306"/>
    <w:rsid w:val="0091655D"/>
    <w:rsid w:val="00916C91"/>
    <w:rsid w:val="00920839"/>
    <w:rsid w:val="009232DC"/>
    <w:rsid w:val="00924B60"/>
    <w:rsid w:val="009270C5"/>
    <w:rsid w:val="009273C8"/>
    <w:rsid w:val="00927EB8"/>
    <w:rsid w:val="00930258"/>
    <w:rsid w:val="00930A39"/>
    <w:rsid w:val="009318EE"/>
    <w:rsid w:val="00931C04"/>
    <w:rsid w:val="00932C20"/>
    <w:rsid w:val="009350F0"/>
    <w:rsid w:val="0093521A"/>
    <w:rsid w:val="0094074A"/>
    <w:rsid w:val="009419A4"/>
    <w:rsid w:val="0094212A"/>
    <w:rsid w:val="00947EA1"/>
    <w:rsid w:val="00950CA4"/>
    <w:rsid w:val="00952EF5"/>
    <w:rsid w:val="009534DE"/>
    <w:rsid w:val="009548BA"/>
    <w:rsid w:val="00957BA0"/>
    <w:rsid w:val="0096189F"/>
    <w:rsid w:val="00966BC0"/>
    <w:rsid w:val="00971C74"/>
    <w:rsid w:val="0097320A"/>
    <w:rsid w:val="0097413B"/>
    <w:rsid w:val="00974B44"/>
    <w:rsid w:val="00974C2F"/>
    <w:rsid w:val="009756C4"/>
    <w:rsid w:val="009761C7"/>
    <w:rsid w:val="00977BEA"/>
    <w:rsid w:val="00981018"/>
    <w:rsid w:val="00982593"/>
    <w:rsid w:val="00983929"/>
    <w:rsid w:val="00983A25"/>
    <w:rsid w:val="00985F1A"/>
    <w:rsid w:val="00986679"/>
    <w:rsid w:val="0098756E"/>
    <w:rsid w:val="00987C79"/>
    <w:rsid w:val="00991538"/>
    <w:rsid w:val="0099372E"/>
    <w:rsid w:val="00994C96"/>
    <w:rsid w:val="00995104"/>
    <w:rsid w:val="009A0464"/>
    <w:rsid w:val="009A1164"/>
    <w:rsid w:val="009A267F"/>
    <w:rsid w:val="009A44A5"/>
    <w:rsid w:val="009A48CD"/>
    <w:rsid w:val="009A49C3"/>
    <w:rsid w:val="009A7CC6"/>
    <w:rsid w:val="009B058D"/>
    <w:rsid w:val="009B139F"/>
    <w:rsid w:val="009B2718"/>
    <w:rsid w:val="009B2D95"/>
    <w:rsid w:val="009B4048"/>
    <w:rsid w:val="009B5EF0"/>
    <w:rsid w:val="009B60B8"/>
    <w:rsid w:val="009B6E9F"/>
    <w:rsid w:val="009C1120"/>
    <w:rsid w:val="009C381F"/>
    <w:rsid w:val="009C3FEE"/>
    <w:rsid w:val="009C403B"/>
    <w:rsid w:val="009C5E08"/>
    <w:rsid w:val="009C73DF"/>
    <w:rsid w:val="009D3564"/>
    <w:rsid w:val="009D46B2"/>
    <w:rsid w:val="009D5174"/>
    <w:rsid w:val="009D57E3"/>
    <w:rsid w:val="009D5EE1"/>
    <w:rsid w:val="009D7F58"/>
    <w:rsid w:val="009E006D"/>
    <w:rsid w:val="009E0A65"/>
    <w:rsid w:val="009E1EFA"/>
    <w:rsid w:val="009E24F0"/>
    <w:rsid w:val="009E2C8B"/>
    <w:rsid w:val="009E2F33"/>
    <w:rsid w:val="009E3EC6"/>
    <w:rsid w:val="009E5122"/>
    <w:rsid w:val="009E651E"/>
    <w:rsid w:val="009E6C22"/>
    <w:rsid w:val="00A01361"/>
    <w:rsid w:val="00A01DA8"/>
    <w:rsid w:val="00A026DC"/>
    <w:rsid w:val="00A05548"/>
    <w:rsid w:val="00A063EE"/>
    <w:rsid w:val="00A074F4"/>
    <w:rsid w:val="00A07C35"/>
    <w:rsid w:val="00A10382"/>
    <w:rsid w:val="00A10685"/>
    <w:rsid w:val="00A11B83"/>
    <w:rsid w:val="00A130DE"/>
    <w:rsid w:val="00A161A4"/>
    <w:rsid w:val="00A17957"/>
    <w:rsid w:val="00A17AF4"/>
    <w:rsid w:val="00A17E73"/>
    <w:rsid w:val="00A2052E"/>
    <w:rsid w:val="00A21A57"/>
    <w:rsid w:val="00A224D2"/>
    <w:rsid w:val="00A22C63"/>
    <w:rsid w:val="00A242DE"/>
    <w:rsid w:val="00A25C2D"/>
    <w:rsid w:val="00A2675E"/>
    <w:rsid w:val="00A27939"/>
    <w:rsid w:val="00A31EF9"/>
    <w:rsid w:val="00A32258"/>
    <w:rsid w:val="00A33333"/>
    <w:rsid w:val="00A33B01"/>
    <w:rsid w:val="00A3438E"/>
    <w:rsid w:val="00A36EDB"/>
    <w:rsid w:val="00A37554"/>
    <w:rsid w:val="00A4300D"/>
    <w:rsid w:val="00A43B3E"/>
    <w:rsid w:val="00A43D22"/>
    <w:rsid w:val="00A44CE1"/>
    <w:rsid w:val="00A473AF"/>
    <w:rsid w:val="00A509D0"/>
    <w:rsid w:val="00A50A1F"/>
    <w:rsid w:val="00A50A66"/>
    <w:rsid w:val="00A555E5"/>
    <w:rsid w:val="00A555F7"/>
    <w:rsid w:val="00A571C6"/>
    <w:rsid w:val="00A57241"/>
    <w:rsid w:val="00A626F7"/>
    <w:rsid w:val="00A63C69"/>
    <w:rsid w:val="00A6427A"/>
    <w:rsid w:val="00A64B74"/>
    <w:rsid w:val="00A6563E"/>
    <w:rsid w:val="00A659E1"/>
    <w:rsid w:val="00A65B5E"/>
    <w:rsid w:val="00A65B81"/>
    <w:rsid w:val="00A67D3F"/>
    <w:rsid w:val="00A70FC3"/>
    <w:rsid w:val="00A71520"/>
    <w:rsid w:val="00A7281A"/>
    <w:rsid w:val="00A7542A"/>
    <w:rsid w:val="00A76312"/>
    <w:rsid w:val="00A776D0"/>
    <w:rsid w:val="00A80E26"/>
    <w:rsid w:val="00A81FE0"/>
    <w:rsid w:val="00A8242F"/>
    <w:rsid w:val="00A82D46"/>
    <w:rsid w:val="00A83965"/>
    <w:rsid w:val="00A83AE1"/>
    <w:rsid w:val="00A84BF7"/>
    <w:rsid w:val="00A85445"/>
    <w:rsid w:val="00A8741F"/>
    <w:rsid w:val="00A900CC"/>
    <w:rsid w:val="00A90914"/>
    <w:rsid w:val="00A9095F"/>
    <w:rsid w:val="00A931FA"/>
    <w:rsid w:val="00A93323"/>
    <w:rsid w:val="00A95553"/>
    <w:rsid w:val="00A95D6E"/>
    <w:rsid w:val="00A97EDE"/>
    <w:rsid w:val="00A97F13"/>
    <w:rsid w:val="00AA1E00"/>
    <w:rsid w:val="00AA21DE"/>
    <w:rsid w:val="00AA34E3"/>
    <w:rsid w:val="00AA4905"/>
    <w:rsid w:val="00AA715B"/>
    <w:rsid w:val="00AB0F96"/>
    <w:rsid w:val="00AB1285"/>
    <w:rsid w:val="00AB2D66"/>
    <w:rsid w:val="00AB32A9"/>
    <w:rsid w:val="00AB3DD5"/>
    <w:rsid w:val="00AB4C8D"/>
    <w:rsid w:val="00AB5654"/>
    <w:rsid w:val="00AB65CE"/>
    <w:rsid w:val="00AC02AA"/>
    <w:rsid w:val="00AC1D94"/>
    <w:rsid w:val="00AC2081"/>
    <w:rsid w:val="00AC2318"/>
    <w:rsid w:val="00AC5BDE"/>
    <w:rsid w:val="00AC6D72"/>
    <w:rsid w:val="00AC6EDD"/>
    <w:rsid w:val="00AD2B0F"/>
    <w:rsid w:val="00AD3D66"/>
    <w:rsid w:val="00AD416D"/>
    <w:rsid w:val="00AE0FC7"/>
    <w:rsid w:val="00AE13B6"/>
    <w:rsid w:val="00AE6C40"/>
    <w:rsid w:val="00AE710A"/>
    <w:rsid w:val="00AE73FD"/>
    <w:rsid w:val="00AF2B63"/>
    <w:rsid w:val="00AF551D"/>
    <w:rsid w:val="00AF6484"/>
    <w:rsid w:val="00B020E4"/>
    <w:rsid w:val="00B04C27"/>
    <w:rsid w:val="00B04F9D"/>
    <w:rsid w:val="00B055B1"/>
    <w:rsid w:val="00B064F6"/>
    <w:rsid w:val="00B0660D"/>
    <w:rsid w:val="00B06697"/>
    <w:rsid w:val="00B10375"/>
    <w:rsid w:val="00B11C37"/>
    <w:rsid w:val="00B120E3"/>
    <w:rsid w:val="00B12A34"/>
    <w:rsid w:val="00B12C1A"/>
    <w:rsid w:val="00B14BA2"/>
    <w:rsid w:val="00B162B2"/>
    <w:rsid w:val="00B176C3"/>
    <w:rsid w:val="00B20E03"/>
    <w:rsid w:val="00B20F29"/>
    <w:rsid w:val="00B21EDD"/>
    <w:rsid w:val="00B221DF"/>
    <w:rsid w:val="00B2257A"/>
    <w:rsid w:val="00B24F53"/>
    <w:rsid w:val="00B25387"/>
    <w:rsid w:val="00B253A1"/>
    <w:rsid w:val="00B25F56"/>
    <w:rsid w:val="00B262AB"/>
    <w:rsid w:val="00B2761B"/>
    <w:rsid w:val="00B32E37"/>
    <w:rsid w:val="00B33CB7"/>
    <w:rsid w:val="00B352FA"/>
    <w:rsid w:val="00B35A76"/>
    <w:rsid w:val="00B36B5C"/>
    <w:rsid w:val="00B36D31"/>
    <w:rsid w:val="00B41297"/>
    <w:rsid w:val="00B43146"/>
    <w:rsid w:val="00B464C3"/>
    <w:rsid w:val="00B46969"/>
    <w:rsid w:val="00B47A1D"/>
    <w:rsid w:val="00B5029F"/>
    <w:rsid w:val="00B5325A"/>
    <w:rsid w:val="00B53C0C"/>
    <w:rsid w:val="00B5479F"/>
    <w:rsid w:val="00B5608F"/>
    <w:rsid w:val="00B562E9"/>
    <w:rsid w:val="00B617CD"/>
    <w:rsid w:val="00B61E27"/>
    <w:rsid w:val="00B66A05"/>
    <w:rsid w:val="00B66F45"/>
    <w:rsid w:val="00B72B05"/>
    <w:rsid w:val="00B74063"/>
    <w:rsid w:val="00B74FA4"/>
    <w:rsid w:val="00B75567"/>
    <w:rsid w:val="00B76345"/>
    <w:rsid w:val="00B76AF5"/>
    <w:rsid w:val="00B76E4D"/>
    <w:rsid w:val="00B76EFD"/>
    <w:rsid w:val="00B775C9"/>
    <w:rsid w:val="00B77891"/>
    <w:rsid w:val="00B805E0"/>
    <w:rsid w:val="00B8322A"/>
    <w:rsid w:val="00B83796"/>
    <w:rsid w:val="00B83E37"/>
    <w:rsid w:val="00B86E85"/>
    <w:rsid w:val="00B87B54"/>
    <w:rsid w:val="00B912CF"/>
    <w:rsid w:val="00B928FE"/>
    <w:rsid w:val="00B93ABB"/>
    <w:rsid w:val="00B954E8"/>
    <w:rsid w:val="00B955FF"/>
    <w:rsid w:val="00B962CB"/>
    <w:rsid w:val="00B96805"/>
    <w:rsid w:val="00BA0DD6"/>
    <w:rsid w:val="00BA3BD8"/>
    <w:rsid w:val="00BA4A12"/>
    <w:rsid w:val="00BA7A5E"/>
    <w:rsid w:val="00BB086D"/>
    <w:rsid w:val="00BB2D52"/>
    <w:rsid w:val="00BB2FB4"/>
    <w:rsid w:val="00BB4A7A"/>
    <w:rsid w:val="00BB4C45"/>
    <w:rsid w:val="00BB51F6"/>
    <w:rsid w:val="00BB6CB3"/>
    <w:rsid w:val="00BB7BB2"/>
    <w:rsid w:val="00BB7C9C"/>
    <w:rsid w:val="00BC0047"/>
    <w:rsid w:val="00BC1C07"/>
    <w:rsid w:val="00BC266F"/>
    <w:rsid w:val="00BC4F04"/>
    <w:rsid w:val="00BC4F2E"/>
    <w:rsid w:val="00BD1B77"/>
    <w:rsid w:val="00BD2CC7"/>
    <w:rsid w:val="00BD503A"/>
    <w:rsid w:val="00BD6BA2"/>
    <w:rsid w:val="00BD7BD7"/>
    <w:rsid w:val="00BE061F"/>
    <w:rsid w:val="00BE4429"/>
    <w:rsid w:val="00BE48D2"/>
    <w:rsid w:val="00BE67BE"/>
    <w:rsid w:val="00BE77B1"/>
    <w:rsid w:val="00BF0E6C"/>
    <w:rsid w:val="00BF3260"/>
    <w:rsid w:val="00BF4216"/>
    <w:rsid w:val="00BF58AE"/>
    <w:rsid w:val="00BF67EE"/>
    <w:rsid w:val="00BF6F8B"/>
    <w:rsid w:val="00BF7637"/>
    <w:rsid w:val="00BF78BC"/>
    <w:rsid w:val="00C002A2"/>
    <w:rsid w:val="00C00B5A"/>
    <w:rsid w:val="00C03175"/>
    <w:rsid w:val="00C03EE1"/>
    <w:rsid w:val="00C047F6"/>
    <w:rsid w:val="00C04DCF"/>
    <w:rsid w:val="00C05CDA"/>
    <w:rsid w:val="00C06177"/>
    <w:rsid w:val="00C075EA"/>
    <w:rsid w:val="00C113F0"/>
    <w:rsid w:val="00C11E1C"/>
    <w:rsid w:val="00C1485A"/>
    <w:rsid w:val="00C158DA"/>
    <w:rsid w:val="00C15A24"/>
    <w:rsid w:val="00C172F3"/>
    <w:rsid w:val="00C2068C"/>
    <w:rsid w:val="00C207AA"/>
    <w:rsid w:val="00C2111D"/>
    <w:rsid w:val="00C21CD6"/>
    <w:rsid w:val="00C22871"/>
    <w:rsid w:val="00C234A9"/>
    <w:rsid w:val="00C23990"/>
    <w:rsid w:val="00C253DD"/>
    <w:rsid w:val="00C25833"/>
    <w:rsid w:val="00C25EC1"/>
    <w:rsid w:val="00C26A66"/>
    <w:rsid w:val="00C326D1"/>
    <w:rsid w:val="00C3397E"/>
    <w:rsid w:val="00C33BFD"/>
    <w:rsid w:val="00C34C43"/>
    <w:rsid w:val="00C378A4"/>
    <w:rsid w:val="00C41BEB"/>
    <w:rsid w:val="00C41FB6"/>
    <w:rsid w:val="00C421D6"/>
    <w:rsid w:val="00C43BFE"/>
    <w:rsid w:val="00C45436"/>
    <w:rsid w:val="00C463AA"/>
    <w:rsid w:val="00C47550"/>
    <w:rsid w:val="00C47F40"/>
    <w:rsid w:val="00C502EF"/>
    <w:rsid w:val="00C50447"/>
    <w:rsid w:val="00C50A26"/>
    <w:rsid w:val="00C50E37"/>
    <w:rsid w:val="00C51DE4"/>
    <w:rsid w:val="00C550F8"/>
    <w:rsid w:val="00C5750A"/>
    <w:rsid w:val="00C61AC6"/>
    <w:rsid w:val="00C6522F"/>
    <w:rsid w:val="00C66B8E"/>
    <w:rsid w:val="00C702C7"/>
    <w:rsid w:val="00C7160E"/>
    <w:rsid w:val="00C7282A"/>
    <w:rsid w:val="00C72A27"/>
    <w:rsid w:val="00C7429C"/>
    <w:rsid w:val="00C762EB"/>
    <w:rsid w:val="00C76B9A"/>
    <w:rsid w:val="00C77CCD"/>
    <w:rsid w:val="00C80598"/>
    <w:rsid w:val="00C82BA2"/>
    <w:rsid w:val="00C8703B"/>
    <w:rsid w:val="00C8715D"/>
    <w:rsid w:val="00C87AC7"/>
    <w:rsid w:val="00C906C7"/>
    <w:rsid w:val="00C94E31"/>
    <w:rsid w:val="00C96381"/>
    <w:rsid w:val="00C97556"/>
    <w:rsid w:val="00C97DDF"/>
    <w:rsid w:val="00CA0756"/>
    <w:rsid w:val="00CA1EFF"/>
    <w:rsid w:val="00CA3169"/>
    <w:rsid w:val="00CA4E63"/>
    <w:rsid w:val="00CA5B05"/>
    <w:rsid w:val="00CA6534"/>
    <w:rsid w:val="00CB1DF6"/>
    <w:rsid w:val="00CB23B8"/>
    <w:rsid w:val="00CB2442"/>
    <w:rsid w:val="00CB3EEB"/>
    <w:rsid w:val="00CB4C59"/>
    <w:rsid w:val="00CB564A"/>
    <w:rsid w:val="00CB6DC1"/>
    <w:rsid w:val="00CC0546"/>
    <w:rsid w:val="00CC0797"/>
    <w:rsid w:val="00CC2A1A"/>
    <w:rsid w:val="00CC3047"/>
    <w:rsid w:val="00CC392E"/>
    <w:rsid w:val="00CC4179"/>
    <w:rsid w:val="00CC5E8F"/>
    <w:rsid w:val="00CC702D"/>
    <w:rsid w:val="00CC7525"/>
    <w:rsid w:val="00CC75C4"/>
    <w:rsid w:val="00CC75FD"/>
    <w:rsid w:val="00CD17BF"/>
    <w:rsid w:val="00CD1880"/>
    <w:rsid w:val="00CD1AC6"/>
    <w:rsid w:val="00CD6221"/>
    <w:rsid w:val="00CD757C"/>
    <w:rsid w:val="00CE1D9F"/>
    <w:rsid w:val="00CE2CD9"/>
    <w:rsid w:val="00CE4278"/>
    <w:rsid w:val="00CE44D4"/>
    <w:rsid w:val="00CE6A16"/>
    <w:rsid w:val="00CE6DC4"/>
    <w:rsid w:val="00CE7ED8"/>
    <w:rsid w:val="00CF0EFA"/>
    <w:rsid w:val="00CF12BD"/>
    <w:rsid w:val="00CF1609"/>
    <w:rsid w:val="00CF23CD"/>
    <w:rsid w:val="00CF2F64"/>
    <w:rsid w:val="00CF3CA4"/>
    <w:rsid w:val="00CF435D"/>
    <w:rsid w:val="00CF546E"/>
    <w:rsid w:val="00CF66A9"/>
    <w:rsid w:val="00CF7F7F"/>
    <w:rsid w:val="00D0023B"/>
    <w:rsid w:val="00D01239"/>
    <w:rsid w:val="00D02B34"/>
    <w:rsid w:val="00D108E5"/>
    <w:rsid w:val="00D11EE2"/>
    <w:rsid w:val="00D12153"/>
    <w:rsid w:val="00D149A3"/>
    <w:rsid w:val="00D149EC"/>
    <w:rsid w:val="00D15420"/>
    <w:rsid w:val="00D20C5E"/>
    <w:rsid w:val="00D22993"/>
    <w:rsid w:val="00D22BD9"/>
    <w:rsid w:val="00D23457"/>
    <w:rsid w:val="00D236E8"/>
    <w:rsid w:val="00D23935"/>
    <w:rsid w:val="00D24870"/>
    <w:rsid w:val="00D27B73"/>
    <w:rsid w:val="00D30EBD"/>
    <w:rsid w:val="00D329DF"/>
    <w:rsid w:val="00D33A2B"/>
    <w:rsid w:val="00D368D7"/>
    <w:rsid w:val="00D36E73"/>
    <w:rsid w:val="00D417FD"/>
    <w:rsid w:val="00D419B1"/>
    <w:rsid w:val="00D4280C"/>
    <w:rsid w:val="00D4350C"/>
    <w:rsid w:val="00D45746"/>
    <w:rsid w:val="00D46816"/>
    <w:rsid w:val="00D46C94"/>
    <w:rsid w:val="00D47D19"/>
    <w:rsid w:val="00D50853"/>
    <w:rsid w:val="00D5297D"/>
    <w:rsid w:val="00D52A6A"/>
    <w:rsid w:val="00D53381"/>
    <w:rsid w:val="00D5487C"/>
    <w:rsid w:val="00D54FAA"/>
    <w:rsid w:val="00D56453"/>
    <w:rsid w:val="00D56B89"/>
    <w:rsid w:val="00D61D64"/>
    <w:rsid w:val="00D61DFC"/>
    <w:rsid w:val="00D624CC"/>
    <w:rsid w:val="00D675C1"/>
    <w:rsid w:val="00D714CF"/>
    <w:rsid w:val="00D720D0"/>
    <w:rsid w:val="00D768FD"/>
    <w:rsid w:val="00D7732D"/>
    <w:rsid w:val="00D77D69"/>
    <w:rsid w:val="00D77F9A"/>
    <w:rsid w:val="00D815D0"/>
    <w:rsid w:val="00D81B93"/>
    <w:rsid w:val="00D823ED"/>
    <w:rsid w:val="00D82425"/>
    <w:rsid w:val="00D87E6E"/>
    <w:rsid w:val="00D90BA6"/>
    <w:rsid w:val="00D91047"/>
    <w:rsid w:val="00D92750"/>
    <w:rsid w:val="00D92E7D"/>
    <w:rsid w:val="00D93859"/>
    <w:rsid w:val="00D93FF0"/>
    <w:rsid w:val="00D9538B"/>
    <w:rsid w:val="00D95BCE"/>
    <w:rsid w:val="00D961F0"/>
    <w:rsid w:val="00D96296"/>
    <w:rsid w:val="00D9748B"/>
    <w:rsid w:val="00DA1962"/>
    <w:rsid w:val="00DA30BF"/>
    <w:rsid w:val="00DA4555"/>
    <w:rsid w:val="00DA5064"/>
    <w:rsid w:val="00DA596D"/>
    <w:rsid w:val="00DB0CB1"/>
    <w:rsid w:val="00DB117A"/>
    <w:rsid w:val="00DB2B17"/>
    <w:rsid w:val="00DB4410"/>
    <w:rsid w:val="00DB4E90"/>
    <w:rsid w:val="00DB5D79"/>
    <w:rsid w:val="00DB6754"/>
    <w:rsid w:val="00DB74A3"/>
    <w:rsid w:val="00DC00AC"/>
    <w:rsid w:val="00DC352E"/>
    <w:rsid w:val="00DC3F57"/>
    <w:rsid w:val="00DC4D91"/>
    <w:rsid w:val="00DC5B64"/>
    <w:rsid w:val="00DC65D0"/>
    <w:rsid w:val="00DC72A5"/>
    <w:rsid w:val="00DD011D"/>
    <w:rsid w:val="00DD036B"/>
    <w:rsid w:val="00DD04C4"/>
    <w:rsid w:val="00DD22FF"/>
    <w:rsid w:val="00DD48A8"/>
    <w:rsid w:val="00DD49A9"/>
    <w:rsid w:val="00DD4A97"/>
    <w:rsid w:val="00DD5A1B"/>
    <w:rsid w:val="00DD69C3"/>
    <w:rsid w:val="00DD715C"/>
    <w:rsid w:val="00DE18BC"/>
    <w:rsid w:val="00DE5647"/>
    <w:rsid w:val="00DE64FB"/>
    <w:rsid w:val="00DF06E9"/>
    <w:rsid w:val="00DF23C2"/>
    <w:rsid w:val="00DF4B62"/>
    <w:rsid w:val="00DF5F20"/>
    <w:rsid w:val="00E019FB"/>
    <w:rsid w:val="00E0517E"/>
    <w:rsid w:val="00E06F2E"/>
    <w:rsid w:val="00E105E3"/>
    <w:rsid w:val="00E1136A"/>
    <w:rsid w:val="00E12475"/>
    <w:rsid w:val="00E12E02"/>
    <w:rsid w:val="00E15DEF"/>
    <w:rsid w:val="00E15E9E"/>
    <w:rsid w:val="00E17E15"/>
    <w:rsid w:val="00E22AB1"/>
    <w:rsid w:val="00E2435A"/>
    <w:rsid w:val="00E26113"/>
    <w:rsid w:val="00E266A4"/>
    <w:rsid w:val="00E26DFD"/>
    <w:rsid w:val="00E27320"/>
    <w:rsid w:val="00E277EF"/>
    <w:rsid w:val="00E33B5F"/>
    <w:rsid w:val="00E35306"/>
    <w:rsid w:val="00E353A7"/>
    <w:rsid w:val="00E35847"/>
    <w:rsid w:val="00E36C7A"/>
    <w:rsid w:val="00E41D77"/>
    <w:rsid w:val="00E427A4"/>
    <w:rsid w:val="00E4362E"/>
    <w:rsid w:val="00E43AB6"/>
    <w:rsid w:val="00E43C1E"/>
    <w:rsid w:val="00E457C4"/>
    <w:rsid w:val="00E461D9"/>
    <w:rsid w:val="00E51605"/>
    <w:rsid w:val="00E54BEF"/>
    <w:rsid w:val="00E55D35"/>
    <w:rsid w:val="00E563D4"/>
    <w:rsid w:val="00E56993"/>
    <w:rsid w:val="00E56E86"/>
    <w:rsid w:val="00E56EA1"/>
    <w:rsid w:val="00E56F4A"/>
    <w:rsid w:val="00E57227"/>
    <w:rsid w:val="00E62625"/>
    <w:rsid w:val="00E64DD4"/>
    <w:rsid w:val="00E64ECA"/>
    <w:rsid w:val="00E674BF"/>
    <w:rsid w:val="00E739A7"/>
    <w:rsid w:val="00E753BF"/>
    <w:rsid w:val="00E77210"/>
    <w:rsid w:val="00E80CC9"/>
    <w:rsid w:val="00E80D82"/>
    <w:rsid w:val="00E818BB"/>
    <w:rsid w:val="00E81D08"/>
    <w:rsid w:val="00E822FE"/>
    <w:rsid w:val="00E82807"/>
    <w:rsid w:val="00E87432"/>
    <w:rsid w:val="00E87D48"/>
    <w:rsid w:val="00E90278"/>
    <w:rsid w:val="00E902B3"/>
    <w:rsid w:val="00E90564"/>
    <w:rsid w:val="00E91083"/>
    <w:rsid w:val="00E915FC"/>
    <w:rsid w:val="00E928B6"/>
    <w:rsid w:val="00E937C4"/>
    <w:rsid w:val="00E943B8"/>
    <w:rsid w:val="00E94477"/>
    <w:rsid w:val="00E94C20"/>
    <w:rsid w:val="00E95A9E"/>
    <w:rsid w:val="00E97DE5"/>
    <w:rsid w:val="00EA1607"/>
    <w:rsid w:val="00EA1AE8"/>
    <w:rsid w:val="00EA489B"/>
    <w:rsid w:val="00EA498A"/>
    <w:rsid w:val="00EA4B90"/>
    <w:rsid w:val="00EA6D85"/>
    <w:rsid w:val="00EA78F2"/>
    <w:rsid w:val="00EA7FA3"/>
    <w:rsid w:val="00EB209E"/>
    <w:rsid w:val="00EB4550"/>
    <w:rsid w:val="00EB4694"/>
    <w:rsid w:val="00EB5CD1"/>
    <w:rsid w:val="00EB6049"/>
    <w:rsid w:val="00EB779E"/>
    <w:rsid w:val="00EC0227"/>
    <w:rsid w:val="00EC2F8D"/>
    <w:rsid w:val="00EC63FF"/>
    <w:rsid w:val="00EC6CC9"/>
    <w:rsid w:val="00EC6F5A"/>
    <w:rsid w:val="00ED0358"/>
    <w:rsid w:val="00ED1352"/>
    <w:rsid w:val="00ED30F8"/>
    <w:rsid w:val="00ED358C"/>
    <w:rsid w:val="00ED518B"/>
    <w:rsid w:val="00ED7B39"/>
    <w:rsid w:val="00EE0DCE"/>
    <w:rsid w:val="00EE16D4"/>
    <w:rsid w:val="00EE2C87"/>
    <w:rsid w:val="00EE337C"/>
    <w:rsid w:val="00EE5111"/>
    <w:rsid w:val="00EE61A2"/>
    <w:rsid w:val="00EE6DE6"/>
    <w:rsid w:val="00EF0925"/>
    <w:rsid w:val="00EF0E63"/>
    <w:rsid w:val="00EF1F50"/>
    <w:rsid w:val="00EF2D71"/>
    <w:rsid w:val="00EF3582"/>
    <w:rsid w:val="00EF38B7"/>
    <w:rsid w:val="00EF4086"/>
    <w:rsid w:val="00EF48D4"/>
    <w:rsid w:val="00EF6C2B"/>
    <w:rsid w:val="00EF70E7"/>
    <w:rsid w:val="00F0232D"/>
    <w:rsid w:val="00F045B9"/>
    <w:rsid w:val="00F1019C"/>
    <w:rsid w:val="00F10D06"/>
    <w:rsid w:val="00F11697"/>
    <w:rsid w:val="00F12EFB"/>
    <w:rsid w:val="00F14FBD"/>
    <w:rsid w:val="00F1518C"/>
    <w:rsid w:val="00F15EAA"/>
    <w:rsid w:val="00F15F5C"/>
    <w:rsid w:val="00F20347"/>
    <w:rsid w:val="00F22AE8"/>
    <w:rsid w:val="00F23266"/>
    <w:rsid w:val="00F23337"/>
    <w:rsid w:val="00F2594D"/>
    <w:rsid w:val="00F30226"/>
    <w:rsid w:val="00F3081C"/>
    <w:rsid w:val="00F31311"/>
    <w:rsid w:val="00F3150F"/>
    <w:rsid w:val="00F3209D"/>
    <w:rsid w:val="00F3356C"/>
    <w:rsid w:val="00F36F6B"/>
    <w:rsid w:val="00F41D3D"/>
    <w:rsid w:val="00F44427"/>
    <w:rsid w:val="00F445E4"/>
    <w:rsid w:val="00F448EC"/>
    <w:rsid w:val="00F45228"/>
    <w:rsid w:val="00F46465"/>
    <w:rsid w:val="00F47968"/>
    <w:rsid w:val="00F47AD4"/>
    <w:rsid w:val="00F47C96"/>
    <w:rsid w:val="00F506EF"/>
    <w:rsid w:val="00F5140D"/>
    <w:rsid w:val="00F51E9E"/>
    <w:rsid w:val="00F565A3"/>
    <w:rsid w:val="00F56953"/>
    <w:rsid w:val="00F57B87"/>
    <w:rsid w:val="00F60D0F"/>
    <w:rsid w:val="00F64334"/>
    <w:rsid w:val="00F659C5"/>
    <w:rsid w:val="00F676D5"/>
    <w:rsid w:val="00F6771E"/>
    <w:rsid w:val="00F6787F"/>
    <w:rsid w:val="00F72D9E"/>
    <w:rsid w:val="00F73B6C"/>
    <w:rsid w:val="00F7435C"/>
    <w:rsid w:val="00F74D32"/>
    <w:rsid w:val="00F74E32"/>
    <w:rsid w:val="00F75183"/>
    <w:rsid w:val="00F75331"/>
    <w:rsid w:val="00F7747E"/>
    <w:rsid w:val="00F77AE6"/>
    <w:rsid w:val="00F77EA7"/>
    <w:rsid w:val="00F810D7"/>
    <w:rsid w:val="00F84828"/>
    <w:rsid w:val="00F8644E"/>
    <w:rsid w:val="00F87BBF"/>
    <w:rsid w:val="00F901A4"/>
    <w:rsid w:val="00F9113D"/>
    <w:rsid w:val="00F9119D"/>
    <w:rsid w:val="00F9138B"/>
    <w:rsid w:val="00F93865"/>
    <w:rsid w:val="00F9694B"/>
    <w:rsid w:val="00F973D7"/>
    <w:rsid w:val="00FA197A"/>
    <w:rsid w:val="00FA400B"/>
    <w:rsid w:val="00FA6EC4"/>
    <w:rsid w:val="00FB025A"/>
    <w:rsid w:val="00FB05F5"/>
    <w:rsid w:val="00FB0D02"/>
    <w:rsid w:val="00FB25C1"/>
    <w:rsid w:val="00FB2F3E"/>
    <w:rsid w:val="00FB32BE"/>
    <w:rsid w:val="00FB5AC7"/>
    <w:rsid w:val="00FB6C38"/>
    <w:rsid w:val="00FB6F4C"/>
    <w:rsid w:val="00FB7644"/>
    <w:rsid w:val="00FB77B7"/>
    <w:rsid w:val="00FC2104"/>
    <w:rsid w:val="00FC223E"/>
    <w:rsid w:val="00FC2B0D"/>
    <w:rsid w:val="00FC3A87"/>
    <w:rsid w:val="00FC5C06"/>
    <w:rsid w:val="00FC6122"/>
    <w:rsid w:val="00FC6ED2"/>
    <w:rsid w:val="00FD0A1F"/>
    <w:rsid w:val="00FD4049"/>
    <w:rsid w:val="00FD48E8"/>
    <w:rsid w:val="00FD4C6C"/>
    <w:rsid w:val="00FD505C"/>
    <w:rsid w:val="00FD5421"/>
    <w:rsid w:val="00FD6B42"/>
    <w:rsid w:val="00FD7D79"/>
    <w:rsid w:val="00FE1C12"/>
    <w:rsid w:val="00FE40A8"/>
    <w:rsid w:val="00FE635C"/>
    <w:rsid w:val="00FE66A9"/>
    <w:rsid w:val="00FE7E6F"/>
    <w:rsid w:val="00FF08B6"/>
    <w:rsid w:val="00FF0F52"/>
    <w:rsid w:val="00FF1A0B"/>
    <w:rsid w:val="00FF1A79"/>
    <w:rsid w:val="00FF1E8D"/>
    <w:rsid w:val="00FF4C3A"/>
    <w:rsid w:val="00FF632C"/>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B66ED1F"/>
  <w15:docId w15:val="{D7649054-B5B0-4224-95B0-46AC7FC14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en-GB" w:eastAsia="en-US" w:bidi="ar-SA"/>
      </w:rPr>
    </w:rPrDefault>
    <w:pPrDefault>
      <w:pPr>
        <w:spacing w:line="2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10" w:unhideWhenUsed="1"/>
    <w:lsdException w:name="annotation text" w:semiHidden="1" w:unhideWhenUsed="1"/>
    <w:lsdException w:name="header" w:uiPriority="10" w:unhideWhenUsed="1"/>
    <w:lsdException w:name="footer" w:uiPriority="10" w:unhideWhenUsed="1" w:qFormat="1"/>
    <w:lsdException w:name="index heading" w:semiHidden="1" w:unhideWhenUsed="1"/>
    <w:lsdException w:name="caption" w:uiPriority="3"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iPriority="1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unhideWhenUsed="1" w:qFormat="1"/>
    <w:lsdException w:name="List Number" w:uiPriority="3" w:qFormat="1"/>
    <w:lsdException w:name="List 2" w:semiHidden="1" w:unhideWhenUsed="1"/>
    <w:lsdException w:name="List 3" w:semiHidden="1" w:unhideWhenUsed="1"/>
    <w:lsdException w:name="List 4" w:semiHidden="1"/>
    <w:lsdException w:name="List 5" w:semiHidden="1"/>
    <w:lsdException w:name="List Bullet 2" w:uiPriority="3" w:unhideWhenUsed="1" w:qFormat="1"/>
    <w:lsdException w:name="List Bullet 3" w:semiHidden="1" w:unhideWhenUsed="1"/>
    <w:lsdException w:name="List Bullet 4" w:semiHidden="1" w:unhideWhenUsed="1"/>
    <w:lsdException w:name="List Bullet 5" w:semiHidden="1" w:unhideWhenUsed="1"/>
    <w:lsdException w:name="List Number 2" w:uiPriority="3"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10"/>
    <w:lsdException w:name="No Spacing" w:semiHidden="1"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6B0"/>
    <w:pPr>
      <w:spacing w:after="170"/>
    </w:pPr>
    <w:rPr>
      <w:lang w:val="en-AU"/>
    </w:rPr>
  </w:style>
  <w:style w:type="paragraph" w:styleId="Heading1">
    <w:name w:val="heading 1"/>
    <w:basedOn w:val="Normal"/>
    <w:next w:val="Normal"/>
    <w:link w:val="Heading1Char"/>
    <w:uiPriority w:val="9"/>
    <w:qFormat/>
    <w:rsid w:val="009E2F33"/>
    <w:pPr>
      <w:keepNext/>
      <w:keepLines/>
      <w:pageBreakBefore/>
      <w:numPr>
        <w:numId w:val="3"/>
      </w:numPr>
      <w:spacing w:after="480" w:line="720" w:lineRule="atLeast"/>
      <w:contextualSpacing/>
      <w:outlineLvl w:val="0"/>
    </w:pPr>
    <w:rPr>
      <w:rFonts w:eastAsiaTheme="majorEastAsia" w:cstheme="majorBidi"/>
      <w:bCs/>
      <w:sz w:val="60"/>
      <w:szCs w:val="28"/>
    </w:rPr>
  </w:style>
  <w:style w:type="paragraph" w:styleId="Heading2">
    <w:name w:val="heading 2"/>
    <w:basedOn w:val="Normal"/>
    <w:next w:val="Normal"/>
    <w:link w:val="Heading2Char"/>
    <w:uiPriority w:val="9"/>
    <w:qFormat/>
    <w:rsid w:val="00CF23CD"/>
    <w:pPr>
      <w:keepNext/>
      <w:keepLines/>
      <w:numPr>
        <w:ilvl w:val="1"/>
        <w:numId w:val="3"/>
      </w:numPr>
      <w:spacing w:before="240" w:after="0"/>
      <w:outlineLvl w:val="1"/>
    </w:pPr>
    <w:rPr>
      <w:rFonts w:eastAsiaTheme="majorEastAsia" w:cstheme="majorBidi"/>
      <w:b/>
      <w:bCs/>
      <w:color w:val="62B5E5" w:themeColor="accent3"/>
      <w:szCs w:val="26"/>
    </w:rPr>
  </w:style>
  <w:style w:type="paragraph" w:styleId="Heading3">
    <w:name w:val="heading 3"/>
    <w:basedOn w:val="Normal"/>
    <w:next w:val="Normal"/>
    <w:link w:val="Heading3Char"/>
    <w:uiPriority w:val="9"/>
    <w:qFormat/>
    <w:rsid w:val="00F9113D"/>
    <w:pPr>
      <w:keepNext/>
      <w:keepLines/>
      <w:numPr>
        <w:ilvl w:val="2"/>
        <w:numId w:val="3"/>
      </w:numPr>
      <w:spacing w:after="0"/>
      <w:outlineLvl w:val="2"/>
    </w:pPr>
    <w:rPr>
      <w:rFonts w:eastAsiaTheme="majorEastAsia" w:cstheme="majorBidi"/>
      <w:b/>
      <w:bCs/>
    </w:rPr>
  </w:style>
  <w:style w:type="paragraph" w:styleId="Heading4">
    <w:name w:val="heading 4"/>
    <w:basedOn w:val="Normal"/>
    <w:next w:val="Normal"/>
    <w:link w:val="Heading4Char"/>
    <w:uiPriority w:val="9"/>
    <w:qFormat/>
    <w:rsid w:val="00F9113D"/>
    <w:pPr>
      <w:keepNext/>
      <w:keepLines/>
      <w:numPr>
        <w:ilvl w:val="3"/>
        <w:numId w:val="3"/>
      </w:numPr>
      <w:tabs>
        <w:tab w:val="left" w:pos="340"/>
      </w:tabs>
      <w:spacing w:after="0"/>
      <w:outlineLvl w:val="3"/>
    </w:pPr>
    <w:rPr>
      <w:rFonts w:eastAsiaTheme="majorEastAsia" w:cstheme="majorBidi"/>
      <w:b/>
      <w:bCs/>
      <w:iCs/>
      <w:color w:val="75787B" w:themeColor="accent6"/>
    </w:rPr>
  </w:style>
  <w:style w:type="paragraph" w:styleId="Heading5">
    <w:name w:val="heading 5"/>
    <w:basedOn w:val="Normal"/>
    <w:next w:val="Normal"/>
    <w:link w:val="Heading5Char"/>
    <w:uiPriority w:val="9"/>
    <w:qFormat/>
    <w:rsid w:val="00F9113D"/>
    <w:pPr>
      <w:keepNext/>
      <w:keepLines/>
      <w:numPr>
        <w:ilvl w:val="4"/>
        <w:numId w:val="3"/>
      </w:numPr>
      <w:spacing w:after="0"/>
      <w:outlineLvl w:val="4"/>
    </w:pPr>
    <w:rPr>
      <w:rFonts w:eastAsiaTheme="majorEastAsia" w:cstheme="majorBidi"/>
      <w:b/>
    </w:rPr>
  </w:style>
  <w:style w:type="paragraph" w:styleId="Heading6">
    <w:name w:val="heading 6"/>
    <w:basedOn w:val="Normal"/>
    <w:next w:val="Normal"/>
    <w:link w:val="Heading6Char"/>
    <w:uiPriority w:val="1"/>
    <w:semiHidden/>
    <w:qFormat/>
    <w:rsid w:val="00F9113D"/>
    <w:pPr>
      <w:keepNext/>
      <w:keepLines/>
      <w:numPr>
        <w:ilvl w:val="5"/>
        <w:numId w:val="3"/>
      </w:numPr>
      <w:spacing w:after="0"/>
      <w:outlineLvl w:val="5"/>
    </w:pPr>
    <w:rPr>
      <w:rFonts w:eastAsiaTheme="majorEastAsia" w:cstheme="majorBidi"/>
      <w:b/>
      <w:iCs/>
    </w:rPr>
  </w:style>
  <w:style w:type="paragraph" w:styleId="Heading7">
    <w:name w:val="heading 7"/>
    <w:basedOn w:val="Normal"/>
    <w:next w:val="Normal"/>
    <w:link w:val="Heading7Char"/>
    <w:uiPriority w:val="1"/>
    <w:semiHidden/>
    <w:qFormat/>
    <w:rsid w:val="00F9113D"/>
    <w:pPr>
      <w:keepNext/>
      <w:keepLines/>
      <w:spacing w:after="0"/>
      <w:outlineLvl w:val="6"/>
    </w:pPr>
    <w:rPr>
      <w:rFonts w:eastAsiaTheme="majorEastAsia" w:cstheme="majorBidi"/>
      <w:b/>
      <w:iCs/>
    </w:rPr>
  </w:style>
  <w:style w:type="paragraph" w:styleId="Heading8">
    <w:name w:val="heading 8"/>
    <w:basedOn w:val="Normal"/>
    <w:next w:val="Normal"/>
    <w:link w:val="Heading8Char"/>
    <w:uiPriority w:val="1"/>
    <w:semiHidden/>
    <w:qFormat/>
    <w:rsid w:val="00F9113D"/>
    <w:pPr>
      <w:keepNext/>
      <w:keepLines/>
      <w:spacing w:after="0"/>
      <w:outlineLvl w:val="7"/>
    </w:pPr>
    <w:rPr>
      <w:rFonts w:eastAsiaTheme="majorEastAsia" w:cstheme="majorBidi"/>
      <w:b/>
      <w:szCs w:val="20"/>
    </w:rPr>
  </w:style>
  <w:style w:type="paragraph" w:styleId="Heading9">
    <w:name w:val="heading 9"/>
    <w:basedOn w:val="Normal"/>
    <w:next w:val="Normal"/>
    <w:link w:val="Heading9Char"/>
    <w:uiPriority w:val="1"/>
    <w:semiHidden/>
    <w:qFormat/>
    <w:rsid w:val="00F9113D"/>
    <w:pPr>
      <w:keepNext/>
      <w:keepLines/>
      <w:spacing w:after="0"/>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E2F33"/>
    <w:rPr>
      <w:rFonts w:eastAsiaTheme="majorEastAsia" w:cstheme="majorBidi"/>
      <w:bCs/>
      <w:sz w:val="60"/>
      <w:szCs w:val="28"/>
      <w:lang w:val="en-AU"/>
    </w:rPr>
  </w:style>
  <w:style w:type="character" w:customStyle="1" w:styleId="Heading2Char">
    <w:name w:val="Heading 2 Char"/>
    <w:basedOn w:val="DefaultParagraphFont"/>
    <w:link w:val="Heading2"/>
    <w:uiPriority w:val="9"/>
    <w:rsid w:val="00CF23CD"/>
    <w:rPr>
      <w:rFonts w:eastAsiaTheme="majorEastAsia" w:cstheme="majorBidi"/>
      <w:b/>
      <w:bCs/>
      <w:color w:val="62B5E5" w:themeColor="accent3"/>
      <w:szCs w:val="26"/>
      <w:lang w:val="en-AU"/>
    </w:rPr>
  </w:style>
  <w:style w:type="table" w:styleId="TableGrid">
    <w:name w:val="Table Grid"/>
    <w:basedOn w:val="TableNormal"/>
    <w:uiPriority w:val="99"/>
    <w:rsid w:val="00D93FF0"/>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styleId="Header">
    <w:name w:val="header"/>
    <w:link w:val="HeaderChar"/>
    <w:uiPriority w:val="10"/>
    <w:semiHidden/>
    <w:rsid w:val="000116B0"/>
    <w:pPr>
      <w:tabs>
        <w:tab w:val="center" w:pos="4513"/>
        <w:tab w:val="right" w:pos="9026"/>
      </w:tabs>
      <w:spacing w:line="240" w:lineRule="auto"/>
    </w:pPr>
    <w:rPr>
      <w:sz w:val="14"/>
      <w:lang w:val="en-AU"/>
    </w:rPr>
  </w:style>
  <w:style w:type="character" w:customStyle="1" w:styleId="HeaderChar">
    <w:name w:val="Header Char"/>
    <w:basedOn w:val="DefaultParagraphFont"/>
    <w:link w:val="Header"/>
    <w:uiPriority w:val="10"/>
    <w:semiHidden/>
    <w:rsid w:val="000116B0"/>
    <w:rPr>
      <w:sz w:val="14"/>
      <w:lang w:val="en-AU"/>
    </w:rPr>
  </w:style>
  <w:style w:type="paragraph" w:styleId="Footer">
    <w:name w:val="footer"/>
    <w:basedOn w:val="Normal"/>
    <w:link w:val="FooterChar"/>
    <w:uiPriority w:val="10"/>
    <w:semiHidden/>
    <w:qFormat/>
    <w:rsid w:val="00F9113D"/>
    <w:pPr>
      <w:tabs>
        <w:tab w:val="right" w:pos="7371"/>
      </w:tabs>
      <w:spacing w:after="0" w:line="200" w:lineRule="atLeast"/>
    </w:pPr>
    <w:rPr>
      <w:sz w:val="16"/>
    </w:rPr>
  </w:style>
  <w:style w:type="character" w:customStyle="1" w:styleId="FooterChar">
    <w:name w:val="Footer Char"/>
    <w:basedOn w:val="DefaultParagraphFont"/>
    <w:link w:val="Footer"/>
    <w:uiPriority w:val="10"/>
    <w:semiHidden/>
    <w:rsid w:val="00F9113D"/>
    <w:rPr>
      <w:sz w:val="16"/>
      <w:lang w:val="en-AU"/>
    </w:rPr>
  </w:style>
  <w:style w:type="paragraph" w:styleId="BalloonText">
    <w:name w:val="Balloon Text"/>
    <w:basedOn w:val="Normal"/>
    <w:link w:val="BalloonTextChar"/>
    <w:uiPriority w:val="99"/>
    <w:semiHidden/>
    <w:rsid w:val="00F9113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113D"/>
    <w:rPr>
      <w:rFonts w:ascii="Tahoma" w:hAnsi="Tahoma" w:cs="Tahoma"/>
      <w:sz w:val="16"/>
      <w:szCs w:val="16"/>
      <w:lang w:val="en-AU"/>
    </w:rPr>
  </w:style>
  <w:style w:type="paragraph" w:customStyle="1" w:styleId="Subject">
    <w:name w:val="Subject"/>
    <w:basedOn w:val="Normal"/>
    <w:uiPriority w:val="6"/>
    <w:semiHidden/>
    <w:qFormat/>
    <w:rsid w:val="00F9113D"/>
    <w:pPr>
      <w:spacing w:after="0"/>
    </w:pPr>
    <w:rPr>
      <w:b/>
    </w:rPr>
  </w:style>
  <w:style w:type="character" w:styleId="PlaceholderText">
    <w:name w:val="Placeholder Text"/>
    <w:basedOn w:val="DefaultParagraphFont"/>
    <w:uiPriority w:val="10"/>
    <w:semiHidden/>
    <w:rsid w:val="00F9113D"/>
    <w:rPr>
      <w:color w:val="808080"/>
      <w:lang w:val="en-AU"/>
    </w:rPr>
  </w:style>
  <w:style w:type="paragraph" w:styleId="ListBullet">
    <w:name w:val="List Bullet"/>
    <w:basedOn w:val="Normal"/>
    <w:uiPriority w:val="3"/>
    <w:qFormat/>
    <w:rsid w:val="00CC7525"/>
    <w:pPr>
      <w:numPr>
        <w:numId w:val="24"/>
      </w:numPr>
      <w:contextualSpacing/>
    </w:pPr>
    <w:rPr>
      <w:szCs w:val="17"/>
    </w:rPr>
  </w:style>
  <w:style w:type="paragraph" w:styleId="ListBullet2">
    <w:name w:val="List Bullet 2"/>
    <w:basedOn w:val="Normal"/>
    <w:uiPriority w:val="3"/>
    <w:rsid w:val="00CC7525"/>
    <w:pPr>
      <w:numPr>
        <w:numId w:val="29"/>
      </w:numPr>
      <w:contextualSpacing/>
    </w:pPr>
    <w:rPr>
      <w:szCs w:val="17"/>
    </w:rPr>
  </w:style>
  <w:style w:type="paragraph" w:styleId="ListNumber">
    <w:name w:val="List Number"/>
    <w:basedOn w:val="Normal"/>
    <w:uiPriority w:val="3"/>
    <w:qFormat/>
    <w:rsid w:val="007F7A8C"/>
    <w:pPr>
      <w:numPr>
        <w:numId w:val="35"/>
      </w:numPr>
      <w:spacing w:after="0"/>
      <w:contextualSpacing/>
    </w:pPr>
    <w:rPr>
      <w:szCs w:val="17"/>
    </w:rPr>
  </w:style>
  <w:style w:type="paragraph" w:styleId="ListNumber2">
    <w:name w:val="List Number 2"/>
    <w:basedOn w:val="Normal"/>
    <w:uiPriority w:val="3"/>
    <w:qFormat/>
    <w:rsid w:val="007F7A8C"/>
    <w:pPr>
      <w:numPr>
        <w:ilvl w:val="1"/>
        <w:numId w:val="35"/>
      </w:numPr>
      <w:spacing w:after="0"/>
      <w:contextualSpacing/>
    </w:pPr>
  </w:style>
  <w:style w:type="character" w:customStyle="1" w:styleId="Heading3Char">
    <w:name w:val="Heading 3 Char"/>
    <w:basedOn w:val="DefaultParagraphFont"/>
    <w:link w:val="Heading3"/>
    <w:uiPriority w:val="1"/>
    <w:rsid w:val="00C50447"/>
    <w:rPr>
      <w:rFonts w:eastAsiaTheme="majorEastAsia" w:cstheme="majorBidi"/>
      <w:b/>
      <w:bCs/>
      <w:lang w:val="en-AU"/>
    </w:rPr>
  </w:style>
  <w:style w:type="character" w:customStyle="1" w:styleId="Heading4Char">
    <w:name w:val="Heading 4 Char"/>
    <w:basedOn w:val="DefaultParagraphFont"/>
    <w:link w:val="Heading4"/>
    <w:uiPriority w:val="1"/>
    <w:rsid w:val="00C50447"/>
    <w:rPr>
      <w:rFonts w:eastAsiaTheme="majorEastAsia" w:cstheme="majorBidi"/>
      <w:b/>
      <w:bCs/>
      <w:iCs/>
      <w:color w:val="75787B" w:themeColor="accent6"/>
      <w:lang w:val="en-AU"/>
    </w:rPr>
  </w:style>
  <w:style w:type="paragraph" w:styleId="FootnoteText">
    <w:name w:val="footnote text"/>
    <w:aliases w:val="single space,ft,Footnote Text Char1 Char"/>
    <w:basedOn w:val="Normal"/>
    <w:link w:val="FootnoteTextChar"/>
    <w:uiPriority w:val="10"/>
    <w:rsid w:val="00F9113D"/>
    <w:pPr>
      <w:spacing w:after="0" w:line="240" w:lineRule="auto"/>
    </w:pPr>
    <w:rPr>
      <w:sz w:val="16"/>
      <w:szCs w:val="20"/>
    </w:rPr>
  </w:style>
  <w:style w:type="character" w:customStyle="1" w:styleId="FootnoteTextChar">
    <w:name w:val="Footnote Text Char"/>
    <w:aliases w:val="single space Char,ft Char,Footnote Text Char1 Char Char"/>
    <w:basedOn w:val="DefaultParagraphFont"/>
    <w:link w:val="FootnoteText"/>
    <w:uiPriority w:val="10"/>
    <w:rsid w:val="00F9113D"/>
    <w:rPr>
      <w:sz w:val="16"/>
      <w:szCs w:val="20"/>
      <w:lang w:val="en-AU"/>
    </w:rPr>
  </w:style>
  <w:style w:type="paragraph" w:customStyle="1" w:styleId="Documenttitle">
    <w:name w:val="Document title"/>
    <w:next w:val="Documentsubtitle"/>
    <w:uiPriority w:val="7"/>
    <w:rsid w:val="00EA4B90"/>
    <w:pPr>
      <w:spacing w:line="440" w:lineRule="atLeast"/>
    </w:pPr>
    <w:rPr>
      <w:rFonts w:eastAsiaTheme="majorEastAsia" w:cstheme="majorBidi"/>
      <w:b/>
      <w:bCs/>
      <w:color w:val="000000" w:themeColor="text1"/>
      <w:sz w:val="36"/>
      <w:szCs w:val="28"/>
      <w:lang w:val="en-AU"/>
    </w:rPr>
  </w:style>
  <w:style w:type="paragraph" w:customStyle="1" w:styleId="Subheading">
    <w:name w:val="Subheading"/>
    <w:basedOn w:val="Normal"/>
    <w:next w:val="Normal"/>
    <w:uiPriority w:val="6"/>
    <w:semiHidden/>
    <w:qFormat/>
    <w:rsid w:val="00F9113D"/>
    <w:pPr>
      <w:spacing w:after="0"/>
    </w:pPr>
    <w:rPr>
      <w:rFonts w:eastAsiaTheme="majorEastAsia" w:cstheme="majorBidi"/>
      <w:b/>
      <w:bCs/>
      <w:iCs/>
      <w:color w:val="000000" w:themeColor="text1"/>
    </w:rPr>
  </w:style>
  <w:style w:type="character" w:styleId="FootnoteReference">
    <w:name w:val="footnote reference"/>
    <w:basedOn w:val="DefaultParagraphFont"/>
    <w:uiPriority w:val="99"/>
    <w:rsid w:val="00F9113D"/>
    <w:rPr>
      <w:vertAlign w:val="superscript"/>
      <w:lang w:val="en-AU"/>
    </w:rPr>
  </w:style>
  <w:style w:type="paragraph" w:customStyle="1" w:styleId="Sectionintro">
    <w:name w:val="Section intro"/>
    <w:basedOn w:val="Normal"/>
    <w:next w:val="Normal"/>
    <w:uiPriority w:val="2"/>
    <w:qFormat/>
    <w:rsid w:val="00F9113D"/>
    <w:pPr>
      <w:spacing w:after="360" w:line="360" w:lineRule="atLeast"/>
      <w:contextualSpacing/>
    </w:pPr>
    <w:rPr>
      <w:sz w:val="28"/>
    </w:rPr>
  </w:style>
  <w:style w:type="paragraph" w:customStyle="1" w:styleId="Documentdate">
    <w:name w:val="Document date"/>
    <w:uiPriority w:val="7"/>
    <w:rsid w:val="00F9113D"/>
    <w:rPr>
      <w:lang w:val="en-AU"/>
    </w:rPr>
  </w:style>
  <w:style w:type="paragraph" w:customStyle="1" w:styleId="Heading1un-numbered">
    <w:name w:val="Heading 1 (un-numbered)"/>
    <w:basedOn w:val="Normal"/>
    <w:next w:val="Normal"/>
    <w:uiPriority w:val="2"/>
    <w:qFormat/>
    <w:rsid w:val="00F9113D"/>
    <w:pPr>
      <w:keepNext/>
      <w:keepLines/>
      <w:pageBreakBefore/>
      <w:spacing w:after="480" w:line="720" w:lineRule="atLeast"/>
      <w:outlineLvl w:val="0"/>
    </w:pPr>
    <w:rPr>
      <w:sz w:val="60"/>
    </w:rPr>
  </w:style>
  <w:style w:type="paragraph" w:customStyle="1" w:styleId="PulloutBlue">
    <w:name w:val="Pullout Blue"/>
    <w:basedOn w:val="Normal"/>
    <w:next w:val="Normal"/>
    <w:uiPriority w:val="6"/>
    <w:rsid w:val="00F9113D"/>
    <w:pPr>
      <w:spacing w:after="0" w:line="360" w:lineRule="atLeast"/>
    </w:pPr>
    <w:rPr>
      <w:color w:val="62B5E5" w:themeColor="accent3"/>
      <w:sz w:val="28"/>
    </w:rPr>
  </w:style>
  <w:style w:type="paragraph" w:customStyle="1" w:styleId="Contacttext">
    <w:name w:val="Contact text"/>
    <w:basedOn w:val="Normal"/>
    <w:uiPriority w:val="7"/>
    <w:semiHidden/>
    <w:rsid w:val="00F9113D"/>
    <w:pPr>
      <w:spacing w:after="0"/>
    </w:pPr>
  </w:style>
  <w:style w:type="paragraph" w:customStyle="1" w:styleId="Contactus">
    <w:name w:val="Contact us"/>
    <w:basedOn w:val="Contacttext"/>
    <w:next w:val="Contacttext"/>
    <w:uiPriority w:val="7"/>
    <w:semiHidden/>
    <w:rsid w:val="00F9113D"/>
    <w:pPr>
      <w:spacing w:after="240" w:line="340" w:lineRule="atLeast"/>
    </w:pPr>
    <w:rPr>
      <w:sz w:val="28"/>
    </w:rPr>
  </w:style>
  <w:style w:type="paragraph" w:styleId="Caption">
    <w:name w:val="caption"/>
    <w:basedOn w:val="Normal"/>
    <w:next w:val="Normal"/>
    <w:uiPriority w:val="3"/>
    <w:qFormat/>
    <w:rsid w:val="005D6648"/>
    <w:pPr>
      <w:keepNext/>
      <w:keepLines/>
      <w:spacing w:before="240" w:after="240"/>
    </w:pPr>
    <w:rPr>
      <w:iCs/>
      <w:color w:val="75787B" w:themeColor="accent6"/>
      <w:sz w:val="17"/>
    </w:rPr>
  </w:style>
  <w:style w:type="character" w:styleId="Hyperlink">
    <w:name w:val="Hyperlink"/>
    <w:basedOn w:val="DefaultParagraphFont"/>
    <w:uiPriority w:val="99"/>
    <w:rsid w:val="00F9113D"/>
    <w:rPr>
      <w:color w:val="00A3E0" w:themeColor="hyperlink"/>
      <w:u w:val="single"/>
      <w:lang w:val="en-AU"/>
    </w:rPr>
  </w:style>
  <w:style w:type="paragraph" w:customStyle="1" w:styleId="PulloutGreen">
    <w:name w:val="Pullout Green"/>
    <w:basedOn w:val="PulloutBlue"/>
    <w:next w:val="Normal"/>
    <w:uiPriority w:val="6"/>
    <w:rsid w:val="00F9113D"/>
    <w:rPr>
      <w:color w:val="86BC25" w:themeColor="accent1"/>
    </w:rPr>
  </w:style>
  <w:style w:type="paragraph" w:customStyle="1" w:styleId="QuotesourceBlue">
    <w:name w:val="Quote source Blue"/>
    <w:basedOn w:val="Normal"/>
    <w:next w:val="Normal"/>
    <w:uiPriority w:val="6"/>
    <w:rsid w:val="00F9113D"/>
    <w:pPr>
      <w:spacing w:after="0" w:line="200" w:lineRule="atLeast"/>
      <w:contextualSpacing/>
    </w:pPr>
    <w:rPr>
      <w:b/>
      <w:color w:val="62B5E5" w:themeColor="accent3"/>
      <w:sz w:val="17"/>
    </w:rPr>
  </w:style>
  <w:style w:type="paragraph" w:customStyle="1" w:styleId="QuotesourceGreen">
    <w:name w:val="Quote source Green"/>
    <w:basedOn w:val="QuotesourceBlue"/>
    <w:next w:val="Normal"/>
    <w:uiPriority w:val="6"/>
    <w:rsid w:val="00F9113D"/>
    <w:rPr>
      <w:color w:val="86BC25" w:themeColor="accent1"/>
    </w:rPr>
  </w:style>
  <w:style w:type="paragraph" w:customStyle="1" w:styleId="Paneltext">
    <w:name w:val="Panel text"/>
    <w:basedOn w:val="Normal"/>
    <w:uiPriority w:val="6"/>
    <w:rsid w:val="00F9113D"/>
    <w:pPr>
      <w:spacing w:after="0"/>
    </w:pPr>
    <w:rPr>
      <w:color w:val="FFFFFF"/>
      <w:sz w:val="17"/>
    </w:rPr>
  </w:style>
  <w:style w:type="paragraph" w:customStyle="1" w:styleId="Paneltitle">
    <w:name w:val="Panel title"/>
    <w:basedOn w:val="Paneltext"/>
    <w:next w:val="Paneltext"/>
    <w:uiPriority w:val="6"/>
    <w:rsid w:val="00F9113D"/>
    <w:pPr>
      <w:spacing w:line="360" w:lineRule="atLeast"/>
    </w:pPr>
    <w:rPr>
      <w:b/>
      <w:sz w:val="28"/>
    </w:rPr>
  </w:style>
  <w:style w:type="paragraph" w:customStyle="1" w:styleId="Formoreinfocalloutwhite8512ptPullOutStyles">
    <w:name w:val="For more info call out (white 8.5/12pt) (Pull Out Styles)"/>
    <w:basedOn w:val="Normal"/>
    <w:uiPriority w:val="99"/>
    <w:semiHidden/>
    <w:rsid w:val="00F9113D"/>
    <w:pPr>
      <w:tabs>
        <w:tab w:val="left" w:pos="283"/>
        <w:tab w:val="left" w:pos="567"/>
      </w:tabs>
      <w:suppressAutoHyphens/>
      <w:autoSpaceDE w:val="0"/>
      <w:autoSpaceDN w:val="0"/>
      <w:adjustRightInd w:val="0"/>
      <w:textAlignment w:val="center"/>
    </w:pPr>
    <w:rPr>
      <w:rFonts w:ascii="OpenSans-Bold" w:hAnsi="OpenSans-Bold" w:cs="OpenSans-Bold"/>
      <w:b/>
      <w:bCs/>
      <w:color w:val="FFFFFF"/>
      <w:spacing w:val="-2"/>
      <w:sz w:val="17"/>
      <w:szCs w:val="17"/>
    </w:rPr>
  </w:style>
  <w:style w:type="paragraph" w:customStyle="1" w:styleId="Documentsubtitle">
    <w:name w:val="Document subtitle"/>
    <w:basedOn w:val="Normal"/>
    <w:uiPriority w:val="7"/>
    <w:rsid w:val="00F9113D"/>
    <w:pPr>
      <w:spacing w:after="120" w:line="440" w:lineRule="atLeast"/>
    </w:pPr>
    <w:rPr>
      <w:sz w:val="36"/>
    </w:rPr>
  </w:style>
  <w:style w:type="paragraph" w:customStyle="1" w:styleId="Contentstitle">
    <w:name w:val="Contents title"/>
    <w:basedOn w:val="Heading1un-numbered"/>
    <w:next w:val="Normal"/>
    <w:uiPriority w:val="7"/>
    <w:semiHidden/>
    <w:rsid w:val="00F9113D"/>
  </w:style>
  <w:style w:type="paragraph" w:styleId="TOC1">
    <w:name w:val="toc 1"/>
    <w:basedOn w:val="Normal"/>
    <w:next w:val="Normal"/>
    <w:uiPriority w:val="39"/>
    <w:rsid w:val="00A242DE"/>
    <w:pPr>
      <w:tabs>
        <w:tab w:val="left" w:pos="567"/>
        <w:tab w:val="right" w:pos="6917"/>
      </w:tabs>
      <w:spacing w:after="120" w:line="320" w:lineRule="atLeast"/>
      <w:ind w:left="567" w:right="567" w:hanging="567"/>
    </w:pPr>
  </w:style>
  <w:style w:type="paragraph" w:customStyle="1" w:styleId="Quotetext">
    <w:name w:val="Quote text"/>
    <w:basedOn w:val="PulloutBlue"/>
    <w:uiPriority w:val="6"/>
    <w:rsid w:val="00F9113D"/>
    <w:pPr>
      <w:spacing w:line="720" w:lineRule="atLeast"/>
    </w:pPr>
    <w:rPr>
      <w:color w:val="FFFFFF"/>
      <w:sz w:val="60"/>
    </w:rPr>
  </w:style>
  <w:style w:type="paragraph" w:customStyle="1" w:styleId="Legaltext">
    <w:name w:val="Legal text"/>
    <w:basedOn w:val="Normal"/>
    <w:uiPriority w:val="7"/>
    <w:semiHidden/>
    <w:qFormat/>
    <w:rsid w:val="00F9113D"/>
    <w:pPr>
      <w:spacing w:after="0" w:line="180" w:lineRule="atLeast"/>
    </w:pPr>
    <w:rPr>
      <w:sz w:val="14"/>
    </w:rPr>
  </w:style>
  <w:style w:type="table" w:customStyle="1" w:styleId="Deloittetable">
    <w:name w:val="Deloitte table"/>
    <w:basedOn w:val="TableNormal"/>
    <w:uiPriority w:val="99"/>
    <w:rsid w:val="00D93FF0"/>
    <w:rPr>
      <w:sz w:val="17"/>
      <w:lang w:val="en-AU"/>
    </w:rPr>
    <w:tblPr>
      <w:tblBorders>
        <w:top w:val="single" w:sz="4" w:space="0" w:color="62B5E5"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62B5E5" w:themeColor="accent3"/>
        </w:tcBorders>
      </w:tcPr>
    </w:tblStylePr>
  </w:style>
  <w:style w:type="paragraph" w:customStyle="1" w:styleId="TabletextLeft">
    <w:name w:val="Table text Left"/>
    <w:basedOn w:val="Normal"/>
    <w:uiPriority w:val="5"/>
    <w:rsid w:val="00D93FF0"/>
    <w:pPr>
      <w:spacing w:after="0" w:line="200" w:lineRule="atLeast"/>
      <w:ind w:right="57"/>
    </w:pPr>
    <w:rPr>
      <w:sz w:val="17"/>
    </w:rPr>
  </w:style>
  <w:style w:type="paragraph" w:customStyle="1" w:styleId="TableHeadingLeft">
    <w:name w:val="Table Heading Left"/>
    <w:basedOn w:val="TabletextLeft"/>
    <w:uiPriority w:val="5"/>
    <w:rsid w:val="00F9113D"/>
    <w:rPr>
      <w:b/>
      <w:color w:val="62B5E5" w:themeColor="accent3"/>
    </w:rPr>
  </w:style>
  <w:style w:type="paragraph" w:customStyle="1" w:styleId="Source">
    <w:name w:val="Source"/>
    <w:basedOn w:val="Caption"/>
    <w:next w:val="Normal"/>
    <w:uiPriority w:val="6"/>
    <w:rsid w:val="00B5479F"/>
    <w:pPr>
      <w:keepNext w:val="0"/>
      <w:keepLines w:val="0"/>
      <w:spacing w:before="120"/>
    </w:pPr>
    <w:rPr>
      <w:sz w:val="14"/>
    </w:rPr>
  </w:style>
  <w:style w:type="paragraph" w:customStyle="1" w:styleId="Tablebullets">
    <w:name w:val="Table bullets"/>
    <w:basedOn w:val="TabletextLeft"/>
    <w:uiPriority w:val="5"/>
    <w:rsid w:val="00F9113D"/>
    <w:pPr>
      <w:framePr w:hSpace="180" w:wrap="around" w:vAnchor="text" w:hAnchor="text" w:y="1"/>
      <w:numPr>
        <w:numId w:val="15"/>
      </w:numPr>
      <w:suppressOverlap/>
    </w:pPr>
  </w:style>
  <w:style w:type="paragraph" w:customStyle="1" w:styleId="Tablenumbered">
    <w:name w:val="Table numbered"/>
    <w:basedOn w:val="TabletextLeft"/>
    <w:uiPriority w:val="5"/>
    <w:rsid w:val="00F9113D"/>
    <w:pPr>
      <w:framePr w:hSpace="180" w:wrap="around" w:vAnchor="text" w:hAnchor="text" w:y="1"/>
      <w:numPr>
        <w:numId w:val="16"/>
      </w:numPr>
      <w:suppressOverlap/>
    </w:pPr>
  </w:style>
  <w:style w:type="paragraph" w:customStyle="1" w:styleId="Charttitle">
    <w:name w:val="Chart title"/>
    <w:uiPriority w:val="7"/>
    <w:rsid w:val="00F9113D"/>
    <w:pPr>
      <w:spacing w:before="120" w:after="120"/>
    </w:pPr>
    <w:rPr>
      <w:rFonts w:eastAsiaTheme="majorEastAsia" w:cstheme="majorBidi"/>
      <w:b/>
      <w:bCs/>
      <w:color w:val="62B5E5" w:themeColor="accent3"/>
      <w:szCs w:val="26"/>
      <w:lang w:val="en-AU"/>
    </w:rPr>
  </w:style>
  <w:style w:type="paragraph" w:styleId="Bibliography">
    <w:name w:val="Bibliography"/>
    <w:basedOn w:val="Normal"/>
    <w:next w:val="Normal"/>
    <w:uiPriority w:val="99"/>
    <w:semiHidden/>
    <w:rsid w:val="00F9113D"/>
  </w:style>
  <w:style w:type="paragraph" w:styleId="BlockText">
    <w:name w:val="Block Text"/>
    <w:basedOn w:val="Normal"/>
    <w:uiPriority w:val="99"/>
    <w:semiHidden/>
    <w:rsid w:val="00F9113D"/>
    <w:pPr>
      <w:pBdr>
        <w:top w:val="single" w:sz="2" w:space="10" w:color="86BC25" w:themeColor="accent1" w:frame="1"/>
        <w:left w:val="single" w:sz="2" w:space="10" w:color="86BC25" w:themeColor="accent1" w:frame="1"/>
        <w:bottom w:val="single" w:sz="2" w:space="10" w:color="86BC25" w:themeColor="accent1" w:frame="1"/>
        <w:right w:val="single" w:sz="2" w:space="10" w:color="86BC25" w:themeColor="accent1" w:frame="1"/>
      </w:pBdr>
      <w:ind w:left="1152" w:right="1152"/>
    </w:pPr>
    <w:rPr>
      <w:rFonts w:eastAsiaTheme="minorEastAsia"/>
      <w:i/>
      <w:iCs/>
      <w:color w:val="86BC25" w:themeColor="accent1"/>
    </w:rPr>
  </w:style>
  <w:style w:type="paragraph" w:styleId="BodyText">
    <w:name w:val="Body Text"/>
    <w:basedOn w:val="Normal"/>
    <w:link w:val="BodyTextChar"/>
    <w:semiHidden/>
    <w:rsid w:val="00F9113D"/>
    <w:pPr>
      <w:spacing w:after="240"/>
    </w:pPr>
  </w:style>
  <w:style w:type="character" w:customStyle="1" w:styleId="BodyTextChar">
    <w:name w:val="Body Text Char"/>
    <w:basedOn w:val="DefaultParagraphFont"/>
    <w:link w:val="BodyText"/>
    <w:semiHidden/>
    <w:rsid w:val="00D24870"/>
    <w:rPr>
      <w:lang w:val="en-AU"/>
    </w:rPr>
  </w:style>
  <w:style w:type="paragraph" w:styleId="BodyText2">
    <w:name w:val="Body Text 2"/>
    <w:basedOn w:val="Normal"/>
    <w:link w:val="BodyText2Char"/>
    <w:uiPriority w:val="99"/>
    <w:semiHidden/>
    <w:rsid w:val="00F9113D"/>
    <w:pPr>
      <w:spacing w:after="120" w:line="480" w:lineRule="auto"/>
    </w:pPr>
  </w:style>
  <w:style w:type="character" w:customStyle="1" w:styleId="BodyText2Char">
    <w:name w:val="Body Text 2 Char"/>
    <w:basedOn w:val="DefaultParagraphFont"/>
    <w:link w:val="BodyText2"/>
    <w:uiPriority w:val="99"/>
    <w:semiHidden/>
    <w:rsid w:val="00F9113D"/>
    <w:rPr>
      <w:lang w:val="en-AU"/>
    </w:rPr>
  </w:style>
  <w:style w:type="paragraph" w:styleId="BodyText3">
    <w:name w:val="Body Text 3"/>
    <w:basedOn w:val="Normal"/>
    <w:link w:val="BodyText3Char"/>
    <w:uiPriority w:val="99"/>
    <w:semiHidden/>
    <w:rsid w:val="00F9113D"/>
    <w:pPr>
      <w:spacing w:after="120"/>
    </w:pPr>
    <w:rPr>
      <w:sz w:val="16"/>
      <w:szCs w:val="16"/>
    </w:rPr>
  </w:style>
  <w:style w:type="character" w:customStyle="1" w:styleId="BodyText3Char">
    <w:name w:val="Body Text 3 Char"/>
    <w:basedOn w:val="DefaultParagraphFont"/>
    <w:link w:val="BodyText3"/>
    <w:uiPriority w:val="99"/>
    <w:semiHidden/>
    <w:rsid w:val="00F9113D"/>
    <w:rPr>
      <w:sz w:val="16"/>
      <w:szCs w:val="16"/>
      <w:lang w:val="en-AU"/>
    </w:rPr>
  </w:style>
  <w:style w:type="paragraph" w:styleId="BodyTextFirstIndent">
    <w:name w:val="Body Text First Indent"/>
    <w:basedOn w:val="BodyText"/>
    <w:link w:val="BodyTextFirstIndentChar"/>
    <w:uiPriority w:val="99"/>
    <w:semiHidden/>
    <w:rsid w:val="00F9113D"/>
    <w:pPr>
      <w:ind w:firstLine="360"/>
    </w:pPr>
  </w:style>
  <w:style w:type="character" w:customStyle="1" w:styleId="BodyTextFirstIndentChar">
    <w:name w:val="Body Text First Indent Char"/>
    <w:basedOn w:val="BodyTextChar"/>
    <w:link w:val="BodyTextFirstIndent"/>
    <w:uiPriority w:val="99"/>
    <w:semiHidden/>
    <w:rsid w:val="00F9113D"/>
    <w:rPr>
      <w:lang w:val="en-AU"/>
    </w:rPr>
  </w:style>
  <w:style w:type="paragraph" w:styleId="BodyTextIndent">
    <w:name w:val="Body Text Indent"/>
    <w:basedOn w:val="Normal"/>
    <w:link w:val="BodyTextIndentChar"/>
    <w:uiPriority w:val="99"/>
    <w:semiHidden/>
    <w:rsid w:val="00F9113D"/>
    <w:pPr>
      <w:spacing w:after="120"/>
      <w:ind w:left="283"/>
    </w:pPr>
  </w:style>
  <w:style w:type="character" w:customStyle="1" w:styleId="BodyTextIndentChar">
    <w:name w:val="Body Text Indent Char"/>
    <w:basedOn w:val="DefaultParagraphFont"/>
    <w:link w:val="BodyTextIndent"/>
    <w:uiPriority w:val="99"/>
    <w:semiHidden/>
    <w:rsid w:val="00F9113D"/>
    <w:rPr>
      <w:lang w:val="en-AU"/>
    </w:rPr>
  </w:style>
  <w:style w:type="paragraph" w:styleId="BodyTextFirstIndent2">
    <w:name w:val="Body Text First Indent 2"/>
    <w:basedOn w:val="BodyTextIndent"/>
    <w:link w:val="BodyTextFirstIndent2Char"/>
    <w:uiPriority w:val="99"/>
    <w:semiHidden/>
    <w:rsid w:val="00F9113D"/>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9113D"/>
    <w:rPr>
      <w:lang w:val="en-AU"/>
    </w:rPr>
  </w:style>
  <w:style w:type="paragraph" w:styleId="BodyTextIndent2">
    <w:name w:val="Body Text Indent 2"/>
    <w:basedOn w:val="Normal"/>
    <w:link w:val="BodyTextIndent2Char"/>
    <w:uiPriority w:val="99"/>
    <w:semiHidden/>
    <w:rsid w:val="00F9113D"/>
    <w:pPr>
      <w:spacing w:after="120" w:line="480" w:lineRule="auto"/>
      <w:ind w:left="283"/>
    </w:pPr>
  </w:style>
  <w:style w:type="character" w:customStyle="1" w:styleId="BodyTextIndent2Char">
    <w:name w:val="Body Text Indent 2 Char"/>
    <w:basedOn w:val="DefaultParagraphFont"/>
    <w:link w:val="BodyTextIndent2"/>
    <w:uiPriority w:val="99"/>
    <w:semiHidden/>
    <w:rsid w:val="00F9113D"/>
    <w:rPr>
      <w:lang w:val="en-AU"/>
    </w:rPr>
  </w:style>
  <w:style w:type="paragraph" w:styleId="BodyTextIndent3">
    <w:name w:val="Body Text Indent 3"/>
    <w:basedOn w:val="Normal"/>
    <w:link w:val="BodyTextIndent3Char"/>
    <w:uiPriority w:val="99"/>
    <w:semiHidden/>
    <w:rsid w:val="00F9113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9113D"/>
    <w:rPr>
      <w:sz w:val="16"/>
      <w:szCs w:val="16"/>
      <w:lang w:val="en-AU"/>
    </w:rPr>
  </w:style>
  <w:style w:type="character" w:styleId="BookTitle">
    <w:name w:val="Book Title"/>
    <w:basedOn w:val="DefaultParagraphFont"/>
    <w:uiPriority w:val="99"/>
    <w:semiHidden/>
    <w:qFormat/>
    <w:rsid w:val="00F9113D"/>
    <w:rPr>
      <w:b/>
      <w:bCs/>
      <w:smallCaps/>
      <w:spacing w:val="5"/>
      <w:lang w:val="en-AU"/>
    </w:rPr>
  </w:style>
  <w:style w:type="paragraph" w:styleId="Closing">
    <w:name w:val="Closing"/>
    <w:basedOn w:val="Normal"/>
    <w:link w:val="ClosingChar"/>
    <w:uiPriority w:val="99"/>
    <w:semiHidden/>
    <w:rsid w:val="00F9113D"/>
    <w:pPr>
      <w:spacing w:line="240" w:lineRule="auto"/>
      <w:ind w:left="4252"/>
    </w:pPr>
  </w:style>
  <w:style w:type="character" w:customStyle="1" w:styleId="ClosingChar">
    <w:name w:val="Closing Char"/>
    <w:basedOn w:val="DefaultParagraphFont"/>
    <w:link w:val="Closing"/>
    <w:uiPriority w:val="99"/>
    <w:semiHidden/>
    <w:rsid w:val="00F9113D"/>
    <w:rPr>
      <w:lang w:val="en-AU"/>
    </w:rPr>
  </w:style>
  <w:style w:type="table" w:styleId="ColorfulGrid">
    <w:name w:val="Colorful Grid"/>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7F5CF" w:themeFill="accent1" w:themeFillTint="33"/>
    </w:tcPr>
    <w:tblStylePr w:type="firstRow">
      <w:rPr>
        <w:b/>
        <w:bCs/>
      </w:rPr>
      <w:tblPr/>
      <w:tcPr>
        <w:shd w:val="clear" w:color="auto" w:fill="D0EC9F" w:themeFill="accent1" w:themeFillTint="66"/>
      </w:tcPr>
    </w:tblStylePr>
    <w:tblStylePr w:type="lastRow">
      <w:rPr>
        <w:b/>
        <w:bCs/>
        <w:color w:val="000000" w:themeColor="text1"/>
      </w:rPr>
      <w:tblPr/>
      <w:tcPr>
        <w:shd w:val="clear" w:color="auto" w:fill="D0EC9F" w:themeFill="accent1" w:themeFillTint="66"/>
      </w:tcPr>
    </w:tblStylePr>
    <w:tblStylePr w:type="firstCol">
      <w:rPr>
        <w:color w:val="FFFFFF" w:themeColor="background1"/>
      </w:rPr>
      <w:tblPr/>
      <w:tcPr>
        <w:shd w:val="clear" w:color="auto" w:fill="638C1B" w:themeFill="accent1" w:themeFillShade="BF"/>
      </w:tcPr>
    </w:tblStylePr>
    <w:tblStylePr w:type="lastCol">
      <w:rPr>
        <w:color w:val="FFFFFF" w:themeColor="background1"/>
      </w:rPr>
      <w:tblPr/>
      <w:tcPr>
        <w:shd w:val="clear" w:color="auto" w:fill="638C1B" w:themeFill="accent1" w:themeFillShade="BF"/>
      </w:tc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ColorfulGrid-Accent2">
    <w:name w:val="Colorful Grid Accent 2"/>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1FCD7" w:themeFill="accent2" w:themeFillTint="33"/>
    </w:tcPr>
    <w:tblStylePr w:type="firstRow">
      <w:rPr>
        <w:b/>
        <w:bCs/>
      </w:rPr>
      <w:tblPr/>
      <w:tcPr>
        <w:shd w:val="clear" w:color="auto" w:fill="64F9B0" w:themeFill="accent2" w:themeFillTint="66"/>
      </w:tcPr>
    </w:tblStylePr>
    <w:tblStylePr w:type="lastRow">
      <w:rPr>
        <w:b/>
        <w:bCs/>
        <w:color w:val="000000" w:themeColor="text1"/>
      </w:rPr>
      <w:tblPr/>
      <w:tcPr>
        <w:shd w:val="clear" w:color="auto" w:fill="64F9B0" w:themeFill="accent2" w:themeFillTint="66"/>
      </w:tcPr>
    </w:tblStylePr>
    <w:tblStylePr w:type="firstCol">
      <w:rPr>
        <w:color w:val="FFFFFF" w:themeColor="background1"/>
      </w:rPr>
      <w:tblPr/>
      <w:tcPr>
        <w:shd w:val="clear" w:color="auto" w:fill="034F29" w:themeFill="accent2" w:themeFillShade="BF"/>
      </w:tcPr>
    </w:tblStylePr>
    <w:tblStylePr w:type="lastCol">
      <w:rPr>
        <w:color w:val="FFFFFF" w:themeColor="background1"/>
      </w:rPr>
      <w:tblPr/>
      <w:tcPr>
        <w:shd w:val="clear" w:color="auto" w:fill="034F29" w:themeFill="accent2" w:themeFillShade="BF"/>
      </w:tc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ColorfulGrid-Accent3">
    <w:name w:val="Colorful Grid Accent 3"/>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DFF0F9" w:themeFill="accent3" w:themeFillTint="33"/>
    </w:tcPr>
    <w:tblStylePr w:type="firstRow">
      <w:rPr>
        <w:b/>
        <w:bCs/>
      </w:rPr>
      <w:tblPr/>
      <w:tcPr>
        <w:shd w:val="clear" w:color="auto" w:fill="C0E1F4" w:themeFill="accent3" w:themeFillTint="66"/>
      </w:tcPr>
    </w:tblStylePr>
    <w:tblStylePr w:type="lastRow">
      <w:rPr>
        <w:b/>
        <w:bCs/>
        <w:color w:val="000000" w:themeColor="text1"/>
      </w:rPr>
      <w:tblPr/>
      <w:tcPr>
        <w:shd w:val="clear" w:color="auto" w:fill="C0E1F4" w:themeFill="accent3" w:themeFillTint="66"/>
      </w:tcPr>
    </w:tblStylePr>
    <w:tblStylePr w:type="firstCol">
      <w:rPr>
        <w:color w:val="FFFFFF" w:themeColor="background1"/>
      </w:rPr>
      <w:tblPr/>
      <w:tcPr>
        <w:shd w:val="clear" w:color="auto" w:fill="2291D1" w:themeFill="accent3" w:themeFillShade="BF"/>
      </w:tcPr>
    </w:tblStylePr>
    <w:tblStylePr w:type="lastCol">
      <w:rPr>
        <w:color w:val="FFFFFF" w:themeColor="background1"/>
      </w:rPr>
      <w:tblPr/>
      <w:tcPr>
        <w:shd w:val="clear" w:color="auto" w:fill="2291D1" w:themeFill="accent3" w:themeFillShade="BF"/>
      </w:tc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ColorfulGrid-Accent4">
    <w:name w:val="Colorful Grid Accent 4"/>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AEC7FE" w:themeFill="accent4" w:themeFillTint="33"/>
    </w:tcPr>
    <w:tblStylePr w:type="firstRow">
      <w:rPr>
        <w:b/>
        <w:bCs/>
      </w:rPr>
      <w:tblPr/>
      <w:tcPr>
        <w:shd w:val="clear" w:color="auto" w:fill="5E8FFD" w:themeFill="accent4" w:themeFillTint="66"/>
      </w:tcPr>
    </w:tblStylePr>
    <w:tblStylePr w:type="lastRow">
      <w:rPr>
        <w:b/>
        <w:bCs/>
        <w:color w:val="000000" w:themeColor="text1"/>
      </w:rPr>
      <w:tblPr/>
      <w:tcPr>
        <w:shd w:val="clear" w:color="auto" w:fill="5E8FFD" w:themeFill="accent4" w:themeFillTint="66"/>
      </w:tcPr>
    </w:tblStylePr>
    <w:tblStylePr w:type="firstCol">
      <w:rPr>
        <w:color w:val="FFFFFF" w:themeColor="background1"/>
      </w:rPr>
      <w:tblPr/>
      <w:tcPr>
        <w:shd w:val="clear" w:color="auto" w:fill="00184E" w:themeFill="accent4" w:themeFillShade="BF"/>
      </w:tcPr>
    </w:tblStylePr>
    <w:tblStylePr w:type="lastCol">
      <w:rPr>
        <w:color w:val="FFFFFF" w:themeColor="background1"/>
      </w:rPr>
      <w:tblPr/>
      <w:tcPr>
        <w:shd w:val="clear" w:color="auto" w:fill="00184E" w:themeFill="accent4" w:themeFillShade="BF"/>
      </w:tc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ColorfulGrid-Accent5">
    <w:name w:val="Colorful Grid Accent 5"/>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BAF7FF" w:themeFill="accent5" w:themeFillTint="33"/>
    </w:tcPr>
    <w:tblStylePr w:type="firstRow">
      <w:rPr>
        <w:b/>
        <w:bCs/>
      </w:rPr>
      <w:tblPr/>
      <w:tcPr>
        <w:shd w:val="clear" w:color="auto" w:fill="76EFFF" w:themeFill="accent5" w:themeFillTint="66"/>
      </w:tcPr>
    </w:tblStylePr>
    <w:tblStylePr w:type="lastRow">
      <w:rPr>
        <w:b/>
        <w:bCs/>
        <w:color w:val="000000" w:themeColor="text1"/>
      </w:rPr>
      <w:tblPr/>
      <w:tcPr>
        <w:shd w:val="clear" w:color="auto" w:fill="76EFFF" w:themeFill="accent5" w:themeFillTint="66"/>
      </w:tcPr>
    </w:tblStylePr>
    <w:tblStylePr w:type="firstCol">
      <w:rPr>
        <w:color w:val="FFFFFF" w:themeColor="background1"/>
      </w:rPr>
      <w:tblPr/>
      <w:tcPr>
        <w:shd w:val="clear" w:color="auto" w:fill="00707E" w:themeFill="accent5" w:themeFillShade="BF"/>
      </w:tcPr>
    </w:tblStylePr>
    <w:tblStylePr w:type="lastCol">
      <w:rPr>
        <w:color w:val="FFFFFF" w:themeColor="background1"/>
      </w:rPr>
      <w:tblPr/>
      <w:tcPr>
        <w:shd w:val="clear" w:color="auto" w:fill="00707E" w:themeFill="accent5" w:themeFillShade="BF"/>
      </w:tc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ColorfulGrid-Accent6">
    <w:name w:val="Colorful Grid Accent 6"/>
    <w:basedOn w:val="TableNormal"/>
    <w:uiPriority w:val="73"/>
    <w:rsid w:val="00F9113D"/>
    <w:pPr>
      <w:spacing w:line="240" w:lineRule="auto"/>
    </w:pPr>
    <w:rPr>
      <w:color w:val="000000" w:themeColor="text1"/>
      <w:lang w:val="en-AU"/>
    </w:rPr>
    <w:tblPr>
      <w:tblStyleRowBandSize w:val="1"/>
      <w:tblStyleColBandSize w:val="1"/>
      <w:tblBorders>
        <w:insideH w:val="single" w:sz="4" w:space="0" w:color="FFFFFF" w:themeColor="background1"/>
      </w:tblBorders>
    </w:tblPr>
    <w:tcPr>
      <w:shd w:val="clear" w:color="auto" w:fill="E3E3E4" w:themeFill="accent6" w:themeFillTint="33"/>
    </w:tcPr>
    <w:tblStylePr w:type="firstRow">
      <w:rPr>
        <w:b/>
        <w:bCs/>
      </w:rPr>
      <w:tblPr/>
      <w:tcPr>
        <w:shd w:val="clear" w:color="auto" w:fill="C7C8CA" w:themeFill="accent6" w:themeFillTint="66"/>
      </w:tcPr>
    </w:tblStylePr>
    <w:tblStylePr w:type="lastRow">
      <w:rPr>
        <w:b/>
        <w:bCs/>
        <w:color w:val="000000" w:themeColor="text1"/>
      </w:rPr>
      <w:tblPr/>
      <w:tcPr>
        <w:shd w:val="clear" w:color="auto" w:fill="C7C8CA" w:themeFill="accent6" w:themeFillTint="66"/>
      </w:tcPr>
    </w:tblStylePr>
    <w:tblStylePr w:type="firstCol">
      <w:rPr>
        <w:color w:val="FFFFFF" w:themeColor="background1"/>
      </w:rPr>
      <w:tblPr/>
      <w:tcPr>
        <w:shd w:val="clear" w:color="auto" w:fill="57595C" w:themeFill="accent6" w:themeFillShade="BF"/>
      </w:tcPr>
    </w:tblStylePr>
    <w:tblStylePr w:type="lastCol">
      <w:rPr>
        <w:color w:val="FFFFFF" w:themeColor="background1"/>
      </w:rPr>
      <w:tblPr/>
      <w:tcPr>
        <w:shd w:val="clear" w:color="auto" w:fill="57595C" w:themeFill="accent6" w:themeFillShade="BF"/>
      </w:tc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ColorfulList">
    <w:name w:val="Colorful List"/>
    <w:basedOn w:val="TableNormal"/>
    <w:uiPriority w:val="72"/>
    <w:rsid w:val="00F9113D"/>
    <w:pPr>
      <w:spacing w:line="240" w:lineRule="auto"/>
    </w:pPr>
    <w:rPr>
      <w:color w:val="000000" w:themeColor="text1"/>
      <w:lang w:val="en-A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F9113D"/>
    <w:pPr>
      <w:spacing w:line="240" w:lineRule="auto"/>
    </w:pPr>
    <w:rPr>
      <w:color w:val="000000" w:themeColor="text1"/>
      <w:lang w:val="en-AU"/>
    </w:rPr>
    <w:tblPr>
      <w:tblStyleRowBandSize w:val="1"/>
      <w:tblStyleColBandSize w:val="1"/>
    </w:tblPr>
    <w:tcPr>
      <w:shd w:val="clear" w:color="auto" w:fill="F3FAE7" w:themeFill="accent1"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F3C3" w:themeFill="accent1" w:themeFillTint="3F"/>
      </w:tcPr>
    </w:tblStylePr>
    <w:tblStylePr w:type="band1Horz">
      <w:tblPr/>
      <w:tcPr>
        <w:shd w:val="clear" w:color="auto" w:fill="E7F5CF" w:themeFill="accent1" w:themeFillTint="33"/>
      </w:tcPr>
    </w:tblStylePr>
  </w:style>
  <w:style w:type="table" w:styleId="ColorfulList-Accent2">
    <w:name w:val="Colorful List Accent 2"/>
    <w:basedOn w:val="TableNormal"/>
    <w:uiPriority w:val="72"/>
    <w:rsid w:val="00F9113D"/>
    <w:pPr>
      <w:spacing w:line="240" w:lineRule="auto"/>
    </w:pPr>
    <w:rPr>
      <w:color w:val="000000" w:themeColor="text1"/>
      <w:lang w:val="en-AU"/>
    </w:rPr>
    <w:tblPr>
      <w:tblStyleRowBandSize w:val="1"/>
      <w:tblStyleColBandSize w:val="1"/>
    </w:tblPr>
    <w:tcPr>
      <w:shd w:val="clear" w:color="auto" w:fill="D9FDEB" w:themeFill="accent2" w:themeFillTint="19"/>
    </w:tcPr>
    <w:tblStylePr w:type="firstRow">
      <w:rPr>
        <w:b/>
        <w:bCs/>
        <w:color w:val="FFFFFF" w:themeColor="background1"/>
      </w:rPr>
      <w:tblPr/>
      <w:tcPr>
        <w:tcBorders>
          <w:bottom w:val="single" w:sz="12" w:space="0" w:color="FFFFFF" w:themeColor="background1"/>
        </w:tcBorders>
        <w:shd w:val="clear" w:color="auto" w:fill="03542C" w:themeFill="accent2" w:themeFillShade="CC"/>
      </w:tcPr>
    </w:tblStylePr>
    <w:tblStylePr w:type="lastRow">
      <w:rPr>
        <w:b/>
        <w:bCs/>
        <w:color w:val="03542C"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2" w:themeFillTint="3F"/>
      </w:tcPr>
    </w:tblStylePr>
    <w:tblStylePr w:type="band1Horz">
      <w:tblPr/>
      <w:tcPr>
        <w:shd w:val="clear" w:color="auto" w:fill="B1FCD7" w:themeFill="accent2" w:themeFillTint="33"/>
      </w:tcPr>
    </w:tblStylePr>
  </w:style>
  <w:style w:type="table" w:styleId="ColorfulList-Accent3">
    <w:name w:val="Colorful List Accent 3"/>
    <w:basedOn w:val="TableNormal"/>
    <w:uiPriority w:val="72"/>
    <w:rsid w:val="00F9113D"/>
    <w:pPr>
      <w:spacing w:line="240" w:lineRule="auto"/>
    </w:pPr>
    <w:rPr>
      <w:color w:val="000000" w:themeColor="text1"/>
      <w:lang w:val="en-AU"/>
    </w:rPr>
    <w:tblPr>
      <w:tblStyleRowBandSize w:val="1"/>
      <w:tblStyleColBandSize w:val="1"/>
    </w:tblPr>
    <w:tcPr>
      <w:shd w:val="clear" w:color="auto" w:fill="EFF7FC" w:themeFill="accent3" w:themeFillTint="19"/>
    </w:tcPr>
    <w:tblStylePr w:type="firstRow">
      <w:rPr>
        <w:b/>
        <w:bCs/>
        <w:color w:val="FFFFFF" w:themeColor="background1"/>
      </w:rPr>
      <w:tblPr/>
      <w:tcPr>
        <w:tcBorders>
          <w:bottom w:val="single" w:sz="12" w:space="0" w:color="FFFFFF" w:themeColor="background1"/>
        </w:tcBorders>
        <w:shd w:val="clear" w:color="auto" w:fill="001A53" w:themeFill="accent4" w:themeFillShade="CC"/>
      </w:tcPr>
    </w:tblStylePr>
    <w:tblStylePr w:type="lastRow">
      <w:rPr>
        <w:b/>
        <w:bCs/>
        <w:color w:val="001A5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ECF8" w:themeFill="accent3" w:themeFillTint="3F"/>
      </w:tcPr>
    </w:tblStylePr>
    <w:tblStylePr w:type="band1Horz">
      <w:tblPr/>
      <w:tcPr>
        <w:shd w:val="clear" w:color="auto" w:fill="DFF0F9" w:themeFill="accent3" w:themeFillTint="33"/>
      </w:tcPr>
    </w:tblStylePr>
  </w:style>
  <w:style w:type="table" w:styleId="ColorfulList-Accent4">
    <w:name w:val="Colorful List Accent 4"/>
    <w:basedOn w:val="TableNormal"/>
    <w:uiPriority w:val="72"/>
    <w:rsid w:val="00F9113D"/>
    <w:pPr>
      <w:spacing w:line="240" w:lineRule="auto"/>
    </w:pPr>
    <w:rPr>
      <w:color w:val="000000" w:themeColor="text1"/>
      <w:lang w:val="en-AU"/>
    </w:rPr>
    <w:tblPr>
      <w:tblStyleRowBandSize w:val="1"/>
      <w:tblStyleColBandSize w:val="1"/>
    </w:tblPr>
    <w:tcPr>
      <w:shd w:val="clear" w:color="auto" w:fill="D7E3FE" w:themeFill="accent4" w:themeFillTint="19"/>
    </w:tcPr>
    <w:tblStylePr w:type="firstRow">
      <w:rPr>
        <w:b/>
        <w:bCs/>
        <w:color w:val="FFFFFF" w:themeColor="background1"/>
      </w:rPr>
      <w:tblPr/>
      <w:tcPr>
        <w:tcBorders>
          <w:bottom w:val="single" w:sz="12" w:space="0" w:color="FFFFFF" w:themeColor="background1"/>
        </w:tcBorders>
        <w:shd w:val="clear" w:color="auto" w:fill="299ADB" w:themeFill="accent3" w:themeFillShade="CC"/>
      </w:tcPr>
    </w:tblStylePr>
    <w:tblStylePr w:type="lastRow">
      <w:rPr>
        <w:b/>
        <w:bCs/>
        <w:color w:val="299AD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BB9FE" w:themeFill="accent4" w:themeFillTint="3F"/>
      </w:tcPr>
    </w:tblStylePr>
    <w:tblStylePr w:type="band1Horz">
      <w:tblPr/>
      <w:tcPr>
        <w:shd w:val="clear" w:color="auto" w:fill="AEC7FE" w:themeFill="accent4" w:themeFillTint="33"/>
      </w:tcPr>
    </w:tblStylePr>
  </w:style>
  <w:style w:type="table" w:styleId="ColorfulList-Accent5">
    <w:name w:val="Colorful List Accent 5"/>
    <w:basedOn w:val="TableNormal"/>
    <w:uiPriority w:val="72"/>
    <w:rsid w:val="00F9113D"/>
    <w:pPr>
      <w:spacing w:line="240" w:lineRule="auto"/>
    </w:pPr>
    <w:rPr>
      <w:color w:val="000000" w:themeColor="text1"/>
      <w:lang w:val="en-AU"/>
    </w:rPr>
    <w:tblPr>
      <w:tblStyleRowBandSize w:val="1"/>
      <w:tblStyleColBandSize w:val="1"/>
    </w:tblPr>
    <w:tcPr>
      <w:shd w:val="clear" w:color="auto" w:fill="DDFBFF" w:themeFill="accent5" w:themeFillTint="19"/>
    </w:tcPr>
    <w:tblStylePr w:type="firstRow">
      <w:rPr>
        <w:b/>
        <w:bCs/>
        <w:color w:val="FFFFFF" w:themeColor="background1"/>
      </w:rPr>
      <w:tblPr/>
      <w:tcPr>
        <w:tcBorders>
          <w:bottom w:val="single" w:sz="12" w:space="0" w:color="FFFFFF" w:themeColor="background1"/>
        </w:tcBorders>
        <w:shd w:val="clear" w:color="auto" w:fill="5D5F62" w:themeFill="accent6" w:themeFillShade="CC"/>
      </w:tcPr>
    </w:tblStylePr>
    <w:tblStylePr w:type="lastRow">
      <w:rPr>
        <w:b/>
        <w:bCs/>
        <w:color w:val="5D5F62"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F5FF" w:themeFill="accent5" w:themeFillTint="3F"/>
      </w:tcPr>
    </w:tblStylePr>
    <w:tblStylePr w:type="band1Horz">
      <w:tblPr/>
      <w:tcPr>
        <w:shd w:val="clear" w:color="auto" w:fill="BAF7FF" w:themeFill="accent5" w:themeFillTint="33"/>
      </w:tcPr>
    </w:tblStylePr>
  </w:style>
  <w:style w:type="table" w:styleId="ColorfulList-Accent6">
    <w:name w:val="Colorful List Accent 6"/>
    <w:basedOn w:val="TableNormal"/>
    <w:uiPriority w:val="72"/>
    <w:rsid w:val="00F9113D"/>
    <w:pPr>
      <w:spacing w:line="240" w:lineRule="auto"/>
    </w:pPr>
    <w:rPr>
      <w:color w:val="000000" w:themeColor="text1"/>
      <w:lang w:val="en-AU"/>
    </w:rPr>
    <w:tblPr>
      <w:tblStyleRowBandSize w:val="1"/>
      <w:tblStyleColBandSize w:val="1"/>
    </w:tblPr>
    <w:tcPr>
      <w:shd w:val="clear" w:color="auto" w:fill="F1F1F2" w:themeFill="accent6" w:themeFillTint="19"/>
    </w:tcPr>
    <w:tblStylePr w:type="firstRow">
      <w:rPr>
        <w:b/>
        <w:bCs/>
        <w:color w:val="FFFFFF" w:themeColor="background1"/>
      </w:rPr>
      <w:tblPr/>
      <w:tcPr>
        <w:tcBorders>
          <w:bottom w:val="single" w:sz="12" w:space="0" w:color="FFFFFF" w:themeColor="background1"/>
        </w:tcBorders>
        <w:shd w:val="clear" w:color="auto" w:fill="007887" w:themeFill="accent5" w:themeFillShade="CC"/>
      </w:tcPr>
    </w:tblStylePr>
    <w:tblStylePr w:type="lastRow">
      <w:rPr>
        <w:b/>
        <w:bCs/>
        <w:color w:val="007887"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DDE" w:themeFill="accent6" w:themeFillTint="3F"/>
      </w:tcPr>
    </w:tblStylePr>
    <w:tblStylePr w:type="band1Horz">
      <w:tblPr/>
      <w:tcPr>
        <w:shd w:val="clear" w:color="auto" w:fill="E3E3E4" w:themeFill="accent6" w:themeFillTint="33"/>
      </w:tcPr>
    </w:tblStylePr>
  </w:style>
  <w:style w:type="table" w:styleId="ColorfulShading">
    <w:name w:val="Colorful Shading"/>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86BC25" w:themeColor="accent1"/>
        <w:bottom w:val="single" w:sz="4" w:space="0" w:color="86BC25" w:themeColor="accent1"/>
        <w:right w:val="single" w:sz="4" w:space="0" w:color="86BC25" w:themeColor="accent1"/>
        <w:insideH w:val="single" w:sz="4" w:space="0" w:color="FFFFFF" w:themeColor="background1"/>
        <w:insideV w:val="single" w:sz="4" w:space="0" w:color="FFFFFF" w:themeColor="background1"/>
      </w:tblBorders>
    </w:tblPr>
    <w:tcPr>
      <w:shd w:val="clear" w:color="auto" w:fill="F3FAE7" w:themeFill="accent1"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07016" w:themeFill="accent1" w:themeFillShade="99"/>
      </w:tcPr>
    </w:tblStylePr>
    <w:tblStylePr w:type="firstCol">
      <w:rPr>
        <w:color w:val="FFFFFF" w:themeColor="background1"/>
      </w:rPr>
      <w:tblPr/>
      <w:tcPr>
        <w:tcBorders>
          <w:top w:val="nil"/>
          <w:left w:val="nil"/>
          <w:bottom w:val="nil"/>
          <w:right w:val="nil"/>
          <w:insideH w:val="single" w:sz="4" w:space="0" w:color="507016" w:themeColor="accent1" w:themeShade="99"/>
          <w:insideV w:val="nil"/>
        </w:tcBorders>
        <w:shd w:val="clear" w:color="auto" w:fill="507016"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507016" w:themeFill="accent1" w:themeFillShade="99"/>
      </w:tcPr>
    </w:tblStylePr>
    <w:tblStylePr w:type="band1Vert">
      <w:tblPr/>
      <w:tcPr>
        <w:shd w:val="clear" w:color="auto" w:fill="D0EC9F" w:themeFill="accent1" w:themeFillTint="66"/>
      </w:tcPr>
    </w:tblStylePr>
    <w:tblStylePr w:type="band1Horz">
      <w:tblPr/>
      <w:tcPr>
        <w:shd w:val="clear" w:color="auto" w:fill="C5E788"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F9113D"/>
    <w:pPr>
      <w:spacing w:line="240" w:lineRule="auto"/>
    </w:pPr>
    <w:rPr>
      <w:color w:val="000000" w:themeColor="text1"/>
      <w:lang w:val="en-AU"/>
    </w:rPr>
    <w:tblPr>
      <w:tblStyleRowBandSize w:val="1"/>
      <w:tblStyleColBandSize w:val="1"/>
      <w:tblBorders>
        <w:top w:val="single" w:sz="24" w:space="0" w:color="046A38" w:themeColor="accent2"/>
        <w:left w:val="single" w:sz="4" w:space="0" w:color="046A38" w:themeColor="accent2"/>
        <w:bottom w:val="single" w:sz="4" w:space="0" w:color="046A38" w:themeColor="accent2"/>
        <w:right w:val="single" w:sz="4" w:space="0" w:color="046A38" w:themeColor="accent2"/>
        <w:insideH w:val="single" w:sz="4" w:space="0" w:color="FFFFFF" w:themeColor="background1"/>
        <w:insideV w:val="single" w:sz="4" w:space="0" w:color="FFFFFF" w:themeColor="background1"/>
      </w:tblBorders>
    </w:tblPr>
    <w:tcPr>
      <w:shd w:val="clear" w:color="auto" w:fill="D9FDEB" w:themeFill="accent2" w:themeFillTint="19"/>
    </w:tcPr>
    <w:tblStylePr w:type="firstRow">
      <w:rPr>
        <w:b/>
        <w:bCs/>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2" w:themeFillShade="99"/>
      </w:tcPr>
    </w:tblStylePr>
    <w:tblStylePr w:type="firstCol">
      <w:rPr>
        <w:color w:val="FFFFFF" w:themeColor="background1"/>
      </w:rPr>
      <w:tblPr/>
      <w:tcPr>
        <w:tcBorders>
          <w:top w:val="nil"/>
          <w:left w:val="nil"/>
          <w:bottom w:val="nil"/>
          <w:right w:val="nil"/>
          <w:insideH w:val="single" w:sz="4" w:space="0" w:color="023F21" w:themeColor="accent2" w:themeShade="99"/>
          <w:insideV w:val="nil"/>
        </w:tcBorders>
        <w:shd w:val="clear" w:color="auto" w:fill="023F2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2" w:themeFillShade="99"/>
      </w:tcPr>
    </w:tblStylePr>
    <w:tblStylePr w:type="band1Vert">
      <w:tblPr/>
      <w:tcPr>
        <w:shd w:val="clear" w:color="auto" w:fill="64F9B0" w:themeFill="accent2" w:themeFillTint="66"/>
      </w:tcPr>
    </w:tblStylePr>
    <w:tblStylePr w:type="band1Horz">
      <w:tblPr/>
      <w:tcPr>
        <w:shd w:val="clear" w:color="auto" w:fill="3EF79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F9113D"/>
    <w:pPr>
      <w:spacing w:line="240" w:lineRule="auto"/>
    </w:pPr>
    <w:rPr>
      <w:color w:val="000000" w:themeColor="text1"/>
      <w:lang w:val="en-AU"/>
    </w:rPr>
    <w:tblPr>
      <w:tblStyleRowBandSize w:val="1"/>
      <w:tblStyleColBandSize w:val="1"/>
      <w:tblBorders>
        <w:top w:val="single" w:sz="24" w:space="0" w:color="012169" w:themeColor="accent4"/>
        <w:left w:val="single" w:sz="4" w:space="0" w:color="62B5E5" w:themeColor="accent3"/>
        <w:bottom w:val="single" w:sz="4" w:space="0" w:color="62B5E5" w:themeColor="accent3"/>
        <w:right w:val="single" w:sz="4" w:space="0" w:color="62B5E5" w:themeColor="accent3"/>
        <w:insideH w:val="single" w:sz="4" w:space="0" w:color="FFFFFF" w:themeColor="background1"/>
        <w:insideV w:val="single" w:sz="4" w:space="0" w:color="FFFFFF" w:themeColor="background1"/>
      </w:tblBorders>
    </w:tblPr>
    <w:tcPr>
      <w:shd w:val="clear" w:color="auto" w:fill="EFF7FC" w:themeFill="accent3" w:themeFillTint="19"/>
    </w:tcPr>
    <w:tblStylePr w:type="firstRow">
      <w:rPr>
        <w:b/>
        <w:bCs/>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74A8" w:themeFill="accent3" w:themeFillShade="99"/>
      </w:tcPr>
    </w:tblStylePr>
    <w:tblStylePr w:type="firstCol">
      <w:rPr>
        <w:color w:val="FFFFFF" w:themeColor="background1"/>
      </w:rPr>
      <w:tblPr/>
      <w:tcPr>
        <w:tcBorders>
          <w:top w:val="nil"/>
          <w:left w:val="nil"/>
          <w:bottom w:val="nil"/>
          <w:right w:val="nil"/>
          <w:insideH w:val="single" w:sz="4" w:space="0" w:color="1C74A8" w:themeColor="accent3" w:themeShade="99"/>
          <w:insideV w:val="nil"/>
        </w:tcBorders>
        <w:shd w:val="clear" w:color="auto" w:fill="1C74A8"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C74A8" w:themeFill="accent3" w:themeFillShade="99"/>
      </w:tcPr>
    </w:tblStylePr>
    <w:tblStylePr w:type="band1Vert">
      <w:tblPr/>
      <w:tcPr>
        <w:shd w:val="clear" w:color="auto" w:fill="C0E1F4" w:themeFill="accent3" w:themeFillTint="66"/>
      </w:tcPr>
    </w:tblStylePr>
    <w:tblStylePr w:type="band1Horz">
      <w:tblPr/>
      <w:tcPr>
        <w:shd w:val="clear" w:color="auto" w:fill="B0D9F2" w:themeFill="accent3" w:themeFillTint="7F"/>
      </w:tcPr>
    </w:tblStylePr>
  </w:style>
  <w:style w:type="table" w:styleId="ColorfulShading-Accent4">
    <w:name w:val="Colorful Shading Accent 4"/>
    <w:basedOn w:val="TableNormal"/>
    <w:uiPriority w:val="71"/>
    <w:rsid w:val="00F9113D"/>
    <w:pPr>
      <w:spacing w:line="240" w:lineRule="auto"/>
    </w:pPr>
    <w:rPr>
      <w:color w:val="000000" w:themeColor="text1"/>
      <w:lang w:val="en-AU"/>
    </w:rPr>
    <w:tblPr>
      <w:tblStyleRowBandSize w:val="1"/>
      <w:tblStyleColBandSize w:val="1"/>
      <w:tblBorders>
        <w:top w:val="single" w:sz="24" w:space="0" w:color="62B5E5" w:themeColor="accent3"/>
        <w:left w:val="single" w:sz="4" w:space="0" w:color="012169" w:themeColor="accent4"/>
        <w:bottom w:val="single" w:sz="4" w:space="0" w:color="012169" w:themeColor="accent4"/>
        <w:right w:val="single" w:sz="4" w:space="0" w:color="012169" w:themeColor="accent4"/>
        <w:insideH w:val="single" w:sz="4" w:space="0" w:color="FFFFFF" w:themeColor="background1"/>
        <w:insideV w:val="single" w:sz="4" w:space="0" w:color="FFFFFF" w:themeColor="background1"/>
      </w:tblBorders>
    </w:tblPr>
    <w:tcPr>
      <w:shd w:val="clear" w:color="auto" w:fill="D7E3FE" w:themeFill="accent4" w:themeFillTint="19"/>
    </w:tcPr>
    <w:tblStylePr w:type="firstRow">
      <w:rPr>
        <w:b/>
        <w:bCs/>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33E" w:themeFill="accent4" w:themeFillShade="99"/>
      </w:tcPr>
    </w:tblStylePr>
    <w:tblStylePr w:type="firstCol">
      <w:rPr>
        <w:color w:val="FFFFFF" w:themeColor="background1"/>
      </w:rPr>
      <w:tblPr/>
      <w:tcPr>
        <w:tcBorders>
          <w:top w:val="nil"/>
          <w:left w:val="nil"/>
          <w:bottom w:val="nil"/>
          <w:right w:val="nil"/>
          <w:insideH w:val="single" w:sz="4" w:space="0" w:color="00133E" w:themeColor="accent4" w:themeShade="99"/>
          <w:insideV w:val="nil"/>
        </w:tcBorders>
        <w:shd w:val="clear" w:color="auto" w:fill="00133E"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0133E" w:themeFill="accent4" w:themeFillShade="99"/>
      </w:tcPr>
    </w:tblStylePr>
    <w:tblStylePr w:type="band1Vert">
      <w:tblPr/>
      <w:tcPr>
        <w:shd w:val="clear" w:color="auto" w:fill="5E8FFD" w:themeFill="accent4" w:themeFillTint="66"/>
      </w:tcPr>
    </w:tblStylePr>
    <w:tblStylePr w:type="band1Horz">
      <w:tblPr/>
      <w:tcPr>
        <w:shd w:val="clear" w:color="auto" w:fill="3773F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F9113D"/>
    <w:pPr>
      <w:spacing w:line="240" w:lineRule="auto"/>
    </w:pPr>
    <w:rPr>
      <w:color w:val="000000" w:themeColor="text1"/>
      <w:lang w:val="en-AU"/>
    </w:rPr>
    <w:tblPr>
      <w:tblStyleRowBandSize w:val="1"/>
      <w:tblStyleColBandSize w:val="1"/>
      <w:tblBorders>
        <w:top w:val="single" w:sz="24" w:space="0" w:color="75787B" w:themeColor="accent6"/>
        <w:left w:val="single" w:sz="4" w:space="0" w:color="0097A9" w:themeColor="accent5"/>
        <w:bottom w:val="single" w:sz="4" w:space="0" w:color="0097A9" w:themeColor="accent5"/>
        <w:right w:val="single" w:sz="4" w:space="0" w:color="0097A9" w:themeColor="accent5"/>
        <w:insideH w:val="single" w:sz="4" w:space="0" w:color="FFFFFF" w:themeColor="background1"/>
        <w:insideV w:val="single" w:sz="4" w:space="0" w:color="FFFFFF" w:themeColor="background1"/>
      </w:tblBorders>
    </w:tblPr>
    <w:tcPr>
      <w:shd w:val="clear" w:color="auto" w:fill="DDFBFF" w:themeFill="accent5" w:themeFillTint="19"/>
    </w:tcPr>
    <w:tblStylePr w:type="firstRow">
      <w:rPr>
        <w:b/>
        <w:bCs/>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A65" w:themeFill="accent5" w:themeFillShade="99"/>
      </w:tcPr>
    </w:tblStylePr>
    <w:tblStylePr w:type="firstCol">
      <w:rPr>
        <w:color w:val="FFFFFF" w:themeColor="background1"/>
      </w:rPr>
      <w:tblPr/>
      <w:tcPr>
        <w:tcBorders>
          <w:top w:val="nil"/>
          <w:left w:val="nil"/>
          <w:bottom w:val="nil"/>
          <w:right w:val="nil"/>
          <w:insideH w:val="single" w:sz="4" w:space="0" w:color="005A65" w:themeColor="accent5" w:themeShade="99"/>
          <w:insideV w:val="nil"/>
        </w:tcBorders>
        <w:shd w:val="clear" w:color="auto" w:fill="005A65"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5A65" w:themeFill="accent5" w:themeFillShade="99"/>
      </w:tcPr>
    </w:tblStylePr>
    <w:tblStylePr w:type="band1Vert">
      <w:tblPr/>
      <w:tcPr>
        <w:shd w:val="clear" w:color="auto" w:fill="76EFFF" w:themeFill="accent5" w:themeFillTint="66"/>
      </w:tcPr>
    </w:tblStylePr>
    <w:tblStylePr w:type="band1Horz">
      <w:tblPr/>
      <w:tcPr>
        <w:shd w:val="clear" w:color="auto" w:fill="55EC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F9113D"/>
    <w:pPr>
      <w:spacing w:line="240" w:lineRule="auto"/>
    </w:pPr>
    <w:rPr>
      <w:color w:val="000000" w:themeColor="text1"/>
      <w:lang w:val="en-AU"/>
    </w:rPr>
    <w:tblPr>
      <w:tblStyleRowBandSize w:val="1"/>
      <w:tblStyleColBandSize w:val="1"/>
      <w:tblBorders>
        <w:top w:val="single" w:sz="24" w:space="0" w:color="0097A9" w:themeColor="accent5"/>
        <w:left w:val="single" w:sz="4" w:space="0" w:color="75787B" w:themeColor="accent6"/>
        <w:bottom w:val="single" w:sz="4" w:space="0" w:color="75787B" w:themeColor="accent6"/>
        <w:right w:val="single" w:sz="4" w:space="0" w:color="75787B" w:themeColor="accent6"/>
        <w:insideH w:val="single" w:sz="4" w:space="0" w:color="FFFFFF" w:themeColor="background1"/>
        <w:insideV w:val="single" w:sz="4" w:space="0" w:color="FFFFFF" w:themeColor="background1"/>
      </w:tblBorders>
    </w:tblPr>
    <w:tcPr>
      <w:shd w:val="clear" w:color="auto" w:fill="F1F1F2" w:themeFill="accent6" w:themeFillTint="19"/>
    </w:tcPr>
    <w:tblStylePr w:type="firstRow">
      <w:rPr>
        <w:b/>
        <w:bCs/>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4749" w:themeFill="accent6" w:themeFillShade="99"/>
      </w:tcPr>
    </w:tblStylePr>
    <w:tblStylePr w:type="firstCol">
      <w:rPr>
        <w:color w:val="FFFFFF" w:themeColor="background1"/>
      </w:rPr>
      <w:tblPr/>
      <w:tcPr>
        <w:tcBorders>
          <w:top w:val="nil"/>
          <w:left w:val="nil"/>
          <w:bottom w:val="nil"/>
          <w:right w:val="nil"/>
          <w:insideH w:val="single" w:sz="4" w:space="0" w:color="464749" w:themeColor="accent6" w:themeShade="99"/>
          <w:insideV w:val="nil"/>
        </w:tcBorders>
        <w:shd w:val="clear" w:color="auto" w:fill="464749"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64749" w:themeFill="accent6" w:themeFillShade="99"/>
      </w:tcPr>
    </w:tblStylePr>
    <w:tblStylePr w:type="band1Vert">
      <w:tblPr/>
      <w:tcPr>
        <w:shd w:val="clear" w:color="auto" w:fill="C7C8CA" w:themeFill="accent6" w:themeFillTint="66"/>
      </w:tcPr>
    </w:tblStylePr>
    <w:tblStylePr w:type="band1Horz">
      <w:tblPr/>
      <w:tcPr>
        <w:shd w:val="clear" w:color="auto" w:fill="B9BBBD"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F9113D"/>
    <w:rPr>
      <w:sz w:val="16"/>
      <w:szCs w:val="16"/>
      <w:lang w:val="en-AU"/>
    </w:rPr>
  </w:style>
  <w:style w:type="paragraph" w:styleId="CommentText">
    <w:name w:val="annotation text"/>
    <w:basedOn w:val="Normal"/>
    <w:link w:val="CommentTextChar"/>
    <w:uiPriority w:val="99"/>
    <w:semiHidden/>
    <w:rsid w:val="00F9113D"/>
    <w:pPr>
      <w:spacing w:line="240" w:lineRule="auto"/>
    </w:pPr>
    <w:rPr>
      <w:sz w:val="20"/>
      <w:szCs w:val="20"/>
    </w:rPr>
  </w:style>
  <w:style w:type="character" w:customStyle="1" w:styleId="CommentTextChar">
    <w:name w:val="Comment Text Char"/>
    <w:basedOn w:val="DefaultParagraphFont"/>
    <w:link w:val="CommentText"/>
    <w:uiPriority w:val="99"/>
    <w:semiHidden/>
    <w:rsid w:val="00F9113D"/>
    <w:rPr>
      <w:sz w:val="20"/>
      <w:szCs w:val="20"/>
      <w:lang w:val="en-AU"/>
    </w:rPr>
  </w:style>
  <w:style w:type="paragraph" w:styleId="CommentSubject">
    <w:name w:val="annotation subject"/>
    <w:basedOn w:val="CommentText"/>
    <w:next w:val="CommentText"/>
    <w:link w:val="CommentSubjectChar"/>
    <w:uiPriority w:val="99"/>
    <w:semiHidden/>
    <w:rsid w:val="00F9113D"/>
    <w:rPr>
      <w:b/>
      <w:bCs/>
    </w:rPr>
  </w:style>
  <w:style w:type="character" w:customStyle="1" w:styleId="CommentSubjectChar">
    <w:name w:val="Comment Subject Char"/>
    <w:basedOn w:val="CommentTextChar"/>
    <w:link w:val="CommentSubject"/>
    <w:uiPriority w:val="99"/>
    <w:semiHidden/>
    <w:rsid w:val="00F9113D"/>
    <w:rPr>
      <w:b/>
      <w:bCs/>
      <w:sz w:val="20"/>
      <w:szCs w:val="20"/>
      <w:lang w:val="en-AU"/>
    </w:rPr>
  </w:style>
  <w:style w:type="table" w:styleId="DarkList">
    <w:name w:val="Dark List"/>
    <w:basedOn w:val="TableNormal"/>
    <w:uiPriority w:val="70"/>
    <w:rsid w:val="00F9113D"/>
    <w:pPr>
      <w:spacing w:line="240" w:lineRule="auto"/>
    </w:pPr>
    <w:rPr>
      <w:color w:val="FFFFFF" w:themeColor="background1"/>
      <w:lang w:val="en-A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F9113D"/>
    <w:pPr>
      <w:spacing w:line="240" w:lineRule="auto"/>
    </w:pPr>
    <w:rPr>
      <w:color w:val="FFFFFF" w:themeColor="background1"/>
      <w:lang w:val="en-AU"/>
    </w:rPr>
    <w:tblPr>
      <w:tblStyleRowBandSize w:val="1"/>
      <w:tblStyleColBandSize w:val="1"/>
    </w:tblPr>
    <w:tcPr>
      <w:shd w:val="clear" w:color="auto" w:fill="86BC2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25D1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638C1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638C1B" w:themeFill="accent1" w:themeFillShade="BF"/>
      </w:tcPr>
    </w:tblStylePr>
    <w:tblStylePr w:type="band1Vert">
      <w:tblPr/>
      <w:tcPr>
        <w:tcBorders>
          <w:top w:val="nil"/>
          <w:left w:val="nil"/>
          <w:bottom w:val="nil"/>
          <w:right w:val="nil"/>
          <w:insideH w:val="nil"/>
          <w:insideV w:val="nil"/>
        </w:tcBorders>
        <w:shd w:val="clear" w:color="auto" w:fill="638C1B" w:themeFill="accent1" w:themeFillShade="BF"/>
      </w:tcPr>
    </w:tblStylePr>
    <w:tblStylePr w:type="band1Horz">
      <w:tblPr/>
      <w:tcPr>
        <w:tcBorders>
          <w:top w:val="nil"/>
          <w:left w:val="nil"/>
          <w:bottom w:val="nil"/>
          <w:right w:val="nil"/>
          <w:insideH w:val="nil"/>
          <w:insideV w:val="nil"/>
        </w:tcBorders>
        <w:shd w:val="clear" w:color="auto" w:fill="638C1B" w:themeFill="accent1" w:themeFillShade="BF"/>
      </w:tcPr>
    </w:tblStylePr>
  </w:style>
  <w:style w:type="table" w:styleId="DarkList-Accent2">
    <w:name w:val="Dark List Accent 2"/>
    <w:basedOn w:val="TableNormal"/>
    <w:uiPriority w:val="70"/>
    <w:rsid w:val="00F9113D"/>
    <w:pPr>
      <w:spacing w:line="240" w:lineRule="auto"/>
    </w:pPr>
    <w:rPr>
      <w:color w:val="FFFFFF" w:themeColor="background1"/>
      <w:lang w:val="en-AU"/>
    </w:rPr>
    <w:tblPr>
      <w:tblStyleRowBandSize w:val="1"/>
      <w:tblStyleColBandSize w:val="1"/>
    </w:tblPr>
    <w:tcPr>
      <w:shd w:val="clear" w:color="auto" w:fill="046A3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2" w:themeFillShade="BF"/>
      </w:tcPr>
    </w:tblStylePr>
    <w:tblStylePr w:type="band1Vert">
      <w:tblPr/>
      <w:tcPr>
        <w:tcBorders>
          <w:top w:val="nil"/>
          <w:left w:val="nil"/>
          <w:bottom w:val="nil"/>
          <w:right w:val="nil"/>
          <w:insideH w:val="nil"/>
          <w:insideV w:val="nil"/>
        </w:tcBorders>
        <w:shd w:val="clear" w:color="auto" w:fill="034F29" w:themeFill="accent2" w:themeFillShade="BF"/>
      </w:tcPr>
    </w:tblStylePr>
    <w:tblStylePr w:type="band1Horz">
      <w:tblPr/>
      <w:tcPr>
        <w:tcBorders>
          <w:top w:val="nil"/>
          <w:left w:val="nil"/>
          <w:bottom w:val="nil"/>
          <w:right w:val="nil"/>
          <w:insideH w:val="nil"/>
          <w:insideV w:val="nil"/>
        </w:tcBorders>
        <w:shd w:val="clear" w:color="auto" w:fill="034F29" w:themeFill="accent2" w:themeFillShade="BF"/>
      </w:tcPr>
    </w:tblStylePr>
  </w:style>
  <w:style w:type="table" w:styleId="DarkList-Accent3">
    <w:name w:val="Dark List Accent 3"/>
    <w:basedOn w:val="TableNormal"/>
    <w:uiPriority w:val="70"/>
    <w:rsid w:val="00F9113D"/>
    <w:pPr>
      <w:spacing w:line="240" w:lineRule="auto"/>
    </w:pPr>
    <w:rPr>
      <w:color w:val="FFFFFF" w:themeColor="background1"/>
      <w:lang w:val="en-AU"/>
    </w:rPr>
    <w:tblPr>
      <w:tblStyleRowBandSize w:val="1"/>
      <w:tblStyleColBandSize w:val="1"/>
    </w:tblPr>
    <w:tcPr>
      <w:shd w:val="clear" w:color="auto" w:fill="62B5E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608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291D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291D1" w:themeFill="accent3" w:themeFillShade="BF"/>
      </w:tcPr>
    </w:tblStylePr>
    <w:tblStylePr w:type="band1Vert">
      <w:tblPr/>
      <w:tcPr>
        <w:tcBorders>
          <w:top w:val="nil"/>
          <w:left w:val="nil"/>
          <w:bottom w:val="nil"/>
          <w:right w:val="nil"/>
          <w:insideH w:val="nil"/>
          <w:insideV w:val="nil"/>
        </w:tcBorders>
        <w:shd w:val="clear" w:color="auto" w:fill="2291D1" w:themeFill="accent3" w:themeFillShade="BF"/>
      </w:tcPr>
    </w:tblStylePr>
    <w:tblStylePr w:type="band1Horz">
      <w:tblPr/>
      <w:tcPr>
        <w:tcBorders>
          <w:top w:val="nil"/>
          <w:left w:val="nil"/>
          <w:bottom w:val="nil"/>
          <w:right w:val="nil"/>
          <w:insideH w:val="nil"/>
          <w:insideV w:val="nil"/>
        </w:tcBorders>
        <w:shd w:val="clear" w:color="auto" w:fill="2291D1" w:themeFill="accent3" w:themeFillShade="BF"/>
      </w:tcPr>
    </w:tblStylePr>
  </w:style>
  <w:style w:type="table" w:styleId="DarkList-Accent4">
    <w:name w:val="Dark List Accent 4"/>
    <w:basedOn w:val="TableNormal"/>
    <w:uiPriority w:val="70"/>
    <w:rsid w:val="00F9113D"/>
    <w:pPr>
      <w:spacing w:line="240" w:lineRule="auto"/>
    </w:pPr>
    <w:rPr>
      <w:color w:val="FFFFFF" w:themeColor="background1"/>
      <w:lang w:val="en-AU"/>
    </w:rPr>
    <w:tblPr>
      <w:tblStyleRowBandSize w:val="1"/>
      <w:tblStyleColBandSize w:val="1"/>
    </w:tblPr>
    <w:tcPr>
      <w:shd w:val="clear" w:color="auto" w:fill="01216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1034"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0184E"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0184E" w:themeFill="accent4" w:themeFillShade="BF"/>
      </w:tcPr>
    </w:tblStylePr>
    <w:tblStylePr w:type="band1Vert">
      <w:tblPr/>
      <w:tcPr>
        <w:tcBorders>
          <w:top w:val="nil"/>
          <w:left w:val="nil"/>
          <w:bottom w:val="nil"/>
          <w:right w:val="nil"/>
          <w:insideH w:val="nil"/>
          <w:insideV w:val="nil"/>
        </w:tcBorders>
        <w:shd w:val="clear" w:color="auto" w:fill="00184E" w:themeFill="accent4" w:themeFillShade="BF"/>
      </w:tcPr>
    </w:tblStylePr>
    <w:tblStylePr w:type="band1Horz">
      <w:tblPr/>
      <w:tcPr>
        <w:tcBorders>
          <w:top w:val="nil"/>
          <w:left w:val="nil"/>
          <w:bottom w:val="nil"/>
          <w:right w:val="nil"/>
          <w:insideH w:val="nil"/>
          <w:insideV w:val="nil"/>
        </w:tcBorders>
        <w:shd w:val="clear" w:color="auto" w:fill="00184E" w:themeFill="accent4" w:themeFillShade="BF"/>
      </w:tcPr>
    </w:tblStylePr>
  </w:style>
  <w:style w:type="table" w:styleId="DarkList-Accent5">
    <w:name w:val="Dark List Accent 5"/>
    <w:basedOn w:val="TableNormal"/>
    <w:uiPriority w:val="70"/>
    <w:rsid w:val="00F9113D"/>
    <w:pPr>
      <w:spacing w:line="240" w:lineRule="auto"/>
    </w:pPr>
    <w:rPr>
      <w:color w:val="FFFFFF" w:themeColor="background1"/>
      <w:lang w:val="en-AU"/>
    </w:rPr>
    <w:tblPr>
      <w:tblStyleRowBandSize w:val="1"/>
      <w:tblStyleColBandSize w:val="1"/>
    </w:tblPr>
    <w:tcPr>
      <w:shd w:val="clear" w:color="auto" w:fill="009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4A54"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70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707E" w:themeFill="accent5" w:themeFillShade="BF"/>
      </w:tcPr>
    </w:tblStylePr>
    <w:tblStylePr w:type="band1Vert">
      <w:tblPr/>
      <w:tcPr>
        <w:tcBorders>
          <w:top w:val="nil"/>
          <w:left w:val="nil"/>
          <w:bottom w:val="nil"/>
          <w:right w:val="nil"/>
          <w:insideH w:val="nil"/>
          <w:insideV w:val="nil"/>
        </w:tcBorders>
        <w:shd w:val="clear" w:color="auto" w:fill="00707E" w:themeFill="accent5" w:themeFillShade="BF"/>
      </w:tcPr>
    </w:tblStylePr>
    <w:tblStylePr w:type="band1Horz">
      <w:tblPr/>
      <w:tcPr>
        <w:tcBorders>
          <w:top w:val="nil"/>
          <w:left w:val="nil"/>
          <w:bottom w:val="nil"/>
          <w:right w:val="nil"/>
          <w:insideH w:val="nil"/>
          <w:insideV w:val="nil"/>
        </w:tcBorders>
        <w:shd w:val="clear" w:color="auto" w:fill="00707E" w:themeFill="accent5" w:themeFillShade="BF"/>
      </w:tcPr>
    </w:tblStylePr>
  </w:style>
  <w:style w:type="table" w:styleId="DarkList-Accent6">
    <w:name w:val="Dark List Accent 6"/>
    <w:basedOn w:val="TableNormal"/>
    <w:uiPriority w:val="70"/>
    <w:rsid w:val="00F9113D"/>
    <w:pPr>
      <w:spacing w:line="240" w:lineRule="auto"/>
    </w:pPr>
    <w:rPr>
      <w:color w:val="FFFFFF" w:themeColor="background1"/>
      <w:lang w:val="en-AU"/>
    </w:rPr>
    <w:tblPr>
      <w:tblStyleRowBandSize w:val="1"/>
      <w:tblStyleColBandSize w:val="1"/>
    </w:tblPr>
    <w:tcPr>
      <w:shd w:val="clear" w:color="auto" w:fill="75787B"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3B3D"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7595C"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7595C" w:themeFill="accent6" w:themeFillShade="BF"/>
      </w:tcPr>
    </w:tblStylePr>
    <w:tblStylePr w:type="band1Vert">
      <w:tblPr/>
      <w:tcPr>
        <w:tcBorders>
          <w:top w:val="nil"/>
          <w:left w:val="nil"/>
          <w:bottom w:val="nil"/>
          <w:right w:val="nil"/>
          <w:insideH w:val="nil"/>
          <w:insideV w:val="nil"/>
        </w:tcBorders>
        <w:shd w:val="clear" w:color="auto" w:fill="57595C" w:themeFill="accent6" w:themeFillShade="BF"/>
      </w:tcPr>
    </w:tblStylePr>
    <w:tblStylePr w:type="band1Horz">
      <w:tblPr/>
      <w:tcPr>
        <w:tcBorders>
          <w:top w:val="nil"/>
          <w:left w:val="nil"/>
          <w:bottom w:val="nil"/>
          <w:right w:val="nil"/>
          <w:insideH w:val="nil"/>
          <w:insideV w:val="nil"/>
        </w:tcBorders>
        <w:shd w:val="clear" w:color="auto" w:fill="57595C" w:themeFill="accent6" w:themeFillShade="BF"/>
      </w:tcPr>
    </w:tblStylePr>
  </w:style>
  <w:style w:type="paragraph" w:styleId="Date">
    <w:name w:val="Date"/>
    <w:basedOn w:val="Normal"/>
    <w:next w:val="Normal"/>
    <w:link w:val="DateChar"/>
    <w:uiPriority w:val="99"/>
    <w:semiHidden/>
    <w:rsid w:val="00F9113D"/>
  </w:style>
  <w:style w:type="character" w:customStyle="1" w:styleId="DateChar">
    <w:name w:val="Date Char"/>
    <w:basedOn w:val="DefaultParagraphFont"/>
    <w:link w:val="Date"/>
    <w:uiPriority w:val="99"/>
    <w:semiHidden/>
    <w:rsid w:val="00F9113D"/>
    <w:rPr>
      <w:lang w:val="en-AU"/>
    </w:rPr>
  </w:style>
  <w:style w:type="paragraph" w:styleId="DocumentMap">
    <w:name w:val="Document Map"/>
    <w:basedOn w:val="Normal"/>
    <w:link w:val="DocumentMapChar"/>
    <w:uiPriority w:val="99"/>
    <w:semiHidden/>
    <w:rsid w:val="00F9113D"/>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113D"/>
    <w:rPr>
      <w:rFonts w:ascii="Tahoma" w:hAnsi="Tahoma" w:cs="Tahoma"/>
      <w:sz w:val="16"/>
      <w:szCs w:val="16"/>
      <w:lang w:val="en-AU"/>
    </w:rPr>
  </w:style>
  <w:style w:type="paragraph" w:styleId="E-mailSignature">
    <w:name w:val="E-mail Signature"/>
    <w:basedOn w:val="Normal"/>
    <w:link w:val="E-mailSignatureChar"/>
    <w:uiPriority w:val="99"/>
    <w:semiHidden/>
    <w:rsid w:val="00F9113D"/>
    <w:pPr>
      <w:spacing w:line="240" w:lineRule="auto"/>
    </w:pPr>
  </w:style>
  <w:style w:type="character" w:customStyle="1" w:styleId="E-mailSignatureChar">
    <w:name w:val="E-mail Signature Char"/>
    <w:basedOn w:val="DefaultParagraphFont"/>
    <w:link w:val="E-mailSignature"/>
    <w:uiPriority w:val="99"/>
    <w:semiHidden/>
    <w:rsid w:val="00F9113D"/>
    <w:rPr>
      <w:lang w:val="en-AU"/>
    </w:rPr>
  </w:style>
  <w:style w:type="character" w:styleId="Emphasis">
    <w:name w:val="Emphasis"/>
    <w:basedOn w:val="DefaultParagraphFont"/>
    <w:uiPriority w:val="20"/>
    <w:rsid w:val="00DF06E9"/>
    <w:rPr>
      <w:b/>
      <w:i w:val="0"/>
      <w:iCs/>
      <w:color w:val="44546A" w:themeColor="text2"/>
      <w:lang w:val="en-AU"/>
    </w:rPr>
  </w:style>
  <w:style w:type="character" w:styleId="EndnoteReference">
    <w:name w:val="endnote reference"/>
    <w:basedOn w:val="DefaultParagraphFont"/>
    <w:uiPriority w:val="99"/>
    <w:semiHidden/>
    <w:rsid w:val="00F9113D"/>
    <w:rPr>
      <w:vertAlign w:val="superscript"/>
      <w:lang w:val="en-AU"/>
    </w:rPr>
  </w:style>
  <w:style w:type="paragraph" w:styleId="EndnoteText">
    <w:name w:val="endnote text"/>
    <w:basedOn w:val="Normal"/>
    <w:link w:val="EndnoteTextChar"/>
    <w:uiPriority w:val="99"/>
    <w:semiHidden/>
    <w:rsid w:val="00F9113D"/>
    <w:pPr>
      <w:spacing w:line="240" w:lineRule="auto"/>
    </w:pPr>
    <w:rPr>
      <w:sz w:val="20"/>
      <w:szCs w:val="20"/>
    </w:rPr>
  </w:style>
  <w:style w:type="character" w:customStyle="1" w:styleId="EndnoteTextChar">
    <w:name w:val="Endnote Text Char"/>
    <w:basedOn w:val="DefaultParagraphFont"/>
    <w:link w:val="EndnoteText"/>
    <w:uiPriority w:val="99"/>
    <w:semiHidden/>
    <w:rsid w:val="00F9113D"/>
    <w:rPr>
      <w:sz w:val="20"/>
      <w:szCs w:val="20"/>
      <w:lang w:val="en-AU"/>
    </w:rPr>
  </w:style>
  <w:style w:type="paragraph" w:styleId="EnvelopeAddress">
    <w:name w:val="envelope address"/>
    <w:basedOn w:val="Normal"/>
    <w:uiPriority w:val="99"/>
    <w:semiHidden/>
    <w:rsid w:val="00F9113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F9113D"/>
    <w:pPr>
      <w:spacing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rsid w:val="00F9113D"/>
    <w:rPr>
      <w:color w:val="53565A"/>
      <w:u w:val="single"/>
      <w:lang w:val="en-AU"/>
    </w:rPr>
  </w:style>
  <w:style w:type="character" w:customStyle="1" w:styleId="Heading5Char">
    <w:name w:val="Heading 5 Char"/>
    <w:basedOn w:val="DefaultParagraphFont"/>
    <w:link w:val="Heading5"/>
    <w:uiPriority w:val="1"/>
    <w:rsid w:val="00C50447"/>
    <w:rPr>
      <w:rFonts w:eastAsiaTheme="majorEastAsia" w:cstheme="majorBidi"/>
      <w:b/>
      <w:lang w:val="en-AU"/>
    </w:rPr>
  </w:style>
  <w:style w:type="character" w:customStyle="1" w:styleId="Heading6Char">
    <w:name w:val="Heading 6 Char"/>
    <w:basedOn w:val="DefaultParagraphFont"/>
    <w:link w:val="Heading6"/>
    <w:uiPriority w:val="1"/>
    <w:semiHidden/>
    <w:rsid w:val="00F9113D"/>
    <w:rPr>
      <w:rFonts w:eastAsiaTheme="majorEastAsia" w:cstheme="majorBidi"/>
      <w:b/>
      <w:iCs/>
      <w:lang w:val="en-AU"/>
    </w:rPr>
  </w:style>
  <w:style w:type="character" w:customStyle="1" w:styleId="Heading7Char">
    <w:name w:val="Heading 7 Char"/>
    <w:basedOn w:val="DefaultParagraphFont"/>
    <w:link w:val="Heading7"/>
    <w:uiPriority w:val="1"/>
    <w:semiHidden/>
    <w:rsid w:val="00F9113D"/>
    <w:rPr>
      <w:rFonts w:eastAsiaTheme="majorEastAsia" w:cstheme="majorBidi"/>
      <w:b/>
      <w:iCs/>
      <w:lang w:val="en-AU"/>
    </w:rPr>
  </w:style>
  <w:style w:type="character" w:customStyle="1" w:styleId="Heading8Char">
    <w:name w:val="Heading 8 Char"/>
    <w:basedOn w:val="DefaultParagraphFont"/>
    <w:link w:val="Heading8"/>
    <w:uiPriority w:val="1"/>
    <w:semiHidden/>
    <w:rsid w:val="00F9113D"/>
    <w:rPr>
      <w:rFonts w:eastAsiaTheme="majorEastAsia" w:cstheme="majorBidi"/>
      <w:b/>
      <w:szCs w:val="20"/>
      <w:lang w:val="en-AU"/>
    </w:rPr>
  </w:style>
  <w:style w:type="character" w:customStyle="1" w:styleId="Heading9Char">
    <w:name w:val="Heading 9 Char"/>
    <w:basedOn w:val="DefaultParagraphFont"/>
    <w:link w:val="Heading9"/>
    <w:uiPriority w:val="1"/>
    <w:semiHidden/>
    <w:rsid w:val="00F9113D"/>
    <w:rPr>
      <w:rFonts w:eastAsiaTheme="majorEastAsia" w:cstheme="majorBidi"/>
      <w:b/>
      <w:iCs/>
      <w:szCs w:val="20"/>
      <w:lang w:val="en-AU"/>
    </w:rPr>
  </w:style>
  <w:style w:type="character" w:styleId="HTMLAcronym">
    <w:name w:val="HTML Acronym"/>
    <w:basedOn w:val="DefaultParagraphFont"/>
    <w:uiPriority w:val="99"/>
    <w:semiHidden/>
    <w:rsid w:val="00F9113D"/>
    <w:rPr>
      <w:lang w:val="en-AU"/>
    </w:rPr>
  </w:style>
  <w:style w:type="paragraph" w:styleId="HTMLAddress">
    <w:name w:val="HTML Address"/>
    <w:basedOn w:val="Normal"/>
    <w:link w:val="HTMLAddressChar"/>
    <w:uiPriority w:val="99"/>
    <w:semiHidden/>
    <w:rsid w:val="00F9113D"/>
    <w:pPr>
      <w:spacing w:line="240" w:lineRule="auto"/>
    </w:pPr>
    <w:rPr>
      <w:i/>
      <w:iCs/>
    </w:rPr>
  </w:style>
  <w:style w:type="character" w:customStyle="1" w:styleId="HTMLAddressChar">
    <w:name w:val="HTML Address Char"/>
    <w:basedOn w:val="DefaultParagraphFont"/>
    <w:link w:val="HTMLAddress"/>
    <w:uiPriority w:val="99"/>
    <w:semiHidden/>
    <w:rsid w:val="00F9113D"/>
    <w:rPr>
      <w:i/>
      <w:iCs/>
      <w:lang w:val="en-AU"/>
    </w:rPr>
  </w:style>
  <w:style w:type="character" w:styleId="HTMLCite">
    <w:name w:val="HTML Cite"/>
    <w:basedOn w:val="DefaultParagraphFont"/>
    <w:uiPriority w:val="99"/>
    <w:semiHidden/>
    <w:rsid w:val="00F9113D"/>
    <w:rPr>
      <w:i/>
      <w:iCs/>
      <w:lang w:val="en-AU"/>
    </w:rPr>
  </w:style>
  <w:style w:type="character" w:styleId="HTMLCode">
    <w:name w:val="HTML Code"/>
    <w:basedOn w:val="DefaultParagraphFont"/>
    <w:uiPriority w:val="99"/>
    <w:semiHidden/>
    <w:rsid w:val="00F9113D"/>
    <w:rPr>
      <w:rFonts w:ascii="Consolas" w:hAnsi="Consolas"/>
      <w:sz w:val="20"/>
      <w:szCs w:val="20"/>
      <w:lang w:val="en-AU"/>
    </w:rPr>
  </w:style>
  <w:style w:type="character" w:styleId="HTMLDefinition">
    <w:name w:val="HTML Definition"/>
    <w:basedOn w:val="DefaultParagraphFont"/>
    <w:uiPriority w:val="99"/>
    <w:semiHidden/>
    <w:rsid w:val="00F9113D"/>
    <w:rPr>
      <w:i/>
      <w:iCs/>
      <w:lang w:val="en-AU"/>
    </w:rPr>
  </w:style>
  <w:style w:type="character" w:styleId="HTMLKeyboard">
    <w:name w:val="HTML Keyboard"/>
    <w:basedOn w:val="DefaultParagraphFont"/>
    <w:uiPriority w:val="99"/>
    <w:semiHidden/>
    <w:rsid w:val="00F9113D"/>
    <w:rPr>
      <w:rFonts w:ascii="Consolas" w:hAnsi="Consolas"/>
      <w:sz w:val="20"/>
      <w:szCs w:val="20"/>
      <w:lang w:val="en-AU"/>
    </w:rPr>
  </w:style>
  <w:style w:type="paragraph" w:styleId="HTMLPreformatted">
    <w:name w:val="HTML Preformatted"/>
    <w:basedOn w:val="Normal"/>
    <w:link w:val="HTMLPreformattedChar"/>
    <w:uiPriority w:val="99"/>
    <w:semiHidden/>
    <w:rsid w:val="00F9113D"/>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9113D"/>
    <w:rPr>
      <w:rFonts w:ascii="Consolas" w:hAnsi="Consolas"/>
      <w:sz w:val="20"/>
      <w:szCs w:val="20"/>
      <w:lang w:val="en-AU"/>
    </w:rPr>
  </w:style>
  <w:style w:type="character" w:styleId="HTMLSample">
    <w:name w:val="HTML Sample"/>
    <w:basedOn w:val="DefaultParagraphFont"/>
    <w:uiPriority w:val="99"/>
    <w:semiHidden/>
    <w:rsid w:val="00F9113D"/>
    <w:rPr>
      <w:rFonts w:ascii="Consolas" w:hAnsi="Consolas"/>
      <w:sz w:val="24"/>
      <w:szCs w:val="24"/>
      <w:lang w:val="en-AU"/>
    </w:rPr>
  </w:style>
  <w:style w:type="character" w:styleId="HTMLTypewriter">
    <w:name w:val="HTML Typewriter"/>
    <w:basedOn w:val="DefaultParagraphFont"/>
    <w:uiPriority w:val="99"/>
    <w:semiHidden/>
    <w:rsid w:val="00F9113D"/>
    <w:rPr>
      <w:rFonts w:ascii="Consolas" w:hAnsi="Consolas"/>
      <w:sz w:val="20"/>
      <w:szCs w:val="20"/>
      <w:lang w:val="en-AU"/>
    </w:rPr>
  </w:style>
  <w:style w:type="character" w:styleId="HTMLVariable">
    <w:name w:val="HTML Variable"/>
    <w:basedOn w:val="DefaultParagraphFont"/>
    <w:uiPriority w:val="99"/>
    <w:semiHidden/>
    <w:rsid w:val="00F9113D"/>
    <w:rPr>
      <w:i/>
      <w:iCs/>
      <w:lang w:val="en-AU"/>
    </w:rPr>
  </w:style>
  <w:style w:type="paragraph" w:styleId="Index1">
    <w:name w:val="index 1"/>
    <w:basedOn w:val="Normal"/>
    <w:next w:val="Normal"/>
    <w:autoRedefine/>
    <w:uiPriority w:val="99"/>
    <w:semiHidden/>
    <w:rsid w:val="00F9113D"/>
    <w:pPr>
      <w:spacing w:line="240" w:lineRule="auto"/>
      <w:ind w:left="180" w:hanging="180"/>
    </w:pPr>
  </w:style>
  <w:style w:type="paragraph" w:styleId="Index2">
    <w:name w:val="index 2"/>
    <w:basedOn w:val="Normal"/>
    <w:next w:val="Normal"/>
    <w:autoRedefine/>
    <w:uiPriority w:val="99"/>
    <w:semiHidden/>
    <w:rsid w:val="00F9113D"/>
    <w:pPr>
      <w:spacing w:line="240" w:lineRule="auto"/>
      <w:ind w:left="360" w:hanging="180"/>
    </w:pPr>
  </w:style>
  <w:style w:type="paragraph" w:styleId="Index3">
    <w:name w:val="index 3"/>
    <w:basedOn w:val="Normal"/>
    <w:next w:val="Normal"/>
    <w:autoRedefine/>
    <w:uiPriority w:val="99"/>
    <w:semiHidden/>
    <w:rsid w:val="00F9113D"/>
    <w:pPr>
      <w:spacing w:line="240" w:lineRule="auto"/>
      <w:ind w:left="540" w:hanging="180"/>
    </w:pPr>
  </w:style>
  <w:style w:type="paragraph" w:styleId="Index4">
    <w:name w:val="index 4"/>
    <w:basedOn w:val="Normal"/>
    <w:next w:val="Normal"/>
    <w:autoRedefine/>
    <w:uiPriority w:val="99"/>
    <w:semiHidden/>
    <w:rsid w:val="00F9113D"/>
    <w:pPr>
      <w:spacing w:line="240" w:lineRule="auto"/>
      <w:ind w:left="720" w:hanging="180"/>
    </w:pPr>
  </w:style>
  <w:style w:type="paragraph" w:styleId="Index5">
    <w:name w:val="index 5"/>
    <w:basedOn w:val="Normal"/>
    <w:next w:val="Normal"/>
    <w:autoRedefine/>
    <w:uiPriority w:val="99"/>
    <w:semiHidden/>
    <w:rsid w:val="00F9113D"/>
    <w:pPr>
      <w:spacing w:line="240" w:lineRule="auto"/>
      <w:ind w:left="900" w:hanging="180"/>
    </w:pPr>
  </w:style>
  <w:style w:type="paragraph" w:styleId="Index6">
    <w:name w:val="index 6"/>
    <w:basedOn w:val="Normal"/>
    <w:next w:val="Normal"/>
    <w:autoRedefine/>
    <w:uiPriority w:val="99"/>
    <w:semiHidden/>
    <w:rsid w:val="00F9113D"/>
    <w:pPr>
      <w:spacing w:line="240" w:lineRule="auto"/>
      <w:ind w:left="1080" w:hanging="180"/>
    </w:pPr>
  </w:style>
  <w:style w:type="paragraph" w:styleId="Index7">
    <w:name w:val="index 7"/>
    <w:basedOn w:val="Normal"/>
    <w:next w:val="Normal"/>
    <w:autoRedefine/>
    <w:uiPriority w:val="99"/>
    <w:semiHidden/>
    <w:rsid w:val="00F9113D"/>
    <w:pPr>
      <w:spacing w:line="240" w:lineRule="auto"/>
      <w:ind w:left="1260" w:hanging="180"/>
    </w:pPr>
  </w:style>
  <w:style w:type="paragraph" w:styleId="Index8">
    <w:name w:val="index 8"/>
    <w:basedOn w:val="Normal"/>
    <w:next w:val="Normal"/>
    <w:autoRedefine/>
    <w:uiPriority w:val="99"/>
    <w:semiHidden/>
    <w:rsid w:val="00F9113D"/>
    <w:pPr>
      <w:spacing w:line="240" w:lineRule="auto"/>
      <w:ind w:left="1440" w:hanging="180"/>
    </w:pPr>
  </w:style>
  <w:style w:type="paragraph" w:styleId="Index9">
    <w:name w:val="index 9"/>
    <w:basedOn w:val="Normal"/>
    <w:next w:val="Normal"/>
    <w:autoRedefine/>
    <w:uiPriority w:val="99"/>
    <w:semiHidden/>
    <w:rsid w:val="00F9113D"/>
    <w:pPr>
      <w:spacing w:line="240" w:lineRule="auto"/>
      <w:ind w:left="1620" w:hanging="180"/>
    </w:pPr>
  </w:style>
  <w:style w:type="paragraph" w:styleId="IndexHeading">
    <w:name w:val="index heading"/>
    <w:basedOn w:val="Normal"/>
    <w:next w:val="Index1"/>
    <w:uiPriority w:val="99"/>
    <w:semiHidden/>
    <w:rsid w:val="00F9113D"/>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F9113D"/>
    <w:rPr>
      <w:b/>
      <w:bCs/>
      <w:i/>
      <w:iCs/>
      <w:color w:val="86BC25" w:themeColor="accent1"/>
      <w:lang w:val="en-AU"/>
    </w:rPr>
  </w:style>
  <w:style w:type="paragraph" w:styleId="IntenseQuote">
    <w:name w:val="Intense Quote"/>
    <w:basedOn w:val="Normal"/>
    <w:next w:val="Normal"/>
    <w:link w:val="IntenseQuoteChar"/>
    <w:uiPriority w:val="30"/>
    <w:semiHidden/>
    <w:rsid w:val="00F9113D"/>
    <w:pPr>
      <w:pBdr>
        <w:bottom w:val="single" w:sz="4" w:space="4" w:color="86BC25" w:themeColor="accent1"/>
      </w:pBdr>
      <w:spacing w:before="200" w:after="280"/>
      <w:ind w:left="936" w:right="936"/>
    </w:pPr>
    <w:rPr>
      <w:b/>
      <w:bCs/>
      <w:i/>
      <w:iCs/>
      <w:color w:val="86BC25" w:themeColor="accent1"/>
    </w:rPr>
  </w:style>
  <w:style w:type="character" w:customStyle="1" w:styleId="IntenseQuoteChar">
    <w:name w:val="Intense Quote Char"/>
    <w:basedOn w:val="DefaultParagraphFont"/>
    <w:link w:val="IntenseQuote"/>
    <w:uiPriority w:val="30"/>
    <w:semiHidden/>
    <w:rsid w:val="00F9113D"/>
    <w:rPr>
      <w:b/>
      <w:bCs/>
      <w:i/>
      <w:iCs/>
      <w:color w:val="86BC25" w:themeColor="accent1"/>
      <w:lang w:val="en-AU"/>
    </w:rPr>
  </w:style>
  <w:style w:type="character" w:styleId="IntenseReference">
    <w:name w:val="Intense Reference"/>
    <w:basedOn w:val="DefaultParagraphFont"/>
    <w:uiPriority w:val="99"/>
    <w:semiHidden/>
    <w:qFormat/>
    <w:rsid w:val="00F9113D"/>
    <w:rPr>
      <w:b/>
      <w:bCs/>
      <w:smallCaps/>
      <w:color w:val="046A38" w:themeColor="accent2"/>
      <w:spacing w:val="5"/>
      <w:u w:val="single"/>
      <w:lang w:val="en-AU"/>
    </w:rPr>
  </w:style>
  <w:style w:type="table" w:styleId="LightGrid">
    <w:name w:val="Light Grid"/>
    <w:basedOn w:val="TableNormal"/>
    <w:uiPriority w:val="62"/>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18" w:space="0" w:color="86BC25" w:themeColor="accent1"/>
          <w:right w:val="single" w:sz="8" w:space="0" w:color="86BC25" w:themeColor="accent1"/>
          <w:insideH w:val="nil"/>
          <w:insideV w:val="single" w:sz="8" w:space="0" w:color="86BC2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insideH w:val="nil"/>
          <w:insideV w:val="single" w:sz="8" w:space="0" w:color="86BC2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shd w:val="clear" w:color="auto" w:fill="E2F3C3" w:themeFill="accent1" w:themeFillTint="3F"/>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shd w:val="clear" w:color="auto" w:fill="E2F3C3" w:themeFill="accent1" w:themeFillTint="3F"/>
      </w:tcPr>
    </w:tblStylePr>
    <w:tblStylePr w:type="band2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insideV w:val="single" w:sz="8" w:space="0" w:color="86BC25" w:themeColor="accent1"/>
        </w:tcBorders>
      </w:tcPr>
    </w:tblStylePr>
  </w:style>
  <w:style w:type="table" w:styleId="LightGrid-Accent2">
    <w:name w:val="Light Grid Accent 2"/>
    <w:basedOn w:val="TableNormal"/>
    <w:uiPriority w:val="62"/>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18" w:space="0" w:color="046A38" w:themeColor="accent2"/>
          <w:right w:val="single" w:sz="8" w:space="0" w:color="046A38" w:themeColor="accent2"/>
          <w:insideH w:val="nil"/>
          <w:insideV w:val="single" w:sz="8" w:space="0" w:color="046A3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insideH w:val="nil"/>
          <w:insideV w:val="single" w:sz="8" w:space="0" w:color="046A3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shd w:val="clear" w:color="auto" w:fill="9FFBCE" w:themeFill="accent2" w:themeFillTint="3F"/>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shd w:val="clear" w:color="auto" w:fill="9FFBCE" w:themeFill="accent2" w:themeFillTint="3F"/>
      </w:tcPr>
    </w:tblStylePr>
    <w:tblStylePr w:type="band2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insideV w:val="single" w:sz="8" w:space="0" w:color="046A38" w:themeColor="accent2"/>
        </w:tcBorders>
      </w:tcPr>
    </w:tblStylePr>
  </w:style>
  <w:style w:type="table" w:styleId="LightGrid-Accent3">
    <w:name w:val="Light Grid Accent 3"/>
    <w:basedOn w:val="TableNormal"/>
    <w:uiPriority w:val="62"/>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18" w:space="0" w:color="62B5E5" w:themeColor="accent3"/>
          <w:right w:val="single" w:sz="8" w:space="0" w:color="62B5E5" w:themeColor="accent3"/>
          <w:insideH w:val="nil"/>
          <w:insideV w:val="single" w:sz="8" w:space="0" w:color="62B5E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insideH w:val="nil"/>
          <w:insideV w:val="single" w:sz="8" w:space="0" w:color="62B5E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shd w:val="clear" w:color="auto" w:fill="D8ECF8" w:themeFill="accent3" w:themeFillTint="3F"/>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shd w:val="clear" w:color="auto" w:fill="D8ECF8" w:themeFill="accent3" w:themeFillTint="3F"/>
      </w:tcPr>
    </w:tblStylePr>
    <w:tblStylePr w:type="band2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insideV w:val="single" w:sz="8" w:space="0" w:color="62B5E5" w:themeColor="accent3"/>
        </w:tcBorders>
      </w:tcPr>
    </w:tblStylePr>
  </w:style>
  <w:style w:type="table" w:styleId="LightGrid-Accent4">
    <w:name w:val="Light Grid Accent 4"/>
    <w:basedOn w:val="TableNormal"/>
    <w:uiPriority w:val="62"/>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18" w:space="0" w:color="012169" w:themeColor="accent4"/>
          <w:right w:val="single" w:sz="8" w:space="0" w:color="012169" w:themeColor="accent4"/>
          <w:insideH w:val="nil"/>
          <w:insideV w:val="single" w:sz="8" w:space="0" w:color="01216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insideH w:val="nil"/>
          <w:insideV w:val="single" w:sz="8" w:space="0" w:color="01216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shd w:val="clear" w:color="auto" w:fill="9BB9FE" w:themeFill="accent4" w:themeFillTint="3F"/>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shd w:val="clear" w:color="auto" w:fill="9BB9FE" w:themeFill="accent4" w:themeFillTint="3F"/>
      </w:tcPr>
    </w:tblStylePr>
    <w:tblStylePr w:type="band2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insideV w:val="single" w:sz="8" w:space="0" w:color="012169" w:themeColor="accent4"/>
        </w:tcBorders>
      </w:tcPr>
    </w:tblStylePr>
  </w:style>
  <w:style w:type="table" w:styleId="LightGrid-Accent5">
    <w:name w:val="Light Grid Accent 5"/>
    <w:basedOn w:val="TableNormal"/>
    <w:uiPriority w:val="62"/>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18" w:space="0" w:color="0097A9" w:themeColor="accent5"/>
          <w:right w:val="single" w:sz="8" w:space="0" w:color="0097A9" w:themeColor="accent5"/>
          <w:insideH w:val="nil"/>
          <w:insideV w:val="single" w:sz="8" w:space="0" w:color="0097A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insideH w:val="nil"/>
          <w:insideV w:val="single" w:sz="8" w:space="0" w:color="0097A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shd w:val="clear" w:color="auto" w:fill="AAF5FF" w:themeFill="accent5" w:themeFillTint="3F"/>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shd w:val="clear" w:color="auto" w:fill="AAF5FF" w:themeFill="accent5" w:themeFillTint="3F"/>
      </w:tcPr>
    </w:tblStylePr>
    <w:tblStylePr w:type="band2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insideV w:val="single" w:sz="8" w:space="0" w:color="0097A9" w:themeColor="accent5"/>
        </w:tcBorders>
      </w:tcPr>
    </w:tblStylePr>
  </w:style>
  <w:style w:type="table" w:styleId="LightGrid-Accent6">
    <w:name w:val="Light Grid Accent 6"/>
    <w:basedOn w:val="TableNormal"/>
    <w:uiPriority w:val="62"/>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18" w:space="0" w:color="75787B" w:themeColor="accent6"/>
          <w:right w:val="single" w:sz="8" w:space="0" w:color="75787B" w:themeColor="accent6"/>
          <w:insideH w:val="nil"/>
          <w:insideV w:val="single" w:sz="8" w:space="0" w:color="75787B"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insideH w:val="nil"/>
          <w:insideV w:val="single" w:sz="8" w:space="0" w:color="75787B"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shd w:val="clear" w:color="auto" w:fill="DCDDDE" w:themeFill="accent6" w:themeFillTint="3F"/>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shd w:val="clear" w:color="auto" w:fill="DCDDDE" w:themeFill="accent6" w:themeFillTint="3F"/>
      </w:tcPr>
    </w:tblStylePr>
    <w:tblStylePr w:type="band2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insideV w:val="single" w:sz="8" w:space="0" w:color="75787B" w:themeColor="accent6"/>
        </w:tcBorders>
      </w:tcPr>
    </w:tblStylePr>
  </w:style>
  <w:style w:type="table" w:styleId="LightList">
    <w:name w:val="Light List"/>
    <w:basedOn w:val="TableNormal"/>
    <w:uiPriority w:val="61"/>
    <w:rsid w:val="00F9113D"/>
    <w:pPr>
      <w:spacing w:line="240" w:lineRule="auto"/>
    </w:pPr>
    <w:rPr>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9113D"/>
    <w:pPr>
      <w:spacing w:line="240" w:lineRule="auto"/>
    </w:pPr>
    <w:rPr>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pPr>
        <w:spacing w:before="0" w:after="0" w:line="240" w:lineRule="auto"/>
      </w:pPr>
      <w:rPr>
        <w:b/>
        <w:bCs/>
        <w:color w:val="FFFFFF" w:themeColor="background1"/>
      </w:rPr>
      <w:tblPr/>
      <w:tcPr>
        <w:shd w:val="clear" w:color="auto" w:fill="86BC25" w:themeFill="accent1"/>
      </w:tcPr>
    </w:tblStylePr>
    <w:tblStylePr w:type="lastRow">
      <w:pPr>
        <w:spacing w:before="0" w:after="0" w:line="240" w:lineRule="auto"/>
      </w:pPr>
      <w:rPr>
        <w:b/>
        <w:bCs/>
      </w:rPr>
      <w:tblPr/>
      <w:tcPr>
        <w:tcBorders>
          <w:top w:val="double" w:sz="6" w:space="0" w:color="86BC25" w:themeColor="accent1"/>
          <w:left w:val="single" w:sz="8" w:space="0" w:color="86BC25" w:themeColor="accent1"/>
          <w:bottom w:val="single" w:sz="8" w:space="0" w:color="86BC25" w:themeColor="accent1"/>
          <w:right w:val="single" w:sz="8" w:space="0" w:color="86BC25" w:themeColor="accent1"/>
        </w:tcBorders>
      </w:tcPr>
    </w:tblStylePr>
    <w:tblStylePr w:type="firstCol">
      <w:rPr>
        <w:b/>
        <w:bCs/>
      </w:rPr>
    </w:tblStylePr>
    <w:tblStylePr w:type="lastCol">
      <w:rPr>
        <w:b/>
        <w:bCs/>
      </w:rPr>
    </w:tblStylePr>
    <w:tblStylePr w:type="band1Vert">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tblStylePr w:type="band1Horz">
      <w:tblPr/>
      <w:tcPr>
        <w:tcBorders>
          <w:top w:val="single" w:sz="8" w:space="0" w:color="86BC25" w:themeColor="accent1"/>
          <w:left w:val="single" w:sz="8" w:space="0" w:color="86BC25" w:themeColor="accent1"/>
          <w:bottom w:val="single" w:sz="8" w:space="0" w:color="86BC25" w:themeColor="accent1"/>
          <w:right w:val="single" w:sz="8" w:space="0" w:color="86BC25" w:themeColor="accent1"/>
        </w:tcBorders>
      </w:tcPr>
    </w:tblStylePr>
  </w:style>
  <w:style w:type="table" w:styleId="LightList-Accent2">
    <w:name w:val="Light List Accent 2"/>
    <w:basedOn w:val="TableNormal"/>
    <w:uiPriority w:val="61"/>
    <w:rsid w:val="00F9113D"/>
    <w:pPr>
      <w:spacing w:line="240" w:lineRule="auto"/>
    </w:pPr>
    <w:rPr>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pPr>
        <w:spacing w:before="0" w:after="0" w:line="240" w:lineRule="auto"/>
      </w:pPr>
      <w:rPr>
        <w:b/>
        <w:bCs/>
        <w:color w:val="FFFFFF" w:themeColor="background1"/>
      </w:rPr>
      <w:tblPr/>
      <w:tcPr>
        <w:shd w:val="clear" w:color="auto" w:fill="046A38" w:themeFill="accent2"/>
      </w:tcPr>
    </w:tblStylePr>
    <w:tblStylePr w:type="lastRow">
      <w:pPr>
        <w:spacing w:before="0" w:after="0" w:line="240" w:lineRule="auto"/>
      </w:pPr>
      <w:rPr>
        <w:b/>
        <w:bCs/>
      </w:rPr>
      <w:tblPr/>
      <w:tcPr>
        <w:tcBorders>
          <w:top w:val="double" w:sz="6" w:space="0" w:color="046A38" w:themeColor="accent2"/>
          <w:left w:val="single" w:sz="8" w:space="0" w:color="046A38" w:themeColor="accent2"/>
          <w:bottom w:val="single" w:sz="8" w:space="0" w:color="046A38" w:themeColor="accent2"/>
          <w:right w:val="single" w:sz="8" w:space="0" w:color="046A38" w:themeColor="accent2"/>
        </w:tcBorders>
      </w:tcPr>
    </w:tblStylePr>
    <w:tblStylePr w:type="firstCol">
      <w:rPr>
        <w:b/>
        <w:bCs/>
      </w:rPr>
    </w:tblStylePr>
    <w:tblStylePr w:type="lastCol">
      <w:rPr>
        <w:b/>
        <w:bCs/>
      </w:rPr>
    </w:tblStylePr>
    <w:tblStylePr w:type="band1Vert">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tblStylePr w:type="band1Horz">
      <w:tblPr/>
      <w:tcPr>
        <w:tcBorders>
          <w:top w:val="single" w:sz="8" w:space="0" w:color="046A38" w:themeColor="accent2"/>
          <w:left w:val="single" w:sz="8" w:space="0" w:color="046A38" w:themeColor="accent2"/>
          <w:bottom w:val="single" w:sz="8" w:space="0" w:color="046A38" w:themeColor="accent2"/>
          <w:right w:val="single" w:sz="8" w:space="0" w:color="046A38" w:themeColor="accent2"/>
        </w:tcBorders>
      </w:tcPr>
    </w:tblStylePr>
  </w:style>
  <w:style w:type="table" w:styleId="LightList-Accent3">
    <w:name w:val="Light List Accent 3"/>
    <w:basedOn w:val="TableNormal"/>
    <w:uiPriority w:val="61"/>
    <w:rsid w:val="00F9113D"/>
    <w:pPr>
      <w:spacing w:line="240" w:lineRule="auto"/>
    </w:pPr>
    <w:rPr>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pPr>
        <w:spacing w:before="0" w:after="0" w:line="240" w:lineRule="auto"/>
      </w:pPr>
      <w:rPr>
        <w:b/>
        <w:bCs/>
        <w:color w:val="FFFFFF" w:themeColor="background1"/>
      </w:rPr>
      <w:tblPr/>
      <w:tcPr>
        <w:shd w:val="clear" w:color="auto" w:fill="62B5E5" w:themeFill="accent3"/>
      </w:tcPr>
    </w:tblStylePr>
    <w:tblStylePr w:type="lastRow">
      <w:pPr>
        <w:spacing w:before="0" w:after="0" w:line="240" w:lineRule="auto"/>
      </w:pPr>
      <w:rPr>
        <w:b/>
        <w:bCs/>
      </w:rPr>
      <w:tblPr/>
      <w:tcPr>
        <w:tcBorders>
          <w:top w:val="double" w:sz="6" w:space="0" w:color="62B5E5" w:themeColor="accent3"/>
          <w:left w:val="single" w:sz="8" w:space="0" w:color="62B5E5" w:themeColor="accent3"/>
          <w:bottom w:val="single" w:sz="8" w:space="0" w:color="62B5E5" w:themeColor="accent3"/>
          <w:right w:val="single" w:sz="8" w:space="0" w:color="62B5E5" w:themeColor="accent3"/>
        </w:tcBorders>
      </w:tcPr>
    </w:tblStylePr>
    <w:tblStylePr w:type="firstCol">
      <w:rPr>
        <w:b/>
        <w:bCs/>
      </w:rPr>
    </w:tblStylePr>
    <w:tblStylePr w:type="lastCol">
      <w:rPr>
        <w:b/>
        <w:bCs/>
      </w:rPr>
    </w:tblStylePr>
    <w:tblStylePr w:type="band1Vert">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tblStylePr w:type="band1Horz">
      <w:tblPr/>
      <w:tcPr>
        <w:tcBorders>
          <w:top w:val="single" w:sz="8" w:space="0" w:color="62B5E5" w:themeColor="accent3"/>
          <w:left w:val="single" w:sz="8" w:space="0" w:color="62B5E5" w:themeColor="accent3"/>
          <w:bottom w:val="single" w:sz="8" w:space="0" w:color="62B5E5" w:themeColor="accent3"/>
          <w:right w:val="single" w:sz="8" w:space="0" w:color="62B5E5" w:themeColor="accent3"/>
        </w:tcBorders>
      </w:tcPr>
    </w:tblStylePr>
  </w:style>
  <w:style w:type="table" w:styleId="LightList-Accent4">
    <w:name w:val="Light List Accent 4"/>
    <w:basedOn w:val="TableNormal"/>
    <w:uiPriority w:val="61"/>
    <w:rsid w:val="00F9113D"/>
    <w:pPr>
      <w:spacing w:line="240" w:lineRule="auto"/>
    </w:pPr>
    <w:rPr>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pPr>
        <w:spacing w:before="0" w:after="0" w:line="240" w:lineRule="auto"/>
      </w:pPr>
      <w:rPr>
        <w:b/>
        <w:bCs/>
        <w:color w:val="FFFFFF" w:themeColor="background1"/>
      </w:rPr>
      <w:tblPr/>
      <w:tcPr>
        <w:shd w:val="clear" w:color="auto" w:fill="012169" w:themeFill="accent4"/>
      </w:tcPr>
    </w:tblStylePr>
    <w:tblStylePr w:type="lastRow">
      <w:pPr>
        <w:spacing w:before="0" w:after="0" w:line="240" w:lineRule="auto"/>
      </w:pPr>
      <w:rPr>
        <w:b/>
        <w:bCs/>
      </w:rPr>
      <w:tblPr/>
      <w:tcPr>
        <w:tcBorders>
          <w:top w:val="double" w:sz="6" w:space="0" w:color="012169" w:themeColor="accent4"/>
          <w:left w:val="single" w:sz="8" w:space="0" w:color="012169" w:themeColor="accent4"/>
          <w:bottom w:val="single" w:sz="8" w:space="0" w:color="012169" w:themeColor="accent4"/>
          <w:right w:val="single" w:sz="8" w:space="0" w:color="012169" w:themeColor="accent4"/>
        </w:tcBorders>
      </w:tcPr>
    </w:tblStylePr>
    <w:tblStylePr w:type="firstCol">
      <w:rPr>
        <w:b/>
        <w:bCs/>
      </w:rPr>
    </w:tblStylePr>
    <w:tblStylePr w:type="lastCol">
      <w:rPr>
        <w:b/>
        <w:bCs/>
      </w:rPr>
    </w:tblStylePr>
    <w:tblStylePr w:type="band1Vert">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tblStylePr w:type="band1Horz">
      <w:tblPr/>
      <w:tcPr>
        <w:tcBorders>
          <w:top w:val="single" w:sz="8" w:space="0" w:color="012169" w:themeColor="accent4"/>
          <w:left w:val="single" w:sz="8" w:space="0" w:color="012169" w:themeColor="accent4"/>
          <w:bottom w:val="single" w:sz="8" w:space="0" w:color="012169" w:themeColor="accent4"/>
          <w:right w:val="single" w:sz="8" w:space="0" w:color="012169" w:themeColor="accent4"/>
        </w:tcBorders>
      </w:tcPr>
    </w:tblStylePr>
  </w:style>
  <w:style w:type="table" w:styleId="LightList-Accent5">
    <w:name w:val="Light List Accent 5"/>
    <w:basedOn w:val="TableNormal"/>
    <w:uiPriority w:val="61"/>
    <w:rsid w:val="00F9113D"/>
    <w:pPr>
      <w:spacing w:line="240" w:lineRule="auto"/>
    </w:pPr>
    <w:rPr>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pPr>
        <w:spacing w:before="0" w:after="0" w:line="240" w:lineRule="auto"/>
      </w:pPr>
      <w:rPr>
        <w:b/>
        <w:bCs/>
        <w:color w:val="FFFFFF" w:themeColor="background1"/>
      </w:rPr>
      <w:tblPr/>
      <w:tcPr>
        <w:shd w:val="clear" w:color="auto" w:fill="0097A9" w:themeFill="accent5"/>
      </w:tcPr>
    </w:tblStylePr>
    <w:tblStylePr w:type="lastRow">
      <w:pPr>
        <w:spacing w:before="0" w:after="0" w:line="240" w:lineRule="auto"/>
      </w:pPr>
      <w:rPr>
        <w:b/>
        <w:bCs/>
      </w:rPr>
      <w:tblPr/>
      <w:tcPr>
        <w:tcBorders>
          <w:top w:val="double" w:sz="6" w:space="0" w:color="0097A9" w:themeColor="accent5"/>
          <w:left w:val="single" w:sz="8" w:space="0" w:color="0097A9" w:themeColor="accent5"/>
          <w:bottom w:val="single" w:sz="8" w:space="0" w:color="0097A9" w:themeColor="accent5"/>
          <w:right w:val="single" w:sz="8" w:space="0" w:color="0097A9" w:themeColor="accent5"/>
        </w:tcBorders>
      </w:tcPr>
    </w:tblStylePr>
    <w:tblStylePr w:type="firstCol">
      <w:rPr>
        <w:b/>
        <w:bCs/>
      </w:rPr>
    </w:tblStylePr>
    <w:tblStylePr w:type="lastCol">
      <w:rPr>
        <w:b/>
        <w:bCs/>
      </w:rPr>
    </w:tblStylePr>
    <w:tblStylePr w:type="band1Vert">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tblStylePr w:type="band1Horz">
      <w:tblPr/>
      <w:tcPr>
        <w:tcBorders>
          <w:top w:val="single" w:sz="8" w:space="0" w:color="0097A9" w:themeColor="accent5"/>
          <w:left w:val="single" w:sz="8" w:space="0" w:color="0097A9" w:themeColor="accent5"/>
          <w:bottom w:val="single" w:sz="8" w:space="0" w:color="0097A9" w:themeColor="accent5"/>
          <w:right w:val="single" w:sz="8" w:space="0" w:color="0097A9" w:themeColor="accent5"/>
        </w:tcBorders>
      </w:tcPr>
    </w:tblStylePr>
  </w:style>
  <w:style w:type="table" w:styleId="LightList-Accent6">
    <w:name w:val="Light List Accent 6"/>
    <w:basedOn w:val="TableNormal"/>
    <w:uiPriority w:val="61"/>
    <w:rsid w:val="00F9113D"/>
    <w:pPr>
      <w:spacing w:line="240" w:lineRule="auto"/>
    </w:pPr>
    <w:rPr>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pPr>
        <w:spacing w:before="0" w:after="0" w:line="240" w:lineRule="auto"/>
      </w:pPr>
      <w:rPr>
        <w:b/>
        <w:bCs/>
        <w:color w:val="FFFFFF" w:themeColor="background1"/>
      </w:rPr>
      <w:tblPr/>
      <w:tcPr>
        <w:shd w:val="clear" w:color="auto" w:fill="75787B" w:themeFill="accent6"/>
      </w:tcPr>
    </w:tblStylePr>
    <w:tblStylePr w:type="lastRow">
      <w:pPr>
        <w:spacing w:before="0" w:after="0" w:line="240" w:lineRule="auto"/>
      </w:pPr>
      <w:rPr>
        <w:b/>
        <w:bCs/>
      </w:rPr>
      <w:tblPr/>
      <w:tcPr>
        <w:tcBorders>
          <w:top w:val="double" w:sz="6" w:space="0" w:color="75787B" w:themeColor="accent6"/>
          <w:left w:val="single" w:sz="8" w:space="0" w:color="75787B" w:themeColor="accent6"/>
          <w:bottom w:val="single" w:sz="8" w:space="0" w:color="75787B" w:themeColor="accent6"/>
          <w:right w:val="single" w:sz="8" w:space="0" w:color="75787B" w:themeColor="accent6"/>
        </w:tcBorders>
      </w:tcPr>
    </w:tblStylePr>
    <w:tblStylePr w:type="firstCol">
      <w:rPr>
        <w:b/>
        <w:bCs/>
      </w:rPr>
    </w:tblStylePr>
    <w:tblStylePr w:type="lastCol">
      <w:rPr>
        <w:b/>
        <w:bCs/>
      </w:rPr>
    </w:tblStylePr>
    <w:tblStylePr w:type="band1Vert">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tblStylePr w:type="band1Horz">
      <w:tblPr/>
      <w:tcPr>
        <w:tcBorders>
          <w:top w:val="single" w:sz="8" w:space="0" w:color="75787B" w:themeColor="accent6"/>
          <w:left w:val="single" w:sz="8" w:space="0" w:color="75787B" w:themeColor="accent6"/>
          <w:bottom w:val="single" w:sz="8" w:space="0" w:color="75787B" w:themeColor="accent6"/>
          <w:right w:val="single" w:sz="8" w:space="0" w:color="75787B" w:themeColor="accent6"/>
        </w:tcBorders>
      </w:tcPr>
    </w:tblStylePr>
  </w:style>
  <w:style w:type="table" w:styleId="LightShading">
    <w:name w:val="Light Shading"/>
    <w:basedOn w:val="TableNormal"/>
    <w:uiPriority w:val="60"/>
    <w:rsid w:val="00F9113D"/>
    <w:pPr>
      <w:spacing w:line="240" w:lineRule="auto"/>
    </w:pPr>
    <w:rPr>
      <w:color w:val="000000" w:themeColor="text1" w:themeShade="BF"/>
      <w:lang w:val="en-A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9113D"/>
    <w:pPr>
      <w:spacing w:line="240" w:lineRule="auto"/>
    </w:pPr>
    <w:rPr>
      <w:color w:val="638C1B" w:themeColor="accent1" w:themeShade="BF"/>
      <w:lang w:val="en-AU"/>
    </w:rPr>
    <w:tblPr>
      <w:tblStyleRowBandSize w:val="1"/>
      <w:tblStyleColBandSize w:val="1"/>
      <w:tblBorders>
        <w:top w:val="single" w:sz="8" w:space="0" w:color="86BC25" w:themeColor="accent1"/>
        <w:bottom w:val="single" w:sz="8" w:space="0" w:color="86BC25" w:themeColor="accent1"/>
      </w:tblBorders>
    </w:tblPr>
    <w:tblStylePr w:type="fir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lastRow">
      <w:pPr>
        <w:spacing w:before="0" w:after="0" w:line="240" w:lineRule="auto"/>
      </w:pPr>
      <w:rPr>
        <w:b/>
        <w:bCs/>
      </w:rPr>
      <w:tblPr/>
      <w:tcPr>
        <w:tcBorders>
          <w:top w:val="single" w:sz="8" w:space="0" w:color="86BC25" w:themeColor="accent1"/>
          <w:left w:val="nil"/>
          <w:bottom w:val="single" w:sz="8" w:space="0" w:color="86BC2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left w:val="nil"/>
          <w:right w:val="nil"/>
          <w:insideH w:val="nil"/>
          <w:insideV w:val="nil"/>
        </w:tcBorders>
        <w:shd w:val="clear" w:color="auto" w:fill="E2F3C3" w:themeFill="accent1" w:themeFillTint="3F"/>
      </w:tcPr>
    </w:tblStylePr>
  </w:style>
  <w:style w:type="table" w:styleId="LightShading-Accent2">
    <w:name w:val="Light Shading Accent 2"/>
    <w:basedOn w:val="TableNormal"/>
    <w:uiPriority w:val="60"/>
    <w:rsid w:val="00F9113D"/>
    <w:pPr>
      <w:spacing w:line="240" w:lineRule="auto"/>
    </w:pPr>
    <w:rPr>
      <w:color w:val="034F29" w:themeColor="accent2" w:themeShade="BF"/>
      <w:lang w:val="en-AU"/>
    </w:rPr>
    <w:tblPr>
      <w:tblStyleRowBandSize w:val="1"/>
      <w:tblStyleColBandSize w:val="1"/>
      <w:tblBorders>
        <w:top w:val="single" w:sz="8" w:space="0" w:color="046A38" w:themeColor="accent2"/>
        <w:bottom w:val="single" w:sz="8" w:space="0" w:color="046A38" w:themeColor="accent2"/>
      </w:tblBorders>
    </w:tblPr>
    <w:tblStylePr w:type="fir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lastRow">
      <w:pPr>
        <w:spacing w:before="0" w:after="0" w:line="240" w:lineRule="auto"/>
      </w:pPr>
      <w:rPr>
        <w:b/>
        <w:bCs/>
      </w:rPr>
      <w:tblPr/>
      <w:tcPr>
        <w:tcBorders>
          <w:top w:val="single" w:sz="8" w:space="0" w:color="046A38" w:themeColor="accent2"/>
          <w:left w:val="nil"/>
          <w:bottom w:val="single" w:sz="8" w:space="0" w:color="046A3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left w:val="nil"/>
          <w:right w:val="nil"/>
          <w:insideH w:val="nil"/>
          <w:insideV w:val="nil"/>
        </w:tcBorders>
        <w:shd w:val="clear" w:color="auto" w:fill="9FFBCE" w:themeFill="accent2" w:themeFillTint="3F"/>
      </w:tcPr>
    </w:tblStylePr>
  </w:style>
  <w:style w:type="table" w:styleId="LightShading-Accent3">
    <w:name w:val="Light Shading Accent 3"/>
    <w:basedOn w:val="TableNormal"/>
    <w:uiPriority w:val="60"/>
    <w:rsid w:val="00F9113D"/>
    <w:pPr>
      <w:spacing w:line="240" w:lineRule="auto"/>
    </w:pPr>
    <w:rPr>
      <w:color w:val="2291D1" w:themeColor="accent3" w:themeShade="BF"/>
      <w:lang w:val="en-AU"/>
    </w:rPr>
    <w:tblPr>
      <w:tblStyleRowBandSize w:val="1"/>
      <w:tblStyleColBandSize w:val="1"/>
      <w:tblBorders>
        <w:top w:val="single" w:sz="8" w:space="0" w:color="62B5E5" w:themeColor="accent3"/>
        <w:bottom w:val="single" w:sz="8" w:space="0" w:color="62B5E5" w:themeColor="accent3"/>
      </w:tblBorders>
    </w:tblPr>
    <w:tblStylePr w:type="fir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lastRow">
      <w:pPr>
        <w:spacing w:before="0" w:after="0" w:line="240" w:lineRule="auto"/>
      </w:pPr>
      <w:rPr>
        <w:b/>
        <w:bCs/>
      </w:rPr>
      <w:tblPr/>
      <w:tcPr>
        <w:tcBorders>
          <w:top w:val="single" w:sz="8" w:space="0" w:color="62B5E5" w:themeColor="accent3"/>
          <w:left w:val="nil"/>
          <w:bottom w:val="single" w:sz="8" w:space="0" w:color="62B5E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left w:val="nil"/>
          <w:right w:val="nil"/>
          <w:insideH w:val="nil"/>
          <w:insideV w:val="nil"/>
        </w:tcBorders>
        <w:shd w:val="clear" w:color="auto" w:fill="D8ECF8" w:themeFill="accent3" w:themeFillTint="3F"/>
      </w:tcPr>
    </w:tblStylePr>
  </w:style>
  <w:style w:type="table" w:styleId="LightShading-Accent4">
    <w:name w:val="Light Shading Accent 4"/>
    <w:basedOn w:val="TableNormal"/>
    <w:uiPriority w:val="60"/>
    <w:rsid w:val="00F9113D"/>
    <w:pPr>
      <w:spacing w:line="240" w:lineRule="auto"/>
    </w:pPr>
    <w:rPr>
      <w:color w:val="00184E" w:themeColor="accent4" w:themeShade="BF"/>
      <w:lang w:val="en-AU"/>
    </w:rPr>
    <w:tblPr>
      <w:tblStyleRowBandSize w:val="1"/>
      <w:tblStyleColBandSize w:val="1"/>
      <w:tblBorders>
        <w:top w:val="single" w:sz="8" w:space="0" w:color="012169" w:themeColor="accent4"/>
        <w:bottom w:val="single" w:sz="8" w:space="0" w:color="012169" w:themeColor="accent4"/>
      </w:tblBorders>
    </w:tblPr>
    <w:tblStylePr w:type="fir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lastRow">
      <w:pPr>
        <w:spacing w:before="0" w:after="0" w:line="240" w:lineRule="auto"/>
      </w:pPr>
      <w:rPr>
        <w:b/>
        <w:bCs/>
      </w:rPr>
      <w:tblPr/>
      <w:tcPr>
        <w:tcBorders>
          <w:top w:val="single" w:sz="8" w:space="0" w:color="012169" w:themeColor="accent4"/>
          <w:left w:val="nil"/>
          <w:bottom w:val="single" w:sz="8" w:space="0" w:color="01216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left w:val="nil"/>
          <w:right w:val="nil"/>
          <w:insideH w:val="nil"/>
          <w:insideV w:val="nil"/>
        </w:tcBorders>
        <w:shd w:val="clear" w:color="auto" w:fill="9BB9FE" w:themeFill="accent4" w:themeFillTint="3F"/>
      </w:tcPr>
    </w:tblStylePr>
  </w:style>
  <w:style w:type="table" w:styleId="LightShading-Accent5">
    <w:name w:val="Light Shading Accent 5"/>
    <w:basedOn w:val="TableNormal"/>
    <w:uiPriority w:val="60"/>
    <w:rsid w:val="00F9113D"/>
    <w:pPr>
      <w:spacing w:line="240" w:lineRule="auto"/>
    </w:pPr>
    <w:rPr>
      <w:color w:val="00707E" w:themeColor="accent5" w:themeShade="BF"/>
      <w:lang w:val="en-AU"/>
    </w:rPr>
    <w:tblPr>
      <w:tblStyleRowBandSize w:val="1"/>
      <w:tblStyleColBandSize w:val="1"/>
      <w:tblBorders>
        <w:top w:val="single" w:sz="8" w:space="0" w:color="0097A9" w:themeColor="accent5"/>
        <w:bottom w:val="single" w:sz="8" w:space="0" w:color="0097A9" w:themeColor="accent5"/>
      </w:tblBorders>
    </w:tblPr>
    <w:tblStylePr w:type="fir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lastRow">
      <w:pPr>
        <w:spacing w:before="0" w:after="0" w:line="240" w:lineRule="auto"/>
      </w:pPr>
      <w:rPr>
        <w:b/>
        <w:bCs/>
      </w:rPr>
      <w:tblPr/>
      <w:tcPr>
        <w:tcBorders>
          <w:top w:val="single" w:sz="8" w:space="0" w:color="0097A9" w:themeColor="accent5"/>
          <w:left w:val="nil"/>
          <w:bottom w:val="single" w:sz="8" w:space="0" w:color="0097A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left w:val="nil"/>
          <w:right w:val="nil"/>
          <w:insideH w:val="nil"/>
          <w:insideV w:val="nil"/>
        </w:tcBorders>
        <w:shd w:val="clear" w:color="auto" w:fill="AAF5FF" w:themeFill="accent5" w:themeFillTint="3F"/>
      </w:tcPr>
    </w:tblStylePr>
  </w:style>
  <w:style w:type="table" w:styleId="LightShading-Accent6">
    <w:name w:val="Light Shading Accent 6"/>
    <w:basedOn w:val="TableNormal"/>
    <w:uiPriority w:val="60"/>
    <w:rsid w:val="00F9113D"/>
    <w:pPr>
      <w:spacing w:line="240" w:lineRule="auto"/>
    </w:pPr>
    <w:rPr>
      <w:color w:val="57595C" w:themeColor="accent6" w:themeShade="BF"/>
      <w:lang w:val="en-AU"/>
    </w:rPr>
    <w:tblPr>
      <w:tblStyleRowBandSize w:val="1"/>
      <w:tblStyleColBandSize w:val="1"/>
      <w:tblBorders>
        <w:top w:val="single" w:sz="8" w:space="0" w:color="75787B" w:themeColor="accent6"/>
        <w:bottom w:val="single" w:sz="8" w:space="0" w:color="75787B" w:themeColor="accent6"/>
      </w:tblBorders>
    </w:tblPr>
    <w:tblStylePr w:type="fir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lastRow">
      <w:pPr>
        <w:spacing w:before="0" w:after="0" w:line="240" w:lineRule="auto"/>
      </w:pPr>
      <w:rPr>
        <w:b/>
        <w:bCs/>
      </w:rPr>
      <w:tblPr/>
      <w:tcPr>
        <w:tcBorders>
          <w:top w:val="single" w:sz="8" w:space="0" w:color="75787B" w:themeColor="accent6"/>
          <w:left w:val="nil"/>
          <w:bottom w:val="single" w:sz="8" w:space="0" w:color="75787B"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left w:val="nil"/>
          <w:right w:val="nil"/>
          <w:insideH w:val="nil"/>
          <w:insideV w:val="nil"/>
        </w:tcBorders>
        <w:shd w:val="clear" w:color="auto" w:fill="DCDDDE" w:themeFill="accent6" w:themeFillTint="3F"/>
      </w:tcPr>
    </w:tblStylePr>
  </w:style>
  <w:style w:type="character" w:styleId="LineNumber">
    <w:name w:val="line number"/>
    <w:basedOn w:val="DefaultParagraphFont"/>
    <w:uiPriority w:val="99"/>
    <w:semiHidden/>
    <w:rsid w:val="00F9113D"/>
    <w:rPr>
      <w:lang w:val="en-AU"/>
    </w:rPr>
  </w:style>
  <w:style w:type="paragraph" w:styleId="List">
    <w:name w:val="List"/>
    <w:basedOn w:val="Normal"/>
    <w:uiPriority w:val="99"/>
    <w:semiHidden/>
    <w:rsid w:val="00F9113D"/>
    <w:pPr>
      <w:ind w:left="283" w:hanging="283"/>
      <w:contextualSpacing/>
    </w:pPr>
  </w:style>
  <w:style w:type="paragraph" w:styleId="List2">
    <w:name w:val="List 2"/>
    <w:basedOn w:val="Normal"/>
    <w:uiPriority w:val="99"/>
    <w:semiHidden/>
    <w:rsid w:val="00F9113D"/>
    <w:pPr>
      <w:ind w:left="566" w:hanging="283"/>
      <w:contextualSpacing/>
    </w:pPr>
  </w:style>
  <w:style w:type="paragraph" w:styleId="List3">
    <w:name w:val="List 3"/>
    <w:basedOn w:val="Normal"/>
    <w:uiPriority w:val="99"/>
    <w:semiHidden/>
    <w:rsid w:val="00F9113D"/>
    <w:pPr>
      <w:ind w:left="849" w:hanging="283"/>
      <w:contextualSpacing/>
    </w:pPr>
  </w:style>
  <w:style w:type="paragraph" w:styleId="List4">
    <w:name w:val="List 4"/>
    <w:basedOn w:val="Normal"/>
    <w:uiPriority w:val="99"/>
    <w:semiHidden/>
    <w:rsid w:val="00F9113D"/>
    <w:pPr>
      <w:ind w:left="1132" w:hanging="283"/>
      <w:contextualSpacing/>
    </w:pPr>
  </w:style>
  <w:style w:type="paragraph" w:styleId="List5">
    <w:name w:val="List 5"/>
    <w:basedOn w:val="Normal"/>
    <w:uiPriority w:val="99"/>
    <w:semiHidden/>
    <w:rsid w:val="00F9113D"/>
    <w:pPr>
      <w:ind w:left="1415" w:hanging="283"/>
      <w:contextualSpacing/>
    </w:pPr>
  </w:style>
  <w:style w:type="paragraph" w:styleId="ListBullet3">
    <w:name w:val="List Bullet 3"/>
    <w:basedOn w:val="Normal"/>
    <w:uiPriority w:val="3"/>
    <w:rsid w:val="00CC7525"/>
    <w:pPr>
      <w:numPr>
        <w:numId w:val="31"/>
      </w:numPr>
      <w:ind w:left="1020" w:hanging="340"/>
      <w:contextualSpacing/>
    </w:pPr>
  </w:style>
  <w:style w:type="paragraph" w:styleId="ListBullet4">
    <w:name w:val="List Bullet 4"/>
    <w:basedOn w:val="Normal"/>
    <w:uiPriority w:val="99"/>
    <w:semiHidden/>
    <w:rsid w:val="00F9113D"/>
    <w:pPr>
      <w:numPr>
        <w:numId w:val="7"/>
      </w:numPr>
      <w:contextualSpacing/>
    </w:pPr>
  </w:style>
  <w:style w:type="paragraph" w:styleId="ListBullet5">
    <w:name w:val="List Bullet 5"/>
    <w:basedOn w:val="Normal"/>
    <w:uiPriority w:val="99"/>
    <w:semiHidden/>
    <w:rsid w:val="00F9113D"/>
    <w:pPr>
      <w:numPr>
        <w:numId w:val="8"/>
      </w:numPr>
      <w:contextualSpacing/>
    </w:pPr>
  </w:style>
  <w:style w:type="paragraph" w:styleId="ListContinue">
    <w:name w:val="List Continue"/>
    <w:basedOn w:val="Normal"/>
    <w:uiPriority w:val="99"/>
    <w:semiHidden/>
    <w:rsid w:val="00F9113D"/>
    <w:pPr>
      <w:spacing w:after="120"/>
      <w:ind w:left="283"/>
      <w:contextualSpacing/>
    </w:pPr>
  </w:style>
  <w:style w:type="paragraph" w:styleId="ListContinue2">
    <w:name w:val="List Continue 2"/>
    <w:basedOn w:val="Normal"/>
    <w:uiPriority w:val="99"/>
    <w:semiHidden/>
    <w:rsid w:val="00F9113D"/>
    <w:pPr>
      <w:spacing w:after="120"/>
      <w:ind w:left="566"/>
      <w:contextualSpacing/>
    </w:pPr>
  </w:style>
  <w:style w:type="paragraph" w:styleId="ListContinue3">
    <w:name w:val="List Continue 3"/>
    <w:basedOn w:val="Normal"/>
    <w:uiPriority w:val="99"/>
    <w:semiHidden/>
    <w:rsid w:val="00F9113D"/>
    <w:pPr>
      <w:spacing w:after="120"/>
      <w:ind w:left="849"/>
      <w:contextualSpacing/>
    </w:pPr>
  </w:style>
  <w:style w:type="paragraph" w:styleId="ListContinue4">
    <w:name w:val="List Continue 4"/>
    <w:basedOn w:val="Normal"/>
    <w:uiPriority w:val="99"/>
    <w:semiHidden/>
    <w:rsid w:val="00F9113D"/>
    <w:pPr>
      <w:spacing w:after="120"/>
      <w:ind w:left="1132"/>
      <w:contextualSpacing/>
    </w:pPr>
  </w:style>
  <w:style w:type="paragraph" w:styleId="ListContinue5">
    <w:name w:val="List Continue 5"/>
    <w:basedOn w:val="Normal"/>
    <w:uiPriority w:val="99"/>
    <w:semiHidden/>
    <w:rsid w:val="00F9113D"/>
    <w:pPr>
      <w:spacing w:after="120"/>
      <w:ind w:left="1415"/>
      <w:contextualSpacing/>
    </w:pPr>
  </w:style>
  <w:style w:type="paragraph" w:styleId="ListNumber3">
    <w:name w:val="List Number 3"/>
    <w:basedOn w:val="Normal"/>
    <w:uiPriority w:val="99"/>
    <w:semiHidden/>
    <w:rsid w:val="00F9113D"/>
    <w:pPr>
      <w:numPr>
        <w:ilvl w:val="2"/>
        <w:numId w:val="35"/>
      </w:numPr>
      <w:contextualSpacing/>
    </w:pPr>
  </w:style>
  <w:style w:type="paragraph" w:styleId="ListNumber4">
    <w:name w:val="List Number 4"/>
    <w:basedOn w:val="Normal"/>
    <w:uiPriority w:val="99"/>
    <w:semiHidden/>
    <w:rsid w:val="00F9113D"/>
    <w:pPr>
      <w:numPr>
        <w:numId w:val="12"/>
      </w:numPr>
      <w:contextualSpacing/>
    </w:pPr>
  </w:style>
  <w:style w:type="paragraph" w:styleId="ListNumber5">
    <w:name w:val="List Number 5"/>
    <w:basedOn w:val="Normal"/>
    <w:uiPriority w:val="99"/>
    <w:semiHidden/>
    <w:rsid w:val="00F9113D"/>
    <w:pPr>
      <w:numPr>
        <w:numId w:val="13"/>
      </w:numPr>
      <w:contextualSpacing/>
    </w:pPr>
  </w:style>
  <w:style w:type="paragraph" w:styleId="ListParagraph">
    <w:name w:val="List Paragraph"/>
    <w:basedOn w:val="Normal"/>
    <w:uiPriority w:val="99"/>
    <w:semiHidden/>
    <w:qFormat/>
    <w:rsid w:val="00F9113D"/>
    <w:pPr>
      <w:ind w:left="720"/>
      <w:contextualSpacing/>
    </w:pPr>
  </w:style>
  <w:style w:type="paragraph" w:styleId="MacroText">
    <w:name w:val="macro"/>
    <w:link w:val="MacroTextChar"/>
    <w:uiPriority w:val="99"/>
    <w:semiHidden/>
    <w:rsid w:val="00F9113D"/>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lang w:val="en-AU"/>
    </w:rPr>
  </w:style>
  <w:style w:type="character" w:customStyle="1" w:styleId="MacroTextChar">
    <w:name w:val="Macro Text Char"/>
    <w:basedOn w:val="DefaultParagraphFont"/>
    <w:link w:val="MacroText"/>
    <w:uiPriority w:val="99"/>
    <w:semiHidden/>
    <w:rsid w:val="00F9113D"/>
    <w:rPr>
      <w:rFonts w:ascii="Consolas" w:hAnsi="Consolas"/>
      <w:sz w:val="20"/>
      <w:szCs w:val="20"/>
      <w:lang w:val="en-AU"/>
    </w:rPr>
  </w:style>
  <w:style w:type="table" w:styleId="MediumGrid1">
    <w:name w:val="Medium Grid 1"/>
    <w:basedOn w:val="TableNormal"/>
    <w:uiPriority w:val="67"/>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insideV w:val="single" w:sz="8" w:space="0" w:color="A8DB4C" w:themeColor="accent1" w:themeTint="BF"/>
      </w:tblBorders>
    </w:tblPr>
    <w:tcPr>
      <w:shd w:val="clear" w:color="auto" w:fill="E2F3C3" w:themeFill="accent1" w:themeFillTint="3F"/>
    </w:tcPr>
    <w:tblStylePr w:type="firstRow">
      <w:rPr>
        <w:b/>
        <w:bCs/>
      </w:rPr>
    </w:tblStylePr>
    <w:tblStylePr w:type="lastRow">
      <w:rPr>
        <w:b/>
        <w:bCs/>
      </w:rPr>
      <w:tblPr/>
      <w:tcPr>
        <w:tcBorders>
          <w:top w:val="single" w:sz="18" w:space="0" w:color="A8DB4C" w:themeColor="accent1" w:themeTint="BF"/>
        </w:tcBorders>
      </w:tcPr>
    </w:tblStylePr>
    <w:tblStylePr w:type="firstCol">
      <w:rPr>
        <w:b/>
        <w:bCs/>
      </w:rPr>
    </w:tblStylePr>
    <w:tblStylePr w:type="lastCol">
      <w:rPr>
        <w:b/>
        <w:bCs/>
      </w:rPr>
    </w:tblStylePr>
    <w:tblStylePr w:type="band1Vert">
      <w:tblPr/>
      <w:tcPr>
        <w:shd w:val="clear" w:color="auto" w:fill="C5E788" w:themeFill="accent1" w:themeFillTint="7F"/>
      </w:tcPr>
    </w:tblStylePr>
    <w:tblStylePr w:type="band1Horz">
      <w:tblPr/>
      <w:tcPr>
        <w:shd w:val="clear" w:color="auto" w:fill="C5E788" w:themeFill="accent1" w:themeFillTint="7F"/>
      </w:tcPr>
    </w:tblStylePr>
  </w:style>
  <w:style w:type="table" w:styleId="MediumGrid1-Accent2">
    <w:name w:val="Medium Grid 1 Accent 2"/>
    <w:basedOn w:val="TableNormal"/>
    <w:uiPriority w:val="67"/>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insideV w:val="single" w:sz="8" w:space="0" w:color="07CA6B" w:themeColor="accent2" w:themeTint="BF"/>
      </w:tblBorders>
    </w:tblPr>
    <w:tcPr>
      <w:shd w:val="clear" w:color="auto" w:fill="9FFBCE" w:themeFill="accent2" w:themeFillTint="3F"/>
    </w:tcPr>
    <w:tblStylePr w:type="firstRow">
      <w:rPr>
        <w:b/>
        <w:bCs/>
      </w:rPr>
    </w:tblStylePr>
    <w:tblStylePr w:type="lastRow">
      <w:rPr>
        <w:b/>
        <w:bCs/>
      </w:rPr>
      <w:tblPr/>
      <w:tcPr>
        <w:tcBorders>
          <w:top w:val="single" w:sz="18" w:space="0" w:color="07CA6B" w:themeColor="accent2" w:themeTint="BF"/>
        </w:tcBorders>
      </w:tcPr>
    </w:tblStylePr>
    <w:tblStylePr w:type="firstCol">
      <w:rPr>
        <w:b/>
        <w:bCs/>
      </w:rPr>
    </w:tblStylePr>
    <w:tblStylePr w:type="lastCol">
      <w:rPr>
        <w:b/>
        <w:bCs/>
      </w:rPr>
    </w:tblStylePr>
    <w:tblStylePr w:type="band1Vert">
      <w:tblPr/>
      <w:tcPr>
        <w:shd w:val="clear" w:color="auto" w:fill="3EF79D" w:themeFill="accent2" w:themeFillTint="7F"/>
      </w:tcPr>
    </w:tblStylePr>
    <w:tblStylePr w:type="band1Horz">
      <w:tblPr/>
      <w:tcPr>
        <w:shd w:val="clear" w:color="auto" w:fill="3EF79D" w:themeFill="accent2" w:themeFillTint="7F"/>
      </w:tcPr>
    </w:tblStylePr>
  </w:style>
  <w:style w:type="table" w:styleId="MediumGrid1-Accent3">
    <w:name w:val="Medium Grid 1 Accent 3"/>
    <w:basedOn w:val="TableNormal"/>
    <w:uiPriority w:val="67"/>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insideV w:val="single" w:sz="8" w:space="0" w:color="89C7EB" w:themeColor="accent3" w:themeTint="BF"/>
      </w:tblBorders>
    </w:tblPr>
    <w:tcPr>
      <w:shd w:val="clear" w:color="auto" w:fill="D8ECF8" w:themeFill="accent3" w:themeFillTint="3F"/>
    </w:tcPr>
    <w:tblStylePr w:type="firstRow">
      <w:rPr>
        <w:b/>
        <w:bCs/>
      </w:rPr>
    </w:tblStylePr>
    <w:tblStylePr w:type="lastRow">
      <w:rPr>
        <w:b/>
        <w:bCs/>
      </w:rPr>
      <w:tblPr/>
      <w:tcPr>
        <w:tcBorders>
          <w:top w:val="single" w:sz="18" w:space="0" w:color="89C7EB" w:themeColor="accent3" w:themeTint="BF"/>
        </w:tcBorders>
      </w:tcPr>
    </w:tblStylePr>
    <w:tblStylePr w:type="firstCol">
      <w:rPr>
        <w:b/>
        <w:bCs/>
      </w:rPr>
    </w:tblStylePr>
    <w:tblStylePr w:type="lastCol">
      <w:rPr>
        <w:b/>
        <w:bCs/>
      </w:rPr>
    </w:tblStylePr>
    <w:tblStylePr w:type="band1Vert">
      <w:tblPr/>
      <w:tcPr>
        <w:shd w:val="clear" w:color="auto" w:fill="B0D9F2" w:themeFill="accent3" w:themeFillTint="7F"/>
      </w:tcPr>
    </w:tblStylePr>
    <w:tblStylePr w:type="band1Horz">
      <w:tblPr/>
      <w:tcPr>
        <w:shd w:val="clear" w:color="auto" w:fill="B0D9F2" w:themeFill="accent3" w:themeFillTint="7F"/>
      </w:tcPr>
    </w:tblStylePr>
  </w:style>
  <w:style w:type="table" w:styleId="MediumGrid1-Accent4">
    <w:name w:val="Medium Grid 1 Accent 4"/>
    <w:basedOn w:val="TableNormal"/>
    <w:uiPriority w:val="67"/>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insideV w:val="single" w:sz="8" w:space="0" w:color="0240CD" w:themeColor="accent4" w:themeTint="BF"/>
      </w:tblBorders>
    </w:tblPr>
    <w:tcPr>
      <w:shd w:val="clear" w:color="auto" w:fill="9BB9FE" w:themeFill="accent4" w:themeFillTint="3F"/>
    </w:tcPr>
    <w:tblStylePr w:type="firstRow">
      <w:rPr>
        <w:b/>
        <w:bCs/>
      </w:rPr>
    </w:tblStylePr>
    <w:tblStylePr w:type="lastRow">
      <w:rPr>
        <w:b/>
        <w:bCs/>
      </w:rPr>
      <w:tblPr/>
      <w:tcPr>
        <w:tcBorders>
          <w:top w:val="single" w:sz="18" w:space="0" w:color="0240CD" w:themeColor="accent4" w:themeTint="BF"/>
        </w:tcBorders>
      </w:tcPr>
    </w:tblStylePr>
    <w:tblStylePr w:type="firstCol">
      <w:rPr>
        <w:b/>
        <w:bCs/>
      </w:rPr>
    </w:tblStylePr>
    <w:tblStylePr w:type="lastCol">
      <w:rPr>
        <w:b/>
        <w:bCs/>
      </w:rPr>
    </w:tblStylePr>
    <w:tblStylePr w:type="band1Vert">
      <w:tblPr/>
      <w:tcPr>
        <w:shd w:val="clear" w:color="auto" w:fill="3773FD" w:themeFill="accent4" w:themeFillTint="7F"/>
      </w:tcPr>
    </w:tblStylePr>
    <w:tblStylePr w:type="band1Horz">
      <w:tblPr/>
      <w:tcPr>
        <w:shd w:val="clear" w:color="auto" w:fill="3773FD" w:themeFill="accent4" w:themeFillTint="7F"/>
      </w:tcPr>
    </w:tblStylePr>
  </w:style>
  <w:style w:type="table" w:styleId="MediumGrid1-Accent5">
    <w:name w:val="Medium Grid 1 Accent 5"/>
    <w:basedOn w:val="TableNormal"/>
    <w:uiPriority w:val="67"/>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insideV w:val="single" w:sz="8" w:space="0" w:color="00E2FE" w:themeColor="accent5" w:themeTint="BF"/>
      </w:tblBorders>
    </w:tblPr>
    <w:tcPr>
      <w:shd w:val="clear" w:color="auto" w:fill="AAF5FF" w:themeFill="accent5" w:themeFillTint="3F"/>
    </w:tcPr>
    <w:tblStylePr w:type="firstRow">
      <w:rPr>
        <w:b/>
        <w:bCs/>
      </w:rPr>
    </w:tblStylePr>
    <w:tblStylePr w:type="lastRow">
      <w:rPr>
        <w:b/>
        <w:bCs/>
      </w:rPr>
      <w:tblPr/>
      <w:tcPr>
        <w:tcBorders>
          <w:top w:val="single" w:sz="18" w:space="0" w:color="00E2FE" w:themeColor="accent5" w:themeTint="BF"/>
        </w:tcBorders>
      </w:tcPr>
    </w:tblStylePr>
    <w:tblStylePr w:type="firstCol">
      <w:rPr>
        <w:b/>
        <w:bCs/>
      </w:rPr>
    </w:tblStylePr>
    <w:tblStylePr w:type="lastCol">
      <w:rPr>
        <w:b/>
        <w:bCs/>
      </w:rPr>
    </w:tblStylePr>
    <w:tblStylePr w:type="band1Vert">
      <w:tblPr/>
      <w:tcPr>
        <w:shd w:val="clear" w:color="auto" w:fill="55ECFF" w:themeFill="accent5" w:themeFillTint="7F"/>
      </w:tcPr>
    </w:tblStylePr>
    <w:tblStylePr w:type="band1Horz">
      <w:tblPr/>
      <w:tcPr>
        <w:shd w:val="clear" w:color="auto" w:fill="55ECFF" w:themeFill="accent5" w:themeFillTint="7F"/>
      </w:tcPr>
    </w:tblStylePr>
  </w:style>
  <w:style w:type="table" w:styleId="MediumGrid1-Accent6">
    <w:name w:val="Medium Grid 1 Accent 6"/>
    <w:basedOn w:val="TableNormal"/>
    <w:uiPriority w:val="67"/>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insideV w:val="single" w:sz="8" w:space="0" w:color="97999C" w:themeColor="accent6" w:themeTint="BF"/>
      </w:tblBorders>
    </w:tblPr>
    <w:tcPr>
      <w:shd w:val="clear" w:color="auto" w:fill="DCDDDE" w:themeFill="accent6" w:themeFillTint="3F"/>
    </w:tcPr>
    <w:tblStylePr w:type="firstRow">
      <w:rPr>
        <w:b/>
        <w:bCs/>
      </w:rPr>
    </w:tblStylePr>
    <w:tblStylePr w:type="lastRow">
      <w:rPr>
        <w:b/>
        <w:bCs/>
      </w:rPr>
      <w:tblPr/>
      <w:tcPr>
        <w:tcBorders>
          <w:top w:val="single" w:sz="18" w:space="0" w:color="97999C" w:themeColor="accent6" w:themeTint="BF"/>
        </w:tcBorders>
      </w:tcPr>
    </w:tblStylePr>
    <w:tblStylePr w:type="firstCol">
      <w:rPr>
        <w:b/>
        <w:bCs/>
      </w:rPr>
    </w:tblStylePr>
    <w:tblStylePr w:type="lastCol">
      <w:rPr>
        <w:b/>
        <w:bCs/>
      </w:rPr>
    </w:tblStylePr>
    <w:tblStylePr w:type="band1Vert">
      <w:tblPr/>
      <w:tcPr>
        <w:shd w:val="clear" w:color="auto" w:fill="B9BBBD" w:themeFill="accent6" w:themeFillTint="7F"/>
      </w:tcPr>
    </w:tblStylePr>
    <w:tblStylePr w:type="band1Horz">
      <w:tblPr/>
      <w:tcPr>
        <w:shd w:val="clear" w:color="auto" w:fill="B9BBBD" w:themeFill="accent6" w:themeFillTint="7F"/>
      </w:tcPr>
    </w:tblStylePr>
  </w:style>
  <w:style w:type="table" w:styleId="MediumGrid2">
    <w:name w:val="Medium Grid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insideH w:val="single" w:sz="8" w:space="0" w:color="86BC25" w:themeColor="accent1"/>
        <w:insideV w:val="single" w:sz="8" w:space="0" w:color="86BC25" w:themeColor="accent1"/>
      </w:tblBorders>
    </w:tblPr>
    <w:tcPr>
      <w:shd w:val="clear" w:color="auto" w:fill="E2F3C3" w:themeFill="accent1" w:themeFillTint="3F"/>
    </w:tcPr>
    <w:tblStylePr w:type="firstRow">
      <w:rPr>
        <w:b/>
        <w:bCs/>
        <w:color w:val="000000" w:themeColor="text1"/>
      </w:rPr>
      <w:tblPr/>
      <w:tcPr>
        <w:shd w:val="clear" w:color="auto" w:fill="F3FA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7F5CF" w:themeFill="accent1" w:themeFillTint="33"/>
      </w:tcPr>
    </w:tblStylePr>
    <w:tblStylePr w:type="band1Vert">
      <w:tblPr/>
      <w:tcPr>
        <w:shd w:val="clear" w:color="auto" w:fill="C5E788" w:themeFill="accent1" w:themeFillTint="7F"/>
      </w:tcPr>
    </w:tblStylePr>
    <w:tblStylePr w:type="band1Horz">
      <w:tblPr/>
      <w:tcPr>
        <w:tcBorders>
          <w:insideH w:val="single" w:sz="6" w:space="0" w:color="86BC25" w:themeColor="accent1"/>
          <w:insideV w:val="single" w:sz="6" w:space="0" w:color="86BC25" w:themeColor="accent1"/>
        </w:tcBorders>
        <w:shd w:val="clear" w:color="auto" w:fill="C5E788"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insideH w:val="single" w:sz="8" w:space="0" w:color="046A38" w:themeColor="accent2"/>
        <w:insideV w:val="single" w:sz="8" w:space="0" w:color="046A38" w:themeColor="accent2"/>
      </w:tblBorders>
    </w:tblPr>
    <w:tcPr>
      <w:shd w:val="clear" w:color="auto" w:fill="9FFBCE" w:themeFill="accent2" w:themeFillTint="3F"/>
    </w:tcPr>
    <w:tblStylePr w:type="firstRow">
      <w:rPr>
        <w:b/>
        <w:bCs/>
        <w:color w:val="000000" w:themeColor="text1"/>
      </w:rPr>
      <w:tblPr/>
      <w:tcPr>
        <w:shd w:val="clear" w:color="auto" w:fill="D9FDE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2" w:themeFillTint="33"/>
      </w:tcPr>
    </w:tblStylePr>
    <w:tblStylePr w:type="band1Vert">
      <w:tblPr/>
      <w:tcPr>
        <w:shd w:val="clear" w:color="auto" w:fill="3EF79D" w:themeFill="accent2" w:themeFillTint="7F"/>
      </w:tcPr>
    </w:tblStylePr>
    <w:tblStylePr w:type="band1Horz">
      <w:tblPr/>
      <w:tcPr>
        <w:tcBorders>
          <w:insideH w:val="single" w:sz="6" w:space="0" w:color="046A38" w:themeColor="accent2"/>
          <w:insideV w:val="single" w:sz="6" w:space="0" w:color="046A38" w:themeColor="accent2"/>
        </w:tcBorders>
        <w:shd w:val="clear" w:color="auto" w:fill="3EF79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insideH w:val="single" w:sz="8" w:space="0" w:color="62B5E5" w:themeColor="accent3"/>
        <w:insideV w:val="single" w:sz="8" w:space="0" w:color="62B5E5" w:themeColor="accent3"/>
      </w:tblBorders>
    </w:tblPr>
    <w:tcPr>
      <w:shd w:val="clear" w:color="auto" w:fill="D8ECF8" w:themeFill="accent3" w:themeFillTint="3F"/>
    </w:tcPr>
    <w:tblStylePr w:type="firstRow">
      <w:rPr>
        <w:b/>
        <w:bCs/>
        <w:color w:val="000000" w:themeColor="text1"/>
      </w:rPr>
      <w:tblPr/>
      <w:tcPr>
        <w:shd w:val="clear" w:color="auto" w:fill="EFF7F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F0F9" w:themeFill="accent3" w:themeFillTint="33"/>
      </w:tcPr>
    </w:tblStylePr>
    <w:tblStylePr w:type="band1Vert">
      <w:tblPr/>
      <w:tcPr>
        <w:shd w:val="clear" w:color="auto" w:fill="B0D9F2" w:themeFill="accent3" w:themeFillTint="7F"/>
      </w:tcPr>
    </w:tblStylePr>
    <w:tblStylePr w:type="band1Horz">
      <w:tblPr/>
      <w:tcPr>
        <w:tcBorders>
          <w:insideH w:val="single" w:sz="6" w:space="0" w:color="62B5E5" w:themeColor="accent3"/>
          <w:insideV w:val="single" w:sz="6" w:space="0" w:color="62B5E5" w:themeColor="accent3"/>
        </w:tcBorders>
        <w:shd w:val="clear" w:color="auto" w:fill="B0D9F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insideH w:val="single" w:sz="8" w:space="0" w:color="012169" w:themeColor="accent4"/>
        <w:insideV w:val="single" w:sz="8" w:space="0" w:color="012169" w:themeColor="accent4"/>
      </w:tblBorders>
    </w:tblPr>
    <w:tcPr>
      <w:shd w:val="clear" w:color="auto" w:fill="9BB9FE" w:themeFill="accent4" w:themeFillTint="3F"/>
    </w:tcPr>
    <w:tblStylePr w:type="firstRow">
      <w:rPr>
        <w:b/>
        <w:bCs/>
        <w:color w:val="000000" w:themeColor="text1"/>
      </w:rPr>
      <w:tblPr/>
      <w:tcPr>
        <w:shd w:val="clear" w:color="auto" w:fill="D7E3FE"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EC7FE" w:themeFill="accent4" w:themeFillTint="33"/>
      </w:tcPr>
    </w:tblStylePr>
    <w:tblStylePr w:type="band1Vert">
      <w:tblPr/>
      <w:tcPr>
        <w:shd w:val="clear" w:color="auto" w:fill="3773FD" w:themeFill="accent4" w:themeFillTint="7F"/>
      </w:tcPr>
    </w:tblStylePr>
    <w:tblStylePr w:type="band1Horz">
      <w:tblPr/>
      <w:tcPr>
        <w:tcBorders>
          <w:insideH w:val="single" w:sz="6" w:space="0" w:color="012169" w:themeColor="accent4"/>
          <w:insideV w:val="single" w:sz="6" w:space="0" w:color="012169" w:themeColor="accent4"/>
        </w:tcBorders>
        <w:shd w:val="clear" w:color="auto" w:fill="3773F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insideH w:val="single" w:sz="8" w:space="0" w:color="0097A9" w:themeColor="accent5"/>
        <w:insideV w:val="single" w:sz="8" w:space="0" w:color="0097A9" w:themeColor="accent5"/>
      </w:tblBorders>
    </w:tblPr>
    <w:tcPr>
      <w:shd w:val="clear" w:color="auto" w:fill="AAF5FF" w:themeFill="accent5" w:themeFillTint="3F"/>
    </w:tcPr>
    <w:tblStylePr w:type="firstRow">
      <w:rPr>
        <w:b/>
        <w:bCs/>
        <w:color w:val="000000" w:themeColor="text1"/>
      </w:rPr>
      <w:tblPr/>
      <w:tcPr>
        <w:shd w:val="clear" w:color="auto" w:fill="DD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F7FF" w:themeFill="accent5" w:themeFillTint="33"/>
      </w:tcPr>
    </w:tblStylePr>
    <w:tblStylePr w:type="band1Vert">
      <w:tblPr/>
      <w:tcPr>
        <w:shd w:val="clear" w:color="auto" w:fill="55ECFF" w:themeFill="accent5" w:themeFillTint="7F"/>
      </w:tcPr>
    </w:tblStylePr>
    <w:tblStylePr w:type="band1Horz">
      <w:tblPr/>
      <w:tcPr>
        <w:tcBorders>
          <w:insideH w:val="single" w:sz="6" w:space="0" w:color="0097A9" w:themeColor="accent5"/>
          <w:insideV w:val="single" w:sz="6" w:space="0" w:color="0097A9" w:themeColor="accent5"/>
        </w:tcBorders>
        <w:shd w:val="clear" w:color="auto" w:fill="55EC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insideH w:val="single" w:sz="8" w:space="0" w:color="75787B" w:themeColor="accent6"/>
        <w:insideV w:val="single" w:sz="8" w:space="0" w:color="75787B" w:themeColor="accent6"/>
      </w:tblBorders>
    </w:tblPr>
    <w:tcPr>
      <w:shd w:val="clear" w:color="auto" w:fill="DCDDDE" w:themeFill="accent6" w:themeFillTint="3F"/>
    </w:tcPr>
    <w:tblStylePr w:type="firstRow">
      <w:rPr>
        <w:b/>
        <w:bCs/>
        <w:color w:val="000000" w:themeColor="text1"/>
      </w:rPr>
      <w:tblPr/>
      <w:tcPr>
        <w:shd w:val="clear" w:color="auto" w:fill="F1F1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3E4" w:themeFill="accent6" w:themeFillTint="33"/>
      </w:tcPr>
    </w:tblStylePr>
    <w:tblStylePr w:type="band1Vert">
      <w:tblPr/>
      <w:tcPr>
        <w:shd w:val="clear" w:color="auto" w:fill="B9BBBD" w:themeFill="accent6" w:themeFillTint="7F"/>
      </w:tcPr>
    </w:tblStylePr>
    <w:tblStylePr w:type="band1Horz">
      <w:tblPr/>
      <w:tcPr>
        <w:tcBorders>
          <w:insideH w:val="single" w:sz="6" w:space="0" w:color="75787B" w:themeColor="accent6"/>
          <w:insideV w:val="single" w:sz="6" w:space="0" w:color="75787B" w:themeColor="accent6"/>
        </w:tcBorders>
        <w:shd w:val="clear" w:color="auto" w:fill="B9BBBD"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F3C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6BC2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6BC2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6BC2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E788"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E788" w:themeFill="accent1" w:themeFillTint="7F"/>
      </w:tcPr>
    </w:tblStylePr>
  </w:style>
  <w:style w:type="table" w:styleId="MediumGrid3-Accent2">
    <w:name w:val="Medium Grid 3 Accent 2"/>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2" w:themeFillTint="7F"/>
      </w:tcPr>
    </w:tblStylePr>
  </w:style>
  <w:style w:type="table" w:styleId="MediumGrid3-Accent3">
    <w:name w:val="Medium Grid 3 Accent 3"/>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ECF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2B5E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2B5E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2B5E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9F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9F2" w:themeFill="accent3" w:themeFillTint="7F"/>
      </w:tcPr>
    </w:tblStylePr>
  </w:style>
  <w:style w:type="table" w:styleId="MediumGrid3-Accent4">
    <w:name w:val="Medium Grid 3 Accent 4"/>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BB9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1216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1216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1216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773F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773FD" w:themeFill="accent4" w:themeFillTint="7F"/>
      </w:tcPr>
    </w:tblStylePr>
  </w:style>
  <w:style w:type="table" w:styleId="MediumGrid3-Accent5">
    <w:name w:val="Medium Grid 3 Accent 5"/>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F5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7A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7A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7A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5EC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5ECFF" w:themeFill="accent5" w:themeFillTint="7F"/>
      </w:tcPr>
    </w:tblStylePr>
  </w:style>
  <w:style w:type="table" w:styleId="MediumGrid3-Accent6">
    <w:name w:val="Medium Grid 3 Accent 6"/>
    <w:basedOn w:val="TableNormal"/>
    <w:uiPriority w:val="69"/>
    <w:rsid w:val="00F9113D"/>
    <w:pPr>
      <w:spacing w:line="240" w:lineRule="auto"/>
    </w:pPr>
    <w:rPr>
      <w:lang w:val="en-A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DDE"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787B"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787B"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787B"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BB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BBD" w:themeFill="accent6" w:themeFillTint="7F"/>
      </w:tcPr>
    </w:tblStylePr>
  </w:style>
  <w:style w:type="table" w:styleId="MediumList1">
    <w:name w:val="Medium List 1"/>
    <w:basedOn w:val="TableNormal"/>
    <w:uiPriority w:val="65"/>
    <w:rsid w:val="00F9113D"/>
    <w:pPr>
      <w:spacing w:line="240" w:lineRule="auto"/>
    </w:pPr>
    <w:rPr>
      <w:color w:val="000000" w:themeColor="text1"/>
      <w:lang w:val="en-A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F9113D"/>
    <w:pPr>
      <w:spacing w:line="240" w:lineRule="auto"/>
    </w:pPr>
    <w:rPr>
      <w:color w:val="000000" w:themeColor="text1"/>
      <w:lang w:val="en-AU"/>
    </w:rPr>
    <w:tblPr>
      <w:tblStyleRowBandSize w:val="1"/>
      <w:tblStyleColBandSize w:val="1"/>
      <w:tblBorders>
        <w:top w:val="single" w:sz="8" w:space="0" w:color="86BC25" w:themeColor="accent1"/>
        <w:bottom w:val="single" w:sz="8" w:space="0" w:color="86BC25" w:themeColor="accent1"/>
      </w:tblBorders>
    </w:tblPr>
    <w:tblStylePr w:type="firstRow">
      <w:rPr>
        <w:rFonts w:asciiTheme="majorHAnsi" w:eastAsiaTheme="majorEastAsia" w:hAnsiTheme="majorHAnsi" w:cstheme="majorBidi"/>
      </w:rPr>
      <w:tblPr/>
      <w:tcPr>
        <w:tcBorders>
          <w:top w:val="nil"/>
          <w:bottom w:val="single" w:sz="8" w:space="0" w:color="86BC25" w:themeColor="accent1"/>
        </w:tcBorders>
      </w:tcPr>
    </w:tblStylePr>
    <w:tblStylePr w:type="lastRow">
      <w:rPr>
        <w:b/>
        <w:bCs/>
        <w:color w:val="44546A" w:themeColor="text2"/>
      </w:rPr>
      <w:tblPr/>
      <w:tcPr>
        <w:tcBorders>
          <w:top w:val="single" w:sz="8" w:space="0" w:color="86BC25" w:themeColor="accent1"/>
          <w:bottom w:val="single" w:sz="8" w:space="0" w:color="86BC25" w:themeColor="accent1"/>
        </w:tcBorders>
      </w:tcPr>
    </w:tblStylePr>
    <w:tblStylePr w:type="firstCol">
      <w:rPr>
        <w:b/>
        <w:bCs/>
      </w:rPr>
    </w:tblStylePr>
    <w:tblStylePr w:type="lastCol">
      <w:rPr>
        <w:b/>
        <w:bCs/>
      </w:rPr>
      <w:tblPr/>
      <w:tcPr>
        <w:tcBorders>
          <w:top w:val="single" w:sz="8" w:space="0" w:color="86BC25" w:themeColor="accent1"/>
          <w:bottom w:val="single" w:sz="8" w:space="0" w:color="86BC25" w:themeColor="accent1"/>
        </w:tcBorders>
      </w:tcPr>
    </w:tblStylePr>
    <w:tblStylePr w:type="band1Vert">
      <w:tblPr/>
      <w:tcPr>
        <w:shd w:val="clear" w:color="auto" w:fill="E2F3C3" w:themeFill="accent1" w:themeFillTint="3F"/>
      </w:tcPr>
    </w:tblStylePr>
    <w:tblStylePr w:type="band1Horz">
      <w:tblPr/>
      <w:tcPr>
        <w:shd w:val="clear" w:color="auto" w:fill="E2F3C3" w:themeFill="accent1" w:themeFillTint="3F"/>
      </w:tcPr>
    </w:tblStylePr>
  </w:style>
  <w:style w:type="table" w:styleId="MediumList1-Accent2">
    <w:name w:val="Medium List 1 Accent 2"/>
    <w:basedOn w:val="TableNormal"/>
    <w:uiPriority w:val="65"/>
    <w:rsid w:val="00F9113D"/>
    <w:pPr>
      <w:spacing w:line="240" w:lineRule="auto"/>
    </w:pPr>
    <w:rPr>
      <w:color w:val="000000" w:themeColor="text1"/>
      <w:lang w:val="en-AU"/>
    </w:rPr>
    <w:tblPr>
      <w:tblStyleRowBandSize w:val="1"/>
      <w:tblStyleColBandSize w:val="1"/>
      <w:tblBorders>
        <w:top w:val="single" w:sz="8" w:space="0" w:color="046A38" w:themeColor="accent2"/>
        <w:bottom w:val="single" w:sz="8" w:space="0" w:color="046A38" w:themeColor="accent2"/>
      </w:tblBorders>
    </w:tblPr>
    <w:tblStylePr w:type="firstRow">
      <w:rPr>
        <w:rFonts w:asciiTheme="majorHAnsi" w:eastAsiaTheme="majorEastAsia" w:hAnsiTheme="majorHAnsi" w:cstheme="majorBidi"/>
      </w:rPr>
      <w:tblPr/>
      <w:tcPr>
        <w:tcBorders>
          <w:top w:val="nil"/>
          <w:bottom w:val="single" w:sz="8" w:space="0" w:color="046A38" w:themeColor="accent2"/>
        </w:tcBorders>
      </w:tcPr>
    </w:tblStylePr>
    <w:tblStylePr w:type="lastRow">
      <w:rPr>
        <w:b/>
        <w:bCs/>
        <w:color w:val="44546A" w:themeColor="text2"/>
      </w:rPr>
      <w:tblPr/>
      <w:tcPr>
        <w:tcBorders>
          <w:top w:val="single" w:sz="8" w:space="0" w:color="046A38" w:themeColor="accent2"/>
          <w:bottom w:val="single" w:sz="8" w:space="0" w:color="046A38" w:themeColor="accent2"/>
        </w:tcBorders>
      </w:tcPr>
    </w:tblStylePr>
    <w:tblStylePr w:type="firstCol">
      <w:rPr>
        <w:b/>
        <w:bCs/>
      </w:rPr>
    </w:tblStylePr>
    <w:tblStylePr w:type="lastCol">
      <w:rPr>
        <w:b/>
        <w:bCs/>
      </w:rPr>
      <w:tblPr/>
      <w:tcPr>
        <w:tcBorders>
          <w:top w:val="single" w:sz="8" w:space="0" w:color="046A38" w:themeColor="accent2"/>
          <w:bottom w:val="single" w:sz="8" w:space="0" w:color="046A38" w:themeColor="accent2"/>
        </w:tcBorders>
      </w:tcPr>
    </w:tblStylePr>
    <w:tblStylePr w:type="band1Vert">
      <w:tblPr/>
      <w:tcPr>
        <w:shd w:val="clear" w:color="auto" w:fill="9FFBCE" w:themeFill="accent2" w:themeFillTint="3F"/>
      </w:tcPr>
    </w:tblStylePr>
    <w:tblStylePr w:type="band1Horz">
      <w:tblPr/>
      <w:tcPr>
        <w:shd w:val="clear" w:color="auto" w:fill="9FFBCE" w:themeFill="accent2" w:themeFillTint="3F"/>
      </w:tcPr>
    </w:tblStylePr>
  </w:style>
  <w:style w:type="table" w:styleId="MediumList1-Accent3">
    <w:name w:val="Medium List 1 Accent 3"/>
    <w:basedOn w:val="TableNormal"/>
    <w:uiPriority w:val="65"/>
    <w:rsid w:val="00F9113D"/>
    <w:pPr>
      <w:spacing w:line="240" w:lineRule="auto"/>
    </w:pPr>
    <w:rPr>
      <w:color w:val="000000" w:themeColor="text1"/>
      <w:lang w:val="en-AU"/>
    </w:rPr>
    <w:tblPr>
      <w:tblStyleRowBandSize w:val="1"/>
      <w:tblStyleColBandSize w:val="1"/>
      <w:tblBorders>
        <w:top w:val="single" w:sz="8" w:space="0" w:color="62B5E5" w:themeColor="accent3"/>
        <w:bottom w:val="single" w:sz="8" w:space="0" w:color="62B5E5" w:themeColor="accent3"/>
      </w:tblBorders>
    </w:tblPr>
    <w:tblStylePr w:type="firstRow">
      <w:rPr>
        <w:rFonts w:asciiTheme="majorHAnsi" w:eastAsiaTheme="majorEastAsia" w:hAnsiTheme="majorHAnsi" w:cstheme="majorBidi"/>
      </w:rPr>
      <w:tblPr/>
      <w:tcPr>
        <w:tcBorders>
          <w:top w:val="nil"/>
          <w:bottom w:val="single" w:sz="8" w:space="0" w:color="62B5E5" w:themeColor="accent3"/>
        </w:tcBorders>
      </w:tcPr>
    </w:tblStylePr>
    <w:tblStylePr w:type="lastRow">
      <w:rPr>
        <w:b/>
        <w:bCs/>
        <w:color w:val="44546A" w:themeColor="text2"/>
      </w:rPr>
      <w:tblPr/>
      <w:tcPr>
        <w:tcBorders>
          <w:top w:val="single" w:sz="8" w:space="0" w:color="62B5E5" w:themeColor="accent3"/>
          <w:bottom w:val="single" w:sz="8" w:space="0" w:color="62B5E5" w:themeColor="accent3"/>
        </w:tcBorders>
      </w:tcPr>
    </w:tblStylePr>
    <w:tblStylePr w:type="firstCol">
      <w:rPr>
        <w:b/>
        <w:bCs/>
      </w:rPr>
    </w:tblStylePr>
    <w:tblStylePr w:type="lastCol">
      <w:rPr>
        <w:b/>
        <w:bCs/>
      </w:rPr>
      <w:tblPr/>
      <w:tcPr>
        <w:tcBorders>
          <w:top w:val="single" w:sz="8" w:space="0" w:color="62B5E5" w:themeColor="accent3"/>
          <w:bottom w:val="single" w:sz="8" w:space="0" w:color="62B5E5" w:themeColor="accent3"/>
        </w:tcBorders>
      </w:tcPr>
    </w:tblStylePr>
    <w:tblStylePr w:type="band1Vert">
      <w:tblPr/>
      <w:tcPr>
        <w:shd w:val="clear" w:color="auto" w:fill="D8ECF8" w:themeFill="accent3" w:themeFillTint="3F"/>
      </w:tcPr>
    </w:tblStylePr>
    <w:tblStylePr w:type="band1Horz">
      <w:tblPr/>
      <w:tcPr>
        <w:shd w:val="clear" w:color="auto" w:fill="D8ECF8" w:themeFill="accent3" w:themeFillTint="3F"/>
      </w:tcPr>
    </w:tblStylePr>
  </w:style>
  <w:style w:type="table" w:styleId="MediumList1-Accent4">
    <w:name w:val="Medium List 1 Accent 4"/>
    <w:basedOn w:val="TableNormal"/>
    <w:uiPriority w:val="65"/>
    <w:rsid w:val="00F9113D"/>
    <w:pPr>
      <w:spacing w:line="240" w:lineRule="auto"/>
    </w:pPr>
    <w:rPr>
      <w:color w:val="000000" w:themeColor="text1"/>
      <w:lang w:val="en-AU"/>
    </w:rPr>
    <w:tblPr>
      <w:tblStyleRowBandSize w:val="1"/>
      <w:tblStyleColBandSize w:val="1"/>
      <w:tblBorders>
        <w:top w:val="single" w:sz="8" w:space="0" w:color="012169" w:themeColor="accent4"/>
        <w:bottom w:val="single" w:sz="8" w:space="0" w:color="012169" w:themeColor="accent4"/>
      </w:tblBorders>
    </w:tblPr>
    <w:tblStylePr w:type="firstRow">
      <w:rPr>
        <w:rFonts w:asciiTheme="majorHAnsi" w:eastAsiaTheme="majorEastAsia" w:hAnsiTheme="majorHAnsi" w:cstheme="majorBidi"/>
      </w:rPr>
      <w:tblPr/>
      <w:tcPr>
        <w:tcBorders>
          <w:top w:val="nil"/>
          <w:bottom w:val="single" w:sz="8" w:space="0" w:color="012169" w:themeColor="accent4"/>
        </w:tcBorders>
      </w:tcPr>
    </w:tblStylePr>
    <w:tblStylePr w:type="lastRow">
      <w:rPr>
        <w:b/>
        <w:bCs/>
        <w:color w:val="44546A" w:themeColor="text2"/>
      </w:rPr>
      <w:tblPr/>
      <w:tcPr>
        <w:tcBorders>
          <w:top w:val="single" w:sz="8" w:space="0" w:color="012169" w:themeColor="accent4"/>
          <w:bottom w:val="single" w:sz="8" w:space="0" w:color="012169" w:themeColor="accent4"/>
        </w:tcBorders>
      </w:tcPr>
    </w:tblStylePr>
    <w:tblStylePr w:type="firstCol">
      <w:rPr>
        <w:b/>
        <w:bCs/>
      </w:rPr>
    </w:tblStylePr>
    <w:tblStylePr w:type="lastCol">
      <w:rPr>
        <w:b/>
        <w:bCs/>
      </w:rPr>
      <w:tblPr/>
      <w:tcPr>
        <w:tcBorders>
          <w:top w:val="single" w:sz="8" w:space="0" w:color="012169" w:themeColor="accent4"/>
          <w:bottom w:val="single" w:sz="8" w:space="0" w:color="012169" w:themeColor="accent4"/>
        </w:tcBorders>
      </w:tcPr>
    </w:tblStylePr>
    <w:tblStylePr w:type="band1Vert">
      <w:tblPr/>
      <w:tcPr>
        <w:shd w:val="clear" w:color="auto" w:fill="9BB9FE" w:themeFill="accent4" w:themeFillTint="3F"/>
      </w:tcPr>
    </w:tblStylePr>
    <w:tblStylePr w:type="band1Horz">
      <w:tblPr/>
      <w:tcPr>
        <w:shd w:val="clear" w:color="auto" w:fill="9BB9FE" w:themeFill="accent4" w:themeFillTint="3F"/>
      </w:tcPr>
    </w:tblStylePr>
  </w:style>
  <w:style w:type="table" w:styleId="MediumList1-Accent5">
    <w:name w:val="Medium List 1 Accent 5"/>
    <w:basedOn w:val="TableNormal"/>
    <w:uiPriority w:val="65"/>
    <w:rsid w:val="00F9113D"/>
    <w:pPr>
      <w:spacing w:line="240" w:lineRule="auto"/>
    </w:pPr>
    <w:rPr>
      <w:color w:val="000000" w:themeColor="text1"/>
      <w:lang w:val="en-AU"/>
    </w:rPr>
    <w:tblPr>
      <w:tblStyleRowBandSize w:val="1"/>
      <w:tblStyleColBandSize w:val="1"/>
      <w:tblBorders>
        <w:top w:val="single" w:sz="8" w:space="0" w:color="0097A9" w:themeColor="accent5"/>
        <w:bottom w:val="single" w:sz="8" w:space="0" w:color="0097A9" w:themeColor="accent5"/>
      </w:tblBorders>
    </w:tblPr>
    <w:tblStylePr w:type="firstRow">
      <w:rPr>
        <w:rFonts w:asciiTheme="majorHAnsi" w:eastAsiaTheme="majorEastAsia" w:hAnsiTheme="majorHAnsi" w:cstheme="majorBidi"/>
      </w:rPr>
      <w:tblPr/>
      <w:tcPr>
        <w:tcBorders>
          <w:top w:val="nil"/>
          <w:bottom w:val="single" w:sz="8" w:space="0" w:color="0097A9" w:themeColor="accent5"/>
        </w:tcBorders>
      </w:tcPr>
    </w:tblStylePr>
    <w:tblStylePr w:type="lastRow">
      <w:rPr>
        <w:b/>
        <w:bCs/>
        <w:color w:val="44546A" w:themeColor="text2"/>
      </w:rPr>
      <w:tblPr/>
      <w:tcPr>
        <w:tcBorders>
          <w:top w:val="single" w:sz="8" w:space="0" w:color="0097A9" w:themeColor="accent5"/>
          <w:bottom w:val="single" w:sz="8" w:space="0" w:color="0097A9" w:themeColor="accent5"/>
        </w:tcBorders>
      </w:tcPr>
    </w:tblStylePr>
    <w:tblStylePr w:type="firstCol">
      <w:rPr>
        <w:b/>
        <w:bCs/>
      </w:rPr>
    </w:tblStylePr>
    <w:tblStylePr w:type="lastCol">
      <w:rPr>
        <w:b/>
        <w:bCs/>
      </w:rPr>
      <w:tblPr/>
      <w:tcPr>
        <w:tcBorders>
          <w:top w:val="single" w:sz="8" w:space="0" w:color="0097A9" w:themeColor="accent5"/>
          <w:bottom w:val="single" w:sz="8" w:space="0" w:color="0097A9" w:themeColor="accent5"/>
        </w:tcBorders>
      </w:tcPr>
    </w:tblStylePr>
    <w:tblStylePr w:type="band1Vert">
      <w:tblPr/>
      <w:tcPr>
        <w:shd w:val="clear" w:color="auto" w:fill="AAF5FF" w:themeFill="accent5" w:themeFillTint="3F"/>
      </w:tcPr>
    </w:tblStylePr>
    <w:tblStylePr w:type="band1Horz">
      <w:tblPr/>
      <w:tcPr>
        <w:shd w:val="clear" w:color="auto" w:fill="AAF5FF" w:themeFill="accent5" w:themeFillTint="3F"/>
      </w:tcPr>
    </w:tblStylePr>
  </w:style>
  <w:style w:type="table" w:styleId="MediumList1-Accent6">
    <w:name w:val="Medium List 1 Accent 6"/>
    <w:basedOn w:val="TableNormal"/>
    <w:uiPriority w:val="65"/>
    <w:rsid w:val="00F9113D"/>
    <w:pPr>
      <w:spacing w:line="240" w:lineRule="auto"/>
    </w:pPr>
    <w:rPr>
      <w:color w:val="000000" w:themeColor="text1"/>
      <w:lang w:val="en-AU"/>
    </w:rPr>
    <w:tblPr>
      <w:tblStyleRowBandSize w:val="1"/>
      <w:tblStyleColBandSize w:val="1"/>
      <w:tblBorders>
        <w:top w:val="single" w:sz="8" w:space="0" w:color="75787B" w:themeColor="accent6"/>
        <w:bottom w:val="single" w:sz="8" w:space="0" w:color="75787B" w:themeColor="accent6"/>
      </w:tblBorders>
    </w:tblPr>
    <w:tblStylePr w:type="firstRow">
      <w:rPr>
        <w:rFonts w:asciiTheme="majorHAnsi" w:eastAsiaTheme="majorEastAsia" w:hAnsiTheme="majorHAnsi" w:cstheme="majorBidi"/>
      </w:rPr>
      <w:tblPr/>
      <w:tcPr>
        <w:tcBorders>
          <w:top w:val="nil"/>
          <w:bottom w:val="single" w:sz="8" w:space="0" w:color="75787B" w:themeColor="accent6"/>
        </w:tcBorders>
      </w:tcPr>
    </w:tblStylePr>
    <w:tblStylePr w:type="lastRow">
      <w:rPr>
        <w:b/>
        <w:bCs/>
        <w:color w:val="44546A" w:themeColor="text2"/>
      </w:rPr>
      <w:tblPr/>
      <w:tcPr>
        <w:tcBorders>
          <w:top w:val="single" w:sz="8" w:space="0" w:color="75787B" w:themeColor="accent6"/>
          <w:bottom w:val="single" w:sz="8" w:space="0" w:color="75787B" w:themeColor="accent6"/>
        </w:tcBorders>
      </w:tcPr>
    </w:tblStylePr>
    <w:tblStylePr w:type="firstCol">
      <w:rPr>
        <w:b/>
        <w:bCs/>
      </w:rPr>
    </w:tblStylePr>
    <w:tblStylePr w:type="lastCol">
      <w:rPr>
        <w:b/>
        <w:bCs/>
      </w:rPr>
      <w:tblPr/>
      <w:tcPr>
        <w:tcBorders>
          <w:top w:val="single" w:sz="8" w:space="0" w:color="75787B" w:themeColor="accent6"/>
          <w:bottom w:val="single" w:sz="8" w:space="0" w:color="75787B" w:themeColor="accent6"/>
        </w:tcBorders>
      </w:tcPr>
    </w:tblStylePr>
    <w:tblStylePr w:type="band1Vert">
      <w:tblPr/>
      <w:tcPr>
        <w:shd w:val="clear" w:color="auto" w:fill="DCDDDE" w:themeFill="accent6" w:themeFillTint="3F"/>
      </w:tcPr>
    </w:tblStylePr>
    <w:tblStylePr w:type="band1Horz">
      <w:tblPr/>
      <w:tcPr>
        <w:shd w:val="clear" w:color="auto" w:fill="DCDDDE" w:themeFill="accent6" w:themeFillTint="3F"/>
      </w:tcPr>
    </w:tblStylePr>
  </w:style>
  <w:style w:type="table" w:styleId="MediumList2">
    <w:name w:val="Medium Lis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86BC25" w:themeColor="accent1"/>
        <w:left w:val="single" w:sz="8" w:space="0" w:color="86BC25" w:themeColor="accent1"/>
        <w:bottom w:val="single" w:sz="8" w:space="0" w:color="86BC25" w:themeColor="accent1"/>
        <w:right w:val="single" w:sz="8" w:space="0" w:color="86BC25" w:themeColor="accent1"/>
      </w:tblBorders>
    </w:tblPr>
    <w:tblStylePr w:type="firstRow">
      <w:rPr>
        <w:sz w:val="24"/>
        <w:szCs w:val="24"/>
      </w:rPr>
      <w:tblPr/>
      <w:tcPr>
        <w:tcBorders>
          <w:top w:val="nil"/>
          <w:left w:val="nil"/>
          <w:bottom w:val="single" w:sz="24" w:space="0" w:color="86BC25" w:themeColor="accent1"/>
          <w:right w:val="nil"/>
          <w:insideH w:val="nil"/>
          <w:insideV w:val="nil"/>
        </w:tcBorders>
        <w:shd w:val="clear" w:color="auto" w:fill="FFFFFF" w:themeFill="background1"/>
      </w:tcPr>
    </w:tblStylePr>
    <w:tblStylePr w:type="lastRow">
      <w:tblPr/>
      <w:tcPr>
        <w:tcBorders>
          <w:top w:val="single" w:sz="8" w:space="0" w:color="86BC2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6BC25" w:themeColor="accent1"/>
          <w:insideH w:val="nil"/>
          <w:insideV w:val="nil"/>
        </w:tcBorders>
        <w:shd w:val="clear" w:color="auto" w:fill="FFFFFF" w:themeFill="background1"/>
      </w:tcPr>
    </w:tblStylePr>
    <w:tblStylePr w:type="lastCol">
      <w:tblPr/>
      <w:tcPr>
        <w:tcBorders>
          <w:top w:val="nil"/>
          <w:left w:val="single" w:sz="8" w:space="0" w:color="86BC2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F3C3" w:themeFill="accent1" w:themeFillTint="3F"/>
      </w:tcPr>
    </w:tblStylePr>
    <w:tblStylePr w:type="band1Horz">
      <w:tblPr/>
      <w:tcPr>
        <w:tcBorders>
          <w:top w:val="nil"/>
          <w:bottom w:val="nil"/>
          <w:insideH w:val="nil"/>
          <w:insideV w:val="nil"/>
        </w:tcBorders>
        <w:shd w:val="clear" w:color="auto" w:fill="E2F3C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46A38" w:themeColor="accent2"/>
        <w:left w:val="single" w:sz="8" w:space="0" w:color="046A38" w:themeColor="accent2"/>
        <w:bottom w:val="single" w:sz="8" w:space="0" w:color="046A38" w:themeColor="accent2"/>
        <w:right w:val="single" w:sz="8" w:space="0" w:color="046A38" w:themeColor="accent2"/>
      </w:tblBorders>
    </w:tblPr>
    <w:tblStylePr w:type="firstRow">
      <w:rPr>
        <w:sz w:val="24"/>
        <w:szCs w:val="24"/>
      </w:rPr>
      <w:tblPr/>
      <w:tcPr>
        <w:tcBorders>
          <w:top w:val="nil"/>
          <w:left w:val="nil"/>
          <w:bottom w:val="single" w:sz="24" w:space="0" w:color="046A38" w:themeColor="accent2"/>
          <w:right w:val="nil"/>
          <w:insideH w:val="nil"/>
          <w:insideV w:val="nil"/>
        </w:tcBorders>
        <w:shd w:val="clear" w:color="auto" w:fill="FFFFFF" w:themeFill="background1"/>
      </w:tcPr>
    </w:tblStylePr>
    <w:tblStylePr w:type="lastRow">
      <w:tblPr/>
      <w:tcPr>
        <w:tcBorders>
          <w:top w:val="single" w:sz="8" w:space="0" w:color="046A38"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2"/>
          <w:insideH w:val="nil"/>
          <w:insideV w:val="nil"/>
        </w:tcBorders>
        <w:shd w:val="clear" w:color="auto" w:fill="FFFFFF" w:themeFill="background1"/>
      </w:tcPr>
    </w:tblStylePr>
    <w:tblStylePr w:type="lastCol">
      <w:tblPr/>
      <w:tcPr>
        <w:tcBorders>
          <w:top w:val="nil"/>
          <w:left w:val="single" w:sz="8" w:space="0" w:color="046A3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2" w:themeFillTint="3F"/>
      </w:tcPr>
    </w:tblStylePr>
    <w:tblStylePr w:type="band1Horz">
      <w:tblPr/>
      <w:tcPr>
        <w:tcBorders>
          <w:top w:val="nil"/>
          <w:bottom w:val="nil"/>
          <w:insideH w:val="nil"/>
          <w:insideV w:val="nil"/>
        </w:tcBorders>
        <w:shd w:val="clear" w:color="auto" w:fill="9FFBC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62B5E5" w:themeColor="accent3"/>
        <w:left w:val="single" w:sz="8" w:space="0" w:color="62B5E5" w:themeColor="accent3"/>
        <w:bottom w:val="single" w:sz="8" w:space="0" w:color="62B5E5" w:themeColor="accent3"/>
        <w:right w:val="single" w:sz="8" w:space="0" w:color="62B5E5" w:themeColor="accent3"/>
      </w:tblBorders>
    </w:tblPr>
    <w:tblStylePr w:type="firstRow">
      <w:rPr>
        <w:sz w:val="24"/>
        <w:szCs w:val="24"/>
      </w:rPr>
      <w:tblPr/>
      <w:tcPr>
        <w:tcBorders>
          <w:top w:val="nil"/>
          <w:left w:val="nil"/>
          <w:bottom w:val="single" w:sz="24" w:space="0" w:color="62B5E5" w:themeColor="accent3"/>
          <w:right w:val="nil"/>
          <w:insideH w:val="nil"/>
          <w:insideV w:val="nil"/>
        </w:tcBorders>
        <w:shd w:val="clear" w:color="auto" w:fill="FFFFFF" w:themeFill="background1"/>
      </w:tcPr>
    </w:tblStylePr>
    <w:tblStylePr w:type="lastRow">
      <w:tblPr/>
      <w:tcPr>
        <w:tcBorders>
          <w:top w:val="single" w:sz="8" w:space="0" w:color="62B5E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2B5E5" w:themeColor="accent3"/>
          <w:insideH w:val="nil"/>
          <w:insideV w:val="nil"/>
        </w:tcBorders>
        <w:shd w:val="clear" w:color="auto" w:fill="FFFFFF" w:themeFill="background1"/>
      </w:tcPr>
    </w:tblStylePr>
    <w:tblStylePr w:type="lastCol">
      <w:tblPr/>
      <w:tcPr>
        <w:tcBorders>
          <w:top w:val="nil"/>
          <w:left w:val="single" w:sz="8" w:space="0" w:color="62B5E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ECF8" w:themeFill="accent3" w:themeFillTint="3F"/>
      </w:tcPr>
    </w:tblStylePr>
    <w:tblStylePr w:type="band1Horz">
      <w:tblPr/>
      <w:tcPr>
        <w:tcBorders>
          <w:top w:val="nil"/>
          <w:bottom w:val="nil"/>
          <w:insideH w:val="nil"/>
          <w:insideV w:val="nil"/>
        </w:tcBorders>
        <w:shd w:val="clear" w:color="auto" w:fill="D8ECF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12169" w:themeColor="accent4"/>
        <w:left w:val="single" w:sz="8" w:space="0" w:color="012169" w:themeColor="accent4"/>
        <w:bottom w:val="single" w:sz="8" w:space="0" w:color="012169" w:themeColor="accent4"/>
        <w:right w:val="single" w:sz="8" w:space="0" w:color="012169" w:themeColor="accent4"/>
      </w:tblBorders>
    </w:tblPr>
    <w:tblStylePr w:type="firstRow">
      <w:rPr>
        <w:sz w:val="24"/>
        <w:szCs w:val="24"/>
      </w:rPr>
      <w:tblPr/>
      <w:tcPr>
        <w:tcBorders>
          <w:top w:val="nil"/>
          <w:left w:val="nil"/>
          <w:bottom w:val="single" w:sz="24" w:space="0" w:color="012169" w:themeColor="accent4"/>
          <w:right w:val="nil"/>
          <w:insideH w:val="nil"/>
          <w:insideV w:val="nil"/>
        </w:tcBorders>
        <w:shd w:val="clear" w:color="auto" w:fill="FFFFFF" w:themeFill="background1"/>
      </w:tcPr>
    </w:tblStylePr>
    <w:tblStylePr w:type="lastRow">
      <w:tblPr/>
      <w:tcPr>
        <w:tcBorders>
          <w:top w:val="single" w:sz="8" w:space="0" w:color="01216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12169" w:themeColor="accent4"/>
          <w:insideH w:val="nil"/>
          <w:insideV w:val="nil"/>
        </w:tcBorders>
        <w:shd w:val="clear" w:color="auto" w:fill="FFFFFF" w:themeFill="background1"/>
      </w:tcPr>
    </w:tblStylePr>
    <w:tblStylePr w:type="lastCol">
      <w:tblPr/>
      <w:tcPr>
        <w:tcBorders>
          <w:top w:val="nil"/>
          <w:left w:val="single" w:sz="8" w:space="0" w:color="01216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BB9FE" w:themeFill="accent4" w:themeFillTint="3F"/>
      </w:tcPr>
    </w:tblStylePr>
    <w:tblStylePr w:type="band1Horz">
      <w:tblPr/>
      <w:tcPr>
        <w:tcBorders>
          <w:top w:val="nil"/>
          <w:bottom w:val="nil"/>
          <w:insideH w:val="nil"/>
          <w:insideV w:val="nil"/>
        </w:tcBorders>
        <w:shd w:val="clear" w:color="auto" w:fill="9BB9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0097A9" w:themeColor="accent5"/>
        <w:left w:val="single" w:sz="8" w:space="0" w:color="0097A9" w:themeColor="accent5"/>
        <w:bottom w:val="single" w:sz="8" w:space="0" w:color="0097A9" w:themeColor="accent5"/>
        <w:right w:val="single" w:sz="8" w:space="0" w:color="0097A9" w:themeColor="accent5"/>
      </w:tblBorders>
    </w:tblPr>
    <w:tblStylePr w:type="firstRow">
      <w:rPr>
        <w:sz w:val="24"/>
        <w:szCs w:val="24"/>
      </w:rPr>
      <w:tblPr/>
      <w:tcPr>
        <w:tcBorders>
          <w:top w:val="nil"/>
          <w:left w:val="nil"/>
          <w:bottom w:val="single" w:sz="24" w:space="0" w:color="0097A9" w:themeColor="accent5"/>
          <w:right w:val="nil"/>
          <w:insideH w:val="nil"/>
          <w:insideV w:val="nil"/>
        </w:tcBorders>
        <w:shd w:val="clear" w:color="auto" w:fill="FFFFFF" w:themeFill="background1"/>
      </w:tcPr>
    </w:tblStylePr>
    <w:tblStylePr w:type="lastRow">
      <w:tblPr/>
      <w:tcPr>
        <w:tcBorders>
          <w:top w:val="single" w:sz="8" w:space="0" w:color="0097A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7A9" w:themeColor="accent5"/>
          <w:insideH w:val="nil"/>
          <w:insideV w:val="nil"/>
        </w:tcBorders>
        <w:shd w:val="clear" w:color="auto" w:fill="FFFFFF" w:themeFill="background1"/>
      </w:tcPr>
    </w:tblStylePr>
    <w:tblStylePr w:type="lastCol">
      <w:tblPr/>
      <w:tcPr>
        <w:tcBorders>
          <w:top w:val="nil"/>
          <w:left w:val="single" w:sz="8" w:space="0" w:color="0097A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F5FF" w:themeFill="accent5" w:themeFillTint="3F"/>
      </w:tcPr>
    </w:tblStylePr>
    <w:tblStylePr w:type="band1Horz">
      <w:tblPr/>
      <w:tcPr>
        <w:tcBorders>
          <w:top w:val="nil"/>
          <w:bottom w:val="nil"/>
          <w:insideH w:val="nil"/>
          <w:insideV w:val="nil"/>
        </w:tcBorders>
        <w:shd w:val="clear" w:color="auto" w:fill="AAF5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F9113D"/>
    <w:pPr>
      <w:spacing w:line="240" w:lineRule="auto"/>
    </w:pPr>
    <w:rPr>
      <w:rFonts w:asciiTheme="majorHAnsi" w:eastAsiaTheme="majorEastAsia" w:hAnsiTheme="majorHAnsi" w:cstheme="majorBidi"/>
      <w:color w:val="000000" w:themeColor="text1"/>
      <w:lang w:val="en-AU"/>
    </w:rPr>
    <w:tblPr>
      <w:tblStyleRowBandSize w:val="1"/>
      <w:tblStyleColBandSize w:val="1"/>
      <w:tblBorders>
        <w:top w:val="single" w:sz="8" w:space="0" w:color="75787B" w:themeColor="accent6"/>
        <w:left w:val="single" w:sz="8" w:space="0" w:color="75787B" w:themeColor="accent6"/>
        <w:bottom w:val="single" w:sz="8" w:space="0" w:color="75787B" w:themeColor="accent6"/>
        <w:right w:val="single" w:sz="8" w:space="0" w:color="75787B" w:themeColor="accent6"/>
      </w:tblBorders>
    </w:tblPr>
    <w:tblStylePr w:type="firstRow">
      <w:rPr>
        <w:sz w:val="24"/>
        <w:szCs w:val="24"/>
      </w:rPr>
      <w:tblPr/>
      <w:tcPr>
        <w:tcBorders>
          <w:top w:val="nil"/>
          <w:left w:val="nil"/>
          <w:bottom w:val="single" w:sz="24" w:space="0" w:color="75787B" w:themeColor="accent6"/>
          <w:right w:val="nil"/>
          <w:insideH w:val="nil"/>
          <w:insideV w:val="nil"/>
        </w:tcBorders>
        <w:shd w:val="clear" w:color="auto" w:fill="FFFFFF" w:themeFill="background1"/>
      </w:tcPr>
    </w:tblStylePr>
    <w:tblStylePr w:type="lastRow">
      <w:tblPr/>
      <w:tcPr>
        <w:tcBorders>
          <w:top w:val="single" w:sz="8" w:space="0" w:color="75787B"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787B" w:themeColor="accent6"/>
          <w:insideH w:val="nil"/>
          <w:insideV w:val="nil"/>
        </w:tcBorders>
        <w:shd w:val="clear" w:color="auto" w:fill="FFFFFF" w:themeFill="background1"/>
      </w:tcPr>
    </w:tblStylePr>
    <w:tblStylePr w:type="lastCol">
      <w:tblPr/>
      <w:tcPr>
        <w:tcBorders>
          <w:top w:val="nil"/>
          <w:left w:val="single" w:sz="8" w:space="0" w:color="75787B"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DDE" w:themeFill="accent6" w:themeFillTint="3F"/>
      </w:tcPr>
    </w:tblStylePr>
    <w:tblStylePr w:type="band1Horz">
      <w:tblPr/>
      <w:tcPr>
        <w:tcBorders>
          <w:top w:val="nil"/>
          <w:bottom w:val="nil"/>
          <w:insideH w:val="nil"/>
          <w:insideV w:val="nil"/>
        </w:tcBorders>
        <w:shd w:val="clear" w:color="auto" w:fill="DCDDDE"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F9113D"/>
    <w:pPr>
      <w:spacing w:line="240" w:lineRule="auto"/>
    </w:pPr>
    <w:rPr>
      <w:lang w:val="en-A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F9113D"/>
    <w:pPr>
      <w:spacing w:line="240" w:lineRule="auto"/>
    </w:pPr>
    <w:rPr>
      <w:lang w:val="en-AU"/>
    </w:rPr>
    <w:tblPr>
      <w:tblStyleRowBandSize w:val="1"/>
      <w:tblStyleColBandSize w:val="1"/>
      <w:tbl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single" w:sz="8" w:space="0" w:color="A8DB4C" w:themeColor="accent1" w:themeTint="BF"/>
      </w:tblBorders>
    </w:tblPr>
    <w:tblStylePr w:type="firstRow">
      <w:pPr>
        <w:spacing w:before="0" w:after="0" w:line="240" w:lineRule="auto"/>
      </w:pPr>
      <w:rPr>
        <w:b/>
        <w:bCs/>
        <w:color w:val="FFFFFF" w:themeColor="background1"/>
      </w:rPr>
      <w:tblPr/>
      <w:tcPr>
        <w:tcBorders>
          <w:top w:val="single" w:sz="8"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shd w:val="clear" w:color="auto" w:fill="86BC25" w:themeFill="accent1"/>
      </w:tcPr>
    </w:tblStylePr>
    <w:tblStylePr w:type="lastRow">
      <w:pPr>
        <w:spacing w:before="0" w:after="0" w:line="240" w:lineRule="auto"/>
      </w:pPr>
      <w:rPr>
        <w:b/>
        <w:bCs/>
      </w:rPr>
      <w:tblPr/>
      <w:tcPr>
        <w:tcBorders>
          <w:top w:val="double" w:sz="6" w:space="0" w:color="A8DB4C" w:themeColor="accent1" w:themeTint="BF"/>
          <w:left w:val="single" w:sz="8" w:space="0" w:color="A8DB4C" w:themeColor="accent1" w:themeTint="BF"/>
          <w:bottom w:val="single" w:sz="8" w:space="0" w:color="A8DB4C" w:themeColor="accent1" w:themeTint="BF"/>
          <w:right w:val="single" w:sz="8" w:space="0" w:color="A8DB4C" w:themeColor="accent1" w:themeTint="BF"/>
          <w:insideH w:val="nil"/>
          <w:insideV w:val="nil"/>
        </w:tcBorders>
      </w:tcPr>
    </w:tblStylePr>
    <w:tblStylePr w:type="firstCol">
      <w:rPr>
        <w:b/>
        <w:bCs/>
      </w:rPr>
    </w:tblStylePr>
    <w:tblStylePr w:type="lastCol">
      <w:rPr>
        <w:b/>
        <w:bCs/>
      </w:rPr>
    </w:tblStylePr>
    <w:tblStylePr w:type="band1Vert">
      <w:tblPr/>
      <w:tcPr>
        <w:shd w:val="clear" w:color="auto" w:fill="E2F3C3" w:themeFill="accent1" w:themeFillTint="3F"/>
      </w:tcPr>
    </w:tblStylePr>
    <w:tblStylePr w:type="band1Horz">
      <w:tblPr/>
      <w:tcPr>
        <w:tcBorders>
          <w:insideH w:val="nil"/>
          <w:insideV w:val="nil"/>
        </w:tcBorders>
        <w:shd w:val="clear" w:color="auto" w:fill="E2F3C3"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F9113D"/>
    <w:pPr>
      <w:spacing w:line="240" w:lineRule="auto"/>
    </w:pPr>
    <w:rPr>
      <w:lang w:val="en-AU"/>
    </w:rPr>
    <w:tblPr>
      <w:tblStyleRowBandSize w:val="1"/>
      <w:tblStyleColBandSize w:val="1"/>
      <w:tbl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single" w:sz="8" w:space="0" w:color="07CA6B" w:themeColor="accent2" w:themeTint="BF"/>
      </w:tblBorders>
    </w:tblPr>
    <w:tblStylePr w:type="firstRow">
      <w:pPr>
        <w:spacing w:before="0" w:after="0" w:line="240" w:lineRule="auto"/>
      </w:pPr>
      <w:rPr>
        <w:b/>
        <w:bCs/>
        <w:color w:val="FFFFFF" w:themeColor="background1"/>
      </w:rPr>
      <w:tblPr/>
      <w:tcPr>
        <w:tcBorders>
          <w:top w:val="single" w:sz="8"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shd w:val="clear" w:color="auto" w:fill="046A38" w:themeFill="accent2"/>
      </w:tcPr>
    </w:tblStylePr>
    <w:tblStylePr w:type="lastRow">
      <w:pPr>
        <w:spacing w:before="0" w:after="0" w:line="240" w:lineRule="auto"/>
      </w:pPr>
      <w:rPr>
        <w:b/>
        <w:bCs/>
      </w:rPr>
      <w:tblPr/>
      <w:tcPr>
        <w:tcBorders>
          <w:top w:val="double" w:sz="6" w:space="0" w:color="07CA6B" w:themeColor="accent2" w:themeTint="BF"/>
          <w:left w:val="single" w:sz="8" w:space="0" w:color="07CA6B" w:themeColor="accent2" w:themeTint="BF"/>
          <w:bottom w:val="single" w:sz="8" w:space="0" w:color="07CA6B" w:themeColor="accent2" w:themeTint="BF"/>
          <w:right w:val="single" w:sz="8" w:space="0" w:color="07CA6B" w:themeColor="accent2" w:themeTint="BF"/>
          <w:insideH w:val="nil"/>
          <w:insideV w:val="nil"/>
        </w:tcBorders>
      </w:tcPr>
    </w:tblStylePr>
    <w:tblStylePr w:type="firstCol">
      <w:rPr>
        <w:b/>
        <w:bCs/>
      </w:rPr>
    </w:tblStylePr>
    <w:tblStylePr w:type="lastCol">
      <w:rPr>
        <w:b/>
        <w:bCs/>
      </w:rPr>
    </w:tblStylePr>
    <w:tblStylePr w:type="band1Vert">
      <w:tblPr/>
      <w:tcPr>
        <w:shd w:val="clear" w:color="auto" w:fill="9FFBCE" w:themeFill="accent2" w:themeFillTint="3F"/>
      </w:tcPr>
    </w:tblStylePr>
    <w:tblStylePr w:type="band1Horz">
      <w:tblPr/>
      <w:tcPr>
        <w:tcBorders>
          <w:insideH w:val="nil"/>
          <w:insideV w:val="nil"/>
        </w:tcBorders>
        <w:shd w:val="clear" w:color="auto" w:fill="9FFBCE"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F9113D"/>
    <w:pPr>
      <w:spacing w:line="240" w:lineRule="auto"/>
    </w:pPr>
    <w:rPr>
      <w:lang w:val="en-AU"/>
    </w:rPr>
    <w:tblPr>
      <w:tblStyleRowBandSize w:val="1"/>
      <w:tblStyleColBandSize w:val="1"/>
      <w:tbl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single" w:sz="8" w:space="0" w:color="89C7EB" w:themeColor="accent3" w:themeTint="BF"/>
      </w:tblBorders>
    </w:tblPr>
    <w:tblStylePr w:type="firstRow">
      <w:pPr>
        <w:spacing w:before="0" w:after="0" w:line="240" w:lineRule="auto"/>
      </w:pPr>
      <w:rPr>
        <w:b/>
        <w:bCs/>
        <w:color w:val="FFFFFF" w:themeColor="background1"/>
      </w:rPr>
      <w:tblPr/>
      <w:tcPr>
        <w:tcBorders>
          <w:top w:val="single" w:sz="8"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shd w:val="clear" w:color="auto" w:fill="62B5E5" w:themeFill="accent3"/>
      </w:tcPr>
    </w:tblStylePr>
    <w:tblStylePr w:type="lastRow">
      <w:pPr>
        <w:spacing w:before="0" w:after="0" w:line="240" w:lineRule="auto"/>
      </w:pPr>
      <w:rPr>
        <w:b/>
        <w:bCs/>
      </w:rPr>
      <w:tblPr/>
      <w:tcPr>
        <w:tcBorders>
          <w:top w:val="double" w:sz="6" w:space="0" w:color="89C7EB" w:themeColor="accent3" w:themeTint="BF"/>
          <w:left w:val="single" w:sz="8" w:space="0" w:color="89C7EB" w:themeColor="accent3" w:themeTint="BF"/>
          <w:bottom w:val="single" w:sz="8" w:space="0" w:color="89C7EB" w:themeColor="accent3" w:themeTint="BF"/>
          <w:right w:val="single" w:sz="8" w:space="0" w:color="89C7EB" w:themeColor="accent3" w:themeTint="BF"/>
          <w:insideH w:val="nil"/>
          <w:insideV w:val="nil"/>
        </w:tcBorders>
      </w:tcPr>
    </w:tblStylePr>
    <w:tblStylePr w:type="firstCol">
      <w:rPr>
        <w:b/>
        <w:bCs/>
      </w:rPr>
    </w:tblStylePr>
    <w:tblStylePr w:type="lastCol">
      <w:rPr>
        <w:b/>
        <w:bCs/>
      </w:rPr>
    </w:tblStylePr>
    <w:tblStylePr w:type="band1Vert">
      <w:tblPr/>
      <w:tcPr>
        <w:shd w:val="clear" w:color="auto" w:fill="D8ECF8" w:themeFill="accent3" w:themeFillTint="3F"/>
      </w:tcPr>
    </w:tblStylePr>
    <w:tblStylePr w:type="band1Horz">
      <w:tblPr/>
      <w:tcPr>
        <w:tcBorders>
          <w:insideH w:val="nil"/>
          <w:insideV w:val="nil"/>
        </w:tcBorders>
        <w:shd w:val="clear" w:color="auto" w:fill="D8ECF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F9113D"/>
    <w:pPr>
      <w:spacing w:line="240" w:lineRule="auto"/>
    </w:pPr>
    <w:rPr>
      <w:lang w:val="en-AU"/>
    </w:rPr>
    <w:tblPr>
      <w:tblStyleRowBandSize w:val="1"/>
      <w:tblStyleColBandSize w:val="1"/>
      <w:tbl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single" w:sz="8" w:space="0" w:color="0240CD" w:themeColor="accent4" w:themeTint="BF"/>
      </w:tblBorders>
    </w:tblPr>
    <w:tblStylePr w:type="firstRow">
      <w:pPr>
        <w:spacing w:before="0" w:after="0" w:line="240" w:lineRule="auto"/>
      </w:pPr>
      <w:rPr>
        <w:b/>
        <w:bCs/>
        <w:color w:val="FFFFFF" w:themeColor="background1"/>
      </w:rPr>
      <w:tblPr/>
      <w:tcPr>
        <w:tcBorders>
          <w:top w:val="single" w:sz="8"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shd w:val="clear" w:color="auto" w:fill="012169" w:themeFill="accent4"/>
      </w:tcPr>
    </w:tblStylePr>
    <w:tblStylePr w:type="lastRow">
      <w:pPr>
        <w:spacing w:before="0" w:after="0" w:line="240" w:lineRule="auto"/>
      </w:pPr>
      <w:rPr>
        <w:b/>
        <w:bCs/>
      </w:rPr>
      <w:tblPr/>
      <w:tcPr>
        <w:tcBorders>
          <w:top w:val="double" w:sz="6" w:space="0" w:color="0240CD" w:themeColor="accent4" w:themeTint="BF"/>
          <w:left w:val="single" w:sz="8" w:space="0" w:color="0240CD" w:themeColor="accent4" w:themeTint="BF"/>
          <w:bottom w:val="single" w:sz="8" w:space="0" w:color="0240CD" w:themeColor="accent4" w:themeTint="BF"/>
          <w:right w:val="single" w:sz="8" w:space="0" w:color="0240CD" w:themeColor="accent4" w:themeTint="BF"/>
          <w:insideH w:val="nil"/>
          <w:insideV w:val="nil"/>
        </w:tcBorders>
      </w:tcPr>
    </w:tblStylePr>
    <w:tblStylePr w:type="firstCol">
      <w:rPr>
        <w:b/>
        <w:bCs/>
      </w:rPr>
    </w:tblStylePr>
    <w:tblStylePr w:type="lastCol">
      <w:rPr>
        <w:b/>
        <w:bCs/>
      </w:rPr>
    </w:tblStylePr>
    <w:tblStylePr w:type="band1Vert">
      <w:tblPr/>
      <w:tcPr>
        <w:shd w:val="clear" w:color="auto" w:fill="9BB9FE" w:themeFill="accent4" w:themeFillTint="3F"/>
      </w:tcPr>
    </w:tblStylePr>
    <w:tblStylePr w:type="band1Horz">
      <w:tblPr/>
      <w:tcPr>
        <w:tcBorders>
          <w:insideH w:val="nil"/>
          <w:insideV w:val="nil"/>
        </w:tcBorders>
        <w:shd w:val="clear" w:color="auto" w:fill="9BB9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F9113D"/>
    <w:pPr>
      <w:spacing w:line="240" w:lineRule="auto"/>
    </w:pPr>
    <w:rPr>
      <w:lang w:val="en-AU"/>
    </w:rPr>
    <w:tblPr>
      <w:tblStyleRowBandSize w:val="1"/>
      <w:tblStyleColBandSize w:val="1"/>
      <w:tbl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single" w:sz="8" w:space="0" w:color="00E2FE" w:themeColor="accent5" w:themeTint="BF"/>
      </w:tblBorders>
    </w:tblPr>
    <w:tblStylePr w:type="firstRow">
      <w:pPr>
        <w:spacing w:before="0" w:after="0" w:line="240" w:lineRule="auto"/>
      </w:pPr>
      <w:rPr>
        <w:b/>
        <w:bCs/>
        <w:color w:val="FFFFFF" w:themeColor="background1"/>
      </w:rPr>
      <w:tblPr/>
      <w:tcPr>
        <w:tcBorders>
          <w:top w:val="single" w:sz="8"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shd w:val="clear" w:color="auto" w:fill="0097A9" w:themeFill="accent5"/>
      </w:tcPr>
    </w:tblStylePr>
    <w:tblStylePr w:type="lastRow">
      <w:pPr>
        <w:spacing w:before="0" w:after="0" w:line="240" w:lineRule="auto"/>
      </w:pPr>
      <w:rPr>
        <w:b/>
        <w:bCs/>
      </w:rPr>
      <w:tblPr/>
      <w:tcPr>
        <w:tcBorders>
          <w:top w:val="double" w:sz="6" w:space="0" w:color="00E2FE" w:themeColor="accent5" w:themeTint="BF"/>
          <w:left w:val="single" w:sz="8" w:space="0" w:color="00E2FE" w:themeColor="accent5" w:themeTint="BF"/>
          <w:bottom w:val="single" w:sz="8" w:space="0" w:color="00E2FE" w:themeColor="accent5" w:themeTint="BF"/>
          <w:right w:val="single" w:sz="8" w:space="0" w:color="00E2FE" w:themeColor="accent5" w:themeTint="BF"/>
          <w:insideH w:val="nil"/>
          <w:insideV w:val="nil"/>
        </w:tcBorders>
      </w:tcPr>
    </w:tblStylePr>
    <w:tblStylePr w:type="firstCol">
      <w:rPr>
        <w:b/>
        <w:bCs/>
      </w:rPr>
    </w:tblStylePr>
    <w:tblStylePr w:type="lastCol">
      <w:rPr>
        <w:b/>
        <w:bCs/>
      </w:rPr>
    </w:tblStylePr>
    <w:tblStylePr w:type="band1Vert">
      <w:tblPr/>
      <w:tcPr>
        <w:shd w:val="clear" w:color="auto" w:fill="AAF5FF" w:themeFill="accent5" w:themeFillTint="3F"/>
      </w:tcPr>
    </w:tblStylePr>
    <w:tblStylePr w:type="band1Horz">
      <w:tblPr/>
      <w:tcPr>
        <w:tcBorders>
          <w:insideH w:val="nil"/>
          <w:insideV w:val="nil"/>
        </w:tcBorders>
        <w:shd w:val="clear" w:color="auto" w:fill="AAF5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F9113D"/>
    <w:pPr>
      <w:spacing w:line="240" w:lineRule="auto"/>
    </w:pPr>
    <w:rPr>
      <w:lang w:val="en-AU"/>
    </w:rPr>
    <w:tblPr>
      <w:tblStyleRowBandSize w:val="1"/>
      <w:tblStyleColBandSize w:val="1"/>
      <w:tbl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single" w:sz="8" w:space="0" w:color="97999C" w:themeColor="accent6" w:themeTint="BF"/>
      </w:tblBorders>
    </w:tblPr>
    <w:tblStylePr w:type="firstRow">
      <w:pPr>
        <w:spacing w:before="0" w:after="0" w:line="240" w:lineRule="auto"/>
      </w:pPr>
      <w:rPr>
        <w:b/>
        <w:bCs/>
        <w:color w:val="FFFFFF" w:themeColor="background1"/>
      </w:rPr>
      <w:tblPr/>
      <w:tcPr>
        <w:tcBorders>
          <w:top w:val="single" w:sz="8"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shd w:val="clear" w:color="auto" w:fill="75787B" w:themeFill="accent6"/>
      </w:tcPr>
    </w:tblStylePr>
    <w:tblStylePr w:type="lastRow">
      <w:pPr>
        <w:spacing w:before="0" w:after="0" w:line="240" w:lineRule="auto"/>
      </w:pPr>
      <w:rPr>
        <w:b/>
        <w:bCs/>
      </w:rPr>
      <w:tblPr/>
      <w:tcPr>
        <w:tcBorders>
          <w:top w:val="double" w:sz="6" w:space="0" w:color="97999C" w:themeColor="accent6" w:themeTint="BF"/>
          <w:left w:val="single" w:sz="8" w:space="0" w:color="97999C" w:themeColor="accent6" w:themeTint="BF"/>
          <w:bottom w:val="single" w:sz="8" w:space="0" w:color="97999C" w:themeColor="accent6" w:themeTint="BF"/>
          <w:right w:val="single" w:sz="8" w:space="0" w:color="97999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CDDDE" w:themeFill="accent6" w:themeFillTint="3F"/>
      </w:tcPr>
    </w:tblStylePr>
    <w:tblStylePr w:type="band1Horz">
      <w:tblPr/>
      <w:tcPr>
        <w:tcBorders>
          <w:insideH w:val="nil"/>
          <w:insideV w:val="nil"/>
        </w:tcBorders>
        <w:shd w:val="clear" w:color="auto" w:fill="DCDDDE"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6BC2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6BC25" w:themeFill="accent1"/>
      </w:tcPr>
    </w:tblStylePr>
    <w:tblStylePr w:type="lastCol">
      <w:rPr>
        <w:b/>
        <w:bCs/>
        <w:color w:val="FFFFFF" w:themeColor="background1"/>
      </w:rPr>
      <w:tblPr/>
      <w:tcPr>
        <w:tcBorders>
          <w:left w:val="nil"/>
          <w:right w:val="nil"/>
          <w:insideH w:val="nil"/>
          <w:insideV w:val="nil"/>
        </w:tcBorders>
        <w:shd w:val="clear" w:color="auto" w:fill="86BC2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6A3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46A38" w:themeFill="accent2"/>
      </w:tcPr>
    </w:tblStylePr>
    <w:tblStylePr w:type="lastCol">
      <w:rPr>
        <w:b/>
        <w:bCs/>
        <w:color w:val="FFFFFF" w:themeColor="background1"/>
      </w:rPr>
      <w:tblPr/>
      <w:tcPr>
        <w:tcBorders>
          <w:left w:val="nil"/>
          <w:right w:val="nil"/>
          <w:insideH w:val="nil"/>
          <w:insideV w:val="nil"/>
        </w:tcBorders>
        <w:shd w:val="clear" w:color="auto" w:fill="046A3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2B5E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2B5E5" w:themeFill="accent3"/>
      </w:tcPr>
    </w:tblStylePr>
    <w:tblStylePr w:type="lastCol">
      <w:rPr>
        <w:b/>
        <w:bCs/>
        <w:color w:val="FFFFFF" w:themeColor="background1"/>
      </w:rPr>
      <w:tblPr/>
      <w:tcPr>
        <w:tcBorders>
          <w:left w:val="nil"/>
          <w:right w:val="nil"/>
          <w:insideH w:val="nil"/>
          <w:insideV w:val="nil"/>
        </w:tcBorders>
        <w:shd w:val="clear" w:color="auto" w:fill="62B5E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1216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12169" w:themeFill="accent4"/>
      </w:tcPr>
    </w:tblStylePr>
    <w:tblStylePr w:type="lastCol">
      <w:rPr>
        <w:b/>
        <w:bCs/>
        <w:color w:val="FFFFFF" w:themeColor="background1"/>
      </w:rPr>
      <w:tblPr/>
      <w:tcPr>
        <w:tcBorders>
          <w:left w:val="nil"/>
          <w:right w:val="nil"/>
          <w:insideH w:val="nil"/>
          <w:insideV w:val="nil"/>
        </w:tcBorders>
        <w:shd w:val="clear" w:color="auto" w:fill="01216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7A9"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7A9" w:themeFill="accent5"/>
      </w:tcPr>
    </w:tblStylePr>
    <w:tblStylePr w:type="lastCol">
      <w:rPr>
        <w:b/>
        <w:bCs/>
        <w:color w:val="FFFFFF" w:themeColor="background1"/>
      </w:rPr>
      <w:tblPr/>
      <w:tcPr>
        <w:tcBorders>
          <w:left w:val="nil"/>
          <w:right w:val="nil"/>
          <w:insideH w:val="nil"/>
          <w:insideV w:val="nil"/>
        </w:tcBorders>
        <w:shd w:val="clear" w:color="auto" w:fill="0097A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F9113D"/>
    <w:pPr>
      <w:spacing w:line="240" w:lineRule="auto"/>
    </w:pPr>
    <w:rPr>
      <w:lang w:val="en-A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787B"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787B" w:themeFill="accent6"/>
      </w:tcPr>
    </w:tblStylePr>
    <w:tblStylePr w:type="lastCol">
      <w:rPr>
        <w:b/>
        <w:bCs/>
        <w:color w:val="FFFFFF" w:themeColor="background1"/>
      </w:rPr>
      <w:tblPr/>
      <w:tcPr>
        <w:tcBorders>
          <w:left w:val="nil"/>
          <w:right w:val="nil"/>
          <w:insideH w:val="nil"/>
          <w:insideV w:val="nil"/>
        </w:tcBorders>
        <w:shd w:val="clear" w:color="auto" w:fill="75787B"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F9113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9113D"/>
    <w:rPr>
      <w:rFonts w:asciiTheme="majorHAnsi" w:eastAsiaTheme="majorEastAsia" w:hAnsiTheme="majorHAnsi" w:cstheme="majorBidi"/>
      <w:sz w:val="24"/>
      <w:szCs w:val="24"/>
      <w:shd w:val="pct20" w:color="auto" w:fill="auto"/>
      <w:lang w:val="en-AU"/>
    </w:rPr>
  </w:style>
  <w:style w:type="paragraph" w:styleId="NoSpacing">
    <w:name w:val="No Spacing"/>
    <w:qFormat/>
    <w:rsid w:val="00DA30BF"/>
    <w:rPr>
      <w:lang w:val="en-AU"/>
    </w:rPr>
  </w:style>
  <w:style w:type="paragraph" w:styleId="NormalWeb">
    <w:name w:val="Normal (Web)"/>
    <w:basedOn w:val="Normal"/>
    <w:uiPriority w:val="99"/>
    <w:semiHidden/>
    <w:rsid w:val="00F9113D"/>
    <w:rPr>
      <w:rFonts w:ascii="Times New Roman" w:hAnsi="Times New Roman" w:cs="Times New Roman"/>
      <w:sz w:val="24"/>
      <w:szCs w:val="24"/>
    </w:rPr>
  </w:style>
  <w:style w:type="paragraph" w:styleId="NormalIndent">
    <w:name w:val="Normal Indent"/>
    <w:basedOn w:val="Normal"/>
    <w:uiPriority w:val="99"/>
    <w:semiHidden/>
    <w:rsid w:val="00F9113D"/>
    <w:pPr>
      <w:ind w:left="1304"/>
    </w:pPr>
  </w:style>
  <w:style w:type="paragraph" w:styleId="NoteHeading">
    <w:name w:val="Note Heading"/>
    <w:basedOn w:val="Normal"/>
    <w:next w:val="Normal"/>
    <w:link w:val="NoteHeadingChar"/>
    <w:uiPriority w:val="99"/>
    <w:semiHidden/>
    <w:rsid w:val="00F9113D"/>
    <w:pPr>
      <w:spacing w:line="240" w:lineRule="auto"/>
    </w:pPr>
  </w:style>
  <w:style w:type="character" w:customStyle="1" w:styleId="NoteHeadingChar">
    <w:name w:val="Note Heading Char"/>
    <w:basedOn w:val="DefaultParagraphFont"/>
    <w:link w:val="NoteHeading"/>
    <w:uiPriority w:val="99"/>
    <w:semiHidden/>
    <w:rsid w:val="00F9113D"/>
    <w:rPr>
      <w:lang w:val="en-AU"/>
    </w:rPr>
  </w:style>
  <w:style w:type="character" w:styleId="PageNumber">
    <w:name w:val="page number"/>
    <w:basedOn w:val="DefaultParagraphFont"/>
    <w:uiPriority w:val="10"/>
    <w:semiHidden/>
    <w:rsid w:val="00F9113D"/>
    <w:rPr>
      <w:lang w:val="en-AU"/>
    </w:rPr>
  </w:style>
  <w:style w:type="paragraph" w:styleId="PlainText">
    <w:name w:val="Plain Text"/>
    <w:basedOn w:val="Normal"/>
    <w:link w:val="PlainTextChar"/>
    <w:uiPriority w:val="99"/>
    <w:semiHidden/>
    <w:rsid w:val="00F9113D"/>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9113D"/>
    <w:rPr>
      <w:rFonts w:ascii="Consolas" w:hAnsi="Consolas"/>
      <w:sz w:val="21"/>
      <w:szCs w:val="21"/>
      <w:lang w:val="en-AU"/>
    </w:rPr>
  </w:style>
  <w:style w:type="paragraph" w:styleId="Quote">
    <w:name w:val="Quote"/>
    <w:basedOn w:val="Normal"/>
    <w:next w:val="Normal"/>
    <w:link w:val="QuoteChar"/>
    <w:uiPriority w:val="29"/>
    <w:semiHidden/>
    <w:qFormat/>
    <w:rsid w:val="00F9113D"/>
    <w:pPr>
      <w:spacing w:after="0"/>
    </w:pPr>
    <w:rPr>
      <w:i/>
      <w:iCs/>
      <w:color w:val="000000" w:themeColor="text1"/>
    </w:rPr>
  </w:style>
  <w:style w:type="character" w:customStyle="1" w:styleId="QuoteChar">
    <w:name w:val="Quote Char"/>
    <w:basedOn w:val="DefaultParagraphFont"/>
    <w:link w:val="Quote"/>
    <w:uiPriority w:val="29"/>
    <w:semiHidden/>
    <w:rsid w:val="00F9113D"/>
    <w:rPr>
      <w:i/>
      <w:iCs/>
      <w:color w:val="000000" w:themeColor="text1"/>
      <w:lang w:val="en-AU"/>
    </w:rPr>
  </w:style>
  <w:style w:type="paragraph" w:styleId="Salutation">
    <w:name w:val="Salutation"/>
    <w:basedOn w:val="Normal"/>
    <w:next w:val="Normal"/>
    <w:link w:val="SalutationChar"/>
    <w:uiPriority w:val="99"/>
    <w:semiHidden/>
    <w:rsid w:val="00F9113D"/>
  </w:style>
  <w:style w:type="character" w:customStyle="1" w:styleId="SalutationChar">
    <w:name w:val="Salutation Char"/>
    <w:basedOn w:val="DefaultParagraphFont"/>
    <w:link w:val="Salutation"/>
    <w:uiPriority w:val="99"/>
    <w:semiHidden/>
    <w:rsid w:val="00F9113D"/>
    <w:rPr>
      <w:lang w:val="en-AU"/>
    </w:rPr>
  </w:style>
  <w:style w:type="paragraph" w:styleId="Signature">
    <w:name w:val="Signature"/>
    <w:basedOn w:val="Normal"/>
    <w:link w:val="SignatureChar"/>
    <w:uiPriority w:val="99"/>
    <w:semiHidden/>
    <w:rsid w:val="00F9113D"/>
    <w:pPr>
      <w:keepNext/>
      <w:keepLines/>
    </w:pPr>
  </w:style>
  <w:style w:type="character" w:customStyle="1" w:styleId="SignatureChar">
    <w:name w:val="Signature Char"/>
    <w:basedOn w:val="DefaultParagraphFont"/>
    <w:link w:val="Signature"/>
    <w:uiPriority w:val="99"/>
    <w:semiHidden/>
    <w:rsid w:val="00F9113D"/>
    <w:rPr>
      <w:lang w:val="en-AU"/>
    </w:rPr>
  </w:style>
  <w:style w:type="character" w:styleId="Strong">
    <w:name w:val="Strong"/>
    <w:basedOn w:val="DefaultParagraphFont"/>
    <w:uiPriority w:val="22"/>
    <w:semiHidden/>
    <w:qFormat/>
    <w:rsid w:val="00F9113D"/>
    <w:rPr>
      <w:b/>
      <w:bCs/>
      <w:lang w:val="en-AU"/>
    </w:rPr>
  </w:style>
  <w:style w:type="paragraph" w:styleId="Subtitle">
    <w:name w:val="Subtitle"/>
    <w:basedOn w:val="Normal"/>
    <w:next w:val="Normal"/>
    <w:link w:val="SubtitleChar"/>
    <w:uiPriority w:val="11"/>
    <w:semiHidden/>
    <w:qFormat/>
    <w:rsid w:val="00F9113D"/>
    <w:pPr>
      <w:numPr>
        <w:ilvl w:val="1"/>
      </w:numPr>
      <w:spacing w:after="0"/>
    </w:pPr>
    <w:rPr>
      <w:rFonts w:eastAsiaTheme="majorEastAsia" w:cstheme="majorBidi"/>
      <w:i/>
      <w:iCs/>
      <w:color w:val="86BC25" w:themeColor="accent1"/>
      <w:spacing w:val="15"/>
      <w:sz w:val="24"/>
      <w:szCs w:val="24"/>
    </w:rPr>
  </w:style>
  <w:style w:type="character" w:customStyle="1" w:styleId="SubtitleChar">
    <w:name w:val="Subtitle Char"/>
    <w:basedOn w:val="DefaultParagraphFont"/>
    <w:link w:val="Subtitle"/>
    <w:uiPriority w:val="11"/>
    <w:semiHidden/>
    <w:rsid w:val="00F9113D"/>
    <w:rPr>
      <w:rFonts w:eastAsiaTheme="majorEastAsia" w:cstheme="majorBidi"/>
      <w:i/>
      <w:iCs/>
      <w:color w:val="86BC25" w:themeColor="accent1"/>
      <w:spacing w:val="15"/>
      <w:sz w:val="24"/>
      <w:szCs w:val="24"/>
      <w:lang w:val="en-AU"/>
    </w:rPr>
  </w:style>
  <w:style w:type="character" w:styleId="SubtleEmphasis">
    <w:name w:val="Subtle Emphasis"/>
    <w:basedOn w:val="DefaultParagraphFont"/>
    <w:uiPriority w:val="99"/>
    <w:semiHidden/>
    <w:qFormat/>
    <w:rsid w:val="00F9113D"/>
    <w:rPr>
      <w:i/>
      <w:iCs/>
      <w:color w:val="808080" w:themeColor="text1" w:themeTint="7F"/>
      <w:lang w:val="en-AU"/>
    </w:rPr>
  </w:style>
  <w:style w:type="character" w:styleId="SubtleReference">
    <w:name w:val="Subtle Reference"/>
    <w:basedOn w:val="DefaultParagraphFont"/>
    <w:uiPriority w:val="99"/>
    <w:semiHidden/>
    <w:qFormat/>
    <w:rsid w:val="00F9113D"/>
    <w:rPr>
      <w:smallCaps/>
      <w:color w:val="046A38" w:themeColor="accent2"/>
      <w:u w:val="single"/>
      <w:lang w:val="en-AU"/>
    </w:rPr>
  </w:style>
  <w:style w:type="table" w:styleId="Table3Deffects1">
    <w:name w:val="Table 3D effects 1"/>
    <w:basedOn w:val="TableNormal"/>
    <w:uiPriority w:val="99"/>
    <w:semiHidden/>
    <w:unhideWhenUsed/>
    <w:rsid w:val="00F9113D"/>
    <w:pPr>
      <w:spacing w:after="240"/>
    </w:pPr>
    <w:rPr>
      <w:lang w:val="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F9113D"/>
    <w:pPr>
      <w:spacing w:after="240"/>
    </w:pPr>
    <w:rPr>
      <w:lang w:val="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F9113D"/>
    <w:pPr>
      <w:spacing w:after="240"/>
    </w:pPr>
    <w:rPr>
      <w:lang w:val="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F9113D"/>
    <w:pPr>
      <w:spacing w:after="240"/>
    </w:pPr>
    <w:rPr>
      <w:lang w:val="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F9113D"/>
    <w:pPr>
      <w:spacing w:after="240"/>
    </w:pPr>
    <w:rPr>
      <w:color w:val="000080"/>
      <w:lang w:val="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F9113D"/>
    <w:pPr>
      <w:spacing w:after="240"/>
    </w:pPr>
    <w:rPr>
      <w:lang w:val="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F9113D"/>
    <w:pPr>
      <w:spacing w:after="240"/>
    </w:pPr>
    <w:rPr>
      <w:color w:val="FFFFFF"/>
      <w:lang w:val="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F9113D"/>
    <w:pPr>
      <w:spacing w:after="240"/>
    </w:pPr>
    <w:rPr>
      <w:lang w:val="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F9113D"/>
    <w:pPr>
      <w:spacing w:after="240"/>
    </w:pPr>
    <w:rPr>
      <w:lang w:val="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F9113D"/>
    <w:pPr>
      <w:spacing w:after="240"/>
    </w:pPr>
    <w:rPr>
      <w:b/>
      <w:bCs/>
      <w:lang w:val="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F9113D"/>
    <w:pPr>
      <w:spacing w:after="240"/>
    </w:pPr>
    <w:rPr>
      <w:b/>
      <w:bCs/>
      <w:lang w:val="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F9113D"/>
    <w:pPr>
      <w:spacing w:after="240"/>
    </w:pPr>
    <w:rPr>
      <w:b/>
      <w:bCs/>
      <w:lang w:val="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F9113D"/>
    <w:pPr>
      <w:spacing w:after="240"/>
    </w:pPr>
    <w:rPr>
      <w:lang w:val="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F9113D"/>
    <w:pPr>
      <w:spacing w:after="240"/>
    </w:pPr>
    <w:rPr>
      <w:lang w:val="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F9113D"/>
    <w:pPr>
      <w:spacing w:after="240"/>
    </w:pPr>
    <w:rPr>
      <w:lang w:val="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F9113D"/>
    <w:pPr>
      <w:spacing w:after="240"/>
    </w:pPr>
    <w:rPr>
      <w:lang w:val="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F9113D"/>
    <w:pPr>
      <w:spacing w:after="240"/>
    </w:pPr>
    <w:rPr>
      <w:lang w:val="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F9113D"/>
    <w:pPr>
      <w:spacing w:after="240"/>
    </w:pPr>
    <w:rPr>
      <w:lang w:val="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F9113D"/>
    <w:pPr>
      <w:spacing w:after="240"/>
    </w:pPr>
    <w:rPr>
      <w:lang w:val="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F9113D"/>
    <w:pPr>
      <w:spacing w:after="240"/>
    </w:pPr>
    <w:rPr>
      <w:b/>
      <w:bCs/>
      <w:lang w:val="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F9113D"/>
    <w:pPr>
      <w:spacing w:after="240"/>
    </w:pPr>
    <w:rPr>
      <w:lang w:val="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F9113D"/>
    <w:pPr>
      <w:spacing w:after="240"/>
    </w:pPr>
    <w:rPr>
      <w:lang w:val="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F9113D"/>
    <w:pPr>
      <w:spacing w:after="240"/>
    </w:pPr>
    <w:rPr>
      <w:lang w:val="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F9113D"/>
    <w:pPr>
      <w:spacing w:after="240"/>
    </w:pPr>
    <w:rPr>
      <w:lang w:val="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F9113D"/>
    <w:pPr>
      <w:spacing w:after="240"/>
    </w:pPr>
    <w:rPr>
      <w:lang w:val="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F9113D"/>
    <w:pPr>
      <w:spacing w:after="240"/>
    </w:pPr>
    <w:rPr>
      <w:lang w:val="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F9113D"/>
    <w:pPr>
      <w:ind w:left="180" w:hanging="180"/>
    </w:pPr>
  </w:style>
  <w:style w:type="paragraph" w:styleId="TableofFigures">
    <w:name w:val="table of figures"/>
    <w:basedOn w:val="Normal"/>
    <w:next w:val="Normal"/>
    <w:uiPriority w:val="99"/>
    <w:semiHidden/>
    <w:rsid w:val="00F9113D"/>
  </w:style>
  <w:style w:type="table" w:styleId="TableProfessional">
    <w:name w:val="Table Professional"/>
    <w:basedOn w:val="TableNormal"/>
    <w:uiPriority w:val="99"/>
    <w:semiHidden/>
    <w:unhideWhenUsed/>
    <w:rsid w:val="00F9113D"/>
    <w:pPr>
      <w:spacing w:after="240"/>
    </w:pPr>
    <w:rPr>
      <w:lang w:val="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F9113D"/>
    <w:pPr>
      <w:spacing w:after="240"/>
    </w:pPr>
    <w:rPr>
      <w:lang w:val="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F9113D"/>
    <w:pPr>
      <w:spacing w:after="240"/>
    </w:pPr>
    <w:rPr>
      <w:lang w:val="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F9113D"/>
    <w:pPr>
      <w:spacing w:after="240"/>
    </w:pPr>
    <w:rPr>
      <w:lang w:val="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F9113D"/>
    <w:pPr>
      <w:spacing w:after="240"/>
    </w:pPr>
    <w:rPr>
      <w:lang w:val="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F9113D"/>
    <w:pPr>
      <w:spacing w:after="240"/>
    </w:pPr>
    <w:rPr>
      <w:lang w:val="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F9113D"/>
    <w:pPr>
      <w:spacing w:after="240"/>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F9113D"/>
    <w:pPr>
      <w:spacing w:after="240"/>
    </w:pPr>
    <w:rPr>
      <w:lang w:val="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F9113D"/>
    <w:pPr>
      <w:spacing w:after="240"/>
    </w:pPr>
    <w:rPr>
      <w:lang w:val="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F9113D"/>
    <w:pPr>
      <w:spacing w:after="240"/>
    </w:pPr>
    <w:rPr>
      <w:lang w:val="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F9113D"/>
    <w:pPr>
      <w:pBdr>
        <w:bottom w:val="single" w:sz="8" w:space="4" w:color="86BC25" w:themeColor="accent1"/>
      </w:pBdr>
      <w:spacing w:after="300" w:line="240" w:lineRule="auto"/>
      <w:contextualSpacing/>
    </w:pPr>
    <w:rPr>
      <w:rFonts w:eastAsiaTheme="majorEastAsia" w:cstheme="majorBidi"/>
      <w:color w:val="323E4F" w:themeColor="text2" w:themeShade="BF"/>
      <w:spacing w:val="5"/>
      <w:kern w:val="28"/>
      <w:sz w:val="52"/>
      <w:szCs w:val="52"/>
    </w:rPr>
  </w:style>
  <w:style w:type="character" w:customStyle="1" w:styleId="TitleChar">
    <w:name w:val="Title Char"/>
    <w:basedOn w:val="DefaultParagraphFont"/>
    <w:link w:val="Title"/>
    <w:uiPriority w:val="10"/>
    <w:semiHidden/>
    <w:rsid w:val="00F9113D"/>
    <w:rPr>
      <w:rFonts w:eastAsiaTheme="majorEastAsia" w:cstheme="majorBidi"/>
      <w:color w:val="323E4F" w:themeColor="text2" w:themeShade="BF"/>
      <w:spacing w:val="5"/>
      <w:kern w:val="28"/>
      <w:sz w:val="52"/>
      <w:szCs w:val="52"/>
      <w:lang w:val="en-AU"/>
    </w:rPr>
  </w:style>
  <w:style w:type="paragraph" w:styleId="TOAHeading">
    <w:name w:val="toa heading"/>
    <w:basedOn w:val="Normal"/>
    <w:next w:val="Normal"/>
    <w:uiPriority w:val="99"/>
    <w:semiHidden/>
    <w:rsid w:val="00F9113D"/>
    <w:pPr>
      <w:spacing w:before="120"/>
    </w:pPr>
    <w:rPr>
      <w:rFonts w:asciiTheme="majorHAnsi" w:eastAsiaTheme="majorEastAsia" w:hAnsiTheme="majorHAnsi" w:cstheme="majorBidi"/>
      <w:b/>
      <w:bCs/>
      <w:sz w:val="24"/>
      <w:szCs w:val="24"/>
    </w:rPr>
  </w:style>
  <w:style w:type="paragraph" w:styleId="TOC2">
    <w:name w:val="toc 2"/>
    <w:basedOn w:val="Normal"/>
    <w:next w:val="Normal"/>
    <w:uiPriority w:val="39"/>
    <w:rsid w:val="00A242DE"/>
    <w:pPr>
      <w:tabs>
        <w:tab w:val="left" w:pos="567"/>
        <w:tab w:val="right" w:pos="6917"/>
      </w:tabs>
      <w:spacing w:after="100"/>
      <w:ind w:left="1134" w:right="567" w:hanging="567"/>
      <w:contextualSpacing/>
    </w:pPr>
  </w:style>
  <w:style w:type="paragraph" w:styleId="TOC3">
    <w:name w:val="toc 3"/>
    <w:basedOn w:val="Normal"/>
    <w:next w:val="Normal"/>
    <w:uiPriority w:val="39"/>
    <w:rsid w:val="00A242DE"/>
    <w:pPr>
      <w:tabs>
        <w:tab w:val="left" w:pos="1021"/>
        <w:tab w:val="right" w:pos="6917"/>
      </w:tabs>
      <w:spacing w:after="100"/>
      <w:ind w:left="567" w:right="567"/>
      <w:contextualSpacing/>
    </w:pPr>
  </w:style>
  <w:style w:type="paragraph" w:styleId="TOC4">
    <w:name w:val="toc 4"/>
    <w:basedOn w:val="Normal"/>
    <w:next w:val="Normal"/>
    <w:uiPriority w:val="39"/>
    <w:rsid w:val="00F0232D"/>
    <w:pPr>
      <w:spacing w:after="100"/>
      <w:ind w:right="567"/>
      <w:contextualSpacing/>
    </w:pPr>
  </w:style>
  <w:style w:type="paragraph" w:styleId="TOC5">
    <w:name w:val="toc 5"/>
    <w:basedOn w:val="Normal"/>
    <w:next w:val="Normal"/>
    <w:uiPriority w:val="39"/>
    <w:semiHidden/>
    <w:rsid w:val="00F9113D"/>
    <w:pPr>
      <w:spacing w:after="100"/>
      <w:ind w:left="567" w:right="567"/>
      <w:contextualSpacing/>
    </w:pPr>
  </w:style>
  <w:style w:type="paragraph" w:styleId="TOC6">
    <w:name w:val="toc 6"/>
    <w:basedOn w:val="Normal"/>
    <w:next w:val="Normal"/>
    <w:uiPriority w:val="39"/>
    <w:rsid w:val="00F0232D"/>
    <w:pPr>
      <w:spacing w:after="100"/>
      <w:ind w:right="567"/>
      <w:contextualSpacing/>
    </w:pPr>
  </w:style>
  <w:style w:type="paragraph" w:styleId="TOC7">
    <w:name w:val="toc 7"/>
    <w:basedOn w:val="Normal"/>
    <w:next w:val="Normal"/>
    <w:uiPriority w:val="39"/>
    <w:rsid w:val="00F0232D"/>
    <w:pPr>
      <w:spacing w:after="100"/>
      <w:ind w:right="567"/>
      <w:contextualSpacing/>
    </w:pPr>
  </w:style>
  <w:style w:type="paragraph" w:styleId="TOC8">
    <w:name w:val="toc 8"/>
    <w:basedOn w:val="Normal"/>
    <w:next w:val="Normal"/>
    <w:uiPriority w:val="39"/>
    <w:rsid w:val="00F0232D"/>
    <w:pPr>
      <w:spacing w:after="100"/>
      <w:ind w:right="567"/>
      <w:contextualSpacing/>
    </w:pPr>
  </w:style>
  <w:style w:type="paragraph" w:styleId="TOC9">
    <w:name w:val="toc 9"/>
    <w:basedOn w:val="Normal"/>
    <w:next w:val="Normal"/>
    <w:uiPriority w:val="39"/>
    <w:semiHidden/>
    <w:rsid w:val="00F9113D"/>
    <w:pPr>
      <w:spacing w:after="100"/>
      <w:ind w:left="567" w:right="567"/>
      <w:contextualSpacing/>
    </w:pPr>
  </w:style>
  <w:style w:type="paragraph" w:styleId="TOCHeading">
    <w:name w:val="TOC Heading"/>
    <w:next w:val="Normal"/>
    <w:uiPriority w:val="39"/>
    <w:semiHidden/>
    <w:rsid w:val="00F9113D"/>
    <w:pPr>
      <w:spacing w:after="480" w:line="720" w:lineRule="atLeast"/>
    </w:pPr>
    <w:rPr>
      <w:rFonts w:eastAsiaTheme="majorEastAsia" w:cstheme="majorBidi"/>
      <w:bCs/>
      <w:sz w:val="60"/>
      <w:szCs w:val="28"/>
      <w:lang w:val="en-AU"/>
    </w:rPr>
  </w:style>
  <w:style w:type="paragraph" w:customStyle="1" w:styleId="Template-Adresse">
    <w:name w:val="Template - Adresse"/>
    <w:basedOn w:val="Normal"/>
    <w:uiPriority w:val="9"/>
    <w:semiHidden/>
    <w:rsid w:val="00F9113D"/>
    <w:pPr>
      <w:tabs>
        <w:tab w:val="left" w:pos="567"/>
      </w:tabs>
      <w:spacing w:after="0" w:line="280" w:lineRule="atLeast"/>
    </w:pPr>
    <w:rPr>
      <w:noProof/>
      <w:sz w:val="16"/>
    </w:rPr>
  </w:style>
  <w:style w:type="paragraph" w:customStyle="1" w:styleId="Template-Dato">
    <w:name w:val="Template - Dato"/>
    <w:basedOn w:val="Normal"/>
    <w:uiPriority w:val="9"/>
    <w:semiHidden/>
    <w:rsid w:val="00F9113D"/>
    <w:pPr>
      <w:spacing w:after="0" w:line="280" w:lineRule="atLeast"/>
    </w:pPr>
    <w:rPr>
      <w:noProof/>
      <w:sz w:val="16"/>
    </w:rPr>
  </w:style>
  <w:style w:type="paragraph" w:customStyle="1" w:styleId="Letterheadaddressnospacing">
    <w:name w:val="Letterhead address (no spacing)"/>
    <w:uiPriority w:val="99"/>
    <w:semiHidden/>
    <w:qFormat/>
    <w:rsid w:val="001D0641"/>
    <w:pPr>
      <w:framePr w:wrap="around" w:vAnchor="page" w:hAnchor="page" w:x="1" w:y="1"/>
      <w:spacing w:line="240" w:lineRule="auto"/>
      <w:suppressOverlap/>
    </w:pPr>
    <w:rPr>
      <w:rFonts w:eastAsia="Times New Roman" w:cs="Times New Roman"/>
      <w:noProof/>
      <w:color w:val="7F7F7F" w:themeColor="text1" w:themeTint="80"/>
      <w:sz w:val="14"/>
      <w:lang w:val="en-AU"/>
    </w:rPr>
  </w:style>
  <w:style w:type="paragraph" w:customStyle="1" w:styleId="DocumentHeading">
    <w:name w:val="Document Heading"/>
    <w:basedOn w:val="Normal"/>
    <w:next w:val="BodyText"/>
    <w:uiPriority w:val="99"/>
    <w:semiHidden/>
    <w:rsid w:val="00F9113D"/>
    <w:pPr>
      <w:suppressAutoHyphens/>
      <w:spacing w:before="240" w:after="240"/>
    </w:pPr>
    <w:rPr>
      <w:b/>
    </w:rPr>
  </w:style>
  <w:style w:type="paragraph" w:customStyle="1" w:styleId="Disclaimer">
    <w:name w:val="Disclaimer"/>
    <w:basedOn w:val="Footer"/>
    <w:uiPriority w:val="11"/>
    <w:semiHidden/>
    <w:rsid w:val="00F9113D"/>
    <w:pPr>
      <w:tabs>
        <w:tab w:val="clear" w:pos="7371"/>
      </w:tabs>
      <w:spacing w:line="130" w:lineRule="atLeast"/>
      <w:suppressOverlap/>
    </w:pPr>
    <w:rPr>
      <w:rFonts w:eastAsia="Times New Roman" w:cs="Arial"/>
      <w:sz w:val="11"/>
      <w:szCs w:val="17"/>
    </w:rPr>
  </w:style>
  <w:style w:type="paragraph" w:customStyle="1" w:styleId="SenderName">
    <w:name w:val="Sender Name"/>
    <w:basedOn w:val="Normal"/>
    <w:uiPriority w:val="8"/>
    <w:rsid w:val="00F9113D"/>
    <w:pPr>
      <w:keepNext/>
      <w:keepLines/>
      <w:spacing w:after="0"/>
    </w:pPr>
    <w:rPr>
      <w:b/>
      <w:szCs w:val="17"/>
    </w:rPr>
  </w:style>
  <w:style w:type="paragraph" w:customStyle="1" w:styleId="SignatureName">
    <w:name w:val="Signature Name"/>
    <w:basedOn w:val="Normal"/>
    <w:next w:val="SignatureTitle"/>
    <w:uiPriority w:val="7"/>
    <w:semiHidden/>
    <w:rsid w:val="00F9113D"/>
    <w:pPr>
      <w:keepNext/>
      <w:keepLines/>
      <w:spacing w:after="0"/>
    </w:pPr>
    <w:rPr>
      <w:b/>
      <w:color w:val="62B5E5" w:themeColor="accent3"/>
    </w:rPr>
  </w:style>
  <w:style w:type="paragraph" w:customStyle="1" w:styleId="SignatureTitle">
    <w:name w:val="Signature Title"/>
    <w:basedOn w:val="Normal"/>
    <w:next w:val="BodyText"/>
    <w:uiPriority w:val="7"/>
    <w:semiHidden/>
    <w:rsid w:val="00F9113D"/>
    <w:pPr>
      <w:spacing w:after="0"/>
    </w:pPr>
    <w:rPr>
      <w:b/>
    </w:rPr>
  </w:style>
  <w:style w:type="paragraph" w:customStyle="1" w:styleId="Heading2un-numbered">
    <w:name w:val="Heading 2 (un-numbered)"/>
    <w:basedOn w:val="Heading2"/>
    <w:next w:val="Normal"/>
    <w:uiPriority w:val="2"/>
    <w:qFormat/>
    <w:rsid w:val="00CF23CD"/>
    <w:pPr>
      <w:numPr>
        <w:ilvl w:val="0"/>
        <w:numId w:val="0"/>
      </w:numPr>
    </w:pPr>
  </w:style>
  <w:style w:type="paragraph" w:customStyle="1" w:styleId="Heading3un-numbered">
    <w:name w:val="Heading 3 (un-numbered)"/>
    <w:basedOn w:val="Heading3"/>
    <w:next w:val="Normal"/>
    <w:uiPriority w:val="2"/>
    <w:qFormat/>
    <w:rsid w:val="00F9113D"/>
    <w:pPr>
      <w:numPr>
        <w:ilvl w:val="0"/>
        <w:numId w:val="0"/>
      </w:numPr>
    </w:pPr>
  </w:style>
  <w:style w:type="paragraph" w:customStyle="1" w:styleId="Heading4un-numbered">
    <w:name w:val="Heading 4 (un-numbered)"/>
    <w:basedOn w:val="Heading4"/>
    <w:next w:val="Normal"/>
    <w:uiPriority w:val="2"/>
    <w:qFormat/>
    <w:rsid w:val="00F9113D"/>
    <w:pPr>
      <w:numPr>
        <w:ilvl w:val="0"/>
        <w:numId w:val="0"/>
      </w:numPr>
      <w:tabs>
        <w:tab w:val="clear" w:pos="340"/>
      </w:tabs>
    </w:pPr>
  </w:style>
  <w:style w:type="paragraph" w:customStyle="1" w:styleId="BulletedText1">
    <w:name w:val="Bulleted Text 1"/>
    <w:basedOn w:val="Normal"/>
    <w:uiPriority w:val="4"/>
    <w:semiHidden/>
    <w:qFormat/>
    <w:rsid w:val="00F9113D"/>
    <w:pPr>
      <w:numPr>
        <w:numId w:val="2"/>
      </w:numPr>
      <w:suppressAutoHyphens/>
      <w:spacing w:after="0" w:line="250" w:lineRule="atLeast"/>
    </w:pPr>
  </w:style>
  <w:style w:type="paragraph" w:customStyle="1" w:styleId="BulletedText2">
    <w:name w:val="Bulleted Text 2"/>
    <w:basedOn w:val="Normal"/>
    <w:uiPriority w:val="4"/>
    <w:semiHidden/>
    <w:rsid w:val="00F9113D"/>
    <w:pPr>
      <w:numPr>
        <w:ilvl w:val="1"/>
        <w:numId w:val="2"/>
      </w:numPr>
      <w:suppressAutoHyphens/>
      <w:spacing w:after="0" w:line="250" w:lineRule="atLeast"/>
    </w:pPr>
  </w:style>
  <w:style w:type="paragraph" w:customStyle="1" w:styleId="Numberslevel1">
    <w:name w:val="Numbers level 1"/>
    <w:basedOn w:val="Normal"/>
    <w:uiPriority w:val="4"/>
    <w:semiHidden/>
    <w:qFormat/>
    <w:rsid w:val="00F9113D"/>
    <w:pPr>
      <w:numPr>
        <w:numId w:val="14"/>
      </w:numPr>
      <w:suppressAutoHyphens/>
      <w:spacing w:after="0" w:line="250" w:lineRule="atLeast"/>
    </w:pPr>
  </w:style>
  <w:style w:type="paragraph" w:customStyle="1" w:styleId="Numberslevel2">
    <w:name w:val="Numbers level 2"/>
    <w:basedOn w:val="Normal"/>
    <w:uiPriority w:val="4"/>
    <w:semiHidden/>
    <w:rsid w:val="00F9113D"/>
    <w:pPr>
      <w:numPr>
        <w:ilvl w:val="1"/>
        <w:numId w:val="14"/>
      </w:numPr>
      <w:suppressAutoHyphens/>
      <w:spacing w:after="0" w:line="250" w:lineRule="atLeast"/>
    </w:pPr>
  </w:style>
  <w:style w:type="paragraph" w:customStyle="1" w:styleId="Numberslevel3">
    <w:name w:val="Numbers level 3"/>
    <w:basedOn w:val="Normal"/>
    <w:uiPriority w:val="4"/>
    <w:semiHidden/>
    <w:rsid w:val="00F9113D"/>
    <w:pPr>
      <w:numPr>
        <w:ilvl w:val="2"/>
        <w:numId w:val="14"/>
      </w:numPr>
      <w:suppressAutoHyphens/>
      <w:spacing w:after="0" w:line="250" w:lineRule="atLeast"/>
    </w:pPr>
  </w:style>
  <w:style w:type="paragraph" w:customStyle="1" w:styleId="TabletextLeftTotal">
    <w:name w:val="Table text Left Total"/>
    <w:basedOn w:val="TabletextLeft"/>
    <w:uiPriority w:val="5"/>
    <w:rsid w:val="002E67BC"/>
    <w:rPr>
      <w:b/>
    </w:rPr>
  </w:style>
  <w:style w:type="paragraph" w:customStyle="1" w:styleId="TabletextRightTotal">
    <w:name w:val="Table text Right Total"/>
    <w:basedOn w:val="TabletextRight"/>
    <w:uiPriority w:val="5"/>
    <w:rsid w:val="002C7E6E"/>
    <w:rPr>
      <w:b/>
    </w:rPr>
  </w:style>
  <w:style w:type="table" w:customStyle="1" w:styleId="DeloitteBandedrows">
    <w:name w:val="Deloitte Banded rows"/>
    <w:basedOn w:val="TableNormal"/>
    <w:uiPriority w:val="99"/>
    <w:rsid w:val="00464FD2"/>
    <w:pPr>
      <w:spacing w:line="200" w:lineRule="atLeast"/>
    </w:pPr>
    <w:rPr>
      <w:sz w:val="17"/>
      <w:lang w:val="en-AU"/>
    </w:rPr>
    <w:tblPr>
      <w:tblStyleRowBandSize w:val="1"/>
      <w:tblBorders>
        <w:bottom w:val="single" w:sz="4" w:space="0" w:color="62B5E5" w:themeColor="accent3"/>
      </w:tblBorders>
      <w:tblCellMar>
        <w:top w:w="85" w:type="dxa"/>
        <w:left w:w="0" w:type="dxa"/>
        <w:bottom w:w="85" w:type="dxa"/>
        <w:right w:w="0" w:type="dxa"/>
      </w:tblCellMar>
    </w:tblPr>
    <w:tblStylePr w:type="firstRow">
      <w:tblPr/>
      <w:tcPr>
        <w:tcBorders>
          <w:top w:val="single" w:sz="24" w:space="0" w:color="62B5E5" w:themeColor="accent3"/>
          <w:bottom w:val="single" w:sz="4" w:space="0" w:color="62B5E5" w:themeColor="accent3"/>
        </w:tcBorders>
      </w:tcPr>
    </w:tblStylePr>
    <w:tblStylePr w:type="lastRow">
      <w:tblPr/>
      <w:tcPr>
        <w:tcBorders>
          <w:top w:val="nil"/>
          <w:left w:val="nil"/>
          <w:bottom w:val="nil"/>
          <w:right w:val="nil"/>
          <w:insideH w:val="nil"/>
          <w:insideV w:val="nil"/>
          <w:tl2br w:val="nil"/>
          <w:tr2bl w:val="nil"/>
        </w:tcBorders>
      </w:tcPr>
    </w:tblStylePr>
    <w:tblStylePr w:type="band2Horz">
      <w:tblPr/>
      <w:tcPr>
        <w:shd w:val="clear" w:color="auto" w:fill="62B5E5" w:themeFill="accent3"/>
      </w:tcPr>
    </w:tblStylePr>
  </w:style>
  <w:style w:type="paragraph" w:customStyle="1" w:styleId="FPPicture">
    <w:name w:val="FP Picture"/>
    <w:basedOn w:val="Normal"/>
    <w:uiPriority w:val="9"/>
    <w:semiHidden/>
    <w:rsid w:val="00F9113D"/>
    <w:pPr>
      <w:spacing w:after="0"/>
      <w:ind w:left="-57"/>
    </w:pPr>
    <w:rPr>
      <w:color w:val="FF0000"/>
      <w:sz w:val="36"/>
    </w:rPr>
  </w:style>
  <w:style w:type="paragraph" w:customStyle="1" w:styleId="CV-Name">
    <w:name w:val="CV - Name"/>
    <w:basedOn w:val="Normal"/>
    <w:uiPriority w:val="7"/>
    <w:rsid w:val="005B00B8"/>
    <w:pPr>
      <w:spacing w:after="240"/>
      <w:contextualSpacing/>
    </w:pPr>
    <w:rPr>
      <w:b/>
      <w:color w:val="62B5E5" w:themeColor="accent3"/>
    </w:rPr>
  </w:style>
  <w:style w:type="paragraph" w:customStyle="1" w:styleId="HeadingA">
    <w:name w:val="Heading A"/>
    <w:next w:val="Normal"/>
    <w:uiPriority w:val="3"/>
    <w:rsid w:val="005E5001"/>
    <w:pPr>
      <w:keepNext/>
      <w:keepLines/>
      <w:spacing w:before="240"/>
    </w:pPr>
    <w:rPr>
      <w:rFonts w:eastAsia="Times New Roman" w:cs="Times New Roman"/>
      <w:b/>
      <w:color w:val="62B5E5" w:themeColor="accent3"/>
      <w:szCs w:val="28"/>
      <w:lang w:val="en-AU"/>
    </w:rPr>
  </w:style>
  <w:style w:type="paragraph" w:customStyle="1" w:styleId="HeadingB">
    <w:name w:val="Heading B"/>
    <w:basedOn w:val="HeadingA"/>
    <w:next w:val="Normal"/>
    <w:uiPriority w:val="3"/>
    <w:rsid w:val="005E5001"/>
    <w:pPr>
      <w:spacing w:before="0"/>
    </w:pPr>
    <w:rPr>
      <w:color w:val="auto"/>
      <w:szCs w:val="26"/>
    </w:rPr>
  </w:style>
  <w:style w:type="paragraph" w:customStyle="1" w:styleId="HeadingC">
    <w:name w:val="Heading C"/>
    <w:basedOn w:val="Normal"/>
    <w:next w:val="Normal"/>
    <w:uiPriority w:val="3"/>
    <w:rsid w:val="00F84828"/>
    <w:pPr>
      <w:keepNext/>
      <w:keepLines/>
      <w:spacing w:after="0"/>
    </w:pPr>
    <w:rPr>
      <w:rFonts w:eastAsia="Times New Roman" w:cs="Times New Roman"/>
      <w:b/>
      <w:color w:val="75787B" w:themeColor="accent6"/>
      <w:szCs w:val="28"/>
    </w:rPr>
  </w:style>
  <w:style w:type="paragraph" w:customStyle="1" w:styleId="CaptionTable">
    <w:name w:val="Caption_Table"/>
    <w:basedOn w:val="Normal"/>
    <w:next w:val="Normal"/>
    <w:qFormat/>
    <w:rsid w:val="006C74B8"/>
    <w:pPr>
      <w:keepNext/>
      <w:keepLines/>
      <w:numPr>
        <w:ilvl w:val="6"/>
        <w:numId w:val="3"/>
      </w:numPr>
      <w:spacing w:before="240" w:after="240"/>
    </w:pPr>
    <w:rPr>
      <w:rFonts w:eastAsia="Times New Roman" w:cs="Times New Roman"/>
      <w:color w:val="75787B" w:themeColor="accent6"/>
      <w:sz w:val="17"/>
      <w:szCs w:val="20"/>
    </w:rPr>
  </w:style>
  <w:style w:type="paragraph" w:customStyle="1" w:styleId="CaptionFigure">
    <w:name w:val="Caption_Figure"/>
    <w:basedOn w:val="Normal"/>
    <w:next w:val="Normal"/>
    <w:qFormat/>
    <w:rsid w:val="006C74B8"/>
    <w:pPr>
      <w:keepNext/>
      <w:keepLines/>
      <w:numPr>
        <w:ilvl w:val="8"/>
        <w:numId w:val="3"/>
      </w:numPr>
    </w:pPr>
    <w:rPr>
      <w:bCs/>
      <w:color w:val="75787B" w:themeColor="accent6"/>
      <w:sz w:val="17"/>
      <w:szCs w:val="22"/>
    </w:rPr>
  </w:style>
  <w:style w:type="paragraph" w:customStyle="1" w:styleId="CaptionChart">
    <w:name w:val="Caption_Chart"/>
    <w:basedOn w:val="Normal"/>
    <w:next w:val="Normal"/>
    <w:qFormat/>
    <w:rsid w:val="006C74B8"/>
    <w:pPr>
      <w:keepNext/>
      <w:keepLines/>
      <w:numPr>
        <w:ilvl w:val="7"/>
        <w:numId w:val="3"/>
      </w:numPr>
    </w:pPr>
    <w:rPr>
      <w:color w:val="75787B" w:themeColor="accent6"/>
      <w:sz w:val="17"/>
    </w:rPr>
  </w:style>
  <w:style w:type="paragraph" w:customStyle="1" w:styleId="ExecutiveHeading">
    <w:name w:val="Executive Heading"/>
    <w:basedOn w:val="Heading1un-numbered"/>
    <w:next w:val="Normal"/>
    <w:uiPriority w:val="3"/>
    <w:rsid w:val="005E5001"/>
    <w:pPr>
      <w:numPr>
        <w:numId w:val="19"/>
      </w:numPr>
    </w:pPr>
  </w:style>
  <w:style w:type="paragraph" w:customStyle="1" w:styleId="Reference">
    <w:name w:val="Reference"/>
    <w:basedOn w:val="Normal"/>
    <w:uiPriority w:val="4"/>
    <w:rsid w:val="002C1140"/>
    <w:pPr>
      <w:spacing w:before="240" w:after="240"/>
      <w:ind w:left="567" w:hanging="567"/>
    </w:pPr>
    <w:rPr>
      <w:rFonts w:eastAsia="Times New Roman" w:cs="Times New Roman"/>
      <w:szCs w:val="20"/>
    </w:rPr>
  </w:style>
  <w:style w:type="paragraph" w:customStyle="1" w:styleId="ExecChartCaption">
    <w:name w:val="Exec Chart Caption"/>
    <w:basedOn w:val="Caption"/>
    <w:next w:val="Normal"/>
    <w:uiPriority w:val="4"/>
    <w:rsid w:val="00CA0756"/>
    <w:pPr>
      <w:numPr>
        <w:ilvl w:val="2"/>
        <w:numId w:val="19"/>
      </w:numPr>
    </w:pPr>
    <w:rPr>
      <w:rFonts w:eastAsia="Times New Roman" w:cs="Times New Roman"/>
      <w:szCs w:val="20"/>
    </w:rPr>
  </w:style>
  <w:style w:type="paragraph" w:customStyle="1" w:styleId="ExecFigureCaption">
    <w:name w:val="Exec Figure Caption"/>
    <w:basedOn w:val="Caption"/>
    <w:next w:val="Normal"/>
    <w:uiPriority w:val="4"/>
    <w:rsid w:val="00CA0756"/>
    <w:pPr>
      <w:numPr>
        <w:ilvl w:val="3"/>
        <w:numId w:val="19"/>
      </w:numPr>
    </w:pPr>
    <w:rPr>
      <w:rFonts w:eastAsia="Times New Roman" w:cs="Times New Roman"/>
      <w:szCs w:val="20"/>
    </w:rPr>
  </w:style>
  <w:style w:type="paragraph" w:customStyle="1" w:styleId="ExecTableCaption">
    <w:name w:val="Exec Table Caption"/>
    <w:basedOn w:val="Caption"/>
    <w:next w:val="Normal"/>
    <w:uiPriority w:val="4"/>
    <w:rsid w:val="005D6648"/>
    <w:pPr>
      <w:numPr>
        <w:ilvl w:val="1"/>
        <w:numId w:val="19"/>
      </w:numPr>
    </w:pPr>
    <w:rPr>
      <w:rFonts w:eastAsia="Times New Roman" w:cs="Times New Roman"/>
      <w:szCs w:val="20"/>
    </w:rPr>
  </w:style>
  <w:style w:type="paragraph" w:customStyle="1" w:styleId="Appendixhead2">
    <w:name w:val="Appendix_head_2"/>
    <w:basedOn w:val="Heading2"/>
    <w:next w:val="Normal"/>
    <w:link w:val="Appendixhead2Char"/>
    <w:uiPriority w:val="3"/>
    <w:rsid w:val="00A95553"/>
    <w:pPr>
      <w:numPr>
        <w:numId w:val="20"/>
      </w:numPr>
      <w:tabs>
        <w:tab w:val="left" w:pos="851"/>
      </w:tabs>
      <w:outlineLvl w:val="9"/>
    </w:pPr>
    <w:rPr>
      <w:rFonts w:eastAsia="Times New Roman" w:cs="Times New Roman"/>
      <w:bCs w:val="0"/>
      <w:szCs w:val="28"/>
    </w:rPr>
  </w:style>
  <w:style w:type="paragraph" w:customStyle="1" w:styleId="Appendixhead3">
    <w:name w:val="Appendix_head_3"/>
    <w:basedOn w:val="Heading3"/>
    <w:next w:val="Normal"/>
    <w:link w:val="Appendixhead3Char"/>
    <w:uiPriority w:val="3"/>
    <w:rsid w:val="00E06F2E"/>
    <w:pPr>
      <w:numPr>
        <w:numId w:val="20"/>
      </w:numPr>
      <w:outlineLvl w:val="9"/>
    </w:pPr>
    <w:rPr>
      <w:rFonts w:eastAsia="Times New Roman" w:cs="Times New Roman"/>
      <w:bCs w:val="0"/>
      <w:szCs w:val="20"/>
    </w:rPr>
  </w:style>
  <w:style w:type="paragraph" w:customStyle="1" w:styleId="Appendixhead4">
    <w:name w:val="Appendix_head_4"/>
    <w:basedOn w:val="Heading4"/>
    <w:next w:val="Normal"/>
    <w:uiPriority w:val="3"/>
    <w:rsid w:val="00F84828"/>
    <w:pPr>
      <w:numPr>
        <w:numId w:val="20"/>
      </w:numPr>
      <w:tabs>
        <w:tab w:val="clear" w:pos="340"/>
      </w:tabs>
      <w:outlineLvl w:val="9"/>
    </w:pPr>
    <w:rPr>
      <w:rFonts w:eastAsia="Times New Roman" w:cs="Times New Roman"/>
      <w:bCs w:val="0"/>
      <w:iCs w:val="0"/>
      <w:szCs w:val="24"/>
    </w:rPr>
  </w:style>
  <w:style w:type="paragraph" w:customStyle="1" w:styleId="Appendixhead1">
    <w:name w:val="Appendix_head_1"/>
    <w:basedOn w:val="Normal"/>
    <w:next w:val="Normal"/>
    <w:link w:val="Appendixhead1Char"/>
    <w:uiPriority w:val="3"/>
    <w:rsid w:val="009E2F33"/>
    <w:pPr>
      <w:keepNext/>
      <w:keepLines/>
      <w:pageBreakBefore/>
      <w:numPr>
        <w:numId w:val="20"/>
      </w:numPr>
      <w:spacing w:after="480" w:line="720" w:lineRule="atLeast"/>
    </w:pPr>
    <w:rPr>
      <w:rFonts w:eastAsia="Times New Roman" w:cs="Arial"/>
      <w:sz w:val="60"/>
      <w:szCs w:val="20"/>
    </w:rPr>
  </w:style>
  <w:style w:type="character" w:customStyle="1" w:styleId="Appendixhead1Char">
    <w:name w:val="Appendix_head_1 Char"/>
    <w:basedOn w:val="DefaultParagraphFont"/>
    <w:link w:val="Appendixhead1"/>
    <w:uiPriority w:val="3"/>
    <w:rsid w:val="009E2F33"/>
    <w:rPr>
      <w:rFonts w:eastAsia="Times New Roman" w:cs="Arial"/>
      <w:sz w:val="60"/>
      <w:szCs w:val="20"/>
      <w:lang w:val="en-AU"/>
    </w:rPr>
  </w:style>
  <w:style w:type="paragraph" w:customStyle="1" w:styleId="AppendixTableCaption">
    <w:name w:val="Appendix Table Caption"/>
    <w:basedOn w:val="Appendixhead4"/>
    <w:next w:val="Normal"/>
    <w:link w:val="AppendixTableCaptionChar"/>
    <w:uiPriority w:val="4"/>
    <w:rsid w:val="00CA0756"/>
    <w:pPr>
      <w:numPr>
        <w:ilvl w:val="6"/>
      </w:numPr>
      <w:spacing w:after="240"/>
      <w:outlineLvl w:val="7"/>
    </w:pPr>
    <w:rPr>
      <w:b w:val="0"/>
      <w:sz w:val="17"/>
      <w:szCs w:val="22"/>
    </w:rPr>
  </w:style>
  <w:style w:type="paragraph" w:customStyle="1" w:styleId="AppendixChartCaption">
    <w:name w:val="Appendix Chart Caption"/>
    <w:basedOn w:val="AppendixTableCaption"/>
    <w:next w:val="Normal"/>
    <w:link w:val="AppendixChartCaptionChar"/>
    <w:uiPriority w:val="4"/>
    <w:rsid w:val="00CA0756"/>
    <w:pPr>
      <w:numPr>
        <w:ilvl w:val="7"/>
      </w:numPr>
      <w:outlineLvl w:val="5"/>
    </w:pPr>
  </w:style>
  <w:style w:type="paragraph" w:customStyle="1" w:styleId="AppendixFigureCaption">
    <w:name w:val="Appendix Figure Caption"/>
    <w:basedOn w:val="AppendixChartCaption"/>
    <w:next w:val="Normal"/>
    <w:link w:val="AppendixFigureCaptionChar"/>
    <w:uiPriority w:val="4"/>
    <w:rsid w:val="00CA0756"/>
    <w:pPr>
      <w:numPr>
        <w:ilvl w:val="8"/>
      </w:numPr>
      <w:outlineLvl w:val="6"/>
    </w:pPr>
  </w:style>
  <w:style w:type="character" w:customStyle="1" w:styleId="Appendixhead2Char">
    <w:name w:val="Appendix_head_2 Char"/>
    <w:basedOn w:val="DefaultParagraphFont"/>
    <w:link w:val="Appendixhead2"/>
    <w:uiPriority w:val="3"/>
    <w:rsid w:val="00A95553"/>
    <w:rPr>
      <w:rFonts w:eastAsia="Times New Roman" w:cs="Times New Roman"/>
      <w:b/>
      <w:color w:val="62B5E5" w:themeColor="accent3"/>
      <w:szCs w:val="28"/>
      <w:lang w:val="en-AU"/>
    </w:rPr>
  </w:style>
  <w:style w:type="character" w:customStyle="1" w:styleId="AppendixTableCaptionChar">
    <w:name w:val="Appendix Table Caption Char"/>
    <w:basedOn w:val="DefaultParagraphFont"/>
    <w:link w:val="AppendixTableCaption"/>
    <w:uiPriority w:val="4"/>
    <w:rsid w:val="00CA0756"/>
    <w:rPr>
      <w:rFonts w:eastAsia="Times New Roman" w:cs="Times New Roman"/>
      <w:color w:val="75787B" w:themeColor="accent6"/>
      <w:sz w:val="17"/>
      <w:szCs w:val="22"/>
      <w:lang w:val="en-AU"/>
    </w:rPr>
  </w:style>
  <w:style w:type="character" w:customStyle="1" w:styleId="Appendixhead3Char">
    <w:name w:val="Appendix_head_3 Char"/>
    <w:basedOn w:val="DefaultParagraphFont"/>
    <w:link w:val="Appendixhead3"/>
    <w:uiPriority w:val="3"/>
    <w:rsid w:val="00E06F2E"/>
    <w:rPr>
      <w:rFonts w:eastAsia="Times New Roman" w:cs="Times New Roman"/>
      <w:b/>
      <w:szCs w:val="20"/>
      <w:lang w:val="en-AU"/>
    </w:rPr>
  </w:style>
  <w:style w:type="character" w:customStyle="1" w:styleId="AppendixFigureCaptionChar">
    <w:name w:val="Appendix Figure Caption Char"/>
    <w:basedOn w:val="DefaultParagraphFont"/>
    <w:link w:val="AppendixFigureCaption"/>
    <w:uiPriority w:val="4"/>
    <w:rsid w:val="00CA0756"/>
    <w:rPr>
      <w:rFonts w:eastAsia="Times New Roman" w:cs="Times New Roman"/>
      <w:color w:val="75787B" w:themeColor="accent6"/>
      <w:sz w:val="17"/>
      <w:szCs w:val="22"/>
      <w:lang w:val="en-AU"/>
    </w:rPr>
  </w:style>
  <w:style w:type="character" w:customStyle="1" w:styleId="AppendixChartCaptionChar">
    <w:name w:val="Appendix Chart Caption Char"/>
    <w:basedOn w:val="AppendixTableCaptionChar"/>
    <w:link w:val="AppendixChartCaption"/>
    <w:uiPriority w:val="4"/>
    <w:rsid w:val="00CA0756"/>
    <w:rPr>
      <w:rFonts w:eastAsia="Times New Roman" w:cs="Times New Roman"/>
      <w:color w:val="75787B" w:themeColor="accent6"/>
      <w:sz w:val="17"/>
      <w:szCs w:val="22"/>
      <w:lang w:val="en-AU"/>
    </w:rPr>
  </w:style>
  <w:style w:type="paragraph" w:customStyle="1" w:styleId="SourcetextTableorChart">
    <w:name w:val="Source text Table or Chart"/>
    <w:basedOn w:val="Caption"/>
    <w:next w:val="Normal"/>
    <w:uiPriority w:val="6"/>
    <w:rsid w:val="00B5479F"/>
    <w:pPr>
      <w:keepNext w:val="0"/>
      <w:keepLines w:val="0"/>
      <w:spacing w:before="120"/>
    </w:pPr>
    <w:rPr>
      <w:sz w:val="14"/>
    </w:rPr>
  </w:style>
  <w:style w:type="paragraph" w:customStyle="1" w:styleId="AlphabeticList">
    <w:name w:val="Alphabetic List"/>
    <w:basedOn w:val="Normal"/>
    <w:uiPriority w:val="4"/>
    <w:qFormat/>
    <w:rsid w:val="007F7A8C"/>
    <w:pPr>
      <w:numPr>
        <w:numId w:val="22"/>
      </w:numPr>
      <w:spacing w:after="0"/>
      <w:contextualSpacing/>
    </w:pPr>
    <w:rPr>
      <w:rFonts w:eastAsia="Times New Roman" w:cs="Times New Roman"/>
      <w:szCs w:val="20"/>
    </w:rPr>
  </w:style>
  <w:style w:type="paragraph" w:customStyle="1" w:styleId="CV-Heading">
    <w:name w:val="CV - Heading"/>
    <w:basedOn w:val="Normal"/>
    <w:uiPriority w:val="7"/>
    <w:rsid w:val="005B00B8"/>
    <w:pPr>
      <w:spacing w:before="240" w:after="0"/>
      <w:contextualSpacing/>
    </w:pPr>
    <w:rPr>
      <w:b/>
    </w:rPr>
  </w:style>
  <w:style w:type="paragraph" w:customStyle="1" w:styleId="TableHeadingCentre">
    <w:name w:val="Table Heading Centre"/>
    <w:basedOn w:val="TableHeadingLeft"/>
    <w:uiPriority w:val="5"/>
    <w:rsid w:val="002E67BC"/>
    <w:pPr>
      <w:jc w:val="center"/>
    </w:pPr>
  </w:style>
  <w:style w:type="paragraph" w:customStyle="1" w:styleId="TableHeadingRight">
    <w:name w:val="Table Heading Right"/>
    <w:basedOn w:val="TableHeadingCentre"/>
    <w:uiPriority w:val="5"/>
    <w:rsid w:val="002E67BC"/>
    <w:pPr>
      <w:jc w:val="right"/>
    </w:pPr>
  </w:style>
  <w:style w:type="paragraph" w:customStyle="1" w:styleId="TabletextRight">
    <w:name w:val="Table text Right"/>
    <w:basedOn w:val="TabletextLeft"/>
    <w:uiPriority w:val="5"/>
    <w:rsid w:val="002E67BC"/>
    <w:pPr>
      <w:jc w:val="right"/>
    </w:pPr>
  </w:style>
  <w:style w:type="paragraph" w:customStyle="1" w:styleId="TabletextCentre">
    <w:name w:val="Table text Centre"/>
    <w:basedOn w:val="TabletextRight"/>
    <w:uiPriority w:val="5"/>
    <w:rsid w:val="002E67BC"/>
    <w:pPr>
      <w:jc w:val="center"/>
    </w:pPr>
  </w:style>
  <w:style w:type="paragraph" w:customStyle="1" w:styleId="TableNote">
    <w:name w:val="Table Note"/>
    <w:basedOn w:val="TabletextLeft"/>
    <w:uiPriority w:val="5"/>
    <w:rsid w:val="002E67BC"/>
    <w:rPr>
      <w:sz w:val="15"/>
    </w:rPr>
  </w:style>
  <w:style w:type="paragraph" w:customStyle="1" w:styleId="TabletextCentreTotal">
    <w:name w:val="Table text Centre Total"/>
    <w:basedOn w:val="TabletextCentre"/>
    <w:uiPriority w:val="5"/>
    <w:rsid w:val="002C7E6E"/>
    <w:rPr>
      <w:b/>
    </w:rPr>
  </w:style>
  <w:style w:type="paragraph" w:customStyle="1" w:styleId="AlphabeticList2">
    <w:name w:val="Alphabetic List 2"/>
    <w:basedOn w:val="AlphabeticList"/>
    <w:uiPriority w:val="4"/>
    <w:qFormat/>
    <w:rsid w:val="000A0317"/>
    <w:pPr>
      <w:numPr>
        <w:ilvl w:val="1"/>
      </w:numPr>
    </w:pPr>
  </w:style>
  <w:style w:type="table" w:styleId="GridTable1Light">
    <w:name w:val="Grid Table 1 Light"/>
    <w:basedOn w:val="TableNormal"/>
    <w:uiPriority w:val="46"/>
    <w:rsid w:val="000116B0"/>
    <w:pPr>
      <w:spacing w:line="240" w:lineRule="auto"/>
    </w:pPr>
    <w:rPr>
      <w:lang w:val="en-A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0116B0"/>
    <w:pPr>
      <w:spacing w:line="240" w:lineRule="auto"/>
    </w:pPr>
    <w:rPr>
      <w:lang w:val="en-AU"/>
    </w:rPr>
    <w:tblPr>
      <w:tblStyleRowBandSize w:val="1"/>
      <w:tblStyleColBandSize w:val="1"/>
      <w:tblBorders>
        <w:top w:val="single" w:sz="4" w:space="0" w:color="D0EC9F" w:themeColor="accent1" w:themeTint="66"/>
        <w:left w:val="single" w:sz="4" w:space="0" w:color="D0EC9F" w:themeColor="accent1" w:themeTint="66"/>
        <w:bottom w:val="single" w:sz="4" w:space="0" w:color="D0EC9F" w:themeColor="accent1" w:themeTint="66"/>
        <w:right w:val="single" w:sz="4" w:space="0" w:color="D0EC9F" w:themeColor="accent1" w:themeTint="66"/>
        <w:insideH w:val="single" w:sz="4" w:space="0" w:color="D0EC9F" w:themeColor="accent1" w:themeTint="66"/>
        <w:insideV w:val="single" w:sz="4" w:space="0" w:color="D0EC9F" w:themeColor="accent1" w:themeTint="66"/>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2" w:space="0" w:color="B9E370"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0116B0"/>
    <w:pPr>
      <w:spacing w:line="240" w:lineRule="auto"/>
    </w:pPr>
    <w:rPr>
      <w:lang w:val="en-AU"/>
    </w:rPr>
    <w:tblPr>
      <w:tblStyleRowBandSize w:val="1"/>
      <w:tblStyleColBandSize w:val="1"/>
      <w:tblBorders>
        <w:top w:val="single" w:sz="4" w:space="0" w:color="64F9B0" w:themeColor="accent2" w:themeTint="66"/>
        <w:left w:val="single" w:sz="4" w:space="0" w:color="64F9B0" w:themeColor="accent2" w:themeTint="66"/>
        <w:bottom w:val="single" w:sz="4" w:space="0" w:color="64F9B0" w:themeColor="accent2" w:themeTint="66"/>
        <w:right w:val="single" w:sz="4" w:space="0" w:color="64F9B0" w:themeColor="accent2" w:themeTint="66"/>
        <w:insideH w:val="single" w:sz="4" w:space="0" w:color="64F9B0" w:themeColor="accent2" w:themeTint="66"/>
        <w:insideV w:val="single" w:sz="4" w:space="0" w:color="64F9B0" w:themeColor="accent2" w:themeTint="66"/>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2" w:space="0" w:color="17F68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0116B0"/>
    <w:pPr>
      <w:spacing w:line="240" w:lineRule="auto"/>
    </w:pPr>
    <w:rPr>
      <w:lang w:val="en-AU"/>
    </w:rPr>
    <w:tblPr>
      <w:tblStyleRowBandSize w:val="1"/>
      <w:tblStyleColBandSize w:val="1"/>
      <w:tblBorders>
        <w:top w:val="single" w:sz="4" w:space="0" w:color="C0E1F4" w:themeColor="accent3" w:themeTint="66"/>
        <w:left w:val="single" w:sz="4" w:space="0" w:color="C0E1F4" w:themeColor="accent3" w:themeTint="66"/>
        <w:bottom w:val="single" w:sz="4" w:space="0" w:color="C0E1F4" w:themeColor="accent3" w:themeTint="66"/>
        <w:right w:val="single" w:sz="4" w:space="0" w:color="C0E1F4" w:themeColor="accent3" w:themeTint="66"/>
        <w:insideH w:val="single" w:sz="4" w:space="0" w:color="C0E1F4" w:themeColor="accent3" w:themeTint="66"/>
        <w:insideV w:val="single" w:sz="4" w:space="0" w:color="C0E1F4" w:themeColor="accent3" w:themeTint="66"/>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2" w:space="0" w:color="A0D2E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0116B0"/>
    <w:pPr>
      <w:spacing w:line="240" w:lineRule="auto"/>
    </w:pPr>
    <w:rPr>
      <w:lang w:val="en-AU"/>
    </w:rPr>
    <w:tblPr>
      <w:tblStyleRowBandSize w:val="1"/>
      <w:tblStyleColBandSize w:val="1"/>
      <w:tblBorders>
        <w:top w:val="single" w:sz="4" w:space="0" w:color="5E8FFD" w:themeColor="accent4" w:themeTint="66"/>
        <w:left w:val="single" w:sz="4" w:space="0" w:color="5E8FFD" w:themeColor="accent4" w:themeTint="66"/>
        <w:bottom w:val="single" w:sz="4" w:space="0" w:color="5E8FFD" w:themeColor="accent4" w:themeTint="66"/>
        <w:right w:val="single" w:sz="4" w:space="0" w:color="5E8FFD" w:themeColor="accent4" w:themeTint="66"/>
        <w:insideH w:val="single" w:sz="4" w:space="0" w:color="5E8FFD" w:themeColor="accent4" w:themeTint="66"/>
        <w:insideV w:val="single" w:sz="4" w:space="0" w:color="5E8FFD" w:themeColor="accent4" w:themeTint="66"/>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2" w:space="0" w:color="0E57FC"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0116B0"/>
    <w:pPr>
      <w:spacing w:line="240" w:lineRule="auto"/>
    </w:pPr>
    <w:rPr>
      <w:lang w:val="en-AU"/>
    </w:rPr>
    <w:tblPr>
      <w:tblStyleRowBandSize w:val="1"/>
      <w:tblStyleColBandSize w:val="1"/>
      <w:tblBorders>
        <w:top w:val="single" w:sz="4" w:space="0" w:color="76EFFF" w:themeColor="accent5" w:themeTint="66"/>
        <w:left w:val="single" w:sz="4" w:space="0" w:color="76EFFF" w:themeColor="accent5" w:themeTint="66"/>
        <w:bottom w:val="single" w:sz="4" w:space="0" w:color="76EFFF" w:themeColor="accent5" w:themeTint="66"/>
        <w:right w:val="single" w:sz="4" w:space="0" w:color="76EFFF" w:themeColor="accent5" w:themeTint="66"/>
        <w:insideH w:val="single" w:sz="4" w:space="0" w:color="76EFFF" w:themeColor="accent5" w:themeTint="66"/>
        <w:insideV w:val="single" w:sz="4" w:space="0" w:color="76EFFF" w:themeColor="accent5" w:themeTint="66"/>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2" w:space="0" w:color="32E8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0116B0"/>
    <w:pPr>
      <w:spacing w:line="240" w:lineRule="auto"/>
    </w:pPr>
    <w:rPr>
      <w:lang w:val="en-AU"/>
    </w:rPr>
    <w:tblPr>
      <w:tblStyleRowBandSize w:val="1"/>
      <w:tblStyleColBandSize w:val="1"/>
      <w:tblBorders>
        <w:top w:val="single" w:sz="4" w:space="0" w:color="C7C8CA" w:themeColor="accent6" w:themeTint="66"/>
        <w:left w:val="single" w:sz="4" w:space="0" w:color="C7C8CA" w:themeColor="accent6" w:themeTint="66"/>
        <w:bottom w:val="single" w:sz="4" w:space="0" w:color="C7C8CA" w:themeColor="accent6" w:themeTint="66"/>
        <w:right w:val="single" w:sz="4" w:space="0" w:color="C7C8CA" w:themeColor="accent6" w:themeTint="66"/>
        <w:insideH w:val="single" w:sz="4" w:space="0" w:color="C7C8CA" w:themeColor="accent6" w:themeTint="66"/>
        <w:insideV w:val="single" w:sz="4" w:space="0" w:color="C7C8CA" w:themeColor="accent6" w:themeTint="66"/>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2" w:space="0" w:color="ABADB0"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0116B0"/>
    <w:pPr>
      <w:spacing w:line="240" w:lineRule="auto"/>
    </w:pPr>
    <w:rPr>
      <w:lang w:val="en-A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0116B0"/>
    <w:pPr>
      <w:spacing w:line="240" w:lineRule="auto"/>
    </w:pPr>
    <w:rPr>
      <w:lang w:val="en-AU"/>
    </w:rPr>
    <w:tblPr>
      <w:tblStyleRowBandSize w:val="1"/>
      <w:tblStyleColBandSize w:val="1"/>
      <w:tblBorders>
        <w:top w:val="single" w:sz="2" w:space="0" w:color="B9E370" w:themeColor="accent1" w:themeTint="99"/>
        <w:bottom w:val="single" w:sz="2" w:space="0" w:color="B9E370" w:themeColor="accent1" w:themeTint="99"/>
        <w:insideH w:val="single" w:sz="2" w:space="0" w:color="B9E370" w:themeColor="accent1" w:themeTint="99"/>
        <w:insideV w:val="single" w:sz="2" w:space="0" w:color="B9E370" w:themeColor="accent1" w:themeTint="99"/>
      </w:tblBorders>
    </w:tblPr>
    <w:tblStylePr w:type="firstRow">
      <w:rPr>
        <w:b/>
        <w:bCs/>
      </w:rPr>
      <w:tblPr/>
      <w:tcPr>
        <w:tcBorders>
          <w:top w:val="nil"/>
          <w:bottom w:val="single" w:sz="12" w:space="0" w:color="B9E370" w:themeColor="accent1" w:themeTint="99"/>
          <w:insideH w:val="nil"/>
          <w:insideV w:val="nil"/>
        </w:tcBorders>
        <w:shd w:val="clear" w:color="auto" w:fill="FFFFFF" w:themeFill="background1"/>
      </w:tcPr>
    </w:tblStylePr>
    <w:tblStylePr w:type="lastRow">
      <w:rPr>
        <w:b/>
        <w:bCs/>
      </w:rPr>
      <w:tblPr/>
      <w:tcPr>
        <w:tcBorders>
          <w:top w:val="double" w:sz="2" w:space="0" w:color="B9E370"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2-Accent2">
    <w:name w:val="Grid Table 2 Accent 2"/>
    <w:basedOn w:val="TableNormal"/>
    <w:uiPriority w:val="47"/>
    <w:rsid w:val="000116B0"/>
    <w:pPr>
      <w:spacing w:line="240" w:lineRule="auto"/>
    </w:pPr>
    <w:rPr>
      <w:lang w:val="en-AU"/>
    </w:rPr>
    <w:tblPr>
      <w:tblStyleRowBandSize w:val="1"/>
      <w:tblStyleColBandSize w:val="1"/>
      <w:tblBorders>
        <w:top w:val="single" w:sz="2" w:space="0" w:color="17F689" w:themeColor="accent2" w:themeTint="99"/>
        <w:bottom w:val="single" w:sz="2" w:space="0" w:color="17F689" w:themeColor="accent2" w:themeTint="99"/>
        <w:insideH w:val="single" w:sz="2" w:space="0" w:color="17F689" w:themeColor="accent2" w:themeTint="99"/>
        <w:insideV w:val="single" w:sz="2" w:space="0" w:color="17F689" w:themeColor="accent2" w:themeTint="99"/>
      </w:tblBorders>
    </w:tblPr>
    <w:tblStylePr w:type="firstRow">
      <w:rPr>
        <w:b/>
        <w:bCs/>
      </w:rPr>
      <w:tblPr/>
      <w:tcPr>
        <w:tcBorders>
          <w:top w:val="nil"/>
          <w:bottom w:val="single" w:sz="12" w:space="0" w:color="17F689" w:themeColor="accent2" w:themeTint="99"/>
          <w:insideH w:val="nil"/>
          <w:insideV w:val="nil"/>
        </w:tcBorders>
        <w:shd w:val="clear" w:color="auto" w:fill="FFFFFF" w:themeFill="background1"/>
      </w:tcPr>
    </w:tblStylePr>
    <w:tblStylePr w:type="lastRow">
      <w:rPr>
        <w:b/>
        <w:bCs/>
      </w:rPr>
      <w:tblPr/>
      <w:tcPr>
        <w:tcBorders>
          <w:top w:val="double" w:sz="2" w:space="0" w:color="17F68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2-Accent3">
    <w:name w:val="Grid Table 2 Accent 3"/>
    <w:basedOn w:val="TableNormal"/>
    <w:uiPriority w:val="47"/>
    <w:rsid w:val="000116B0"/>
    <w:pPr>
      <w:spacing w:line="240" w:lineRule="auto"/>
    </w:pPr>
    <w:rPr>
      <w:lang w:val="en-AU"/>
    </w:rPr>
    <w:tblPr>
      <w:tblStyleRowBandSize w:val="1"/>
      <w:tblStyleColBandSize w:val="1"/>
      <w:tblBorders>
        <w:top w:val="single" w:sz="2" w:space="0" w:color="A0D2EF" w:themeColor="accent3" w:themeTint="99"/>
        <w:bottom w:val="single" w:sz="2" w:space="0" w:color="A0D2EF" w:themeColor="accent3" w:themeTint="99"/>
        <w:insideH w:val="single" w:sz="2" w:space="0" w:color="A0D2EF" w:themeColor="accent3" w:themeTint="99"/>
        <w:insideV w:val="single" w:sz="2" w:space="0" w:color="A0D2EF" w:themeColor="accent3" w:themeTint="99"/>
      </w:tblBorders>
    </w:tblPr>
    <w:tblStylePr w:type="firstRow">
      <w:rPr>
        <w:b/>
        <w:bCs/>
      </w:rPr>
      <w:tblPr/>
      <w:tcPr>
        <w:tcBorders>
          <w:top w:val="nil"/>
          <w:bottom w:val="single" w:sz="12" w:space="0" w:color="A0D2EF" w:themeColor="accent3" w:themeTint="99"/>
          <w:insideH w:val="nil"/>
          <w:insideV w:val="nil"/>
        </w:tcBorders>
        <w:shd w:val="clear" w:color="auto" w:fill="FFFFFF" w:themeFill="background1"/>
      </w:tcPr>
    </w:tblStylePr>
    <w:tblStylePr w:type="lastRow">
      <w:rPr>
        <w:b/>
        <w:bCs/>
      </w:rPr>
      <w:tblPr/>
      <w:tcPr>
        <w:tcBorders>
          <w:top w:val="double" w:sz="2" w:space="0" w:color="A0D2E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2-Accent4">
    <w:name w:val="Grid Table 2 Accent 4"/>
    <w:basedOn w:val="TableNormal"/>
    <w:uiPriority w:val="47"/>
    <w:rsid w:val="000116B0"/>
    <w:pPr>
      <w:spacing w:line="240" w:lineRule="auto"/>
    </w:pPr>
    <w:rPr>
      <w:lang w:val="en-AU"/>
    </w:rPr>
    <w:tblPr>
      <w:tblStyleRowBandSize w:val="1"/>
      <w:tblStyleColBandSize w:val="1"/>
      <w:tblBorders>
        <w:top w:val="single" w:sz="2" w:space="0" w:color="0E57FC" w:themeColor="accent4" w:themeTint="99"/>
        <w:bottom w:val="single" w:sz="2" w:space="0" w:color="0E57FC" w:themeColor="accent4" w:themeTint="99"/>
        <w:insideH w:val="single" w:sz="2" w:space="0" w:color="0E57FC" w:themeColor="accent4" w:themeTint="99"/>
        <w:insideV w:val="single" w:sz="2" w:space="0" w:color="0E57FC" w:themeColor="accent4" w:themeTint="99"/>
      </w:tblBorders>
    </w:tblPr>
    <w:tblStylePr w:type="firstRow">
      <w:rPr>
        <w:b/>
        <w:bCs/>
      </w:rPr>
      <w:tblPr/>
      <w:tcPr>
        <w:tcBorders>
          <w:top w:val="nil"/>
          <w:bottom w:val="single" w:sz="12" w:space="0" w:color="0E57FC" w:themeColor="accent4" w:themeTint="99"/>
          <w:insideH w:val="nil"/>
          <w:insideV w:val="nil"/>
        </w:tcBorders>
        <w:shd w:val="clear" w:color="auto" w:fill="FFFFFF" w:themeFill="background1"/>
      </w:tcPr>
    </w:tblStylePr>
    <w:tblStylePr w:type="lastRow">
      <w:rPr>
        <w:b/>
        <w:bCs/>
      </w:rPr>
      <w:tblPr/>
      <w:tcPr>
        <w:tcBorders>
          <w:top w:val="double" w:sz="2" w:space="0" w:color="0E57F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2-Accent5">
    <w:name w:val="Grid Table 2 Accent 5"/>
    <w:basedOn w:val="TableNormal"/>
    <w:uiPriority w:val="47"/>
    <w:rsid w:val="000116B0"/>
    <w:pPr>
      <w:spacing w:line="240" w:lineRule="auto"/>
    </w:pPr>
    <w:rPr>
      <w:lang w:val="en-AU"/>
    </w:rPr>
    <w:tblPr>
      <w:tblStyleRowBandSize w:val="1"/>
      <w:tblStyleColBandSize w:val="1"/>
      <w:tblBorders>
        <w:top w:val="single" w:sz="2" w:space="0" w:color="32E8FF" w:themeColor="accent5" w:themeTint="99"/>
        <w:bottom w:val="single" w:sz="2" w:space="0" w:color="32E8FF" w:themeColor="accent5" w:themeTint="99"/>
        <w:insideH w:val="single" w:sz="2" w:space="0" w:color="32E8FF" w:themeColor="accent5" w:themeTint="99"/>
        <w:insideV w:val="single" w:sz="2" w:space="0" w:color="32E8FF" w:themeColor="accent5" w:themeTint="99"/>
      </w:tblBorders>
    </w:tblPr>
    <w:tblStylePr w:type="firstRow">
      <w:rPr>
        <w:b/>
        <w:bCs/>
      </w:rPr>
      <w:tblPr/>
      <w:tcPr>
        <w:tcBorders>
          <w:top w:val="nil"/>
          <w:bottom w:val="single" w:sz="12" w:space="0" w:color="32E8FF" w:themeColor="accent5" w:themeTint="99"/>
          <w:insideH w:val="nil"/>
          <w:insideV w:val="nil"/>
        </w:tcBorders>
        <w:shd w:val="clear" w:color="auto" w:fill="FFFFFF" w:themeFill="background1"/>
      </w:tcPr>
    </w:tblStylePr>
    <w:tblStylePr w:type="lastRow">
      <w:rPr>
        <w:b/>
        <w:bCs/>
      </w:rPr>
      <w:tblPr/>
      <w:tcPr>
        <w:tcBorders>
          <w:top w:val="double" w:sz="2" w:space="0" w:color="32E8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2-Accent6">
    <w:name w:val="Grid Table 2 Accent 6"/>
    <w:basedOn w:val="TableNormal"/>
    <w:uiPriority w:val="47"/>
    <w:rsid w:val="000116B0"/>
    <w:pPr>
      <w:spacing w:line="240" w:lineRule="auto"/>
    </w:pPr>
    <w:rPr>
      <w:lang w:val="en-AU"/>
    </w:rPr>
    <w:tblPr>
      <w:tblStyleRowBandSize w:val="1"/>
      <w:tblStyleColBandSize w:val="1"/>
      <w:tblBorders>
        <w:top w:val="single" w:sz="2" w:space="0" w:color="ABADB0" w:themeColor="accent6" w:themeTint="99"/>
        <w:bottom w:val="single" w:sz="2" w:space="0" w:color="ABADB0" w:themeColor="accent6" w:themeTint="99"/>
        <w:insideH w:val="single" w:sz="2" w:space="0" w:color="ABADB0" w:themeColor="accent6" w:themeTint="99"/>
        <w:insideV w:val="single" w:sz="2" w:space="0" w:color="ABADB0" w:themeColor="accent6" w:themeTint="99"/>
      </w:tblBorders>
    </w:tblPr>
    <w:tblStylePr w:type="firstRow">
      <w:rPr>
        <w:b/>
        <w:bCs/>
      </w:rPr>
      <w:tblPr/>
      <w:tcPr>
        <w:tcBorders>
          <w:top w:val="nil"/>
          <w:bottom w:val="single" w:sz="12" w:space="0" w:color="ABADB0" w:themeColor="accent6" w:themeTint="99"/>
          <w:insideH w:val="nil"/>
          <w:insideV w:val="nil"/>
        </w:tcBorders>
        <w:shd w:val="clear" w:color="auto" w:fill="FFFFFF" w:themeFill="background1"/>
      </w:tcPr>
    </w:tblStylePr>
    <w:tblStylePr w:type="lastRow">
      <w:rPr>
        <w:b/>
        <w:bCs/>
      </w:rPr>
      <w:tblPr/>
      <w:tcPr>
        <w:tcBorders>
          <w:top w:val="double" w:sz="2" w:space="0" w:color="ABADB0"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3">
    <w:name w:val="Grid Table 3"/>
    <w:basedOn w:val="TableNormal"/>
    <w:uiPriority w:val="48"/>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3-Accent2">
    <w:name w:val="Grid Table 3 Accent 2"/>
    <w:basedOn w:val="TableNormal"/>
    <w:uiPriority w:val="48"/>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3-Accent3">
    <w:name w:val="Grid Table 3 Accent 3"/>
    <w:basedOn w:val="TableNormal"/>
    <w:uiPriority w:val="48"/>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3-Accent4">
    <w:name w:val="Grid Table 3 Accent 4"/>
    <w:basedOn w:val="TableNormal"/>
    <w:uiPriority w:val="48"/>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3-Accent5">
    <w:name w:val="Grid Table 3 Accent 5"/>
    <w:basedOn w:val="TableNormal"/>
    <w:uiPriority w:val="48"/>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3-Accent6">
    <w:name w:val="Grid Table 3 Accent 6"/>
    <w:basedOn w:val="TableNormal"/>
    <w:uiPriority w:val="48"/>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GridTable4">
    <w:name w:val="Grid Table 4"/>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insideV w:val="nil"/>
        </w:tcBorders>
        <w:shd w:val="clear" w:color="auto" w:fill="86BC25" w:themeFill="accent1"/>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4-Accent2">
    <w:name w:val="Grid Table 4 Accent 2"/>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insideV w:val="nil"/>
        </w:tcBorders>
        <w:shd w:val="clear" w:color="auto" w:fill="046A38" w:themeFill="accent2"/>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4-Accent3">
    <w:name w:val="Grid Table 4 Accent 3"/>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insideV w:val="nil"/>
        </w:tcBorders>
        <w:shd w:val="clear" w:color="auto" w:fill="62B5E5" w:themeFill="accent3"/>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4-Accent4">
    <w:name w:val="Grid Table 4 Accent 4"/>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insideV w:val="nil"/>
        </w:tcBorders>
        <w:shd w:val="clear" w:color="auto" w:fill="012169" w:themeFill="accent4"/>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4-Accent5">
    <w:name w:val="Grid Table 4 Accent 5"/>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insideV w:val="nil"/>
        </w:tcBorders>
        <w:shd w:val="clear" w:color="auto" w:fill="0097A9" w:themeFill="accent5"/>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4-Accent6">
    <w:name w:val="Grid Table 4 Accent 6"/>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insideV w:val="nil"/>
        </w:tcBorders>
        <w:shd w:val="clear" w:color="auto" w:fill="75787B" w:themeFill="accent6"/>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5Dark">
    <w:name w:val="Grid Table 5 Dark"/>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5C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6BC2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6BC2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6BC2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6BC25" w:themeFill="accent1"/>
      </w:tcPr>
    </w:tblStylePr>
    <w:tblStylePr w:type="band1Vert">
      <w:tblPr/>
      <w:tcPr>
        <w:shd w:val="clear" w:color="auto" w:fill="D0EC9F" w:themeFill="accent1" w:themeFillTint="66"/>
      </w:tcPr>
    </w:tblStylePr>
    <w:tblStylePr w:type="band1Horz">
      <w:tblPr/>
      <w:tcPr>
        <w:shd w:val="clear" w:color="auto" w:fill="D0EC9F" w:themeFill="accent1" w:themeFillTint="66"/>
      </w:tcPr>
    </w:tblStylePr>
  </w:style>
  <w:style w:type="table" w:styleId="GridTable5Dark-Accent2">
    <w:name w:val="Grid Table 5 Dark Accent 2"/>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1FCD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6A3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6A3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6A3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6A38" w:themeFill="accent2"/>
      </w:tcPr>
    </w:tblStylePr>
    <w:tblStylePr w:type="band1Vert">
      <w:tblPr/>
      <w:tcPr>
        <w:shd w:val="clear" w:color="auto" w:fill="64F9B0" w:themeFill="accent2" w:themeFillTint="66"/>
      </w:tcPr>
    </w:tblStylePr>
    <w:tblStylePr w:type="band1Horz">
      <w:tblPr/>
      <w:tcPr>
        <w:shd w:val="clear" w:color="auto" w:fill="64F9B0" w:themeFill="accent2" w:themeFillTint="66"/>
      </w:tcPr>
    </w:tblStylePr>
  </w:style>
  <w:style w:type="table" w:styleId="GridTable5Dark-Accent3">
    <w:name w:val="Grid Table 5 Dark Accent 3"/>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F0F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2B5E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2B5E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2B5E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2B5E5" w:themeFill="accent3"/>
      </w:tcPr>
    </w:tblStylePr>
    <w:tblStylePr w:type="band1Vert">
      <w:tblPr/>
      <w:tcPr>
        <w:shd w:val="clear" w:color="auto" w:fill="C0E1F4" w:themeFill="accent3" w:themeFillTint="66"/>
      </w:tcPr>
    </w:tblStylePr>
    <w:tblStylePr w:type="band1Horz">
      <w:tblPr/>
      <w:tcPr>
        <w:shd w:val="clear" w:color="auto" w:fill="C0E1F4" w:themeFill="accent3" w:themeFillTint="66"/>
      </w:tcPr>
    </w:tblStylePr>
  </w:style>
  <w:style w:type="table" w:styleId="GridTable5Dark-Accent4">
    <w:name w:val="Grid Table 5 Dark Accent 4"/>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EC7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1216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1216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1216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12169" w:themeFill="accent4"/>
      </w:tcPr>
    </w:tblStylePr>
    <w:tblStylePr w:type="band1Vert">
      <w:tblPr/>
      <w:tcPr>
        <w:shd w:val="clear" w:color="auto" w:fill="5E8FFD" w:themeFill="accent4" w:themeFillTint="66"/>
      </w:tcPr>
    </w:tblStylePr>
    <w:tblStylePr w:type="band1Horz">
      <w:tblPr/>
      <w:tcPr>
        <w:shd w:val="clear" w:color="auto" w:fill="5E8FFD" w:themeFill="accent4" w:themeFillTint="66"/>
      </w:tcPr>
    </w:tblStylePr>
  </w:style>
  <w:style w:type="table" w:styleId="GridTable5Dark-Accent5">
    <w:name w:val="Grid Table 5 Dark Accent 5"/>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AF7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7A9"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7A9"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7A9"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7A9" w:themeFill="accent5"/>
      </w:tcPr>
    </w:tblStylePr>
    <w:tblStylePr w:type="band1Vert">
      <w:tblPr/>
      <w:tcPr>
        <w:shd w:val="clear" w:color="auto" w:fill="76EFFF" w:themeFill="accent5" w:themeFillTint="66"/>
      </w:tcPr>
    </w:tblStylePr>
    <w:tblStylePr w:type="band1Horz">
      <w:tblPr/>
      <w:tcPr>
        <w:shd w:val="clear" w:color="auto" w:fill="76EFFF" w:themeFill="accent5" w:themeFillTint="66"/>
      </w:tcPr>
    </w:tblStylePr>
  </w:style>
  <w:style w:type="table" w:styleId="GridTable5Dark-Accent6">
    <w:name w:val="Grid Table 5 Dark Accent 6"/>
    <w:basedOn w:val="TableNormal"/>
    <w:uiPriority w:val="50"/>
    <w:rsid w:val="000116B0"/>
    <w:pPr>
      <w:spacing w:line="240" w:lineRule="auto"/>
    </w:pPr>
    <w:rPr>
      <w:lang w:val="en-A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3E4"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787B"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787B"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787B"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787B" w:themeFill="accent6"/>
      </w:tcPr>
    </w:tblStylePr>
    <w:tblStylePr w:type="band1Vert">
      <w:tblPr/>
      <w:tcPr>
        <w:shd w:val="clear" w:color="auto" w:fill="C7C8CA" w:themeFill="accent6" w:themeFillTint="66"/>
      </w:tcPr>
    </w:tblStylePr>
    <w:tblStylePr w:type="band1Horz">
      <w:tblPr/>
      <w:tcPr>
        <w:shd w:val="clear" w:color="auto" w:fill="C7C8CA" w:themeFill="accent6" w:themeFillTint="66"/>
      </w:tcPr>
    </w:tblStylePr>
  </w:style>
  <w:style w:type="table" w:styleId="GridTable6Colorful">
    <w:name w:val="Grid Table 6 Colorful"/>
    <w:basedOn w:val="TableNormal"/>
    <w:uiPriority w:val="51"/>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bottom w:val="single" w:sz="12" w:space="0" w:color="B9E370" w:themeColor="accent1" w:themeTint="99"/>
        </w:tcBorders>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GridTable6Colorful-Accent2">
    <w:name w:val="Grid Table 6 Colorful Accent 2"/>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bottom w:val="single" w:sz="12" w:space="0" w:color="17F689" w:themeColor="accent2" w:themeTint="99"/>
        </w:tcBorders>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GridTable6Colorful-Accent3">
    <w:name w:val="Grid Table 6 Colorful Accent 3"/>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bottom w:val="single" w:sz="12" w:space="0" w:color="A0D2EF" w:themeColor="accent3" w:themeTint="99"/>
        </w:tcBorders>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GridTable6Colorful-Accent4">
    <w:name w:val="Grid Table 6 Colorful Accent 4"/>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bottom w:val="single" w:sz="12" w:space="0" w:color="0E57FC" w:themeColor="accent4" w:themeTint="99"/>
        </w:tcBorders>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GridTable6Colorful-Accent5">
    <w:name w:val="Grid Table 6 Colorful Accent 5"/>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bottom w:val="single" w:sz="12" w:space="0" w:color="32E8FF" w:themeColor="accent5" w:themeTint="99"/>
        </w:tcBorders>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GridTable6Colorful-Accent6">
    <w:name w:val="Grid Table 6 Colorful Accent 6"/>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bottom w:val="single" w:sz="12" w:space="0" w:color="ABADB0" w:themeColor="accent6" w:themeTint="99"/>
        </w:tcBorders>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GridTable7Colorful">
    <w:name w:val="Grid Table 7 Colorful"/>
    <w:basedOn w:val="TableNormal"/>
    <w:uiPriority w:val="52"/>
    <w:rsid w:val="000116B0"/>
    <w:pPr>
      <w:spacing w:line="240" w:lineRule="auto"/>
    </w:pPr>
    <w:rPr>
      <w:color w:val="000000" w:themeColor="text1"/>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0116B0"/>
    <w:pPr>
      <w:spacing w:line="240" w:lineRule="auto"/>
    </w:pPr>
    <w:rPr>
      <w:color w:val="638C1B" w:themeColor="accent1" w:themeShade="BF"/>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insideV w:val="single" w:sz="4" w:space="0" w:color="B9E370"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bottom w:val="single" w:sz="4" w:space="0" w:color="B9E370" w:themeColor="accent1" w:themeTint="99"/>
        </w:tcBorders>
      </w:tcPr>
    </w:tblStylePr>
    <w:tblStylePr w:type="nwCell">
      <w:tblPr/>
      <w:tcPr>
        <w:tcBorders>
          <w:bottom w:val="single" w:sz="4" w:space="0" w:color="B9E370" w:themeColor="accent1" w:themeTint="99"/>
        </w:tcBorders>
      </w:tcPr>
    </w:tblStylePr>
    <w:tblStylePr w:type="seCell">
      <w:tblPr/>
      <w:tcPr>
        <w:tcBorders>
          <w:top w:val="single" w:sz="4" w:space="0" w:color="B9E370" w:themeColor="accent1" w:themeTint="99"/>
        </w:tcBorders>
      </w:tcPr>
    </w:tblStylePr>
    <w:tblStylePr w:type="swCell">
      <w:tblPr/>
      <w:tcPr>
        <w:tcBorders>
          <w:top w:val="single" w:sz="4" w:space="0" w:color="B9E370" w:themeColor="accent1" w:themeTint="99"/>
        </w:tcBorders>
      </w:tcPr>
    </w:tblStylePr>
  </w:style>
  <w:style w:type="table" w:styleId="GridTable7Colorful-Accent2">
    <w:name w:val="Grid Table 7 Colorful Accent 2"/>
    <w:basedOn w:val="TableNormal"/>
    <w:uiPriority w:val="52"/>
    <w:rsid w:val="000116B0"/>
    <w:pPr>
      <w:spacing w:line="240" w:lineRule="auto"/>
    </w:pPr>
    <w:rPr>
      <w:color w:val="034F29" w:themeColor="accent2" w:themeShade="BF"/>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insideV w:val="single" w:sz="4" w:space="0" w:color="17F68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bottom w:val="single" w:sz="4" w:space="0" w:color="17F689" w:themeColor="accent2" w:themeTint="99"/>
        </w:tcBorders>
      </w:tcPr>
    </w:tblStylePr>
    <w:tblStylePr w:type="nwCell">
      <w:tblPr/>
      <w:tcPr>
        <w:tcBorders>
          <w:bottom w:val="single" w:sz="4" w:space="0" w:color="17F689" w:themeColor="accent2" w:themeTint="99"/>
        </w:tcBorders>
      </w:tcPr>
    </w:tblStylePr>
    <w:tblStylePr w:type="seCell">
      <w:tblPr/>
      <w:tcPr>
        <w:tcBorders>
          <w:top w:val="single" w:sz="4" w:space="0" w:color="17F689" w:themeColor="accent2" w:themeTint="99"/>
        </w:tcBorders>
      </w:tcPr>
    </w:tblStylePr>
    <w:tblStylePr w:type="swCell">
      <w:tblPr/>
      <w:tcPr>
        <w:tcBorders>
          <w:top w:val="single" w:sz="4" w:space="0" w:color="17F689" w:themeColor="accent2" w:themeTint="99"/>
        </w:tcBorders>
      </w:tcPr>
    </w:tblStylePr>
  </w:style>
  <w:style w:type="table" w:styleId="GridTable7Colorful-Accent3">
    <w:name w:val="Grid Table 7 Colorful Accent 3"/>
    <w:basedOn w:val="TableNormal"/>
    <w:uiPriority w:val="52"/>
    <w:rsid w:val="000116B0"/>
    <w:pPr>
      <w:spacing w:line="240" w:lineRule="auto"/>
    </w:pPr>
    <w:rPr>
      <w:color w:val="2291D1" w:themeColor="accent3" w:themeShade="BF"/>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insideV w:val="single" w:sz="4" w:space="0" w:color="A0D2E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bottom w:val="single" w:sz="4" w:space="0" w:color="A0D2EF" w:themeColor="accent3" w:themeTint="99"/>
        </w:tcBorders>
      </w:tcPr>
    </w:tblStylePr>
    <w:tblStylePr w:type="nwCell">
      <w:tblPr/>
      <w:tcPr>
        <w:tcBorders>
          <w:bottom w:val="single" w:sz="4" w:space="0" w:color="A0D2EF" w:themeColor="accent3" w:themeTint="99"/>
        </w:tcBorders>
      </w:tcPr>
    </w:tblStylePr>
    <w:tblStylePr w:type="seCell">
      <w:tblPr/>
      <w:tcPr>
        <w:tcBorders>
          <w:top w:val="single" w:sz="4" w:space="0" w:color="A0D2EF" w:themeColor="accent3" w:themeTint="99"/>
        </w:tcBorders>
      </w:tcPr>
    </w:tblStylePr>
    <w:tblStylePr w:type="swCell">
      <w:tblPr/>
      <w:tcPr>
        <w:tcBorders>
          <w:top w:val="single" w:sz="4" w:space="0" w:color="A0D2EF" w:themeColor="accent3" w:themeTint="99"/>
        </w:tcBorders>
      </w:tcPr>
    </w:tblStylePr>
  </w:style>
  <w:style w:type="table" w:styleId="GridTable7Colorful-Accent4">
    <w:name w:val="Grid Table 7 Colorful Accent 4"/>
    <w:basedOn w:val="TableNormal"/>
    <w:uiPriority w:val="52"/>
    <w:rsid w:val="000116B0"/>
    <w:pPr>
      <w:spacing w:line="240" w:lineRule="auto"/>
    </w:pPr>
    <w:rPr>
      <w:color w:val="00184E" w:themeColor="accent4" w:themeShade="BF"/>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insideV w:val="single" w:sz="4" w:space="0" w:color="0E57F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bottom w:val="single" w:sz="4" w:space="0" w:color="0E57FC" w:themeColor="accent4" w:themeTint="99"/>
        </w:tcBorders>
      </w:tcPr>
    </w:tblStylePr>
    <w:tblStylePr w:type="nwCell">
      <w:tblPr/>
      <w:tcPr>
        <w:tcBorders>
          <w:bottom w:val="single" w:sz="4" w:space="0" w:color="0E57FC" w:themeColor="accent4" w:themeTint="99"/>
        </w:tcBorders>
      </w:tcPr>
    </w:tblStylePr>
    <w:tblStylePr w:type="seCell">
      <w:tblPr/>
      <w:tcPr>
        <w:tcBorders>
          <w:top w:val="single" w:sz="4" w:space="0" w:color="0E57FC" w:themeColor="accent4" w:themeTint="99"/>
        </w:tcBorders>
      </w:tcPr>
    </w:tblStylePr>
    <w:tblStylePr w:type="swCell">
      <w:tblPr/>
      <w:tcPr>
        <w:tcBorders>
          <w:top w:val="single" w:sz="4" w:space="0" w:color="0E57FC" w:themeColor="accent4" w:themeTint="99"/>
        </w:tcBorders>
      </w:tcPr>
    </w:tblStylePr>
  </w:style>
  <w:style w:type="table" w:styleId="GridTable7Colorful-Accent5">
    <w:name w:val="Grid Table 7 Colorful Accent 5"/>
    <w:basedOn w:val="TableNormal"/>
    <w:uiPriority w:val="52"/>
    <w:rsid w:val="000116B0"/>
    <w:pPr>
      <w:spacing w:line="240" w:lineRule="auto"/>
    </w:pPr>
    <w:rPr>
      <w:color w:val="00707E" w:themeColor="accent5" w:themeShade="BF"/>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insideV w:val="single" w:sz="4" w:space="0" w:color="32E8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bottom w:val="single" w:sz="4" w:space="0" w:color="32E8FF" w:themeColor="accent5" w:themeTint="99"/>
        </w:tcBorders>
      </w:tcPr>
    </w:tblStylePr>
    <w:tblStylePr w:type="nwCell">
      <w:tblPr/>
      <w:tcPr>
        <w:tcBorders>
          <w:bottom w:val="single" w:sz="4" w:space="0" w:color="32E8FF" w:themeColor="accent5" w:themeTint="99"/>
        </w:tcBorders>
      </w:tcPr>
    </w:tblStylePr>
    <w:tblStylePr w:type="seCell">
      <w:tblPr/>
      <w:tcPr>
        <w:tcBorders>
          <w:top w:val="single" w:sz="4" w:space="0" w:color="32E8FF" w:themeColor="accent5" w:themeTint="99"/>
        </w:tcBorders>
      </w:tcPr>
    </w:tblStylePr>
    <w:tblStylePr w:type="swCell">
      <w:tblPr/>
      <w:tcPr>
        <w:tcBorders>
          <w:top w:val="single" w:sz="4" w:space="0" w:color="32E8FF" w:themeColor="accent5" w:themeTint="99"/>
        </w:tcBorders>
      </w:tcPr>
    </w:tblStylePr>
  </w:style>
  <w:style w:type="table" w:styleId="GridTable7Colorful-Accent6">
    <w:name w:val="Grid Table 7 Colorful Accent 6"/>
    <w:basedOn w:val="TableNormal"/>
    <w:uiPriority w:val="52"/>
    <w:rsid w:val="000116B0"/>
    <w:pPr>
      <w:spacing w:line="240" w:lineRule="auto"/>
    </w:pPr>
    <w:rPr>
      <w:color w:val="57595C" w:themeColor="accent6" w:themeShade="BF"/>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insideV w:val="single" w:sz="4" w:space="0" w:color="ABADB0"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bottom w:val="single" w:sz="4" w:space="0" w:color="ABADB0" w:themeColor="accent6" w:themeTint="99"/>
        </w:tcBorders>
      </w:tcPr>
    </w:tblStylePr>
    <w:tblStylePr w:type="nwCell">
      <w:tblPr/>
      <w:tcPr>
        <w:tcBorders>
          <w:bottom w:val="single" w:sz="4" w:space="0" w:color="ABADB0" w:themeColor="accent6" w:themeTint="99"/>
        </w:tcBorders>
      </w:tcPr>
    </w:tblStylePr>
    <w:tblStylePr w:type="seCell">
      <w:tblPr/>
      <w:tcPr>
        <w:tcBorders>
          <w:top w:val="single" w:sz="4" w:space="0" w:color="ABADB0" w:themeColor="accent6" w:themeTint="99"/>
        </w:tcBorders>
      </w:tcPr>
    </w:tblStylePr>
    <w:tblStylePr w:type="swCell">
      <w:tblPr/>
      <w:tcPr>
        <w:tcBorders>
          <w:top w:val="single" w:sz="4" w:space="0" w:color="ABADB0" w:themeColor="accent6" w:themeTint="99"/>
        </w:tcBorders>
      </w:tcPr>
    </w:tblStylePr>
  </w:style>
  <w:style w:type="table" w:styleId="ListTable1Light">
    <w:name w:val="List Table 1 Light"/>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B9E370" w:themeColor="accent1" w:themeTint="99"/>
        </w:tcBorders>
      </w:tcPr>
    </w:tblStylePr>
    <w:tblStylePr w:type="lastRow">
      <w:rPr>
        <w:b/>
        <w:bCs/>
      </w:rPr>
      <w:tblPr/>
      <w:tcPr>
        <w:tcBorders>
          <w:top w:val="sing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1Light-Accent2">
    <w:name w:val="List Table 1 Light Accent 2"/>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17F689" w:themeColor="accent2" w:themeTint="99"/>
        </w:tcBorders>
      </w:tcPr>
    </w:tblStylePr>
    <w:tblStylePr w:type="lastRow">
      <w:rPr>
        <w:b/>
        <w:bCs/>
      </w:rPr>
      <w:tblPr/>
      <w:tcPr>
        <w:tcBorders>
          <w:top w:val="sing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1Light-Accent3">
    <w:name w:val="List Table 1 Light Accent 3"/>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0D2EF" w:themeColor="accent3" w:themeTint="99"/>
        </w:tcBorders>
      </w:tcPr>
    </w:tblStylePr>
    <w:tblStylePr w:type="lastRow">
      <w:rPr>
        <w:b/>
        <w:bCs/>
      </w:rPr>
      <w:tblPr/>
      <w:tcPr>
        <w:tcBorders>
          <w:top w:val="sing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1Light-Accent4">
    <w:name w:val="List Table 1 Light Accent 4"/>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0E57FC" w:themeColor="accent4" w:themeTint="99"/>
        </w:tcBorders>
      </w:tcPr>
    </w:tblStylePr>
    <w:tblStylePr w:type="lastRow">
      <w:rPr>
        <w:b/>
        <w:bCs/>
      </w:rPr>
      <w:tblPr/>
      <w:tcPr>
        <w:tcBorders>
          <w:top w:val="sing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1Light-Accent5">
    <w:name w:val="List Table 1 Light Accent 5"/>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32E8FF" w:themeColor="accent5" w:themeTint="99"/>
        </w:tcBorders>
      </w:tcPr>
    </w:tblStylePr>
    <w:tblStylePr w:type="lastRow">
      <w:rPr>
        <w:b/>
        <w:bCs/>
      </w:rPr>
      <w:tblPr/>
      <w:tcPr>
        <w:tcBorders>
          <w:top w:val="sing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1Light-Accent6">
    <w:name w:val="List Table 1 Light Accent 6"/>
    <w:basedOn w:val="TableNormal"/>
    <w:uiPriority w:val="46"/>
    <w:rsid w:val="000116B0"/>
    <w:pPr>
      <w:spacing w:line="240" w:lineRule="auto"/>
    </w:pPr>
    <w:rPr>
      <w:lang w:val="en-AU"/>
    </w:rPr>
    <w:tblPr>
      <w:tblStyleRowBandSize w:val="1"/>
      <w:tblStyleColBandSize w:val="1"/>
    </w:tblPr>
    <w:tblStylePr w:type="firstRow">
      <w:rPr>
        <w:b/>
        <w:bCs/>
      </w:rPr>
      <w:tblPr/>
      <w:tcPr>
        <w:tcBorders>
          <w:bottom w:val="single" w:sz="4" w:space="0" w:color="ABADB0" w:themeColor="accent6" w:themeTint="99"/>
        </w:tcBorders>
      </w:tcPr>
    </w:tblStylePr>
    <w:tblStylePr w:type="lastRow">
      <w:rPr>
        <w:b/>
        <w:bCs/>
      </w:rPr>
      <w:tblPr/>
      <w:tcPr>
        <w:tcBorders>
          <w:top w:val="sing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2">
    <w:name w:val="List Table 2"/>
    <w:basedOn w:val="TableNormal"/>
    <w:uiPriority w:val="47"/>
    <w:rsid w:val="000116B0"/>
    <w:pPr>
      <w:spacing w:line="240" w:lineRule="auto"/>
    </w:pPr>
    <w:rPr>
      <w:lang w:val="en-A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0116B0"/>
    <w:pPr>
      <w:spacing w:line="240" w:lineRule="auto"/>
    </w:pPr>
    <w:rPr>
      <w:lang w:val="en-AU"/>
    </w:rPr>
    <w:tblPr>
      <w:tblStyleRowBandSize w:val="1"/>
      <w:tblStyleColBandSize w:val="1"/>
      <w:tblBorders>
        <w:top w:val="single" w:sz="4" w:space="0" w:color="B9E370" w:themeColor="accent1" w:themeTint="99"/>
        <w:bottom w:val="single" w:sz="4" w:space="0" w:color="B9E370" w:themeColor="accent1" w:themeTint="99"/>
        <w:insideH w:val="single" w:sz="4" w:space="0" w:color="B9E370"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2-Accent2">
    <w:name w:val="List Table 2 Accent 2"/>
    <w:basedOn w:val="TableNormal"/>
    <w:uiPriority w:val="47"/>
    <w:rsid w:val="000116B0"/>
    <w:pPr>
      <w:spacing w:line="240" w:lineRule="auto"/>
    </w:pPr>
    <w:rPr>
      <w:lang w:val="en-AU"/>
    </w:rPr>
    <w:tblPr>
      <w:tblStyleRowBandSize w:val="1"/>
      <w:tblStyleColBandSize w:val="1"/>
      <w:tblBorders>
        <w:top w:val="single" w:sz="4" w:space="0" w:color="17F689" w:themeColor="accent2" w:themeTint="99"/>
        <w:bottom w:val="single" w:sz="4" w:space="0" w:color="17F689" w:themeColor="accent2" w:themeTint="99"/>
        <w:insideH w:val="single" w:sz="4" w:space="0" w:color="17F68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2-Accent3">
    <w:name w:val="List Table 2 Accent 3"/>
    <w:basedOn w:val="TableNormal"/>
    <w:uiPriority w:val="47"/>
    <w:rsid w:val="000116B0"/>
    <w:pPr>
      <w:spacing w:line="240" w:lineRule="auto"/>
    </w:pPr>
    <w:rPr>
      <w:lang w:val="en-AU"/>
    </w:rPr>
    <w:tblPr>
      <w:tblStyleRowBandSize w:val="1"/>
      <w:tblStyleColBandSize w:val="1"/>
      <w:tblBorders>
        <w:top w:val="single" w:sz="4" w:space="0" w:color="A0D2EF" w:themeColor="accent3" w:themeTint="99"/>
        <w:bottom w:val="single" w:sz="4" w:space="0" w:color="A0D2EF" w:themeColor="accent3" w:themeTint="99"/>
        <w:insideH w:val="single" w:sz="4" w:space="0" w:color="A0D2E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2-Accent4">
    <w:name w:val="List Table 2 Accent 4"/>
    <w:basedOn w:val="TableNormal"/>
    <w:uiPriority w:val="47"/>
    <w:rsid w:val="000116B0"/>
    <w:pPr>
      <w:spacing w:line="240" w:lineRule="auto"/>
    </w:pPr>
    <w:rPr>
      <w:lang w:val="en-AU"/>
    </w:rPr>
    <w:tblPr>
      <w:tblStyleRowBandSize w:val="1"/>
      <w:tblStyleColBandSize w:val="1"/>
      <w:tblBorders>
        <w:top w:val="single" w:sz="4" w:space="0" w:color="0E57FC" w:themeColor="accent4" w:themeTint="99"/>
        <w:bottom w:val="single" w:sz="4" w:space="0" w:color="0E57FC" w:themeColor="accent4" w:themeTint="99"/>
        <w:insideH w:val="single" w:sz="4" w:space="0" w:color="0E57FC"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2-Accent5">
    <w:name w:val="List Table 2 Accent 5"/>
    <w:basedOn w:val="TableNormal"/>
    <w:uiPriority w:val="47"/>
    <w:rsid w:val="000116B0"/>
    <w:pPr>
      <w:spacing w:line="240" w:lineRule="auto"/>
    </w:pPr>
    <w:rPr>
      <w:lang w:val="en-AU"/>
    </w:rPr>
    <w:tblPr>
      <w:tblStyleRowBandSize w:val="1"/>
      <w:tblStyleColBandSize w:val="1"/>
      <w:tblBorders>
        <w:top w:val="single" w:sz="4" w:space="0" w:color="32E8FF" w:themeColor="accent5" w:themeTint="99"/>
        <w:bottom w:val="single" w:sz="4" w:space="0" w:color="32E8FF" w:themeColor="accent5" w:themeTint="99"/>
        <w:insideH w:val="single" w:sz="4" w:space="0" w:color="32E8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2-Accent6">
    <w:name w:val="List Table 2 Accent 6"/>
    <w:basedOn w:val="TableNormal"/>
    <w:uiPriority w:val="47"/>
    <w:rsid w:val="000116B0"/>
    <w:pPr>
      <w:spacing w:line="240" w:lineRule="auto"/>
    </w:pPr>
    <w:rPr>
      <w:lang w:val="en-AU"/>
    </w:rPr>
    <w:tblPr>
      <w:tblStyleRowBandSize w:val="1"/>
      <w:tblStyleColBandSize w:val="1"/>
      <w:tblBorders>
        <w:top w:val="single" w:sz="4" w:space="0" w:color="ABADB0" w:themeColor="accent6" w:themeTint="99"/>
        <w:bottom w:val="single" w:sz="4" w:space="0" w:color="ABADB0" w:themeColor="accent6" w:themeTint="99"/>
        <w:insideH w:val="single" w:sz="4" w:space="0" w:color="ABADB0"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3">
    <w:name w:val="List Table 3"/>
    <w:basedOn w:val="TableNormal"/>
    <w:uiPriority w:val="48"/>
    <w:rsid w:val="000116B0"/>
    <w:pPr>
      <w:spacing w:line="240" w:lineRule="auto"/>
    </w:pPr>
    <w:rPr>
      <w:lang w:val="en-A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0116B0"/>
    <w:pPr>
      <w:spacing w:line="240" w:lineRule="auto"/>
    </w:pPr>
    <w:rPr>
      <w:lang w:val="en-AU"/>
    </w:rPr>
    <w:tblPr>
      <w:tblStyleRowBandSize w:val="1"/>
      <w:tblStyleColBandSize w:val="1"/>
      <w:tblBorders>
        <w:top w:val="single" w:sz="4" w:space="0" w:color="86BC25" w:themeColor="accent1"/>
        <w:left w:val="single" w:sz="4" w:space="0" w:color="86BC25" w:themeColor="accent1"/>
        <w:bottom w:val="single" w:sz="4" w:space="0" w:color="86BC25" w:themeColor="accent1"/>
        <w:right w:val="single" w:sz="4" w:space="0" w:color="86BC25" w:themeColor="accent1"/>
      </w:tblBorders>
    </w:tblPr>
    <w:tblStylePr w:type="firstRow">
      <w:rPr>
        <w:b/>
        <w:bCs/>
        <w:color w:val="FFFFFF" w:themeColor="background1"/>
      </w:rPr>
      <w:tblPr/>
      <w:tcPr>
        <w:shd w:val="clear" w:color="auto" w:fill="86BC25" w:themeFill="accent1"/>
      </w:tcPr>
    </w:tblStylePr>
    <w:tblStylePr w:type="lastRow">
      <w:rPr>
        <w:b/>
        <w:bCs/>
      </w:rPr>
      <w:tblPr/>
      <w:tcPr>
        <w:tcBorders>
          <w:top w:val="double" w:sz="4" w:space="0" w:color="86BC2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6BC25" w:themeColor="accent1"/>
          <w:right w:val="single" w:sz="4" w:space="0" w:color="86BC25" w:themeColor="accent1"/>
        </w:tcBorders>
      </w:tcPr>
    </w:tblStylePr>
    <w:tblStylePr w:type="band1Horz">
      <w:tblPr/>
      <w:tcPr>
        <w:tcBorders>
          <w:top w:val="single" w:sz="4" w:space="0" w:color="86BC25" w:themeColor="accent1"/>
          <w:bottom w:val="single" w:sz="4" w:space="0" w:color="86BC2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6BC25" w:themeColor="accent1"/>
          <w:left w:val="nil"/>
        </w:tcBorders>
      </w:tcPr>
    </w:tblStylePr>
    <w:tblStylePr w:type="swCell">
      <w:tblPr/>
      <w:tcPr>
        <w:tcBorders>
          <w:top w:val="double" w:sz="4" w:space="0" w:color="86BC25" w:themeColor="accent1"/>
          <w:right w:val="nil"/>
        </w:tcBorders>
      </w:tcPr>
    </w:tblStylePr>
  </w:style>
  <w:style w:type="table" w:styleId="ListTable3-Accent2">
    <w:name w:val="List Table 3 Accent 2"/>
    <w:basedOn w:val="TableNormal"/>
    <w:uiPriority w:val="48"/>
    <w:rsid w:val="000116B0"/>
    <w:pPr>
      <w:spacing w:line="240" w:lineRule="auto"/>
    </w:pPr>
    <w:rPr>
      <w:lang w:val="en-AU"/>
    </w:rPr>
    <w:tblPr>
      <w:tblStyleRowBandSize w:val="1"/>
      <w:tblStyleColBandSize w:val="1"/>
      <w:tblBorders>
        <w:top w:val="single" w:sz="4" w:space="0" w:color="046A38" w:themeColor="accent2"/>
        <w:left w:val="single" w:sz="4" w:space="0" w:color="046A38" w:themeColor="accent2"/>
        <w:bottom w:val="single" w:sz="4" w:space="0" w:color="046A38" w:themeColor="accent2"/>
        <w:right w:val="single" w:sz="4" w:space="0" w:color="046A38" w:themeColor="accent2"/>
      </w:tblBorders>
    </w:tblPr>
    <w:tblStylePr w:type="firstRow">
      <w:rPr>
        <w:b/>
        <w:bCs/>
        <w:color w:val="FFFFFF" w:themeColor="background1"/>
      </w:rPr>
      <w:tblPr/>
      <w:tcPr>
        <w:shd w:val="clear" w:color="auto" w:fill="046A38" w:themeFill="accent2"/>
      </w:tcPr>
    </w:tblStylePr>
    <w:tblStylePr w:type="lastRow">
      <w:rPr>
        <w:b/>
        <w:bCs/>
      </w:rPr>
      <w:tblPr/>
      <w:tcPr>
        <w:tcBorders>
          <w:top w:val="double" w:sz="4" w:space="0" w:color="046A3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6A38" w:themeColor="accent2"/>
          <w:right w:val="single" w:sz="4" w:space="0" w:color="046A38" w:themeColor="accent2"/>
        </w:tcBorders>
      </w:tcPr>
    </w:tblStylePr>
    <w:tblStylePr w:type="band1Horz">
      <w:tblPr/>
      <w:tcPr>
        <w:tcBorders>
          <w:top w:val="single" w:sz="4" w:space="0" w:color="046A38" w:themeColor="accent2"/>
          <w:bottom w:val="single" w:sz="4" w:space="0" w:color="046A3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6A38" w:themeColor="accent2"/>
          <w:left w:val="nil"/>
        </w:tcBorders>
      </w:tcPr>
    </w:tblStylePr>
    <w:tblStylePr w:type="swCell">
      <w:tblPr/>
      <w:tcPr>
        <w:tcBorders>
          <w:top w:val="double" w:sz="4" w:space="0" w:color="046A38" w:themeColor="accent2"/>
          <w:right w:val="nil"/>
        </w:tcBorders>
      </w:tcPr>
    </w:tblStylePr>
  </w:style>
  <w:style w:type="table" w:styleId="ListTable3-Accent3">
    <w:name w:val="List Table 3 Accent 3"/>
    <w:basedOn w:val="TableNormal"/>
    <w:uiPriority w:val="48"/>
    <w:rsid w:val="000116B0"/>
    <w:pPr>
      <w:spacing w:line="240" w:lineRule="auto"/>
    </w:pPr>
    <w:rPr>
      <w:lang w:val="en-AU"/>
    </w:rPr>
    <w:tblPr>
      <w:tblStyleRowBandSize w:val="1"/>
      <w:tblStyleColBandSize w:val="1"/>
      <w:tblBorders>
        <w:top w:val="single" w:sz="4" w:space="0" w:color="62B5E5" w:themeColor="accent3"/>
        <w:left w:val="single" w:sz="4" w:space="0" w:color="62B5E5" w:themeColor="accent3"/>
        <w:bottom w:val="single" w:sz="4" w:space="0" w:color="62B5E5" w:themeColor="accent3"/>
        <w:right w:val="single" w:sz="4" w:space="0" w:color="62B5E5" w:themeColor="accent3"/>
      </w:tblBorders>
    </w:tblPr>
    <w:tblStylePr w:type="firstRow">
      <w:rPr>
        <w:b/>
        <w:bCs/>
        <w:color w:val="FFFFFF" w:themeColor="background1"/>
      </w:rPr>
      <w:tblPr/>
      <w:tcPr>
        <w:shd w:val="clear" w:color="auto" w:fill="62B5E5" w:themeFill="accent3"/>
      </w:tcPr>
    </w:tblStylePr>
    <w:tblStylePr w:type="lastRow">
      <w:rPr>
        <w:b/>
        <w:bCs/>
      </w:rPr>
      <w:tblPr/>
      <w:tcPr>
        <w:tcBorders>
          <w:top w:val="double" w:sz="4" w:space="0" w:color="62B5E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2B5E5" w:themeColor="accent3"/>
          <w:right w:val="single" w:sz="4" w:space="0" w:color="62B5E5" w:themeColor="accent3"/>
        </w:tcBorders>
      </w:tcPr>
    </w:tblStylePr>
    <w:tblStylePr w:type="band1Horz">
      <w:tblPr/>
      <w:tcPr>
        <w:tcBorders>
          <w:top w:val="single" w:sz="4" w:space="0" w:color="62B5E5" w:themeColor="accent3"/>
          <w:bottom w:val="single" w:sz="4" w:space="0" w:color="62B5E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2B5E5" w:themeColor="accent3"/>
          <w:left w:val="nil"/>
        </w:tcBorders>
      </w:tcPr>
    </w:tblStylePr>
    <w:tblStylePr w:type="swCell">
      <w:tblPr/>
      <w:tcPr>
        <w:tcBorders>
          <w:top w:val="double" w:sz="4" w:space="0" w:color="62B5E5" w:themeColor="accent3"/>
          <w:right w:val="nil"/>
        </w:tcBorders>
      </w:tcPr>
    </w:tblStylePr>
  </w:style>
  <w:style w:type="table" w:styleId="ListTable3-Accent4">
    <w:name w:val="List Table 3 Accent 4"/>
    <w:basedOn w:val="TableNormal"/>
    <w:uiPriority w:val="48"/>
    <w:rsid w:val="000116B0"/>
    <w:pPr>
      <w:spacing w:line="240" w:lineRule="auto"/>
    </w:pPr>
    <w:rPr>
      <w:lang w:val="en-AU"/>
    </w:rPr>
    <w:tblPr>
      <w:tblStyleRowBandSize w:val="1"/>
      <w:tblStyleColBandSize w:val="1"/>
      <w:tblBorders>
        <w:top w:val="single" w:sz="4" w:space="0" w:color="012169" w:themeColor="accent4"/>
        <w:left w:val="single" w:sz="4" w:space="0" w:color="012169" w:themeColor="accent4"/>
        <w:bottom w:val="single" w:sz="4" w:space="0" w:color="012169" w:themeColor="accent4"/>
        <w:right w:val="single" w:sz="4" w:space="0" w:color="012169" w:themeColor="accent4"/>
      </w:tblBorders>
    </w:tblPr>
    <w:tblStylePr w:type="firstRow">
      <w:rPr>
        <w:b/>
        <w:bCs/>
        <w:color w:val="FFFFFF" w:themeColor="background1"/>
      </w:rPr>
      <w:tblPr/>
      <w:tcPr>
        <w:shd w:val="clear" w:color="auto" w:fill="012169" w:themeFill="accent4"/>
      </w:tcPr>
    </w:tblStylePr>
    <w:tblStylePr w:type="lastRow">
      <w:rPr>
        <w:b/>
        <w:bCs/>
      </w:rPr>
      <w:tblPr/>
      <w:tcPr>
        <w:tcBorders>
          <w:top w:val="double" w:sz="4" w:space="0" w:color="01216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12169" w:themeColor="accent4"/>
          <w:right w:val="single" w:sz="4" w:space="0" w:color="012169" w:themeColor="accent4"/>
        </w:tcBorders>
      </w:tcPr>
    </w:tblStylePr>
    <w:tblStylePr w:type="band1Horz">
      <w:tblPr/>
      <w:tcPr>
        <w:tcBorders>
          <w:top w:val="single" w:sz="4" w:space="0" w:color="012169" w:themeColor="accent4"/>
          <w:bottom w:val="single" w:sz="4" w:space="0" w:color="01216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12169" w:themeColor="accent4"/>
          <w:left w:val="nil"/>
        </w:tcBorders>
      </w:tcPr>
    </w:tblStylePr>
    <w:tblStylePr w:type="swCell">
      <w:tblPr/>
      <w:tcPr>
        <w:tcBorders>
          <w:top w:val="double" w:sz="4" w:space="0" w:color="012169" w:themeColor="accent4"/>
          <w:right w:val="nil"/>
        </w:tcBorders>
      </w:tcPr>
    </w:tblStylePr>
  </w:style>
  <w:style w:type="table" w:styleId="ListTable3-Accent5">
    <w:name w:val="List Table 3 Accent 5"/>
    <w:basedOn w:val="TableNormal"/>
    <w:uiPriority w:val="48"/>
    <w:rsid w:val="000116B0"/>
    <w:pPr>
      <w:spacing w:line="240" w:lineRule="auto"/>
    </w:pPr>
    <w:rPr>
      <w:lang w:val="en-AU"/>
    </w:rPr>
    <w:tblPr>
      <w:tblStyleRowBandSize w:val="1"/>
      <w:tblStyleColBandSize w:val="1"/>
      <w:tblBorders>
        <w:top w:val="single" w:sz="4" w:space="0" w:color="0097A9" w:themeColor="accent5"/>
        <w:left w:val="single" w:sz="4" w:space="0" w:color="0097A9" w:themeColor="accent5"/>
        <w:bottom w:val="single" w:sz="4" w:space="0" w:color="0097A9" w:themeColor="accent5"/>
        <w:right w:val="single" w:sz="4" w:space="0" w:color="0097A9" w:themeColor="accent5"/>
      </w:tblBorders>
    </w:tblPr>
    <w:tblStylePr w:type="firstRow">
      <w:rPr>
        <w:b/>
        <w:bCs/>
        <w:color w:val="FFFFFF" w:themeColor="background1"/>
      </w:rPr>
      <w:tblPr/>
      <w:tcPr>
        <w:shd w:val="clear" w:color="auto" w:fill="0097A9" w:themeFill="accent5"/>
      </w:tcPr>
    </w:tblStylePr>
    <w:tblStylePr w:type="lastRow">
      <w:rPr>
        <w:b/>
        <w:bCs/>
      </w:rPr>
      <w:tblPr/>
      <w:tcPr>
        <w:tcBorders>
          <w:top w:val="double" w:sz="4" w:space="0" w:color="0097A9"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7A9" w:themeColor="accent5"/>
          <w:right w:val="single" w:sz="4" w:space="0" w:color="0097A9" w:themeColor="accent5"/>
        </w:tcBorders>
      </w:tcPr>
    </w:tblStylePr>
    <w:tblStylePr w:type="band1Horz">
      <w:tblPr/>
      <w:tcPr>
        <w:tcBorders>
          <w:top w:val="single" w:sz="4" w:space="0" w:color="0097A9" w:themeColor="accent5"/>
          <w:bottom w:val="single" w:sz="4" w:space="0" w:color="0097A9"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7A9" w:themeColor="accent5"/>
          <w:left w:val="nil"/>
        </w:tcBorders>
      </w:tcPr>
    </w:tblStylePr>
    <w:tblStylePr w:type="swCell">
      <w:tblPr/>
      <w:tcPr>
        <w:tcBorders>
          <w:top w:val="double" w:sz="4" w:space="0" w:color="0097A9" w:themeColor="accent5"/>
          <w:right w:val="nil"/>
        </w:tcBorders>
      </w:tcPr>
    </w:tblStylePr>
  </w:style>
  <w:style w:type="table" w:styleId="ListTable3-Accent6">
    <w:name w:val="List Table 3 Accent 6"/>
    <w:basedOn w:val="TableNormal"/>
    <w:uiPriority w:val="48"/>
    <w:rsid w:val="000116B0"/>
    <w:pPr>
      <w:spacing w:line="240" w:lineRule="auto"/>
    </w:pPr>
    <w:rPr>
      <w:lang w:val="en-AU"/>
    </w:rPr>
    <w:tblPr>
      <w:tblStyleRowBandSize w:val="1"/>
      <w:tblStyleColBandSize w:val="1"/>
      <w:tblBorders>
        <w:top w:val="single" w:sz="4" w:space="0" w:color="75787B" w:themeColor="accent6"/>
        <w:left w:val="single" w:sz="4" w:space="0" w:color="75787B" w:themeColor="accent6"/>
        <w:bottom w:val="single" w:sz="4" w:space="0" w:color="75787B" w:themeColor="accent6"/>
        <w:right w:val="single" w:sz="4" w:space="0" w:color="75787B" w:themeColor="accent6"/>
      </w:tblBorders>
    </w:tblPr>
    <w:tblStylePr w:type="firstRow">
      <w:rPr>
        <w:b/>
        <w:bCs/>
        <w:color w:val="FFFFFF" w:themeColor="background1"/>
      </w:rPr>
      <w:tblPr/>
      <w:tcPr>
        <w:shd w:val="clear" w:color="auto" w:fill="75787B" w:themeFill="accent6"/>
      </w:tcPr>
    </w:tblStylePr>
    <w:tblStylePr w:type="lastRow">
      <w:rPr>
        <w:b/>
        <w:bCs/>
      </w:rPr>
      <w:tblPr/>
      <w:tcPr>
        <w:tcBorders>
          <w:top w:val="double" w:sz="4" w:space="0" w:color="75787B"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787B" w:themeColor="accent6"/>
          <w:right w:val="single" w:sz="4" w:space="0" w:color="75787B" w:themeColor="accent6"/>
        </w:tcBorders>
      </w:tcPr>
    </w:tblStylePr>
    <w:tblStylePr w:type="band1Horz">
      <w:tblPr/>
      <w:tcPr>
        <w:tcBorders>
          <w:top w:val="single" w:sz="4" w:space="0" w:color="75787B" w:themeColor="accent6"/>
          <w:bottom w:val="single" w:sz="4" w:space="0" w:color="75787B"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787B" w:themeColor="accent6"/>
          <w:left w:val="nil"/>
        </w:tcBorders>
      </w:tcPr>
    </w:tblStylePr>
    <w:tblStylePr w:type="swCell">
      <w:tblPr/>
      <w:tcPr>
        <w:tcBorders>
          <w:top w:val="double" w:sz="4" w:space="0" w:color="75787B" w:themeColor="accent6"/>
          <w:right w:val="nil"/>
        </w:tcBorders>
      </w:tcPr>
    </w:tblStylePr>
  </w:style>
  <w:style w:type="table" w:styleId="ListTable4">
    <w:name w:val="List Table 4"/>
    <w:basedOn w:val="TableNormal"/>
    <w:uiPriority w:val="49"/>
    <w:rsid w:val="000116B0"/>
    <w:pPr>
      <w:spacing w:line="240" w:lineRule="auto"/>
    </w:pPr>
    <w:rPr>
      <w:lang w:val="en-A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0116B0"/>
    <w:pPr>
      <w:spacing w:line="240" w:lineRule="auto"/>
    </w:pPr>
    <w:rPr>
      <w:lang w:val="en-AU"/>
    </w:rPr>
    <w:tblPr>
      <w:tblStyleRowBandSize w:val="1"/>
      <w:tblStyleColBandSize w:val="1"/>
      <w:tblBorders>
        <w:top w:val="single" w:sz="4" w:space="0" w:color="B9E370" w:themeColor="accent1" w:themeTint="99"/>
        <w:left w:val="single" w:sz="4" w:space="0" w:color="B9E370" w:themeColor="accent1" w:themeTint="99"/>
        <w:bottom w:val="single" w:sz="4" w:space="0" w:color="B9E370" w:themeColor="accent1" w:themeTint="99"/>
        <w:right w:val="single" w:sz="4" w:space="0" w:color="B9E370" w:themeColor="accent1" w:themeTint="99"/>
        <w:insideH w:val="single" w:sz="4" w:space="0" w:color="B9E370" w:themeColor="accent1" w:themeTint="99"/>
      </w:tblBorders>
    </w:tblPr>
    <w:tblStylePr w:type="firstRow">
      <w:rPr>
        <w:b/>
        <w:bCs/>
        <w:color w:val="FFFFFF" w:themeColor="background1"/>
      </w:rPr>
      <w:tblPr/>
      <w:tcPr>
        <w:tcBorders>
          <w:top w:val="single" w:sz="4" w:space="0" w:color="86BC25" w:themeColor="accent1"/>
          <w:left w:val="single" w:sz="4" w:space="0" w:color="86BC25" w:themeColor="accent1"/>
          <w:bottom w:val="single" w:sz="4" w:space="0" w:color="86BC25" w:themeColor="accent1"/>
          <w:right w:val="single" w:sz="4" w:space="0" w:color="86BC25" w:themeColor="accent1"/>
          <w:insideH w:val="nil"/>
        </w:tcBorders>
        <w:shd w:val="clear" w:color="auto" w:fill="86BC25" w:themeFill="accent1"/>
      </w:tcPr>
    </w:tblStylePr>
    <w:tblStylePr w:type="lastRow">
      <w:rPr>
        <w:b/>
        <w:bCs/>
      </w:rPr>
      <w:tblPr/>
      <w:tcPr>
        <w:tcBorders>
          <w:top w:val="double" w:sz="4" w:space="0" w:color="B9E370" w:themeColor="accent1" w:themeTint="99"/>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4-Accent2">
    <w:name w:val="List Table 4 Accent 2"/>
    <w:basedOn w:val="TableNormal"/>
    <w:uiPriority w:val="49"/>
    <w:rsid w:val="000116B0"/>
    <w:pPr>
      <w:spacing w:line="240" w:lineRule="auto"/>
    </w:pPr>
    <w:rPr>
      <w:lang w:val="en-AU"/>
    </w:rPr>
    <w:tblPr>
      <w:tblStyleRowBandSize w:val="1"/>
      <w:tblStyleColBandSize w:val="1"/>
      <w:tblBorders>
        <w:top w:val="single" w:sz="4" w:space="0" w:color="17F689" w:themeColor="accent2" w:themeTint="99"/>
        <w:left w:val="single" w:sz="4" w:space="0" w:color="17F689" w:themeColor="accent2" w:themeTint="99"/>
        <w:bottom w:val="single" w:sz="4" w:space="0" w:color="17F689" w:themeColor="accent2" w:themeTint="99"/>
        <w:right w:val="single" w:sz="4" w:space="0" w:color="17F689" w:themeColor="accent2" w:themeTint="99"/>
        <w:insideH w:val="single" w:sz="4" w:space="0" w:color="17F689" w:themeColor="accent2" w:themeTint="99"/>
      </w:tblBorders>
    </w:tblPr>
    <w:tblStylePr w:type="firstRow">
      <w:rPr>
        <w:b/>
        <w:bCs/>
        <w:color w:val="FFFFFF" w:themeColor="background1"/>
      </w:rPr>
      <w:tblPr/>
      <w:tcPr>
        <w:tcBorders>
          <w:top w:val="single" w:sz="4" w:space="0" w:color="046A38" w:themeColor="accent2"/>
          <w:left w:val="single" w:sz="4" w:space="0" w:color="046A38" w:themeColor="accent2"/>
          <w:bottom w:val="single" w:sz="4" w:space="0" w:color="046A38" w:themeColor="accent2"/>
          <w:right w:val="single" w:sz="4" w:space="0" w:color="046A38" w:themeColor="accent2"/>
          <w:insideH w:val="nil"/>
        </w:tcBorders>
        <w:shd w:val="clear" w:color="auto" w:fill="046A38" w:themeFill="accent2"/>
      </w:tcPr>
    </w:tblStylePr>
    <w:tblStylePr w:type="lastRow">
      <w:rPr>
        <w:b/>
        <w:bCs/>
      </w:rPr>
      <w:tblPr/>
      <w:tcPr>
        <w:tcBorders>
          <w:top w:val="double" w:sz="4" w:space="0" w:color="17F689" w:themeColor="accent2" w:themeTint="99"/>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4-Accent3">
    <w:name w:val="List Table 4 Accent 3"/>
    <w:basedOn w:val="TableNormal"/>
    <w:uiPriority w:val="49"/>
    <w:rsid w:val="000116B0"/>
    <w:pPr>
      <w:spacing w:line="240" w:lineRule="auto"/>
    </w:pPr>
    <w:rPr>
      <w:lang w:val="en-AU"/>
    </w:rPr>
    <w:tblPr>
      <w:tblStyleRowBandSize w:val="1"/>
      <w:tblStyleColBandSize w:val="1"/>
      <w:tblBorders>
        <w:top w:val="single" w:sz="4" w:space="0" w:color="A0D2EF" w:themeColor="accent3" w:themeTint="99"/>
        <w:left w:val="single" w:sz="4" w:space="0" w:color="A0D2EF" w:themeColor="accent3" w:themeTint="99"/>
        <w:bottom w:val="single" w:sz="4" w:space="0" w:color="A0D2EF" w:themeColor="accent3" w:themeTint="99"/>
        <w:right w:val="single" w:sz="4" w:space="0" w:color="A0D2EF" w:themeColor="accent3" w:themeTint="99"/>
        <w:insideH w:val="single" w:sz="4" w:space="0" w:color="A0D2EF" w:themeColor="accent3" w:themeTint="99"/>
      </w:tblBorders>
    </w:tblPr>
    <w:tblStylePr w:type="firstRow">
      <w:rPr>
        <w:b/>
        <w:bCs/>
        <w:color w:val="FFFFFF" w:themeColor="background1"/>
      </w:rPr>
      <w:tblPr/>
      <w:tcPr>
        <w:tcBorders>
          <w:top w:val="single" w:sz="4" w:space="0" w:color="62B5E5" w:themeColor="accent3"/>
          <w:left w:val="single" w:sz="4" w:space="0" w:color="62B5E5" w:themeColor="accent3"/>
          <w:bottom w:val="single" w:sz="4" w:space="0" w:color="62B5E5" w:themeColor="accent3"/>
          <w:right w:val="single" w:sz="4" w:space="0" w:color="62B5E5" w:themeColor="accent3"/>
          <w:insideH w:val="nil"/>
        </w:tcBorders>
        <w:shd w:val="clear" w:color="auto" w:fill="62B5E5" w:themeFill="accent3"/>
      </w:tcPr>
    </w:tblStylePr>
    <w:tblStylePr w:type="lastRow">
      <w:rPr>
        <w:b/>
        <w:bCs/>
      </w:rPr>
      <w:tblPr/>
      <w:tcPr>
        <w:tcBorders>
          <w:top w:val="double" w:sz="4" w:space="0" w:color="A0D2EF" w:themeColor="accent3" w:themeTint="99"/>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4-Accent4">
    <w:name w:val="List Table 4 Accent 4"/>
    <w:basedOn w:val="TableNormal"/>
    <w:uiPriority w:val="49"/>
    <w:rsid w:val="000116B0"/>
    <w:pPr>
      <w:spacing w:line="240" w:lineRule="auto"/>
    </w:pPr>
    <w:rPr>
      <w:lang w:val="en-AU"/>
    </w:rPr>
    <w:tblPr>
      <w:tblStyleRowBandSize w:val="1"/>
      <w:tblStyleColBandSize w:val="1"/>
      <w:tblBorders>
        <w:top w:val="single" w:sz="4" w:space="0" w:color="0E57FC" w:themeColor="accent4" w:themeTint="99"/>
        <w:left w:val="single" w:sz="4" w:space="0" w:color="0E57FC" w:themeColor="accent4" w:themeTint="99"/>
        <w:bottom w:val="single" w:sz="4" w:space="0" w:color="0E57FC" w:themeColor="accent4" w:themeTint="99"/>
        <w:right w:val="single" w:sz="4" w:space="0" w:color="0E57FC" w:themeColor="accent4" w:themeTint="99"/>
        <w:insideH w:val="single" w:sz="4" w:space="0" w:color="0E57FC" w:themeColor="accent4" w:themeTint="99"/>
      </w:tblBorders>
    </w:tblPr>
    <w:tblStylePr w:type="firstRow">
      <w:rPr>
        <w:b/>
        <w:bCs/>
        <w:color w:val="FFFFFF" w:themeColor="background1"/>
      </w:rPr>
      <w:tblPr/>
      <w:tcPr>
        <w:tcBorders>
          <w:top w:val="single" w:sz="4" w:space="0" w:color="012169" w:themeColor="accent4"/>
          <w:left w:val="single" w:sz="4" w:space="0" w:color="012169" w:themeColor="accent4"/>
          <w:bottom w:val="single" w:sz="4" w:space="0" w:color="012169" w:themeColor="accent4"/>
          <w:right w:val="single" w:sz="4" w:space="0" w:color="012169" w:themeColor="accent4"/>
          <w:insideH w:val="nil"/>
        </w:tcBorders>
        <w:shd w:val="clear" w:color="auto" w:fill="012169" w:themeFill="accent4"/>
      </w:tcPr>
    </w:tblStylePr>
    <w:tblStylePr w:type="lastRow">
      <w:rPr>
        <w:b/>
        <w:bCs/>
      </w:rPr>
      <w:tblPr/>
      <w:tcPr>
        <w:tcBorders>
          <w:top w:val="double" w:sz="4" w:space="0" w:color="0E57FC" w:themeColor="accent4" w:themeTint="99"/>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4-Accent5">
    <w:name w:val="List Table 4 Accent 5"/>
    <w:basedOn w:val="TableNormal"/>
    <w:uiPriority w:val="49"/>
    <w:rsid w:val="000116B0"/>
    <w:pPr>
      <w:spacing w:line="240" w:lineRule="auto"/>
    </w:pPr>
    <w:rPr>
      <w:lang w:val="en-AU"/>
    </w:rPr>
    <w:tblPr>
      <w:tblStyleRowBandSize w:val="1"/>
      <w:tblStyleColBandSize w:val="1"/>
      <w:tblBorders>
        <w:top w:val="single" w:sz="4" w:space="0" w:color="32E8FF" w:themeColor="accent5" w:themeTint="99"/>
        <w:left w:val="single" w:sz="4" w:space="0" w:color="32E8FF" w:themeColor="accent5" w:themeTint="99"/>
        <w:bottom w:val="single" w:sz="4" w:space="0" w:color="32E8FF" w:themeColor="accent5" w:themeTint="99"/>
        <w:right w:val="single" w:sz="4" w:space="0" w:color="32E8FF" w:themeColor="accent5" w:themeTint="99"/>
        <w:insideH w:val="single" w:sz="4" w:space="0" w:color="32E8FF" w:themeColor="accent5" w:themeTint="99"/>
      </w:tblBorders>
    </w:tblPr>
    <w:tblStylePr w:type="firstRow">
      <w:rPr>
        <w:b/>
        <w:bCs/>
        <w:color w:val="FFFFFF" w:themeColor="background1"/>
      </w:rPr>
      <w:tblPr/>
      <w:tcPr>
        <w:tcBorders>
          <w:top w:val="single" w:sz="4" w:space="0" w:color="0097A9" w:themeColor="accent5"/>
          <w:left w:val="single" w:sz="4" w:space="0" w:color="0097A9" w:themeColor="accent5"/>
          <w:bottom w:val="single" w:sz="4" w:space="0" w:color="0097A9" w:themeColor="accent5"/>
          <w:right w:val="single" w:sz="4" w:space="0" w:color="0097A9" w:themeColor="accent5"/>
          <w:insideH w:val="nil"/>
        </w:tcBorders>
        <w:shd w:val="clear" w:color="auto" w:fill="0097A9" w:themeFill="accent5"/>
      </w:tcPr>
    </w:tblStylePr>
    <w:tblStylePr w:type="lastRow">
      <w:rPr>
        <w:b/>
        <w:bCs/>
      </w:rPr>
      <w:tblPr/>
      <w:tcPr>
        <w:tcBorders>
          <w:top w:val="double" w:sz="4" w:space="0" w:color="32E8FF" w:themeColor="accent5" w:themeTint="99"/>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4-Accent6">
    <w:name w:val="List Table 4 Accent 6"/>
    <w:basedOn w:val="TableNormal"/>
    <w:uiPriority w:val="49"/>
    <w:rsid w:val="000116B0"/>
    <w:pPr>
      <w:spacing w:line="240" w:lineRule="auto"/>
    </w:pPr>
    <w:rPr>
      <w:lang w:val="en-AU"/>
    </w:rPr>
    <w:tblPr>
      <w:tblStyleRowBandSize w:val="1"/>
      <w:tblStyleColBandSize w:val="1"/>
      <w:tblBorders>
        <w:top w:val="single" w:sz="4" w:space="0" w:color="ABADB0" w:themeColor="accent6" w:themeTint="99"/>
        <w:left w:val="single" w:sz="4" w:space="0" w:color="ABADB0" w:themeColor="accent6" w:themeTint="99"/>
        <w:bottom w:val="single" w:sz="4" w:space="0" w:color="ABADB0" w:themeColor="accent6" w:themeTint="99"/>
        <w:right w:val="single" w:sz="4" w:space="0" w:color="ABADB0" w:themeColor="accent6" w:themeTint="99"/>
        <w:insideH w:val="single" w:sz="4" w:space="0" w:color="ABADB0" w:themeColor="accent6" w:themeTint="99"/>
      </w:tblBorders>
    </w:tblPr>
    <w:tblStylePr w:type="firstRow">
      <w:rPr>
        <w:b/>
        <w:bCs/>
        <w:color w:val="FFFFFF" w:themeColor="background1"/>
      </w:rPr>
      <w:tblPr/>
      <w:tcPr>
        <w:tcBorders>
          <w:top w:val="single" w:sz="4" w:space="0" w:color="75787B" w:themeColor="accent6"/>
          <w:left w:val="single" w:sz="4" w:space="0" w:color="75787B" w:themeColor="accent6"/>
          <w:bottom w:val="single" w:sz="4" w:space="0" w:color="75787B" w:themeColor="accent6"/>
          <w:right w:val="single" w:sz="4" w:space="0" w:color="75787B" w:themeColor="accent6"/>
          <w:insideH w:val="nil"/>
        </w:tcBorders>
        <w:shd w:val="clear" w:color="auto" w:fill="75787B" w:themeFill="accent6"/>
      </w:tcPr>
    </w:tblStylePr>
    <w:tblStylePr w:type="lastRow">
      <w:rPr>
        <w:b/>
        <w:bCs/>
      </w:rPr>
      <w:tblPr/>
      <w:tcPr>
        <w:tcBorders>
          <w:top w:val="double" w:sz="4" w:space="0" w:color="ABADB0" w:themeColor="accent6" w:themeTint="99"/>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5Dark">
    <w:name w:val="List Table 5 Dark"/>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86BC25" w:themeColor="accent1"/>
        <w:left w:val="single" w:sz="24" w:space="0" w:color="86BC25" w:themeColor="accent1"/>
        <w:bottom w:val="single" w:sz="24" w:space="0" w:color="86BC25" w:themeColor="accent1"/>
        <w:right w:val="single" w:sz="24" w:space="0" w:color="86BC25" w:themeColor="accent1"/>
      </w:tblBorders>
    </w:tblPr>
    <w:tcPr>
      <w:shd w:val="clear" w:color="auto" w:fill="86BC2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46A38" w:themeColor="accent2"/>
        <w:left w:val="single" w:sz="24" w:space="0" w:color="046A38" w:themeColor="accent2"/>
        <w:bottom w:val="single" w:sz="24" w:space="0" w:color="046A38" w:themeColor="accent2"/>
        <w:right w:val="single" w:sz="24" w:space="0" w:color="046A38" w:themeColor="accent2"/>
      </w:tblBorders>
    </w:tblPr>
    <w:tcPr>
      <w:shd w:val="clear" w:color="auto" w:fill="046A3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62B5E5" w:themeColor="accent3"/>
        <w:left w:val="single" w:sz="24" w:space="0" w:color="62B5E5" w:themeColor="accent3"/>
        <w:bottom w:val="single" w:sz="24" w:space="0" w:color="62B5E5" w:themeColor="accent3"/>
        <w:right w:val="single" w:sz="24" w:space="0" w:color="62B5E5" w:themeColor="accent3"/>
      </w:tblBorders>
    </w:tblPr>
    <w:tcPr>
      <w:shd w:val="clear" w:color="auto" w:fill="62B5E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12169" w:themeColor="accent4"/>
        <w:left w:val="single" w:sz="24" w:space="0" w:color="012169" w:themeColor="accent4"/>
        <w:bottom w:val="single" w:sz="24" w:space="0" w:color="012169" w:themeColor="accent4"/>
        <w:right w:val="single" w:sz="24" w:space="0" w:color="012169" w:themeColor="accent4"/>
      </w:tblBorders>
    </w:tblPr>
    <w:tcPr>
      <w:shd w:val="clear" w:color="auto" w:fill="01216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0097A9" w:themeColor="accent5"/>
        <w:left w:val="single" w:sz="24" w:space="0" w:color="0097A9" w:themeColor="accent5"/>
        <w:bottom w:val="single" w:sz="24" w:space="0" w:color="0097A9" w:themeColor="accent5"/>
        <w:right w:val="single" w:sz="24" w:space="0" w:color="0097A9" w:themeColor="accent5"/>
      </w:tblBorders>
    </w:tblPr>
    <w:tcPr>
      <w:shd w:val="clear" w:color="auto" w:fill="0097A9"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0116B0"/>
    <w:pPr>
      <w:spacing w:line="240" w:lineRule="auto"/>
    </w:pPr>
    <w:rPr>
      <w:color w:val="FFFFFF" w:themeColor="background1"/>
      <w:lang w:val="en-AU"/>
    </w:rPr>
    <w:tblPr>
      <w:tblStyleRowBandSize w:val="1"/>
      <w:tblStyleColBandSize w:val="1"/>
      <w:tblBorders>
        <w:top w:val="single" w:sz="24" w:space="0" w:color="75787B" w:themeColor="accent6"/>
        <w:left w:val="single" w:sz="24" w:space="0" w:color="75787B" w:themeColor="accent6"/>
        <w:bottom w:val="single" w:sz="24" w:space="0" w:color="75787B" w:themeColor="accent6"/>
        <w:right w:val="single" w:sz="24" w:space="0" w:color="75787B" w:themeColor="accent6"/>
      </w:tblBorders>
    </w:tblPr>
    <w:tcPr>
      <w:shd w:val="clear" w:color="auto" w:fill="75787B"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0116B0"/>
    <w:pPr>
      <w:spacing w:line="240" w:lineRule="auto"/>
    </w:pPr>
    <w:rPr>
      <w:color w:val="000000" w:themeColor="text1"/>
      <w:lang w:val="en-A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0116B0"/>
    <w:pPr>
      <w:spacing w:line="240" w:lineRule="auto"/>
    </w:pPr>
    <w:rPr>
      <w:color w:val="638C1B" w:themeColor="accent1" w:themeShade="BF"/>
      <w:lang w:val="en-AU"/>
    </w:rPr>
    <w:tblPr>
      <w:tblStyleRowBandSize w:val="1"/>
      <w:tblStyleColBandSize w:val="1"/>
      <w:tblBorders>
        <w:top w:val="single" w:sz="4" w:space="0" w:color="86BC25" w:themeColor="accent1"/>
        <w:bottom w:val="single" w:sz="4" w:space="0" w:color="86BC25" w:themeColor="accent1"/>
      </w:tblBorders>
    </w:tblPr>
    <w:tblStylePr w:type="firstRow">
      <w:rPr>
        <w:b/>
        <w:bCs/>
      </w:rPr>
      <w:tblPr/>
      <w:tcPr>
        <w:tcBorders>
          <w:bottom w:val="single" w:sz="4" w:space="0" w:color="86BC25" w:themeColor="accent1"/>
        </w:tcBorders>
      </w:tcPr>
    </w:tblStylePr>
    <w:tblStylePr w:type="lastRow">
      <w:rPr>
        <w:b/>
        <w:bCs/>
      </w:rPr>
      <w:tblPr/>
      <w:tcPr>
        <w:tcBorders>
          <w:top w:val="double" w:sz="4" w:space="0" w:color="86BC25" w:themeColor="accent1"/>
        </w:tcBorders>
      </w:tcPr>
    </w:tblStylePr>
    <w:tblStylePr w:type="firstCol">
      <w:rPr>
        <w:b/>
        <w:bCs/>
      </w:rPr>
    </w:tblStylePr>
    <w:tblStylePr w:type="lastCol">
      <w:rPr>
        <w:b/>
        <w:bCs/>
      </w:rPr>
    </w:tblStylePr>
    <w:tblStylePr w:type="band1Vert">
      <w:tblPr/>
      <w:tcPr>
        <w:shd w:val="clear" w:color="auto" w:fill="E7F5CF" w:themeFill="accent1" w:themeFillTint="33"/>
      </w:tcPr>
    </w:tblStylePr>
    <w:tblStylePr w:type="band1Horz">
      <w:tblPr/>
      <w:tcPr>
        <w:shd w:val="clear" w:color="auto" w:fill="E7F5CF" w:themeFill="accent1" w:themeFillTint="33"/>
      </w:tcPr>
    </w:tblStylePr>
  </w:style>
  <w:style w:type="table" w:styleId="ListTable6Colorful-Accent2">
    <w:name w:val="List Table 6 Colorful Accent 2"/>
    <w:basedOn w:val="TableNormal"/>
    <w:uiPriority w:val="51"/>
    <w:rsid w:val="000116B0"/>
    <w:pPr>
      <w:spacing w:line="240" w:lineRule="auto"/>
    </w:pPr>
    <w:rPr>
      <w:color w:val="034F29" w:themeColor="accent2" w:themeShade="BF"/>
      <w:lang w:val="en-AU"/>
    </w:rPr>
    <w:tblPr>
      <w:tblStyleRowBandSize w:val="1"/>
      <w:tblStyleColBandSize w:val="1"/>
      <w:tblBorders>
        <w:top w:val="single" w:sz="4" w:space="0" w:color="046A38" w:themeColor="accent2"/>
        <w:bottom w:val="single" w:sz="4" w:space="0" w:color="046A38" w:themeColor="accent2"/>
      </w:tblBorders>
    </w:tblPr>
    <w:tblStylePr w:type="firstRow">
      <w:rPr>
        <w:b/>
        <w:bCs/>
      </w:rPr>
      <w:tblPr/>
      <w:tcPr>
        <w:tcBorders>
          <w:bottom w:val="single" w:sz="4" w:space="0" w:color="046A38" w:themeColor="accent2"/>
        </w:tcBorders>
      </w:tcPr>
    </w:tblStylePr>
    <w:tblStylePr w:type="lastRow">
      <w:rPr>
        <w:b/>
        <w:bCs/>
      </w:rPr>
      <w:tblPr/>
      <w:tcPr>
        <w:tcBorders>
          <w:top w:val="double" w:sz="4" w:space="0" w:color="046A38" w:themeColor="accent2"/>
        </w:tcBorders>
      </w:tcPr>
    </w:tblStylePr>
    <w:tblStylePr w:type="firstCol">
      <w:rPr>
        <w:b/>
        <w:bCs/>
      </w:rPr>
    </w:tblStylePr>
    <w:tblStylePr w:type="lastCol">
      <w:rPr>
        <w:b/>
        <w:bCs/>
      </w:rPr>
    </w:tblStylePr>
    <w:tblStylePr w:type="band1Vert">
      <w:tblPr/>
      <w:tcPr>
        <w:shd w:val="clear" w:color="auto" w:fill="B1FCD7" w:themeFill="accent2" w:themeFillTint="33"/>
      </w:tcPr>
    </w:tblStylePr>
    <w:tblStylePr w:type="band1Horz">
      <w:tblPr/>
      <w:tcPr>
        <w:shd w:val="clear" w:color="auto" w:fill="B1FCD7" w:themeFill="accent2" w:themeFillTint="33"/>
      </w:tcPr>
    </w:tblStylePr>
  </w:style>
  <w:style w:type="table" w:styleId="ListTable6Colorful-Accent3">
    <w:name w:val="List Table 6 Colorful Accent 3"/>
    <w:basedOn w:val="TableNormal"/>
    <w:uiPriority w:val="51"/>
    <w:rsid w:val="000116B0"/>
    <w:pPr>
      <w:spacing w:line="240" w:lineRule="auto"/>
    </w:pPr>
    <w:rPr>
      <w:color w:val="2291D1" w:themeColor="accent3" w:themeShade="BF"/>
      <w:lang w:val="en-AU"/>
    </w:rPr>
    <w:tblPr>
      <w:tblStyleRowBandSize w:val="1"/>
      <w:tblStyleColBandSize w:val="1"/>
      <w:tblBorders>
        <w:top w:val="single" w:sz="4" w:space="0" w:color="62B5E5" w:themeColor="accent3"/>
        <w:bottom w:val="single" w:sz="4" w:space="0" w:color="62B5E5" w:themeColor="accent3"/>
      </w:tblBorders>
    </w:tblPr>
    <w:tblStylePr w:type="firstRow">
      <w:rPr>
        <w:b/>
        <w:bCs/>
      </w:rPr>
      <w:tblPr/>
      <w:tcPr>
        <w:tcBorders>
          <w:bottom w:val="single" w:sz="4" w:space="0" w:color="62B5E5" w:themeColor="accent3"/>
        </w:tcBorders>
      </w:tcPr>
    </w:tblStylePr>
    <w:tblStylePr w:type="lastRow">
      <w:rPr>
        <w:b/>
        <w:bCs/>
      </w:rPr>
      <w:tblPr/>
      <w:tcPr>
        <w:tcBorders>
          <w:top w:val="double" w:sz="4" w:space="0" w:color="62B5E5" w:themeColor="accent3"/>
        </w:tcBorders>
      </w:tcPr>
    </w:tblStylePr>
    <w:tblStylePr w:type="firstCol">
      <w:rPr>
        <w:b/>
        <w:bCs/>
      </w:rPr>
    </w:tblStylePr>
    <w:tblStylePr w:type="lastCol">
      <w:rPr>
        <w:b/>
        <w:bCs/>
      </w:rPr>
    </w:tblStylePr>
    <w:tblStylePr w:type="band1Vert">
      <w:tblPr/>
      <w:tcPr>
        <w:shd w:val="clear" w:color="auto" w:fill="DFF0F9" w:themeFill="accent3" w:themeFillTint="33"/>
      </w:tcPr>
    </w:tblStylePr>
    <w:tblStylePr w:type="band1Horz">
      <w:tblPr/>
      <w:tcPr>
        <w:shd w:val="clear" w:color="auto" w:fill="DFF0F9" w:themeFill="accent3" w:themeFillTint="33"/>
      </w:tcPr>
    </w:tblStylePr>
  </w:style>
  <w:style w:type="table" w:styleId="ListTable6Colorful-Accent4">
    <w:name w:val="List Table 6 Colorful Accent 4"/>
    <w:basedOn w:val="TableNormal"/>
    <w:uiPriority w:val="51"/>
    <w:rsid w:val="000116B0"/>
    <w:pPr>
      <w:spacing w:line="240" w:lineRule="auto"/>
    </w:pPr>
    <w:rPr>
      <w:color w:val="00184E" w:themeColor="accent4" w:themeShade="BF"/>
      <w:lang w:val="en-AU"/>
    </w:rPr>
    <w:tblPr>
      <w:tblStyleRowBandSize w:val="1"/>
      <w:tblStyleColBandSize w:val="1"/>
      <w:tblBorders>
        <w:top w:val="single" w:sz="4" w:space="0" w:color="012169" w:themeColor="accent4"/>
        <w:bottom w:val="single" w:sz="4" w:space="0" w:color="012169" w:themeColor="accent4"/>
      </w:tblBorders>
    </w:tblPr>
    <w:tblStylePr w:type="firstRow">
      <w:rPr>
        <w:b/>
        <w:bCs/>
      </w:rPr>
      <w:tblPr/>
      <w:tcPr>
        <w:tcBorders>
          <w:bottom w:val="single" w:sz="4" w:space="0" w:color="012169" w:themeColor="accent4"/>
        </w:tcBorders>
      </w:tcPr>
    </w:tblStylePr>
    <w:tblStylePr w:type="lastRow">
      <w:rPr>
        <w:b/>
        <w:bCs/>
      </w:rPr>
      <w:tblPr/>
      <w:tcPr>
        <w:tcBorders>
          <w:top w:val="double" w:sz="4" w:space="0" w:color="012169" w:themeColor="accent4"/>
        </w:tcBorders>
      </w:tcPr>
    </w:tblStylePr>
    <w:tblStylePr w:type="firstCol">
      <w:rPr>
        <w:b/>
        <w:bCs/>
      </w:rPr>
    </w:tblStylePr>
    <w:tblStylePr w:type="lastCol">
      <w:rPr>
        <w:b/>
        <w:bCs/>
      </w:rPr>
    </w:tblStylePr>
    <w:tblStylePr w:type="band1Vert">
      <w:tblPr/>
      <w:tcPr>
        <w:shd w:val="clear" w:color="auto" w:fill="AEC7FE" w:themeFill="accent4" w:themeFillTint="33"/>
      </w:tcPr>
    </w:tblStylePr>
    <w:tblStylePr w:type="band1Horz">
      <w:tblPr/>
      <w:tcPr>
        <w:shd w:val="clear" w:color="auto" w:fill="AEC7FE" w:themeFill="accent4" w:themeFillTint="33"/>
      </w:tcPr>
    </w:tblStylePr>
  </w:style>
  <w:style w:type="table" w:styleId="ListTable6Colorful-Accent5">
    <w:name w:val="List Table 6 Colorful Accent 5"/>
    <w:basedOn w:val="TableNormal"/>
    <w:uiPriority w:val="51"/>
    <w:rsid w:val="000116B0"/>
    <w:pPr>
      <w:spacing w:line="240" w:lineRule="auto"/>
    </w:pPr>
    <w:rPr>
      <w:color w:val="00707E" w:themeColor="accent5" w:themeShade="BF"/>
      <w:lang w:val="en-AU"/>
    </w:rPr>
    <w:tblPr>
      <w:tblStyleRowBandSize w:val="1"/>
      <w:tblStyleColBandSize w:val="1"/>
      <w:tblBorders>
        <w:top w:val="single" w:sz="4" w:space="0" w:color="0097A9" w:themeColor="accent5"/>
        <w:bottom w:val="single" w:sz="4" w:space="0" w:color="0097A9" w:themeColor="accent5"/>
      </w:tblBorders>
    </w:tblPr>
    <w:tblStylePr w:type="firstRow">
      <w:rPr>
        <w:b/>
        <w:bCs/>
      </w:rPr>
      <w:tblPr/>
      <w:tcPr>
        <w:tcBorders>
          <w:bottom w:val="single" w:sz="4" w:space="0" w:color="0097A9" w:themeColor="accent5"/>
        </w:tcBorders>
      </w:tcPr>
    </w:tblStylePr>
    <w:tblStylePr w:type="lastRow">
      <w:rPr>
        <w:b/>
        <w:bCs/>
      </w:rPr>
      <w:tblPr/>
      <w:tcPr>
        <w:tcBorders>
          <w:top w:val="double" w:sz="4" w:space="0" w:color="0097A9" w:themeColor="accent5"/>
        </w:tcBorders>
      </w:tcPr>
    </w:tblStylePr>
    <w:tblStylePr w:type="firstCol">
      <w:rPr>
        <w:b/>
        <w:bCs/>
      </w:rPr>
    </w:tblStylePr>
    <w:tblStylePr w:type="lastCol">
      <w:rPr>
        <w:b/>
        <w:bCs/>
      </w:rPr>
    </w:tblStylePr>
    <w:tblStylePr w:type="band1Vert">
      <w:tblPr/>
      <w:tcPr>
        <w:shd w:val="clear" w:color="auto" w:fill="BAF7FF" w:themeFill="accent5" w:themeFillTint="33"/>
      </w:tcPr>
    </w:tblStylePr>
    <w:tblStylePr w:type="band1Horz">
      <w:tblPr/>
      <w:tcPr>
        <w:shd w:val="clear" w:color="auto" w:fill="BAF7FF" w:themeFill="accent5" w:themeFillTint="33"/>
      </w:tcPr>
    </w:tblStylePr>
  </w:style>
  <w:style w:type="table" w:styleId="ListTable6Colorful-Accent6">
    <w:name w:val="List Table 6 Colorful Accent 6"/>
    <w:basedOn w:val="TableNormal"/>
    <w:uiPriority w:val="51"/>
    <w:rsid w:val="000116B0"/>
    <w:pPr>
      <w:spacing w:line="240" w:lineRule="auto"/>
    </w:pPr>
    <w:rPr>
      <w:color w:val="57595C" w:themeColor="accent6" w:themeShade="BF"/>
      <w:lang w:val="en-AU"/>
    </w:rPr>
    <w:tblPr>
      <w:tblStyleRowBandSize w:val="1"/>
      <w:tblStyleColBandSize w:val="1"/>
      <w:tblBorders>
        <w:top w:val="single" w:sz="4" w:space="0" w:color="75787B" w:themeColor="accent6"/>
        <w:bottom w:val="single" w:sz="4" w:space="0" w:color="75787B" w:themeColor="accent6"/>
      </w:tblBorders>
    </w:tblPr>
    <w:tblStylePr w:type="firstRow">
      <w:rPr>
        <w:b/>
        <w:bCs/>
      </w:rPr>
      <w:tblPr/>
      <w:tcPr>
        <w:tcBorders>
          <w:bottom w:val="single" w:sz="4" w:space="0" w:color="75787B" w:themeColor="accent6"/>
        </w:tcBorders>
      </w:tcPr>
    </w:tblStylePr>
    <w:tblStylePr w:type="lastRow">
      <w:rPr>
        <w:b/>
        <w:bCs/>
      </w:rPr>
      <w:tblPr/>
      <w:tcPr>
        <w:tcBorders>
          <w:top w:val="double" w:sz="4" w:space="0" w:color="75787B" w:themeColor="accent6"/>
        </w:tcBorders>
      </w:tcPr>
    </w:tblStylePr>
    <w:tblStylePr w:type="firstCol">
      <w:rPr>
        <w:b/>
        <w:bCs/>
      </w:rPr>
    </w:tblStylePr>
    <w:tblStylePr w:type="lastCol">
      <w:rPr>
        <w:b/>
        <w:bCs/>
      </w:rPr>
    </w:tblStylePr>
    <w:tblStylePr w:type="band1Vert">
      <w:tblPr/>
      <w:tcPr>
        <w:shd w:val="clear" w:color="auto" w:fill="E3E3E4" w:themeFill="accent6" w:themeFillTint="33"/>
      </w:tcPr>
    </w:tblStylePr>
    <w:tblStylePr w:type="band1Horz">
      <w:tblPr/>
      <w:tcPr>
        <w:shd w:val="clear" w:color="auto" w:fill="E3E3E4" w:themeFill="accent6" w:themeFillTint="33"/>
      </w:tcPr>
    </w:tblStylePr>
  </w:style>
  <w:style w:type="table" w:styleId="ListTable7Colorful">
    <w:name w:val="List Table 7 Colorful"/>
    <w:basedOn w:val="TableNormal"/>
    <w:uiPriority w:val="52"/>
    <w:rsid w:val="000116B0"/>
    <w:pPr>
      <w:spacing w:line="240" w:lineRule="auto"/>
    </w:pPr>
    <w:rPr>
      <w:color w:val="000000" w:themeColor="text1"/>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0116B0"/>
    <w:pPr>
      <w:spacing w:line="240" w:lineRule="auto"/>
    </w:pPr>
    <w:rPr>
      <w:color w:val="638C1B" w:themeColor="accent1"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6BC2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6BC2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6BC2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6BC25" w:themeColor="accent1"/>
        </w:tcBorders>
        <w:shd w:val="clear" w:color="auto" w:fill="FFFFFF" w:themeFill="background1"/>
      </w:tcPr>
    </w:tblStylePr>
    <w:tblStylePr w:type="band1Vert">
      <w:tblPr/>
      <w:tcPr>
        <w:shd w:val="clear" w:color="auto" w:fill="E7F5CF" w:themeFill="accent1" w:themeFillTint="33"/>
      </w:tcPr>
    </w:tblStylePr>
    <w:tblStylePr w:type="band1Horz">
      <w:tblPr/>
      <w:tcPr>
        <w:shd w:val="clear" w:color="auto" w:fill="E7F5C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0116B0"/>
    <w:pPr>
      <w:spacing w:line="240" w:lineRule="auto"/>
    </w:pPr>
    <w:rPr>
      <w:color w:val="034F29" w:themeColor="accent2"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6A3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6A3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6A3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6A38" w:themeColor="accent2"/>
        </w:tcBorders>
        <w:shd w:val="clear" w:color="auto" w:fill="FFFFFF" w:themeFill="background1"/>
      </w:tcPr>
    </w:tblStylePr>
    <w:tblStylePr w:type="band1Vert">
      <w:tblPr/>
      <w:tcPr>
        <w:shd w:val="clear" w:color="auto" w:fill="B1FCD7" w:themeFill="accent2" w:themeFillTint="33"/>
      </w:tcPr>
    </w:tblStylePr>
    <w:tblStylePr w:type="band1Horz">
      <w:tblPr/>
      <w:tcPr>
        <w:shd w:val="clear" w:color="auto" w:fill="B1FCD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0116B0"/>
    <w:pPr>
      <w:spacing w:line="240" w:lineRule="auto"/>
    </w:pPr>
    <w:rPr>
      <w:color w:val="2291D1" w:themeColor="accent3"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2B5E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2B5E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2B5E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2B5E5" w:themeColor="accent3"/>
        </w:tcBorders>
        <w:shd w:val="clear" w:color="auto" w:fill="FFFFFF" w:themeFill="background1"/>
      </w:tcPr>
    </w:tblStylePr>
    <w:tblStylePr w:type="band1Vert">
      <w:tblPr/>
      <w:tcPr>
        <w:shd w:val="clear" w:color="auto" w:fill="DFF0F9" w:themeFill="accent3" w:themeFillTint="33"/>
      </w:tcPr>
    </w:tblStylePr>
    <w:tblStylePr w:type="band1Horz">
      <w:tblPr/>
      <w:tcPr>
        <w:shd w:val="clear" w:color="auto" w:fill="DFF0F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0116B0"/>
    <w:pPr>
      <w:spacing w:line="240" w:lineRule="auto"/>
    </w:pPr>
    <w:rPr>
      <w:color w:val="00184E" w:themeColor="accent4"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1216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1216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1216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12169" w:themeColor="accent4"/>
        </w:tcBorders>
        <w:shd w:val="clear" w:color="auto" w:fill="FFFFFF" w:themeFill="background1"/>
      </w:tcPr>
    </w:tblStylePr>
    <w:tblStylePr w:type="band1Vert">
      <w:tblPr/>
      <w:tcPr>
        <w:shd w:val="clear" w:color="auto" w:fill="AEC7FE" w:themeFill="accent4" w:themeFillTint="33"/>
      </w:tcPr>
    </w:tblStylePr>
    <w:tblStylePr w:type="band1Horz">
      <w:tblPr/>
      <w:tcPr>
        <w:shd w:val="clear" w:color="auto" w:fill="AEC7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0116B0"/>
    <w:pPr>
      <w:spacing w:line="240" w:lineRule="auto"/>
    </w:pPr>
    <w:rPr>
      <w:color w:val="00707E" w:themeColor="accent5"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7A9"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7A9"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7A9"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7A9" w:themeColor="accent5"/>
        </w:tcBorders>
        <w:shd w:val="clear" w:color="auto" w:fill="FFFFFF" w:themeFill="background1"/>
      </w:tcPr>
    </w:tblStylePr>
    <w:tblStylePr w:type="band1Vert">
      <w:tblPr/>
      <w:tcPr>
        <w:shd w:val="clear" w:color="auto" w:fill="BAF7FF" w:themeFill="accent5" w:themeFillTint="33"/>
      </w:tcPr>
    </w:tblStylePr>
    <w:tblStylePr w:type="band1Horz">
      <w:tblPr/>
      <w:tcPr>
        <w:shd w:val="clear" w:color="auto" w:fill="BAF7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0116B0"/>
    <w:pPr>
      <w:spacing w:line="240" w:lineRule="auto"/>
    </w:pPr>
    <w:rPr>
      <w:color w:val="57595C" w:themeColor="accent6" w:themeShade="BF"/>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787B"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787B"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787B"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787B" w:themeColor="accent6"/>
        </w:tcBorders>
        <w:shd w:val="clear" w:color="auto" w:fill="FFFFFF" w:themeFill="background1"/>
      </w:tcPr>
    </w:tblStylePr>
    <w:tblStylePr w:type="band1Vert">
      <w:tblPr/>
      <w:tcPr>
        <w:shd w:val="clear" w:color="auto" w:fill="E3E3E4" w:themeFill="accent6" w:themeFillTint="33"/>
      </w:tcPr>
    </w:tblStylePr>
    <w:tblStylePr w:type="band1Horz">
      <w:tblPr/>
      <w:tcPr>
        <w:shd w:val="clear" w:color="auto" w:fill="E3E3E4"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116B0"/>
    <w:pPr>
      <w:spacing w:line="240" w:lineRule="auto"/>
    </w:pPr>
    <w:rPr>
      <w:lang w:val="en-A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0116B0"/>
    <w:pPr>
      <w:spacing w:line="240" w:lineRule="auto"/>
    </w:pPr>
    <w:rPr>
      <w:lang w:val="en-A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0116B0"/>
    <w:pPr>
      <w:spacing w:line="240" w:lineRule="auto"/>
    </w:pPr>
    <w:rPr>
      <w:lang w:val="en-A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0116B0"/>
    <w:pPr>
      <w:spacing w:line="240" w:lineRule="auto"/>
    </w:pPr>
    <w:rPr>
      <w:lang w:val="en-A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16B0"/>
    <w:pPr>
      <w:spacing w:line="240" w:lineRule="auto"/>
    </w:pPr>
    <w:rPr>
      <w:lang w:val="en-A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0116B0"/>
    <w:pPr>
      <w:spacing w:line="240" w:lineRule="auto"/>
    </w:pPr>
    <w:rPr>
      <w:lang w:val="en-A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el-Gitter1">
    <w:name w:val="Tabel - Gitter1"/>
    <w:basedOn w:val="TableNormal"/>
    <w:next w:val="TableGrid"/>
    <w:uiPriority w:val="59"/>
    <w:rsid w:val="001E349B"/>
    <w:pPr>
      <w:spacing w:line="240" w:lineRule="auto"/>
    </w:pPr>
    <w:rPr>
      <w:lang w:val="en-AU"/>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efault">
    <w:name w:val="Default"/>
    <w:rsid w:val="00924B60"/>
    <w:pPr>
      <w:autoSpaceDE w:val="0"/>
      <w:autoSpaceDN w:val="0"/>
      <w:adjustRightInd w:val="0"/>
      <w:spacing w:line="240" w:lineRule="auto"/>
    </w:pPr>
    <w:rPr>
      <w:rFonts w:cs="Verdana"/>
      <w:color w:val="000000"/>
      <w:sz w:val="24"/>
      <w:szCs w:val="24"/>
      <w:lang w:val="en-AU"/>
    </w:rPr>
  </w:style>
  <w:style w:type="paragraph" w:customStyle="1" w:styleId="Bullet1">
    <w:name w:val="Bullet 1"/>
    <w:basedOn w:val="Normal"/>
    <w:link w:val="Bullet1Char"/>
    <w:qFormat/>
    <w:rsid w:val="00051339"/>
    <w:pPr>
      <w:numPr>
        <w:numId w:val="51"/>
      </w:numPr>
      <w:spacing w:before="60" w:after="0" w:line="240" w:lineRule="auto"/>
      <w:jc w:val="both"/>
    </w:pPr>
    <w:rPr>
      <w:rFonts w:ascii="Calibri" w:eastAsia="Times New Roman" w:hAnsi="Calibri" w:cs="Arial"/>
      <w:sz w:val="22"/>
      <w:szCs w:val="20"/>
      <w:lang w:eastAsia="en-AU"/>
    </w:rPr>
  </w:style>
  <w:style w:type="character" w:customStyle="1" w:styleId="Bullet1Char">
    <w:name w:val="Bullet 1 Char"/>
    <w:link w:val="Bullet1"/>
    <w:rsid w:val="00051339"/>
    <w:rPr>
      <w:rFonts w:ascii="Calibri" w:eastAsia="Times New Roman" w:hAnsi="Calibri" w:cs="Arial"/>
      <w:sz w:val="22"/>
      <w:szCs w:val="20"/>
      <w:lang w:val="en-AU" w:eastAsia="en-AU"/>
    </w:rPr>
  </w:style>
  <w:style w:type="paragraph" w:styleId="Revision">
    <w:name w:val="Revision"/>
    <w:hidden/>
    <w:uiPriority w:val="99"/>
    <w:semiHidden/>
    <w:rsid w:val="008822E3"/>
    <w:pPr>
      <w:spacing w:line="240" w:lineRule="auto"/>
    </w:pPr>
    <w:rPr>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306788579">
      <w:bodyDiv w:val="1"/>
      <w:marLeft w:val="0"/>
      <w:marRight w:val="0"/>
      <w:marTop w:val="0"/>
      <w:marBottom w:val="0"/>
      <w:divBdr>
        <w:top w:val="none" w:sz="0" w:space="0" w:color="auto"/>
        <w:left w:val="none" w:sz="0" w:space="0" w:color="auto"/>
        <w:bottom w:val="none" w:sz="0" w:space="0" w:color="auto"/>
        <w:right w:val="none" w:sz="0" w:space="0" w:color="auto"/>
      </w:divBdr>
    </w:div>
    <w:div w:id="528875870">
      <w:bodyDiv w:val="1"/>
      <w:marLeft w:val="0"/>
      <w:marRight w:val="0"/>
      <w:marTop w:val="0"/>
      <w:marBottom w:val="0"/>
      <w:divBdr>
        <w:top w:val="none" w:sz="0" w:space="0" w:color="auto"/>
        <w:left w:val="none" w:sz="0" w:space="0" w:color="auto"/>
        <w:bottom w:val="none" w:sz="0" w:space="0" w:color="auto"/>
        <w:right w:val="none" w:sz="0" w:space="0" w:color="auto"/>
      </w:divBdr>
    </w:div>
    <w:div w:id="614873989">
      <w:bodyDiv w:val="1"/>
      <w:marLeft w:val="0"/>
      <w:marRight w:val="0"/>
      <w:marTop w:val="0"/>
      <w:marBottom w:val="0"/>
      <w:divBdr>
        <w:top w:val="none" w:sz="0" w:space="0" w:color="auto"/>
        <w:left w:val="none" w:sz="0" w:space="0" w:color="auto"/>
        <w:bottom w:val="none" w:sz="0" w:space="0" w:color="auto"/>
        <w:right w:val="none" w:sz="0" w:space="0" w:color="auto"/>
      </w:divBdr>
    </w:div>
    <w:div w:id="644429237">
      <w:bodyDiv w:val="1"/>
      <w:marLeft w:val="0"/>
      <w:marRight w:val="0"/>
      <w:marTop w:val="0"/>
      <w:marBottom w:val="0"/>
      <w:divBdr>
        <w:top w:val="none" w:sz="0" w:space="0" w:color="auto"/>
        <w:left w:val="none" w:sz="0" w:space="0" w:color="auto"/>
        <w:bottom w:val="none" w:sz="0" w:space="0" w:color="auto"/>
        <w:right w:val="none" w:sz="0" w:space="0" w:color="auto"/>
      </w:divBdr>
    </w:div>
    <w:div w:id="868296480">
      <w:bodyDiv w:val="1"/>
      <w:marLeft w:val="0"/>
      <w:marRight w:val="0"/>
      <w:marTop w:val="0"/>
      <w:marBottom w:val="0"/>
      <w:divBdr>
        <w:top w:val="none" w:sz="0" w:space="0" w:color="auto"/>
        <w:left w:val="none" w:sz="0" w:space="0" w:color="auto"/>
        <w:bottom w:val="none" w:sz="0" w:space="0" w:color="auto"/>
        <w:right w:val="none" w:sz="0" w:space="0" w:color="auto"/>
      </w:divBdr>
    </w:div>
    <w:div w:id="892157950">
      <w:bodyDiv w:val="1"/>
      <w:marLeft w:val="0"/>
      <w:marRight w:val="0"/>
      <w:marTop w:val="0"/>
      <w:marBottom w:val="0"/>
      <w:divBdr>
        <w:top w:val="none" w:sz="0" w:space="0" w:color="auto"/>
        <w:left w:val="none" w:sz="0" w:space="0" w:color="auto"/>
        <w:bottom w:val="none" w:sz="0" w:space="0" w:color="auto"/>
        <w:right w:val="none" w:sz="0" w:space="0" w:color="auto"/>
      </w:divBdr>
    </w:div>
    <w:div w:id="937299652">
      <w:bodyDiv w:val="1"/>
      <w:marLeft w:val="0"/>
      <w:marRight w:val="0"/>
      <w:marTop w:val="0"/>
      <w:marBottom w:val="0"/>
      <w:divBdr>
        <w:top w:val="none" w:sz="0" w:space="0" w:color="auto"/>
        <w:left w:val="none" w:sz="0" w:space="0" w:color="auto"/>
        <w:bottom w:val="none" w:sz="0" w:space="0" w:color="auto"/>
        <w:right w:val="none" w:sz="0" w:space="0" w:color="auto"/>
      </w:divBdr>
    </w:div>
    <w:div w:id="1122963522">
      <w:bodyDiv w:val="1"/>
      <w:marLeft w:val="0"/>
      <w:marRight w:val="0"/>
      <w:marTop w:val="0"/>
      <w:marBottom w:val="0"/>
      <w:divBdr>
        <w:top w:val="none" w:sz="0" w:space="0" w:color="auto"/>
        <w:left w:val="none" w:sz="0" w:space="0" w:color="auto"/>
        <w:bottom w:val="none" w:sz="0" w:space="0" w:color="auto"/>
        <w:right w:val="none" w:sz="0" w:space="0" w:color="auto"/>
      </w:divBdr>
    </w:div>
    <w:div w:id="1148209095">
      <w:bodyDiv w:val="1"/>
      <w:marLeft w:val="0"/>
      <w:marRight w:val="0"/>
      <w:marTop w:val="0"/>
      <w:marBottom w:val="0"/>
      <w:divBdr>
        <w:top w:val="none" w:sz="0" w:space="0" w:color="auto"/>
        <w:left w:val="none" w:sz="0" w:space="0" w:color="auto"/>
        <w:bottom w:val="none" w:sz="0" w:space="0" w:color="auto"/>
        <w:right w:val="none" w:sz="0" w:space="0" w:color="auto"/>
      </w:divBdr>
    </w:div>
    <w:div w:id="1230581047">
      <w:bodyDiv w:val="1"/>
      <w:marLeft w:val="0"/>
      <w:marRight w:val="0"/>
      <w:marTop w:val="0"/>
      <w:marBottom w:val="0"/>
      <w:divBdr>
        <w:top w:val="none" w:sz="0" w:space="0" w:color="auto"/>
        <w:left w:val="none" w:sz="0" w:space="0" w:color="auto"/>
        <w:bottom w:val="none" w:sz="0" w:space="0" w:color="auto"/>
        <w:right w:val="none" w:sz="0" w:space="0" w:color="auto"/>
      </w:divBdr>
    </w:div>
    <w:div w:id="1268344093">
      <w:bodyDiv w:val="1"/>
      <w:marLeft w:val="0"/>
      <w:marRight w:val="0"/>
      <w:marTop w:val="0"/>
      <w:marBottom w:val="0"/>
      <w:divBdr>
        <w:top w:val="none" w:sz="0" w:space="0" w:color="auto"/>
        <w:left w:val="none" w:sz="0" w:space="0" w:color="auto"/>
        <w:bottom w:val="none" w:sz="0" w:space="0" w:color="auto"/>
        <w:right w:val="none" w:sz="0" w:space="0" w:color="auto"/>
      </w:divBdr>
    </w:div>
    <w:div w:id="1439983414">
      <w:bodyDiv w:val="1"/>
      <w:marLeft w:val="0"/>
      <w:marRight w:val="0"/>
      <w:marTop w:val="0"/>
      <w:marBottom w:val="0"/>
      <w:divBdr>
        <w:top w:val="none" w:sz="0" w:space="0" w:color="auto"/>
        <w:left w:val="none" w:sz="0" w:space="0" w:color="auto"/>
        <w:bottom w:val="none" w:sz="0" w:space="0" w:color="auto"/>
        <w:right w:val="none" w:sz="0" w:space="0" w:color="auto"/>
      </w:divBdr>
    </w:div>
    <w:div w:id="1448158942">
      <w:bodyDiv w:val="1"/>
      <w:marLeft w:val="0"/>
      <w:marRight w:val="0"/>
      <w:marTop w:val="0"/>
      <w:marBottom w:val="0"/>
      <w:divBdr>
        <w:top w:val="none" w:sz="0" w:space="0" w:color="auto"/>
        <w:left w:val="none" w:sz="0" w:space="0" w:color="auto"/>
        <w:bottom w:val="none" w:sz="0" w:space="0" w:color="auto"/>
        <w:right w:val="none" w:sz="0" w:space="0" w:color="auto"/>
      </w:divBdr>
    </w:div>
    <w:div w:id="1503427585">
      <w:bodyDiv w:val="1"/>
      <w:marLeft w:val="0"/>
      <w:marRight w:val="0"/>
      <w:marTop w:val="0"/>
      <w:marBottom w:val="0"/>
      <w:divBdr>
        <w:top w:val="none" w:sz="0" w:space="0" w:color="auto"/>
        <w:left w:val="none" w:sz="0" w:space="0" w:color="auto"/>
        <w:bottom w:val="none" w:sz="0" w:space="0" w:color="auto"/>
        <w:right w:val="none" w:sz="0" w:space="0" w:color="auto"/>
      </w:divBdr>
    </w:div>
    <w:div w:id="1627931203">
      <w:bodyDiv w:val="1"/>
      <w:marLeft w:val="0"/>
      <w:marRight w:val="0"/>
      <w:marTop w:val="0"/>
      <w:marBottom w:val="0"/>
      <w:divBdr>
        <w:top w:val="none" w:sz="0" w:space="0" w:color="auto"/>
        <w:left w:val="none" w:sz="0" w:space="0" w:color="auto"/>
        <w:bottom w:val="none" w:sz="0" w:space="0" w:color="auto"/>
        <w:right w:val="none" w:sz="0" w:space="0" w:color="auto"/>
      </w:divBdr>
    </w:div>
    <w:div w:id="1789858148">
      <w:bodyDiv w:val="1"/>
      <w:marLeft w:val="0"/>
      <w:marRight w:val="0"/>
      <w:marTop w:val="0"/>
      <w:marBottom w:val="0"/>
      <w:divBdr>
        <w:top w:val="none" w:sz="0" w:space="0" w:color="auto"/>
        <w:left w:val="none" w:sz="0" w:space="0" w:color="auto"/>
        <w:bottom w:val="none" w:sz="0" w:space="0" w:color="auto"/>
        <w:right w:val="none" w:sz="0" w:space="0" w:color="auto"/>
      </w:divBdr>
    </w:div>
    <w:div w:id="1813448159">
      <w:bodyDiv w:val="1"/>
      <w:marLeft w:val="0"/>
      <w:marRight w:val="0"/>
      <w:marTop w:val="0"/>
      <w:marBottom w:val="0"/>
      <w:divBdr>
        <w:top w:val="none" w:sz="0" w:space="0" w:color="auto"/>
        <w:left w:val="none" w:sz="0" w:space="0" w:color="auto"/>
        <w:bottom w:val="none" w:sz="0" w:space="0" w:color="auto"/>
        <w:right w:val="none" w:sz="0" w:space="0" w:color="auto"/>
      </w:divBdr>
    </w:div>
    <w:div w:id="1818910534">
      <w:bodyDiv w:val="1"/>
      <w:marLeft w:val="0"/>
      <w:marRight w:val="0"/>
      <w:marTop w:val="0"/>
      <w:marBottom w:val="0"/>
      <w:divBdr>
        <w:top w:val="none" w:sz="0" w:space="0" w:color="auto"/>
        <w:left w:val="none" w:sz="0" w:space="0" w:color="auto"/>
        <w:bottom w:val="none" w:sz="0" w:space="0" w:color="auto"/>
        <w:right w:val="none" w:sz="0" w:space="0" w:color="auto"/>
      </w:divBdr>
    </w:div>
    <w:div w:id="1845702535">
      <w:bodyDiv w:val="1"/>
      <w:marLeft w:val="0"/>
      <w:marRight w:val="0"/>
      <w:marTop w:val="0"/>
      <w:marBottom w:val="0"/>
      <w:divBdr>
        <w:top w:val="none" w:sz="0" w:space="0" w:color="auto"/>
        <w:left w:val="none" w:sz="0" w:space="0" w:color="auto"/>
        <w:bottom w:val="none" w:sz="0" w:space="0" w:color="auto"/>
        <w:right w:val="none" w:sz="0" w:space="0" w:color="auto"/>
      </w:divBdr>
    </w:div>
    <w:div w:id="1851792782">
      <w:bodyDiv w:val="1"/>
      <w:marLeft w:val="0"/>
      <w:marRight w:val="0"/>
      <w:marTop w:val="0"/>
      <w:marBottom w:val="0"/>
      <w:divBdr>
        <w:top w:val="none" w:sz="0" w:space="0" w:color="auto"/>
        <w:left w:val="none" w:sz="0" w:space="0" w:color="auto"/>
        <w:bottom w:val="none" w:sz="0" w:space="0" w:color="auto"/>
        <w:right w:val="none" w:sz="0" w:space="0" w:color="auto"/>
      </w:divBdr>
    </w:div>
    <w:div w:id="187715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3.xml"/><Relationship Id="rId21" Type="http://schemas.openxmlformats.org/officeDocument/2006/relationships/image" Target="media/image12.emf"/><Relationship Id="rId34" Type="http://schemas.openxmlformats.org/officeDocument/2006/relationships/chart" Target="charts/chart6.xml"/><Relationship Id="rId42" Type="http://schemas.openxmlformats.org/officeDocument/2006/relationships/image" Target="media/image21.emf"/><Relationship Id="rId47" Type="http://schemas.openxmlformats.org/officeDocument/2006/relationships/image" Target="media/image23.emf"/><Relationship Id="rId50" Type="http://schemas.openxmlformats.org/officeDocument/2006/relationships/chart" Target="charts/chart15.xml"/><Relationship Id="rId55" Type="http://schemas.openxmlformats.org/officeDocument/2006/relationships/header" Target="header5.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3.xml"/><Relationship Id="rId29" Type="http://schemas.openxmlformats.org/officeDocument/2006/relationships/image" Target="media/image15.emf"/><Relationship Id="rId11" Type="http://schemas.openxmlformats.org/officeDocument/2006/relationships/image" Target="media/image4.emf"/><Relationship Id="rId24" Type="http://schemas.openxmlformats.org/officeDocument/2006/relationships/header" Target="header4.xml"/><Relationship Id="rId32" Type="http://schemas.openxmlformats.org/officeDocument/2006/relationships/image" Target="media/image18.emf"/><Relationship Id="rId37" Type="http://schemas.openxmlformats.org/officeDocument/2006/relationships/chart" Target="charts/chart9.xml"/><Relationship Id="rId40" Type="http://schemas.openxmlformats.org/officeDocument/2006/relationships/image" Target="media/image20.emf"/><Relationship Id="rId45" Type="http://schemas.openxmlformats.org/officeDocument/2006/relationships/image" Target="media/image22.emf"/><Relationship Id="rId53" Type="http://schemas.openxmlformats.org/officeDocument/2006/relationships/image" Target="media/image27.emf"/><Relationship Id="rId58" Type="http://schemas.openxmlformats.org/officeDocument/2006/relationships/header" Target="header6.xml"/><Relationship Id="rId5" Type="http://schemas.openxmlformats.org/officeDocument/2006/relationships/webSettings" Target="webSettings.xml"/><Relationship Id="rId61" Type="http://schemas.openxmlformats.org/officeDocument/2006/relationships/image" Target="media/image31.PNG"/><Relationship Id="rId19" Type="http://schemas.openxmlformats.org/officeDocument/2006/relationships/image" Target="media/image10.emf"/><Relationship Id="rId14" Type="http://schemas.openxmlformats.org/officeDocument/2006/relationships/header" Target="header2.xml"/><Relationship Id="rId22" Type="http://schemas.openxmlformats.org/officeDocument/2006/relationships/image" Target="media/image13.emf"/><Relationship Id="rId27" Type="http://schemas.openxmlformats.org/officeDocument/2006/relationships/chart" Target="charts/chart4.xml"/><Relationship Id="rId30" Type="http://schemas.openxmlformats.org/officeDocument/2006/relationships/image" Target="media/image16.emf"/><Relationship Id="rId35" Type="http://schemas.openxmlformats.org/officeDocument/2006/relationships/chart" Target="charts/chart7.xml"/><Relationship Id="rId43" Type="http://schemas.openxmlformats.org/officeDocument/2006/relationships/chart" Target="charts/chart12.xml"/><Relationship Id="rId48" Type="http://schemas.openxmlformats.org/officeDocument/2006/relationships/image" Target="media/image24.emf"/><Relationship Id="rId56" Type="http://schemas.openxmlformats.org/officeDocument/2006/relationships/image" Target="media/image29.emf"/><Relationship Id="rId64" Type="http://schemas.openxmlformats.org/officeDocument/2006/relationships/glossaryDocument" Target="glossary/document.xml"/><Relationship Id="rId8" Type="http://schemas.openxmlformats.org/officeDocument/2006/relationships/image" Target="media/image1.emf"/><Relationship Id="rId51" Type="http://schemas.openxmlformats.org/officeDocument/2006/relationships/chart" Target="charts/chart16.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4.xml"/><Relationship Id="rId33" Type="http://schemas.openxmlformats.org/officeDocument/2006/relationships/chart" Target="charts/chart5.xml"/><Relationship Id="rId38" Type="http://schemas.openxmlformats.org/officeDocument/2006/relationships/chart" Target="charts/chart10.xml"/><Relationship Id="rId46" Type="http://schemas.openxmlformats.org/officeDocument/2006/relationships/chart" Target="charts/chart14.xml"/><Relationship Id="rId59" Type="http://schemas.openxmlformats.org/officeDocument/2006/relationships/footer" Target="footer5.xml"/><Relationship Id="rId20" Type="http://schemas.openxmlformats.org/officeDocument/2006/relationships/image" Target="media/image11.emf"/><Relationship Id="rId41" Type="http://schemas.openxmlformats.org/officeDocument/2006/relationships/chart" Target="charts/chart11.xml"/><Relationship Id="rId54" Type="http://schemas.openxmlformats.org/officeDocument/2006/relationships/image" Target="media/image28.emf"/><Relationship Id="rId62" Type="http://schemas.openxmlformats.org/officeDocument/2006/relationships/hyperlink" Target="http://www.deloitte.com/au/deloitte-access-economic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image" Target="media/image14.emf"/><Relationship Id="rId36" Type="http://schemas.openxmlformats.org/officeDocument/2006/relationships/chart" Target="charts/chart8.xml"/><Relationship Id="rId49" Type="http://schemas.openxmlformats.org/officeDocument/2006/relationships/image" Target="media/image25.emf"/><Relationship Id="rId57" Type="http://schemas.openxmlformats.org/officeDocument/2006/relationships/image" Target="media/image30.emf"/><Relationship Id="rId10" Type="http://schemas.openxmlformats.org/officeDocument/2006/relationships/image" Target="media/image3.png"/><Relationship Id="rId31" Type="http://schemas.openxmlformats.org/officeDocument/2006/relationships/image" Target="media/image17.emf"/><Relationship Id="rId44" Type="http://schemas.openxmlformats.org/officeDocument/2006/relationships/chart" Target="charts/chart13.xml"/><Relationship Id="rId52" Type="http://schemas.openxmlformats.org/officeDocument/2006/relationships/image" Target="media/image26.emf"/><Relationship Id="rId60" Type="http://schemas.openxmlformats.org/officeDocument/2006/relationships/hyperlink" Target="mailto:HEcosting@deloitte.com.au"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chart" Target="charts/chart1.xml"/><Relationship Id="rId39" Type="http://schemas.openxmlformats.org/officeDocument/2006/relationships/image" Target="media/image19.emf"/></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footer3.xml.rels><?xml version="1.0" encoding="UTF-8" standalone="yes"?>
<Relationships xmlns="http://schemas.openxmlformats.org/package/2006/relationships"><Relationship Id="rId1" Type="http://schemas.openxmlformats.org/officeDocument/2006/relationships/image" Target="media/image6.png"/></Relationships>
</file>

<file path=word/_rels/footer4.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emf"/><Relationship Id="rId5" Type="http://schemas.openxmlformats.org/officeDocument/2006/relationships/image" Target="media/image9.png"/><Relationship Id="rId4" Type="http://schemas.openxmlformats.org/officeDocument/2006/relationships/image" Target="media/image8.png"/></Relationships>
</file>

<file path=word/_rels/head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3.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4.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5.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image" Target="media/image7.png"/><Relationship Id="rId1" Type="http://schemas.openxmlformats.org/officeDocument/2006/relationships/image" Target="media/image5.emf"/></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emf"/><Relationship Id="rId4"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EFTSL%20time%20series%20-%20common%20sampl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chartUserShapes" Target="../drawings/drawing1.xml"/></Relationships>
</file>

<file path=word/charts/_rels/chart8.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chartUserShapes" Target="../drawings/drawing2.xml"/></Relationships>
</file>

<file path=word/charts/_rels/chart9.xml.rels><?xml version="1.0" encoding="UTF-8" standalone="yes"?>
<Relationships xmlns="http://schemas.openxmlformats.org/package/2006/relationships"><Relationship Id="rId3" Type="http://schemas.openxmlformats.org/officeDocument/2006/relationships/oleObject" Target="file:///\\ausyd0800\common$\DAC\DAE\Public%20Sector_Clients\Education%20(C'wlth)\1.%20Projects_current\Transparency%20in%20higher%20education%20expenditure%20-%20596320\7.%20Modelling%20&amp;%20analysis\Transparent%20Costing%20-%20Data%20Compilation%2012-12-18%20(QUT%20amendment).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0925925925925923E-2"/>
          <c:w val="0.83759886264216976"/>
          <c:h val="0.82262321376494607"/>
        </c:manualLayout>
      </c:layout>
      <c:barChart>
        <c:barDir val="col"/>
        <c:grouping val="clustered"/>
        <c:varyColors val="0"/>
        <c:ser>
          <c:idx val="0"/>
          <c:order val="0"/>
          <c:spPr>
            <a:solidFill>
              <a:srgbClr val="00ABAB"/>
            </a:solidFill>
            <a:ln>
              <a:noFill/>
            </a:ln>
            <a:effectLst/>
          </c:spPr>
          <c:invertIfNegative val="0"/>
          <c:cat>
            <c:numRef>
              <c:f>ES_data!$G$4:$G$28</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ES_data!$H$4:$H$28</c:f>
              <c:numCache>
                <c:formatCode>"$"#,##0</c:formatCode>
                <c:ptCount val="25"/>
                <c:pt idx="0">
                  <c:v>13804.229188371248</c:v>
                </c:pt>
                <c:pt idx="1">
                  <c:v>14483.277310423078</c:v>
                </c:pt>
                <c:pt idx="2">
                  <c:v>14552.056749050682</c:v>
                </c:pt>
                <c:pt idx="3">
                  <c:v>14743.319042187046</c:v>
                </c:pt>
                <c:pt idx="4">
                  <c:v>14767.762000365008</c:v>
                </c:pt>
                <c:pt idx="5">
                  <c:v>15227.203236713678</c:v>
                </c:pt>
                <c:pt idx="6">
                  <c:v>15336.970913554285</c:v>
                </c:pt>
                <c:pt idx="7">
                  <c:v>16464.612597876727</c:v>
                </c:pt>
                <c:pt idx="8">
                  <c:v>17115.56636512524</c:v>
                </c:pt>
                <c:pt idx="9">
                  <c:v>17173.03949124019</c:v>
                </c:pt>
                <c:pt idx="10">
                  <c:v>17438.69556769597</c:v>
                </c:pt>
                <c:pt idx="11">
                  <c:v>17498.14528196348</c:v>
                </c:pt>
                <c:pt idx="12">
                  <c:v>17618.931143926839</c:v>
                </c:pt>
                <c:pt idx="13">
                  <c:v>17714.487799265258</c:v>
                </c:pt>
                <c:pt idx="14">
                  <c:v>18039.604611900595</c:v>
                </c:pt>
                <c:pt idx="15">
                  <c:v>18405.751257870928</c:v>
                </c:pt>
                <c:pt idx="16">
                  <c:v>18429.202680382383</c:v>
                </c:pt>
                <c:pt idx="17">
                  <c:v>18942.939567969555</c:v>
                </c:pt>
                <c:pt idx="18">
                  <c:v>19435.044121464245</c:v>
                </c:pt>
                <c:pt idx="19">
                  <c:v>20242.74982205213</c:v>
                </c:pt>
                <c:pt idx="20">
                  <c:v>20372.520092628642</c:v>
                </c:pt>
                <c:pt idx="21">
                  <c:v>20658.088428658168</c:v>
                </c:pt>
                <c:pt idx="22">
                  <c:v>20925.960428271519</c:v>
                </c:pt>
                <c:pt idx="23">
                  <c:v>21918.345908873875</c:v>
                </c:pt>
                <c:pt idx="24">
                  <c:v>22733.488837431516</c:v>
                </c:pt>
              </c:numCache>
            </c:numRef>
          </c:val>
          <c:extLst>
            <c:ext xmlns:c16="http://schemas.microsoft.com/office/drawing/2014/chart" uri="{C3380CC4-5D6E-409C-BE32-E72D297353CC}">
              <c16:uniqueId val="{00000000-3A64-48A2-AC1D-24BFD6588808}"/>
            </c:ext>
          </c:extLst>
        </c:ser>
        <c:dLbls>
          <c:showLegendKey val="0"/>
          <c:showVal val="0"/>
          <c:showCatName val="0"/>
          <c:showSerName val="0"/>
          <c:showPercent val="0"/>
          <c:showBubbleSize val="0"/>
        </c:dLbls>
        <c:gapWidth val="100"/>
        <c:axId val="556177936"/>
        <c:axId val="556201232"/>
      </c:barChart>
      <c:lineChart>
        <c:grouping val="standard"/>
        <c:varyColors val="0"/>
        <c:ser>
          <c:idx val="1"/>
          <c:order val="1"/>
          <c:spPr>
            <a:ln w="28575" cap="rnd">
              <a:solidFill>
                <a:schemeClr val="bg1">
                  <a:lumMod val="75000"/>
                </a:schemeClr>
              </a:solidFill>
              <a:prstDash val="sysDash"/>
              <a:round/>
            </a:ln>
            <a:effectLst/>
          </c:spPr>
          <c:marker>
            <c:symbol val="none"/>
          </c:marker>
          <c:cat>
            <c:numRef>
              <c:f>ES_data!$G$4:$G$28</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ES_data!$I$4:$I$28</c:f>
              <c:numCache>
                <c:formatCode>"$"#,##0</c:formatCode>
                <c:ptCount val="25"/>
                <c:pt idx="0">
                  <c:v>17322.250174496716</c:v>
                </c:pt>
                <c:pt idx="1">
                  <c:v>17322.250174496716</c:v>
                </c:pt>
                <c:pt idx="2">
                  <c:v>17322.250174496716</c:v>
                </c:pt>
                <c:pt idx="3">
                  <c:v>17322.250174496716</c:v>
                </c:pt>
                <c:pt idx="4">
                  <c:v>17322.250174496716</c:v>
                </c:pt>
                <c:pt idx="5">
                  <c:v>17322.250174496716</c:v>
                </c:pt>
                <c:pt idx="6">
                  <c:v>17322.250174496716</c:v>
                </c:pt>
                <c:pt idx="7">
                  <c:v>17322.250174496716</c:v>
                </c:pt>
                <c:pt idx="8">
                  <c:v>17322.250174496716</c:v>
                </c:pt>
                <c:pt idx="9">
                  <c:v>17322.250174496716</c:v>
                </c:pt>
                <c:pt idx="10">
                  <c:v>17322.250174496716</c:v>
                </c:pt>
                <c:pt idx="11">
                  <c:v>17322.250174496716</c:v>
                </c:pt>
                <c:pt idx="12">
                  <c:v>17322.250174496716</c:v>
                </c:pt>
                <c:pt idx="13">
                  <c:v>17322.250174496716</c:v>
                </c:pt>
                <c:pt idx="14">
                  <c:v>17322.250174496716</c:v>
                </c:pt>
                <c:pt idx="15">
                  <c:v>17322.250174496716</c:v>
                </c:pt>
                <c:pt idx="16">
                  <c:v>17322.250174496716</c:v>
                </c:pt>
                <c:pt idx="17">
                  <c:v>17322.250174496716</c:v>
                </c:pt>
                <c:pt idx="18">
                  <c:v>17322.250174496716</c:v>
                </c:pt>
                <c:pt idx="19">
                  <c:v>17322.250174496716</c:v>
                </c:pt>
                <c:pt idx="20">
                  <c:v>17322.250174496716</c:v>
                </c:pt>
                <c:pt idx="21">
                  <c:v>17322.250174496716</c:v>
                </c:pt>
                <c:pt idx="22">
                  <c:v>17322.250174496716</c:v>
                </c:pt>
                <c:pt idx="23">
                  <c:v>17322.250174496716</c:v>
                </c:pt>
                <c:pt idx="24">
                  <c:v>17322.250174496716</c:v>
                </c:pt>
              </c:numCache>
            </c:numRef>
          </c:val>
          <c:smooth val="0"/>
          <c:extLst>
            <c:ext xmlns:c16="http://schemas.microsoft.com/office/drawing/2014/chart" uri="{C3380CC4-5D6E-409C-BE32-E72D297353CC}">
              <c16:uniqueId val="{00000001-3A64-48A2-AC1D-24BFD6588808}"/>
            </c:ext>
          </c:extLst>
        </c:ser>
        <c:dLbls>
          <c:showLegendKey val="0"/>
          <c:showVal val="0"/>
          <c:showCatName val="0"/>
          <c:showSerName val="0"/>
          <c:showPercent val="0"/>
          <c:showBubbleSize val="0"/>
        </c:dLbls>
        <c:marker val="1"/>
        <c:smooth val="0"/>
        <c:axId val="556177936"/>
        <c:axId val="556201232"/>
      </c:lineChart>
      <c:catAx>
        <c:axId val="556177936"/>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(25)</a:t>
                </a:r>
              </a:p>
            </c:rich>
          </c:tx>
          <c:layout>
            <c:manualLayout>
              <c:xMode val="edge"/>
              <c:yMode val="edge"/>
              <c:x val="0.40768657042869638"/>
              <c:y val="0.91793963254593181"/>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56201232"/>
        <c:crosses val="autoZero"/>
        <c:auto val="1"/>
        <c:lblAlgn val="ctr"/>
        <c:lblOffset val="100"/>
        <c:noMultiLvlLbl val="0"/>
      </c:catAx>
      <c:valAx>
        <c:axId val="556201232"/>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5617793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'2.2_data'!$A$18</c:f>
              <c:strCache>
                <c:ptCount val="1"/>
                <c:pt idx="0">
                  <c:v>Sub-bachelor</c:v>
                </c:pt>
              </c:strCache>
            </c:strRef>
          </c:tx>
          <c:spPr>
            <a:solidFill>
              <a:srgbClr val="00ABAB"/>
            </a:solidFill>
            <a:ln>
              <a:noFill/>
            </a:ln>
            <a:effectLst/>
          </c:spPr>
          <c:invertIfNegative val="0"/>
          <c:cat>
            <c:strRef>
              <c:f>'2.2_data'!$B$17:$W$17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'2.2_data'!$B$18:$W$18</c:f>
              <c:numCache>
                <c:formatCode>General</c:formatCode>
                <c:ptCount val="22"/>
                <c:pt idx="0">
                  <c:v>2</c:v>
                </c:pt>
                <c:pt idx="1">
                  <c:v>2</c:v>
                </c:pt>
                <c:pt idx="2">
                  <c:v>4</c:v>
                </c:pt>
                <c:pt idx="3">
                  <c:v>8</c:v>
                </c:pt>
                <c:pt idx="4">
                  <c:v>7</c:v>
                </c:pt>
                <c:pt idx="5">
                  <c:v>3</c:v>
                </c:pt>
                <c:pt idx="6">
                  <c:v>4</c:v>
                </c:pt>
                <c:pt idx="7">
                  <c:v>3</c:v>
                </c:pt>
                <c:pt idx="8">
                  <c:v>2</c:v>
                </c:pt>
                <c:pt idx="9">
                  <c:v>3</c:v>
                </c:pt>
                <c:pt idx="10">
                  <c:v>0</c:v>
                </c:pt>
                <c:pt idx="11">
                  <c:v>0</c:v>
                </c:pt>
                <c:pt idx="12">
                  <c:v>8</c:v>
                </c:pt>
                <c:pt idx="13">
                  <c:v>0</c:v>
                </c:pt>
                <c:pt idx="14">
                  <c:v>6</c:v>
                </c:pt>
                <c:pt idx="15">
                  <c:v>4</c:v>
                </c:pt>
                <c:pt idx="16">
                  <c:v>7</c:v>
                </c:pt>
                <c:pt idx="17">
                  <c:v>3</c:v>
                </c:pt>
                <c:pt idx="18">
                  <c:v>7</c:v>
                </c:pt>
                <c:pt idx="19">
                  <c:v>5</c:v>
                </c:pt>
                <c:pt idx="20">
                  <c:v>0</c:v>
                </c:pt>
                <c:pt idx="21">
                  <c:v>0</c:v>
                </c:pt>
              </c:numCache>
            </c:numRef>
          </c:val>
          <c:extLst>
            <c:ext xmlns:c16="http://schemas.microsoft.com/office/drawing/2014/chart" uri="{C3380CC4-5D6E-409C-BE32-E72D297353CC}">
              <c16:uniqueId val="{00000000-7F53-46BE-84A7-911A58CA4EF3}"/>
            </c:ext>
          </c:extLst>
        </c:ser>
        <c:ser>
          <c:idx val="1"/>
          <c:order val="1"/>
          <c:tx>
            <c:strRef>
              <c:f>'2.2_data'!$A$19</c:f>
              <c:strCache>
                <c:ptCount val="1"/>
                <c:pt idx="0">
                  <c:v>Bachelor</c:v>
                </c:pt>
              </c:strCache>
            </c:strRef>
          </c:tx>
          <c:spPr>
            <a:solidFill>
              <a:schemeClr val="bg1">
                <a:lumMod val="75000"/>
              </a:schemeClr>
            </a:solidFill>
            <a:ln>
              <a:noFill/>
            </a:ln>
            <a:effectLst/>
          </c:spPr>
          <c:invertIfNegative val="0"/>
          <c:cat>
            <c:strRef>
              <c:f>'2.2_data'!$B$17:$W$17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'2.2_data'!$B$19:$W$19</c:f>
              <c:numCache>
                <c:formatCode>General</c:formatCode>
                <c:ptCount val="22"/>
                <c:pt idx="0">
                  <c:v>0</c:v>
                </c:pt>
                <c:pt idx="1">
                  <c:v>0</c:v>
                </c:pt>
                <c:pt idx="2">
                  <c:v>0</c:v>
                </c:pt>
                <c:pt idx="3">
                  <c:v>0</c:v>
                </c:pt>
                <c:pt idx="4">
                  <c:v>0</c:v>
                </c:pt>
                <c:pt idx="5">
                  <c:v>1</c:v>
                </c:pt>
                <c:pt idx="6">
                  <c:v>1</c:v>
                </c:pt>
                <c:pt idx="7">
                  <c:v>4</c:v>
                </c:pt>
                <c:pt idx="8">
                  <c:v>2</c:v>
                </c:pt>
                <c:pt idx="9">
                  <c:v>0</c:v>
                </c:pt>
                <c:pt idx="10">
                  <c:v>1</c:v>
                </c:pt>
                <c:pt idx="11">
                  <c:v>0</c:v>
                </c:pt>
                <c:pt idx="12">
                  <c:v>0</c:v>
                </c:pt>
                <c:pt idx="13">
                  <c:v>0</c:v>
                </c:pt>
                <c:pt idx="14">
                  <c:v>0</c:v>
                </c:pt>
                <c:pt idx="15">
                  <c:v>2</c:v>
                </c:pt>
                <c:pt idx="16">
                  <c:v>0</c:v>
                </c:pt>
                <c:pt idx="17">
                  <c:v>0</c:v>
                </c:pt>
                <c:pt idx="18">
                  <c:v>0</c:v>
                </c:pt>
                <c:pt idx="19">
                  <c:v>0</c:v>
                </c:pt>
                <c:pt idx="20">
                  <c:v>0</c:v>
                </c:pt>
                <c:pt idx="21">
                  <c:v>2</c:v>
                </c:pt>
              </c:numCache>
            </c:numRef>
          </c:val>
          <c:extLst>
            <c:ext xmlns:c16="http://schemas.microsoft.com/office/drawing/2014/chart" uri="{C3380CC4-5D6E-409C-BE32-E72D297353CC}">
              <c16:uniqueId val="{00000001-7F53-46BE-84A7-911A58CA4EF3}"/>
            </c:ext>
          </c:extLst>
        </c:ser>
        <c:ser>
          <c:idx val="2"/>
          <c:order val="2"/>
          <c:tx>
            <c:strRef>
              <c:f>'2.2_data'!$A$20</c:f>
              <c:strCache>
                <c:ptCount val="1"/>
                <c:pt idx="0">
                  <c:v>Postgraduate</c:v>
                </c:pt>
              </c:strCache>
            </c:strRef>
          </c:tx>
          <c:spPr>
            <a:solidFill>
              <a:schemeClr val="tx2"/>
            </a:solidFill>
            <a:ln>
              <a:noFill/>
            </a:ln>
            <a:effectLst/>
          </c:spPr>
          <c:invertIfNegative val="0"/>
          <c:cat>
            <c:strRef>
              <c:f>'2.2_data'!$B$17:$W$17</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'2.2_data'!$B$20:$W$20</c:f>
              <c:numCache>
                <c:formatCode>General</c:formatCode>
                <c:ptCount val="22"/>
                <c:pt idx="0">
                  <c:v>2</c:v>
                </c:pt>
                <c:pt idx="1">
                  <c:v>1</c:v>
                </c:pt>
                <c:pt idx="2">
                  <c:v>2</c:v>
                </c:pt>
                <c:pt idx="3">
                  <c:v>1</c:v>
                </c:pt>
                <c:pt idx="4">
                  <c:v>0</c:v>
                </c:pt>
                <c:pt idx="5">
                  <c:v>0</c:v>
                </c:pt>
                <c:pt idx="6">
                  <c:v>3</c:v>
                </c:pt>
                <c:pt idx="7">
                  <c:v>1</c:v>
                </c:pt>
                <c:pt idx="8">
                  <c:v>0</c:v>
                </c:pt>
                <c:pt idx="9">
                  <c:v>1</c:v>
                </c:pt>
                <c:pt idx="10">
                  <c:v>0</c:v>
                </c:pt>
                <c:pt idx="11">
                  <c:v>3</c:v>
                </c:pt>
                <c:pt idx="12">
                  <c:v>1</c:v>
                </c:pt>
                <c:pt idx="13">
                  <c:v>1</c:v>
                </c:pt>
                <c:pt idx="14">
                  <c:v>1</c:v>
                </c:pt>
                <c:pt idx="15">
                  <c:v>6</c:v>
                </c:pt>
                <c:pt idx="16">
                  <c:v>1</c:v>
                </c:pt>
                <c:pt idx="17">
                  <c:v>1</c:v>
                </c:pt>
                <c:pt idx="18">
                  <c:v>4</c:v>
                </c:pt>
                <c:pt idx="19">
                  <c:v>7</c:v>
                </c:pt>
                <c:pt idx="20">
                  <c:v>0</c:v>
                </c:pt>
                <c:pt idx="21">
                  <c:v>0</c:v>
                </c:pt>
              </c:numCache>
            </c:numRef>
          </c:val>
          <c:extLst>
            <c:ext xmlns:c16="http://schemas.microsoft.com/office/drawing/2014/chart" uri="{C3380CC4-5D6E-409C-BE32-E72D297353CC}">
              <c16:uniqueId val="{00000002-7F53-46BE-84A7-911A58CA4EF3}"/>
            </c:ext>
          </c:extLst>
        </c:ser>
        <c:dLbls>
          <c:showLegendKey val="0"/>
          <c:showVal val="0"/>
          <c:showCatName val="0"/>
          <c:showSerName val="0"/>
          <c:showPercent val="0"/>
          <c:showBubbleSize val="0"/>
        </c:dLbls>
        <c:gapWidth val="219"/>
        <c:overlap val="-27"/>
        <c:axId val="1342594959"/>
        <c:axId val="1342597455"/>
      </c:bar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ax val="10"/>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majorUnit val="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2420027115825441E-2"/>
          <c:w val="0.83759886264216976"/>
          <c:h val="0.47524882778329192"/>
        </c:manualLayout>
      </c:layout>
      <c:barChart>
        <c:barDir val="col"/>
        <c:grouping val="clustered"/>
        <c:varyColors val="0"/>
        <c:ser>
          <c:idx val="1"/>
          <c:order val="0"/>
          <c:tx>
            <c:v>75th percentile minus 25th percentile</c:v>
          </c:tx>
          <c:spPr>
            <a:solidFill>
              <a:srgbClr val="00ABAB"/>
            </a:solidFill>
            <a:ln>
              <a:noFill/>
            </a:ln>
            <a:effectLst/>
          </c:spPr>
          <c:invertIfNegative val="0"/>
          <c:cat>
            <c:strRef>
              <c:f>'Teaching costs_All FOEs'!$C$2043:$X$2043</c:f>
              <c:strCache>
                <c:ptCount val="21"/>
                <c:pt idx="0">
                  <c:v>Nursing (33,197)</c:v>
                </c:pt>
                <c:pt idx="1">
                  <c:v>MathSci (15,204)</c:v>
                </c:pt>
                <c:pt idx="2">
                  <c:v>Mgmt&amp;Comm (56,418)</c:v>
                </c:pt>
                <c:pt idx="3">
                  <c:v>OtherSoc&amp;Cult (85,371)</c:v>
                </c:pt>
                <c:pt idx="4">
                  <c:v>Comms&amp;Media (15,411)</c:v>
                </c:pt>
                <c:pt idx="5">
                  <c:v>Psych (15,755)</c:v>
                </c:pt>
                <c:pt idx="6">
                  <c:v>Education (32,508)</c:v>
                </c:pt>
                <c:pt idx="7">
                  <c:v>InfoTech (16,657)</c:v>
                </c:pt>
                <c:pt idx="8">
                  <c:v>OthHealth (32,095)</c:v>
                </c:pt>
                <c:pt idx="9">
                  <c:v>OthCreative (16,790)</c:v>
                </c:pt>
                <c:pt idx="10">
                  <c:v>OthAg&amp;Enviro (2,843)</c:v>
                </c:pt>
                <c:pt idx="11">
                  <c:v>Archi&amp;Build (8,968)</c:v>
                </c:pt>
                <c:pt idx="12">
                  <c:v>OthNat-PhysSci (46,165)</c:v>
                </c:pt>
                <c:pt idx="13">
                  <c:v>MedicalSci (3,281)</c:v>
                </c:pt>
                <c:pt idx="14">
                  <c:v>Eng&amp;Related (25,495)</c:v>
                </c:pt>
                <c:pt idx="15">
                  <c:v>Environment (3,064)</c:v>
                </c:pt>
                <c:pt idx="16">
                  <c:v>ForeignLang (5,944)</c:v>
                </c:pt>
                <c:pt idx="17">
                  <c:v>MedicalStudies (8,335)</c:v>
                </c:pt>
                <c:pt idx="18">
                  <c:v>FoodHosp&amp;Person (59)</c:v>
                </c:pt>
                <c:pt idx="19">
                  <c:v>Dental (1,499)</c:v>
                </c:pt>
                <c:pt idx="20">
                  <c:v>Veterinary (2,222)</c:v>
                </c:pt>
              </c:strCache>
            </c:strRef>
          </c:cat>
          <c:val>
            <c:numRef>
              <c:f>'Teaching costs_All FOEs'!$C$2044:$X$2044</c:f>
              <c:numCache>
                <c:formatCode>"$"#,##0</c:formatCode>
                <c:ptCount val="21"/>
                <c:pt idx="0">
                  <c:v>3242.7095411181199</c:v>
                </c:pt>
                <c:pt idx="1">
                  <c:v>3303.0364432587703</c:v>
                </c:pt>
                <c:pt idx="2">
                  <c:v>3711.2509195045241</c:v>
                </c:pt>
                <c:pt idx="3">
                  <c:v>3740.0937206084491</c:v>
                </c:pt>
                <c:pt idx="4">
                  <c:v>3851.5170574342483</c:v>
                </c:pt>
                <c:pt idx="5">
                  <c:v>4285.2435365673045</c:v>
                </c:pt>
                <c:pt idx="6">
                  <c:v>4442.9358856489271</c:v>
                </c:pt>
                <c:pt idx="7">
                  <c:v>5418.9693144813646</c:v>
                </c:pt>
                <c:pt idx="8">
                  <c:v>5643.6378015970367</c:v>
                </c:pt>
                <c:pt idx="9">
                  <c:v>5718.5371739094226</c:v>
                </c:pt>
                <c:pt idx="10">
                  <c:v>7128.8891315805849</c:v>
                </c:pt>
                <c:pt idx="11">
                  <c:v>7646.6030767715165</c:v>
                </c:pt>
                <c:pt idx="12">
                  <c:v>7856.7616842349307</c:v>
                </c:pt>
                <c:pt idx="13">
                  <c:v>8801.7393982616813</c:v>
                </c:pt>
                <c:pt idx="14">
                  <c:v>9051.1986499934574</c:v>
                </c:pt>
                <c:pt idx="15">
                  <c:v>9988.7910100802474</c:v>
                </c:pt>
                <c:pt idx="16">
                  <c:v>10576.419881747672</c:v>
                </c:pt>
                <c:pt idx="17">
                  <c:v>12249.639867349728</c:v>
                </c:pt>
                <c:pt idx="18">
                  <c:v>17848.28463442795</c:v>
                </c:pt>
                <c:pt idx="19">
                  <c:v>20918.718828872457</c:v>
                </c:pt>
                <c:pt idx="20">
                  <c:v>33553.134153974497</c:v>
                </c:pt>
              </c:numCache>
            </c:numRef>
          </c:val>
          <c:extLst>
            <c:ext xmlns:c16="http://schemas.microsoft.com/office/drawing/2014/chart" uri="{C3380CC4-5D6E-409C-BE32-E72D297353CC}">
              <c16:uniqueId val="{00000000-BD5A-4A87-8EA0-28A46E38F43F}"/>
            </c:ext>
          </c:extLst>
        </c:ser>
        <c:ser>
          <c:idx val="0"/>
          <c:order val="1"/>
          <c:tx>
            <c:v>Average cost per EFTSL</c:v>
          </c:tx>
          <c:spPr>
            <a:solidFill>
              <a:schemeClr val="bg1">
                <a:lumMod val="75000"/>
              </a:schemeClr>
            </a:solidFill>
            <a:ln>
              <a:noFill/>
            </a:ln>
            <a:effectLst/>
          </c:spPr>
          <c:invertIfNegative val="0"/>
          <c:cat>
            <c:strRef>
              <c:f>'Teaching costs_All FOEs'!$C$2043:$X$2043</c:f>
              <c:strCache>
                <c:ptCount val="21"/>
                <c:pt idx="0">
                  <c:v>Nursing (33,197)</c:v>
                </c:pt>
                <c:pt idx="1">
                  <c:v>MathSci (15,204)</c:v>
                </c:pt>
                <c:pt idx="2">
                  <c:v>Mgmt&amp;Comm (56,418)</c:v>
                </c:pt>
                <c:pt idx="3">
                  <c:v>OtherSoc&amp;Cult (85,371)</c:v>
                </c:pt>
                <c:pt idx="4">
                  <c:v>Comms&amp;Media (15,411)</c:v>
                </c:pt>
                <c:pt idx="5">
                  <c:v>Psych (15,755)</c:v>
                </c:pt>
                <c:pt idx="6">
                  <c:v>Education (32,508)</c:v>
                </c:pt>
                <c:pt idx="7">
                  <c:v>InfoTech (16,657)</c:v>
                </c:pt>
                <c:pt idx="8">
                  <c:v>OthHealth (32,095)</c:v>
                </c:pt>
                <c:pt idx="9">
                  <c:v>OthCreative (16,790)</c:v>
                </c:pt>
                <c:pt idx="10">
                  <c:v>OthAg&amp;Enviro (2,843)</c:v>
                </c:pt>
                <c:pt idx="11">
                  <c:v>Archi&amp;Build (8,968)</c:v>
                </c:pt>
                <c:pt idx="12">
                  <c:v>OthNat-PhysSci (46,165)</c:v>
                </c:pt>
                <c:pt idx="13">
                  <c:v>MedicalSci (3,281)</c:v>
                </c:pt>
                <c:pt idx="14">
                  <c:v>Eng&amp;Related (25,495)</c:v>
                </c:pt>
                <c:pt idx="15">
                  <c:v>Environment (3,064)</c:v>
                </c:pt>
                <c:pt idx="16">
                  <c:v>ForeignLang (5,944)</c:v>
                </c:pt>
                <c:pt idx="17">
                  <c:v>MedicalStudies (8,335)</c:v>
                </c:pt>
                <c:pt idx="18">
                  <c:v>FoodHosp&amp;Person (59)</c:v>
                </c:pt>
                <c:pt idx="19">
                  <c:v>Dental (1,499)</c:v>
                </c:pt>
                <c:pt idx="20">
                  <c:v>Veterinary (2,222)</c:v>
                </c:pt>
              </c:strCache>
            </c:strRef>
          </c:cat>
          <c:val>
            <c:numRef>
              <c:f>'Teaching costs_All FOEs'!$C$2045:$X$2045</c:f>
              <c:numCache>
                <c:formatCode>"$"#,##0</c:formatCode>
                <c:ptCount val="21"/>
                <c:pt idx="0">
                  <c:v>16399.498484512304</c:v>
                </c:pt>
                <c:pt idx="1">
                  <c:v>15289.211542377085</c:v>
                </c:pt>
                <c:pt idx="2">
                  <c:v>14652.273877312175</c:v>
                </c:pt>
                <c:pt idx="3">
                  <c:v>14175.358600736981</c:v>
                </c:pt>
                <c:pt idx="4">
                  <c:v>14821.24828356716</c:v>
                </c:pt>
                <c:pt idx="5">
                  <c:v>14719.616849361131</c:v>
                </c:pt>
                <c:pt idx="6">
                  <c:v>14915.912071205466</c:v>
                </c:pt>
                <c:pt idx="7">
                  <c:v>16699.355856499489</c:v>
                </c:pt>
                <c:pt idx="8">
                  <c:v>19237.740744224888</c:v>
                </c:pt>
                <c:pt idx="9">
                  <c:v>19681.009753819559</c:v>
                </c:pt>
                <c:pt idx="10">
                  <c:v>27730.239255926073</c:v>
                </c:pt>
                <c:pt idx="11">
                  <c:v>17386.651351516517</c:v>
                </c:pt>
                <c:pt idx="12">
                  <c:v>21086.029381422286</c:v>
                </c:pt>
                <c:pt idx="13">
                  <c:v>22151.082389665036</c:v>
                </c:pt>
                <c:pt idx="14">
                  <c:v>21390.550847004844</c:v>
                </c:pt>
                <c:pt idx="15">
                  <c:v>22396.26516099189</c:v>
                </c:pt>
                <c:pt idx="16">
                  <c:v>17967.652439358339</c:v>
                </c:pt>
                <c:pt idx="17">
                  <c:v>30449.827452123212</c:v>
                </c:pt>
                <c:pt idx="18">
                  <c:v>23454.092306751892</c:v>
                </c:pt>
                <c:pt idx="19">
                  <c:v>37437.258671900767</c:v>
                </c:pt>
                <c:pt idx="20">
                  <c:v>46778.650238503338</c:v>
                </c:pt>
              </c:numCache>
            </c:numRef>
          </c:val>
          <c:extLst>
            <c:ext xmlns:c16="http://schemas.microsoft.com/office/drawing/2014/chart" uri="{C3380CC4-5D6E-409C-BE32-E72D297353CC}">
              <c16:uniqueId val="{00000001-BD5A-4A87-8EA0-28A46E38F43F}"/>
            </c:ext>
          </c:extLst>
        </c:ser>
        <c:dLbls>
          <c:showLegendKey val="0"/>
          <c:showVal val="0"/>
          <c:showCatName val="0"/>
          <c:showSerName val="0"/>
          <c:showPercent val="0"/>
          <c:showBubbleSize val="0"/>
        </c:dLbls>
        <c:gapWidth val="150"/>
        <c:axId val="580713951"/>
        <c:axId val="580714783"/>
      </c:barChart>
      <c:catAx>
        <c:axId val="58071395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majorUnit val="10000"/>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Can distinguish</c:v>
          </c:tx>
          <c:spPr>
            <a:solidFill>
              <a:srgbClr val="00ABAB"/>
            </a:solidFill>
            <a:ln>
              <a:noFill/>
            </a:ln>
            <a:effectLst/>
          </c:spPr>
          <c:invertIfNegative val="0"/>
          <c:dLbls>
            <c:dLbl>
              <c:idx val="0"/>
              <c:layout/>
              <c:tx>
                <c:rich>
                  <a:bodyPr/>
                  <a:lstStyle/>
                  <a:p>
                    <a:fld id="{41457E2D-65EE-4420-A1E3-8750C41F3962}" type="CELLRANGE">
                      <a:rPr lang="en-US"/>
                      <a:pPr/>
                      <a:t>[CELLRANGE]</a:t>
                    </a:fld>
                    <a:endParaRPr lang="en-US"/>
                  </a:p>
                  <a:p>
                    <a:r>
                      <a:rPr lang="en-US"/>
                      <a:t>$15,700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3BFF-40A1-9A9F-77C79F1EABCE}"/>
                </c:ext>
              </c:extLst>
            </c:dLbl>
            <c:dLbl>
              <c:idx val="1"/>
              <c:layout/>
              <c:tx>
                <c:rich>
                  <a:bodyPr/>
                  <a:lstStyle/>
                  <a:p>
                    <a:r>
                      <a:rPr lang="en-US"/>
                      <a:t>$16,800</a:t>
                    </a:r>
                  </a:p>
                </c:rich>
              </c:tx>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3BFF-40A1-9A9F-77C79F1EABCE}"/>
                </c:ext>
              </c:extLst>
            </c:dLbl>
            <c:dLbl>
              <c:idx val="2"/>
              <c:layout>
                <c:manualLayout>
                  <c:x val="-1.6666663021289801E-2"/>
                  <c:y val="9.2592592592592535E-3"/>
                </c:manualLayout>
              </c:layout>
              <c:tx>
                <c:rich>
                  <a:bodyPr/>
                  <a:lstStyle/>
                  <a:p>
                    <a:fld id="{A13DE8FD-84F8-47C8-BFDF-F21AAEEFEFBC}" type="CELLRANGE">
                      <a:rPr lang="en-US"/>
                      <a:pPr/>
                      <a:t>[CELLRANGE]</a:t>
                    </a:fld>
                    <a:endParaRPr lang="en-US"/>
                  </a:p>
                  <a:p>
                    <a:r>
                      <a:rPr lang="en-US"/>
                      <a:t>$22,300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2-3BFF-40A1-9A9F-77C79F1EABC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'2.2_data'!$A$25:$A$27</c:f>
              <c:strCache>
                <c:ptCount val="3"/>
                <c:pt idx="0">
                  <c:v>Sub-bachelor</c:v>
                </c:pt>
                <c:pt idx="1">
                  <c:v>Bachelor</c:v>
                </c:pt>
                <c:pt idx="2">
                  <c:v>Postgraduate</c:v>
                </c:pt>
              </c:strCache>
            </c:strRef>
          </c:cat>
          <c:val>
            <c:numRef>
              <c:f>'2.2_data'!$E$25:$E$27</c:f>
              <c:numCache>
                <c:formatCode>"$"#,##0</c:formatCode>
                <c:ptCount val="3"/>
                <c:pt idx="0">
                  <c:v>15743.180578737549</c:v>
                </c:pt>
                <c:pt idx="1">
                  <c:v>16814.465963592847</c:v>
                </c:pt>
                <c:pt idx="2">
                  <c:v>22301.615103487784</c:v>
                </c:pt>
              </c:numCache>
            </c:numRef>
          </c:val>
          <c:extLst>
            <c:ext xmlns:c15="http://schemas.microsoft.com/office/drawing/2012/chart" uri="{02D57815-91ED-43cb-92C2-25804820EDAC}">
              <c15:datalabelsRange>
                <c15:f>'2.2_data'!$F$25:$F$27</c15:f>
                <c15:dlblRangeCache>
                  <c:ptCount val="3"/>
                  <c:pt idx="0">
                    <c:v>-6%</c:v>
                  </c:pt>
                  <c:pt idx="1">
                    <c:v>0%</c:v>
                  </c:pt>
                  <c:pt idx="2">
                    <c:v>33%</c:v>
                  </c:pt>
                </c15:dlblRangeCache>
              </c15:datalabelsRange>
            </c:ext>
            <c:ext xmlns:c16="http://schemas.microsoft.com/office/drawing/2014/chart" uri="{C3380CC4-5D6E-409C-BE32-E72D297353CC}">
              <c16:uniqueId val="{00000003-3BFF-40A1-9A9F-77C79F1EABCE}"/>
            </c:ext>
          </c:extLst>
        </c:ser>
        <c:ser>
          <c:idx val="0"/>
          <c:order val="1"/>
          <c:tx>
            <c:v>Can't distinguish</c:v>
          </c:tx>
          <c:spPr>
            <a:solidFill>
              <a:schemeClr val="bg1">
                <a:lumMod val="75000"/>
              </a:schemeClr>
            </a:solidFill>
            <a:ln>
              <a:noFill/>
            </a:ln>
            <a:effectLst/>
          </c:spPr>
          <c:invertIfNegative val="0"/>
          <c:dLbls>
            <c:dLbl>
              <c:idx val="0"/>
              <c:layout/>
              <c:tx>
                <c:rich>
                  <a:bodyPr/>
                  <a:lstStyle/>
                  <a:p>
                    <a:fld id="{A303063B-EDC2-4DB3-867C-82BCDDE18BF1}" type="CELLRANGE">
                      <a:rPr lang="en-US"/>
                      <a:pPr/>
                      <a:t>[CELLRANGE]</a:t>
                    </a:fld>
                    <a:endParaRPr lang="en-US"/>
                  </a:p>
                  <a:p>
                    <a:r>
                      <a:rPr lang="en-US"/>
                      <a:t>$16,700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4-3BFF-40A1-9A9F-77C79F1EABCE}"/>
                </c:ext>
              </c:extLst>
            </c:dLbl>
            <c:dLbl>
              <c:idx val="1"/>
              <c:layout/>
              <c:tx>
                <c:rich>
                  <a:bodyPr/>
                  <a:lstStyle/>
                  <a:p>
                    <a:r>
                      <a:rPr lang="en-US"/>
                      <a:t>$18,600</a:t>
                    </a:r>
                  </a:p>
                </c:rich>
              </c:tx>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3BFF-40A1-9A9F-77C79F1EABCE}"/>
                </c:ext>
              </c:extLst>
            </c:dLbl>
            <c:dLbl>
              <c:idx val="2"/>
              <c:layout/>
              <c:tx>
                <c:rich>
                  <a:bodyPr/>
                  <a:lstStyle/>
                  <a:p>
                    <a:fld id="{8F719A19-597D-4932-8373-41935E7D37BD}" type="CELLRANGE">
                      <a:rPr lang="en-US"/>
                      <a:pPr/>
                      <a:t>[CELLRANGE]</a:t>
                    </a:fld>
                    <a:endParaRPr lang="en-US"/>
                  </a:p>
                  <a:p>
                    <a:r>
                      <a:rPr lang="en-US"/>
                      <a:t>$22,000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6-3BFF-40A1-9A9F-77C79F1EABCE}"/>
                </c:ext>
              </c:extLst>
            </c:dLbl>
            <c:spPr>
              <a:noFill/>
              <a:ln>
                <a:noFill/>
              </a:ln>
              <a:effectLst/>
            </c:spPr>
            <c:txPr>
              <a:bodyPr rot="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'2.2_data'!$A$25:$A$27</c:f>
              <c:strCache>
                <c:ptCount val="3"/>
                <c:pt idx="0">
                  <c:v>Sub-bachelor</c:v>
                </c:pt>
                <c:pt idx="1">
                  <c:v>Bachelor</c:v>
                </c:pt>
                <c:pt idx="2">
                  <c:v>Postgraduate</c:v>
                </c:pt>
              </c:strCache>
            </c:strRef>
          </c:cat>
          <c:val>
            <c:numRef>
              <c:f>'2.2_data'!$G$25:$G$27</c:f>
              <c:numCache>
                <c:formatCode>"$"#,##0</c:formatCode>
                <c:ptCount val="3"/>
                <c:pt idx="0">
                  <c:v>16714.466404121431</c:v>
                </c:pt>
                <c:pt idx="1">
                  <c:v>18588.302726173093</c:v>
                </c:pt>
                <c:pt idx="2">
                  <c:v>21958.230714093908</c:v>
                </c:pt>
              </c:numCache>
            </c:numRef>
          </c:val>
          <c:extLst>
            <c:ext xmlns:c15="http://schemas.microsoft.com/office/drawing/2012/chart" uri="{02D57815-91ED-43cb-92C2-25804820EDAC}">
              <c15:datalabelsRange>
                <c15:f>'2.2_data'!$H$25:$H$27</c15:f>
                <c15:dlblRangeCache>
                  <c:ptCount val="3"/>
                  <c:pt idx="0">
                    <c:v>-10%</c:v>
                  </c:pt>
                  <c:pt idx="1">
                    <c:v>0%</c:v>
                  </c:pt>
                  <c:pt idx="2">
                    <c:v>18%</c:v>
                  </c:pt>
                </c15:dlblRangeCache>
              </c15:datalabelsRange>
            </c:ext>
            <c:ext xmlns:c16="http://schemas.microsoft.com/office/drawing/2014/chart" uri="{C3380CC4-5D6E-409C-BE32-E72D297353CC}">
              <c16:uniqueId val="{00000007-3BFF-40A1-9A9F-77C79F1EABCE}"/>
            </c:ext>
          </c:extLst>
        </c:ser>
        <c:ser>
          <c:idx val="2"/>
          <c:order val="2"/>
          <c:tx>
            <c:v>All universities</c:v>
          </c:tx>
          <c:spPr>
            <a:solidFill>
              <a:schemeClr val="tx2"/>
            </a:solidFill>
            <a:ln>
              <a:noFill/>
            </a:ln>
            <a:effectLst/>
          </c:spPr>
          <c:invertIfNegative val="0"/>
          <c:dLbls>
            <c:dLbl>
              <c:idx val="0"/>
              <c:layout>
                <c:manualLayout>
                  <c:x val="2.7982499260226445E-3"/>
                  <c:y val="9.5065501627716008E-3"/>
                </c:manualLayout>
              </c:layout>
              <c:tx>
                <c:rich>
                  <a:bodyPr/>
                  <a:lstStyle/>
                  <a:p>
                    <a:fld id="{425D22E8-AF71-4439-9D68-B90BE0A849CA}" type="CELLRANGE">
                      <a:rPr lang="en-US"/>
                      <a:pPr/>
                      <a:t>[CELLRANGE]</a:t>
                    </a:fld>
                    <a:endParaRPr lang="en-US"/>
                  </a:p>
                  <a:p>
                    <a:r>
                      <a:rPr lang="en-US"/>
                      <a:t>$15,900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8-3BFF-40A1-9A9F-77C79F1EABCE}"/>
                </c:ext>
              </c:extLst>
            </c:dLbl>
            <c:dLbl>
              <c:idx val="1"/>
              <c:layout/>
              <c:tx>
                <c:rich>
                  <a:bodyPr/>
                  <a:lstStyle/>
                  <a:p>
                    <a:r>
                      <a:rPr lang="en-US"/>
                      <a:t>$17,300</a:t>
                    </a:r>
                  </a:p>
                </c:rich>
              </c:tx>
              <c:showLegendKey val="0"/>
              <c:showVal val="0"/>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3BFF-40A1-9A9F-77C79F1EABCE}"/>
                </c:ext>
              </c:extLst>
            </c:dLbl>
            <c:dLbl>
              <c:idx val="2"/>
              <c:layout>
                <c:manualLayout>
                  <c:x val="1.6666663021289801E-2"/>
                  <c:y val="4.6296296296296294E-3"/>
                </c:manualLayout>
              </c:layout>
              <c:tx>
                <c:rich>
                  <a:bodyPr/>
                  <a:lstStyle/>
                  <a:p>
                    <a:fld id="{E77E309D-5B01-44A5-B680-E2E684CDDCC2}" type="CELLRANGE">
                      <a:rPr lang="en-US"/>
                      <a:pPr/>
                      <a:t>[CELLRANGE]</a:t>
                    </a:fld>
                    <a:endParaRPr lang="en-US"/>
                  </a:p>
                  <a:p>
                    <a:r>
                      <a:rPr lang="en-US"/>
                      <a:t>$22,200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A-3BFF-40A1-9A9F-77C79F1EABCE}"/>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'2.2_data'!$A$25:$A$27</c:f>
              <c:strCache>
                <c:ptCount val="3"/>
                <c:pt idx="0">
                  <c:v>Sub-bachelor</c:v>
                </c:pt>
                <c:pt idx="1">
                  <c:v>Bachelor</c:v>
                </c:pt>
                <c:pt idx="2">
                  <c:v>Postgraduate</c:v>
                </c:pt>
              </c:strCache>
            </c:strRef>
          </c:cat>
          <c:val>
            <c:numRef>
              <c:f>'2.2_data'!$C$25:$C$27</c:f>
              <c:numCache>
                <c:formatCode>"$"#,##0</c:formatCode>
                <c:ptCount val="3"/>
                <c:pt idx="0">
                  <c:v>15885.867239237463</c:v>
                </c:pt>
                <c:pt idx="1">
                  <c:v>17322.250174496716</c:v>
                </c:pt>
                <c:pt idx="2">
                  <c:v>22201.332561676096</c:v>
                </c:pt>
              </c:numCache>
            </c:numRef>
          </c:val>
          <c:extLst>
            <c:ext xmlns:c15="http://schemas.microsoft.com/office/drawing/2012/chart" uri="{02D57815-91ED-43cb-92C2-25804820EDAC}">
              <c15:datalabelsRange>
                <c15:f>'2.2_data'!$D$25:$D$27</c15:f>
                <c15:dlblRangeCache>
                  <c:ptCount val="3"/>
                  <c:pt idx="0">
                    <c:v>-8%</c:v>
                  </c:pt>
                  <c:pt idx="1">
                    <c:v>0%</c:v>
                  </c:pt>
                  <c:pt idx="2">
                    <c:v>28%</c:v>
                  </c:pt>
                </c15:dlblRangeCache>
              </c15:datalabelsRange>
            </c:ext>
            <c:ext xmlns:c16="http://schemas.microsoft.com/office/drawing/2014/chart" uri="{C3380CC4-5D6E-409C-BE32-E72D297353CC}">
              <c16:uniqueId val="{0000000B-3BFF-40A1-9A9F-77C79F1EABCE}"/>
            </c:ext>
          </c:extLst>
        </c:ser>
        <c:dLbls>
          <c:showLegendKey val="0"/>
          <c:showVal val="0"/>
          <c:showCatName val="0"/>
          <c:showSerName val="0"/>
          <c:showPercent val="0"/>
          <c:showBubbleSize val="0"/>
        </c:dLbls>
        <c:gapWidth val="100"/>
        <c:overlap val="-25"/>
        <c:axId val="1917175408"/>
        <c:axId val="1917156272"/>
      </c:barChart>
      <c:catAx>
        <c:axId val="1917175408"/>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17156272"/>
        <c:crosses val="autoZero"/>
        <c:auto val="1"/>
        <c:lblAlgn val="ctr"/>
        <c:lblOffset val="100"/>
        <c:noMultiLvlLbl val="0"/>
      </c:catAx>
      <c:valAx>
        <c:axId val="1917156272"/>
        <c:scaling>
          <c:orientation val="minMax"/>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91717540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ABAB"/>
            </a:solidFill>
            <a:ln>
              <a:noFill/>
            </a:ln>
            <a:effectLst/>
          </c:spPr>
          <c:invertIfNegative val="0"/>
          <c:dPt>
            <c:idx val="12"/>
            <c:invertIfNegative val="0"/>
            <c:bubble3D val="0"/>
            <c:spPr>
              <a:solidFill>
                <a:schemeClr val="bg1">
                  <a:lumMod val="75000"/>
                </a:schemeClr>
              </a:solidFill>
              <a:ln>
                <a:noFill/>
              </a:ln>
              <a:effectLst/>
            </c:spPr>
            <c:extLst>
              <c:ext xmlns:c16="http://schemas.microsoft.com/office/drawing/2014/chart" uri="{C3380CC4-5D6E-409C-BE32-E72D297353CC}">
                <c16:uniqueId val="{00000001-69CA-409E-9C36-4165C2955234}"/>
              </c:ext>
            </c:extLst>
          </c:dPt>
          <c:cat>
            <c:strRef>
              <c:f>'2.3_data'!$D$492:$Z$492</c:f>
              <c:strCache>
                <c:ptCount val="23"/>
                <c:pt idx="0">
                  <c:v>MedicalSci</c:v>
                </c:pt>
                <c:pt idx="1">
                  <c:v>Environment</c:v>
                </c:pt>
                <c:pt idx="2">
                  <c:v>MixedField</c:v>
                </c:pt>
                <c:pt idx="3">
                  <c:v>OthNat-PhysSci</c:v>
                </c:pt>
                <c:pt idx="4">
                  <c:v>Comms&amp;Media</c:v>
                </c:pt>
                <c:pt idx="5">
                  <c:v>MathSci</c:v>
                </c:pt>
                <c:pt idx="6">
                  <c:v>Eng&amp;Related</c:v>
                </c:pt>
                <c:pt idx="7">
                  <c:v>Nursing</c:v>
                </c:pt>
                <c:pt idx="8">
                  <c:v>InfoTech</c:v>
                </c:pt>
                <c:pt idx="9">
                  <c:v>OthAg&amp;Enviro</c:v>
                </c:pt>
                <c:pt idx="10">
                  <c:v>Education</c:v>
                </c:pt>
                <c:pt idx="11">
                  <c:v>Psych</c:v>
                </c:pt>
                <c:pt idx="12">
                  <c:v>Total</c:v>
                </c:pt>
                <c:pt idx="13">
                  <c:v>Archi&amp;Build</c:v>
                </c:pt>
                <c:pt idx="14">
                  <c:v>MedicalStudies</c:v>
                </c:pt>
                <c:pt idx="15">
                  <c:v>OthHealth</c:v>
                </c:pt>
                <c:pt idx="16">
                  <c:v>ForeignLang</c:v>
                </c:pt>
                <c:pt idx="17">
                  <c:v>OtherSoc&amp;Cult</c:v>
                </c:pt>
                <c:pt idx="18">
                  <c:v>OthCreative</c:v>
                </c:pt>
                <c:pt idx="19">
                  <c:v>Dental</c:v>
                </c:pt>
                <c:pt idx="20">
                  <c:v>Mgmt&amp;Comm</c:v>
                </c:pt>
                <c:pt idx="21">
                  <c:v>Veterinary</c:v>
                </c:pt>
                <c:pt idx="22">
                  <c:v>FoodHosp&amp;Person</c:v>
                </c:pt>
              </c:strCache>
            </c:strRef>
          </c:cat>
          <c:val>
            <c:numRef>
              <c:f>'2.3_data'!$D$493:$Z$493</c:f>
              <c:numCache>
                <c:formatCode>0%</c:formatCode>
                <c:ptCount val="23"/>
                <c:pt idx="0">
                  <c:v>0.6631067920869641</c:v>
                </c:pt>
                <c:pt idx="1">
                  <c:v>0.70298078806226849</c:v>
                </c:pt>
                <c:pt idx="2">
                  <c:v>0.75396792397456069</c:v>
                </c:pt>
                <c:pt idx="3">
                  <c:v>0.78035710821419646</c:v>
                </c:pt>
                <c:pt idx="4">
                  <c:v>0.78047647199263404</c:v>
                </c:pt>
                <c:pt idx="5">
                  <c:v>0.79103950446901306</c:v>
                </c:pt>
                <c:pt idx="6">
                  <c:v>0.7916269141410327</c:v>
                </c:pt>
                <c:pt idx="7">
                  <c:v>0.80146117515134774</c:v>
                </c:pt>
                <c:pt idx="8">
                  <c:v>0.86399812999273018</c:v>
                </c:pt>
                <c:pt idx="9">
                  <c:v>0.87040520498263774</c:v>
                </c:pt>
                <c:pt idx="10">
                  <c:v>0.87514152025378233</c:v>
                </c:pt>
                <c:pt idx="11">
                  <c:v>0.88522203894541451</c:v>
                </c:pt>
                <c:pt idx="12">
                  <c:v>0.89282097759751389</c:v>
                </c:pt>
                <c:pt idx="13">
                  <c:v>0.89955770651472045</c:v>
                </c:pt>
                <c:pt idx="14">
                  <c:v>0.91574788388231654</c:v>
                </c:pt>
                <c:pt idx="15">
                  <c:v>0.94018096179094313</c:v>
                </c:pt>
                <c:pt idx="16">
                  <c:v>0.94616389886036534</c:v>
                </c:pt>
                <c:pt idx="17">
                  <c:v>0.99308834327613149</c:v>
                </c:pt>
                <c:pt idx="18">
                  <c:v>1.036388086035785</c:v>
                </c:pt>
                <c:pt idx="19">
                  <c:v>1.1207082374465129</c:v>
                </c:pt>
                <c:pt idx="20">
                  <c:v>1.1550866280892531</c:v>
                </c:pt>
                <c:pt idx="21">
                  <c:v>1.4003487573268474</c:v>
                </c:pt>
                <c:pt idx="22">
                  <c:v>1.8489627360466607</c:v>
                </c:pt>
              </c:numCache>
            </c:numRef>
          </c:val>
          <c:extLst>
            <c:ext xmlns:c16="http://schemas.microsoft.com/office/drawing/2014/chart" uri="{C3380CC4-5D6E-409C-BE32-E72D297353CC}">
              <c16:uniqueId val="{00000002-69CA-409E-9C36-4165C2955234}"/>
            </c:ext>
          </c:extLst>
        </c:ser>
        <c:dLbls>
          <c:showLegendKey val="0"/>
          <c:showVal val="0"/>
          <c:showCatName val="0"/>
          <c:showSerName val="0"/>
          <c:showPercent val="0"/>
          <c:showBubbleSize val="0"/>
        </c:dLbls>
        <c:gapWidth val="150"/>
        <c:axId val="2137600463"/>
        <c:axId val="2137595471"/>
      </c:barChart>
      <c:lineChart>
        <c:grouping val="standard"/>
        <c:varyColors val="0"/>
        <c:ser>
          <c:idx val="1"/>
          <c:order val="1"/>
          <c:spPr>
            <a:ln w="28575" cap="rnd">
              <a:solidFill>
                <a:schemeClr val="bg1">
                  <a:lumMod val="75000"/>
                </a:schemeClr>
              </a:solidFill>
              <a:prstDash val="sysDash"/>
              <a:round/>
            </a:ln>
            <a:effectLst/>
          </c:spPr>
          <c:marker>
            <c:symbol val="none"/>
          </c:marker>
          <c:cat>
            <c:strRef>
              <c:f>'2.3_data'!$D$492:$Z$492</c:f>
              <c:strCache>
                <c:ptCount val="23"/>
                <c:pt idx="0">
                  <c:v>MedicalSci</c:v>
                </c:pt>
                <c:pt idx="1">
                  <c:v>Environment</c:v>
                </c:pt>
                <c:pt idx="2">
                  <c:v>MixedField</c:v>
                </c:pt>
                <c:pt idx="3">
                  <c:v>OthNat-PhysSci</c:v>
                </c:pt>
                <c:pt idx="4">
                  <c:v>Comms&amp;Media</c:v>
                </c:pt>
                <c:pt idx="5">
                  <c:v>MathSci</c:v>
                </c:pt>
                <c:pt idx="6">
                  <c:v>Eng&amp;Related</c:v>
                </c:pt>
                <c:pt idx="7">
                  <c:v>Nursing</c:v>
                </c:pt>
                <c:pt idx="8">
                  <c:v>InfoTech</c:v>
                </c:pt>
                <c:pt idx="9">
                  <c:v>OthAg&amp;Enviro</c:v>
                </c:pt>
                <c:pt idx="10">
                  <c:v>Education</c:v>
                </c:pt>
                <c:pt idx="11">
                  <c:v>Psych</c:v>
                </c:pt>
                <c:pt idx="12">
                  <c:v>Total</c:v>
                </c:pt>
                <c:pt idx="13">
                  <c:v>Archi&amp;Build</c:v>
                </c:pt>
                <c:pt idx="14">
                  <c:v>MedicalStudies</c:v>
                </c:pt>
                <c:pt idx="15">
                  <c:v>OthHealth</c:v>
                </c:pt>
                <c:pt idx="16">
                  <c:v>ForeignLang</c:v>
                </c:pt>
                <c:pt idx="17">
                  <c:v>OtherSoc&amp;Cult</c:v>
                </c:pt>
                <c:pt idx="18">
                  <c:v>OthCreative</c:v>
                </c:pt>
                <c:pt idx="19">
                  <c:v>Dental</c:v>
                </c:pt>
                <c:pt idx="20">
                  <c:v>Mgmt&amp;Comm</c:v>
                </c:pt>
                <c:pt idx="21">
                  <c:v>Veterinary</c:v>
                </c:pt>
                <c:pt idx="22">
                  <c:v>FoodHosp&amp;Person</c:v>
                </c:pt>
              </c:strCache>
            </c:strRef>
          </c:cat>
          <c:val>
            <c:numRef>
              <c:f>'2.3_data'!$D$494:$Z$494</c:f>
              <c:numCache>
                <c:formatCode>0%</c:formatCode>
                <c:ptCount val="2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numCache>
            </c:numRef>
          </c:val>
          <c:smooth val="0"/>
          <c:extLst>
            <c:ext xmlns:c16="http://schemas.microsoft.com/office/drawing/2014/chart" uri="{C3380CC4-5D6E-409C-BE32-E72D297353CC}">
              <c16:uniqueId val="{00000003-69CA-409E-9C36-4165C2955234}"/>
            </c:ext>
          </c:extLst>
        </c:ser>
        <c:dLbls>
          <c:showLegendKey val="0"/>
          <c:showVal val="0"/>
          <c:showCatName val="0"/>
          <c:showSerName val="0"/>
          <c:showPercent val="0"/>
          <c:showBubbleSize val="0"/>
        </c:dLbls>
        <c:marker val="1"/>
        <c:smooth val="0"/>
        <c:axId val="2137600463"/>
        <c:axId val="2137595471"/>
      </c:lineChart>
      <c:catAx>
        <c:axId val="213760046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00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595471"/>
        <c:crosses val="autoZero"/>
        <c:auto val="1"/>
        <c:lblAlgn val="ctr"/>
        <c:lblOffset val="100"/>
        <c:noMultiLvlLbl val="0"/>
      </c:catAx>
      <c:valAx>
        <c:axId val="2137595471"/>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600463"/>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rgbClr val="00ABAB"/>
            </a:solidFill>
            <a:ln>
              <a:noFill/>
            </a:ln>
            <a:effectLst/>
          </c:spPr>
          <c:invertIfNegative val="0"/>
          <c:dPt>
            <c:idx val="13"/>
            <c:invertIfNegative val="0"/>
            <c:bubble3D val="0"/>
            <c:spPr>
              <a:solidFill>
                <a:schemeClr val="bg1">
                  <a:lumMod val="75000"/>
                </a:schemeClr>
              </a:solidFill>
              <a:ln>
                <a:noFill/>
              </a:ln>
              <a:effectLst/>
            </c:spPr>
            <c:extLst>
              <c:ext xmlns:c16="http://schemas.microsoft.com/office/drawing/2014/chart" uri="{C3380CC4-5D6E-409C-BE32-E72D297353CC}">
                <c16:uniqueId val="{00000001-BA8A-4B65-B05D-362FA67BC5EA}"/>
              </c:ext>
            </c:extLst>
          </c:dPt>
          <c:cat>
            <c:strRef>
              <c:f>'Comp to Prev_All FOEs'!$ES$31:$FL$31</c:f>
              <c:strCache>
                <c:ptCount val="20"/>
                <c:pt idx="0">
                  <c:v>OthAg&amp;Enviro</c:v>
                </c:pt>
                <c:pt idx="1">
                  <c:v>Dental</c:v>
                </c:pt>
                <c:pt idx="2">
                  <c:v>MedicalSci</c:v>
                </c:pt>
                <c:pt idx="3">
                  <c:v>Environment</c:v>
                </c:pt>
                <c:pt idx="4">
                  <c:v>OthNat-PhysSci</c:v>
                </c:pt>
                <c:pt idx="5">
                  <c:v>InfoTech</c:v>
                </c:pt>
                <c:pt idx="6">
                  <c:v>MathSci</c:v>
                </c:pt>
                <c:pt idx="7">
                  <c:v>Archi&amp;Build</c:v>
                </c:pt>
                <c:pt idx="8">
                  <c:v>OthHealth</c:v>
                </c:pt>
                <c:pt idx="9">
                  <c:v>MedicalStudies</c:v>
                </c:pt>
                <c:pt idx="10">
                  <c:v>OthCreative</c:v>
                </c:pt>
                <c:pt idx="11">
                  <c:v>Eng&amp;Related</c:v>
                </c:pt>
                <c:pt idx="12">
                  <c:v>Psych</c:v>
                </c:pt>
                <c:pt idx="13">
                  <c:v>Total</c:v>
                </c:pt>
                <c:pt idx="14">
                  <c:v>Veterinary</c:v>
                </c:pt>
                <c:pt idx="15">
                  <c:v>Education</c:v>
                </c:pt>
                <c:pt idx="16">
                  <c:v>Comms&amp;Media</c:v>
                </c:pt>
                <c:pt idx="17">
                  <c:v>OtherSoc&amp;Cult</c:v>
                </c:pt>
                <c:pt idx="18">
                  <c:v>ForeignLang</c:v>
                </c:pt>
                <c:pt idx="19">
                  <c:v>Mgmt&amp;Comm</c:v>
                </c:pt>
              </c:strCache>
            </c:strRef>
          </c:cat>
          <c:val>
            <c:numRef>
              <c:f>'Comp to Prev_All FOEs'!$ES$32:$FL$32</c:f>
              <c:numCache>
                <c:formatCode>0%</c:formatCode>
                <c:ptCount val="20"/>
                <c:pt idx="0">
                  <c:v>-0.12003868713333576</c:v>
                </c:pt>
                <c:pt idx="1">
                  <c:v>-5.3293400558217963E-2</c:v>
                </c:pt>
                <c:pt idx="2">
                  <c:v>-3.3157774606930479E-2</c:v>
                </c:pt>
                <c:pt idx="3">
                  <c:v>2.4106048406962177E-3</c:v>
                </c:pt>
                <c:pt idx="4">
                  <c:v>5.1905201185300509E-3</c:v>
                </c:pt>
                <c:pt idx="5">
                  <c:v>1.0724543205473003E-2</c:v>
                </c:pt>
                <c:pt idx="6">
                  <c:v>1.177474446695248E-2</c:v>
                </c:pt>
                <c:pt idx="7">
                  <c:v>2.024806678972757E-2</c:v>
                </c:pt>
                <c:pt idx="8">
                  <c:v>2.0839234388426942E-2</c:v>
                </c:pt>
                <c:pt idx="9">
                  <c:v>3.1007007418268451E-2</c:v>
                </c:pt>
                <c:pt idx="10">
                  <c:v>4.8911698613147259E-2</c:v>
                </c:pt>
                <c:pt idx="11">
                  <c:v>5.4387330641124665E-2</c:v>
                </c:pt>
                <c:pt idx="12">
                  <c:v>5.4651250333708656E-2</c:v>
                </c:pt>
                <c:pt idx="13">
                  <c:v>5.9139204405306289E-2</c:v>
                </c:pt>
                <c:pt idx="14">
                  <c:v>6.6554545884112581E-2</c:v>
                </c:pt>
                <c:pt idx="15">
                  <c:v>7.9957158157580421E-2</c:v>
                </c:pt>
                <c:pt idx="16">
                  <c:v>8.7663230180975216E-2</c:v>
                </c:pt>
                <c:pt idx="17">
                  <c:v>0.10461946608150585</c:v>
                </c:pt>
                <c:pt idx="18">
                  <c:v>0.11533505076919304</c:v>
                </c:pt>
                <c:pt idx="19">
                  <c:v>0.1405285354229302</c:v>
                </c:pt>
              </c:numCache>
            </c:numRef>
          </c:val>
          <c:extLst>
            <c:ext xmlns:c16="http://schemas.microsoft.com/office/drawing/2014/chart" uri="{C3380CC4-5D6E-409C-BE32-E72D297353CC}">
              <c16:uniqueId val="{00000002-BA8A-4B65-B05D-362FA67BC5EA}"/>
            </c:ext>
          </c:extLst>
        </c:ser>
        <c:dLbls>
          <c:showLegendKey val="0"/>
          <c:showVal val="0"/>
          <c:showCatName val="0"/>
          <c:showSerName val="0"/>
          <c:showPercent val="0"/>
          <c:showBubbleSize val="0"/>
        </c:dLbls>
        <c:gapWidth val="100"/>
        <c:axId val="915693023"/>
        <c:axId val="915691775"/>
      </c:barChart>
      <c:catAx>
        <c:axId val="915693023"/>
        <c:scaling>
          <c:orientation val="minMax"/>
        </c:scaling>
        <c:delete val="0"/>
        <c:axPos val="l"/>
        <c:numFmt formatCode="General" sourceLinked="1"/>
        <c:majorTickMark val="none"/>
        <c:minorTickMark val="none"/>
        <c:tickLblPos val="low"/>
        <c:spPr>
          <a:noFill/>
          <a:ln w="9525" cap="flat" cmpd="sng" algn="ctr">
            <a:solidFill>
              <a:schemeClr val="tx1"/>
            </a:solidFill>
            <a:round/>
          </a:ln>
          <a:effectLst/>
        </c:spPr>
        <c:txPr>
          <a:bodyPr rot="-60000000" spcFirstLastPara="1" vertOverflow="ellipsis" vert="horz" wrap="square" anchor="ctr" anchorCtr="1"/>
          <a:lstStyle/>
          <a:p>
            <a:pPr>
              <a:defRPr sz="7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1775"/>
        <c:crosses val="autoZero"/>
        <c:auto val="1"/>
        <c:lblAlgn val="ctr"/>
        <c:lblOffset val="100"/>
        <c:noMultiLvlLbl val="0"/>
      </c:catAx>
      <c:valAx>
        <c:axId val="915691775"/>
        <c:scaling>
          <c:orientation val="minMax"/>
          <c:max val="0.15000000000000002"/>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15693023"/>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rgbClr val="0097A9"/>
              </a:solidFill>
              <a:round/>
            </a:ln>
            <a:effectLst/>
          </c:spPr>
          <c:marker>
            <c:symbol val="none"/>
          </c:marker>
          <c:cat>
            <c:numRef>
              <c:f>Sheet9!$C$1:$M$1</c:f>
              <c:numCache>
                <c:formatCode>General</c:formatCode>
                <c:ptCount val="11"/>
                <c:pt idx="0">
                  <c:v>2007</c:v>
                </c:pt>
                <c:pt idx="1">
                  <c:v>2008</c:v>
                </c:pt>
                <c:pt idx="2">
                  <c:v>2009</c:v>
                </c:pt>
                <c:pt idx="3">
                  <c:v>2010</c:v>
                </c:pt>
                <c:pt idx="4">
                  <c:v>2011</c:v>
                </c:pt>
                <c:pt idx="5">
                  <c:v>2012</c:v>
                </c:pt>
                <c:pt idx="6">
                  <c:v>2013</c:v>
                </c:pt>
                <c:pt idx="7">
                  <c:v>2014</c:v>
                </c:pt>
                <c:pt idx="8">
                  <c:v>2015</c:v>
                </c:pt>
                <c:pt idx="9">
                  <c:v>2016</c:v>
                </c:pt>
                <c:pt idx="10">
                  <c:v>2017</c:v>
                </c:pt>
              </c:numCache>
            </c:numRef>
          </c:cat>
          <c:val>
            <c:numRef>
              <c:f>Sheet9!$C$20:$M$20</c:f>
              <c:numCache>
                <c:formatCode>0.0%</c:formatCode>
                <c:ptCount val="11"/>
                <c:pt idx="0">
                  <c:v>2.589191823334791E-2</c:v>
                </c:pt>
                <c:pt idx="1">
                  <c:v>3.3388752078203021E-2</c:v>
                </c:pt>
                <c:pt idx="2">
                  <c:v>6.4314486863115139E-2</c:v>
                </c:pt>
                <c:pt idx="3">
                  <c:v>5.6529682700695361E-2</c:v>
                </c:pt>
                <c:pt idx="4">
                  <c:v>2.0116503601069313E-2</c:v>
                </c:pt>
                <c:pt idx="5">
                  <c:v>3.2057872896861239E-2</c:v>
                </c:pt>
                <c:pt idx="6">
                  <c:v>3.4960176154738232E-2</c:v>
                </c:pt>
                <c:pt idx="7">
                  <c:v>3.7089051239016735E-2</c:v>
                </c:pt>
                <c:pt idx="8">
                  <c:v>2.9060870517174431E-2</c:v>
                </c:pt>
                <c:pt idx="9">
                  <c:v>2.8605590220121213E-2</c:v>
                </c:pt>
                <c:pt idx="10">
                  <c:v>4.0358210029071362E-2</c:v>
                </c:pt>
              </c:numCache>
            </c:numRef>
          </c:val>
          <c:smooth val="0"/>
          <c:extLst>
            <c:ext xmlns:c16="http://schemas.microsoft.com/office/drawing/2014/chart" uri="{C3380CC4-5D6E-409C-BE32-E72D297353CC}">
              <c16:uniqueId val="{00000000-FE44-40D9-BB6A-2C67D6CC8A84}"/>
            </c:ext>
          </c:extLst>
        </c:ser>
        <c:dLbls>
          <c:showLegendKey val="0"/>
          <c:showVal val="0"/>
          <c:showCatName val="0"/>
          <c:showSerName val="0"/>
          <c:showPercent val="0"/>
          <c:showBubbleSize val="0"/>
        </c:dLbls>
        <c:smooth val="0"/>
        <c:axId val="237628575"/>
        <c:axId val="237629823"/>
      </c:lineChart>
      <c:catAx>
        <c:axId val="237628575"/>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37629823"/>
        <c:crosses val="autoZero"/>
        <c:auto val="1"/>
        <c:lblAlgn val="ctr"/>
        <c:lblOffset val="100"/>
        <c:noMultiLvlLbl val="0"/>
      </c:catAx>
      <c:valAx>
        <c:axId val="237629823"/>
        <c:scaling>
          <c:orientation val="minMax"/>
        </c:scaling>
        <c:delete val="0"/>
        <c:axPos val="l"/>
        <c:majorGridlines>
          <c:spPr>
            <a:ln w="9525" cap="flat" cmpd="sng" algn="ctr">
              <a:noFill/>
              <a:round/>
            </a:ln>
            <a:effectLst/>
          </c:spPr>
        </c:majorGridlines>
        <c:numFmt formatCode="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mj-lt"/>
                <a:ea typeface="+mn-ea"/>
                <a:cs typeface="+mn-cs"/>
              </a:defRPr>
            </a:pPr>
            <a:endParaRPr lang="en-US"/>
          </a:p>
        </c:txPr>
        <c:crossAx val="237628575"/>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mj-lt"/>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'2.6_data'!$A$97</c:f>
              <c:strCache>
                <c:ptCount val="1"/>
                <c:pt idx="0">
                  <c:v>&lt;25</c:v>
                </c:pt>
              </c:strCache>
            </c:strRef>
          </c:tx>
          <c:spPr>
            <a:solidFill>
              <a:srgbClr val="00ABAB"/>
            </a:solidFill>
            <a:ln>
              <a:noFill/>
            </a:ln>
            <a:effectLst/>
          </c:spPr>
          <c:invertIfNegative val="0"/>
          <c:dLbls>
            <c:dLbl>
              <c:idx val="0"/>
              <c:layout>
                <c:manualLayout>
                  <c:x val="0"/>
                  <c:y val="4.6282652206113698E-3"/>
                </c:manualLayout>
              </c:layout>
              <c:tx>
                <c:rich>
                  <a:bodyPr/>
                  <a:lstStyle/>
                  <a:p>
                    <a:fld id="{836BD356-3EF1-47A3-9093-54839F6662BD}" type="CELLRANGE">
                      <a:rPr lang="en-US"/>
                      <a:pPr/>
                      <a:t>[CELLRANGE]</a:t>
                    </a:fld>
                    <a:endParaRPr lang="en-US"/>
                  </a:p>
                  <a:p>
                    <a:r>
                      <a:rPr lang="en-US"/>
                      <a:t>$18,900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0-38D8-4320-A392-25B56549D09E}"/>
                </c:ext>
              </c:extLst>
            </c:dLbl>
            <c:dLbl>
              <c:idx val="1"/>
              <c:layout/>
              <c:tx>
                <c:rich>
                  <a:bodyPr/>
                  <a:lstStyle/>
                  <a:p>
                    <a:fld id="{FC092634-74B8-428C-A0AA-A2A7C67930F7}" type="CELLRANGE">
                      <a:rPr lang="en-US"/>
                      <a:pPr/>
                      <a:t>[CELLRANGE]</a:t>
                    </a:fld>
                    <a:endParaRPr lang="en-US"/>
                  </a:p>
                  <a:p>
                    <a:r>
                      <a:rPr lang="en-US" sz="800">
                        <a:latin typeface="Verdana" panose="020B0604030504040204" pitchFamily="34" charset="0"/>
                        <a:ea typeface="Verdana" panose="020B0604030504040204" pitchFamily="34" charset="0"/>
                        <a:cs typeface="Verdana" panose="020B0604030504040204" pitchFamily="34" charset="0"/>
                      </a:rPr>
                      <a:t>$24,600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1-38D8-4320-A392-25B56549D09E}"/>
                </c:ext>
              </c:extLst>
            </c:dLbl>
            <c:dLbl>
              <c:idx val="2"/>
              <c:layout/>
              <c:tx>
                <c:rich>
                  <a:bodyPr/>
                  <a:lstStyle/>
                  <a:p>
                    <a:fld id="{A5CE3F67-ACE0-4E19-A16B-57172BC7B1C8}" type="CELLRANGE">
                      <a:rPr lang="en-US"/>
                      <a:pPr/>
                      <a:t>[CELLRANGE]</a:t>
                    </a:fld>
                    <a:endParaRPr lang="en-US"/>
                  </a:p>
                  <a:p>
                    <a:r>
                      <a:rPr lang="en-US"/>
                      <a:t>$29,500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2-38D8-4320-A392-25B56549D09E}"/>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'2.6_data'!$B$96:$D$96</c:f>
              <c:strCache>
                <c:ptCount val="3"/>
                <c:pt idx="0">
                  <c:v>Sub-bachelor</c:v>
                </c:pt>
                <c:pt idx="1">
                  <c:v>Bachelor</c:v>
                </c:pt>
                <c:pt idx="2">
                  <c:v>Postgraduate</c:v>
                </c:pt>
              </c:strCache>
            </c:strRef>
          </c:cat>
          <c:val>
            <c:numRef>
              <c:f>'2.6_data'!$B$97:$D$97</c:f>
              <c:numCache>
                <c:formatCode>"$"#,##0_);[Red]\("$"#,##0\)</c:formatCode>
                <c:ptCount val="3"/>
                <c:pt idx="0">
                  <c:v>18863.758236865451</c:v>
                </c:pt>
                <c:pt idx="1">
                  <c:v>24609.643168372157</c:v>
                </c:pt>
                <c:pt idx="2">
                  <c:v>29478.440167349479</c:v>
                </c:pt>
              </c:numCache>
            </c:numRef>
          </c:val>
          <c:extLst>
            <c:ext xmlns:c15="http://schemas.microsoft.com/office/drawing/2012/chart" uri="{02D57815-91ED-43cb-92C2-25804820EDAC}">
              <c15:datalabelsRange>
                <c15:f>'2.6_data'!$B$101:$D$101</c15:f>
                <c15:dlblRangeCache>
                  <c:ptCount val="3"/>
                  <c:pt idx="0">
                    <c:v>19%</c:v>
                  </c:pt>
                  <c:pt idx="1">
                    <c:v>42%</c:v>
                  </c:pt>
                  <c:pt idx="2">
                    <c:v>33%</c:v>
                  </c:pt>
                </c15:dlblRangeCache>
              </c15:datalabelsRange>
            </c:ext>
            <c:ext xmlns:c16="http://schemas.microsoft.com/office/drawing/2014/chart" uri="{C3380CC4-5D6E-409C-BE32-E72D297353CC}">
              <c16:uniqueId val="{00000003-38D8-4320-A392-25B56549D09E}"/>
            </c:ext>
          </c:extLst>
        </c:ser>
        <c:ser>
          <c:idx val="1"/>
          <c:order val="1"/>
          <c:tx>
            <c:strRef>
              <c:f>'2.6_data'!$A$98</c:f>
              <c:strCache>
                <c:ptCount val="1"/>
                <c:pt idx="0">
                  <c:v>25-1,000</c:v>
                </c:pt>
              </c:strCache>
            </c:strRef>
          </c:tx>
          <c:spPr>
            <a:solidFill>
              <a:schemeClr val="bg1">
                <a:lumMod val="75000"/>
              </a:schemeClr>
            </a:solidFill>
            <a:ln>
              <a:noFill/>
            </a:ln>
            <a:effectLst/>
          </c:spPr>
          <c:invertIfNegative val="0"/>
          <c:dLbls>
            <c:dLbl>
              <c:idx val="0"/>
              <c:layout>
                <c:manualLayout>
                  <c:x val="-2.5462668816039986E-17"/>
                  <c:y val="9.3036782861305959E-3"/>
                </c:manualLayout>
              </c:layout>
              <c:tx>
                <c:rich>
                  <a:bodyPr/>
                  <a:lstStyle/>
                  <a:p>
                    <a:fld id="{3EC39885-CEDA-4E05-B526-C7B1E0301FE8}" type="CELLRANGE">
                      <a:rPr lang="en-US"/>
                      <a:pPr/>
                      <a:t>[CELLRANGE]</a:t>
                    </a:fld>
                    <a:endParaRPr lang="en-US"/>
                  </a:p>
                  <a:p>
                    <a:r>
                      <a:rPr lang="en-US"/>
                      <a:t>$16,700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4-38D8-4320-A392-25B56549D09E}"/>
                </c:ext>
              </c:extLst>
            </c:dLbl>
            <c:dLbl>
              <c:idx val="1"/>
              <c:layout/>
              <c:tx>
                <c:rich>
                  <a:bodyPr/>
                  <a:lstStyle/>
                  <a:p>
                    <a:fld id="{65453C10-842F-4DAC-89FE-873274BA3DE6}" type="CELLRANGE">
                      <a:rPr lang="en-US"/>
                      <a:pPr/>
                      <a:t>[CELLRANGE]</a:t>
                    </a:fld>
                    <a:endParaRPr lang="en-US"/>
                  </a:p>
                  <a:p>
                    <a:r>
                      <a:rPr lang="en-US"/>
                      <a:t>$19,600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5-38D8-4320-A392-25B56549D09E}"/>
                </c:ext>
              </c:extLst>
            </c:dLbl>
            <c:dLbl>
              <c:idx val="2"/>
              <c:layout/>
              <c:tx>
                <c:rich>
                  <a:bodyPr/>
                  <a:lstStyle/>
                  <a:p>
                    <a:fld id="{A4B5A493-1231-4B67-8940-3B0BC595F1AB}" type="CELLRANGE">
                      <a:rPr lang="en-US"/>
                      <a:pPr/>
                      <a:t>[CELLRANGE]</a:t>
                    </a:fld>
                    <a:endParaRPr lang="en-US"/>
                  </a:p>
                  <a:p>
                    <a:r>
                      <a:rPr lang="en-US"/>
                      <a:t>$23,200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6-38D8-4320-A392-25B56549D09E}"/>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'2.6_data'!$B$96:$D$96</c:f>
              <c:strCache>
                <c:ptCount val="3"/>
                <c:pt idx="0">
                  <c:v>Sub-bachelor</c:v>
                </c:pt>
                <c:pt idx="1">
                  <c:v>Bachelor</c:v>
                </c:pt>
                <c:pt idx="2">
                  <c:v>Postgraduate</c:v>
                </c:pt>
              </c:strCache>
            </c:strRef>
          </c:cat>
          <c:val>
            <c:numRef>
              <c:f>'2.6_data'!$B$98:$D$98</c:f>
              <c:numCache>
                <c:formatCode>"$"#,##0_);[Red]\("$"#,##0\)</c:formatCode>
                <c:ptCount val="3"/>
                <c:pt idx="0">
                  <c:v>16716.208709347564</c:v>
                </c:pt>
                <c:pt idx="1">
                  <c:v>19593.523688183013</c:v>
                </c:pt>
                <c:pt idx="2">
                  <c:v>23181.906027481375</c:v>
                </c:pt>
              </c:numCache>
            </c:numRef>
          </c:val>
          <c:extLst>
            <c:ext xmlns:c15="http://schemas.microsoft.com/office/drawing/2012/chart" uri="{02D57815-91ED-43cb-92C2-25804820EDAC}">
              <c15:datalabelsRange>
                <c15:f>'2.6_data'!$B$102:$D$102</c15:f>
                <c15:dlblRangeCache>
                  <c:ptCount val="3"/>
                  <c:pt idx="0">
                    <c:v>5%</c:v>
                  </c:pt>
                  <c:pt idx="1">
                    <c:v>13%</c:v>
                  </c:pt>
                  <c:pt idx="2">
                    <c:v>4%</c:v>
                  </c:pt>
                </c15:dlblRangeCache>
              </c15:datalabelsRange>
            </c:ext>
            <c:ext xmlns:c16="http://schemas.microsoft.com/office/drawing/2014/chart" uri="{C3380CC4-5D6E-409C-BE32-E72D297353CC}">
              <c16:uniqueId val="{00000007-38D8-4320-A392-25B56549D09E}"/>
            </c:ext>
          </c:extLst>
        </c:ser>
        <c:ser>
          <c:idx val="2"/>
          <c:order val="2"/>
          <c:tx>
            <c:strRef>
              <c:f>'2.6_data'!$A$99</c:f>
              <c:strCache>
                <c:ptCount val="1"/>
                <c:pt idx="0">
                  <c:v>&gt;1,000</c:v>
                </c:pt>
              </c:strCache>
            </c:strRef>
          </c:tx>
          <c:spPr>
            <a:solidFill>
              <a:schemeClr val="tx2"/>
            </a:solidFill>
            <a:ln>
              <a:noFill/>
            </a:ln>
            <a:effectLst/>
          </c:spPr>
          <c:invertIfNegative val="0"/>
          <c:dLbls>
            <c:dLbl>
              <c:idx val="0"/>
              <c:layout>
                <c:manualLayout>
                  <c:x val="0"/>
                  <c:y val="9.2989983075090869E-3"/>
                </c:manualLayout>
              </c:layout>
              <c:tx>
                <c:rich>
                  <a:bodyPr/>
                  <a:lstStyle/>
                  <a:p>
                    <a:fld id="{15D1CB06-8C0A-4D45-A965-8FA3621C9714}" type="CELLRANGE">
                      <a:rPr lang="en-US"/>
                      <a:pPr/>
                      <a:t>[CELLRANGE]</a:t>
                    </a:fld>
                    <a:endParaRPr lang="en-US"/>
                  </a:p>
                  <a:p>
                    <a:r>
                      <a:rPr lang="en-US"/>
                      <a:t>$9,300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8-38D8-4320-A392-25B56549D09E}"/>
                </c:ext>
              </c:extLst>
            </c:dLbl>
            <c:dLbl>
              <c:idx val="1"/>
              <c:layout>
                <c:manualLayout>
                  <c:x val="0"/>
                  <c:y val="1.8607356572261192E-2"/>
                </c:manualLayout>
              </c:layout>
              <c:tx>
                <c:rich>
                  <a:bodyPr/>
                  <a:lstStyle/>
                  <a:p>
                    <a:fld id="{AB13C849-0F18-4696-BA70-11B6E4D0D9F1}" type="CELLRANGE">
                      <a:rPr lang="en-US"/>
                      <a:pPr/>
                      <a:t>[CELLRANGE]</a:t>
                    </a:fld>
                    <a:endParaRPr lang="en-US"/>
                  </a:p>
                  <a:p>
                    <a:r>
                      <a:rPr lang="en-US"/>
                      <a:t>$16,500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9-38D8-4320-A392-25B56549D09E}"/>
                </c:ext>
              </c:extLst>
            </c:dLbl>
            <c:dLbl>
              <c:idx val="2"/>
              <c:layout>
                <c:manualLayout>
                  <c:x val="0"/>
                  <c:y val="1.396021273472191E-2"/>
                </c:manualLayout>
              </c:layout>
              <c:tx>
                <c:rich>
                  <a:bodyPr/>
                  <a:lstStyle/>
                  <a:p>
                    <a:fld id="{C0C5B6CF-A069-4153-9AD6-DE4D1528D4BF}" type="CELLRANGE">
                      <a:rPr lang="en-US"/>
                      <a:pPr/>
                      <a:t>[CELLRANGE]</a:t>
                    </a:fld>
                    <a:endParaRPr lang="en-US"/>
                  </a:p>
                  <a:p>
                    <a:r>
                      <a:rPr lang="en-US"/>
                      <a:t>$21,000</a:t>
                    </a:r>
                  </a:p>
                </c:rich>
              </c:tx>
              <c:showLegendKey val="0"/>
              <c:showVal val="0"/>
              <c:showCatName val="0"/>
              <c:showSerName val="0"/>
              <c:showPercent val="0"/>
              <c:showBubbleSize val="0"/>
              <c:extLst>
                <c:ext xmlns:c15="http://schemas.microsoft.com/office/drawing/2012/chart" uri="{CE6537A1-D6FC-4f65-9D91-7224C49458BB}">
                  <c15:layout/>
                  <c15:dlblFieldTable/>
                  <c15:showDataLabelsRange val="1"/>
                </c:ext>
                <c:ext xmlns:c16="http://schemas.microsoft.com/office/drawing/2014/chart" uri="{C3380CC4-5D6E-409C-BE32-E72D297353CC}">
                  <c16:uniqueId val="{0000000A-38D8-4320-A392-25B56549D09E}"/>
                </c:ext>
              </c:extLst>
            </c:dLbl>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15:leaderLines>
                  <c:spPr>
                    <a:ln w="9525" cap="flat" cmpd="sng" algn="ctr">
                      <a:solidFill>
                        <a:schemeClr val="tx1">
                          <a:lumMod val="35000"/>
                          <a:lumOff val="65000"/>
                        </a:schemeClr>
                      </a:solidFill>
                      <a:round/>
                    </a:ln>
                    <a:effectLst/>
                  </c:spPr>
                </c15:leaderLines>
              </c:ext>
            </c:extLst>
          </c:dLbls>
          <c:cat>
            <c:strRef>
              <c:f>'2.6_data'!$B$96:$D$96</c:f>
              <c:strCache>
                <c:ptCount val="3"/>
                <c:pt idx="0">
                  <c:v>Sub-bachelor</c:v>
                </c:pt>
                <c:pt idx="1">
                  <c:v>Bachelor</c:v>
                </c:pt>
                <c:pt idx="2">
                  <c:v>Postgraduate</c:v>
                </c:pt>
              </c:strCache>
            </c:strRef>
          </c:cat>
          <c:val>
            <c:numRef>
              <c:f>'2.6_data'!$B$99:$D$99</c:f>
              <c:numCache>
                <c:formatCode>"$"#,##0_);[Red]\("$"#,##0\)</c:formatCode>
                <c:ptCount val="3"/>
                <c:pt idx="0">
                  <c:v>9297.21656471795</c:v>
                </c:pt>
                <c:pt idx="1">
                  <c:v>16508.879789626106</c:v>
                </c:pt>
                <c:pt idx="2">
                  <c:v>21008.924380375513</c:v>
                </c:pt>
              </c:numCache>
            </c:numRef>
          </c:val>
          <c:extLst>
            <c:ext xmlns:c15="http://schemas.microsoft.com/office/drawing/2012/chart" uri="{02D57815-91ED-43cb-92C2-25804820EDAC}">
              <c15:datalabelsRange>
                <c15:f>'2.6_data'!$B$103:$D$103</c15:f>
                <c15:dlblRangeCache>
                  <c:ptCount val="3"/>
                  <c:pt idx="0">
                    <c:v>-41%</c:v>
                  </c:pt>
                  <c:pt idx="1">
                    <c:v>-5%</c:v>
                  </c:pt>
                  <c:pt idx="2">
                    <c:v>-5%</c:v>
                  </c:pt>
                </c15:dlblRangeCache>
              </c15:datalabelsRange>
            </c:ext>
            <c:ext xmlns:c16="http://schemas.microsoft.com/office/drawing/2014/chart" uri="{C3380CC4-5D6E-409C-BE32-E72D297353CC}">
              <c16:uniqueId val="{0000000B-38D8-4320-A392-25B56549D09E}"/>
            </c:ext>
          </c:extLst>
        </c:ser>
        <c:dLbls>
          <c:showLegendKey val="0"/>
          <c:showVal val="0"/>
          <c:showCatName val="0"/>
          <c:showSerName val="0"/>
          <c:showPercent val="0"/>
          <c:showBubbleSize val="0"/>
        </c:dLbls>
        <c:gapWidth val="150"/>
        <c:overlap val="-46"/>
        <c:axId val="842962671"/>
        <c:axId val="842970575"/>
      </c:barChart>
      <c:catAx>
        <c:axId val="84296267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70575"/>
        <c:crosses val="autoZero"/>
        <c:auto val="1"/>
        <c:lblAlgn val="ctr"/>
        <c:lblOffset val="100"/>
        <c:noMultiLvlLbl val="0"/>
      </c:catAx>
      <c:valAx>
        <c:axId val="842970575"/>
        <c:scaling>
          <c:orientation val="minMax"/>
        </c:scaling>
        <c:delete val="0"/>
        <c:axPos val="l"/>
        <c:majorGridlines>
          <c:spPr>
            <a:ln w="9525" cap="flat" cmpd="sng" algn="ctr">
              <a:noFill/>
              <a:round/>
            </a:ln>
            <a:effectLst/>
          </c:spPr>
        </c:majorGridlines>
        <c:numFmt formatCode="&quot;$&quot;#,##0_);[Red]\(&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84296267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00ABAB"/>
            </a:solidFill>
            <a:ln>
              <a:noFill/>
            </a:ln>
            <a:effectLst/>
          </c:spPr>
          <c:invertIfNegative val="0"/>
          <c:dPt>
            <c:idx val="12"/>
            <c:invertIfNegative val="0"/>
            <c:bubble3D val="0"/>
            <c:spPr>
              <a:solidFill>
                <a:schemeClr val="bg1">
                  <a:lumMod val="75000"/>
                </a:schemeClr>
              </a:solidFill>
              <a:ln>
                <a:noFill/>
              </a:ln>
              <a:effectLst/>
            </c:spPr>
            <c:extLst>
              <c:ext xmlns:c16="http://schemas.microsoft.com/office/drawing/2014/chart" uri="{C3380CC4-5D6E-409C-BE32-E72D297353CC}">
                <c16:uniqueId val="{00000001-90BA-423D-8DF9-04456EF927C1}"/>
              </c:ext>
            </c:extLst>
          </c:dPt>
          <c:cat>
            <c:strRef>
              <c:f>'2.3_data'!$D$492:$Z$492</c:f>
              <c:strCache>
                <c:ptCount val="23"/>
                <c:pt idx="0">
                  <c:v>MedicalSci</c:v>
                </c:pt>
                <c:pt idx="1">
                  <c:v>Environment</c:v>
                </c:pt>
                <c:pt idx="2">
                  <c:v>MixedField</c:v>
                </c:pt>
                <c:pt idx="3">
                  <c:v>OthNat-PhysSci</c:v>
                </c:pt>
                <c:pt idx="4">
                  <c:v>Comms&amp;Media</c:v>
                </c:pt>
                <c:pt idx="5">
                  <c:v>MathSci</c:v>
                </c:pt>
                <c:pt idx="6">
                  <c:v>Eng&amp;Related</c:v>
                </c:pt>
                <c:pt idx="7">
                  <c:v>Nursing</c:v>
                </c:pt>
                <c:pt idx="8">
                  <c:v>InfoTech</c:v>
                </c:pt>
                <c:pt idx="9">
                  <c:v>OthAg&amp;Enviro</c:v>
                </c:pt>
                <c:pt idx="10">
                  <c:v>Education</c:v>
                </c:pt>
                <c:pt idx="11">
                  <c:v>Psych</c:v>
                </c:pt>
                <c:pt idx="12">
                  <c:v>Total</c:v>
                </c:pt>
                <c:pt idx="13">
                  <c:v>Archi&amp;Build</c:v>
                </c:pt>
                <c:pt idx="14">
                  <c:v>MedicalStudies</c:v>
                </c:pt>
                <c:pt idx="15">
                  <c:v>OthHealth</c:v>
                </c:pt>
                <c:pt idx="16">
                  <c:v>ForeignLang</c:v>
                </c:pt>
                <c:pt idx="17">
                  <c:v>OtherSoc&amp;Cult</c:v>
                </c:pt>
                <c:pt idx="18">
                  <c:v>OthCreative</c:v>
                </c:pt>
                <c:pt idx="19">
                  <c:v>Dental</c:v>
                </c:pt>
                <c:pt idx="20">
                  <c:v>Mgmt&amp;Comm</c:v>
                </c:pt>
                <c:pt idx="21">
                  <c:v>Veterinary</c:v>
                </c:pt>
                <c:pt idx="22">
                  <c:v>FoodHosp&amp;Person</c:v>
                </c:pt>
              </c:strCache>
            </c:strRef>
          </c:cat>
          <c:val>
            <c:numRef>
              <c:f>'2.3_data'!$D$493:$Z$493</c:f>
              <c:numCache>
                <c:formatCode>0%</c:formatCode>
                <c:ptCount val="23"/>
                <c:pt idx="0">
                  <c:v>0.6631067920869641</c:v>
                </c:pt>
                <c:pt idx="1">
                  <c:v>0.70298078806226849</c:v>
                </c:pt>
                <c:pt idx="2">
                  <c:v>0.75396792397456069</c:v>
                </c:pt>
                <c:pt idx="3">
                  <c:v>0.78035710821419646</c:v>
                </c:pt>
                <c:pt idx="4">
                  <c:v>0.78047647199263404</c:v>
                </c:pt>
                <c:pt idx="5">
                  <c:v>0.79103950446901306</c:v>
                </c:pt>
                <c:pt idx="6">
                  <c:v>0.7916269141410327</c:v>
                </c:pt>
                <c:pt idx="7">
                  <c:v>0.80146117515134774</c:v>
                </c:pt>
                <c:pt idx="8">
                  <c:v>0.86399812999273018</c:v>
                </c:pt>
                <c:pt idx="9">
                  <c:v>0.87040520498263774</c:v>
                </c:pt>
                <c:pt idx="10">
                  <c:v>0.87514152025378233</c:v>
                </c:pt>
                <c:pt idx="11">
                  <c:v>0.88522203894541451</c:v>
                </c:pt>
                <c:pt idx="12">
                  <c:v>0.89282097759751389</c:v>
                </c:pt>
                <c:pt idx="13">
                  <c:v>0.89955770651472045</c:v>
                </c:pt>
                <c:pt idx="14">
                  <c:v>0.91574788388231654</c:v>
                </c:pt>
                <c:pt idx="15">
                  <c:v>0.94018096179094313</c:v>
                </c:pt>
                <c:pt idx="16">
                  <c:v>0.94616389886036534</c:v>
                </c:pt>
                <c:pt idx="17">
                  <c:v>0.99308834327613149</c:v>
                </c:pt>
                <c:pt idx="18">
                  <c:v>1.036388086035785</c:v>
                </c:pt>
                <c:pt idx="19">
                  <c:v>1.1207082374465129</c:v>
                </c:pt>
                <c:pt idx="20">
                  <c:v>1.1550866280892531</c:v>
                </c:pt>
                <c:pt idx="21">
                  <c:v>1.4003487573268474</c:v>
                </c:pt>
                <c:pt idx="22">
                  <c:v>1.8489627360466607</c:v>
                </c:pt>
              </c:numCache>
            </c:numRef>
          </c:val>
          <c:extLst>
            <c:ext xmlns:c16="http://schemas.microsoft.com/office/drawing/2014/chart" uri="{C3380CC4-5D6E-409C-BE32-E72D297353CC}">
              <c16:uniqueId val="{00000002-90BA-423D-8DF9-04456EF927C1}"/>
            </c:ext>
          </c:extLst>
        </c:ser>
        <c:dLbls>
          <c:showLegendKey val="0"/>
          <c:showVal val="0"/>
          <c:showCatName val="0"/>
          <c:showSerName val="0"/>
          <c:showPercent val="0"/>
          <c:showBubbleSize val="0"/>
        </c:dLbls>
        <c:gapWidth val="150"/>
        <c:axId val="2137600463"/>
        <c:axId val="2137595471"/>
      </c:barChart>
      <c:lineChart>
        <c:grouping val="standard"/>
        <c:varyColors val="0"/>
        <c:ser>
          <c:idx val="1"/>
          <c:order val="1"/>
          <c:spPr>
            <a:ln w="28575" cap="rnd">
              <a:solidFill>
                <a:schemeClr val="bg1">
                  <a:lumMod val="75000"/>
                </a:schemeClr>
              </a:solidFill>
              <a:prstDash val="sysDash"/>
              <a:round/>
            </a:ln>
            <a:effectLst/>
          </c:spPr>
          <c:marker>
            <c:symbol val="none"/>
          </c:marker>
          <c:cat>
            <c:strRef>
              <c:f>'2.3_data'!$D$492:$Z$492</c:f>
              <c:strCache>
                <c:ptCount val="23"/>
                <c:pt idx="0">
                  <c:v>MedicalSci</c:v>
                </c:pt>
                <c:pt idx="1">
                  <c:v>Environment</c:v>
                </c:pt>
                <c:pt idx="2">
                  <c:v>MixedField</c:v>
                </c:pt>
                <c:pt idx="3">
                  <c:v>OthNat-PhysSci</c:v>
                </c:pt>
                <c:pt idx="4">
                  <c:v>Comms&amp;Media</c:v>
                </c:pt>
                <c:pt idx="5">
                  <c:v>MathSci</c:v>
                </c:pt>
                <c:pt idx="6">
                  <c:v>Eng&amp;Related</c:v>
                </c:pt>
                <c:pt idx="7">
                  <c:v>Nursing</c:v>
                </c:pt>
                <c:pt idx="8">
                  <c:v>InfoTech</c:v>
                </c:pt>
                <c:pt idx="9">
                  <c:v>OthAg&amp;Enviro</c:v>
                </c:pt>
                <c:pt idx="10">
                  <c:v>Education</c:v>
                </c:pt>
                <c:pt idx="11">
                  <c:v>Psych</c:v>
                </c:pt>
                <c:pt idx="12">
                  <c:v>Total</c:v>
                </c:pt>
                <c:pt idx="13">
                  <c:v>Archi&amp;Build</c:v>
                </c:pt>
                <c:pt idx="14">
                  <c:v>MedicalStudies</c:v>
                </c:pt>
                <c:pt idx="15">
                  <c:v>OthHealth</c:v>
                </c:pt>
                <c:pt idx="16">
                  <c:v>ForeignLang</c:v>
                </c:pt>
                <c:pt idx="17">
                  <c:v>OtherSoc&amp;Cult</c:v>
                </c:pt>
                <c:pt idx="18">
                  <c:v>OthCreative</c:v>
                </c:pt>
                <c:pt idx="19">
                  <c:v>Dental</c:v>
                </c:pt>
                <c:pt idx="20">
                  <c:v>Mgmt&amp;Comm</c:v>
                </c:pt>
                <c:pt idx="21">
                  <c:v>Veterinary</c:v>
                </c:pt>
                <c:pt idx="22">
                  <c:v>FoodHosp&amp;Person</c:v>
                </c:pt>
              </c:strCache>
            </c:strRef>
          </c:cat>
          <c:val>
            <c:numRef>
              <c:f>'2.3_data'!$D$494:$Z$494</c:f>
              <c:numCache>
                <c:formatCode>0%</c:formatCode>
                <c:ptCount val="23"/>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numCache>
            </c:numRef>
          </c:val>
          <c:smooth val="0"/>
          <c:extLst>
            <c:ext xmlns:c16="http://schemas.microsoft.com/office/drawing/2014/chart" uri="{C3380CC4-5D6E-409C-BE32-E72D297353CC}">
              <c16:uniqueId val="{00000003-90BA-423D-8DF9-04456EF927C1}"/>
            </c:ext>
          </c:extLst>
        </c:ser>
        <c:dLbls>
          <c:showLegendKey val="0"/>
          <c:showVal val="0"/>
          <c:showCatName val="0"/>
          <c:showSerName val="0"/>
          <c:showPercent val="0"/>
          <c:showBubbleSize val="0"/>
        </c:dLbls>
        <c:marker val="1"/>
        <c:smooth val="0"/>
        <c:axId val="2137600463"/>
        <c:axId val="2137595471"/>
      </c:lineChart>
      <c:catAx>
        <c:axId val="213760046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300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595471"/>
        <c:crosses val="autoZero"/>
        <c:auto val="1"/>
        <c:lblAlgn val="ctr"/>
        <c:lblOffset val="100"/>
        <c:noMultiLvlLbl val="0"/>
      </c:catAx>
      <c:valAx>
        <c:axId val="2137595471"/>
        <c:scaling>
          <c:orientation val="minMax"/>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137600463"/>
        <c:crosses val="autoZero"/>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78477690288709E-2"/>
          <c:y val="6.4814814814814811E-2"/>
          <c:w val="0.87826596675415569"/>
          <c:h val="0.83523913677457007"/>
        </c:manualLayout>
      </c:layout>
      <c:barChart>
        <c:barDir val="col"/>
        <c:grouping val="clustered"/>
        <c:varyColors val="0"/>
        <c:ser>
          <c:idx val="0"/>
          <c:order val="0"/>
          <c:spPr>
            <a:solidFill>
              <a:srgbClr val="00ABAB"/>
            </a:solidFill>
            <a:ln>
              <a:noFill/>
            </a:ln>
            <a:effectLst/>
          </c:spPr>
          <c:invertIfNegative val="0"/>
          <c:dPt>
            <c:idx val="3"/>
            <c:invertIfNegative val="0"/>
            <c:bubble3D val="0"/>
            <c:spPr>
              <a:solidFill>
                <a:schemeClr val="bg1">
                  <a:lumMod val="75000"/>
                </a:schemeClr>
              </a:solidFill>
              <a:ln>
                <a:noFill/>
              </a:ln>
              <a:effectLst/>
            </c:spPr>
            <c:extLst>
              <c:ext xmlns:c16="http://schemas.microsoft.com/office/drawing/2014/chart" uri="{C3380CC4-5D6E-409C-BE32-E72D297353CC}">
                <c16:uniqueId val="{00000001-DECF-4099-B6B6-91D2D1B716F2}"/>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'1.3_data'!$B$57:$B$60</c:f>
              <c:strCache>
                <c:ptCount val="4"/>
                <c:pt idx="0">
                  <c:v>Sub-bachelor</c:v>
                </c:pt>
                <c:pt idx="1">
                  <c:v>Bachelor</c:v>
                </c:pt>
                <c:pt idx="2">
                  <c:v>Postgraduate</c:v>
                </c:pt>
                <c:pt idx="3">
                  <c:v>Total</c:v>
                </c:pt>
              </c:strCache>
            </c:strRef>
          </c:cat>
          <c:val>
            <c:numRef>
              <c:f>'1.3_data'!$Y$57:$Y$60</c:f>
              <c:numCache>
                <c:formatCode>0%</c:formatCode>
                <c:ptCount val="4"/>
                <c:pt idx="0">
                  <c:v>0.5342862540142308</c:v>
                </c:pt>
                <c:pt idx="1">
                  <c:v>0.64971806383053121</c:v>
                </c:pt>
                <c:pt idx="2">
                  <c:v>0.67957131772921242</c:v>
                </c:pt>
                <c:pt idx="3">
                  <c:v>0.65403272171182647</c:v>
                </c:pt>
              </c:numCache>
            </c:numRef>
          </c:val>
          <c:extLst>
            <c:ext xmlns:c16="http://schemas.microsoft.com/office/drawing/2014/chart" uri="{C3380CC4-5D6E-409C-BE32-E72D297353CC}">
              <c16:uniqueId val="{00000002-DECF-4099-B6B6-91D2D1B716F2}"/>
            </c:ext>
          </c:extLst>
        </c:ser>
        <c:dLbls>
          <c:showLegendKey val="0"/>
          <c:showVal val="0"/>
          <c:showCatName val="0"/>
          <c:showSerName val="0"/>
          <c:showPercent val="0"/>
          <c:showBubbleSize val="0"/>
        </c:dLbls>
        <c:gapWidth val="150"/>
        <c:overlap val="-27"/>
        <c:axId val="48432383"/>
        <c:axId val="48424063"/>
      </c:barChart>
      <c:catAx>
        <c:axId val="48432383"/>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8424063"/>
        <c:crosses val="autoZero"/>
        <c:auto val="1"/>
        <c:lblAlgn val="ctr"/>
        <c:lblOffset val="100"/>
        <c:noMultiLvlLbl val="0"/>
      </c:catAx>
      <c:valAx>
        <c:axId val="48424063"/>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48432383"/>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78477690288709E-2"/>
          <c:y val="5.0925925925925923E-2"/>
          <c:w val="0.87826596675415569"/>
          <c:h val="0.55977435112277629"/>
        </c:manualLayout>
      </c:layout>
      <c:barChart>
        <c:barDir val="col"/>
        <c:grouping val="clustered"/>
        <c:varyColors val="0"/>
        <c:ser>
          <c:idx val="0"/>
          <c:order val="0"/>
          <c:spPr>
            <a:solidFill>
              <a:srgbClr val="00ABAB"/>
            </a:solidFill>
            <a:ln>
              <a:noFill/>
            </a:ln>
            <a:effectLst/>
          </c:spPr>
          <c:invertIfNegative val="0"/>
          <c:dPt>
            <c:idx val="10"/>
            <c:invertIfNegative val="0"/>
            <c:bubble3D val="0"/>
            <c:spPr>
              <a:solidFill>
                <a:schemeClr val="bg1">
                  <a:lumMod val="75000"/>
                </a:schemeClr>
              </a:solidFill>
              <a:ln>
                <a:noFill/>
              </a:ln>
              <a:effectLst/>
            </c:spPr>
            <c:extLst>
              <c:ext xmlns:c16="http://schemas.microsoft.com/office/drawing/2014/chart" uri="{C3380CC4-5D6E-409C-BE32-E72D297353CC}">
                <c16:uniqueId val="{00000001-DA33-4A37-935C-8F0389CB1D73}"/>
              </c:ext>
            </c:extLst>
          </c:dPt>
          <c:dPt>
            <c:idx val="22"/>
            <c:invertIfNegative val="0"/>
            <c:bubble3D val="0"/>
            <c:spPr>
              <a:solidFill>
                <a:srgbClr val="00ABAB"/>
              </a:solidFill>
              <a:ln>
                <a:noFill/>
              </a:ln>
              <a:effectLst/>
            </c:spPr>
            <c:extLst>
              <c:ext xmlns:c16="http://schemas.microsoft.com/office/drawing/2014/chart" uri="{C3380CC4-5D6E-409C-BE32-E72D297353CC}">
                <c16:uniqueId val="{00000003-DA33-4A37-935C-8F0389CB1D73}"/>
              </c:ext>
            </c:extLst>
          </c:dPt>
          <c:cat>
            <c:strRef>
              <c:f>'1.3_data'!$C$65:$Y$65</c:f>
              <c:strCache>
                <c:ptCount val="23"/>
                <c:pt idx="0">
                  <c:v>MixedField</c:v>
                </c:pt>
                <c:pt idx="1">
                  <c:v>Eng&amp;Related</c:v>
                </c:pt>
                <c:pt idx="2">
                  <c:v>Mgmt&amp;Comm</c:v>
                </c:pt>
                <c:pt idx="3">
                  <c:v>MathSci</c:v>
                </c:pt>
                <c:pt idx="4">
                  <c:v>MedicalSci</c:v>
                </c:pt>
                <c:pt idx="5">
                  <c:v>InfoTech</c:v>
                </c:pt>
                <c:pt idx="6">
                  <c:v>Comms&amp;Media</c:v>
                </c:pt>
                <c:pt idx="7">
                  <c:v>OthCreative</c:v>
                </c:pt>
                <c:pt idx="8">
                  <c:v>Archi&amp;Build</c:v>
                </c:pt>
                <c:pt idx="9">
                  <c:v>ForeignLang</c:v>
                </c:pt>
                <c:pt idx="10">
                  <c:v>Total</c:v>
                </c:pt>
                <c:pt idx="11">
                  <c:v>OtherSoc&amp;Cult</c:v>
                </c:pt>
                <c:pt idx="12">
                  <c:v>Environment</c:v>
                </c:pt>
                <c:pt idx="13">
                  <c:v>Psych</c:v>
                </c:pt>
                <c:pt idx="14">
                  <c:v>OthNat-PhysSci</c:v>
                </c:pt>
                <c:pt idx="15">
                  <c:v>Education</c:v>
                </c:pt>
                <c:pt idx="16">
                  <c:v>Nursing</c:v>
                </c:pt>
                <c:pt idx="17">
                  <c:v>OthHealth</c:v>
                </c:pt>
                <c:pt idx="18">
                  <c:v>MedicalStudies</c:v>
                </c:pt>
                <c:pt idx="19">
                  <c:v>Dental</c:v>
                </c:pt>
                <c:pt idx="20">
                  <c:v>Veterinary</c:v>
                </c:pt>
                <c:pt idx="21">
                  <c:v>OthAg&amp;Enviro</c:v>
                </c:pt>
                <c:pt idx="22">
                  <c:v>FoodHosp&amp;Person</c:v>
                </c:pt>
              </c:strCache>
            </c:strRef>
          </c:cat>
          <c:val>
            <c:numRef>
              <c:f>'1.3_data'!$C$66:$Y$66</c:f>
              <c:numCache>
                <c:formatCode>0%</c:formatCode>
                <c:ptCount val="23"/>
                <c:pt idx="0">
                  <c:v>0.26004228329809725</c:v>
                </c:pt>
                <c:pt idx="1">
                  <c:v>0.55083802436154305</c:v>
                </c:pt>
                <c:pt idx="2">
                  <c:v>0.60128393850179918</c:v>
                </c:pt>
                <c:pt idx="3">
                  <c:v>0.60251603181834112</c:v>
                </c:pt>
                <c:pt idx="4">
                  <c:v>0.60889889196675895</c:v>
                </c:pt>
                <c:pt idx="5">
                  <c:v>0.60907666906566194</c:v>
                </c:pt>
                <c:pt idx="6">
                  <c:v>0.61187214611872143</c:v>
                </c:pt>
                <c:pt idx="7">
                  <c:v>0.62247084027612476</c:v>
                </c:pt>
                <c:pt idx="8">
                  <c:v>0.62650896828112013</c:v>
                </c:pt>
                <c:pt idx="9">
                  <c:v>0.62759575449930782</c:v>
                </c:pt>
                <c:pt idx="10">
                  <c:v>0.65403272171182647</c:v>
                </c:pt>
                <c:pt idx="11">
                  <c:v>0.65779776972434179</c:v>
                </c:pt>
                <c:pt idx="12">
                  <c:v>0.657863947852248</c:v>
                </c:pt>
                <c:pt idx="13">
                  <c:v>0.67612960760998808</c:v>
                </c:pt>
                <c:pt idx="14">
                  <c:v>0.69115046731595053</c:v>
                </c:pt>
                <c:pt idx="15">
                  <c:v>0.72746400059688132</c:v>
                </c:pt>
                <c:pt idx="16">
                  <c:v>0.73579161028416784</c:v>
                </c:pt>
                <c:pt idx="17">
                  <c:v>0.73764103654108437</c:v>
                </c:pt>
                <c:pt idx="18">
                  <c:v>0.76215599600741479</c:v>
                </c:pt>
                <c:pt idx="19">
                  <c:v>0.77115384615384619</c:v>
                </c:pt>
                <c:pt idx="20">
                  <c:v>0.7736156351791531</c:v>
                </c:pt>
                <c:pt idx="21">
                  <c:v>0.78243512974051899</c:v>
                </c:pt>
                <c:pt idx="22">
                  <c:v>0.81914893617021278</c:v>
                </c:pt>
              </c:numCache>
            </c:numRef>
          </c:val>
          <c:extLst>
            <c:ext xmlns:c16="http://schemas.microsoft.com/office/drawing/2014/chart" uri="{C3380CC4-5D6E-409C-BE32-E72D297353CC}">
              <c16:uniqueId val="{00000004-DA33-4A37-935C-8F0389CB1D73}"/>
            </c:ext>
          </c:extLst>
        </c:ser>
        <c:dLbls>
          <c:showLegendKey val="0"/>
          <c:showVal val="0"/>
          <c:showCatName val="0"/>
          <c:showSerName val="0"/>
          <c:showPercent val="0"/>
          <c:showBubbleSize val="0"/>
        </c:dLbls>
        <c:gapWidth val="150"/>
        <c:overlap val="-27"/>
        <c:axId val="1520346511"/>
        <c:axId val="1520348175"/>
      </c:barChart>
      <c:catAx>
        <c:axId val="1520346511"/>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2760000" spcFirstLastPara="1" vertOverflow="ellipsis"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520348175"/>
        <c:crosses val="autoZero"/>
        <c:auto val="1"/>
        <c:lblAlgn val="ctr"/>
        <c:lblOffset val="100"/>
        <c:noMultiLvlLbl val="0"/>
      </c:catAx>
      <c:valAx>
        <c:axId val="1520348175"/>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520346511"/>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1178477690288709E-2"/>
          <c:y val="5.2284610138667878E-2"/>
          <c:w val="0.87826596675415569"/>
          <c:h val="0.81609349802356046"/>
        </c:manualLayout>
      </c:layout>
      <c:barChart>
        <c:barDir val="col"/>
        <c:grouping val="clustered"/>
        <c:varyColors val="0"/>
        <c:ser>
          <c:idx val="1"/>
          <c:order val="0"/>
          <c:spPr>
            <a:solidFill>
              <a:srgbClr val="00ABAB"/>
            </a:solidFill>
            <a:ln>
              <a:noFill/>
            </a:ln>
            <a:effectLst/>
          </c:spPr>
          <c:invertIfNegative val="0"/>
          <c:cat>
            <c:numRef>
              <c:f>'2.1_data'!$K$3:$K$27</c:f>
              <c:numCache>
                <c:formatCode>General</c:formatCode>
                <c:ptCount val="25"/>
                <c:pt idx="0">
                  <c:v>14</c:v>
                </c:pt>
                <c:pt idx="1">
                  <c:v>4</c:v>
                </c:pt>
                <c:pt idx="2">
                  <c:v>16</c:v>
                </c:pt>
                <c:pt idx="3">
                  <c:v>17</c:v>
                </c:pt>
                <c:pt idx="4">
                  <c:v>23</c:v>
                </c:pt>
                <c:pt idx="5">
                  <c:v>19</c:v>
                </c:pt>
                <c:pt idx="6">
                  <c:v>8</c:v>
                </c:pt>
                <c:pt idx="7">
                  <c:v>2</c:v>
                </c:pt>
                <c:pt idx="8">
                  <c:v>5</c:v>
                </c:pt>
                <c:pt idx="9">
                  <c:v>10</c:v>
                </c:pt>
                <c:pt idx="10">
                  <c:v>3</c:v>
                </c:pt>
                <c:pt idx="11">
                  <c:v>13</c:v>
                </c:pt>
                <c:pt idx="12">
                  <c:v>15</c:v>
                </c:pt>
                <c:pt idx="13">
                  <c:v>21</c:v>
                </c:pt>
                <c:pt idx="14">
                  <c:v>24</c:v>
                </c:pt>
                <c:pt idx="15">
                  <c:v>6</c:v>
                </c:pt>
                <c:pt idx="16">
                  <c:v>25</c:v>
                </c:pt>
                <c:pt idx="17">
                  <c:v>7</c:v>
                </c:pt>
                <c:pt idx="18">
                  <c:v>20</c:v>
                </c:pt>
                <c:pt idx="19">
                  <c:v>11</c:v>
                </c:pt>
                <c:pt idx="20">
                  <c:v>1</c:v>
                </c:pt>
                <c:pt idx="21">
                  <c:v>9</c:v>
                </c:pt>
                <c:pt idx="22">
                  <c:v>18</c:v>
                </c:pt>
                <c:pt idx="23">
                  <c:v>12</c:v>
                </c:pt>
                <c:pt idx="24">
                  <c:v>22</c:v>
                </c:pt>
              </c:numCache>
            </c:numRef>
          </c:cat>
          <c:val>
            <c:numRef>
              <c:f>'2.1_data'!$L$3:$L$27</c:f>
              <c:numCache>
                <c:formatCode>0%</c:formatCode>
                <c:ptCount val="25"/>
                <c:pt idx="0">
                  <c:v>0.33258858842635891</c:v>
                </c:pt>
                <c:pt idx="1">
                  <c:v>0.40228301513545484</c:v>
                </c:pt>
                <c:pt idx="2">
                  <c:v>0.43899623023232243</c:v>
                </c:pt>
                <c:pt idx="3">
                  <c:v>0.44150119877680088</c:v>
                </c:pt>
                <c:pt idx="4">
                  <c:v>0.47077851543066468</c:v>
                </c:pt>
                <c:pt idx="5">
                  <c:v>0.47183626378251636</c:v>
                </c:pt>
                <c:pt idx="6">
                  <c:v>0.49707515765314647</c:v>
                </c:pt>
                <c:pt idx="7">
                  <c:v>0.54526769529291774</c:v>
                </c:pt>
                <c:pt idx="8">
                  <c:v>0.55734044117847981</c:v>
                </c:pt>
                <c:pt idx="9">
                  <c:v>0.56338238861625312</c:v>
                </c:pt>
                <c:pt idx="10">
                  <c:v>0.56346010041246541</c:v>
                </c:pt>
                <c:pt idx="11">
                  <c:v>0.5955700071993556</c:v>
                </c:pt>
                <c:pt idx="12">
                  <c:v>0.59770200903573656</c:v>
                </c:pt>
                <c:pt idx="13">
                  <c:v>0.60942076808191925</c:v>
                </c:pt>
                <c:pt idx="14">
                  <c:v>0.62390128607907092</c:v>
                </c:pt>
                <c:pt idx="15">
                  <c:v>0.65861448684062551</c:v>
                </c:pt>
                <c:pt idx="16">
                  <c:v>0.6588184077915219</c:v>
                </c:pt>
                <c:pt idx="17">
                  <c:v>0.66060480919327835</c:v>
                </c:pt>
                <c:pt idx="18">
                  <c:v>0.66113718984364345</c:v>
                </c:pt>
                <c:pt idx="19">
                  <c:v>0.66639277400257491</c:v>
                </c:pt>
                <c:pt idx="20">
                  <c:v>0.68573826002453775</c:v>
                </c:pt>
                <c:pt idx="21">
                  <c:v>0.69598495522228432</c:v>
                </c:pt>
                <c:pt idx="22">
                  <c:v>0.74648728771536188</c:v>
                </c:pt>
                <c:pt idx="23">
                  <c:v>0.78704155562800204</c:v>
                </c:pt>
                <c:pt idx="24">
                  <c:v>0.83970165506257088</c:v>
                </c:pt>
              </c:numCache>
            </c:numRef>
          </c:val>
          <c:extLst>
            <c:ext xmlns:c16="http://schemas.microsoft.com/office/drawing/2014/chart" uri="{C3380CC4-5D6E-409C-BE32-E72D297353CC}">
              <c16:uniqueId val="{00000000-3B17-4813-807C-8FC6B3BBF98E}"/>
            </c:ext>
          </c:extLst>
        </c:ser>
        <c:dLbls>
          <c:showLegendKey val="0"/>
          <c:showVal val="0"/>
          <c:showCatName val="0"/>
          <c:showSerName val="0"/>
          <c:showPercent val="0"/>
          <c:showBubbleSize val="0"/>
        </c:dLbls>
        <c:gapWidth val="125"/>
        <c:axId val="228881727"/>
        <c:axId val="228882975"/>
      </c:barChart>
      <c:lineChart>
        <c:grouping val="standard"/>
        <c:varyColors val="0"/>
        <c:ser>
          <c:idx val="0"/>
          <c:order val="1"/>
          <c:tx>
            <c:v>Average</c:v>
          </c:tx>
          <c:spPr>
            <a:ln w="28575" cap="rnd">
              <a:solidFill>
                <a:schemeClr val="bg1">
                  <a:lumMod val="75000"/>
                </a:schemeClr>
              </a:solidFill>
              <a:prstDash val="sysDash"/>
              <a:round/>
            </a:ln>
            <a:effectLst/>
          </c:spPr>
          <c:marker>
            <c:symbol val="none"/>
          </c:marker>
          <c:val>
            <c:numRef>
              <c:f>'2.1_data'!$M$3:$M$27</c:f>
              <c:numCache>
                <c:formatCode>0%</c:formatCode>
                <c:ptCount val="25"/>
                <c:pt idx="0">
                  <c:v>0.52558641909520731</c:v>
                </c:pt>
                <c:pt idx="1">
                  <c:v>0.52558641909520731</c:v>
                </c:pt>
                <c:pt idx="2">
                  <c:v>0.52558641909520731</c:v>
                </c:pt>
                <c:pt idx="3">
                  <c:v>0.52558641909520731</c:v>
                </c:pt>
                <c:pt idx="4">
                  <c:v>0.52558641909520731</c:v>
                </c:pt>
                <c:pt idx="5">
                  <c:v>0.52558641909520731</c:v>
                </c:pt>
                <c:pt idx="6">
                  <c:v>0.52558641909520731</c:v>
                </c:pt>
                <c:pt idx="7">
                  <c:v>0.52558641909520731</c:v>
                </c:pt>
                <c:pt idx="8">
                  <c:v>0.52558641909520731</c:v>
                </c:pt>
                <c:pt idx="9">
                  <c:v>0.52558641909520731</c:v>
                </c:pt>
                <c:pt idx="10">
                  <c:v>0.52558641909520731</c:v>
                </c:pt>
                <c:pt idx="11">
                  <c:v>0.52558641909520731</c:v>
                </c:pt>
                <c:pt idx="12">
                  <c:v>0.52558641909520731</c:v>
                </c:pt>
                <c:pt idx="13">
                  <c:v>0.52558641909520731</c:v>
                </c:pt>
                <c:pt idx="14">
                  <c:v>0.52558641909520731</c:v>
                </c:pt>
                <c:pt idx="15">
                  <c:v>0.52558641909520731</c:v>
                </c:pt>
                <c:pt idx="16">
                  <c:v>0.52558641909520731</c:v>
                </c:pt>
                <c:pt idx="17">
                  <c:v>0.52558641909520731</c:v>
                </c:pt>
                <c:pt idx="18">
                  <c:v>0.52558641909520731</c:v>
                </c:pt>
                <c:pt idx="19">
                  <c:v>0.52558641909520731</c:v>
                </c:pt>
                <c:pt idx="20">
                  <c:v>0.52558641909520731</c:v>
                </c:pt>
                <c:pt idx="21">
                  <c:v>0.52558641909520731</c:v>
                </c:pt>
                <c:pt idx="22">
                  <c:v>0.52558641909520731</c:v>
                </c:pt>
                <c:pt idx="23">
                  <c:v>0.52558641909520731</c:v>
                </c:pt>
                <c:pt idx="24">
                  <c:v>0.52558641909520731</c:v>
                </c:pt>
              </c:numCache>
            </c:numRef>
          </c:val>
          <c:smooth val="0"/>
          <c:extLst>
            <c:ext xmlns:c16="http://schemas.microsoft.com/office/drawing/2014/chart" uri="{C3380CC4-5D6E-409C-BE32-E72D297353CC}">
              <c16:uniqueId val="{00000001-3B17-4813-807C-8FC6B3BBF98E}"/>
            </c:ext>
          </c:extLst>
        </c:ser>
        <c:dLbls>
          <c:showLegendKey val="0"/>
          <c:showVal val="0"/>
          <c:showCatName val="0"/>
          <c:showSerName val="0"/>
          <c:showPercent val="0"/>
          <c:showBubbleSize val="0"/>
        </c:dLbls>
        <c:marker val="1"/>
        <c:smooth val="0"/>
        <c:axId val="228881727"/>
        <c:axId val="228882975"/>
      </c:lineChart>
      <c:catAx>
        <c:axId val="228881727"/>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(25)</a:t>
                </a:r>
              </a:p>
            </c:rich>
          </c:tx>
          <c:layout>
            <c:manualLayout>
              <c:xMode val="edge"/>
              <c:yMode val="edge"/>
              <c:x val="0.40250915467285087"/>
              <c:y val="0.9062169301800565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28882975"/>
        <c:crosses val="autoZero"/>
        <c:auto val="1"/>
        <c:lblAlgn val="ctr"/>
        <c:lblOffset val="100"/>
        <c:noMultiLvlLbl val="0"/>
      </c:catAx>
      <c:valAx>
        <c:axId val="228882975"/>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228881727"/>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4456036745406818E-2"/>
          <c:y val="5.5555555555555552E-2"/>
          <c:w val="0.88498840769903764"/>
          <c:h val="0.78618839311752697"/>
        </c:manualLayout>
      </c:layout>
      <c:barChart>
        <c:barDir val="col"/>
        <c:grouping val="clustered"/>
        <c:varyColors val="0"/>
        <c:ser>
          <c:idx val="0"/>
          <c:order val="0"/>
          <c:spPr>
            <a:solidFill>
              <a:srgbClr val="00ABAB"/>
            </a:solidFill>
            <a:ln>
              <a:noFill/>
            </a:ln>
            <a:effectLst/>
          </c:spPr>
          <c:invertIfNegative val="0"/>
          <c:dPt>
            <c:idx val="1"/>
            <c:invertIfNegative val="0"/>
            <c:bubble3D val="0"/>
            <c:spPr>
              <a:solidFill>
                <a:schemeClr val="bg1">
                  <a:lumMod val="75000"/>
                </a:schemeClr>
              </a:solidFill>
              <a:ln>
                <a:noFill/>
              </a:ln>
              <a:effectLst/>
            </c:spPr>
            <c:extLst>
              <c:ext xmlns:c16="http://schemas.microsoft.com/office/drawing/2014/chart" uri="{C3380CC4-5D6E-409C-BE32-E72D297353CC}">
                <c16:uniqueId val="{00000001-8B67-46D0-9F78-5ED7E633788C}"/>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'2.1_data'!$I$35:$I$42</c:f>
              <c:strCache>
                <c:ptCount val="8"/>
                <c:pt idx="0">
                  <c:v>Go8</c:v>
                </c:pt>
                <c:pt idx="1">
                  <c:v>Total</c:v>
                </c:pt>
                <c:pt idx="2">
                  <c:v>Nil</c:v>
                </c:pt>
                <c:pt idx="3">
                  <c:v>IRU</c:v>
                </c:pt>
                <c:pt idx="4">
                  <c:v>ATN</c:v>
                </c:pt>
                <c:pt idx="5">
                  <c:v>Regional</c:v>
                </c:pt>
                <c:pt idx="6">
                  <c:v>Dual sector</c:v>
                </c:pt>
                <c:pt idx="7">
                  <c:v>RUN</c:v>
                </c:pt>
              </c:strCache>
            </c:strRef>
          </c:cat>
          <c:val>
            <c:numRef>
              <c:f>'2.1_data'!$J$35:$J$42</c:f>
              <c:numCache>
                <c:formatCode>0%</c:formatCode>
                <c:ptCount val="8"/>
                <c:pt idx="0">
                  <c:v>0.42343686078911197</c:v>
                </c:pt>
                <c:pt idx="1">
                  <c:v>0.52710028565939948</c:v>
                </c:pt>
                <c:pt idx="2">
                  <c:v>0.59356803189191731</c:v>
                </c:pt>
                <c:pt idx="3">
                  <c:v>0.6108403068181929</c:v>
                </c:pt>
                <c:pt idx="4">
                  <c:v>0.63395208496767852</c:v>
                </c:pt>
                <c:pt idx="5">
                  <c:v>0.63758140482756476</c:v>
                </c:pt>
                <c:pt idx="6">
                  <c:v>0.66571846485189712</c:v>
                </c:pt>
                <c:pt idx="7">
                  <c:v>0.72027280816461459</c:v>
                </c:pt>
              </c:numCache>
            </c:numRef>
          </c:val>
          <c:extLst>
            <c:ext xmlns:c16="http://schemas.microsoft.com/office/drawing/2014/chart" uri="{C3380CC4-5D6E-409C-BE32-E72D297353CC}">
              <c16:uniqueId val="{00000002-8B67-46D0-9F78-5ED7E633788C}"/>
            </c:ext>
          </c:extLst>
        </c:ser>
        <c:dLbls>
          <c:showLegendKey val="0"/>
          <c:showVal val="0"/>
          <c:showCatName val="0"/>
          <c:showSerName val="0"/>
          <c:showPercent val="0"/>
          <c:showBubbleSize val="0"/>
        </c:dLbls>
        <c:gapWidth val="125"/>
        <c:overlap val="-27"/>
        <c:axId val="988661552"/>
        <c:axId val="988682768"/>
      </c:barChart>
      <c:catAx>
        <c:axId val="988661552"/>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88682768"/>
        <c:crosses val="autoZero"/>
        <c:auto val="1"/>
        <c:lblAlgn val="ctr"/>
        <c:lblOffset val="100"/>
        <c:noMultiLvlLbl val="0"/>
      </c:catAx>
      <c:valAx>
        <c:axId val="988682768"/>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988661552"/>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122703412073491E-2"/>
          <c:y val="5.1615596351551184E-2"/>
          <c:w val="0.87232174103237092"/>
          <c:h val="0.84382883758765681"/>
        </c:manualLayout>
      </c:layout>
      <c:barChart>
        <c:barDir val="col"/>
        <c:grouping val="clustered"/>
        <c:varyColors val="0"/>
        <c:ser>
          <c:idx val="0"/>
          <c:order val="0"/>
          <c:tx>
            <c:v>Staff costs</c:v>
          </c:tx>
          <c:spPr>
            <a:solidFill>
              <a:srgbClr val="00ABAB"/>
            </a:solidFill>
            <a:ln>
              <a:noFill/>
            </a:ln>
            <a:effectLst/>
          </c:spPr>
          <c:invertIfNegative val="0"/>
          <c:cat>
            <c:numRef>
              <c:f>'2.1_data'!$J$46:$J$70</c:f>
              <c:numCache>
                <c:formatCode>General</c:formatCode>
                <c:ptCount val="25"/>
                <c:pt idx="0">
                  <c:v>20</c:v>
                </c:pt>
                <c:pt idx="1">
                  <c:v>1</c:v>
                </c:pt>
                <c:pt idx="2">
                  <c:v>16</c:v>
                </c:pt>
                <c:pt idx="3">
                  <c:v>22</c:v>
                </c:pt>
                <c:pt idx="4">
                  <c:v>5</c:v>
                </c:pt>
                <c:pt idx="5">
                  <c:v>10</c:v>
                </c:pt>
                <c:pt idx="6">
                  <c:v>17</c:v>
                </c:pt>
                <c:pt idx="7">
                  <c:v>23</c:v>
                </c:pt>
                <c:pt idx="8">
                  <c:v>21</c:v>
                </c:pt>
                <c:pt idx="9">
                  <c:v>12</c:v>
                </c:pt>
                <c:pt idx="10">
                  <c:v>14</c:v>
                </c:pt>
                <c:pt idx="11">
                  <c:v>6</c:v>
                </c:pt>
                <c:pt idx="12">
                  <c:v>15</c:v>
                </c:pt>
                <c:pt idx="13">
                  <c:v>8</c:v>
                </c:pt>
                <c:pt idx="14">
                  <c:v>18</c:v>
                </c:pt>
                <c:pt idx="15">
                  <c:v>25</c:v>
                </c:pt>
                <c:pt idx="16">
                  <c:v>4</c:v>
                </c:pt>
                <c:pt idx="17">
                  <c:v>24</c:v>
                </c:pt>
                <c:pt idx="18">
                  <c:v>2</c:v>
                </c:pt>
                <c:pt idx="19">
                  <c:v>11</c:v>
                </c:pt>
                <c:pt idx="20">
                  <c:v>9</c:v>
                </c:pt>
                <c:pt idx="21">
                  <c:v>13</c:v>
                </c:pt>
                <c:pt idx="22">
                  <c:v>7</c:v>
                </c:pt>
                <c:pt idx="23">
                  <c:v>19</c:v>
                </c:pt>
                <c:pt idx="24">
                  <c:v>3</c:v>
                </c:pt>
              </c:numCache>
            </c:numRef>
          </c:cat>
          <c:val>
            <c:numRef>
              <c:f>'2.1_data'!$K$46:$K$70</c:f>
              <c:numCache>
                <c:formatCode>0%</c:formatCode>
                <c:ptCount val="25"/>
                <c:pt idx="0">
                  <c:v>0.47077188047498747</c:v>
                </c:pt>
                <c:pt idx="1">
                  <c:v>0.47559693483180948</c:v>
                </c:pt>
                <c:pt idx="2">
                  <c:v>0.51066589347071523</c:v>
                </c:pt>
                <c:pt idx="3">
                  <c:v>0.54001821794853666</c:v>
                </c:pt>
                <c:pt idx="4">
                  <c:v>0.56415422013379046</c:v>
                </c:pt>
                <c:pt idx="5">
                  <c:v>0.57482881377564488</c:v>
                </c:pt>
                <c:pt idx="6">
                  <c:v>0.57988929602562744</c:v>
                </c:pt>
                <c:pt idx="7">
                  <c:v>0.58021523495674288</c:v>
                </c:pt>
                <c:pt idx="8">
                  <c:v>0.58326480745119913</c:v>
                </c:pt>
                <c:pt idx="9">
                  <c:v>0.58559289910497903</c:v>
                </c:pt>
                <c:pt idx="10">
                  <c:v>0.59333813585728423</c:v>
                </c:pt>
                <c:pt idx="11">
                  <c:v>0.59569165033667137</c:v>
                </c:pt>
                <c:pt idx="12">
                  <c:v>0.59817878342321673</c:v>
                </c:pt>
                <c:pt idx="13">
                  <c:v>0.61328308792475761</c:v>
                </c:pt>
                <c:pt idx="14">
                  <c:v>0.61564065371874455</c:v>
                </c:pt>
                <c:pt idx="15">
                  <c:v>0.62671663283674617</c:v>
                </c:pt>
                <c:pt idx="16">
                  <c:v>0.62850632840461429</c:v>
                </c:pt>
                <c:pt idx="17">
                  <c:v>0.63410905197342315</c:v>
                </c:pt>
                <c:pt idx="18">
                  <c:v>0.64855049393450626</c:v>
                </c:pt>
                <c:pt idx="19">
                  <c:v>0.66757961206864092</c:v>
                </c:pt>
                <c:pt idx="20">
                  <c:v>0.66815004445137294</c:v>
                </c:pt>
                <c:pt idx="21">
                  <c:v>0.67141790193613382</c:v>
                </c:pt>
                <c:pt idx="22">
                  <c:v>0.67281949446277323</c:v>
                </c:pt>
                <c:pt idx="23">
                  <c:v>0.6971782259750553</c:v>
                </c:pt>
                <c:pt idx="24">
                  <c:v>0.70987339223292056</c:v>
                </c:pt>
              </c:numCache>
            </c:numRef>
          </c:val>
          <c:extLst>
            <c:ext xmlns:c16="http://schemas.microsoft.com/office/drawing/2014/chart" uri="{C3380CC4-5D6E-409C-BE32-E72D297353CC}">
              <c16:uniqueId val="{00000000-7411-4AED-BFDB-6E828EA79C5F}"/>
            </c:ext>
          </c:extLst>
        </c:ser>
        <c:dLbls>
          <c:showLegendKey val="0"/>
          <c:showVal val="0"/>
          <c:showCatName val="0"/>
          <c:showSerName val="0"/>
          <c:showPercent val="0"/>
          <c:showBubbleSize val="0"/>
        </c:dLbls>
        <c:gapWidth val="150"/>
        <c:overlap val="-20"/>
        <c:axId val="1204429775"/>
        <c:axId val="1204444335"/>
      </c:barChart>
      <c:lineChart>
        <c:grouping val="standard"/>
        <c:varyColors val="0"/>
        <c:ser>
          <c:idx val="1"/>
          <c:order val="1"/>
          <c:tx>
            <c:v>Staff costs - average</c:v>
          </c:tx>
          <c:spPr>
            <a:ln w="28575" cap="rnd">
              <a:solidFill>
                <a:schemeClr val="bg1">
                  <a:lumMod val="75000"/>
                </a:schemeClr>
              </a:solidFill>
              <a:prstDash val="sysDash"/>
              <a:round/>
            </a:ln>
            <a:effectLst/>
          </c:spPr>
          <c:marker>
            <c:symbol val="none"/>
          </c:marker>
          <c:val>
            <c:numRef>
              <c:f>'2.1_data'!$L$46:$L$70</c:f>
              <c:numCache>
                <c:formatCode>0%</c:formatCode>
                <c:ptCount val="25"/>
                <c:pt idx="0">
                  <c:v>0.59727096240927413</c:v>
                </c:pt>
                <c:pt idx="1">
                  <c:v>0.59727096240927413</c:v>
                </c:pt>
                <c:pt idx="2">
                  <c:v>0.59727096240927413</c:v>
                </c:pt>
                <c:pt idx="3">
                  <c:v>0.59727096240927413</c:v>
                </c:pt>
                <c:pt idx="4">
                  <c:v>0.59727096240927413</c:v>
                </c:pt>
                <c:pt idx="5">
                  <c:v>0.59727096240927413</c:v>
                </c:pt>
                <c:pt idx="6">
                  <c:v>0.59727096240927413</c:v>
                </c:pt>
                <c:pt idx="7">
                  <c:v>0.59727096240927413</c:v>
                </c:pt>
                <c:pt idx="8">
                  <c:v>0.59727096240927413</c:v>
                </c:pt>
                <c:pt idx="9">
                  <c:v>0.59727096240927413</c:v>
                </c:pt>
                <c:pt idx="10">
                  <c:v>0.59727096240927413</c:v>
                </c:pt>
                <c:pt idx="11">
                  <c:v>0.59727096240927413</c:v>
                </c:pt>
                <c:pt idx="12">
                  <c:v>0.59727096240927413</c:v>
                </c:pt>
                <c:pt idx="13">
                  <c:v>0.59727096240927413</c:v>
                </c:pt>
                <c:pt idx="14">
                  <c:v>0.59727096240927413</c:v>
                </c:pt>
                <c:pt idx="15">
                  <c:v>0.59727096240927413</c:v>
                </c:pt>
                <c:pt idx="16">
                  <c:v>0.59727096240927413</c:v>
                </c:pt>
                <c:pt idx="17">
                  <c:v>0.59727096240927413</c:v>
                </c:pt>
                <c:pt idx="18">
                  <c:v>0.59727096240927413</c:v>
                </c:pt>
                <c:pt idx="19">
                  <c:v>0.59727096240927413</c:v>
                </c:pt>
                <c:pt idx="20">
                  <c:v>0.59727096240927413</c:v>
                </c:pt>
                <c:pt idx="21">
                  <c:v>0.59727096240927413</c:v>
                </c:pt>
                <c:pt idx="22">
                  <c:v>0.59727096240927413</c:v>
                </c:pt>
                <c:pt idx="23">
                  <c:v>0.59727096240927413</c:v>
                </c:pt>
                <c:pt idx="24">
                  <c:v>0.59727096240927413</c:v>
                </c:pt>
              </c:numCache>
            </c:numRef>
          </c:val>
          <c:smooth val="0"/>
          <c:extLst>
            <c:ext xmlns:c16="http://schemas.microsoft.com/office/drawing/2014/chart" uri="{C3380CC4-5D6E-409C-BE32-E72D297353CC}">
              <c16:uniqueId val="{00000001-7411-4AED-BFDB-6E828EA79C5F}"/>
            </c:ext>
          </c:extLst>
        </c:ser>
        <c:dLbls>
          <c:showLegendKey val="0"/>
          <c:showVal val="0"/>
          <c:showCatName val="0"/>
          <c:showSerName val="0"/>
          <c:showPercent val="0"/>
          <c:showBubbleSize val="0"/>
        </c:dLbls>
        <c:marker val="1"/>
        <c:smooth val="0"/>
        <c:axId val="1204429775"/>
        <c:axId val="1204444335"/>
      </c:lineChart>
      <c:catAx>
        <c:axId val="1204429775"/>
        <c:scaling>
          <c:orientation val="minMax"/>
        </c:scaling>
        <c:delete val="0"/>
        <c:axPos val="b"/>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sz="800" b="0" i="0" baseline="0">
                    <a:effectLst/>
                  </a:rPr>
                  <a:t>Universities (25)</a:t>
                </a:r>
                <a:endParaRPr lang="en-AU" sz="800">
                  <a:effectLst/>
                </a:endParaRPr>
              </a:p>
            </c:rich>
          </c:tx>
          <c:layout>
            <c:manualLayout>
              <c:xMode val="edge"/>
              <c:yMode val="edge"/>
              <c:x val="0.41082202637360016"/>
              <c:y val="0.91968560404019506"/>
            </c:manualLayout>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204444335"/>
        <c:crosses val="autoZero"/>
        <c:auto val="1"/>
        <c:lblAlgn val="ctr"/>
        <c:lblOffset val="100"/>
        <c:noMultiLvlLbl val="0"/>
      </c:catAx>
      <c:valAx>
        <c:axId val="1204444335"/>
        <c:scaling>
          <c:orientation val="minMax"/>
          <c:max val="1"/>
        </c:scaling>
        <c:delete val="0"/>
        <c:axPos val="l"/>
        <c:majorGridlines>
          <c:spPr>
            <a:ln w="9525" cap="flat" cmpd="sng" algn="ctr">
              <a:noFill/>
              <a:round/>
            </a:ln>
            <a:effectLst/>
          </c:spPr>
        </c:majorGridlines>
        <c:numFmt formatCode="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204429775"/>
        <c:crosses val="autoZero"/>
        <c:crossBetween val="between"/>
        <c:majorUnit val="0.2"/>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184558180227471"/>
          <c:y val="5.692514201753944E-2"/>
          <c:w val="0.83759886264216976"/>
          <c:h val="0.82787020160921299"/>
        </c:manualLayout>
      </c:layout>
      <c:barChart>
        <c:barDir val="col"/>
        <c:grouping val="clustered"/>
        <c:varyColors val="0"/>
        <c:ser>
          <c:idx val="0"/>
          <c:order val="0"/>
          <c:tx>
            <c:strRef>
              <c:f>'2.1_data'!$E$73</c:f>
              <c:strCache>
                <c:ptCount val="1"/>
                <c:pt idx="0">
                  <c:v>Cost per EFTSL</c:v>
                </c:pt>
              </c:strCache>
            </c:strRef>
          </c:tx>
          <c:spPr>
            <a:solidFill>
              <a:srgbClr val="00ABAB"/>
            </a:solidFill>
            <a:ln>
              <a:noFill/>
              <a:prstDash val="sysDash"/>
            </a:ln>
            <a:effectLst/>
          </c:spPr>
          <c:invertIfNegative val="0"/>
          <c:cat>
            <c:numRef>
              <c:f>'2.1_data'!$D$74:$D$98</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'2.1_data'!$E$74:$E$98</c:f>
              <c:numCache>
                <c:formatCode>"$"#,##0</c:formatCode>
                <c:ptCount val="25"/>
                <c:pt idx="0">
                  <c:v>14077.984874879832</c:v>
                </c:pt>
                <c:pt idx="1">
                  <c:v>14977.642659747164</c:v>
                </c:pt>
                <c:pt idx="2">
                  <c:v>15254.523964550426</c:v>
                </c:pt>
                <c:pt idx="3">
                  <c:v>15723.506097095275</c:v>
                </c:pt>
                <c:pt idx="4">
                  <c:v>15924.088912838475</c:v>
                </c:pt>
                <c:pt idx="5">
                  <c:v>16298.155023741705</c:v>
                </c:pt>
                <c:pt idx="6">
                  <c:v>16738.583761879134</c:v>
                </c:pt>
                <c:pt idx="7">
                  <c:v>16743.341705147137</c:v>
                </c:pt>
                <c:pt idx="8">
                  <c:v>17026.782682095571</c:v>
                </c:pt>
                <c:pt idx="9">
                  <c:v>17255.79031645077</c:v>
                </c:pt>
                <c:pt idx="10">
                  <c:v>17306.395103450835</c:v>
                </c:pt>
                <c:pt idx="11">
                  <c:v>17473.494775059407</c:v>
                </c:pt>
                <c:pt idx="12">
                  <c:v>17551.457792128407</c:v>
                </c:pt>
                <c:pt idx="13">
                  <c:v>18268.837155904326</c:v>
                </c:pt>
                <c:pt idx="14">
                  <c:v>18335.692243220714</c:v>
                </c:pt>
                <c:pt idx="15">
                  <c:v>18982.088609860395</c:v>
                </c:pt>
                <c:pt idx="16">
                  <c:v>19599.201874627805</c:v>
                </c:pt>
                <c:pt idx="17">
                  <c:v>19648.361350440715</c:v>
                </c:pt>
                <c:pt idx="18">
                  <c:v>20196.032987931616</c:v>
                </c:pt>
                <c:pt idx="19">
                  <c:v>20930.073588363302</c:v>
                </c:pt>
                <c:pt idx="20">
                  <c:v>21285.86478553254</c:v>
                </c:pt>
                <c:pt idx="21">
                  <c:v>21458.997361022342</c:v>
                </c:pt>
                <c:pt idx="22">
                  <c:v>22860.775196259034</c:v>
                </c:pt>
                <c:pt idx="23">
                  <c:v>23135.457884758845</c:v>
                </c:pt>
                <c:pt idx="24">
                  <c:v>24410.236696858581</c:v>
                </c:pt>
              </c:numCache>
            </c:numRef>
          </c:val>
          <c:extLst>
            <c:ext xmlns:c16="http://schemas.microsoft.com/office/drawing/2014/chart" uri="{C3380CC4-5D6E-409C-BE32-E72D297353CC}">
              <c16:uniqueId val="{00000000-443A-4825-86F6-79D005947E20}"/>
            </c:ext>
          </c:extLst>
        </c:ser>
        <c:dLbls>
          <c:showLegendKey val="0"/>
          <c:showVal val="0"/>
          <c:showCatName val="0"/>
          <c:showSerName val="0"/>
          <c:showPercent val="0"/>
          <c:showBubbleSize val="0"/>
        </c:dLbls>
        <c:gapWidth val="150"/>
        <c:axId val="580713951"/>
        <c:axId val="580714783"/>
      </c:barChart>
      <c:lineChart>
        <c:grouping val="standard"/>
        <c:varyColors val="0"/>
        <c:ser>
          <c:idx val="2"/>
          <c:order val="1"/>
          <c:tx>
            <c:strRef>
              <c:f>'2.1_data'!$F$73</c:f>
              <c:strCache>
                <c:ptCount val="1"/>
                <c:pt idx="0">
                  <c:v>Mean</c:v>
                </c:pt>
              </c:strCache>
            </c:strRef>
          </c:tx>
          <c:spPr>
            <a:ln w="28575" cap="rnd">
              <a:solidFill>
                <a:schemeClr val="bg1">
                  <a:lumMod val="75000"/>
                </a:schemeClr>
              </a:solidFill>
              <a:prstDash val="sysDash"/>
              <a:round/>
            </a:ln>
            <a:effectLst/>
          </c:spPr>
          <c:marker>
            <c:symbol val="none"/>
          </c:marker>
          <c:cat>
            <c:numRef>
              <c:f>'2.1_data'!$D$74:$D$98</c:f>
              <c:numCache>
                <c:formatCode>General</c:formatCode>
                <c:ptCount val="25"/>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numCache>
            </c:numRef>
          </c:cat>
          <c:val>
            <c:numRef>
              <c:f>'2.1_data'!$F$74:$F$98</c:f>
              <c:numCache>
                <c:formatCode>"$"#,##0</c:formatCode>
                <c:ptCount val="25"/>
                <c:pt idx="0">
                  <c:v>18375.849840273168</c:v>
                </c:pt>
                <c:pt idx="1">
                  <c:v>18375.849840273168</c:v>
                </c:pt>
                <c:pt idx="2">
                  <c:v>18375.849840273168</c:v>
                </c:pt>
                <c:pt idx="3">
                  <c:v>18375.849840273168</c:v>
                </c:pt>
                <c:pt idx="4">
                  <c:v>18375.849840273168</c:v>
                </c:pt>
                <c:pt idx="5">
                  <c:v>18375.849840273168</c:v>
                </c:pt>
                <c:pt idx="6">
                  <c:v>18375.849840273168</c:v>
                </c:pt>
                <c:pt idx="7">
                  <c:v>18375.849840273168</c:v>
                </c:pt>
                <c:pt idx="8">
                  <c:v>18375.849840273168</c:v>
                </c:pt>
                <c:pt idx="9">
                  <c:v>18375.849840273168</c:v>
                </c:pt>
                <c:pt idx="10">
                  <c:v>18375.849840273168</c:v>
                </c:pt>
                <c:pt idx="11">
                  <c:v>18375.849840273168</c:v>
                </c:pt>
                <c:pt idx="12">
                  <c:v>18375.849840273168</c:v>
                </c:pt>
                <c:pt idx="13">
                  <c:v>18375.849840273168</c:v>
                </c:pt>
                <c:pt idx="14">
                  <c:v>18375.849840273168</c:v>
                </c:pt>
                <c:pt idx="15">
                  <c:v>18375.849840273168</c:v>
                </c:pt>
                <c:pt idx="16">
                  <c:v>18375.849840273168</c:v>
                </c:pt>
                <c:pt idx="17">
                  <c:v>18375.849840273168</c:v>
                </c:pt>
                <c:pt idx="18">
                  <c:v>18375.849840273168</c:v>
                </c:pt>
                <c:pt idx="19">
                  <c:v>18375.849840273168</c:v>
                </c:pt>
                <c:pt idx="20">
                  <c:v>18375.849840273168</c:v>
                </c:pt>
                <c:pt idx="21">
                  <c:v>18375.849840273168</c:v>
                </c:pt>
                <c:pt idx="22">
                  <c:v>18375.849840273168</c:v>
                </c:pt>
                <c:pt idx="23">
                  <c:v>18375.849840273168</c:v>
                </c:pt>
                <c:pt idx="24">
                  <c:v>18375.849840273168</c:v>
                </c:pt>
              </c:numCache>
            </c:numRef>
          </c:val>
          <c:smooth val="0"/>
          <c:extLst>
            <c:ext xmlns:c16="http://schemas.microsoft.com/office/drawing/2014/chart" uri="{C3380CC4-5D6E-409C-BE32-E72D297353CC}">
              <c16:uniqueId val="{00000001-443A-4825-86F6-79D005947E20}"/>
            </c:ext>
          </c:extLst>
        </c:ser>
        <c:dLbls>
          <c:showLegendKey val="0"/>
          <c:showVal val="0"/>
          <c:showCatName val="0"/>
          <c:showSerName val="0"/>
          <c:showPercent val="0"/>
          <c:showBubbleSize val="0"/>
        </c:dLbls>
        <c:marker val="1"/>
        <c:smooth val="0"/>
        <c:axId val="580713951"/>
        <c:axId val="580714783"/>
        <c:extLst/>
      </c:lineChart>
      <c:catAx>
        <c:axId val="580713951"/>
        <c:scaling>
          <c:orientation val="minMax"/>
        </c:scaling>
        <c:delete val="0"/>
        <c:axPos val="b"/>
        <c:title>
          <c:tx>
            <c:rich>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r>
                  <a:rPr lang="en-AU"/>
                  <a:t>Universities (25)</a:t>
                </a:r>
              </a:p>
            </c:rich>
          </c:tx>
          <c:layout>
            <c:manualLayout>
              <c:xMode val="edge"/>
              <c:yMode val="edge"/>
              <c:x val="0.42065161927716072"/>
              <c:y val="0.91898171632816816"/>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bg1"/>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4783"/>
        <c:crosses val="autoZero"/>
        <c:auto val="1"/>
        <c:lblAlgn val="ctr"/>
        <c:lblOffset val="100"/>
        <c:noMultiLvlLbl val="0"/>
      </c:catAx>
      <c:valAx>
        <c:axId val="580714783"/>
        <c:scaling>
          <c:orientation val="minMax"/>
          <c:max val="25000"/>
        </c:scaling>
        <c:delete val="0"/>
        <c:axPos val="l"/>
        <c:majorGridlines>
          <c:spPr>
            <a:ln w="9525" cap="flat" cmpd="sng" algn="ctr">
              <a:noFill/>
              <a:round/>
            </a:ln>
            <a:effectLst/>
          </c:spPr>
        </c:majorGridlines>
        <c:numFmt formatCode="&quot;$&quot;#,##0"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580713951"/>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userShapes r:id="rId4"/>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'2.2_data'!$A$6</c:f>
              <c:strCache>
                <c:ptCount val="1"/>
                <c:pt idx="0">
                  <c:v>Sub-bachelor</c:v>
                </c:pt>
              </c:strCache>
            </c:strRef>
          </c:tx>
          <c:spPr>
            <a:solidFill>
              <a:srgbClr val="00ABAB"/>
            </a:solidFill>
            <a:ln>
              <a:noFill/>
            </a:ln>
            <a:effectLst/>
          </c:spPr>
          <c:invertIfNegative val="0"/>
          <c:cat>
            <c:strRef>
              <c:f>'2.2_data'!$B$5:$W$5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'2.2_data'!$B$6:$W$6</c:f>
              <c:numCache>
                <c:formatCode>General</c:formatCode>
                <c:ptCount val="22"/>
                <c:pt idx="0">
                  <c:v>16</c:v>
                </c:pt>
                <c:pt idx="1">
                  <c:v>0</c:v>
                </c:pt>
                <c:pt idx="2">
                  <c:v>13</c:v>
                </c:pt>
                <c:pt idx="3">
                  <c:v>8</c:v>
                </c:pt>
                <c:pt idx="4">
                  <c:v>7</c:v>
                </c:pt>
                <c:pt idx="5">
                  <c:v>5</c:v>
                </c:pt>
                <c:pt idx="6">
                  <c:v>3</c:v>
                </c:pt>
                <c:pt idx="7">
                  <c:v>2</c:v>
                </c:pt>
                <c:pt idx="8">
                  <c:v>0</c:v>
                </c:pt>
                <c:pt idx="9">
                  <c:v>3</c:v>
                </c:pt>
                <c:pt idx="10">
                  <c:v>0</c:v>
                </c:pt>
                <c:pt idx="11">
                  <c:v>0</c:v>
                </c:pt>
                <c:pt idx="12">
                  <c:v>5</c:v>
                </c:pt>
                <c:pt idx="13">
                  <c:v>9</c:v>
                </c:pt>
                <c:pt idx="14">
                  <c:v>12</c:v>
                </c:pt>
                <c:pt idx="15">
                  <c:v>13</c:v>
                </c:pt>
                <c:pt idx="16">
                  <c:v>6</c:v>
                </c:pt>
                <c:pt idx="17">
                  <c:v>18</c:v>
                </c:pt>
                <c:pt idx="18">
                  <c:v>11</c:v>
                </c:pt>
                <c:pt idx="19">
                  <c:v>12</c:v>
                </c:pt>
                <c:pt idx="20">
                  <c:v>0</c:v>
                </c:pt>
                <c:pt idx="21">
                  <c:v>1</c:v>
                </c:pt>
              </c:numCache>
            </c:numRef>
          </c:val>
          <c:extLst>
            <c:ext xmlns:c16="http://schemas.microsoft.com/office/drawing/2014/chart" uri="{C3380CC4-5D6E-409C-BE32-E72D297353CC}">
              <c16:uniqueId val="{00000000-78E6-429E-819A-01E922AEB975}"/>
            </c:ext>
          </c:extLst>
        </c:ser>
        <c:ser>
          <c:idx val="1"/>
          <c:order val="1"/>
          <c:tx>
            <c:strRef>
              <c:f>'2.2_data'!$A$7</c:f>
              <c:strCache>
                <c:ptCount val="1"/>
                <c:pt idx="0">
                  <c:v>Bachelor</c:v>
                </c:pt>
              </c:strCache>
            </c:strRef>
          </c:tx>
          <c:spPr>
            <a:solidFill>
              <a:schemeClr val="bg1">
                <a:lumMod val="75000"/>
              </a:schemeClr>
            </a:solidFill>
            <a:ln>
              <a:noFill/>
            </a:ln>
            <a:effectLst/>
          </c:spPr>
          <c:invertIfNegative val="0"/>
          <c:cat>
            <c:strRef>
              <c:f>'2.2_data'!$B$5:$W$5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'2.2_data'!$B$7:$W$7</c:f>
              <c:numCache>
                <c:formatCode>General</c:formatCode>
                <c:ptCount val="22"/>
                <c:pt idx="0">
                  <c:v>25</c:v>
                </c:pt>
                <c:pt idx="1">
                  <c:v>21</c:v>
                </c:pt>
                <c:pt idx="2">
                  <c:v>25</c:v>
                </c:pt>
                <c:pt idx="3">
                  <c:v>25</c:v>
                </c:pt>
                <c:pt idx="4">
                  <c:v>25</c:v>
                </c:pt>
                <c:pt idx="5">
                  <c:v>20</c:v>
                </c:pt>
                <c:pt idx="6">
                  <c:v>24</c:v>
                </c:pt>
                <c:pt idx="7">
                  <c:v>15</c:v>
                </c:pt>
                <c:pt idx="8">
                  <c:v>20</c:v>
                </c:pt>
                <c:pt idx="9">
                  <c:v>23</c:v>
                </c:pt>
                <c:pt idx="10">
                  <c:v>8</c:v>
                </c:pt>
                <c:pt idx="11">
                  <c:v>6</c:v>
                </c:pt>
                <c:pt idx="12">
                  <c:v>25</c:v>
                </c:pt>
                <c:pt idx="13">
                  <c:v>25</c:v>
                </c:pt>
                <c:pt idx="14">
                  <c:v>25</c:v>
                </c:pt>
                <c:pt idx="15">
                  <c:v>21</c:v>
                </c:pt>
                <c:pt idx="16">
                  <c:v>25</c:v>
                </c:pt>
                <c:pt idx="17">
                  <c:v>25</c:v>
                </c:pt>
                <c:pt idx="18">
                  <c:v>25</c:v>
                </c:pt>
                <c:pt idx="19">
                  <c:v>25</c:v>
                </c:pt>
                <c:pt idx="20">
                  <c:v>4</c:v>
                </c:pt>
                <c:pt idx="21">
                  <c:v>2</c:v>
                </c:pt>
              </c:numCache>
            </c:numRef>
          </c:val>
          <c:extLst>
            <c:ext xmlns:c16="http://schemas.microsoft.com/office/drawing/2014/chart" uri="{C3380CC4-5D6E-409C-BE32-E72D297353CC}">
              <c16:uniqueId val="{00000001-78E6-429E-819A-01E922AEB975}"/>
            </c:ext>
          </c:extLst>
        </c:ser>
        <c:ser>
          <c:idx val="2"/>
          <c:order val="2"/>
          <c:tx>
            <c:strRef>
              <c:f>'2.2_data'!$A$8</c:f>
              <c:strCache>
                <c:ptCount val="1"/>
                <c:pt idx="0">
                  <c:v>Postgraduate</c:v>
                </c:pt>
              </c:strCache>
            </c:strRef>
          </c:tx>
          <c:spPr>
            <a:solidFill>
              <a:schemeClr val="tx2"/>
            </a:solidFill>
            <a:ln>
              <a:noFill/>
            </a:ln>
            <a:effectLst/>
          </c:spPr>
          <c:invertIfNegative val="0"/>
          <c:cat>
            <c:strRef>
              <c:f>'2.2_data'!$B$5:$W$5</c:f>
              <c:strCache>
                <c:ptCount val="22"/>
                <c:pt idx="0">
                  <c:v>MathSci</c:v>
                </c:pt>
                <c:pt idx="1">
                  <c:v>MedicalSci</c:v>
                </c:pt>
                <c:pt idx="2">
                  <c:v>OthNat-PhysSci</c:v>
                </c:pt>
                <c:pt idx="3">
                  <c:v>InfoTech</c:v>
                </c:pt>
                <c:pt idx="4">
                  <c:v>Eng&amp;Related</c:v>
                </c:pt>
                <c:pt idx="5">
                  <c:v>Archi&amp;Build</c:v>
                </c:pt>
                <c:pt idx="6">
                  <c:v>Environment</c:v>
                </c:pt>
                <c:pt idx="7">
                  <c:v>OthAg&amp;Enviro</c:v>
                </c:pt>
                <c:pt idx="8">
                  <c:v>MedicalStudies</c:v>
                </c:pt>
                <c:pt idx="9">
                  <c:v>Nursing</c:v>
                </c:pt>
                <c:pt idx="10">
                  <c:v>Dental</c:v>
                </c:pt>
                <c:pt idx="11">
                  <c:v>Veterinary</c:v>
                </c:pt>
                <c:pt idx="12">
                  <c:v>OthHealth</c:v>
                </c:pt>
                <c:pt idx="13">
                  <c:v>Education</c:v>
                </c:pt>
                <c:pt idx="14">
                  <c:v>Mgmt&amp;Comm</c:v>
                </c:pt>
                <c:pt idx="15">
                  <c:v>ForeignLang</c:v>
                </c:pt>
                <c:pt idx="16">
                  <c:v>Psych</c:v>
                </c:pt>
                <c:pt idx="17">
                  <c:v>OtherSoc&amp;Cult</c:v>
                </c:pt>
                <c:pt idx="18">
                  <c:v>Comms&amp;Media</c:v>
                </c:pt>
                <c:pt idx="19">
                  <c:v>OthCreative</c:v>
                </c:pt>
                <c:pt idx="20">
                  <c:v>FoodHosp&amp;Person</c:v>
                </c:pt>
                <c:pt idx="21">
                  <c:v>MixedField</c:v>
                </c:pt>
              </c:strCache>
            </c:strRef>
          </c:cat>
          <c:val>
            <c:numRef>
              <c:f>'2.2_data'!$B$8:$W$8</c:f>
              <c:numCache>
                <c:formatCode>General</c:formatCode>
                <c:ptCount val="22"/>
                <c:pt idx="0">
                  <c:v>20</c:v>
                </c:pt>
                <c:pt idx="1">
                  <c:v>10</c:v>
                </c:pt>
                <c:pt idx="2">
                  <c:v>22</c:v>
                </c:pt>
                <c:pt idx="3">
                  <c:v>24</c:v>
                </c:pt>
                <c:pt idx="4">
                  <c:v>23</c:v>
                </c:pt>
                <c:pt idx="5">
                  <c:v>15</c:v>
                </c:pt>
                <c:pt idx="6">
                  <c:v>17</c:v>
                </c:pt>
                <c:pt idx="7">
                  <c:v>11</c:v>
                </c:pt>
                <c:pt idx="8">
                  <c:v>14</c:v>
                </c:pt>
                <c:pt idx="9">
                  <c:v>22</c:v>
                </c:pt>
                <c:pt idx="10">
                  <c:v>7</c:v>
                </c:pt>
                <c:pt idx="11">
                  <c:v>3</c:v>
                </c:pt>
                <c:pt idx="12">
                  <c:v>24</c:v>
                </c:pt>
                <c:pt idx="13">
                  <c:v>24</c:v>
                </c:pt>
                <c:pt idx="14">
                  <c:v>24</c:v>
                </c:pt>
                <c:pt idx="15">
                  <c:v>8</c:v>
                </c:pt>
                <c:pt idx="16">
                  <c:v>23</c:v>
                </c:pt>
                <c:pt idx="17">
                  <c:v>24</c:v>
                </c:pt>
                <c:pt idx="18">
                  <c:v>18</c:v>
                </c:pt>
                <c:pt idx="19">
                  <c:v>14</c:v>
                </c:pt>
                <c:pt idx="20">
                  <c:v>1</c:v>
                </c:pt>
                <c:pt idx="21">
                  <c:v>2</c:v>
                </c:pt>
              </c:numCache>
            </c:numRef>
          </c:val>
          <c:extLst>
            <c:ext xmlns:c16="http://schemas.microsoft.com/office/drawing/2014/chart" uri="{C3380CC4-5D6E-409C-BE32-E72D297353CC}">
              <c16:uniqueId val="{00000002-78E6-429E-819A-01E922AEB975}"/>
            </c:ext>
          </c:extLst>
        </c:ser>
        <c:dLbls>
          <c:showLegendKey val="0"/>
          <c:showVal val="0"/>
          <c:showCatName val="0"/>
          <c:showSerName val="0"/>
          <c:showPercent val="0"/>
          <c:showBubbleSize val="0"/>
        </c:dLbls>
        <c:gapWidth val="219"/>
        <c:overlap val="-27"/>
        <c:axId val="1342594959"/>
        <c:axId val="1342597455"/>
      </c:barChart>
      <c:catAx>
        <c:axId val="1342594959"/>
        <c:scaling>
          <c:orientation val="minMax"/>
        </c:scaling>
        <c:delete val="0"/>
        <c:axPos val="b"/>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7455"/>
        <c:crosses val="autoZero"/>
        <c:auto val="1"/>
        <c:lblAlgn val="ctr"/>
        <c:lblOffset val="100"/>
        <c:noMultiLvlLbl val="0"/>
      </c:catAx>
      <c:valAx>
        <c:axId val="1342597455"/>
        <c:scaling>
          <c:orientation val="minMax"/>
          <c:max val="25"/>
        </c:scaling>
        <c:delete val="0"/>
        <c:axPos val="l"/>
        <c:majorGridlines>
          <c:spPr>
            <a:ln w="9525" cap="flat" cmpd="sng" algn="ctr">
              <a:noFill/>
              <a:round/>
            </a:ln>
            <a:effectLst/>
          </c:spPr>
        </c:majorGridlines>
        <c:numFmt formatCode="General" sourceLinked="1"/>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crossAx val="134259495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legend>
    <c:plotVisOnly val="1"/>
    <c:dispBlanksAs val="gap"/>
    <c:showDLblsOverMax val="0"/>
  </c:chart>
  <c:spPr>
    <a:solidFill>
      <a:schemeClr val="bg1"/>
    </a:solidFill>
    <a:ln w="9525" cap="flat" cmpd="sng" algn="ctr">
      <a:noFill/>
      <a:round/>
    </a:ln>
    <a:effectLst/>
  </c:spPr>
  <c:txPr>
    <a:bodyPr/>
    <a:lstStyle/>
    <a:p>
      <a:pPr>
        <a:defRPr sz="800">
          <a:solidFill>
            <a:sysClr val="windowText" lastClr="000000"/>
          </a:solidFill>
          <a:latin typeface="Verdana" panose="020B0604030504040204" pitchFamily="34" charset="0"/>
          <a:ea typeface="Verdana" panose="020B0604030504040204" pitchFamily="34" charset="0"/>
          <a:cs typeface="Verdana" panose="020B060403050404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0.10534</cdr:x>
      <cdr:y>0.30772</cdr:y>
    </cdr:from>
    <cdr:to>
      <cdr:x>0.37242</cdr:x>
      <cdr:y>0.38702</cdr:y>
    </cdr:to>
    <cdr:sp macro="" textlink="">
      <cdr:nvSpPr>
        <cdr:cNvPr id="3" name="TextBox 10"/>
        <cdr:cNvSpPr txBox="1"/>
      </cdr:nvSpPr>
      <cdr:spPr>
        <a:xfrm xmlns:a="http://schemas.openxmlformats.org/drawingml/2006/main">
          <a:off x="550541" y="881986"/>
          <a:ext cx="1395872" cy="227290"/>
        </a:xfrm>
        <a:prstGeom xmlns:a="http://schemas.openxmlformats.org/drawingml/2006/main" prst="rect">
          <a:avLst/>
        </a:prstGeom>
        <a:noFill xmlns:a="http://schemas.openxmlformats.org/drawingml/2006/main"/>
        <a:ln xmlns:a="http://schemas.openxmlformats.org/drawingml/2006/main" w="9525" cmpd="sng">
          <a:noFill/>
        </a:ln>
      </cdr:spPr>
      <cdr:styl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minor">
          <a:schemeClr val="dk1"/>
        </a:fontRef>
      </cdr:style>
      <cdr:txBody>
        <a:bodyPr xmlns:a="http://schemas.openxmlformats.org/drawingml/2006/main" wrap="square" rtlCol="0" anchor="t"/>
        <a:lstStyle xmlns:a="http://schemas.openxmlformats.org/drawingml/2006/main">
          <a:lvl1pPr marL="0" indent="0">
            <a:defRPr sz="1100">
              <a:solidFill>
                <a:schemeClr val="dk1"/>
              </a:solidFill>
              <a:latin typeface="+mn-lt"/>
              <a:ea typeface="+mn-ea"/>
              <a:cs typeface="+mn-cs"/>
            </a:defRPr>
          </a:lvl1pPr>
          <a:lvl2pPr marL="457200" indent="0">
            <a:defRPr sz="1100">
              <a:solidFill>
                <a:schemeClr val="dk1"/>
              </a:solidFill>
              <a:latin typeface="+mn-lt"/>
              <a:ea typeface="+mn-ea"/>
              <a:cs typeface="+mn-cs"/>
            </a:defRPr>
          </a:lvl2pPr>
          <a:lvl3pPr marL="914400" indent="0">
            <a:defRPr sz="1100">
              <a:solidFill>
                <a:schemeClr val="dk1"/>
              </a:solidFill>
              <a:latin typeface="+mn-lt"/>
              <a:ea typeface="+mn-ea"/>
              <a:cs typeface="+mn-cs"/>
            </a:defRPr>
          </a:lvl3pPr>
          <a:lvl4pPr marL="1371600" indent="0">
            <a:defRPr sz="1100">
              <a:solidFill>
                <a:schemeClr val="dk1"/>
              </a:solidFill>
              <a:latin typeface="+mn-lt"/>
              <a:ea typeface="+mn-ea"/>
              <a:cs typeface="+mn-cs"/>
            </a:defRPr>
          </a:lvl4pPr>
          <a:lvl5pPr marL="1828800" indent="0">
            <a:defRPr sz="1100">
              <a:solidFill>
                <a:schemeClr val="dk1"/>
              </a:solidFill>
              <a:latin typeface="+mn-lt"/>
              <a:ea typeface="+mn-ea"/>
              <a:cs typeface="+mn-cs"/>
            </a:defRPr>
          </a:lvl5pPr>
          <a:lvl6pPr marL="2286000" indent="0">
            <a:defRPr sz="1100">
              <a:solidFill>
                <a:schemeClr val="dk1"/>
              </a:solidFill>
              <a:latin typeface="+mn-lt"/>
              <a:ea typeface="+mn-ea"/>
              <a:cs typeface="+mn-cs"/>
            </a:defRPr>
          </a:lvl6pPr>
          <a:lvl7pPr marL="2743200" indent="0">
            <a:defRPr sz="1100">
              <a:solidFill>
                <a:schemeClr val="dk1"/>
              </a:solidFill>
              <a:latin typeface="+mn-lt"/>
              <a:ea typeface="+mn-ea"/>
              <a:cs typeface="+mn-cs"/>
            </a:defRPr>
          </a:lvl7pPr>
          <a:lvl8pPr marL="3200400" indent="0">
            <a:defRPr sz="1100">
              <a:solidFill>
                <a:schemeClr val="dk1"/>
              </a:solidFill>
              <a:latin typeface="+mn-lt"/>
              <a:ea typeface="+mn-ea"/>
              <a:cs typeface="+mn-cs"/>
            </a:defRPr>
          </a:lvl8pPr>
          <a:lvl9pPr marL="3657600" indent="0">
            <a:defRPr sz="1100">
              <a:solidFill>
                <a:schemeClr val="dk1"/>
              </a:solidFill>
              <a:latin typeface="+mn-lt"/>
              <a:ea typeface="+mn-ea"/>
              <a:cs typeface="+mn-cs"/>
            </a:defRPr>
          </a:lvl9pPr>
        </a:lstStyle>
        <a:p xmlns:a="http://schemas.openxmlformats.org/drawingml/2006/main">
          <a:fld id="{ABF59E02-8154-4425-8E0A-EE07D51576B9}" type="TxLink">
            <a:rPr lang="en-US" sz="800" b="0" i="0" u="none" strike="noStrike">
              <a:solidFill>
                <a:srgbClr val="000000"/>
              </a:solidFill>
              <a:latin typeface="Verdana" panose="020B0604030504040204" pitchFamily="34" charset="0"/>
              <a:ea typeface="Verdana" panose="020B0604030504040204" pitchFamily="34" charset="0"/>
              <a:cs typeface="Verdana" panose="020B0604030504040204" pitchFamily="34" charset="0"/>
            </a:rPr>
            <a:pPr/>
            <a:t>Average: 60%</a:t>
          </a:fld>
          <a:endParaRPr lang="en-AU"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0.13526</cdr:x>
      <cdr:y>0.18947</cdr:y>
    </cdr:from>
    <cdr:to>
      <cdr:x>0.67987</cdr:x>
      <cdr:y>0.26551</cdr:y>
    </cdr:to>
    <cdr:sp macro="" textlink="">
      <cdr:nvSpPr>
        <cdr:cNvPr id="2" name="TextBox 1"/>
        <cdr:cNvSpPr txBox="1"/>
      </cdr:nvSpPr>
      <cdr:spPr>
        <a:xfrm xmlns:a="http://schemas.openxmlformats.org/drawingml/2006/main">
          <a:off x="622939" y="534113"/>
          <a:ext cx="2508174" cy="214358"/>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fld id="{50963F5F-119C-436C-AFE3-A2D18227DD8F}" type="TxLink">
            <a:rPr lang="en-US" sz="800" b="0" i="0" u="none" strike="noStrike">
              <a:solidFill>
                <a:srgbClr val="000000"/>
              </a:solidFill>
              <a:latin typeface="Verdana" panose="020B0604030504040204" pitchFamily="34" charset="0"/>
              <a:ea typeface="Verdana" panose="020B0604030504040204" pitchFamily="34" charset="0"/>
              <a:cs typeface="Verdana" panose="020B0604030504040204" pitchFamily="34" charset="0"/>
            </a:rPr>
            <a:pPr/>
            <a:t>Average: $18,400</a:t>
          </a:fld>
          <a:endParaRPr lang="en-US" sz="800">
            <a:latin typeface="Verdana" panose="020B0604030504040204" pitchFamily="34" charset="0"/>
            <a:ea typeface="Verdana" panose="020B0604030504040204" pitchFamily="34" charset="0"/>
            <a:cs typeface="Verdana" panose="020B0604030504040204" pitchFamily="34" charset="0"/>
          </a:endParaRPr>
        </a:p>
      </cdr:txBody>
    </cdr: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0FB5E9C79748E18DABFD65734C759E"/>
        <w:category>
          <w:name w:val="Generelt"/>
          <w:gallery w:val="placeholder"/>
        </w:category>
        <w:types>
          <w:type w:val="bbPlcHdr"/>
        </w:types>
        <w:behaviors>
          <w:behavior w:val="content"/>
        </w:behaviors>
        <w:guid w:val="{D87DEE00-99C3-4523-9230-AAEAAE42F3AA}"/>
      </w:docPartPr>
      <w:docPartBody>
        <w:p w:rsidR="00CB5D53" w:rsidRDefault="0031761E" w:rsidP="0031761E">
          <w:pPr>
            <w:pStyle w:val="320FB5E9C79748E18DABFD65734C759E"/>
          </w:pPr>
          <w:r>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Gotham Bold">
    <w:altName w:val="Times New Roman"/>
    <w:panose1 w:val="00000000000000000000"/>
    <w:charset w:val="00"/>
    <w:family w:val="modern"/>
    <w:notTrueType/>
    <w:pitch w:val="variable"/>
    <w:sig w:usb0="A10000FF" w:usb1="4000005B" w:usb2="00000000" w:usb3="00000000" w:csb0="0000009B" w:csb1="00000000"/>
  </w:font>
  <w:font w:name="Wingdings 3">
    <w:panose1 w:val="05040102010807070707"/>
    <w:charset w:val="02"/>
    <w:family w:val="roman"/>
    <w:pitch w:val="variable"/>
    <w:sig w:usb0="00000000" w:usb1="10000000" w:usb2="00000000" w:usb3="00000000" w:csb0="80000000" w:csb1="00000000"/>
  </w:font>
  <w:font w:name="MingLiU">
    <w:altName w:val="細明體"/>
    <w:panose1 w:val="02010609000101010101"/>
    <w:charset w:val="88"/>
    <w:family w:val="modern"/>
    <w:notTrueType/>
    <w:pitch w:val="fixed"/>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OpenSans-Bold">
    <w:panose1 w:val="00000000000000000000"/>
    <w:charset w:val="4D"/>
    <w:family w:val="auto"/>
    <w:notTrueType/>
    <w:pitch w:val="default"/>
    <w:sig w:usb0="00000003" w:usb1="00000000" w:usb2="00000000" w:usb3="00000000" w:csb0="00000001" w:csb1="00000000"/>
  </w:font>
  <w:font w:name="PMingLiU">
    <w:altName w:val="Microsoft JhengHei"/>
    <w:panose1 w:val="02010601000101010101"/>
    <w:charset w:val="88"/>
    <w:family w:val="auto"/>
    <w:notTrueType/>
    <w:pitch w:val="variable"/>
    <w:sig w:usb0="00000001" w:usb1="08080000" w:usb2="00000010" w:usb3="00000000" w:csb0="00100000"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5316"/>
    <w:rsid w:val="00000730"/>
    <w:rsid w:val="00004A62"/>
    <w:rsid w:val="0002423C"/>
    <w:rsid w:val="00042400"/>
    <w:rsid w:val="00045635"/>
    <w:rsid w:val="00052F1D"/>
    <w:rsid w:val="00053F5C"/>
    <w:rsid w:val="00087772"/>
    <w:rsid w:val="00095316"/>
    <w:rsid w:val="000A0C69"/>
    <w:rsid w:val="000B02F3"/>
    <w:rsid w:val="000B1545"/>
    <w:rsid w:val="000C06D1"/>
    <w:rsid w:val="000C1FD2"/>
    <w:rsid w:val="000C4A97"/>
    <w:rsid w:val="000D6AD7"/>
    <w:rsid w:val="000D6ADB"/>
    <w:rsid w:val="001023D9"/>
    <w:rsid w:val="0010281D"/>
    <w:rsid w:val="001177F4"/>
    <w:rsid w:val="00121DD3"/>
    <w:rsid w:val="00122175"/>
    <w:rsid w:val="001239DD"/>
    <w:rsid w:val="00124B3E"/>
    <w:rsid w:val="00125B6D"/>
    <w:rsid w:val="001300FD"/>
    <w:rsid w:val="00132E75"/>
    <w:rsid w:val="00133465"/>
    <w:rsid w:val="001478DE"/>
    <w:rsid w:val="00161694"/>
    <w:rsid w:val="00165121"/>
    <w:rsid w:val="001805F4"/>
    <w:rsid w:val="00181B33"/>
    <w:rsid w:val="00183C82"/>
    <w:rsid w:val="00185354"/>
    <w:rsid w:val="00190694"/>
    <w:rsid w:val="0019500D"/>
    <w:rsid w:val="001A34FC"/>
    <w:rsid w:val="001B537B"/>
    <w:rsid w:val="001C5B11"/>
    <w:rsid w:val="001D1984"/>
    <w:rsid w:val="001D58EB"/>
    <w:rsid w:val="001E1659"/>
    <w:rsid w:val="001F229B"/>
    <w:rsid w:val="001F6995"/>
    <w:rsid w:val="00212EC0"/>
    <w:rsid w:val="002375D7"/>
    <w:rsid w:val="002559F9"/>
    <w:rsid w:val="00263C07"/>
    <w:rsid w:val="002761AC"/>
    <w:rsid w:val="00281D58"/>
    <w:rsid w:val="00287A03"/>
    <w:rsid w:val="00292BFA"/>
    <w:rsid w:val="00294F3A"/>
    <w:rsid w:val="002B3451"/>
    <w:rsid w:val="002E35F7"/>
    <w:rsid w:val="0031761E"/>
    <w:rsid w:val="003430E2"/>
    <w:rsid w:val="00343876"/>
    <w:rsid w:val="00361108"/>
    <w:rsid w:val="00393EF7"/>
    <w:rsid w:val="003A7A5D"/>
    <w:rsid w:val="003C67CE"/>
    <w:rsid w:val="003F09DF"/>
    <w:rsid w:val="003F3C7E"/>
    <w:rsid w:val="00441B51"/>
    <w:rsid w:val="004465E1"/>
    <w:rsid w:val="004679F0"/>
    <w:rsid w:val="004813A0"/>
    <w:rsid w:val="00482D02"/>
    <w:rsid w:val="00491EFA"/>
    <w:rsid w:val="00491F04"/>
    <w:rsid w:val="004940AE"/>
    <w:rsid w:val="004A04C2"/>
    <w:rsid w:val="004B00FB"/>
    <w:rsid w:val="004B5757"/>
    <w:rsid w:val="00500ACA"/>
    <w:rsid w:val="00513330"/>
    <w:rsid w:val="00535ED4"/>
    <w:rsid w:val="00540F95"/>
    <w:rsid w:val="00542BBD"/>
    <w:rsid w:val="0054506B"/>
    <w:rsid w:val="00551B65"/>
    <w:rsid w:val="0055778D"/>
    <w:rsid w:val="00573F6E"/>
    <w:rsid w:val="005E7B31"/>
    <w:rsid w:val="005F28C0"/>
    <w:rsid w:val="005F6DDB"/>
    <w:rsid w:val="00640ADC"/>
    <w:rsid w:val="006470E2"/>
    <w:rsid w:val="0069622D"/>
    <w:rsid w:val="006A25BF"/>
    <w:rsid w:val="006A6B81"/>
    <w:rsid w:val="006B572E"/>
    <w:rsid w:val="006E4014"/>
    <w:rsid w:val="006E7B05"/>
    <w:rsid w:val="00757A1C"/>
    <w:rsid w:val="00771945"/>
    <w:rsid w:val="00784389"/>
    <w:rsid w:val="007849C3"/>
    <w:rsid w:val="007879F9"/>
    <w:rsid w:val="00796DBB"/>
    <w:rsid w:val="007B49A8"/>
    <w:rsid w:val="007B55A1"/>
    <w:rsid w:val="007D4F97"/>
    <w:rsid w:val="007F072E"/>
    <w:rsid w:val="008219EA"/>
    <w:rsid w:val="00832EEC"/>
    <w:rsid w:val="00845B0C"/>
    <w:rsid w:val="00846FD8"/>
    <w:rsid w:val="00896A18"/>
    <w:rsid w:val="008A7681"/>
    <w:rsid w:val="008B1C95"/>
    <w:rsid w:val="008B7B16"/>
    <w:rsid w:val="008D2EB2"/>
    <w:rsid w:val="008D6FFA"/>
    <w:rsid w:val="00941C67"/>
    <w:rsid w:val="009441BF"/>
    <w:rsid w:val="009548AB"/>
    <w:rsid w:val="009652B6"/>
    <w:rsid w:val="0097450F"/>
    <w:rsid w:val="009759D7"/>
    <w:rsid w:val="009879C1"/>
    <w:rsid w:val="009A330A"/>
    <w:rsid w:val="009B5FB9"/>
    <w:rsid w:val="009D12B1"/>
    <w:rsid w:val="009E397B"/>
    <w:rsid w:val="009E672E"/>
    <w:rsid w:val="009F4E76"/>
    <w:rsid w:val="00A10BB3"/>
    <w:rsid w:val="00A45B68"/>
    <w:rsid w:val="00A5146E"/>
    <w:rsid w:val="00A5618E"/>
    <w:rsid w:val="00A90694"/>
    <w:rsid w:val="00AA352D"/>
    <w:rsid w:val="00AC637B"/>
    <w:rsid w:val="00B0455C"/>
    <w:rsid w:val="00B16FE0"/>
    <w:rsid w:val="00B50D1D"/>
    <w:rsid w:val="00B531D2"/>
    <w:rsid w:val="00B531D8"/>
    <w:rsid w:val="00B7718F"/>
    <w:rsid w:val="00B807DF"/>
    <w:rsid w:val="00B82FC3"/>
    <w:rsid w:val="00B853BA"/>
    <w:rsid w:val="00B90015"/>
    <w:rsid w:val="00B90355"/>
    <w:rsid w:val="00BA0462"/>
    <w:rsid w:val="00BB3144"/>
    <w:rsid w:val="00BD0EE3"/>
    <w:rsid w:val="00C104F5"/>
    <w:rsid w:val="00C22174"/>
    <w:rsid w:val="00C34B4F"/>
    <w:rsid w:val="00C40A76"/>
    <w:rsid w:val="00C730A6"/>
    <w:rsid w:val="00C8048A"/>
    <w:rsid w:val="00C8226F"/>
    <w:rsid w:val="00C9219D"/>
    <w:rsid w:val="00CA4A21"/>
    <w:rsid w:val="00CB5D53"/>
    <w:rsid w:val="00CC7D95"/>
    <w:rsid w:val="00CE0403"/>
    <w:rsid w:val="00CE2B5B"/>
    <w:rsid w:val="00CF134F"/>
    <w:rsid w:val="00D0254E"/>
    <w:rsid w:val="00D03340"/>
    <w:rsid w:val="00D2573A"/>
    <w:rsid w:val="00D2798C"/>
    <w:rsid w:val="00D35545"/>
    <w:rsid w:val="00D3663D"/>
    <w:rsid w:val="00D46D0D"/>
    <w:rsid w:val="00D656D3"/>
    <w:rsid w:val="00D8038E"/>
    <w:rsid w:val="00D877D0"/>
    <w:rsid w:val="00D93E4A"/>
    <w:rsid w:val="00DA05E2"/>
    <w:rsid w:val="00DA4446"/>
    <w:rsid w:val="00DC27AE"/>
    <w:rsid w:val="00E03A23"/>
    <w:rsid w:val="00E441E7"/>
    <w:rsid w:val="00E54120"/>
    <w:rsid w:val="00E568B5"/>
    <w:rsid w:val="00E64936"/>
    <w:rsid w:val="00E71EC9"/>
    <w:rsid w:val="00EA5D23"/>
    <w:rsid w:val="00ED721F"/>
    <w:rsid w:val="00EE1B8B"/>
    <w:rsid w:val="00EE78CE"/>
    <w:rsid w:val="00EF0283"/>
    <w:rsid w:val="00F06A4B"/>
    <w:rsid w:val="00F26D78"/>
    <w:rsid w:val="00F31E63"/>
    <w:rsid w:val="00F52A65"/>
    <w:rsid w:val="00F532CA"/>
    <w:rsid w:val="00F67C4E"/>
    <w:rsid w:val="00F81F38"/>
    <w:rsid w:val="00F839AF"/>
    <w:rsid w:val="00F85549"/>
    <w:rsid w:val="00F91DF0"/>
    <w:rsid w:val="00FA2AD8"/>
    <w:rsid w:val="00FC0630"/>
    <w:rsid w:val="00FC4A34"/>
    <w:rsid w:val="00FD542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531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Documenttitle">
    <w:name w:val="Document title"/>
    <w:next w:val="Documentsubtitle"/>
    <w:uiPriority w:val="7"/>
    <w:rsid w:val="000C1FD2"/>
    <w:pPr>
      <w:spacing w:after="0" w:line="440" w:lineRule="atLeast"/>
    </w:pPr>
    <w:rPr>
      <w:rFonts w:asciiTheme="majorHAnsi" w:eastAsiaTheme="majorEastAsia" w:hAnsiTheme="majorHAnsi" w:cstheme="majorBidi"/>
      <w:b/>
      <w:bCs/>
      <w:color w:val="000000" w:themeColor="text1"/>
      <w:sz w:val="36"/>
      <w:szCs w:val="28"/>
      <w:lang w:val="en-GB" w:eastAsia="en-US"/>
    </w:rPr>
  </w:style>
  <w:style w:type="paragraph" w:customStyle="1" w:styleId="Documentdate">
    <w:name w:val="Document date"/>
    <w:uiPriority w:val="7"/>
    <w:rsid w:val="000C1FD2"/>
    <w:pPr>
      <w:spacing w:after="0" w:line="240" w:lineRule="atLeast"/>
    </w:pPr>
    <w:rPr>
      <w:rFonts w:ascii="Verdana" w:eastAsiaTheme="minorHAnsi" w:hAnsi="Verdana"/>
      <w:sz w:val="18"/>
      <w:szCs w:val="18"/>
      <w:lang w:val="en-GB" w:eastAsia="en-US"/>
    </w:rPr>
  </w:style>
  <w:style w:type="paragraph" w:customStyle="1" w:styleId="Documentsubtitle">
    <w:name w:val="Document subtitle"/>
    <w:basedOn w:val="Normal"/>
    <w:uiPriority w:val="7"/>
    <w:rsid w:val="000C1FD2"/>
    <w:pPr>
      <w:spacing w:after="120" w:line="440" w:lineRule="atLeast"/>
    </w:pPr>
    <w:rPr>
      <w:rFonts w:ascii="Verdana" w:eastAsiaTheme="minorHAnsi" w:hAnsi="Verdana" w:cstheme="minorBidi"/>
      <w:sz w:val="36"/>
      <w:szCs w:val="18"/>
      <w:lang w:val="en-GB" w:eastAsia="en-US"/>
    </w:rPr>
  </w:style>
  <w:style w:type="character" w:styleId="PlaceholderText">
    <w:name w:val="Placeholder Text"/>
    <w:basedOn w:val="DefaultParagraphFont"/>
    <w:uiPriority w:val="99"/>
    <w:semiHidden/>
    <w:rsid w:val="00482D02"/>
    <w:rPr>
      <w:color w:val="808080"/>
      <w:lang w:val="en-GB"/>
    </w:rPr>
  </w:style>
  <w:style w:type="paragraph" w:customStyle="1" w:styleId="6F52E6BED8FA4D04875403527C8B12E4">
    <w:name w:val="6F52E6BED8FA4D04875403527C8B12E4"/>
    <w:rsid w:val="007F072E"/>
  </w:style>
  <w:style w:type="paragraph" w:customStyle="1" w:styleId="8142EC3DC98F4304BF9B264ED5B400B8">
    <w:name w:val="8142EC3DC98F4304BF9B264ED5B400B8"/>
    <w:rsid w:val="004A04C2"/>
  </w:style>
  <w:style w:type="paragraph" w:customStyle="1" w:styleId="A3A9754C83D34111A3C31F73379229C5">
    <w:name w:val="A3A9754C83D34111A3C31F73379229C5"/>
    <w:rsid w:val="004A04C2"/>
  </w:style>
  <w:style w:type="paragraph" w:customStyle="1" w:styleId="339E374970F340CBB09035E9DDB4F544">
    <w:name w:val="339E374970F340CBB09035E9DDB4F544"/>
    <w:rsid w:val="004A04C2"/>
  </w:style>
  <w:style w:type="table" w:customStyle="1" w:styleId="Tabel-Gitter1">
    <w:name w:val="Tabel - Gitter1"/>
    <w:basedOn w:val="TableNormal"/>
    <w:next w:val="TableGrid"/>
    <w:uiPriority w:val="59"/>
    <w:rsid w:val="000C1FD2"/>
    <w:pPr>
      <w:spacing w:after="0" w:line="240" w:lineRule="auto"/>
    </w:pPr>
    <w:rPr>
      <w:rFonts w:ascii="Verdana" w:eastAsiaTheme="minorHAnsi" w:hAnsi="Verdana"/>
      <w:sz w:val="18"/>
      <w:szCs w:val="18"/>
      <w:lang w:val="en-GB" w:eastAsia="en-US"/>
    </w:rPr>
    <w:tblPr>
      <w:tblCellMar>
        <w:left w:w="0" w:type="dxa"/>
        <w:right w:w="0" w:type="dxa"/>
      </w:tblCellMar>
    </w:tblPr>
    <w:tblStylePr w:type="firstRow">
      <w:rPr>
        <w:color w:val="auto"/>
      </w:rPr>
      <w:tblPr/>
      <w:tcPr>
        <w:tcBorders>
          <w:top w:val="nil"/>
          <w:left w:val="nil"/>
          <w:bottom w:val="nil"/>
          <w:right w:val="nil"/>
          <w:insideH w:val="nil"/>
          <w:insideV w:val="nil"/>
          <w:tl2br w:val="nil"/>
          <w:tr2bl w:val="nil"/>
        </w:tcBorders>
      </w:tcPr>
    </w:tblStylePr>
  </w:style>
  <w:style w:type="paragraph" w:customStyle="1" w:styleId="86514636B67F4B00B62354DAEE7E2734">
    <w:name w:val="86514636B67F4B00B62354DAEE7E2734"/>
    <w:rsid w:val="000C1FD2"/>
  </w:style>
  <w:style w:type="paragraph" w:customStyle="1" w:styleId="C45E729855534210817CDBD0392930EE">
    <w:name w:val="C45E729855534210817CDBD0392930EE"/>
    <w:rsid w:val="000C1FD2"/>
  </w:style>
  <w:style w:type="paragraph" w:customStyle="1" w:styleId="61CE89F2CB8B457296A3A64E07D2D231">
    <w:name w:val="61CE89F2CB8B457296A3A64E07D2D231"/>
    <w:rsid w:val="000C1FD2"/>
  </w:style>
  <w:style w:type="paragraph" w:customStyle="1" w:styleId="3A96E4B3250843CFA343BBB3647E633E">
    <w:name w:val="3A96E4B3250843CFA343BBB3647E633E"/>
    <w:rsid w:val="000C1FD2"/>
  </w:style>
  <w:style w:type="paragraph" w:customStyle="1" w:styleId="2B29019ECD9E498286CA4D4B5933A5C0">
    <w:name w:val="2B29019ECD9E498286CA4D4B5933A5C0"/>
    <w:rsid w:val="000C1FD2"/>
  </w:style>
  <w:style w:type="paragraph" w:customStyle="1" w:styleId="A5857467F8204342B83013D6457569CF">
    <w:name w:val="A5857467F8204342B83013D6457569CF"/>
    <w:rsid w:val="000C1FD2"/>
  </w:style>
  <w:style w:type="paragraph" w:customStyle="1" w:styleId="7201696C3BC54FFAA3258F6EC4636D9A">
    <w:name w:val="7201696C3BC54FFAA3258F6EC4636D9A"/>
    <w:rsid w:val="000C1FD2"/>
  </w:style>
  <w:style w:type="paragraph" w:customStyle="1" w:styleId="56143E00805142BD9FAFC940B130396B">
    <w:name w:val="56143E00805142BD9FAFC940B130396B"/>
    <w:rsid w:val="000C1FD2"/>
  </w:style>
  <w:style w:type="paragraph" w:customStyle="1" w:styleId="B8234058F1094BDD91864EDFE7CBC8F8">
    <w:name w:val="B8234058F1094BDD91864EDFE7CBC8F8"/>
    <w:rsid w:val="000C1FD2"/>
  </w:style>
  <w:style w:type="paragraph" w:customStyle="1" w:styleId="62374E895BEF43F29C6F1BFAEA2D3616">
    <w:name w:val="62374E895BEF43F29C6F1BFAEA2D3616"/>
    <w:rsid w:val="000C1FD2"/>
  </w:style>
  <w:style w:type="paragraph" w:customStyle="1" w:styleId="7FDD9F1D1E5546C980D97C3001F88DF8">
    <w:name w:val="7FDD9F1D1E5546C980D97C3001F88DF8"/>
    <w:rsid w:val="000C1FD2"/>
  </w:style>
  <w:style w:type="paragraph" w:customStyle="1" w:styleId="2ED34137BF3B4F33852F00E33DA621CF">
    <w:name w:val="2ED34137BF3B4F33852F00E33DA621CF"/>
    <w:rsid w:val="000C1FD2"/>
  </w:style>
  <w:style w:type="paragraph" w:customStyle="1" w:styleId="39E89E11979C48CA8895B477DB773428">
    <w:name w:val="39E89E11979C48CA8895B477DB773428"/>
    <w:rsid w:val="000C1FD2"/>
  </w:style>
  <w:style w:type="paragraph" w:customStyle="1" w:styleId="62B21152C129429D94BE703EF5FBF594">
    <w:name w:val="62B21152C129429D94BE703EF5FBF594"/>
    <w:rsid w:val="000C1FD2"/>
  </w:style>
  <w:style w:type="paragraph" w:customStyle="1" w:styleId="456A8B69549943A591DB234F72847624">
    <w:name w:val="456A8B69549943A591DB234F72847624"/>
    <w:rsid w:val="000C1FD2"/>
  </w:style>
  <w:style w:type="paragraph" w:customStyle="1" w:styleId="029919B33EAD47E988B128CB2FFB38CB">
    <w:name w:val="029919B33EAD47E988B128CB2FFB38CB"/>
    <w:rsid w:val="000C1FD2"/>
  </w:style>
  <w:style w:type="paragraph" w:customStyle="1" w:styleId="ECAFF258CFBD4BDD9B0F602BFED26E15">
    <w:name w:val="ECAFF258CFBD4BDD9B0F602BFED26E15"/>
    <w:rsid w:val="006A25BF"/>
  </w:style>
  <w:style w:type="paragraph" w:customStyle="1" w:styleId="A1AFA7F5C5334F3AB5999A0A3F256735">
    <w:name w:val="A1AFA7F5C5334F3AB5999A0A3F256735"/>
    <w:rsid w:val="006A25BF"/>
  </w:style>
  <w:style w:type="paragraph" w:customStyle="1" w:styleId="28095E34EF4C47A1ABA5EAE42D5955F8">
    <w:name w:val="28095E34EF4C47A1ABA5EAE42D5955F8"/>
    <w:rsid w:val="006A25BF"/>
  </w:style>
  <w:style w:type="paragraph" w:customStyle="1" w:styleId="BCE5F30A64DC4A0FBA61C6C4C2E64B90">
    <w:name w:val="BCE5F30A64DC4A0FBA61C6C4C2E64B90"/>
    <w:rsid w:val="00F532CA"/>
  </w:style>
  <w:style w:type="paragraph" w:customStyle="1" w:styleId="320FB5E9C79748E18DABFD65734C759E">
    <w:name w:val="320FB5E9C79748E18DABFD65734C759E"/>
    <w:rsid w:val="0031761E"/>
  </w:style>
  <w:style w:type="paragraph" w:customStyle="1" w:styleId="E0D96FF2B7004DC49783C189E0760366">
    <w:name w:val="E0D96FF2B7004DC49783C189E0760366"/>
    <w:rsid w:val="008D2EB2"/>
  </w:style>
  <w:style w:type="paragraph" w:customStyle="1" w:styleId="0DC3989BCA844ACABC24A63D6E96BE5B">
    <w:name w:val="0DC3989BCA844ACABC24A63D6E96BE5B"/>
    <w:rsid w:val="00B853BA"/>
    <w:pPr>
      <w:spacing w:after="160" w:line="259" w:lineRule="auto"/>
    </w:pPr>
  </w:style>
  <w:style w:type="paragraph" w:customStyle="1" w:styleId="7D83D5BF34244E2A8B5A817125C519AD">
    <w:name w:val="7D83D5BF34244E2A8B5A817125C519AD"/>
    <w:rsid w:val="00B853BA"/>
    <w:pPr>
      <w:spacing w:after="160" w:line="259" w:lineRule="auto"/>
    </w:pPr>
  </w:style>
  <w:style w:type="paragraph" w:customStyle="1" w:styleId="DDA79C5C720144AC8356A32D29D639AA">
    <w:name w:val="DDA79C5C720144AC8356A32D29D639AA"/>
    <w:rsid w:val="00DA05E2"/>
    <w:pPr>
      <w:spacing w:after="160" w:line="259" w:lineRule="auto"/>
    </w:pPr>
  </w:style>
  <w:style w:type="paragraph" w:customStyle="1" w:styleId="C19FC841B059469A8E641BA892CEE0FD">
    <w:name w:val="C19FC841B059469A8E641BA892CEE0FD"/>
    <w:rsid w:val="00482D02"/>
    <w:pPr>
      <w:spacing w:after="160" w:line="259" w:lineRule="auto"/>
    </w:pPr>
  </w:style>
  <w:style w:type="paragraph" w:customStyle="1" w:styleId="F4F00146543A473B91BCD3A8E10D69EE">
    <w:name w:val="F4F00146543A473B91BCD3A8E10D69EE"/>
    <w:rsid w:val="00482D02"/>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Deloitte">
  <a:themeElements>
    <a:clrScheme name="Deloitte">
      <a:dk1>
        <a:srgbClr val="000000"/>
      </a:dk1>
      <a:lt1>
        <a:srgbClr val="FFFFFF"/>
      </a:lt1>
      <a:dk2>
        <a:srgbClr val="44546A"/>
      </a:dk2>
      <a:lt2>
        <a:srgbClr val="E7E6E6"/>
      </a:lt2>
      <a:accent1>
        <a:srgbClr val="86BC25"/>
      </a:accent1>
      <a:accent2>
        <a:srgbClr val="046A38"/>
      </a:accent2>
      <a:accent3>
        <a:srgbClr val="62B5E5"/>
      </a:accent3>
      <a:accent4>
        <a:srgbClr val="012169"/>
      </a:accent4>
      <a:accent5>
        <a:srgbClr val="0097A9"/>
      </a:accent5>
      <a:accent6>
        <a:srgbClr val="75787B"/>
      </a:accent6>
      <a:hlink>
        <a:srgbClr val="00A3E0"/>
      </a:hlink>
      <a:folHlink>
        <a:srgbClr val="954F72"/>
      </a:folHlink>
    </a:clrScheme>
    <a:fontScheme name="Deloitte Powerpoint fon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solidFill>
            <a:schemeClr val="accent3"/>
          </a:solidFill>
          <a:miter lim="800000"/>
          <a:headEnd/>
          <a:tailEnd/>
        </a:ln>
      </a:spPr>
      <a:bodyPr wrap="square" lIns="88900" tIns="88900" rIns="88900" bIns="88900" rtlCol="0" anchor="ctr"/>
      <a:lstStyle>
        <a:defPPr algn="ctr">
          <a:lnSpc>
            <a:spcPct val="106000"/>
          </a:lnSpc>
          <a:buFont typeface="Wingdings 2" pitchFamily="18" charset="2"/>
          <a:buNone/>
          <a:defRPr sz="1600" b="1" noProof="0" dirty="0" err="1" smtClean="0">
            <a:solidFill>
              <a:schemeClr val="bg1"/>
            </a:solidFill>
          </a:defRPr>
        </a:defPPr>
      </a:lstStyle>
    </a:spDef>
    <a:lnDef>
      <a:spPr>
        <a:ln>
          <a:solidFill>
            <a:srgbClr val="44546A"/>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34000" indent="-234000">
          <a:spcBef>
            <a:spcPts val="0"/>
          </a:spcBef>
          <a:spcAft>
            <a:spcPts val="1333"/>
          </a:spcAft>
          <a:buSzPct val="100000"/>
          <a:buFont typeface="Arial"/>
          <a:buChar char="•"/>
          <a:defRPr sz="1200" noProof="0" dirty="0" err="1" smtClean="0">
            <a:solidFill>
              <a:schemeClr val="tx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 id="{020FA619-153C-4BC1-AB41-D999AE5EF9C3}" vid="{04C754E3-B662-48D8-B304-73D035B0168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B611D0-7E79-436B-83E6-D8255FFF7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79</Pages>
  <Words>26849</Words>
  <Characters>153043</Characters>
  <Application>Microsoft Office Word</Application>
  <DocSecurity>0</DocSecurity>
  <Lines>1275</Lines>
  <Paragraphs>359</Paragraphs>
  <ScaleCrop>false</ScaleCrop>
  <HeadingPairs>
    <vt:vector size="6" baseType="variant">
      <vt:variant>
        <vt:lpstr>Title</vt:lpstr>
      </vt:variant>
      <vt:variant>
        <vt:i4>1</vt:i4>
      </vt:variant>
      <vt:variant>
        <vt:lpstr>Titel</vt:lpstr>
      </vt:variant>
      <vt:variant>
        <vt:i4>1</vt:i4>
      </vt:variant>
      <vt:variant>
        <vt:lpstr>Overskrifter</vt:lpstr>
      </vt:variant>
      <vt:variant>
        <vt:i4>2</vt:i4>
      </vt:variant>
    </vt:vector>
  </HeadingPairs>
  <TitlesOfParts>
    <vt:vector size="4" baseType="lpstr">
      <vt:lpstr>Transparency in Higher Education Expenditure</vt:lpstr>
      <vt:lpstr>Document title</vt:lpstr>
      <vt:lpstr/>
      <vt:lpstr>    </vt:lpstr>
    </vt:vector>
  </TitlesOfParts>
  <Company/>
  <LinksUpToDate>false</LinksUpToDate>
  <CharactersWithSpaces>179533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Transparency in Higher Education Expenditure</dc:title>
  <dc:subject/>
  <dc:creator>Liu, Kim (AU - Melbourne)</dc:creator>
  <cp:keywords/>
  <dc:description/>
  <cp:lastModifiedBy>Lodewijks, Ben</cp:lastModifiedBy>
  <cp:revision>5</cp:revision>
  <cp:lastPrinted>2019-07-19T01:43:00Z</cp:lastPrinted>
  <dcterms:created xsi:type="dcterms:W3CDTF">2019-07-19T01:34:00Z</dcterms:created>
  <dcterms:modified xsi:type="dcterms:W3CDTF">2019-07-19T01:46:00Z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E_Templates">
    <vt:lpwstr>True</vt:lpwstr>
  </property>
  <property fmtid="{D5CDD505-2E9C-101B-9397-08002B2CF9AE}" pid="3" name="FrontpageColorChange">
    <vt:lpwstr>True</vt:lpwstr>
  </property>
  <property fmtid="{D5CDD505-2E9C-101B-9397-08002B2CF9AE}" pid="4" name="CustomerId">
    <vt:lpwstr>deloitteaus</vt:lpwstr>
  </property>
  <property fmtid="{D5CDD505-2E9C-101B-9397-08002B2CF9AE}" pid="5" name="TemplateId">
    <vt:lpwstr>636293878503869688</vt:lpwstr>
  </property>
  <property fmtid="{D5CDD505-2E9C-101B-9397-08002B2CF9AE}" pid="6" name="UserProfileId">
    <vt:lpwstr>636621987718729688</vt:lpwstr>
  </property>
</Properties>
</file>