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1A29E" w14:textId="77777777" w:rsidR="00EB7B6B" w:rsidRDefault="00EB7B6B" w:rsidP="00EB7B6B">
      <w:pPr>
        <w:pStyle w:val="NoSpacing"/>
        <w:spacing w:before="0"/>
        <w:ind w:left="-1134"/>
        <w:sectPr w:rsidR="00EB7B6B" w:rsidSect="00027EB7">
          <w:headerReference w:type="default" r:id="rId8"/>
          <w:footerReference w:type="default" r:id="rId9"/>
          <w:footerReference w:type="first" r:id="rId10"/>
          <w:pgSz w:w="11906" w:h="16838"/>
          <w:pgMar w:top="0" w:right="1134" w:bottom="1134" w:left="1134" w:header="680" w:footer="567" w:gutter="0"/>
          <w:cols w:space="708"/>
          <w:titlePg/>
          <w:docGrid w:linePitch="360"/>
        </w:sectPr>
      </w:pPr>
      <w:r>
        <w:rPr>
          <w:noProof/>
          <w:lang w:eastAsia="en-AU"/>
        </w:rPr>
        <w:drawing>
          <wp:inline distT="0" distB="0" distL="0" distR="0" wp14:anchorId="2D25257F" wp14:editId="5C8658D6">
            <wp:extent cx="7559190" cy="2274570"/>
            <wp:effectExtent l="0" t="0" r="3810" b="0"/>
            <wp:docPr id="2" name="Picture 2" descr="Australian Government Department of Education and Trai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1">
                      <a:extLst>
                        <a:ext uri="{28A0092B-C50C-407E-A947-70E740481C1C}">
                          <a14:useLocalDpi xmlns:a14="http://schemas.microsoft.com/office/drawing/2010/main" val="0"/>
                        </a:ext>
                      </a:extLst>
                    </a:blip>
                    <a:stretch>
                      <a:fillRect/>
                    </a:stretch>
                  </pic:blipFill>
                  <pic:spPr>
                    <a:xfrm>
                      <a:off x="0" y="0"/>
                      <a:ext cx="7562250" cy="2275491"/>
                    </a:xfrm>
                    <a:prstGeom prst="rect">
                      <a:avLst/>
                    </a:prstGeom>
                  </pic:spPr>
                </pic:pic>
              </a:graphicData>
            </a:graphic>
          </wp:inline>
        </w:drawing>
      </w:r>
    </w:p>
    <w:sdt>
      <w:sdtPr>
        <w:rPr>
          <w:rFonts w:cs="Calibri"/>
        </w:rPr>
        <w:alias w:val="Title"/>
        <w:tag w:val=""/>
        <w:id w:val="-19171197"/>
        <w:placeholder>
          <w:docPart w:val="5885BB0FF17440BC9E9237FEC82FA546"/>
        </w:placeholder>
        <w:dataBinding w:prefixMappings="xmlns:ns0='http://purl.org/dc/elements/1.1/' xmlns:ns1='http://schemas.openxmlformats.org/package/2006/metadata/core-properties' " w:xpath="/ns1:coreProperties[1]/ns0:title[1]" w:storeItemID="{6C3C8BC8-F283-45AE-878A-BAB7291924A1}"/>
        <w:text/>
      </w:sdtPr>
      <w:sdtEndPr/>
      <w:sdtContent>
        <w:p w14:paraId="6C98431D" w14:textId="2A37C547" w:rsidR="00EB7B6B" w:rsidRPr="00D27C2D" w:rsidRDefault="00044748" w:rsidP="00EB7B6B">
          <w:pPr>
            <w:pStyle w:val="Title"/>
            <w:ind w:right="-23"/>
          </w:pPr>
          <w:r w:rsidRPr="003311FD">
            <w:rPr>
              <w:rFonts w:cs="Calibri"/>
            </w:rPr>
            <w:t xml:space="preserve">Direct </w:t>
          </w:r>
          <w:r>
            <w:rPr>
              <w:rFonts w:cs="Calibri"/>
            </w:rPr>
            <w:t xml:space="preserve">Income </w:t>
          </w:r>
          <w:r w:rsidRPr="003311FD">
            <w:rPr>
              <w:rFonts w:cs="Calibri"/>
            </w:rPr>
            <w:t xml:space="preserve">Measure of Capacity to Contribute </w:t>
          </w:r>
          <w:r>
            <w:rPr>
              <w:rFonts w:cs="Calibri"/>
            </w:rPr>
            <w:t xml:space="preserve">Technical </w:t>
          </w:r>
          <w:r w:rsidRPr="003311FD">
            <w:rPr>
              <w:rFonts w:cs="Calibri"/>
            </w:rPr>
            <w:t>Working Group</w:t>
          </w:r>
        </w:p>
      </w:sdtContent>
    </w:sdt>
    <w:p w14:paraId="2853A6D3" w14:textId="7958D62B" w:rsidR="005D04DB" w:rsidRDefault="005D04DB" w:rsidP="005D04DB">
      <w:r>
        <w:t xml:space="preserve">The Department of Education and Training has established the Technical Working Group to undertake further work on the implementation of the direct income measure of capacity of a school community to contribute to the cost of schooling. The </w:t>
      </w:r>
      <w:r w:rsidR="004956D2">
        <w:t xml:space="preserve">Technical </w:t>
      </w:r>
      <w:r>
        <w:t xml:space="preserve">Working Group will also provide advice on refinements to </w:t>
      </w:r>
      <w:bookmarkStart w:id="0" w:name="_GoBack"/>
      <w:bookmarkEnd w:id="0"/>
      <w:r>
        <w:t xml:space="preserve">the measure for further consultation and feedback, to support the development of a high quality, reliable and robust methodology for use in the Schooling Resource Standard funding model. </w:t>
      </w:r>
    </w:p>
    <w:p w14:paraId="2C33A6B9" w14:textId="03B60464" w:rsidR="005D04DB" w:rsidRDefault="005D04DB" w:rsidP="005D04DB">
      <w:r>
        <w:t xml:space="preserve">The </w:t>
      </w:r>
      <w:r w:rsidR="004956D2">
        <w:t xml:space="preserve">Technical </w:t>
      </w:r>
      <w:r>
        <w:t xml:space="preserve">Working Group will meet on a regular basis and consists </w:t>
      </w:r>
      <w:r w:rsidR="004956D2">
        <w:t>of representatives from the non</w:t>
      </w:r>
      <w:r w:rsidR="004956D2">
        <w:noBreakHyphen/>
      </w:r>
      <w:r>
        <w:t>government schools sector, the Australian Government, and state and territory governments.</w:t>
      </w:r>
    </w:p>
    <w:p w14:paraId="548FD847" w14:textId="77777777" w:rsidR="005D04DB" w:rsidRDefault="005D04DB" w:rsidP="005D04DB">
      <w:pPr>
        <w:pStyle w:val="Subtitle"/>
        <w:spacing w:after="120"/>
      </w:pPr>
      <w:r>
        <w:t>Meeting 3 – 26 February 2019 | Communiqué</w:t>
      </w:r>
    </w:p>
    <w:p w14:paraId="2D690A2A" w14:textId="37B9CB5A" w:rsidR="005D04DB" w:rsidRDefault="005D04DB" w:rsidP="005D04DB">
      <w:r>
        <w:t xml:space="preserve">The </w:t>
      </w:r>
      <w:r w:rsidR="004A7AC8">
        <w:t xml:space="preserve">Technical </w:t>
      </w:r>
      <w:r>
        <w:t xml:space="preserve">Working Group held its third meeting in Canberra on Tuesday 26 February 2019. </w:t>
      </w:r>
      <w:r w:rsidRPr="00347B5C">
        <w:t xml:space="preserve">The </w:t>
      </w:r>
      <w:r>
        <w:t>Department</w:t>
      </w:r>
      <w:r w:rsidRPr="00347B5C">
        <w:t xml:space="preserve"> provided an overview of the content that was discussed at the Consultative Reference Group Forum. Topics included appeals, family size and circumstances, challenges for specific school types and population characteristics, planning and budgeting, privacy and transparency.</w:t>
      </w:r>
      <w:r w:rsidR="00506A3A">
        <w:t xml:space="preserve"> T</w:t>
      </w:r>
      <w:r>
        <w:t xml:space="preserve">he </w:t>
      </w:r>
      <w:r w:rsidR="004A7AC8">
        <w:t xml:space="preserve">Technical </w:t>
      </w:r>
      <w:r>
        <w:t>Working Group</w:t>
      </w:r>
      <w:r w:rsidR="00506A3A">
        <w:t xml:space="preserve"> then</w:t>
      </w:r>
      <w:r>
        <w:t xml:space="preserve"> discussed a range of issues including:</w:t>
      </w:r>
    </w:p>
    <w:p w14:paraId="156AE288" w14:textId="729B149B" w:rsidR="00491A2E" w:rsidRDefault="00491A2E" w:rsidP="005D04DB">
      <w:pPr>
        <w:pStyle w:val="ListParagraph"/>
        <w:numPr>
          <w:ilvl w:val="0"/>
          <w:numId w:val="4"/>
        </w:numPr>
        <w:rPr>
          <w:rFonts w:ascii="Calibri" w:eastAsia="Calibri" w:hAnsi="Calibri" w:cs="Calibri"/>
          <w:bCs/>
        </w:rPr>
      </w:pPr>
      <w:r>
        <w:rPr>
          <w:rFonts w:ascii="Calibri" w:eastAsia="Calibri" w:hAnsi="Calibri" w:cs="Calibri"/>
          <w:bCs/>
        </w:rPr>
        <w:t>Outcomes of a forum held on 2</w:t>
      </w:r>
      <w:r w:rsidR="001114CC">
        <w:rPr>
          <w:rFonts w:ascii="Calibri" w:eastAsia="Calibri" w:hAnsi="Calibri" w:cs="Calibri"/>
          <w:bCs/>
        </w:rPr>
        <w:t>5</w:t>
      </w:r>
      <w:r>
        <w:rPr>
          <w:rFonts w:ascii="Calibri" w:eastAsia="Calibri" w:hAnsi="Calibri" w:cs="Calibri"/>
          <w:bCs/>
        </w:rPr>
        <w:t xml:space="preserve"> February</w:t>
      </w:r>
      <w:r w:rsidR="001114CC">
        <w:rPr>
          <w:rFonts w:ascii="Calibri" w:eastAsia="Calibri" w:hAnsi="Calibri" w:cs="Calibri"/>
          <w:bCs/>
        </w:rPr>
        <w:t xml:space="preserve"> 2019</w:t>
      </w:r>
      <w:r>
        <w:rPr>
          <w:rFonts w:ascii="Calibri" w:eastAsia="Calibri" w:hAnsi="Calibri" w:cs="Calibri"/>
          <w:bCs/>
        </w:rPr>
        <w:t xml:space="preserve"> with </w:t>
      </w:r>
      <w:r w:rsidR="001114CC">
        <w:rPr>
          <w:rFonts w:ascii="Calibri" w:eastAsia="Calibri" w:hAnsi="Calibri" w:cs="Calibri"/>
          <w:bCs/>
        </w:rPr>
        <w:t xml:space="preserve">non-government </w:t>
      </w:r>
      <w:r w:rsidR="00322A63">
        <w:rPr>
          <w:rFonts w:ascii="Calibri" w:eastAsia="Calibri" w:hAnsi="Calibri" w:cs="Calibri"/>
          <w:bCs/>
        </w:rPr>
        <w:t>school authorities</w:t>
      </w:r>
      <w:r w:rsidR="001114CC">
        <w:rPr>
          <w:rFonts w:ascii="Calibri" w:eastAsia="Calibri" w:hAnsi="Calibri" w:cs="Calibri"/>
          <w:bCs/>
        </w:rPr>
        <w:t>, principals associations</w:t>
      </w:r>
      <w:r w:rsidR="00322A63">
        <w:rPr>
          <w:rFonts w:ascii="Calibri" w:eastAsia="Calibri" w:hAnsi="Calibri" w:cs="Calibri"/>
          <w:bCs/>
        </w:rPr>
        <w:t xml:space="preserve"> and parents </w:t>
      </w:r>
      <w:r w:rsidR="001114CC">
        <w:rPr>
          <w:rFonts w:ascii="Calibri" w:eastAsia="Calibri" w:hAnsi="Calibri" w:cs="Calibri"/>
          <w:bCs/>
        </w:rPr>
        <w:t>councils</w:t>
      </w:r>
      <w:r w:rsidR="00322A63">
        <w:rPr>
          <w:rFonts w:ascii="Calibri" w:eastAsia="Calibri" w:hAnsi="Calibri" w:cs="Calibri"/>
          <w:bCs/>
        </w:rPr>
        <w:t xml:space="preserve"> </w:t>
      </w:r>
    </w:p>
    <w:p w14:paraId="31B7B617" w14:textId="13F41233" w:rsidR="005D04DB" w:rsidRDefault="005E2380" w:rsidP="005D04DB">
      <w:pPr>
        <w:pStyle w:val="ListParagraph"/>
        <w:numPr>
          <w:ilvl w:val="0"/>
          <w:numId w:val="4"/>
        </w:numPr>
        <w:rPr>
          <w:rFonts w:ascii="Calibri" w:eastAsia="Calibri" w:hAnsi="Calibri" w:cs="Calibri"/>
          <w:bCs/>
        </w:rPr>
      </w:pPr>
      <w:r>
        <w:rPr>
          <w:rFonts w:ascii="Calibri" w:eastAsia="Calibri" w:hAnsi="Calibri" w:cs="Calibri"/>
          <w:bCs/>
        </w:rPr>
        <w:t>Future a</w:t>
      </w:r>
      <w:r w:rsidR="005D04DB" w:rsidRPr="00347B5C">
        <w:rPr>
          <w:rFonts w:ascii="Calibri" w:eastAsia="Calibri" w:hAnsi="Calibri" w:cs="Calibri"/>
          <w:bCs/>
        </w:rPr>
        <w:t>ppeals</w:t>
      </w:r>
      <w:r>
        <w:rPr>
          <w:rFonts w:ascii="Calibri" w:eastAsia="Calibri" w:hAnsi="Calibri" w:cs="Calibri"/>
          <w:bCs/>
        </w:rPr>
        <w:t xml:space="preserve"> process under the direct measure</w:t>
      </w:r>
    </w:p>
    <w:p w14:paraId="6FD1591C" w14:textId="000A1EBF" w:rsidR="005D04DB" w:rsidRDefault="005E2380" w:rsidP="005D04DB">
      <w:pPr>
        <w:pStyle w:val="ListParagraph"/>
        <w:numPr>
          <w:ilvl w:val="0"/>
          <w:numId w:val="4"/>
        </w:numPr>
        <w:rPr>
          <w:rFonts w:ascii="Calibri" w:eastAsia="Calibri" w:hAnsi="Calibri" w:cs="Calibri"/>
          <w:bCs/>
        </w:rPr>
      </w:pPr>
      <w:r>
        <w:rPr>
          <w:rFonts w:ascii="Calibri" w:eastAsia="Calibri" w:hAnsi="Calibri" w:cs="Calibri"/>
          <w:bCs/>
        </w:rPr>
        <w:t>Acceptable benchmark</w:t>
      </w:r>
      <w:r w:rsidR="00491A2E">
        <w:rPr>
          <w:rFonts w:ascii="Calibri" w:eastAsia="Calibri" w:hAnsi="Calibri" w:cs="Calibri"/>
          <w:bCs/>
        </w:rPr>
        <w:t xml:space="preserve">s and indicators of </w:t>
      </w:r>
      <w:r w:rsidR="005D42B9">
        <w:rPr>
          <w:rFonts w:ascii="Calibri" w:eastAsia="Calibri" w:hAnsi="Calibri" w:cs="Calibri"/>
          <w:bCs/>
        </w:rPr>
        <w:t xml:space="preserve">data quality </w:t>
      </w:r>
    </w:p>
    <w:p w14:paraId="4D546F52" w14:textId="77777777" w:rsidR="005D04DB" w:rsidRDefault="005D04DB" w:rsidP="005D04DB">
      <w:pPr>
        <w:pStyle w:val="ListParagraph"/>
        <w:numPr>
          <w:ilvl w:val="0"/>
          <w:numId w:val="4"/>
        </w:numPr>
        <w:rPr>
          <w:rFonts w:ascii="Calibri" w:eastAsia="Calibri" w:hAnsi="Calibri" w:cs="Calibri"/>
          <w:bCs/>
        </w:rPr>
      </w:pPr>
      <w:r>
        <w:rPr>
          <w:rFonts w:ascii="Calibri" w:eastAsia="Calibri" w:hAnsi="Calibri" w:cs="Calibri"/>
          <w:bCs/>
        </w:rPr>
        <w:t>Volatility</w:t>
      </w:r>
    </w:p>
    <w:p w14:paraId="0F7FB017" w14:textId="77777777" w:rsidR="005D04DB" w:rsidRPr="005756C8" w:rsidRDefault="005D04DB" w:rsidP="005D04DB">
      <w:pPr>
        <w:pStyle w:val="Heading2"/>
      </w:pPr>
      <w:r>
        <w:t>Appeals</w:t>
      </w:r>
    </w:p>
    <w:p w14:paraId="3093232B" w14:textId="7897215D" w:rsidR="005D04DB" w:rsidRPr="005E403C" w:rsidRDefault="005D04DB" w:rsidP="00825B77">
      <w:r>
        <w:t xml:space="preserve">The </w:t>
      </w:r>
      <w:r w:rsidR="004A7AC8">
        <w:t xml:space="preserve">Technical </w:t>
      </w:r>
      <w:r>
        <w:t>Working Group discussed</w:t>
      </w:r>
      <w:r w:rsidR="00AD1062">
        <w:t xml:space="preserve"> </w:t>
      </w:r>
      <w:r w:rsidR="008165BB">
        <w:t>instances where an appeal may be necessary</w:t>
      </w:r>
      <w:r w:rsidR="00AD1062">
        <w:t xml:space="preserve"> under the direct measure.</w:t>
      </w:r>
      <w:r>
        <w:t xml:space="preserve"> </w:t>
      </w:r>
      <w:r w:rsidR="00491A2E" w:rsidRPr="00912057">
        <w:t xml:space="preserve">The Working Group discussed how </w:t>
      </w:r>
      <w:r w:rsidR="00491A2E">
        <w:t xml:space="preserve">it was difficult to define the scope of the appeals process until the methodology was finalised. </w:t>
      </w:r>
      <w:r w:rsidR="004A7AC8">
        <w:t xml:space="preserve">Technical </w:t>
      </w:r>
      <w:r w:rsidRPr="00612B69">
        <w:t xml:space="preserve">Working </w:t>
      </w:r>
      <w:r w:rsidR="008165BB">
        <w:t>G</w:t>
      </w:r>
      <w:r w:rsidRPr="00612B69">
        <w:t xml:space="preserve">roup members </w:t>
      </w:r>
      <w:r w:rsidR="00AD1062">
        <w:t>agreed</w:t>
      </w:r>
      <w:r w:rsidRPr="00612B69">
        <w:t xml:space="preserve"> that</w:t>
      </w:r>
      <w:r w:rsidR="003315A7">
        <w:t xml:space="preserve">, </w:t>
      </w:r>
      <w:r w:rsidR="00D919D2">
        <w:t>in principle</w:t>
      </w:r>
      <w:r w:rsidR="003315A7">
        <w:t>,</w:t>
      </w:r>
      <w:r w:rsidRPr="00612B69">
        <w:t xml:space="preserve"> </w:t>
      </w:r>
      <w:r w:rsidR="005E2380">
        <w:t>the methodology</w:t>
      </w:r>
      <w:r w:rsidR="00F44B0F">
        <w:t xml:space="preserve"> used to calculate the new direct income scores </w:t>
      </w:r>
      <w:r w:rsidR="005E2380">
        <w:t xml:space="preserve">should </w:t>
      </w:r>
      <w:r w:rsidR="00491A2E">
        <w:t>reflect the diversity of the circumstances impacting on the capacity of a school community to contribute to the cost of schooling</w:t>
      </w:r>
      <w:r w:rsidR="001058D4">
        <w:t>.</w:t>
      </w:r>
      <w:r w:rsidR="005E2380">
        <w:t xml:space="preserve"> </w:t>
      </w:r>
      <w:r w:rsidR="005D42B9">
        <w:t xml:space="preserve">This would </w:t>
      </w:r>
      <w:r w:rsidR="00D919D2">
        <w:t>allow</w:t>
      </w:r>
      <w:r w:rsidR="005D42B9">
        <w:t xml:space="preserve"> the appeals process </w:t>
      </w:r>
      <w:r w:rsidR="00D919D2">
        <w:t>to</w:t>
      </w:r>
      <w:r w:rsidR="005D42B9">
        <w:t xml:space="preserve"> focus on </w:t>
      </w:r>
      <w:r w:rsidRPr="00612B69">
        <w:t>special</w:t>
      </w:r>
      <w:r w:rsidR="00491A2E">
        <w:t xml:space="preserve"> and changed</w:t>
      </w:r>
      <w:r w:rsidRPr="00612B69">
        <w:t xml:space="preserve"> circumstances</w:t>
      </w:r>
      <w:r w:rsidRPr="0059307C">
        <w:t xml:space="preserve">. </w:t>
      </w:r>
      <w:r w:rsidR="00491A2E">
        <w:t xml:space="preserve">The </w:t>
      </w:r>
      <w:r w:rsidR="004A7AC8">
        <w:t xml:space="preserve">Technical </w:t>
      </w:r>
      <w:r w:rsidR="00491A2E">
        <w:t>Working Group also agreed that</w:t>
      </w:r>
      <w:r w:rsidR="00D919D2">
        <w:t xml:space="preserve">, once the appeals process has been finalised, the </w:t>
      </w:r>
      <w:r w:rsidR="00F44B0F">
        <w:t>D</w:t>
      </w:r>
      <w:r w:rsidR="00D919D2">
        <w:t xml:space="preserve">epartment should publish </w:t>
      </w:r>
      <w:r w:rsidR="00491A2E">
        <w:t>guidance on the</w:t>
      </w:r>
      <w:r w:rsidR="00D919D2">
        <w:t xml:space="preserve"> acceptable grounds</w:t>
      </w:r>
      <w:r w:rsidR="00491A2E">
        <w:t xml:space="preserve"> for an appeal and the evidence base required to support </w:t>
      </w:r>
      <w:r w:rsidR="00D919D2">
        <w:t xml:space="preserve">it. </w:t>
      </w:r>
      <w:r w:rsidR="00912057" w:rsidRPr="00912057">
        <w:t xml:space="preserve">Members would like to revisit the appeals process when more determinants of the model </w:t>
      </w:r>
      <w:r w:rsidR="005D42B9">
        <w:t>are</w:t>
      </w:r>
      <w:r w:rsidR="005D42B9" w:rsidRPr="00912057">
        <w:t xml:space="preserve"> </w:t>
      </w:r>
      <w:r w:rsidR="00912057" w:rsidRPr="00912057">
        <w:t>known.</w:t>
      </w:r>
    </w:p>
    <w:p w14:paraId="17B90709" w14:textId="513F4F3C" w:rsidR="005D04DB" w:rsidRDefault="007D6511" w:rsidP="005D04DB">
      <w:pPr>
        <w:pStyle w:val="Heading2"/>
      </w:pPr>
      <w:r>
        <w:lastRenderedPageBreak/>
        <w:t xml:space="preserve">Data Quality and </w:t>
      </w:r>
      <w:r w:rsidR="005D04DB">
        <w:t>Linkage Rates</w:t>
      </w:r>
      <w:r>
        <w:t xml:space="preserve"> </w:t>
      </w:r>
    </w:p>
    <w:p w14:paraId="304F92A7" w14:textId="712A88B9" w:rsidR="00BA33C1" w:rsidRPr="00256617" w:rsidRDefault="00600F1B" w:rsidP="005D04DB">
      <w:pPr>
        <w:rPr>
          <w:rFonts w:eastAsia="Times New Roman" w:cs="Times New Roman"/>
          <w:szCs w:val="20"/>
        </w:rPr>
      </w:pPr>
      <w:r>
        <w:rPr>
          <w:rFonts w:eastAsia="Times New Roman" w:cs="Times New Roman"/>
          <w:szCs w:val="20"/>
        </w:rPr>
        <w:t xml:space="preserve">The </w:t>
      </w:r>
      <w:r w:rsidR="004A7AC8">
        <w:rPr>
          <w:rFonts w:eastAsia="Times New Roman" w:cs="Times New Roman"/>
          <w:szCs w:val="20"/>
        </w:rPr>
        <w:t xml:space="preserve">Technical </w:t>
      </w:r>
      <w:r>
        <w:rPr>
          <w:rFonts w:eastAsia="Times New Roman" w:cs="Times New Roman"/>
          <w:szCs w:val="20"/>
        </w:rPr>
        <w:t xml:space="preserve">Working Group discussed different approaches </w:t>
      </w:r>
      <w:r w:rsidR="00600228">
        <w:rPr>
          <w:rFonts w:eastAsia="Times New Roman" w:cs="Times New Roman"/>
          <w:szCs w:val="20"/>
        </w:rPr>
        <w:t xml:space="preserve">to </w:t>
      </w:r>
      <w:r w:rsidR="005D42B9">
        <w:rPr>
          <w:rFonts w:eastAsia="Times New Roman" w:cs="Times New Roman"/>
          <w:szCs w:val="20"/>
        </w:rPr>
        <w:t xml:space="preserve">assess whether the </w:t>
      </w:r>
      <w:r>
        <w:rPr>
          <w:rFonts w:eastAsia="Times New Roman" w:cs="Times New Roman"/>
          <w:szCs w:val="20"/>
        </w:rPr>
        <w:t>li</w:t>
      </w:r>
      <w:r w:rsidR="00600228">
        <w:rPr>
          <w:rFonts w:eastAsia="Times New Roman" w:cs="Times New Roman"/>
          <w:szCs w:val="20"/>
        </w:rPr>
        <w:t>nkage rate</w:t>
      </w:r>
      <w:r w:rsidR="005D42B9">
        <w:rPr>
          <w:rFonts w:eastAsia="Times New Roman" w:cs="Times New Roman"/>
          <w:szCs w:val="20"/>
        </w:rPr>
        <w:t xml:space="preserve"> was appropriate. Approaches discussed</w:t>
      </w:r>
      <w:r w:rsidR="00BA33C1">
        <w:rPr>
          <w:rFonts w:eastAsia="Times New Roman" w:cs="Times New Roman"/>
          <w:szCs w:val="20"/>
        </w:rPr>
        <w:t xml:space="preserve"> </w:t>
      </w:r>
      <w:r w:rsidR="005D42B9">
        <w:rPr>
          <w:rFonts w:eastAsia="Times New Roman" w:cs="Times New Roman"/>
          <w:szCs w:val="20"/>
        </w:rPr>
        <w:t>includ</w:t>
      </w:r>
      <w:r w:rsidR="007D6511">
        <w:rPr>
          <w:rFonts w:eastAsia="Times New Roman" w:cs="Times New Roman"/>
          <w:szCs w:val="20"/>
        </w:rPr>
        <w:t>ed</w:t>
      </w:r>
      <w:r w:rsidR="005D42B9">
        <w:rPr>
          <w:rFonts w:eastAsia="Times New Roman" w:cs="Times New Roman"/>
          <w:szCs w:val="20"/>
        </w:rPr>
        <w:t xml:space="preserve"> </w:t>
      </w:r>
      <w:r w:rsidR="00BA33C1">
        <w:rPr>
          <w:rFonts w:eastAsia="Times New Roman" w:cs="Times New Roman"/>
          <w:szCs w:val="20"/>
        </w:rPr>
        <w:t>a national benchmark</w:t>
      </w:r>
      <w:r w:rsidR="00F44B0F">
        <w:rPr>
          <w:rFonts w:eastAsia="Times New Roman" w:cs="Times New Roman"/>
          <w:szCs w:val="20"/>
        </w:rPr>
        <w:t>,</w:t>
      </w:r>
      <w:r w:rsidR="00BA33C1">
        <w:rPr>
          <w:rFonts w:eastAsia="Times New Roman" w:cs="Times New Roman"/>
          <w:szCs w:val="20"/>
        </w:rPr>
        <w:t xml:space="preserve"> a school-by-school approach</w:t>
      </w:r>
      <w:r w:rsidR="00F44B0F">
        <w:rPr>
          <w:rFonts w:eastAsia="Times New Roman" w:cs="Times New Roman"/>
          <w:szCs w:val="20"/>
        </w:rPr>
        <w:t>, and a combination of the two where a benchmark was used as a trigger for further investigation</w:t>
      </w:r>
      <w:r w:rsidR="005D04DB">
        <w:rPr>
          <w:rFonts w:eastAsia="Times New Roman" w:cs="Times New Roman"/>
          <w:szCs w:val="20"/>
        </w:rPr>
        <w:t>.</w:t>
      </w:r>
      <w:r w:rsidR="00600228">
        <w:rPr>
          <w:rFonts w:eastAsia="Times New Roman" w:cs="Times New Roman"/>
          <w:szCs w:val="20"/>
        </w:rPr>
        <w:t xml:space="preserve"> </w:t>
      </w:r>
      <w:r w:rsidR="00BA33C1">
        <w:rPr>
          <w:rFonts w:eastAsia="Times New Roman" w:cs="Times New Roman"/>
          <w:szCs w:val="20"/>
        </w:rPr>
        <w:t xml:space="preserve">In relation to a </w:t>
      </w:r>
      <w:r w:rsidR="00785C8D">
        <w:rPr>
          <w:rFonts w:eastAsia="Times New Roman" w:cs="Times New Roman"/>
          <w:szCs w:val="20"/>
        </w:rPr>
        <w:t>national benchmark, t</w:t>
      </w:r>
      <w:r w:rsidR="00600228">
        <w:rPr>
          <w:rFonts w:eastAsia="Times New Roman" w:cs="Times New Roman"/>
          <w:szCs w:val="20"/>
        </w:rPr>
        <w:t>here were different views on</w:t>
      </w:r>
      <w:r w:rsidR="00AB6395">
        <w:rPr>
          <w:rFonts w:eastAsia="Times New Roman" w:cs="Times New Roman"/>
          <w:szCs w:val="20"/>
        </w:rPr>
        <w:t xml:space="preserve"> what</w:t>
      </w:r>
      <w:r w:rsidR="00600228">
        <w:rPr>
          <w:rFonts w:eastAsia="Times New Roman" w:cs="Times New Roman"/>
          <w:szCs w:val="20"/>
        </w:rPr>
        <w:t xml:space="preserve"> the acceptable linkage rate</w:t>
      </w:r>
      <w:r w:rsidR="00785C8D">
        <w:rPr>
          <w:rFonts w:eastAsia="Times New Roman" w:cs="Times New Roman"/>
          <w:szCs w:val="20"/>
        </w:rPr>
        <w:t xml:space="preserve"> should be</w:t>
      </w:r>
      <w:r w:rsidR="007D6511">
        <w:rPr>
          <w:rFonts w:eastAsia="Times New Roman" w:cs="Times New Roman"/>
          <w:szCs w:val="20"/>
        </w:rPr>
        <w:t xml:space="preserve">. </w:t>
      </w:r>
      <w:r w:rsidR="00322A63">
        <w:rPr>
          <w:rFonts w:eastAsia="Times New Roman" w:cs="Times New Roman"/>
          <w:szCs w:val="20"/>
        </w:rPr>
        <w:t xml:space="preserve">The </w:t>
      </w:r>
      <w:r w:rsidR="004A7AC8">
        <w:rPr>
          <w:rFonts w:eastAsia="Times New Roman" w:cs="Times New Roman"/>
          <w:szCs w:val="20"/>
        </w:rPr>
        <w:t xml:space="preserve">Technical </w:t>
      </w:r>
      <w:r w:rsidR="00322A63">
        <w:rPr>
          <w:rFonts w:eastAsia="Times New Roman" w:cs="Times New Roman"/>
          <w:szCs w:val="20"/>
        </w:rPr>
        <w:t>Working Group</w:t>
      </w:r>
      <w:r w:rsidR="007D6511">
        <w:rPr>
          <w:rFonts w:eastAsia="Times New Roman" w:cs="Times New Roman"/>
          <w:szCs w:val="20"/>
        </w:rPr>
        <w:t xml:space="preserve"> noted </w:t>
      </w:r>
      <w:r w:rsidR="005D42B9">
        <w:rPr>
          <w:rFonts w:eastAsia="Times New Roman" w:cs="Times New Roman"/>
          <w:szCs w:val="20"/>
        </w:rPr>
        <w:t xml:space="preserve">that the key issue is whether the characteristics of those with missing </w:t>
      </w:r>
      <w:r w:rsidR="00491A2E">
        <w:rPr>
          <w:rFonts w:eastAsia="Times New Roman" w:cs="Times New Roman"/>
          <w:szCs w:val="20"/>
        </w:rPr>
        <w:t xml:space="preserve">data </w:t>
      </w:r>
      <w:r w:rsidR="005D42B9">
        <w:rPr>
          <w:rFonts w:eastAsia="Times New Roman" w:cs="Times New Roman"/>
          <w:szCs w:val="20"/>
        </w:rPr>
        <w:t>are similar or different to those records that have been linked</w:t>
      </w:r>
      <w:r w:rsidR="00600228">
        <w:rPr>
          <w:rFonts w:eastAsia="Times New Roman" w:cs="Times New Roman"/>
          <w:szCs w:val="20"/>
        </w:rPr>
        <w:t xml:space="preserve">. </w:t>
      </w:r>
      <w:r w:rsidR="00C84722">
        <w:rPr>
          <w:rFonts w:eastAsia="Times New Roman" w:cs="Times New Roman"/>
          <w:szCs w:val="20"/>
        </w:rPr>
        <w:t xml:space="preserve">Transparency concerns were </w:t>
      </w:r>
      <w:r w:rsidR="00785C8D">
        <w:rPr>
          <w:rFonts w:eastAsia="Times New Roman" w:cs="Times New Roman"/>
          <w:szCs w:val="20"/>
        </w:rPr>
        <w:t xml:space="preserve">noted </w:t>
      </w:r>
      <w:r w:rsidR="00C84722">
        <w:rPr>
          <w:rFonts w:eastAsia="Times New Roman" w:cs="Times New Roman"/>
          <w:szCs w:val="20"/>
        </w:rPr>
        <w:t>with</w:t>
      </w:r>
      <w:r w:rsidR="00785C8D">
        <w:rPr>
          <w:rFonts w:eastAsia="Times New Roman" w:cs="Times New Roman"/>
          <w:szCs w:val="20"/>
        </w:rPr>
        <w:t xml:space="preserve"> the school-by-school </w:t>
      </w:r>
      <w:r w:rsidR="00C84722">
        <w:rPr>
          <w:rFonts w:eastAsia="Times New Roman" w:cs="Times New Roman"/>
          <w:szCs w:val="20"/>
        </w:rPr>
        <w:t xml:space="preserve">approach </w:t>
      </w:r>
      <w:r w:rsidR="00785C8D" w:rsidRPr="00785C8D">
        <w:rPr>
          <w:rFonts w:eastAsia="Times New Roman" w:cs="Times New Roman"/>
          <w:szCs w:val="20"/>
        </w:rPr>
        <w:t xml:space="preserve">given different schools with the same linkage rate may </w:t>
      </w:r>
      <w:r w:rsidR="003315A7">
        <w:rPr>
          <w:rFonts w:eastAsia="Times New Roman" w:cs="Times New Roman"/>
          <w:szCs w:val="20"/>
        </w:rPr>
        <w:t>receive different treatment</w:t>
      </w:r>
      <w:r w:rsidR="00785C8D">
        <w:rPr>
          <w:rFonts w:eastAsia="Times New Roman" w:cs="Times New Roman"/>
          <w:szCs w:val="20"/>
        </w:rPr>
        <w:t xml:space="preserve">. </w:t>
      </w:r>
      <w:r w:rsidR="00C84722">
        <w:rPr>
          <w:rFonts w:eastAsia="Times New Roman" w:cs="Times New Roman"/>
          <w:szCs w:val="20"/>
        </w:rPr>
        <w:t>It was</w:t>
      </w:r>
      <w:r w:rsidR="00C84722" w:rsidRPr="00C84722">
        <w:rPr>
          <w:rFonts w:eastAsia="Times New Roman" w:cs="Times New Roman"/>
          <w:szCs w:val="20"/>
        </w:rPr>
        <w:t xml:space="preserve"> noted that school size is also a factor in considering an acceptable linkage rate.</w:t>
      </w:r>
      <w:r w:rsidR="00C84722">
        <w:rPr>
          <w:rFonts w:eastAsia="Times New Roman" w:cs="Times New Roman"/>
          <w:szCs w:val="20"/>
        </w:rPr>
        <w:t xml:space="preserve"> </w:t>
      </w:r>
      <w:r w:rsidR="00BA33C1">
        <w:rPr>
          <w:rFonts w:eastAsia="Times New Roman" w:cs="Times New Roman"/>
          <w:szCs w:val="20"/>
        </w:rPr>
        <w:t xml:space="preserve">The </w:t>
      </w:r>
      <w:r w:rsidR="004A7AC8">
        <w:rPr>
          <w:rFonts w:eastAsia="Times New Roman" w:cs="Times New Roman"/>
          <w:szCs w:val="20"/>
        </w:rPr>
        <w:t xml:space="preserve">Technical </w:t>
      </w:r>
      <w:r w:rsidR="00BA33C1">
        <w:rPr>
          <w:rFonts w:eastAsia="Times New Roman" w:cs="Times New Roman"/>
          <w:szCs w:val="20"/>
        </w:rPr>
        <w:t xml:space="preserve">Working Group agreed that further work was required and a consultant could be engaged to </w:t>
      </w:r>
      <w:r w:rsidR="003315A7">
        <w:rPr>
          <w:rFonts w:eastAsia="Times New Roman" w:cs="Times New Roman"/>
          <w:szCs w:val="20"/>
        </w:rPr>
        <w:t xml:space="preserve">contribute to </w:t>
      </w:r>
      <w:r w:rsidR="00BA33C1">
        <w:rPr>
          <w:rFonts w:eastAsia="Times New Roman" w:cs="Times New Roman"/>
          <w:szCs w:val="20"/>
        </w:rPr>
        <w:t xml:space="preserve">this work. </w:t>
      </w:r>
    </w:p>
    <w:p w14:paraId="77B9D4DA" w14:textId="77777777" w:rsidR="005D04DB" w:rsidRDefault="005D04DB" w:rsidP="005D04DB">
      <w:pPr>
        <w:pStyle w:val="Heading2"/>
      </w:pPr>
      <w:r>
        <w:t>Volatility</w:t>
      </w:r>
    </w:p>
    <w:p w14:paraId="2F279446" w14:textId="12F1D765" w:rsidR="005D04DB" w:rsidRDefault="00600F1B" w:rsidP="005D04DB">
      <w:r w:rsidRPr="00600F1B">
        <w:t xml:space="preserve">The </w:t>
      </w:r>
      <w:r w:rsidR="004A7AC8">
        <w:t xml:space="preserve">Technical </w:t>
      </w:r>
      <w:r>
        <w:t xml:space="preserve">Working Group discussed </w:t>
      </w:r>
      <w:r w:rsidR="00491A2E">
        <w:t xml:space="preserve">sources of </w:t>
      </w:r>
      <w:r>
        <w:t>volatility of the direct measure of capacity to contribute</w:t>
      </w:r>
      <w:r w:rsidR="00491A2E">
        <w:t xml:space="preserve"> and options for reducing volatility</w:t>
      </w:r>
      <w:r>
        <w:t xml:space="preserve">. </w:t>
      </w:r>
      <w:r w:rsidR="00EC4702">
        <w:t>S</w:t>
      </w:r>
      <w:r w:rsidRPr="00600F1B">
        <w:t xml:space="preserve">ources of volatility include the </w:t>
      </w:r>
      <w:r w:rsidR="007D6511">
        <w:t xml:space="preserve">change over time in the </w:t>
      </w:r>
      <w:r w:rsidR="00F44B0F">
        <w:t xml:space="preserve">students, </w:t>
      </w:r>
      <w:r w:rsidR="007D6511">
        <w:t>parents and guardians that make up the school community, changes over time of the income and circumstances of each parent and guardian</w:t>
      </w:r>
      <w:r w:rsidRPr="00600F1B">
        <w:t>,</w:t>
      </w:r>
      <w:r>
        <w:t xml:space="preserve"> and </w:t>
      </w:r>
      <w:r w:rsidR="007948AA">
        <w:t>changes in ranking relative to other schools</w:t>
      </w:r>
      <w:r w:rsidR="005D04DB">
        <w:t xml:space="preserve">. </w:t>
      </w:r>
      <w:r w:rsidRPr="00600F1B">
        <w:t xml:space="preserve">The </w:t>
      </w:r>
      <w:r w:rsidR="004A7AC8">
        <w:t xml:space="preserve">Technical </w:t>
      </w:r>
      <w:r w:rsidRPr="00600F1B">
        <w:t xml:space="preserve">Working Group noted that the critical factor in considering volatility </w:t>
      </w:r>
      <w:r w:rsidR="0031699F">
        <w:t>is</w:t>
      </w:r>
      <w:r w:rsidRPr="00600F1B">
        <w:t xml:space="preserve"> the volatility in funding. This is particularly the case for non</w:t>
      </w:r>
      <w:r w:rsidR="00322A63">
        <w:noBreakHyphen/>
      </w:r>
      <w:r w:rsidRPr="00600F1B">
        <w:t>systemic schools.</w:t>
      </w:r>
    </w:p>
    <w:p w14:paraId="1C701C9F" w14:textId="1338EAAF" w:rsidR="00EC4702" w:rsidRPr="00EC4702" w:rsidRDefault="004A7AC8" w:rsidP="00682231">
      <w:r>
        <w:t xml:space="preserve">Technical </w:t>
      </w:r>
      <w:r w:rsidR="00EC4702">
        <w:t xml:space="preserve">Working Group members noted </w:t>
      </w:r>
      <w:r w:rsidR="00EC4702" w:rsidRPr="00EC4702">
        <w:t xml:space="preserve">that there are many things already in place to manage volatility including the use of median income and rolling average in the methodology. It was also noted that there are a number of moving parts in the funding model and that the changes in </w:t>
      </w:r>
      <w:r w:rsidR="0031699F">
        <w:t>capacity to contribute</w:t>
      </w:r>
      <w:r w:rsidR="00EC4702" w:rsidRPr="00EC4702">
        <w:t xml:space="preserve"> score would be </w:t>
      </w:r>
      <w:r w:rsidR="007D6511">
        <w:t>only one</w:t>
      </w:r>
      <w:r w:rsidR="00EC4702" w:rsidRPr="00EC4702">
        <w:t xml:space="preserve"> aspect of that change.</w:t>
      </w:r>
      <w:r w:rsidR="00682231">
        <w:t xml:space="preserve"> The </w:t>
      </w:r>
      <w:r>
        <w:t xml:space="preserve">Technical </w:t>
      </w:r>
      <w:r w:rsidR="00682231">
        <w:t xml:space="preserve">Working Group </w:t>
      </w:r>
      <w:r w:rsidR="00EC4702">
        <w:t xml:space="preserve">noted that using </w:t>
      </w:r>
      <w:r w:rsidR="007D6511">
        <w:t xml:space="preserve">a </w:t>
      </w:r>
      <w:r w:rsidR="00EC4702">
        <w:t>th</w:t>
      </w:r>
      <w:r w:rsidR="003315A7">
        <w:t>ree year</w:t>
      </w:r>
      <w:r w:rsidR="007D6511">
        <w:t xml:space="preserve"> rolling average of </w:t>
      </w:r>
      <w:r w:rsidR="00EC4702">
        <w:t xml:space="preserve">scores </w:t>
      </w:r>
      <w:r w:rsidR="003315A7">
        <w:t xml:space="preserve">(rather than median incomes) </w:t>
      </w:r>
      <w:r w:rsidR="00EC4702">
        <w:t xml:space="preserve">to calculate the </w:t>
      </w:r>
      <w:r w:rsidR="00682231">
        <w:t xml:space="preserve">rolling </w:t>
      </w:r>
      <w:r w:rsidR="00EC4702">
        <w:t xml:space="preserve">average would </w:t>
      </w:r>
      <w:r w:rsidR="007D6511">
        <w:t xml:space="preserve">reduce volatility </w:t>
      </w:r>
      <w:r w:rsidR="00EC4702">
        <w:t xml:space="preserve">and </w:t>
      </w:r>
      <w:r w:rsidR="007D6511">
        <w:t>provide schools with greater transparency</w:t>
      </w:r>
      <w:r w:rsidR="00F44B0F">
        <w:t xml:space="preserve"> including of the likely </w:t>
      </w:r>
      <w:r w:rsidR="007D6511">
        <w:t>trend</w:t>
      </w:r>
      <w:r w:rsidR="00F44B0F">
        <w:t xml:space="preserve"> in the following year.  </w:t>
      </w:r>
    </w:p>
    <w:p w14:paraId="6AE84F98" w14:textId="77777777" w:rsidR="00960168" w:rsidRDefault="00960168" w:rsidP="00960168">
      <w:pPr>
        <w:pStyle w:val="Heading2"/>
      </w:pPr>
      <w:r>
        <w:t>Student Residential Address and Other Information Collection</w:t>
      </w:r>
    </w:p>
    <w:p w14:paraId="6D4279AB" w14:textId="16FE78A1" w:rsidR="00960168" w:rsidRPr="00CC7892" w:rsidRDefault="00960168" w:rsidP="00960168">
      <w:r>
        <w:t xml:space="preserve">The Department provided an update of the 2018 </w:t>
      </w:r>
      <w:r w:rsidRPr="007077DF">
        <w:t>Student Residential Address and Other Information Collection</w:t>
      </w:r>
      <w:r>
        <w:t xml:space="preserve"> </w:t>
      </w:r>
      <w:r w:rsidR="001114CC">
        <w:t xml:space="preserve">(the Collection) </w:t>
      </w:r>
      <w:r>
        <w:t xml:space="preserve">and quality assurance process. It </w:t>
      </w:r>
      <w:proofErr w:type="gramStart"/>
      <w:r>
        <w:t>was noted</w:t>
      </w:r>
      <w:proofErr w:type="gramEnd"/>
      <w:r>
        <w:t xml:space="preserve"> that the 2018 </w:t>
      </w:r>
      <w:r w:rsidR="001114CC">
        <w:t>C</w:t>
      </w:r>
      <w:r>
        <w:t>ollection data has been provided to the Australian Bureau of Statistics</w:t>
      </w:r>
      <w:r w:rsidR="00F44B0F">
        <w:t xml:space="preserve"> so that it could commence the linkage process</w:t>
      </w:r>
      <w:r w:rsidR="001114CC">
        <w:t>.</w:t>
      </w:r>
      <w:r>
        <w:t xml:space="preserve"> </w:t>
      </w:r>
      <w:r w:rsidR="004A7AC8">
        <w:t xml:space="preserve">Technical </w:t>
      </w:r>
      <w:r w:rsidRPr="007077DF">
        <w:t xml:space="preserve">Working Group members </w:t>
      </w:r>
      <w:proofErr w:type="gramStart"/>
      <w:r w:rsidRPr="007077DF">
        <w:t>were informed</w:t>
      </w:r>
      <w:proofErr w:type="gramEnd"/>
      <w:r w:rsidRPr="007077DF">
        <w:t xml:space="preserve"> that the 2019 </w:t>
      </w:r>
      <w:r w:rsidR="001114CC">
        <w:t>C</w:t>
      </w:r>
      <w:r w:rsidRPr="007077DF">
        <w:t>ollection is currently open with the closing date</w:t>
      </w:r>
      <w:r w:rsidR="001114CC">
        <w:t xml:space="preserve"> of</w:t>
      </w:r>
      <w:r w:rsidRPr="007077DF">
        <w:t xml:space="preserve"> 18</w:t>
      </w:r>
      <w:r w:rsidR="00322A63">
        <w:t> </w:t>
      </w:r>
      <w:r w:rsidRPr="007077DF">
        <w:t>March 2019.</w:t>
      </w:r>
      <w:r>
        <w:t xml:space="preserve"> </w:t>
      </w:r>
      <w:r w:rsidRPr="00960168">
        <w:t xml:space="preserve">The Department advised that the 2020 </w:t>
      </w:r>
      <w:r w:rsidR="001114CC">
        <w:t>C</w:t>
      </w:r>
      <w:r w:rsidRPr="00960168">
        <w:t xml:space="preserve">ollection </w:t>
      </w:r>
      <w:proofErr w:type="gramStart"/>
      <w:r w:rsidRPr="00960168">
        <w:t>would be undertaken</w:t>
      </w:r>
      <w:proofErr w:type="gramEnd"/>
      <w:r w:rsidRPr="00960168">
        <w:t xml:space="preserve"> in the </w:t>
      </w:r>
      <w:proofErr w:type="spellStart"/>
      <w:r w:rsidRPr="00960168">
        <w:t>SchoolsH</w:t>
      </w:r>
      <w:r w:rsidR="0009232E">
        <w:t>UB</w:t>
      </w:r>
      <w:proofErr w:type="spellEnd"/>
      <w:r w:rsidR="00C40072">
        <w:t xml:space="preserve"> website</w:t>
      </w:r>
      <w:r w:rsidRPr="00960168">
        <w:t xml:space="preserve">. Any school that is over two weeks late submitting their 2019 </w:t>
      </w:r>
      <w:r w:rsidR="001114CC">
        <w:t>C</w:t>
      </w:r>
      <w:r w:rsidRPr="00960168">
        <w:t xml:space="preserve">ollection will be required to re-register for </w:t>
      </w:r>
      <w:proofErr w:type="spellStart"/>
      <w:r w:rsidRPr="00960168">
        <w:t>Schools</w:t>
      </w:r>
      <w:r w:rsidR="001114CC">
        <w:t>HUB</w:t>
      </w:r>
      <w:proofErr w:type="spellEnd"/>
      <w:r w:rsidRPr="00960168">
        <w:t>.</w:t>
      </w:r>
    </w:p>
    <w:p w14:paraId="2A429447" w14:textId="77777777" w:rsidR="005D04DB" w:rsidRPr="00287828" w:rsidRDefault="005D04DB" w:rsidP="005D04DB">
      <w:pPr>
        <w:pStyle w:val="Heading2"/>
      </w:pPr>
      <w:r w:rsidRPr="00287828">
        <w:t>Background</w:t>
      </w:r>
    </w:p>
    <w:p w14:paraId="573F24B5" w14:textId="77777777" w:rsidR="005D04DB" w:rsidRDefault="005D04DB" w:rsidP="005D04DB">
      <w:r>
        <w:t xml:space="preserve">The National School Resourcing Board (the Board) </w:t>
      </w:r>
      <w:r w:rsidRPr="00AE5B58">
        <w:t xml:space="preserve">undertook an independent review of the methodology used to calculate capacity </w:t>
      </w:r>
      <w:r>
        <w:t xml:space="preserve">of a non-government school community </w:t>
      </w:r>
      <w:r w:rsidRPr="00AE5B58">
        <w:t xml:space="preserve">to contribute </w:t>
      </w:r>
      <w:r>
        <w:t>to the cost of schooling,</w:t>
      </w:r>
      <w:r w:rsidRPr="00AE5B58">
        <w:t xml:space="preserve"> to ensure it is the fairest, most effective, accurate and transparent model available. The Board’s final report made six recommendations, including that the capacity to contribute for a school be determined based on a direct measure of income of parents and/or guardians of the students at the school.</w:t>
      </w:r>
    </w:p>
    <w:p w14:paraId="1895B105" w14:textId="031D3A30" w:rsidR="00F11A0D" w:rsidRDefault="005D04DB" w:rsidP="00F11A0D">
      <w:r w:rsidRPr="00AE5B58">
        <w:t xml:space="preserve">The Government has accepted all of the Board’s recommendations and will use a direct income measure </w:t>
      </w:r>
      <w:r>
        <w:t xml:space="preserve">of capacity to contribute </w:t>
      </w:r>
      <w:r w:rsidRPr="00AE5B58">
        <w:t>from 2020</w:t>
      </w:r>
      <w:r>
        <w:t xml:space="preserve"> </w:t>
      </w:r>
      <w:r w:rsidRPr="00AE5B58">
        <w:t>based on the income of parents and/or guardians of students at a school. This more targeted, more accurate measure will ensure funding flows to the schools that need it the most.</w:t>
      </w:r>
    </w:p>
    <w:sectPr w:rsidR="00F11A0D" w:rsidSect="00F11A0D">
      <w:type w:val="continuous"/>
      <w:pgSz w:w="11906" w:h="16838" w:code="9"/>
      <w:pgMar w:top="1134" w:right="1134" w:bottom="85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E68C6" w14:textId="77777777" w:rsidR="003311FD" w:rsidRDefault="003311FD" w:rsidP="003311FD">
      <w:pPr>
        <w:spacing w:before="0" w:after="0" w:line="240" w:lineRule="auto"/>
      </w:pPr>
      <w:r>
        <w:separator/>
      </w:r>
    </w:p>
  </w:endnote>
  <w:endnote w:type="continuationSeparator" w:id="0">
    <w:p w14:paraId="07468A97" w14:textId="77777777" w:rsidR="003311FD" w:rsidRDefault="003311FD" w:rsidP="003311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F79DC" w14:textId="100E7DFC" w:rsidR="00782F1B" w:rsidRDefault="00FC290D" w:rsidP="00A73406">
    <w:pPr>
      <w:pStyle w:val="Footer"/>
      <w:tabs>
        <w:tab w:val="clear" w:pos="9026"/>
        <w:tab w:val="right" w:pos="8647"/>
      </w:tabs>
      <w:ind w:firstLine="720"/>
      <w:jc w:val="right"/>
    </w:pPr>
    <w:sdt>
      <w:sdtPr>
        <w:id w:val="126364487"/>
        <w:docPartObj>
          <w:docPartGallery w:val="Page Numbers (Bottom of Page)"/>
          <w:docPartUnique/>
        </w:docPartObj>
      </w:sdtPr>
      <w:sdtEndPr>
        <w:rPr>
          <w:noProof/>
        </w:rPr>
      </w:sdtEndPr>
      <w:sdtContent>
        <w:r w:rsidR="009104DA">
          <w:fldChar w:fldCharType="begin"/>
        </w:r>
        <w:r w:rsidR="009104DA">
          <w:instrText xml:space="preserve"> PAGE   \* MERGEFORMAT </w:instrText>
        </w:r>
        <w:r w:rsidR="009104DA">
          <w:fldChar w:fldCharType="separate"/>
        </w:r>
        <w:r>
          <w:rPr>
            <w:noProof/>
          </w:rPr>
          <w:t>2</w:t>
        </w:r>
        <w:r w:rsidR="009104D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FFF6" w14:textId="465B01C2" w:rsidR="00782F1B" w:rsidRDefault="009104DA"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3D58" w14:textId="77777777" w:rsidR="003311FD" w:rsidRDefault="003311FD" w:rsidP="003311FD">
      <w:pPr>
        <w:spacing w:before="0" w:after="0" w:line="240" w:lineRule="auto"/>
      </w:pPr>
      <w:r>
        <w:separator/>
      </w:r>
    </w:p>
  </w:footnote>
  <w:footnote w:type="continuationSeparator" w:id="0">
    <w:p w14:paraId="5BA5C7E9" w14:textId="77777777" w:rsidR="003311FD" w:rsidRDefault="003311FD" w:rsidP="003311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93FA" w14:textId="4C563F84" w:rsidR="00AE5B58" w:rsidRDefault="009104DA" w:rsidP="00825B77">
    <w:pPr>
      <w:pStyle w:val="Header"/>
      <w:spacing w:after="480"/>
      <w:jc w:val="center"/>
    </w:pPr>
    <w:r>
      <w:t xml:space="preserve">Direct </w:t>
    </w:r>
    <w:r w:rsidR="00AC1E6A">
      <w:t xml:space="preserve">Income </w:t>
    </w:r>
    <w:r>
      <w:t xml:space="preserve">Measure of Capacity to Contribute Working Group – Meeting </w:t>
    </w:r>
    <w:r w:rsidR="00F11A0D">
      <w:t xml:space="preserve">3 </w:t>
    </w:r>
    <w:r>
      <w:t>| Communique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4EB140D"/>
    <w:multiLevelType w:val="hybridMultilevel"/>
    <w:tmpl w:val="BAD4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FDE39C4"/>
    <w:multiLevelType w:val="hybridMultilevel"/>
    <w:tmpl w:val="88661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6B"/>
    <w:rsid w:val="00027B49"/>
    <w:rsid w:val="00027EB7"/>
    <w:rsid w:val="0003327F"/>
    <w:rsid w:val="00044748"/>
    <w:rsid w:val="00053B4E"/>
    <w:rsid w:val="000678C7"/>
    <w:rsid w:val="000830D8"/>
    <w:rsid w:val="0009232E"/>
    <w:rsid w:val="000B7F0C"/>
    <w:rsid w:val="001036CF"/>
    <w:rsid w:val="001058D4"/>
    <w:rsid w:val="001114CC"/>
    <w:rsid w:val="00142F3C"/>
    <w:rsid w:val="001A5309"/>
    <w:rsid w:val="00214692"/>
    <w:rsid w:val="00271302"/>
    <w:rsid w:val="0028168A"/>
    <w:rsid w:val="002B5BA6"/>
    <w:rsid w:val="002F54BB"/>
    <w:rsid w:val="00304A6B"/>
    <w:rsid w:val="0031360F"/>
    <w:rsid w:val="003161C0"/>
    <w:rsid w:val="0031699F"/>
    <w:rsid w:val="00322A63"/>
    <w:rsid w:val="003311FD"/>
    <w:rsid w:val="003315A7"/>
    <w:rsid w:val="00452C1F"/>
    <w:rsid w:val="0045707A"/>
    <w:rsid w:val="00491A2E"/>
    <w:rsid w:val="004956D2"/>
    <w:rsid w:val="004A7AC8"/>
    <w:rsid w:val="00506A3A"/>
    <w:rsid w:val="005D04DB"/>
    <w:rsid w:val="005D42B9"/>
    <w:rsid w:val="005E2380"/>
    <w:rsid w:val="005F361B"/>
    <w:rsid w:val="00600228"/>
    <w:rsid w:val="00600F1B"/>
    <w:rsid w:val="00682231"/>
    <w:rsid w:val="006A1432"/>
    <w:rsid w:val="006A1FA5"/>
    <w:rsid w:val="006D6820"/>
    <w:rsid w:val="006E0D7A"/>
    <w:rsid w:val="00705302"/>
    <w:rsid w:val="007077DF"/>
    <w:rsid w:val="0074728D"/>
    <w:rsid w:val="00785C8D"/>
    <w:rsid w:val="007948AA"/>
    <w:rsid w:val="007D6511"/>
    <w:rsid w:val="008165BB"/>
    <w:rsid w:val="00825B77"/>
    <w:rsid w:val="008614DB"/>
    <w:rsid w:val="009104DA"/>
    <w:rsid w:val="00910A41"/>
    <w:rsid w:val="00912057"/>
    <w:rsid w:val="00960168"/>
    <w:rsid w:val="009E5FEB"/>
    <w:rsid w:val="009F5840"/>
    <w:rsid w:val="00A25F27"/>
    <w:rsid w:val="00AA0762"/>
    <w:rsid w:val="00AB6395"/>
    <w:rsid w:val="00AC1E6A"/>
    <w:rsid w:val="00AC5096"/>
    <w:rsid w:val="00AD1062"/>
    <w:rsid w:val="00AF6DF9"/>
    <w:rsid w:val="00B84662"/>
    <w:rsid w:val="00BA33C1"/>
    <w:rsid w:val="00C10AEC"/>
    <w:rsid w:val="00C33F68"/>
    <w:rsid w:val="00C40072"/>
    <w:rsid w:val="00C84722"/>
    <w:rsid w:val="00CC7892"/>
    <w:rsid w:val="00CE4687"/>
    <w:rsid w:val="00D16424"/>
    <w:rsid w:val="00D27FE4"/>
    <w:rsid w:val="00D35B2D"/>
    <w:rsid w:val="00D919D2"/>
    <w:rsid w:val="00E65FB5"/>
    <w:rsid w:val="00EB7B6B"/>
    <w:rsid w:val="00EC4702"/>
    <w:rsid w:val="00F11A0D"/>
    <w:rsid w:val="00F4161D"/>
    <w:rsid w:val="00F44B0F"/>
    <w:rsid w:val="00F4692E"/>
    <w:rsid w:val="00FC290D"/>
    <w:rsid w:val="00FE5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8915AE"/>
  <w15:chartTrackingRefBased/>
  <w15:docId w15:val="{004442AA-59A8-48E6-A1A2-13D12145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B6B"/>
    <w:pPr>
      <w:spacing w:before="120" w:after="120" w:line="276" w:lineRule="auto"/>
    </w:pPr>
    <w:rPr>
      <w:rFonts w:eastAsiaTheme="minorEastAsia"/>
    </w:rPr>
  </w:style>
  <w:style w:type="paragraph" w:styleId="Heading1">
    <w:name w:val="heading 1"/>
    <w:basedOn w:val="Normal"/>
    <w:next w:val="Normal"/>
    <w:link w:val="Heading1Char"/>
    <w:uiPriority w:val="9"/>
    <w:qFormat/>
    <w:rsid w:val="00EB7B6B"/>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EB7B6B"/>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EB7B6B"/>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EB7B6B"/>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EB7B6B"/>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EB7B6B"/>
    <w:pPr>
      <w:spacing w:before="200" w:after="0"/>
      <w:outlineLvl w:val="5"/>
    </w:pPr>
    <w:rPr>
      <w:rFonts w:ascii="Calibri" w:eastAsiaTheme="majorEastAsia" w:hAnsi="Calibri" w:cstheme="majorBidi"/>
      <w:b/>
      <w:bCs/>
      <w:i/>
      <w:iCs/>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B6B"/>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EB7B6B"/>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EB7B6B"/>
    <w:rPr>
      <w:rFonts w:ascii="Calibri" w:eastAsiaTheme="majorEastAsia" w:hAnsi="Calibri" w:cstheme="majorBidi"/>
      <w:b/>
      <w:bCs/>
    </w:rPr>
  </w:style>
  <w:style w:type="character" w:customStyle="1" w:styleId="Heading4Char">
    <w:name w:val="Heading 4 Char"/>
    <w:basedOn w:val="DefaultParagraphFont"/>
    <w:link w:val="Heading4"/>
    <w:uiPriority w:val="9"/>
    <w:rsid w:val="00EB7B6B"/>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EB7B6B"/>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EB7B6B"/>
    <w:rPr>
      <w:rFonts w:ascii="Calibri" w:eastAsiaTheme="majorEastAsia" w:hAnsi="Calibri" w:cstheme="majorBidi"/>
      <w:b/>
      <w:bCs/>
      <w:i/>
      <w:iCs/>
      <w:color w:val="757575"/>
    </w:rPr>
  </w:style>
  <w:style w:type="character" w:styleId="Strong">
    <w:name w:val="Strong"/>
    <w:uiPriority w:val="22"/>
    <w:qFormat/>
    <w:rsid w:val="00EB7B6B"/>
    <w:rPr>
      <w:b/>
      <w:bCs/>
    </w:rPr>
  </w:style>
  <w:style w:type="character" w:styleId="Emphasis">
    <w:name w:val="Emphasis"/>
    <w:uiPriority w:val="20"/>
    <w:qFormat/>
    <w:rsid w:val="00EB7B6B"/>
    <w:rPr>
      <w:b w:val="0"/>
      <w:bCs/>
      <w:i/>
      <w:iCs/>
      <w:spacing w:val="10"/>
      <w:bdr w:val="none" w:sz="0" w:space="0" w:color="auto"/>
      <w:shd w:val="clear" w:color="auto" w:fill="auto"/>
    </w:rPr>
  </w:style>
  <w:style w:type="character" w:styleId="Hyperlink">
    <w:name w:val="Hyperlink"/>
    <w:basedOn w:val="DefaultParagraphFont"/>
    <w:uiPriority w:val="99"/>
    <w:unhideWhenUsed/>
    <w:rsid w:val="00EB7B6B"/>
    <w:rPr>
      <w:color w:val="44546A" w:themeColor="text2"/>
      <w:u w:val="single"/>
    </w:rPr>
  </w:style>
  <w:style w:type="paragraph" w:styleId="Title">
    <w:name w:val="Title"/>
    <w:basedOn w:val="Normal"/>
    <w:next w:val="Normal"/>
    <w:link w:val="TitleChar"/>
    <w:uiPriority w:val="10"/>
    <w:rsid w:val="00EB7B6B"/>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B7B6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rsid w:val="00EB7B6B"/>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EB7B6B"/>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EB7B6B"/>
    <w:pPr>
      <w:spacing w:after="0" w:line="240" w:lineRule="auto"/>
    </w:pPr>
  </w:style>
  <w:style w:type="paragraph" w:styleId="ListNumber">
    <w:name w:val="List Number"/>
    <w:basedOn w:val="Normal"/>
    <w:uiPriority w:val="99"/>
    <w:unhideWhenUsed/>
    <w:qFormat/>
    <w:rsid w:val="00EB7B6B"/>
    <w:pPr>
      <w:numPr>
        <w:numId w:val="1"/>
      </w:numPr>
      <w:ind w:left="369" w:hanging="369"/>
      <w:contextualSpacing/>
    </w:pPr>
  </w:style>
  <w:style w:type="paragraph" w:styleId="ListNumber2">
    <w:name w:val="List Number 2"/>
    <w:basedOn w:val="Normal"/>
    <w:uiPriority w:val="99"/>
    <w:unhideWhenUsed/>
    <w:rsid w:val="00EB7B6B"/>
    <w:pPr>
      <w:numPr>
        <w:ilvl w:val="1"/>
        <w:numId w:val="1"/>
      </w:numPr>
      <w:tabs>
        <w:tab w:val="left" w:pos="1134"/>
      </w:tabs>
      <w:ind w:left="936" w:hanging="567"/>
      <w:contextualSpacing/>
    </w:pPr>
  </w:style>
  <w:style w:type="paragraph" w:styleId="ListNumber3">
    <w:name w:val="List Number 3"/>
    <w:basedOn w:val="Normal"/>
    <w:uiPriority w:val="99"/>
    <w:unhideWhenUsed/>
    <w:rsid w:val="00EB7B6B"/>
    <w:pPr>
      <w:numPr>
        <w:ilvl w:val="2"/>
        <w:numId w:val="1"/>
      </w:numPr>
      <w:ind w:left="1701" w:hanging="765"/>
      <w:contextualSpacing/>
    </w:pPr>
  </w:style>
  <w:style w:type="paragraph" w:styleId="ListNumber4">
    <w:name w:val="List Number 4"/>
    <w:basedOn w:val="Normal"/>
    <w:uiPriority w:val="99"/>
    <w:unhideWhenUsed/>
    <w:rsid w:val="00EB7B6B"/>
    <w:pPr>
      <w:numPr>
        <w:ilvl w:val="3"/>
        <w:numId w:val="1"/>
      </w:numPr>
      <w:ind w:left="2637" w:hanging="936"/>
      <w:contextualSpacing/>
    </w:pPr>
  </w:style>
  <w:style w:type="paragraph" w:styleId="ListBullet">
    <w:name w:val="List Bullet"/>
    <w:basedOn w:val="Normal"/>
    <w:uiPriority w:val="99"/>
    <w:unhideWhenUsed/>
    <w:qFormat/>
    <w:rsid w:val="00EB7B6B"/>
    <w:pPr>
      <w:numPr>
        <w:numId w:val="2"/>
      </w:numPr>
      <w:ind w:left="369" w:hanging="369"/>
      <w:contextualSpacing/>
    </w:pPr>
  </w:style>
  <w:style w:type="paragraph" w:styleId="ListBullet2">
    <w:name w:val="List Bullet 2"/>
    <w:basedOn w:val="Normal"/>
    <w:uiPriority w:val="99"/>
    <w:unhideWhenUsed/>
    <w:rsid w:val="00EB7B6B"/>
    <w:pPr>
      <w:numPr>
        <w:ilvl w:val="1"/>
        <w:numId w:val="2"/>
      </w:numPr>
      <w:ind w:left="766" w:hanging="369"/>
      <w:contextualSpacing/>
    </w:pPr>
  </w:style>
  <w:style w:type="paragraph" w:styleId="ListBullet3">
    <w:name w:val="List Bullet 3"/>
    <w:basedOn w:val="Normal"/>
    <w:uiPriority w:val="99"/>
    <w:unhideWhenUsed/>
    <w:rsid w:val="00EB7B6B"/>
    <w:pPr>
      <w:numPr>
        <w:ilvl w:val="2"/>
        <w:numId w:val="2"/>
      </w:numPr>
      <w:ind w:left="1163" w:hanging="369"/>
      <w:contextualSpacing/>
    </w:pPr>
  </w:style>
  <w:style w:type="paragraph" w:styleId="ListBullet4">
    <w:name w:val="List Bullet 4"/>
    <w:basedOn w:val="Normal"/>
    <w:uiPriority w:val="99"/>
    <w:unhideWhenUsed/>
    <w:rsid w:val="00EB7B6B"/>
    <w:pPr>
      <w:numPr>
        <w:ilvl w:val="3"/>
        <w:numId w:val="2"/>
      </w:numPr>
      <w:ind w:left="1503" w:hanging="369"/>
      <w:contextualSpacing/>
    </w:pPr>
  </w:style>
  <w:style w:type="table" w:customStyle="1" w:styleId="DEEWRTable">
    <w:name w:val="DEEWR Table"/>
    <w:basedOn w:val="TableNormal"/>
    <w:uiPriority w:val="99"/>
    <w:rsid w:val="00EB7B6B"/>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character" w:customStyle="1" w:styleId="NoSpacingChar">
    <w:name w:val="No Spacing Char"/>
    <w:basedOn w:val="DefaultParagraphFont"/>
    <w:link w:val="NoSpacing"/>
    <w:uiPriority w:val="1"/>
    <w:rsid w:val="00EB7B6B"/>
    <w:rPr>
      <w:rFonts w:eastAsiaTheme="minorEastAsia"/>
    </w:rPr>
  </w:style>
  <w:style w:type="paragraph" w:styleId="Header">
    <w:name w:val="header"/>
    <w:basedOn w:val="Normal"/>
    <w:link w:val="HeaderChar"/>
    <w:uiPriority w:val="99"/>
    <w:unhideWhenUsed/>
    <w:rsid w:val="00EB7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B6B"/>
    <w:rPr>
      <w:rFonts w:eastAsiaTheme="minorEastAsia"/>
    </w:rPr>
  </w:style>
  <w:style w:type="paragraph" w:styleId="Footer">
    <w:name w:val="footer"/>
    <w:basedOn w:val="Normal"/>
    <w:link w:val="FooterChar"/>
    <w:uiPriority w:val="99"/>
    <w:unhideWhenUsed/>
    <w:rsid w:val="00EB7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B6B"/>
    <w:rPr>
      <w:rFonts w:eastAsiaTheme="minorEastAsia"/>
    </w:rPr>
  </w:style>
  <w:style w:type="paragraph" w:styleId="Caption">
    <w:name w:val="caption"/>
    <w:basedOn w:val="Heading4"/>
    <w:next w:val="Normal"/>
    <w:uiPriority w:val="35"/>
    <w:unhideWhenUsed/>
    <w:rsid w:val="00EB7B6B"/>
    <w:rPr>
      <w:i w:val="0"/>
    </w:rPr>
  </w:style>
  <w:style w:type="character" w:styleId="PlaceholderText">
    <w:name w:val="Placeholder Text"/>
    <w:basedOn w:val="DefaultParagraphFont"/>
    <w:uiPriority w:val="99"/>
    <w:semiHidden/>
    <w:rsid w:val="00EB7B6B"/>
    <w:rPr>
      <w:color w:val="808080"/>
    </w:rPr>
  </w:style>
  <w:style w:type="paragraph" w:styleId="Revision">
    <w:name w:val="Revision"/>
    <w:hidden/>
    <w:uiPriority w:val="99"/>
    <w:semiHidden/>
    <w:rsid w:val="003311FD"/>
    <w:pPr>
      <w:spacing w:after="0" w:line="240" w:lineRule="auto"/>
    </w:pPr>
    <w:rPr>
      <w:rFonts w:eastAsiaTheme="minorEastAsia"/>
    </w:rPr>
  </w:style>
  <w:style w:type="paragraph" w:styleId="ListParagraph">
    <w:name w:val="List Paragraph"/>
    <w:basedOn w:val="Normal"/>
    <w:uiPriority w:val="34"/>
    <w:qFormat/>
    <w:rsid w:val="00271302"/>
    <w:pPr>
      <w:ind w:left="720"/>
      <w:contextualSpacing/>
    </w:pPr>
  </w:style>
  <w:style w:type="paragraph" w:styleId="BalloonText">
    <w:name w:val="Balloon Text"/>
    <w:basedOn w:val="Normal"/>
    <w:link w:val="BalloonTextChar"/>
    <w:uiPriority w:val="99"/>
    <w:semiHidden/>
    <w:unhideWhenUsed/>
    <w:rsid w:val="00C10AE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EC"/>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27FE4"/>
    <w:rPr>
      <w:sz w:val="16"/>
      <w:szCs w:val="16"/>
    </w:rPr>
  </w:style>
  <w:style w:type="paragraph" w:styleId="CommentText">
    <w:name w:val="annotation text"/>
    <w:basedOn w:val="Normal"/>
    <w:link w:val="CommentTextChar"/>
    <w:uiPriority w:val="99"/>
    <w:semiHidden/>
    <w:unhideWhenUsed/>
    <w:rsid w:val="00D27FE4"/>
    <w:pPr>
      <w:spacing w:line="240" w:lineRule="auto"/>
    </w:pPr>
    <w:rPr>
      <w:sz w:val="20"/>
      <w:szCs w:val="20"/>
    </w:rPr>
  </w:style>
  <w:style w:type="character" w:customStyle="1" w:styleId="CommentTextChar">
    <w:name w:val="Comment Text Char"/>
    <w:basedOn w:val="DefaultParagraphFont"/>
    <w:link w:val="CommentText"/>
    <w:uiPriority w:val="99"/>
    <w:semiHidden/>
    <w:rsid w:val="00D27F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27FE4"/>
    <w:rPr>
      <w:b/>
      <w:bCs/>
    </w:rPr>
  </w:style>
  <w:style w:type="character" w:customStyle="1" w:styleId="CommentSubjectChar">
    <w:name w:val="Comment Subject Char"/>
    <w:basedOn w:val="CommentTextChar"/>
    <w:link w:val="CommentSubject"/>
    <w:uiPriority w:val="99"/>
    <w:semiHidden/>
    <w:rsid w:val="00D27FE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5BB0FF17440BC9E9237FEC82FA546"/>
        <w:category>
          <w:name w:val="General"/>
          <w:gallery w:val="placeholder"/>
        </w:category>
        <w:types>
          <w:type w:val="bbPlcHdr"/>
        </w:types>
        <w:behaviors>
          <w:behavior w:val="content"/>
        </w:behaviors>
        <w:guid w:val="{0297993D-ABE7-488D-BA8B-0FE04415E959}"/>
      </w:docPartPr>
      <w:docPartBody>
        <w:p w:rsidR="002305BD" w:rsidRDefault="00E3638A" w:rsidP="00E3638A">
          <w:pPr>
            <w:pStyle w:val="5885BB0FF17440BC9E9237FEC82FA546"/>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8A"/>
    <w:rsid w:val="002305BD"/>
    <w:rsid w:val="00E36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38A"/>
    <w:rPr>
      <w:color w:val="808080"/>
    </w:rPr>
  </w:style>
  <w:style w:type="paragraph" w:customStyle="1" w:styleId="5885BB0FF17440BC9E9237FEC82FA546">
    <w:name w:val="5885BB0FF17440BC9E9237FEC82FA546"/>
    <w:rsid w:val="00E36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E62B5-45DF-4DFD-8667-F9069907B21F}"/>
</file>

<file path=customXml/itemProps2.xml><?xml version="1.0" encoding="utf-8"?>
<ds:datastoreItem xmlns:ds="http://schemas.openxmlformats.org/officeDocument/2006/customXml" ds:itemID="{933FCF78-4254-4DC1-884A-581939EA1287}"/>
</file>

<file path=customXml/itemProps3.xml><?xml version="1.0" encoding="utf-8"?>
<ds:datastoreItem xmlns:ds="http://schemas.openxmlformats.org/officeDocument/2006/customXml" ds:itemID="{87C15997-0A16-4124-85C0-87EC4FD457D6}"/>
</file>

<file path=customXml/itemProps4.xml><?xml version="1.0" encoding="utf-8"?>
<ds:datastoreItem xmlns:ds="http://schemas.openxmlformats.org/officeDocument/2006/customXml" ds:itemID="{8A27B8C8-86AB-45DD-9A83-FD642ACAF94A}"/>
</file>

<file path=docProps/app.xml><?xml version="1.0" encoding="utf-8"?>
<Properties xmlns="http://schemas.openxmlformats.org/officeDocument/2006/extended-properties" xmlns:vt="http://schemas.openxmlformats.org/officeDocument/2006/docPropsVTypes">
  <Template>26DADF7F.dotm</Template>
  <TotalTime>1</TotalTime>
  <Pages>2</Pages>
  <Words>913</Words>
  <Characters>5210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Direct Income Measure of Capacity to Contribute Technical Working Group</vt:lpstr>
    </vt:vector>
  </TitlesOfParts>
  <Company>Australian Government</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Income Measure of Capacity to Contribute Technical Working Group</dc:title>
  <dc:subject/>
  <dc:creator>PHELAN,Jessica</dc:creator>
  <cp:keywords/>
  <dc:description/>
  <cp:lastModifiedBy>FRANTZ,Rebecca</cp:lastModifiedBy>
  <cp:revision>2</cp:revision>
  <dcterms:created xsi:type="dcterms:W3CDTF">2019-04-02T05:09:00Z</dcterms:created>
  <dcterms:modified xsi:type="dcterms:W3CDTF">2019-04-02T05:09:00Z</dcterms:modified>
</cp:coreProperties>
</file>