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6B" w:rsidRDefault="00EB7B6B" w:rsidP="00EB7B6B">
      <w:pPr>
        <w:pStyle w:val="NoSpacing"/>
        <w:spacing w:before="0"/>
        <w:ind w:left="-1134"/>
        <w:sectPr w:rsidR="00EB7B6B" w:rsidSect="00EB7B6B">
          <w:headerReference w:type="default" r:id="rId7"/>
          <w:footerReference w:type="default" r:id="rId8"/>
          <w:footerReference w:type="first" r:id="rId9"/>
          <w:pgSz w:w="11906" w:h="16838"/>
          <w:pgMar w:top="0" w:right="1134" w:bottom="1134" w:left="1134" w:header="680" w:footer="567" w:gutter="0"/>
          <w:cols w:space="708"/>
          <w:titlePg/>
          <w:docGrid w:linePitch="360"/>
        </w:sectPr>
      </w:pPr>
      <w:bookmarkStart w:id="0" w:name="_GoBack"/>
      <w:bookmarkEnd w:id="0"/>
      <w:r>
        <w:rPr>
          <w:noProof/>
          <w:lang w:eastAsia="en-AU"/>
        </w:rPr>
        <w:drawing>
          <wp:inline distT="0" distB="0" distL="0" distR="0" wp14:anchorId="6B453705" wp14:editId="595CA2AA">
            <wp:extent cx="7541181" cy="2469600"/>
            <wp:effectExtent l="0" t="0" r="3175" b="6985"/>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0">
                      <a:extLst>
                        <a:ext uri="{28A0092B-C50C-407E-A947-70E740481C1C}">
                          <a14:useLocalDpi xmlns:a14="http://schemas.microsoft.com/office/drawing/2010/main" val="0"/>
                        </a:ext>
                      </a:extLst>
                    </a:blip>
                    <a:stretch>
                      <a:fillRect/>
                    </a:stretch>
                  </pic:blipFill>
                  <pic:spPr>
                    <a:xfrm>
                      <a:off x="0" y="0"/>
                      <a:ext cx="7541181" cy="2469600"/>
                    </a:xfrm>
                    <a:prstGeom prst="rect">
                      <a:avLst/>
                    </a:prstGeom>
                  </pic:spPr>
                </pic:pic>
              </a:graphicData>
            </a:graphic>
          </wp:inline>
        </w:drawing>
      </w:r>
    </w:p>
    <w:sdt>
      <w:sdtPr>
        <w:rPr>
          <w:rFonts w:cs="Calibri"/>
        </w:rPr>
        <w:alias w:val="Title"/>
        <w:tag w:val=""/>
        <w:id w:val="-19171197"/>
        <w:placeholder>
          <w:docPart w:val="5885BB0FF17440BC9E9237FEC82FA546"/>
        </w:placeholder>
        <w:dataBinding w:prefixMappings="xmlns:ns0='http://purl.org/dc/elements/1.1/' xmlns:ns1='http://schemas.openxmlformats.org/package/2006/metadata/core-properties' " w:xpath="/ns1:coreProperties[1]/ns0:title[1]" w:storeItemID="{6C3C8BC8-F283-45AE-878A-BAB7291924A1}"/>
        <w:text/>
      </w:sdtPr>
      <w:sdtEndPr/>
      <w:sdtContent>
        <w:p w:rsidR="00EB7B6B" w:rsidRPr="00D27C2D" w:rsidRDefault="00AC1E6A" w:rsidP="00EB7B6B">
          <w:pPr>
            <w:pStyle w:val="Title"/>
            <w:ind w:right="-23"/>
          </w:pPr>
          <w:r w:rsidRPr="003311FD">
            <w:rPr>
              <w:rFonts w:cs="Calibri"/>
            </w:rPr>
            <w:t xml:space="preserve">Direct </w:t>
          </w:r>
          <w:r>
            <w:rPr>
              <w:rFonts w:cs="Calibri"/>
            </w:rPr>
            <w:t xml:space="preserve">Income </w:t>
          </w:r>
          <w:r w:rsidRPr="003311FD">
            <w:rPr>
              <w:rFonts w:cs="Calibri"/>
            </w:rPr>
            <w:t xml:space="preserve">Measure of Capacity to Contribute </w:t>
          </w:r>
          <w:r>
            <w:rPr>
              <w:rFonts w:cs="Calibri"/>
            </w:rPr>
            <w:t xml:space="preserve">Technical </w:t>
          </w:r>
          <w:r w:rsidRPr="003311FD">
            <w:rPr>
              <w:rFonts w:cs="Calibri"/>
            </w:rPr>
            <w:t>Working Group</w:t>
          </w:r>
        </w:p>
      </w:sdtContent>
    </w:sdt>
    <w:p w:rsidR="006D17C2" w:rsidRDefault="006D17C2" w:rsidP="006D17C2">
      <w:r>
        <w:t xml:space="preserve">The Department of Education and Training has established the Technical Working Group to undertake further work on the implementation of the direct income measure of capacity of a school community to contribute to the cost of schooling. The Working Group will also provide advice on refinements to the measure for further consultation and feedback, to support the development of a high quality, reliable and robust methodology for use in the Schooling Resource Standard funding model. </w:t>
      </w:r>
    </w:p>
    <w:p w:rsidR="006D17C2" w:rsidRDefault="006D17C2" w:rsidP="006D17C2">
      <w:r>
        <w:t>The Working Group will meet on a regular basis and consists of representatives from the non-government schools sector, the Australian Government, and state and territory governments.</w:t>
      </w:r>
    </w:p>
    <w:p w:rsidR="006D17C2" w:rsidRDefault="006D17C2" w:rsidP="006D17C2">
      <w:pPr>
        <w:pStyle w:val="Subtitle"/>
        <w:spacing w:after="120"/>
      </w:pPr>
      <w:r>
        <w:t>Meeting 2 – 14 December 2018 | Communiqué</w:t>
      </w:r>
    </w:p>
    <w:p w:rsidR="006D17C2" w:rsidRDefault="006D17C2" w:rsidP="006D17C2">
      <w:r>
        <w:t>The Working Group held its second meeting in Canberra on Friday 14 December 2018. At the invitation of the Working Group, Associate Professor Nicholas Biddle (</w:t>
      </w:r>
      <w:r w:rsidRPr="008A19ED">
        <w:t>ANU Centre for Social Research and Methods</w:t>
      </w:r>
      <w:r>
        <w:t>) presented on his research: the distribution and determinants of income in Australia: Evidence from linked tax, social security and Census data. The Working Group then discussed a range of issues including:</w:t>
      </w:r>
    </w:p>
    <w:p w:rsidR="006D17C2" w:rsidRPr="00FE7D4F" w:rsidRDefault="006D17C2" w:rsidP="006D17C2">
      <w:pPr>
        <w:pStyle w:val="ListParagraph"/>
        <w:numPr>
          <w:ilvl w:val="0"/>
          <w:numId w:val="4"/>
        </w:numPr>
        <w:rPr>
          <w:rFonts w:eastAsiaTheme="majorEastAsia"/>
        </w:rPr>
      </w:pPr>
      <w:r w:rsidRPr="00FE7D4F">
        <w:rPr>
          <w:rFonts w:eastAsiaTheme="majorEastAsia"/>
        </w:rPr>
        <w:t>Treatment of missing data</w:t>
      </w:r>
      <w:r>
        <w:rPr>
          <w:rFonts w:eastAsiaTheme="majorEastAsia"/>
        </w:rPr>
        <w:t xml:space="preserve"> </w:t>
      </w:r>
      <w:r>
        <w:rPr>
          <w:rFonts w:ascii="Calibri" w:eastAsia="Calibri" w:hAnsi="Calibri" w:cs="Calibri"/>
        </w:rPr>
        <w:t xml:space="preserve">including </w:t>
      </w:r>
      <w:r w:rsidRPr="005E403C">
        <w:t>data items which coul</w:t>
      </w:r>
      <w:r>
        <w:t xml:space="preserve">d be used where particular income data are missing </w:t>
      </w:r>
    </w:p>
    <w:p w:rsidR="006D17C2" w:rsidRPr="00FE7D4F" w:rsidRDefault="006D17C2" w:rsidP="006D17C2">
      <w:pPr>
        <w:pStyle w:val="ListParagraph"/>
        <w:numPr>
          <w:ilvl w:val="0"/>
          <w:numId w:val="4"/>
        </w:numPr>
        <w:rPr>
          <w:rFonts w:eastAsiaTheme="majorEastAsia"/>
        </w:rPr>
      </w:pPr>
      <w:r w:rsidRPr="00FE7D4F">
        <w:rPr>
          <w:rFonts w:eastAsiaTheme="majorEastAsia"/>
        </w:rPr>
        <w:t xml:space="preserve">Measurement of income </w:t>
      </w:r>
      <w:r w:rsidR="00C40D6D" w:rsidRPr="00C40D6D">
        <w:rPr>
          <w:rFonts w:eastAsiaTheme="majorEastAsia"/>
        </w:rPr>
        <w:t>–</w:t>
      </w:r>
      <w:r>
        <w:rPr>
          <w:rFonts w:eastAsiaTheme="majorEastAsia"/>
        </w:rPr>
        <w:t xml:space="preserve"> </w:t>
      </w:r>
      <w:r w:rsidRPr="00FE7D4F">
        <w:rPr>
          <w:rFonts w:eastAsiaTheme="majorEastAsia"/>
        </w:rPr>
        <w:t xml:space="preserve">adjusted </w:t>
      </w:r>
      <w:r>
        <w:rPr>
          <w:rFonts w:eastAsiaTheme="majorEastAsia"/>
        </w:rPr>
        <w:t>taxable income or total income</w:t>
      </w:r>
      <w:r w:rsidRPr="00FE7D4F">
        <w:rPr>
          <w:rFonts w:eastAsiaTheme="majorEastAsia"/>
        </w:rPr>
        <w:t xml:space="preserve"> </w:t>
      </w:r>
    </w:p>
    <w:p w:rsidR="006D17C2" w:rsidRPr="00FE7D4F" w:rsidRDefault="006D17C2" w:rsidP="006D17C2">
      <w:pPr>
        <w:pStyle w:val="ListParagraph"/>
        <w:numPr>
          <w:ilvl w:val="0"/>
          <w:numId w:val="4"/>
        </w:numPr>
        <w:rPr>
          <w:rFonts w:eastAsiaTheme="majorEastAsia"/>
        </w:rPr>
      </w:pPr>
      <w:r>
        <w:rPr>
          <w:rFonts w:eastAsiaTheme="majorEastAsia"/>
        </w:rPr>
        <w:t>Protection of p</w:t>
      </w:r>
      <w:r w:rsidRPr="00FE7D4F">
        <w:rPr>
          <w:rFonts w:eastAsiaTheme="majorEastAsia"/>
        </w:rPr>
        <w:t xml:space="preserve">rivacy </w:t>
      </w:r>
      <w:r>
        <w:rPr>
          <w:rFonts w:eastAsiaTheme="majorEastAsia"/>
        </w:rPr>
        <w:t xml:space="preserve">and the </w:t>
      </w:r>
      <w:r>
        <w:rPr>
          <w:rFonts w:ascii="Calibri" w:eastAsia="Calibri" w:hAnsi="Calibri" w:cs="Calibri"/>
          <w:bCs/>
        </w:rPr>
        <w:t>measures in place to protect individual privacy throughout the project</w:t>
      </w:r>
    </w:p>
    <w:p w:rsidR="006D17C2" w:rsidRPr="00FE7D4F" w:rsidRDefault="006D17C2" w:rsidP="006D17C2">
      <w:pPr>
        <w:pStyle w:val="ListParagraph"/>
        <w:numPr>
          <w:ilvl w:val="0"/>
          <w:numId w:val="4"/>
        </w:numPr>
        <w:rPr>
          <w:rFonts w:eastAsiaTheme="majorEastAsia"/>
          <w:b/>
        </w:rPr>
      </w:pPr>
      <w:r w:rsidRPr="00FE7D4F">
        <w:rPr>
          <w:rFonts w:eastAsiaTheme="majorEastAsia"/>
        </w:rPr>
        <w:t>Family circumstances</w:t>
      </w:r>
      <w:r>
        <w:rPr>
          <w:rFonts w:eastAsiaTheme="majorEastAsia"/>
        </w:rPr>
        <w:t xml:space="preserve"> and in particular </w:t>
      </w:r>
      <w:r w:rsidRPr="001264EF">
        <w:rPr>
          <w:rFonts w:ascii="Calibri" w:eastAsia="Calibri" w:hAnsi="Calibri" w:cs="Calibri"/>
          <w:bCs/>
        </w:rPr>
        <w:t>incorporating family size and circumstances</w:t>
      </w:r>
      <w:r>
        <w:rPr>
          <w:rFonts w:ascii="Calibri" w:eastAsia="Calibri" w:hAnsi="Calibri" w:cs="Calibri"/>
          <w:bCs/>
        </w:rPr>
        <w:t>.</w:t>
      </w:r>
    </w:p>
    <w:p w:rsidR="006D17C2" w:rsidRPr="005756C8" w:rsidRDefault="006D17C2" w:rsidP="006D17C2">
      <w:pPr>
        <w:pStyle w:val="Heading2"/>
      </w:pPr>
      <w:r w:rsidRPr="005756C8">
        <w:t xml:space="preserve">Validation of </w:t>
      </w:r>
      <w:r>
        <w:t>D</w:t>
      </w:r>
      <w:r w:rsidRPr="005756C8">
        <w:t xml:space="preserve">ata and the </w:t>
      </w:r>
      <w:r>
        <w:t>T</w:t>
      </w:r>
      <w:r w:rsidRPr="005756C8">
        <w:t xml:space="preserve">reatment of </w:t>
      </w:r>
      <w:r>
        <w:t>M</w:t>
      </w:r>
      <w:r w:rsidRPr="005756C8">
        <w:t xml:space="preserve">issing </w:t>
      </w:r>
      <w:r>
        <w:t>D</w:t>
      </w:r>
      <w:r w:rsidRPr="005756C8">
        <w:t>ata</w:t>
      </w:r>
    </w:p>
    <w:p w:rsidR="006D17C2" w:rsidRDefault="006D17C2" w:rsidP="006D17C2">
      <w:r w:rsidRPr="005E403C">
        <w:t>The Department presented an outline of data items which coul</w:t>
      </w:r>
      <w:r>
        <w:t>d be used where the main income data (e.g. income tax data) are missing</w:t>
      </w:r>
      <w:r w:rsidRPr="005E403C">
        <w:t>. The Working Group dis</w:t>
      </w:r>
      <w:r>
        <w:t xml:space="preserve">cussed </w:t>
      </w:r>
      <w:r w:rsidRPr="005E403C">
        <w:t xml:space="preserve">the merits of </w:t>
      </w:r>
      <w:r>
        <w:t>possible</w:t>
      </w:r>
      <w:r w:rsidRPr="005E403C">
        <w:t xml:space="preserve"> </w:t>
      </w:r>
      <w:r>
        <w:t xml:space="preserve">alternatives and whether they would be fit for purpose, reliable and </w:t>
      </w:r>
      <w:r w:rsidRPr="005E403C">
        <w:t xml:space="preserve">transparent. It was </w:t>
      </w:r>
      <w:r>
        <w:t xml:space="preserve">agreed </w:t>
      </w:r>
      <w:r w:rsidRPr="005E403C">
        <w:t>that</w:t>
      </w:r>
      <w:r>
        <w:t xml:space="preserve"> further</w:t>
      </w:r>
      <w:r w:rsidRPr="005E403C">
        <w:t xml:space="preserve"> work be undertaken to </w:t>
      </w:r>
      <w:r>
        <w:t xml:space="preserve">test the reliability and validity of data items that could be used to account for missing data. </w:t>
      </w:r>
    </w:p>
    <w:p w:rsidR="006D17C2" w:rsidRPr="005E403C" w:rsidRDefault="006D17C2" w:rsidP="006D17C2">
      <w:pPr>
        <w:keepLines/>
      </w:pPr>
      <w:r w:rsidRPr="006E6EB9">
        <w:t xml:space="preserve">The Working Group </w:t>
      </w:r>
      <w:r>
        <w:t xml:space="preserve">also </w:t>
      </w:r>
      <w:r w:rsidRPr="006E6EB9">
        <w:t xml:space="preserve">discussed the merits of using </w:t>
      </w:r>
      <w:r>
        <w:t xml:space="preserve">ABS </w:t>
      </w:r>
      <w:r w:rsidRPr="006E6EB9">
        <w:t xml:space="preserve">Census </w:t>
      </w:r>
      <w:r>
        <w:t xml:space="preserve">of Population and Housing (Census) data </w:t>
      </w:r>
      <w:r w:rsidRPr="006E6EB9">
        <w:t xml:space="preserve">and other data </w:t>
      </w:r>
      <w:r>
        <w:t xml:space="preserve">sources </w:t>
      </w:r>
      <w:r w:rsidRPr="006E6EB9">
        <w:t xml:space="preserve">to </w:t>
      </w:r>
      <w:r>
        <w:t>validate</w:t>
      </w:r>
      <w:r w:rsidRPr="003342D8">
        <w:t xml:space="preserve"> the </w:t>
      </w:r>
      <w:r>
        <w:t>direct income measure calculated in the secure Multi-Agency Data Integration Project (MADIP)</w:t>
      </w:r>
      <w:r w:rsidRPr="00B478FA">
        <w:t xml:space="preserve"> </w:t>
      </w:r>
      <w:r>
        <w:t>environment</w:t>
      </w:r>
      <w:r w:rsidRPr="003342D8">
        <w:t xml:space="preserve">. </w:t>
      </w:r>
      <w:r w:rsidRPr="006E6EB9">
        <w:t>The Working Group noted ac</w:t>
      </w:r>
      <w:r>
        <w:t xml:space="preserve">ademic studies and the preliminary </w:t>
      </w:r>
      <w:r w:rsidRPr="006E6EB9">
        <w:t>work of the National School</w:t>
      </w:r>
      <w:r>
        <w:t xml:space="preserve"> Resourcing Board </w:t>
      </w:r>
      <w:r w:rsidRPr="006E6EB9">
        <w:t xml:space="preserve">in which it was </w:t>
      </w:r>
      <w:r>
        <w:t xml:space="preserve">found </w:t>
      </w:r>
      <w:r w:rsidRPr="006E6EB9">
        <w:t xml:space="preserve">that </w:t>
      </w:r>
      <w:r>
        <w:t xml:space="preserve">the income </w:t>
      </w:r>
      <w:r w:rsidRPr="006E6EB9">
        <w:t>data</w:t>
      </w:r>
      <w:r>
        <w:t xml:space="preserve"> available through MADIP </w:t>
      </w:r>
      <w:r w:rsidRPr="006E6EB9">
        <w:t>were re</w:t>
      </w:r>
      <w:r>
        <w:t>liable for t</w:t>
      </w:r>
      <w:r w:rsidRPr="006E6EB9">
        <w:t xml:space="preserve">he </w:t>
      </w:r>
      <w:r>
        <w:t>majority</w:t>
      </w:r>
      <w:r w:rsidRPr="006E6EB9">
        <w:t xml:space="preserve"> of the population</w:t>
      </w:r>
      <w:r w:rsidRPr="0059307C">
        <w:t xml:space="preserve">. </w:t>
      </w:r>
    </w:p>
    <w:p w:rsidR="006D17C2" w:rsidRDefault="006D17C2" w:rsidP="006D17C2">
      <w:pPr>
        <w:pStyle w:val="Heading2"/>
      </w:pPr>
      <w:r>
        <w:lastRenderedPageBreak/>
        <w:t xml:space="preserve">Measurement of Income </w:t>
      </w:r>
    </w:p>
    <w:p w:rsidR="006D17C2" w:rsidRPr="00256617" w:rsidRDefault="006D17C2" w:rsidP="006D17C2">
      <w:pPr>
        <w:rPr>
          <w:rFonts w:eastAsia="Times New Roman" w:cs="Times New Roman"/>
          <w:szCs w:val="20"/>
        </w:rPr>
      </w:pPr>
      <w:r w:rsidRPr="009A643E">
        <w:rPr>
          <w:rFonts w:eastAsia="Times New Roman" w:cs="Times New Roman"/>
          <w:szCs w:val="20"/>
        </w:rPr>
        <w:t xml:space="preserve">Working Group members </w:t>
      </w:r>
      <w:r w:rsidRPr="00256617">
        <w:rPr>
          <w:rFonts w:eastAsia="Times New Roman" w:cs="Times New Roman"/>
          <w:szCs w:val="20"/>
        </w:rPr>
        <w:t>discussed the merits of using</w:t>
      </w:r>
      <w:r>
        <w:rPr>
          <w:rFonts w:eastAsia="Times New Roman" w:cs="Times New Roman"/>
          <w:szCs w:val="20"/>
        </w:rPr>
        <w:t xml:space="preserve"> either</w:t>
      </w:r>
      <w:r w:rsidRPr="00256617">
        <w:rPr>
          <w:rFonts w:eastAsia="Times New Roman" w:cs="Times New Roman"/>
          <w:szCs w:val="20"/>
        </w:rPr>
        <w:t xml:space="preserve"> adjust</w:t>
      </w:r>
      <w:r>
        <w:rPr>
          <w:rFonts w:eastAsia="Times New Roman" w:cs="Times New Roman"/>
          <w:szCs w:val="20"/>
        </w:rPr>
        <w:t>ed</w:t>
      </w:r>
      <w:r w:rsidRPr="00256617">
        <w:rPr>
          <w:rFonts w:eastAsia="Times New Roman" w:cs="Times New Roman"/>
          <w:szCs w:val="20"/>
        </w:rPr>
        <w:t xml:space="preserve"> taxable income or </w:t>
      </w:r>
      <w:r>
        <w:rPr>
          <w:rFonts w:eastAsia="Times New Roman" w:cs="Times New Roman"/>
          <w:szCs w:val="20"/>
        </w:rPr>
        <w:t>total (</w:t>
      </w:r>
      <w:r w:rsidRPr="00256617">
        <w:rPr>
          <w:rFonts w:eastAsia="Times New Roman" w:cs="Times New Roman"/>
          <w:szCs w:val="20"/>
        </w:rPr>
        <w:t>gross</w:t>
      </w:r>
      <w:r>
        <w:rPr>
          <w:rFonts w:eastAsia="Times New Roman" w:cs="Times New Roman"/>
          <w:szCs w:val="20"/>
        </w:rPr>
        <w:t>)</w:t>
      </w:r>
      <w:r w:rsidRPr="00256617">
        <w:rPr>
          <w:rFonts w:eastAsia="Times New Roman" w:cs="Times New Roman"/>
          <w:szCs w:val="20"/>
        </w:rPr>
        <w:t xml:space="preserve"> income. It was noted that both were fit for purpose as a measure of capacity of a school community to contribute to the cost of schooling. Working Group members noted that </w:t>
      </w:r>
      <w:r w:rsidRPr="009A643E">
        <w:rPr>
          <w:rFonts w:eastAsia="Times New Roman" w:cs="Times New Roman"/>
          <w:szCs w:val="20"/>
        </w:rPr>
        <w:t xml:space="preserve">adjusted taxable income is used in other Government programs </w:t>
      </w:r>
      <w:r w:rsidRPr="00256617">
        <w:rPr>
          <w:rFonts w:eastAsia="Times New Roman" w:cs="Times New Roman"/>
          <w:szCs w:val="20"/>
        </w:rPr>
        <w:t xml:space="preserve">including the </w:t>
      </w:r>
      <w:r w:rsidRPr="009A643E">
        <w:rPr>
          <w:rFonts w:eastAsia="Times New Roman" w:cs="Times New Roman"/>
          <w:szCs w:val="20"/>
        </w:rPr>
        <w:t xml:space="preserve">Family Tax Benefit and Child Care Subsidy. The Working Group noted that </w:t>
      </w:r>
      <w:r>
        <w:rPr>
          <w:rFonts w:eastAsia="Times New Roman" w:cs="Times New Roman"/>
          <w:szCs w:val="20"/>
        </w:rPr>
        <w:t xml:space="preserve">the use of </w:t>
      </w:r>
      <w:r w:rsidRPr="009A643E">
        <w:rPr>
          <w:rFonts w:eastAsia="Times New Roman" w:cs="Times New Roman"/>
          <w:szCs w:val="20"/>
        </w:rPr>
        <w:t xml:space="preserve">adjusted taxable income </w:t>
      </w:r>
      <w:r>
        <w:rPr>
          <w:rFonts w:eastAsia="Times New Roman" w:cs="Times New Roman"/>
          <w:szCs w:val="20"/>
        </w:rPr>
        <w:t>would require a</w:t>
      </w:r>
      <w:r w:rsidRPr="009A643E">
        <w:rPr>
          <w:rFonts w:eastAsia="Times New Roman" w:cs="Times New Roman"/>
          <w:szCs w:val="20"/>
        </w:rPr>
        <w:t xml:space="preserve"> calculatio</w:t>
      </w:r>
      <w:r w:rsidRPr="00256617">
        <w:rPr>
          <w:rFonts w:eastAsia="Times New Roman" w:cs="Times New Roman"/>
          <w:szCs w:val="20"/>
        </w:rPr>
        <w:t xml:space="preserve">n using a number of fields and that </w:t>
      </w:r>
      <w:r w:rsidRPr="009A643E">
        <w:rPr>
          <w:rFonts w:eastAsia="Times New Roman" w:cs="Times New Roman"/>
          <w:szCs w:val="20"/>
        </w:rPr>
        <w:t>consideration will need to be given to the additional complexity the use of adjust</w:t>
      </w:r>
      <w:r>
        <w:rPr>
          <w:rFonts w:eastAsia="Times New Roman" w:cs="Times New Roman"/>
          <w:szCs w:val="20"/>
        </w:rPr>
        <w:t>ed</w:t>
      </w:r>
      <w:r w:rsidRPr="009A643E">
        <w:rPr>
          <w:rFonts w:eastAsia="Times New Roman" w:cs="Times New Roman"/>
          <w:szCs w:val="20"/>
        </w:rPr>
        <w:t xml:space="preserve"> taxable income would introduce. </w:t>
      </w:r>
      <w:r w:rsidRPr="00F23104">
        <w:rPr>
          <w:rFonts w:eastAsia="Times New Roman" w:cs="Times New Roman"/>
          <w:szCs w:val="20"/>
        </w:rPr>
        <w:t>It was agreed that adjusted taxable income was the preferred approach, however further analysis will be undertaken</w:t>
      </w:r>
      <w:r>
        <w:rPr>
          <w:rFonts w:eastAsia="Times New Roman" w:cs="Times New Roman"/>
          <w:szCs w:val="20"/>
        </w:rPr>
        <w:t xml:space="preserve"> to fully consider both options.</w:t>
      </w:r>
    </w:p>
    <w:p w:rsidR="006D17C2" w:rsidRDefault="006D17C2" w:rsidP="006D17C2">
      <w:pPr>
        <w:pStyle w:val="Heading2"/>
      </w:pPr>
      <w:r>
        <w:t>Protection of Privacy</w:t>
      </w:r>
    </w:p>
    <w:p w:rsidR="006D17C2" w:rsidRPr="002762A5" w:rsidRDefault="006D17C2" w:rsidP="006D17C2">
      <w:pPr>
        <w:rPr>
          <w:rFonts w:eastAsia="Times New Roman" w:cs="Times New Roman"/>
          <w:szCs w:val="20"/>
        </w:rPr>
      </w:pPr>
      <w:r w:rsidRPr="00926DA1">
        <w:t xml:space="preserve">The </w:t>
      </w:r>
      <w:r>
        <w:t xml:space="preserve">Working Group discussed the arrangements in place to protect the privacy of </w:t>
      </w:r>
      <w:r w:rsidRPr="002762A5">
        <w:rPr>
          <w:rFonts w:eastAsia="Times New Roman" w:cs="Times New Roman"/>
          <w:szCs w:val="20"/>
        </w:rPr>
        <w:t xml:space="preserve">personal information </w:t>
      </w:r>
      <w:r>
        <w:rPr>
          <w:rFonts w:eastAsia="Times New Roman" w:cs="Times New Roman"/>
          <w:szCs w:val="20"/>
        </w:rPr>
        <w:t>provided by</w:t>
      </w:r>
      <w:r w:rsidRPr="002762A5">
        <w:rPr>
          <w:rFonts w:eastAsia="Times New Roman" w:cs="Times New Roman"/>
          <w:szCs w:val="20"/>
        </w:rPr>
        <w:t xml:space="preserve"> parents</w:t>
      </w:r>
      <w:r>
        <w:rPr>
          <w:rFonts w:eastAsia="Times New Roman" w:cs="Times New Roman"/>
          <w:szCs w:val="20"/>
        </w:rPr>
        <w:t xml:space="preserve"> and </w:t>
      </w:r>
      <w:r w:rsidRPr="002762A5">
        <w:rPr>
          <w:rFonts w:eastAsia="Times New Roman" w:cs="Times New Roman"/>
          <w:szCs w:val="20"/>
        </w:rPr>
        <w:t>guardians</w:t>
      </w:r>
      <w:r>
        <w:rPr>
          <w:rFonts w:eastAsia="Times New Roman" w:cs="Times New Roman"/>
          <w:szCs w:val="20"/>
        </w:rPr>
        <w:t>,</w:t>
      </w:r>
      <w:r w:rsidRPr="002762A5">
        <w:rPr>
          <w:rFonts w:eastAsia="Times New Roman" w:cs="Times New Roman"/>
          <w:szCs w:val="20"/>
        </w:rPr>
        <w:t xml:space="preserve"> through to a final capacity to contribute score</w:t>
      </w:r>
      <w:r>
        <w:rPr>
          <w:rFonts w:eastAsia="Times New Roman" w:cs="Times New Roman"/>
          <w:szCs w:val="20"/>
        </w:rPr>
        <w:t xml:space="preserve">. It was noted that </w:t>
      </w:r>
      <w:r>
        <w:t>th</w:t>
      </w:r>
      <w:r w:rsidRPr="002762A5">
        <w:rPr>
          <w:rFonts w:eastAsia="Times New Roman" w:cs="Times New Roman"/>
          <w:szCs w:val="20"/>
        </w:rPr>
        <w:t xml:space="preserve">e Australian Government has put </w:t>
      </w:r>
      <w:r>
        <w:rPr>
          <w:rFonts w:eastAsia="Times New Roman" w:cs="Times New Roman"/>
          <w:szCs w:val="20"/>
        </w:rPr>
        <w:t xml:space="preserve">in place </w:t>
      </w:r>
      <w:r w:rsidRPr="002762A5">
        <w:rPr>
          <w:rFonts w:eastAsia="Times New Roman" w:cs="Times New Roman"/>
          <w:szCs w:val="20"/>
        </w:rPr>
        <w:t xml:space="preserve">a range of measures to protect individual privacy including: </w:t>
      </w:r>
    </w:p>
    <w:p w:rsidR="006D17C2" w:rsidRPr="002762A5" w:rsidRDefault="006D17C2" w:rsidP="006D17C2">
      <w:pPr>
        <w:numPr>
          <w:ilvl w:val="0"/>
          <w:numId w:val="5"/>
        </w:numPr>
        <w:spacing w:before="0" w:after="0" w:line="240" w:lineRule="auto"/>
        <w:contextualSpacing/>
        <w:rPr>
          <w:rFonts w:eastAsia="Times New Roman" w:cstheme="minorHAnsi"/>
          <w:szCs w:val="20"/>
        </w:rPr>
      </w:pPr>
      <w:r w:rsidRPr="002762A5">
        <w:rPr>
          <w:rFonts w:eastAsia="Times New Roman" w:cstheme="minorHAnsi"/>
          <w:szCs w:val="20"/>
        </w:rPr>
        <w:t>providing a secure portal for schools to upload the information</w:t>
      </w:r>
    </w:p>
    <w:p w:rsidR="006D17C2" w:rsidRPr="002762A5" w:rsidRDefault="006D17C2" w:rsidP="006D17C2">
      <w:pPr>
        <w:numPr>
          <w:ilvl w:val="0"/>
          <w:numId w:val="5"/>
        </w:numPr>
        <w:spacing w:before="0" w:after="0" w:line="240" w:lineRule="auto"/>
        <w:contextualSpacing/>
        <w:rPr>
          <w:rFonts w:eastAsia="Times New Roman" w:cstheme="minorHAnsi"/>
          <w:szCs w:val="20"/>
        </w:rPr>
      </w:pPr>
      <w:r w:rsidRPr="002762A5">
        <w:rPr>
          <w:rFonts w:eastAsia="Times New Roman" w:cstheme="minorHAnsi"/>
          <w:szCs w:val="20"/>
        </w:rPr>
        <w:t xml:space="preserve">requiring schools to </w:t>
      </w:r>
      <w:r>
        <w:rPr>
          <w:rFonts w:eastAsia="Times New Roman" w:cstheme="minorHAnsi"/>
          <w:szCs w:val="20"/>
        </w:rPr>
        <w:t xml:space="preserve">provide </w:t>
      </w:r>
      <w:r w:rsidRPr="002762A5">
        <w:rPr>
          <w:rFonts w:eastAsia="Times New Roman" w:cstheme="minorHAnsi"/>
          <w:szCs w:val="20"/>
        </w:rPr>
        <w:t xml:space="preserve">a privacy notice to </w:t>
      </w:r>
      <w:r w:rsidRPr="002762A5">
        <w:rPr>
          <w:rFonts w:eastAsia="Times New Roman" w:cs="Times New Roman"/>
          <w:szCs w:val="20"/>
        </w:rPr>
        <w:t>parents</w:t>
      </w:r>
      <w:r>
        <w:rPr>
          <w:rFonts w:eastAsia="Times New Roman" w:cs="Times New Roman"/>
          <w:szCs w:val="20"/>
        </w:rPr>
        <w:t xml:space="preserve"> and </w:t>
      </w:r>
      <w:r w:rsidRPr="002762A5">
        <w:rPr>
          <w:rFonts w:eastAsia="Times New Roman" w:cs="Times New Roman"/>
          <w:szCs w:val="20"/>
        </w:rPr>
        <w:t>guardians</w:t>
      </w:r>
    </w:p>
    <w:p w:rsidR="006D17C2" w:rsidRDefault="006D17C2" w:rsidP="006D17C2">
      <w:pPr>
        <w:numPr>
          <w:ilvl w:val="0"/>
          <w:numId w:val="5"/>
        </w:numPr>
        <w:spacing w:before="0" w:after="0" w:line="240" w:lineRule="auto"/>
        <w:contextualSpacing/>
        <w:rPr>
          <w:rFonts w:eastAsia="Times New Roman" w:cstheme="minorHAnsi"/>
          <w:szCs w:val="20"/>
        </w:rPr>
      </w:pPr>
      <w:r w:rsidRPr="002762A5">
        <w:rPr>
          <w:rFonts w:eastAsia="Times New Roman" w:cstheme="minorHAnsi"/>
          <w:szCs w:val="20"/>
        </w:rPr>
        <w:t>upholding separation principles for authorised persons accessing data</w:t>
      </w:r>
      <w:r>
        <w:rPr>
          <w:rFonts w:eastAsia="Times New Roman" w:cstheme="minorHAnsi"/>
          <w:szCs w:val="20"/>
        </w:rPr>
        <w:t>,</w:t>
      </w:r>
      <w:r w:rsidRPr="002762A5">
        <w:rPr>
          <w:rFonts w:eastAsia="Times New Roman" w:cstheme="minorHAnsi"/>
          <w:szCs w:val="20"/>
        </w:rPr>
        <w:t xml:space="preserve"> </w:t>
      </w:r>
      <w:r>
        <w:rPr>
          <w:rFonts w:eastAsia="Times New Roman" w:cstheme="minorHAnsi"/>
          <w:szCs w:val="20"/>
        </w:rPr>
        <w:t xml:space="preserve">which mean that </w:t>
      </w:r>
      <w:r>
        <w:t>no person will ever be able to see all of information together at any point of the data combining process</w:t>
      </w:r>
    </w:p>
    <w:p w:rsidR="006D17C2" w:rsidRPr="002762A5" w:rsidRDefault="006D17C2" w:rsidP="006D17C2">
      <w:pPr>
        <w:numPr>
          <w:ilvl w:val="0"/>
          <w:numId w:val="5"/>
        </w:numPr>
        <w:spacing w:before="0" w:after="0" w:line="240" w:lineRule="auto"/>
        <w:contextualSpacing/>
        <w:rPr>
          <w:rFonts w:eastAsia="Times New Roman" w:cstheme="minorHAnsi"/>
          <w:szCs w:val="20"/>
        </w:rPr>
      </w:pPr>
      <w:r>
        <w:rPr>
          <w:rFonts w:cs="Times New Roman"/>
          <w:szCs w:val="20"/>
        </w:rPr>
        <w:t xml:space="preserve">legislative </w:t>
      </w:r>
      <w:r w:rsidRPr="00256617">
        <w:rPr>
          <w:rFonts w:eastAsia="Times New Roman" w:cstheme="minorHAnsi"/>
          <w:szCs w:val="20"/>
        </w:rPr>
        <w:t>safeguards</w:t>
      </w:r>
      <w:r>
        <w:rPr>
          <w:rFonts w:cs="Times New Roman"/>
          <w:szCs w:val="20"/>
        </w:rPr>
        <w:t xml:space="preserve"> including the </w:t>
      </w:r>
      <w:hyperlink r:id="rId11" w:history="1">
        <w:r w:rsidRPr="00256617">
          <w:rPr>
            <w:i/>
            <w:szCs w:val="20"/>
          </w:rPr>
          <w:t>Census and Statistics Act 1905</w:t>
        </w:r>
      </w:hyperlink>
      <w:r>
        <w:rPr>
          <w:szCs w:val="20"/>
        </w:rPr>
        <w:t xml:space="preserve"> and </w:t>
      </w:r>
      <w:r>
        <w:t xml:space="preserve">the </w:t>
      </w:r>
      <w:hyperlink r:id="rId12" w:history="1">
        <w:r w:rsidRPr="00256617">
          <w:rPr>
            <w:i/>
          </w:rPr>
          <w:t>Privacy Act 1988</w:t>
        </w:r>
      </w:hyperlink>
      <w:r>
        <w:rPr>
          <w:i/>
          <w:iCs/>
        </w:rPr>
        <w:t xml:space="preserve"> </w:t>
      </w:r>
    </w:p>
    <w:p w:rsidR="006D17C2" w:rsidRPr="002762A5" w:rsidRDefault="006D17C2" w:rsidP="006D17C2">
      <w:pPr>
        <w:numPr>
          <w:ilvl w:val="0"/>
          <w:numId w:val="5"/>
        </w:numPr>
        <w:spacing w:before="0" w:after="0" w:line="240" w:lineRule="auto"/>
        <w:contextualSpacing/>
        <w:rPr>
          <w:rFonts w:eastAsia="Times New Roman" w:cstheme="minorHAnsi"/>
          <w:szCs w:val="20"/>
        </w:rPr>
      </w:pPr>
      <w:r w:rsidRPr="002762A5">
        <w:rPr>
          <w:rFonts w:eastAsia="Times New Roman" w:cstheme="minorHAnsi"/>
          <w:szCs w:val="20"/>
        </w:rPr>
        <w:t xml:space="preserve">ensuring data are held on secure drives within Australia. </w:t>
      </w:r>
    </w:p>
    <w:p w:rsidR="006D17C2" w:rsidRPr="00926DA1" w:rsidRDefault="006D17C2" w:rsidP="006D17C2">
      <w:r>
        <w:t xml:space="preserve">It was agreed that the current privacy protection </w:t>
      </w:r>
      <w:r w:rsidRPr="00926DA1">
        <w:t>arrangements are appropriate</w:t>
      </w:r>
      <w:r>
        <w:t xml:space="preserve">. It was agreed that it will be important to monitor and review the protections on a regular basis to ensure that they remain appropriate.   </w:t>
      </w:r>
    </w:p>
    <w:p w:rsidR="006D17C2" w:rsidRPr="009A643E" w:rsidRDefault="006D17C2" w:rsidP="006D17C2">
      <w:pPr>
        <w:pStyle w:val="Heading2"/>
      </w:pPr>
      <w:r>
        <w:t xml:space="preserve">Family Circumstances </w:t>
      </w:r>
    </w:p>
    <w:p w:rsidR="006D17C2" w:rsidRPr="00752BCC" w:rsidRDefault="006D17C2" w:rsidP="006D17C2">
      <w:pPr>
        <w:spacing w:before="0" w:after="160" w:line="259" w:lineRule="auto"/>
        <w:rPr>
          <w:rFonts w:ascii="Calibri" w:eastAsia="Calibri" w:hAnsi="Calibri" w:cs="Calibri"/>
          <w:bCs/>
        </w:rPr>
      </w:pPr>
      <w:r w:rsidRPr="009A643E">
        <w:t xml:space="preserve">Working Group members </w:t>
      </w:r>
      <w:r w:rsidRPr="00926DA1">
        <w:t xml:space="preserve">discussed the merits of </w:t>
      </w:r>
      <w:r w:rsidRPr="00752BCC">
        <w:rPr>
          <w:rFonts w:ascii="Calibri" w:eastAsia="Calibri" w:hAnsi="Calibri" w:cs="Calibri"/>
          <w:bCs/>
        </w:rPr>
        <w:t>incorporating family size into a capacity to contribute measure</w:t>
      </w:r>
      <w:r>
        <w:rPr>
          <w:rFonts w:ascii="Calibri" w:eastAsia="Calibri" w:hAnsi="Calibri" w:cs="Calibri"/>
          <w:bCs/>
        </w:rPr>
        <w:t>. There were different views as to whether an adjustment for family size would be fit for purpose.</w:t>
      </w:r>
      <w:r w:rsidRPr="00752BCC">
        <w:rPr>
          <w:rFonts w:ascii="Calibri" w:eastAsia="Calibri" w:hAnsi="Calibri" w:cs="Calibri"/>
          <w:bCs/>
        </w:rPr>
        <w:t xml:space="preserve"> </w:t>
      </w:r>
      <w:r>
        <w:rPr>
          <w:rFonts w:ascii="Calibri" w:eastAsia="Calibri" w:hAnsi="Calibri" w:cs="Calibri"/>
          <w:bCs/>
        </w:rPr>
        <w:t>It was agreed that there was a need to</w:t>
      </w:r>
      <w:r w:rsidRPr="00752BCC">
        <w:rPr>
          <w:rFonts w:ascii="Calibri" w:eastAsia="Calibri" w:hAnsi="Calibri" w:cs="Calibri"/>
          <w:bCs/>
        </w:rPr>
        <w:t xml:space="preserve"> undertake further work </w:t>
      </w:r>
      <w:r>
        <w:rPr>
          <w:rFonts w:ascii="Calibri" w:eastAsia="Calibri" w:hAnsi="Calibri" w:cs="Calibri"/>
          <w:bCs/>
        </w:rPr>
        <w:t xml:space="preserve">including on the availability and reliability of data that could be used to adjust for family size. </w:t>
      </w:r>
    </w:p>
    <w:p w:rsidR="006D17C2" w:rsidRPr="00287828" w:rsidRDefault="006D17C2" w:rsidP="006D17C2">
      <w:pPr>
        <w:pStyle w:val="Heading2"/>
      </w:pPr>
      <w:r w:rsidRPr="00287828">
        <w:t>Background</w:t>
      </w:r>
    </w:p>
    <w:p w:rsidR="006D17C2" w:rsidRDefault="006D17C2" w:rsidP="006D17C2">
      <w:r>
        <w:t xml:space="preserve">The National School Resourcing Board (the Board) </w:t>
      </w:r>
      <w:r w:rsidRPr="00AE5B58">
        <w:t xml:space="preserve">undertook an independent review of the methodology used to calculate capacity </w:t>
      </w:r>
      <w:r>
        <w:t xml:space="preserve">of a non-government school community </w:t>
      </w:r>
      <w:r w:rsidRPr="00AE5B58">
        <w:t xml:space="preserve">to contribute </w:t>
      </w:r>
      <w:r>
        <w:t>to the cost of schooling,</w:t>
      </w:r>
      <w:r w:rsidRPr="00AE5B58">
        <w:t xml:space="preserve"> to ensure it is the fairest, most effective, accurate and transparent model available. The Board’s final report made six recommendations, including that the capacity to contribute for a school be determined based on a direct measure of income of parents and/or guardians of the students at the school.</w:t>
      </w:r>
    </w:p>
    <w:p w:rsidR="006D17C2" w:rsidRDefault="006D17C2" w:rsidP="006D17C2">
      <w:r w:rsidRPr="00AE5B58">
        <w:t xml:space="preserve">The Government has accepted all of the Board’s recommendations and will use a direct income measure </w:t>
      </w:r>
      <w:r>
        <w:t xml:space="preserve">of capacity to contribute </w:t>
      </w:r>
      <w:r w:rsidRPr="00AE5B58">
        <w:t>from 2020</w:t>
      </w:r>
      <w:r>
        <w:t xml:space="preserve"> </w:t>
      </w:r>
      <w:r w:rsidRPr="00AE5B58">
        <w:t>based on the income of parents and/or guardians of students at a school. This more targeted, more accurate measure will ensure funding flows to the schools that need it the most.</w:t>
      </w:r>
    </w:p>
    <w:p w:rsidR="006E0D7A" w:rsidRDefault="006E0D7A" w:rsidP="006D17C2"/>
    <w:sectPr w:rsidR="006E0D7A" w:rsidSect="003311FD">
      <w:type w:val="continuous"/>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50C" w:rsidRDefault="0026550C" w:rsidP="003311FD">
      <w:pPr>
        <w:spacing w:before="0" w:after="0" w:line="240" w:lineRule="auto"/>
      </w:pPr>
      <w:r>
        <w:separator/>
      </w:r>
    </w:p>
  </w:endnote>
  <w:endnote w:type="continuationSeparator" w:id="0">
    <w:p w:rsidR="0026550C" w:rsidRDefault="0026550C" w:rsidP="003311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BA16EF" w:rsidP="00A73406">
    <w:pPr>
      <w:pStyle w:val="Footer"/>
      <w:tabs>
        <w:tab w:val="clear" w:pos="9026"/>
        <w:tab w:val="right" w:pos="8647"/>
      </w:tabs>
      <w:ind w:firstLine="720"/>
      <w:jc w:val="right"/>
    </w:pPr>
    <w:sdt>
      <w:sdtPr>
        <w:id w:val="-872919286"/>
        <w:docPartObj>
          <w:docPartGallery w:val="Page Numbers (Bottom of Page)"/>
          <w:docPartUnique/>
        </w:docPartObj>
      </w:sdtPr>
      <w:sdtEndPr>
        <w:rPr>
          <w:noProof/>
        </w:rPr>
      </w:sdtEndPr>
      <w:sdtContent>
        <w:r w:rsidR="009104DA">
          <w:fldChar w:fldCharType="begin"/>
        </w:r>
        <w:r w:rsidR="009104DA">
          <w:instrText xml:space="preserve"> PAGE   \* MERGEFORMAT </w:instrText>
        </w:r>
        <w:r w:rsidR="009104DA">
          <w:fldChar w:fldCharType="separate"/>
        </w:r>
        <w:r>
          <w:rPr>
            <w:noProof/>
          </w:rPr>
          <w:t>2</w:t>
        </w:r>
        <w:r w:rsidR="009104D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9104DA"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50C" w:rsidRDefault="0026550C" w:rsidP="003311FD">
      <w:pPr>
        <w:spacing w:before="0" w:after="0" w:line="240" w:lineRule="auto"/>
      </w:pPr>
      <w:r>
        <w:separator/>
      </w:r>
    </w:p>
  </w:footnote>
  <w:footnote w:type="continuationSeparator" w:id="0">
    <w:p w:rsidR="0026550C" w:rsidRDefault="0026550C" w:rsidP="003311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58" w:rsidRDefault="009104DA" w:rsidP="00AE5B58">
    <w:pPr>
      <w:pStyle w:val="Header"/>
      <w:spacing w:after="480"/>
      <w:jc w:val="right"/>
    </w:pPr>
    <w:r>
      <w:t xml:space="preserve">Direct </w:t>
    </w:r>
    <w:r w:rsidR="00AC1E6A">
      <w:t xml:space="preserve">Income </w:t>
    </w:r>
    <w:r>
      <w:t xml:space="preserve">Measure of Capacity to Contribute Working Group – Meeting </w:t>
    </w:r>
    <w:r w:rsidR="006D17C2">
      <w:t xml:space="preserve">2 </w:t>
    </w:r>
    <w:r>
      <w:t xml:space="preserve">| </w:t>
    </w:r>
    <w:r w:rsidR="006D17C2">
      <w:t>Communiqué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5EBE"/>
    <w:multiLevelType w:val="hybridMultilevel"/>
    <w:tmpl w:val="E0B86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36202028"/>
    <w:multiLevelType w:val="hybridMultilevel"/>
    <w:tmpl w:val="BB16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FDE39C4"/>
    <w:multiLevelType w:val="hybridMultilevel"/>
    <w:tmpl w:val="88661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6B"/>
    <w:rsid w:val="00027B49"/>
    <w:rsid w:val="0003327F"/>
    <w:rsid w:val="000678C7"/>
    <w:rsid w:val="000B7F0C"/>
    <w:rsid w:val="001036CF"/>
    <w:rsid w:val="001F7AF4"/>
    <w:rsid w:val="00214692"/>
    <w:rsid w:val="0026550C"/>
    <w:rsid w:val="00271302"/>
    <w:rsid w:val="0028168A"/>
    <w:rsid w:val="002B2057"/>
    <w:rsid w:val="00304A6B"/>
    <w:rsid w:val="003311FD"/>
    <w:rsid w:val="004C31C3"/>
    <w:rsid w:val="006A1432"/>
    <w:rsid w:val="006A1FA5"/>
    <w:rsid w:val="006D17C2"/>
    <w:rsid w:val="006D6820"/>
    <w:rsid w:val="006E0D7A"/>
    <w:rsid w:val="00705302"/>
    <w:rsid w:val="00706441"/>
    <w:rsid w:val="0074728D"/>
    <w:rsid w:val="009104DA"/>
    <w:rsid w:val="00910A41"/>
    <w:rsid w:val="009F5840"/>
    <w:rsid w:val="00A25F27"/>
    <w:rsid w:val="00AC1E6A"/>
    <w:rsid w:val="00AC5096"/>
    <w:rsid w:val="00AF6DF9"/>
    <w:rsid w:val="00BA16EF"/>
    <w:rsid w:val="00C10AEC"/>
    <w:rsid w:val="00C33F68"/>
    <w:rsid w:val="00C40D6D"/>
    <w:rsid w:val="00CE5955"/>
    <w:rsid w:val="00D27FE4"/>
    <w:rsid w:val="00D35B2D"/>
    <w:rsid w:val="00E65FB5"/>
    <w:rsid w:val="00EB7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442AA-59A8-48E6-A1A2-13D12145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6B"/>
    <w:pPr>
      <w:spacing w:before="120" w:after="120" w:line="276" w:lineRule="auto"/>
    </w:pPr>
    <w:rPr>
      <w:rFonts w:eastAsiaTheme="minorEastAsia"/>
    </w:rPr>
  </w:style>
  <w:style w:type="paragraph" w:styleId="Heading1">
    <w:name w:val="heading 1"/>
    <w:basedOn w:val="Normal"/>
    <w:next w:val="Normal"/>
    <w:link w:val="Heading1Char"/>
    <w:uiPriority w:val="9"/>
    <w:qFormat/>
    <w:rsid w:val="00EB7B6B"/>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EB7B6B"/>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B7B6B"/>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EB7B6B"/>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EB7B6B"/>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EB7B6B"/>
    <w:pPr>
      <w:spacing w:before="200" w:after="0"/>
      <w:outlineLvl w:val="5"/>
    </w:pPr>
    <w:rPr>
      <w:rFonts w:ascii="Calibri" w:eastAsiaTheme="majorEastAsia" w:hAnsi="Calibri" w:cstheme="majorBidi"/>
      <w:b/>
      <w:bCs/>
      <w:i/>
      <w:iCs/>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6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EB7B6B"/>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B7B6B"/>
    <w:rPr>
      <w:rFonts w:ascii="Calibri" w:eastAsiaTheme="majorEastAsia" w:hAnsi="Calibri" w:cstheme="majorBidi"/>
      <w:b/>
      <w:bCs/>
    </w:rPr>
  </w:style>
  <w:style w:type="character" w:customStyle="1" w:styleId="Heading4Char">
    <w:name w:val="Heading 4 Char"/>
    <w:basedOn w:val="DefaultParagraphFont"/>
    <w:link w:val="Heading4"/>
    <w:uiPriority w:val="9"/>
    <w:rsid w:val="00EB7B6B"/>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B7B6B"/>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B7B6B"/>
    <w:rPr>
      <w:rFonts w:ascii="Calibri" w:eastAsiaTheme="majorEastAsia" w:hAnsi="Calibri" w:cstheme="majorBidi"/>
      <w:b/>
      <w:bCs/>
      <w:i/>
      <w:iCs/>
      <w:color w:val="757575"/>
    </w:rPr>
  </w:style>
  <w:style w:type="character" w:styleId="Strong">
    <w:name w:val="Strong"/>
    <w:uiPriority w:val="22"/>
    <w:qFormat/>
    <w:rsid w:val="00EB7B6B"/>
    <w:rPr>
      <w:b/>
      <w:bCs/>
    </w:rPr>
  </w:style>
  <w:style w:type="character" w:styleId="Emphasis">
    <w:name w:val="Emphasis"/>
    <w:uiPriority w:val="20"/>
    <w:qFormat/>
    <w:rsid w:val="00EB7B6B"/>
    <w:rPr>
      <w:b w:val="0"/>
      <w:bCs/>
      <w:i/>
      <w:iCs/>
      <w:spacing w:val="10"/>
      <w:bdr w:val="none" w:sz="0" w:space="0" w:color="auto"/>
      <w:shd w:val="clear" w:color="auto" w:fill="auto"/>
    </w:rPr>
  </w:style>
  <w:style w:type="character" w:styleId="Hyperlink">
    <w:name w:val="Hyperlink"/>
    <w:basedOn w:val="DefaultParagraphFont"/>
    <w:uiPriority w:val="99"/>
    <w:unhideWhenUsed/>
    <w:rsid w:val="00EB7B6B"/>
    <w:rPr>
      <w:color w:val="44546A" w:themeColor="text2"/>
      <w:u w:val="single"/>
    </w:rPr>
  </w:style>
  <w:style w:type="paragraph" w:styleId="Title">
    <w:name w:val="Title"/>
    <w:basedOn w:val="Normal"/>
    <w:next w:val="Normal"/>
    <w:link w:val="TitleChar"/>
    <w:uiPriority w:val="10"/>
    <w:rsid w:val="00EB7B6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B7B6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EB7B6B"/>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EB7B6B"/>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EB7B6B"/>
    <w:pPr>
      <w:spacing w:after="0" w:line="240" w:lineRule="auto"/>
    </w:pPr>
  </w:style>
  <w:style w:type="paragraph" w:styleId="ListNumber">
    <w:name w:val="List Number"/>
    <w:basedOn w:val="Normal"/>
    <w:uiPriority w:val="99"/>
    <w:unhideWhenUsed/>
    <w:qFormat/>
    <w:rsid w:val="00EB7B6B"/>
    <w:pPr>
      <w:numPr>
        <w:numId w:val="1"/>
      </w:numPr>
      <w:ind w:left="369" w:hanging="369"/>
      <w:contextualSpacing/>
    </w:pPr>
  </w:style>
  <w:style w:type="paragraph" w:styleId="ListNumber2">
    <w:name w:val="List Number 2"/>
    <w:basedOn w:val="Normal"/>
    <w:uiPriority w:val="99"/>
    <w:unhideWhenUsed/>
    <w:rsid w:val="00EB7B6B"/>
    <w:pPr>
      <w:numPr>
        <w:ilvl w:val="1"/>
        <w:numId w:val="1"/>
      </w:numPr>
      <w:tabs>
        <w:tab w:val="left" w:pos="1134"/>
      </w:tabs>
      <w:ind w:left="936" w:hanging="567"/>
      <w:contextualSpacing/>
    </w:pPr>
  </w:style>
  <w:style w:type="paragraph" w:styleId="ListNumber3">
    <w:name w:val="List Number 3"/>
    <w:basedOn w:val="Normal"/>
    <w:uiPriority w:val="99"/>
    <w:unhideWhenUsed/>
    <w:rsid w:val="00EB7B6B"/>
    <w:pPr>
      <w:numPr>
        <w:ilvl w:val="2"/>
        <w:numId w:val="1"/>
      </w:numPr>
      <w:ind w:left="1701" w:hanging="765"/>
      <w:contextualSpacing/>
    </w:pPr>
  </w:style>
  <w:style w:type="paragraph" w:styleId="ListNumber4">
    <w:name w:val="List Number 4"/>
    <w:basedOn w:val="Normal"/>
    <w:uiPriority w:val="99"/>
    <w:unhideWhenUsed/>
    <w:rsid w:val="00EB7B6B"/>
    <w:pPr>
      <w:numPr>
        <w:ilvl w:val="3"/>
        <w:numId w:val="1"/>
      </w:numPr>
      <w:ind w:left="2637" w:hanging="936"/>
      <w:contextualSpacing/>
    </w:pPr>
  </w:style>
  <w:style w:type="paragraph" w:styleId="ListBullet">
    <w:name w:val="List Bullet"/>
    <w:basedOn w:val="Normal"/>
    <w:uiPriority w:val="99"/>
    <w:unhideWhenUsed/>
    <w:qFormat/>
    <w:rsid w:val="00EB7B6B"/>
    <w:pPr>
      <w:numPr>
        <w:numId w:val="2"/>
      </w:numPr>
      <w:ind w:left="369" w:hanging="369"/>
      <w:contextualSpacing/>
    </w:pPr>
  </w:style>
  <w:style w:type="paragraph" w:styleId="ListBullet2">
    <w:name w:val="List Bullet 2"/>
    <w:basedOn w:val="Normal"/>
    <w:uiPriority w:val="99"/>
    <w:unhideWhenUsed/>
    <w:rsid w:val="00EB7B6B"/>
    <w:pPr>
      <w:numPr>
        <w:ilvl w:val="1"/>
        <w:numId w:val="2"/>
      </w:numPr>
      <w:ind w:left="766" w:hanging="369"/>
      <w:contextualSpacing/>
    </w:pPr>
  </w:style>
  <w:style w:type="paragraph" w:styleId="ListBullet3">
    <w:name w:val="List Bullet 3"/>
    <w:basedOn w:val="Normal"/>
    <w:uiPriority w:val="99"/>
    <w:unhideWhenUsed/>
    <w:rsid w:val="00EB7B6B"/>
    <w:pPr>
      <w:numPr>
        <w:ilvl w:val="2"/>
        <w:numId w:val="2"/>
      </w:numPr>
      <w:ind w:left="1163" w:hanging="369"/>
      <w:contextualSpacing/>
    </w:pPr>
  </w:style>
  <w:style w:type="paragraph" w:styleId="ListBullet4">
    <w:name w:val="List Bullet 4"/>
    <w:basedOn w:val="Normal"/>
    <w:uiPriority w:val="99"/>
    <w:unhideWhenUsed/>
    <w:rsid w:val="00EB7B6B"/>
    <w:pPr>
      <w:numPr>
        <w:ilvl w:val="3"/>
        <w:numId w:val="2"/>
      </w:numPr>
      <w:ind w:left="1503" w:hanging="369"/>
      <w:contextualSpacing/>
    </w:pPr>
  </w:style>
  <w:style w:type="table" w:customStyle="1" w:styleId="DEEWRTable">
    <w:name w:val="DEEWR Table"/>
    <w:basedOn w:val="TableNormal"/>
    <w:uiPriority w:val="99"/>
    <w:rsid w:val="00EB7B6B"/>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NoSpacingChar">
    <w:name w:val="No Spacing Char"/>
    <w:basedOn w:val="DefaultParagraphFont"/>
    <w:link w:val="NoSpacing"/>
    <w:uiPriority w:val="1"/>
    <w:rsid w:val="00EB7B6B"/>
    <w:rPr>
      <w:rFonts w:eastAsiaTheme="minorEastAsia"/>
    </w:rPr>
  </w:style>
  <w:style w:type="paragraph" w:styleId="Header">
    <w:name w:val="header"/>
    <w:basedOn w:val="Normal"/>
    <w:link w:val="HeaderChar"/>
    <w:uiPriority w:val="99"/>
    <w:unhideWhenUsed/>
    <w:rsid w:val="00EB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6B"/>
    <w:rPr>
      <w:rFonts w:eastAsiaTheme="minorEastAsia"/>
    </w:rPr>
  </w:style>
  <w:style w:type="paragraph" w:styleId="Footer">
    <w:name w:val="footer"/>
    <w:basedOn w:val="Normal"/>
    <w:link w:val="FooterChar"/>
    <w:uiPriority w:val="99"/>
    <w:unhideWhenUsed/>
    <w:rsid w:val="00EB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6B"/>
    <w:rPr>
      <w:rFonts w:eastAsiaTheme="minorEastAsia"/>
    </w:rPr>
  </w:style>
  <w:style w:type="paragraph" w:styleId="Caption">
    <w:name w:val="caption"/>
    <w:basedOn w:val="Heading4"/>
    <w:next w:val="Normal"/>
    <w:uiPriority w:val="35"/>
    <w:unhideWhenUsed/>
    <w:rsid w:val="00EB7B6B"/>
    <w:rPr>
      <w:i w:val="0"/>
    </w:rPr>
  </w:style>
  <w:style w:type="character" w:styleId="PlaceholderText">
    <w:name w:val="Placeholder Text"/>
    <w:basedOn w:val="DefaultParagraphFont"/>
    <w:uiPriority w:val="99"/>
    <w:semiHidden/>
    <w:rsid w:val="00EB7B6B"/>
    <w:rPr>
      <w:color w:val="808080"/>
    </w:rPr>
  </w:style>
  <w:style w:type="paragraph" w:styleId="Revision">
    <w:name w:val="Revision"/>
    <w:hidden/>
    <w:uiPriority w:val="99"/>
    <w:semiHidden/>
    <w:rsid w:val="003311FD"/>
    <w:pPr>
      <w:spacing w:after="0" w:line="240" w:lineRule="auto"/>
    </w:pPr>
    <w:rPr>
      <w:rFonts w:eastAsiaTheme="minorEastAsia"/>
    </w:rPr>
  </w:style>
  <w:style w:type="paragraph" w:styleId="ListParagraph">
    <w:name w:val="List Paragraph"/>
    <w:basedOn w:val="Normal"/>
    <w:uiPriority w:val="34"/>
    <w:qFormat/>
    <w:rsid w:val="00271302"/>
    <w:pPr>
      <w:ind w:left="720"/>
      <w:contextualSpacing/>
    </w:pPr>
  </w:style>
  <w:style w:type="paragraph" w:styleId="BalloonText">
    <w:name w:val="Balloon Text"/>
    <w:basedOn w:val="Normal"/>
    <w:link w:val="BalloonTextChar"/>
    <w:uiPriority w:val="99"/>
    <w:semiHidden/>
    <w:unhideWhenUsed/>
    <w:rsid w:val="00C10A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E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27FE4"/>
    <w:rPr>
      <w:sz w:val="16"/>
      <w:szCs w:val="16"/>
    </w:rPr>
  </w:style>
  <w:style w:type="paragraph" w:styleId="CommentText">
    <w:name w:val="annotation text"/>
    <w:basedOn w:val="Normal"/>
    <w:link w:val="CommentTextChar"/>
    <w:uiPriority w:val="99"/>
    <w:semiHidden/>
    <w:unhideWhenUsed/>
    <w:rsid w:val="00D27FE4"/>
    <w:pPr>
      <w:spacing w:line="240" w:lineRule="auto"/>
    </w:pPr>
    <w:rPr>
      <w:sz w:val="20"/>
      <w:szCs w:val="20"/>
    </w:rPr>
  </w:style>
  <w:style w:type="character" w:customStyle="1" w:styleId="CommentTextChar">
    <w:name w:val="Comment Text Char"/>
    <w:basedOn w:val="DefaultParagraphFont"/>
    <w:link w:val="CommentText"/>
    <w:uiPriority w:val="99"/>
    <w:semiHidden/>
    <w:rsid w:val="00D27F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7FE4"/>
    <w:rPr>
      <w:b/>
      <w:bCs/>
    </w:rPr>
  </w:style>
  <w:style w:type="character" w:customStyle="1" w:styleId="CommentSubjectChar">
    <w:name w:val="Comment Subject Char"/>
    <w:basedOn w:val="CommentTextChar"/>
    <w:link w:val="CommentSubject"/>
    <w:uiPriority w:val="99"/>
    <w:semiHidden/>
    <w:rsid w:val="00D27FE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legislation.gov.au/Details/C2018C00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Details/C2016C010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5BB0FF17440BC9E9237FEC82FA546"/>
        <w:category>
          <w:name w:val="General"/>
          <w:gallery w:val="placeholder"/>
        </w:category>
        <w:types>
          <w:type w:val="bbPlcHdr"/>
        </w:types>
        <w:behaviors>
          <w:behavior w:val="content"/>
        </w:behaviors>
        <w:guid w:val="{0297993D-ABE7-488D-BA8B-0FE04415E959}"/>
      </w:docPartPr>
      <w:docPartBody>
        <w:p w:rsidR="002305BD" w:rsidRDefault="00E3638A" w:rsidP="00E3638A">
          <w:pPr>
            <w:pStyle w:val="5885BB0FF17440BC9E9237FEC82FA546"/>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8A"/>
    <w:rsid w:val="002305BD"/>
    <w:rsid w:val="00B45EE1"/>
    <w:rsid w:val="00D45F30"/>
    <w:rsid w:val="00E3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38A"/>
    <w:rPr>
      <w:color w:val="808080"/>
    </w:rPr>
  </w:style>
  <w:style w:type="paragraph" w:customStyle="1" w:styleId="5885BB0FF17440BC9E9237FEC82FA546">
    <w:name w:val="5885BB0FF17440BC9E9237FEC82FA546"/>
    <w:rsid w:val="00E36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BD6D7E0A.dotm</Template>
  <TotalTime>4</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Direct Income Measure of Capacity to Contribute Technical Working Group</vt:lpstr>
    </vt:vector>
  </TitlesOfParts>
  <Company>Australian Government</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Income Measure of Capacity to Contribute Technical Working Group</dc:title>
  <dc:subject/>
  <dc:creator>PHELAN,Jessica</dc:creator>
  <cp:keywords/>
  <dc:description/>
  <cp:lastModifiedBy>DAVISON,James</cp:lastModifiedBy>
  <cp:revision>9</cp:revision>
  <dcterms:created xsi:type="dcterms:W3CDTF">2019-01-17T06:28:00Z</dcterms:created>
  <dcterms:modified xsi:type="dcterms:W3CDTF">2019-01-17T23:41:00Z</dcterms:modified>
</cp:coreProperties>
</file>