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5899F" w14:textId="77777777" w:rsidR="00F64F69" w:rsidRPr="00F64F69" w:rsidRDefault="00F64F69" w:rsidP="00F64F69">
      <w:pPr>
        <w:pStyle w:val="Title"/>
      </w:pPr>
      <w:r w:rsidRPr="00F64F69">
        <w:t>Terms of Reference for the Direct Measure of Capacity to Contribute Working Group</w:t>
      </w:r>
    </w:p>
    <w:p w14:paraId="4D3D9E49" w14:textId="77777777" w:rsidR="00F64F69" w:rsidRPr="00F64F69" w:rsidRDefault="00F64F69" w:rsidP="00F64F69">
      <w:pPr>
        <w:pStyle w:val="Heading1"/>
      </w:pPr>
      <w:r w:rsidRPr="00F64F69">
        <w:t>Background</w:t>
      </w:r>
    </w:p>
    <w:p w14:paraId="4FEE245F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Times New Roman"/>
        </w:rPr>
      </w:pPr>
      <w:r w:rsidRPr="00F64F69">
        <w:rPr>
          <w:rFonts w:ascii="Calibri" w:eastAsia="Calibri" w:hAnsi="Calibri" w:cs="Times New Roman"/>
        </w:rPr>
        <w:t xml:space="preserve">The Direct Measure of Capacity to Contribute Working Group (Working Group) has been established to provide advice on technical issues related to the implementation of a </w:t>
      </w:r>
      <w:r w:rsidRPr="00F64F69">
        <w:rPr>
          <w:rFonts w:ascii="Calibri" w:eastAsia="Calibri" w:hAnsi="Calibri" w:cs="Calibri"/>
          <w:szCs w:val="24"/>
        </w:rPr>
        <w:t>new direct measure of capacity of a school community to financially contribute to the cost of schooling based on the income of parents and guardians of students at a school.</w:t>
      </w:r>
    </w:p>
    <w:p w14:paraId="7DF61FC8" w14:textId="3266CCF1" w:rsidR="00F64F69" w:rsidRPr="00F64F69" w:rsidRDefault="00F64F69" w:rsidP="00F64F69">
      <w:pPr>
        <w:spacing w:after="200" w:line="276" w:lineRule="auto"/>
        <w:rPr>
          <w:rFonts w:ascii="Calibri" w:eastAsia="Calibri" w:hAnsi="Calibri" w:cs="Times New Roman"/>
          <w:i/>
        </w:rPr>
      </w:pPr>
      <w:r w:rsidRPr="00F64F69">
        <w:rPr>
          <w:rFonts w:ascii="Calibri" w:eastAsia="Calibri" w:hAnsi="Calibri" w:cs="Times New Roman"/>
        </w:rPr>
        <w:t>The Australian Government announced it would introduce a new direct measure of capacity to contribute based on the income of parents and guardians of stud</w:t>
      </w:r>
      <w:bookmarkStart w:id="0" w:name="_GoBack"/>
      <w:bookmarkEnd w:id="0"/>
      <w:r w:rsidRPr="00F64F69">
        <w:rPr>
          <w:rFonts w:ascii="Calibri" w:eastAsia="Calibri" w:hAnsi="Calibri" w:cs="Times New Roman"/>
        </w:rPr>
        <w:t xml:space="preserve">ents at a school on 20 September 2018. This announcement formed part of the Government’s response to the recommendations of the National School Resourcing Board’s </w:t>
      </w:r>
      <w:hyperlink r:id="rId8" w:history="1">
        <w:r w:rsidRPr="0013201C">
          <w:rPr>
            <w:rStyle w:val="Hyperlink"/>
            <w:rFonts w:ascii="Calibri" w:eastAsia="Calibri" w:hAnsi="Calibri" w:cs="Times New Roman"/>
            <w:i/>
          </w:rPr>
          <w:t>Review of the socio-economic status score methodology: Final report.</w:t>
        </w:r>
      </w:hyperlink>
    </w:p>
    <w:p w14:paraId="662E429A" w14:textId="77777777" w:rsidR="00F64F69" w:rsidRPr="00F64F69" w:rsidRDefault="00F64F69" w:rsidP="00F64F69">
      <w:pPr>
        <w:pStyle w:val="Heading1"/>
      </w:pPr>
      <w:r w:rsidRPr="00F64F69">
        <w:t>Purpose</w:t>
      </w:r>
    </w:p>
    <w:p w14:paraId="17BDED08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Times New Roman"/>
        </w:rPr>
      </w:pPr>
      <w:r w:rsidRPr="00F64F69">
        <w:rPr>
          <w:rFonts w:ascii="Calibri" w:eastAsia="Calibri" w:hAnsi="Calibri" w:cs="Times New Roman"/>
        </w:rPr>
        <w:t>The Working Group will provide advice and recommendations on refinement and implementation of the direct measure of capacity to contribute to support the development of a high quality, reliable and robust methodology for incorporation in the Schooling Resource Standard funding model.</w:t>
      </w:r>
    </w:p>
    <w:p w14:paraId="6C3B12A3" w14:textId="77777777" w:rsidR="00F64F69" w:rsidRPr="00F64F69" w:rsidRDefault="00F64F69" w:rsidP="00F64F69">
      <w:pPr>
        <w:spacing w:after="120" w:line="240" w:lineRule="auto"/>
        <w:rPr>
          <w:rFonts w:ascii="Calibri" w:eastAsia="Calibri" w:hAnsi="Calibri" w:cs="Calibri"/>
        </w:rPr>
      </w:pPr>
      <w:r w:rsidRPr="00F64F69">
        <w:rPr>
          <w:rFonts w:ascii="Calibri" w:eastAsia="Calibri" w:hAnsi="Calibri" w:cs="Calibri"/>
        </w:rPr>
        <w:t>The Working Group will focus on technical issues, including:</w:t>
      </w:r>
    </w:p>
    <w:p w14:paraId="3146E30A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consideration of the type of income to use and what to do when no income data is available</w:t>
      </w:r>
    </w:p>
    <w:p w14:paraId="0780B8CC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acceptable benchmarks for linkage rates</w:t>
      </w:r>
    </w:p>
    <w:p w14:paraId="703E2C7E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how family size and circumstances, including multiple parental addresses, can be taken into account</w:t>
      </w:r>
    </w:p>
    <w:p w14:paraId="1C3DDB6E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income distribution within individual schools, including small schools</w:t>
      </w:r>
    </w:p>
    <w:p w14:paraId="0C17D5F8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options to reduce volatility between years</w:t>
      </w:r>
    </w:p>
    <w:p w14:paraId="097837C1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how regional, rural, remote and boarding schools can be taken into account</w:t>
      </w:r>
    </w:p>
    <w:p w14:paraId="63FFA47A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how distance education can be taken into account</w:t>
      </w:r>
    </w:p>
    <w:p w14:paraId="6155D374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treatment of combined primary/secondary schools</w:t>
      </w:r>
    </w:p>
    <w:p w14:paraId="349E0200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 xml:space="preserve">methodology for constructing a rolling average </w:t>
      </w:r>
    </w:p>
    <w:p w14:paraId="2CBF9351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safeguarding individual privacy</w:t>
      </w:r>
    </w:p>
    <w:p w14:paraId="4C8351AF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appropriate appeals processes</w:t>
      </w:r>
    </w:p>
    <w:p w14:paraId="64E17672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developing solutions to overcome any identified anomalies</w:t>
      </w:r>
    </w:p>
    <w:p w14:paraId="3889E561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proofErr w:type="gramStart"/>
      <w:r w:rsidRPr="00F64F69">
        <w:rPr>
          <w:rFonts w:ascii="Calibri" w:eastAsia="Calibri" w:hAnsi="Calibri" w:cs="Calibri"/>
          <w:color w:val="222222"/>
        </w:rPr>
        <w:t>other</w:t>
      </w:r>
      <w:proofErr w:type="gramEnd"/>
      <w:r w:rsidRPr="00F64F69">
        <w:rPr>
          <w:rFonts w:ascii="Calibri" w:eastAsia="Calibri" w:hAnsi="Calibri" w:cs="Calibri"/>
          <w:color w:val="222222"/>
        </w:rPr>
        <w:t xml:space="preserve"> issues as agreed by Government.</w:t>
      </w:r>
    </w:p>
    <w:p w14:paraId="1D319EA5" w14:textId="77777777" w:rsidR="00F64F69" w:rsidRPr="00F64F69" w:rsidRDefault="00F64F69" w:rsidP="00F64F69">
      <w:pPr>
        <w:spacing w:after="0" w:line="240" w:lineRule="auto"/>
        <w:ind w:left="720"/>
        <w:rPr>
          <w:rFonts w:ascii="Calibri" w:eastAsia="Calibri" w:hAnsi="Calibri" w:cs="Calibri"/>
          <w:color w:val="222222"/>
        </w:rPr>
      </w:pPr>
    </w:p>
    <w:p w14:paraId="139FE2B5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Times New Roman"/>
        </w:rPr>
      </w:pPr>
      <w:r w:rsidRPr="00F64F69">
        <w:rPr>
          <w:rFonts w:ascii="Calibri" w:eastAsia="Calibri" w:hAnsi="Calibri" w:cs="Times New Roman"/>
        </w:rPr>
        <w:t>The Working Group may establish technical sub-groups to consider specific issues or seek input from other sources of expert advice.</w:t>
      </w:r>
    </w:p>
    <w:p w14:paraId="7158EC94" w14:textId="141AB58F" w:rsidR="00F64F69" w:rsidRPr="00F64F69" w:rsidRDefault="00F64F69" w:rsidP="00F64F69">
      <w:pPr>
        <w:spacing w:after="200" w:line="276" w:lineRule="auto"/>
        <w:rPr>
          <w:rFonts w:ascii="Calibri" w:eastAsia="Calibri" w:hAnsi="Calibri" w:cs="Calibri"/>
        </w:rPr>
      </w:pPr>
      <w:r w:rsidRPr="00F64F69">
        <w:rPr>
          <w:rFonts w:ascii="Calibri" w:eastAsia="Calibri" w:hAnsi="Calibri" w:cs="Times New Roman"/>
        </w:rPr>
        <w:t xml:space="preserve">The Working Group’s </w:t>
      </w:r>
      <w:r w:rsidRPr="00F64F69">
        <w:rPr>
          <w:rFonts w:ascii="Calibri" w:eastAsia="Calibri" w:hAnsi="Calibri" w:cs="Calibri"/>
        </w:rPr>
        <w:t>analysis will be a key consideration in the Minister’s implementation of the direct measure of capacity to contribute.</w:t>
      </w:r>
    </w:p>
    <w:p w14:paraId="7B78DE20" w14:textId="77777777" w:rsidR="00F64F69" w:rsidRPr="00F64F69" w:rsidRDefault="00F64F69" w:rsidP="00F64F69">
      <w:pPr>
        <w:spacing w:after="120" w:line="240" w:lineRule="auto"/>
        <w:rPr>
          <w:rFonts w:ascii="Calibri" w:eastAsia="Calibri" w:hAnsi="Calibri" w:cs="Calibri"/>
        </w:rPr>
      </w:pPr>
      <w:r w:rsidRPr="00F64F69">
        <w:rPr>
          <w:rFonts w:ascii="Calibri" w:eastAsia="Calibri" w:hAnsi="Calibri" w:cs="Calibri"/>
        </w:rPr>
        <w:t xml:space="preserve">In formulating this advice, the working group will have reference to the following principles: </w:t>
      </w:r>
    </w:p>
    <w:p w14:paraId="66EE7546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fit for purpose – all data and analysis is used to suit the purposes for which it is designed to be used</w:t>
      </w:r>
    </w:p>
    <w:p w14:paraId="6515DDD0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privacy – data collection and use will comply with laws relating to privacy</w:t>
      </w:r>
    </w:p>
    <w:p w14:paraId="12EB572C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consistency – data is consistently collected and methodology consistently applied across time</w:t>
      </w:r>
    </w:p>
    <w:p w14:paraId="697BE7F5" w14:textId="12027849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transparency – data has clear meaning and data use will be conducted</w:t>
      </w:r>
      <w:r>
        <w:rPr>
          <w:rFonts w:ascii="Calibri" w:eastAsia="Calibri" w:hAnsi="Calibri" w:cs="Calibri"/>
          <w:color w:val="222222"/>
        </w:rPr>
        <w:t xml:space="preserve"> in an open and accountable way</w:t>
      </w:r>
    </w:p>
    <w:p w14:paraId="517E8BF4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timeliness – data are sufficiently timely including to inform schools about future funding</w:t>
      </w:r>
    </w:p>
    <w:p w14:paraId="7ECBE355" w14:textId="77777777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validity and reliability – data should be robust and measure what it is intended to measure</w:t>
      </w:r>
    </w:p>
    <w:p w14:paraId="6EDD2FF5" w14:textId="731EDBD5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>efficiency and cost-effectiveness – data collection should be justified by the value it yields for the various purposes for which it is collected and should not be excessively burdensome on eith</w:t>
      </w:r>
      <w:r>
        <w:rPr>
          <w:rFonts w:ascii="Calibri" w:eastAsia="Calibri" w:hAnsi="Calibri" w:cs="Calibri"/>
          <w:color w:val="222222"/>
        </w:rPr>
        <w:t>er data suppliers or data users</w:t>
      </w:r>
    </w:p>
    <w:p w14:paraId="3685C26A" w14:textId="33CCA8A2" w:rsidR="00F64F69" w:rsidRPr="00F64F69" w:rsidRDefault="00F64F69" w:rsidP="00F64F69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222222"/>
        </w:rPr>
      </w:pPr>
      <w:r w:rsidRPr="00F64F69">
        <w:rPr>
          <w:rFonts w:ascii="Calibri" w:eastAsia="Calibri" w:hAnsi="Calibri" w:cs="Calibri"/>
          <w:color w:val="222222"/>
        </w:rPr>
        <w:t xml:space="preserve">stability – the methodology enables schools to plan with confidence over the medium </w:t>
      </w:r>
      <w:r>
        <w:rPr>
          <w:rFonts w:ascii="Calibri" w:eastAsia="Calibri" w:hAnsi="Calibri" w:cs="Calibri"/>
          <w:color w:val="222222"/>
        </w:rPr>
        <w:t>term</w:t>
      </w:r>
    </w:p>
    <w:p w14:paraId="44803273" w14:textId="77777777" w:rsidR="00F64F69" w:rsidRPr="00F64F69" w:rsidRDefault="00F64F69" w:rsidP="00F64F69">
      <w:pPr>
        <w:spacing w:after="0" w:line="276" w:lineRule="auto"/>
        <w:rPr>
          <w:rFonts w:ascii="Calibri" w:eastAsia="Calibri" w:hAnsi="Calibri" w:cs="Times New Roman"/>
          <w:u w:val="single"/>
        </w:rPr>
      </w:pPr>
    </w:p>
    <w:p w14:paraId="051C4CBC" w14:textId="77777777" w:rsidR="00F64F69" w:rsidRPr="00F64F69" w:rsidRDefault="00F64F69" w:rsidP="00F64F69">
      <w:pPr>
        <w:pStyle w:val="Heading1"/>
      </w:pPr>
      <w:r w:rsidRPr="00F64F69">
        <w:t>Out of Scope</w:t>
      </w:r>
    </w:p>
    <w:p w14:paraId="29B86B71" w14:textId="77777777" w:rsidR="00F64F69" w:rsidRPr="00F64F69" w:rsidRDefault="00F64F69" w:rsidP="00F64F69">
      <w:pPr>
        <w:spacing w:after="120" w:line="276" w:lineRule="auto"/>
        <w:rPr>
          <w:rFonts w:ascii="Calibri" w:eastAsia="Calibri" w:hAnsi="Calibri" w:cs="Times New Roman"/>
        </w:rPr>
      </w:pPr>
      <w:r w:rsidRPr="00F64F69">
        <w:rPr>
          <w:rFonts w:ascii="Calibri" w:eastAsia="Calibri" w:hAnsi="Calibri" w:cs="Times New Roman"/>
        </w:rPr>
        <w:t>Out of scope for analysis and/or providing recommendations are matters relating to:</w:t>
      </w:r>
    </w:p>
    <w:p w14:paraId="22FE88CC" w14:textId="5E57D12F" w:rsidR="00F64F69" w:rsidRPr="00F64F69" w:rsidRDefault="00F64F69" w:rsidP="00F64F6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</w:t>
      </w:r>
      <w:r w:rsidRPr="00F64F69">
        <w:rPr>
          <w:rFonts w:ascii="Calibri" w:eastAsia="Calibri" w:hAnsi="Calibri" w:cs="Times New Roman"/>
        </w:rPr>
        <w:t>he calculation of the socio-educational disadvantage loading</w:t>
      </w:r>
    </w:p>
    <w:p w14:paraId="19D2BD2C" w14:textId="30E85E56" w:rsidR="00F64F69" w:rsidRPr="00F64F69" w:rsidRDefault="00F64F69" w:rsidP="00F64F6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</w:t>
      </w:r>
      <w:r w:rsidRPr="00F64F69">
        <w:rPr>
          <w:rFonts w:ascii="Calibri" w:eastAsia="Calibri" w:hAnsi="Calibri" w:cs="Times New Roman"/>
        </w:rPr>
        <w:t xml:space="preserve">unding entitlements for schools that are defined under the </w:t>
      </w:r>
      <w:r w:rsidRPr="00F64F69">
        <w:rPr>
          <w:rFonts w:ascii="Calibri" w:eastAsia="Calibri" w:hAnsi="Calibri" w:cs="Times New Roman"/>
          <w:i/>
        </w:rPr>
        <w:t>Australian Education Act 2013</w:t>
      </w:r>
      <w:r w:rsidRPr="00F64F69">
        <w:rPr>
          <w:rFonts w:ascii="Calibri" w:eastAsia="Calibri" w:hAnsi="Calibri" w:cs="Times New Roman"/>
        </w:rPr>
        <w:t xml:space="preserve"> as having zero capacity to contribute. Section 52(6) defines these schools as: government schools; special schools; special assistance schools; majority Aboriginal and Torres Strait Islander schools; and sole provider schools</w:t>
      </w:r>
    </w:p>
    <w:p w14:paraId="44B00A44" w14:textId="46B255E7" w:rsidR="00F64F69" w:rsidRPr="00F64F69" w:rsidRDefault="00F64F69" w:rsidP="00F64F6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F64F69">
        <w:rPr>
          <w:rFonts w:ascii="Calibri" w:eastAsia="Calibri" w:hAnsi="Calibri" w:cs="Times New Roman"/>
        </w:rPr>
        <w:t>hanges to the Capacity to Contribute discount rates</w:t>
      </w:r>
    </w:p>
    <w:p w14:paraId="30869EE8" w14:textId="1F2241C5" w:rsidR="00F64F69" w:rsidRPr="00F64F69" w:rsidRDefault="00F64F69" w:rsidP="00F64F6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64F69">
        <w:rPr>
          <w:rFonts w:ascii="Calibri" w:eastAsia="Calibri" w:hAnsi="Calibri" w:cs="Times New Roman"/>
        </w:rPr>
        <w:t>The</w:t>
      </w:r>
      <w:r w:rsidRPr="00F64F69">
        <w:rPr>
          <w:rFonts w:ascii="Calibri" w:eastAsia="Calibri" w:hAnsi="Calibri" w:cs="Times New Roman"/>
        </w:rPr>
        <w:t xml:space="preserve"> inclusion of school private income (including fees) in the implementation of the cap</w:t>
      </w:r>
      <w:r>
        <w:rPr>
          <w:rFonts w:ascii="Calibri" w:eastAsia="Calibri" w:hAnsi="Calibri" w:cs="Times New Roman"/>
        </w:rPr>
        <w:t>acity to contribute methodology</w:t>
      </w:r>
    </w:p>
    <w:p w14:paraId="378AF9B5" w14:textId="77777777" w:rsidR="00F64F69" w:rsidRPr="00F64F69" w:rsidRDefault="00F64F69" w:rsidP="00F64F69">
      <w:pPr>
        <w:pStyle w:val="Heading1"/>
      </w:pPr>
      <w:r w:rsidRPr="00F64F69">
        <w:t>Timing</w:t>
      </w:r>
    </w:p>
    <w:p w14:paraId="699A5CE8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Calibri"/>
        </w:rPr>
      </w:pPr>
      <w:r w:rsidRPr="00F64F69">
        <w:rPr>
          <w:rFonts w:ascii="Calibri" w:eastAsia="Calibri" w:hAnsi="Calibri" w:cs="Times New Roman"/>
        </w:rPr>
        <w:t>The Working Group will provide advice to allow for implementation of the capacity to contribute measure from 2020. Settings for the new measure will need to be settled by mid-2019.</w:t>
      </w:r>
    </w:p>
    <w:p w14:paraId="61EB2D69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Calibri"/>
        </w:rPr>
      </w:pPr>
      <w:r w:rsidRPr="00F64F69">
        <w:rPr>
          <w:rFonts w:ascii="Calibri" w:eastAsia="Calibri" w:hAnsi="Calibri" w:cs="Calibri"/>
        </w:rPr>
        <w:t>The role and purpose of the Working Group will be reviewed at that time.</w:t>
      </w:r>
    </w:p>
    <w:p w14:paraId="1639FC06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F64F69">
        <w:rPr>
          <w:rFonts w:ascii="Calibri" w:eastAsia="Calibri" w:hAnsi="Calibri" w:cs="Calibri"/>
          <w:u w:val="single"/>
        </w:rPr>
        <w:br w:type="page"/>
      </w:r>
    </w:p>
    <w:p w14:paraId="498634B7" w14:textId="77777777" w:rsidR="00F64F69" w:rsidRPr="00F64F69" w:rsidRDefault="00F64F69" w:rsidP="00F64F69">
      <w:pPr>
        <w:pStyle w:val="Heading1"/>
      </w:pPr>
      <w:r w:rsidRPr="00F64F69">
        <w:t>Membership</w:t>
      </w:r>
    </w:p>
    <w:p w14:paraId="3CA135B6" w14:textId="77777777" w:rsidR="00F64F69" w:rsidRPr="00F64F69" w:rsidRDefault="00F64F69" w:rsidP="00F64F69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F64F69">
        <w:rPr>
          <w:rFonts w:ascii="Calibri" w:eastAsia="Times New Roman" w:hAnsi="Calibri" w:cs="Calibri"/>
          <w:lang w:eastAsia="en-AU"/>
        </w:rPr>
        <w:t>The core members include: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225"/>
      </w:tblGrid>
      <w:tr w:rsidR="00F64F69" w:rsidRPr="00F64F69" w14:paraId="1D48BE06" w14:textId="77777777" w:rsidTr="00476122">
        <w:trPr>
          <w:trHeight w:val="567"/>
          <w:tblHeader/>
          <w:jc w:val="center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9649CF" w14:textId="77777777" w:rsidR="00F64F69" w:rsidRPr="00F64F69" w:rsidRDefault="00F64F69" w:rsidP="00F6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en-AU"/>
              </w:rPr>
            </w:pPr>
            <w:r w:rsidRPr="00F64F6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en-AU"/>
              </w:rPr>
              <w:t>Position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9A30A4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64F69">
              <w:rPr>
                <w:rFonts w:ascii="Calibri" w:eastAsia="Calibri" w:hAnsi="Calibri" w:cs="Calibri"/>
                <w:b/>
              </w:rPr>
              <w:t>Organisation</w:t>
            </w:r>
          </w:p>
        </w:tc>
      </w:tr>
      <w:tr w:rsidR="00F64F69" w:rsidRPr="00F64F69" w14:paraId="03C160D1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EB9BC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F64F69">
              <w:rPr>
                <w:rFonts w:ascii="Calibri" w:eastAsia="Calibri" w:hAnsi="Calibri" w:cs="Calibri"/>
                <w:color w:val="000000"/>
                <w:u w:val="single"/>
              </w:rPr>
              <w:t>Chair</w:t>
            </w:r>
          </w:p>
          <w:p w14:paraId="6C1814B2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Group Manager, School Funding and Assurance</w:t>
            </w:r>
          </w:p>
          <w:p w14:paraId="72DEE1BA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F64F69">
              <w:rPr>
                <w:rFonts w:ascii="Calibri" w:eastAsia="Calibri" w:hAnsi="Calibri" w:cs="Calibri"/>
                <w:color w:val="000000"/>
                <w:u w:val="single"/>
              </w:rPr>
              <w:t>Members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6A084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6C8E336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Department of Education and Training</w:t>
            </w:r>
          </w:p>
        </w:tc>
      </w:tr>
      <w:tr w:rsidR="00F64F69" w:rsidRPr="00F64F69" w14:paraId="4696B934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CABEF5E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Branch Manager, School Funding Branch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5B0AC0E3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Department of Education and Training</w:t>
            </w:r>
          </w:p>
        </w:tc>
      </w:tr>
      <w:tr w:rsidR="00F64F69" w:rsidRPr="00F64F69" w14:paraId="2519BBEB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F4BD995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Branch Manager, Strategic Policy &amp; Data Analytics Branch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3BE6ECDD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Department of Education and Training</w:t>
            </w:r>
          </w:p>
        </w:tc>
      </w:tr>
      <w:tr w:rsidR="00F64F69" w:rsidRPr="00F64F69" w14:paraId="71C7554F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74AF3D8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2 Nominated representatives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41799EA1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National Catholic Education Commission</w:t>
            </w:r>
          </w:p>
        </w:tc>
      </w:tr>
      <w:tr w:rsidR="00F64F69" w:rsidRPr="00F64F69" w14:paraId="42C08F4E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720BB34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2 Nominated representatives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0DBA64FA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Independent Schools Council of Australia</w:t>
            </w:r>
          </w:p>
        </w:tc>
      </w:tr>
      <w:tr w:rsidR="00F64F69" w:rsidRPr="00F64F69" w14:paraId="1BEA311D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0467DEC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3 Nominated representatives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5B59B7BA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State and Territory Governments (AESOC)</w:t>
            </w:r>
          </w:p>
        </w:tc>
      </w:tr>
      <w:tr w:rsidR="00F64F69" w:rsidRPr="00F64F69" w14:paraId="681F80BB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26AF783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64F69">
              <w:rPr>
                <w:rFonts w:ascii="Calibri" w:eastAsia="Calibri" w:hAnsi="Calibri" w:cs="Calibri"/>
              </w:rPr>
              <w:t>Nominated representative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5CA60520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Australian Bureau of Statistics</w:t>
            </w:r>
          </w:p>
        </w:tc>
      </w:tr>
      <w:tr w:rsidR="00F64F69" w:rsidRPr="00F64F69" w14:paraId="2DB46C23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9A6A31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64F69">
              <w:rPr>
                <w:rFonts w:ascii="Calibri" w:eastAsia="Calibri" w:hAnsi="Calibri" w:cs="Calibri"/>
              </w:rPr>
              <w:t>Nominated representative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0DE88EA1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Australian Taxation Office</w:t>
            </w:r>
          </w:p>
        </w:tc>
      </w:tr>
      <w:tr w:rsidR="00F64F69" w:rsidRPr="00F64F69" w14:paraId="77B65B74" w14:textId="77777777" w:rsidTr="00476122">
        <w:trPr>
          <w:trHeight w:val="284"/>
          <w:jc w:val="center"/>
        </w:trPr>
        <w:tc>
          <w:tcPr>
            <w:tcW w:w="254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56A6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64F69">
              <w:rPr>
                <w:rFonts w:ascii="Calibri" w:eastAsia="Calibri" w:hAnsi="Calibri" w:cs="Calibri"/>
              </w:rPr>
              <w:t>2 Expert members (TBD)</w:t>
            </w:r>
          </w:p>
        </w:tc>
        <w:tc>
          <w:tcPr>
            <w:tcW w:w="2453" w:type="pct"/>
            <w:tcBorders>
              <w:left w:val="single" w:sz="4" w:space="0" w:color="auto"/>
            </w:tcBorders>
            <w:shd w:val="clear" w:color="auto" w:fill="auto"/>
          </w:tcPr>
          <w:p w14:paraId="4AFA19A3" w14:textId="77777777" w:rsidR="00F64F69" w:rsidRPr="00F64F69" w:rsidRDefault="00F64F69" w:rsidP="00F64F6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64F69">
              <w:rPr>
                <w:rFonts w:ascii="Calibri" w:eastAsia="Calibri" w:hAnsi="Calibri" w:cs="Calibri"/>
                <w:color w:val="000000"/>
              </w:rPr>
              <w:t>TBD</w:t>
            </w:r>
          </w:p>
        </w:tc>
      </w:tr>
    </w:tbl>
    <w:p w14:paraId="29DF57CB" w14:textId="77777777" w:rsidR="00F64F69" w:rsidRPr="00F64F69" w:rsidRDefault="00F64F69" w:rsidP="00F64F69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F64F69">
        <w:rPr>
          <w:rFonts w:ascii="Calibri" w:eastAsia="Times New Roman" w:hAnsi="Calibri" w:cs="Calibri"/>
          <w:lang w:eastAsia="en-AU"/>
        </w:rPr>
        <w:t xml:space="preserve">A </w:t>
      </w:r>
      <w:proofErr w:type="gramStart"/>
      <w:r w:rsidRPr="00F64F69">
        <w:rPr>
          <w:rFonts w:ascii="Calibri" w:eastAsia="Times New Roman" w:hAnsi="Calibri" w:cs="Calibri"/>
          <w:lang w:eastAsia="en-AU"/>
        </w:rPr>
        <w:t>members</w:t>
      </w:r>
      <w:proofErr w:type="gramEnd"/>
      <w:r w:rsidRPr="00F64F69">
        <w:rPr>
          <w:rFonts w:ascii="Calibri" w:eastAsia="Times New Roman" w:hAnsi="Calibri" w:cs="Calibri"/>
          <w:lang w:eastAsia="en-AU"/>
        </w:rPr>
        <w:t xml:space="preserve"> primary role is to work collaboratively and constructively to identify options and potential solutions of a technical nature to embed rigour into the methodology and through this provide public confidence in the reliability of the measure. </w:t>
      </w:r>
    </w:p>
    <w:p w14:paraId="7837DAE3" w14:textId="77777777" w:rsidR="00F64F69" w:rsidRPr="00F64F69" w:rsidRDefault="00F64F69" w:rsidP="00F64F69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F64F69">
        <w:rPr>
          <w:rFonts w:ascii="Calibri" w:eastAsia="Times New Roman" w:hAnsi="Calibri" w:cs="Calibri"/>
          <w:lang w:eastAsia="en-AU"/>
        </w:rPr>
        <w:t xml:space="preserve">Consultation with the school sector will be undertaken separately. Members will need expertise and understanding of the school sector. </w:t>
      </w:r>
    </w:p>
    <w:p w14:paraId="11D535FF" w14:textId="77777777" w:rsidR="00F64F69" w:rsidRPr="00F64F69" w:rsidRDefault="00F64F69" w:rsidP="00F64F69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F64F69">
        <w:rPr>
          <w:rFonts w:ascii="Calibri" w:eastAsia="Times New Roman" w:hAnsi="Calibri" w:cs="Calibri"/>
          <w:lang w:eastAsia="en-AU"/>
        </w:rPr>
        <w:t>Membership of the technical working group is not a representative role and should not be utilised to provide a forum for advocacy on particular positions and outcomes.</w:t>
      </w:r>
    </w:p>
    <w:p w14:paraId="3B85311B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Calibri"/>
        </w:rPr>
      </w:pPr>
      <w:r w:rsidRPr="00F64F69">
        <w:rPr>
          <w:rFonts w:ascii="Calibri" w:eastAsia="Calibri" w:hAnsi="Calibri" w:cs="Calibri"/>
        </w:rPr>
        <w:t>Experts may be invited to participate on an ad hoc basis to inform consideration of particular issues.</w:t>
      </w:r>
    </w:p>
    <w:p w14:paraId="7FB9BEDB" w14:textId="77777777" w:rsidR="00F64F69" w:rsidRPr="00F64F69" w:rsidRDefault="00F64F69" w:rsidP="00F64F69">
      <w:pPr>
        <w:pStyle w:val="Heading1"/>
      </w:pPr>
      <w:r w:rsidRPr="00F64F69">
        <w:t>Support</w:t>
      </w:r>
    </w:p>
    <w:p w14:paraId="13DBE6E6" w14:textId="77777777" w:rsidR="00F64F69" w:rsidRPr="00F64F69" w:rsidRDefault="00F64F69" w:rsidP="00F64F69">
      <w:pPr>
        <w:spacing w:after="200" w:line="276" w:lineRule="auto"/>
        <w:rPr>
          <w:rFonts w:ascii="Calibri" w:eastAsia="Calibri" w:hAnsi="Calibri" w:cs="Times New Roman"/>
        </w:rPr>
      </w:pPr>
      <w:r w:rsidRPr="00F64F69">
        <w:rPr>
          <w:rFonts w:ascii="Calibri" w:eastAsia="Calibri" w:hAnsi="Calibri" w:cs="Times New Roman"/>
        </w:rPr>
        <w:t>The Working Group will be supported by a secretariat within the Department of Education and Training.</w:t>
      </w:r>
    </w:p>
    <w:p w14:paraId="265A2AAA" w14:textId="77777777" w:rsidR="002D6C81" w:rsidRPr="002D6C81" w:rsidRDefault="002D6C81" w:rsidP="002D6C81">
      <w:pPr>
        <w:pStyle w:val="ListParagraph"/>
        <w:rPr>
          <w:b/>
          <w:color w:val="27426F"/>
          <w:u w:val="single"/>
        </w:rPr>
      </w:pPr>
    </w:p>
    <w:sectPr w:rsidR="002D6C81" w:rsidRPr="002D6C81" w:rsidSect="00F64F69">
      <w:headerReference w:type="default" r:id="rId9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2758" w14:textId="77777777" w:rsidR="00D961D5" w:rsidRDefault="00D961D5" w:rsidP="00B02290">
      <w:pPr>
        <w:spacing w:after="0" w:line="240" w:lineRule="auto"/>
      </w:pPr>
      <w:r>
        <w:separator/>
      </w:r>
    </w:p>
  </w:endnote>
  <w:endnote w:type="continuationSeparator" w:id="0">
    <w:p w14:paraId="67966E15" w14:textId="77777777" w:rsidR="00D961D5" w:rsidRDefault="00D961D5" w:rsidP="00B0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CEA0" w14:textId="77777777" w:rsidR="00D961D5" w:rsidRDefault="00D961D5" w:rsidP="00B02290">
      <w:pPr>
        <w:spacing w:after="0" w:line="240" w:lineRule="auto"/>
      </w:pPr>
      <w:r>
        <w:separator/>
      </w:r>
    </w:p>
  </w:footnote>
  <w:footnote w:type="continuationSeparator" w:id="0">
    <w:p w14:paraId="28227669" w14:textId="77777777" w:rsidR="00D961D5" w:rsidRDefault="00D961D5" w:rsidP="00B0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84F88" w14:textId="77777777" w:rsidR="00B02290" w:rsidRDefault="00B022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E655C57" wp14:editId="21945032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96000" cy="10728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S_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D45"/>
    <w:multiLevelType w:val="hybridMultilevel"/>
    <w:tmpl w:val="9A9E1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EB2"/>
    <w:multiLevelType w:val="hybridMultilevel"/>
    <w:tmpl w:val="8E1EA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3FF3"/>
    <w:multiLevelType w:val="hybridMultilevel"/>
    <w:tmpl w:val="B7EC4B1A"/>
    <w:lvl w:ilvl="0" w:tplc="329601C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D19"/>
    <w:multiLevelType w:val="hybridMultilevel"/>
    <w:tmpl w:val="035899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02DC9"/>
    <w:multiLevelType w:val="hybridMultilevel"/>
    <w:tmpl w:val="7AC42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036A3"/>
    <w:multiLevelType w:val="hybridMultilevel"/>
    <w:tmpl w:val="94F4D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57A90"/>
    <w:multiLevelType w:val="hybridMultilevel"/>
    <w:tmpl w:val="4F1A2A66"/>
    <w:lvl w:ilvl="0" w:tplc="B8D8D1C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87C"/>
    <w:multiLevelType w:val="hybridMultilevel"/>
    <w:tmpl w:val="B3542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90"/>
    <w:rsid w:val="00011BFF"/>
    <w:rsid w:val="000325C1"/>
    <w:rsid w:val="00046BB1"/>
    <w:rsid w:val="00050E06"/>
    <w:rsid w:val="00070D1A"/>
    <w:rsid w:val="00077399"/>
    <w:rsid w:val="00091A54"/>
    <w:rsid w:val="000D20E6"/>
    <w:rsid w:val="001016F7"/>
    <w:rsid w:val="00113038"/>
    <w:rsid w:val="0013201C"/>
    <w:rsid w:val="00135A66"/>
    <w:rsid w:val="0014098E"/>
    <w:rsid w:val="00166388"/>
    <w:rsid w:val="001762C3"/>
    <w:rsid w:val="001857D9"/>
    <w:rsid w:val="001B1825"/>
    <w:rsid w:val="001C4195"/>
    <w:rsid w:val="001D74E7"/>
    <w:rsid w:val="00222808"/>
    <w:rsid w:val="0022623A"/>
    <w:rsid w:val="00251631"/>
    <w:rsid w:val="002579A1"/>
    <w:rsid w:val="0026542F"/>
    <w:rsid w:val="002758F1"/>
    <w:rsid w:val="00295D9E"/>
    <w:rsid w:val="002A2837"/>
    <w:rsid w:val="002B5012"/>
    <w:rsid w:val="002D507F"/>
    <w:rsid w:val="002D52E0"/>
    <w:rsid w:val="002D6C81"/>
    <w:rsid w:val="00310FFC"/>
    <w:rsid w:val="00333445"/>
    <w:rsid w:val="003C183D"/>
    <w:rsid w:val="003C44F8"/>
    <w:rsid w:val="003E7EB7"/>
    <w:rsid w:val="00405833"/>
    <w:rsid w:val="00413B52"/>
    <w:rsid w:val="00456C21"/>
    <w:rsid w:val="004842A0"/>
    <w:rsid w:val="004847E0"/>
    <w:rsid w:val="00492758"/>
    <w:rsid w:val="004D580D"/>
    <w:rsid w:val="004E26DB"/>
    <w:rsid w:val="00513484"/>
    <w:rsid w:val="00544398"/>
    <w:rsid w:val="005931AB"/>
    <w:rsid w:val="005F05FF"/>
    <w:rsid w:val="0060545B"/>
    <w:rsid w:val="00623802"/>
    <w:rsid w:val="00634345"/>
    <w:rsid w:val="006C5F01"/>
    <w:rsid w:val="00711A78"/>
    <w:rsid w:val="00725700"/>
    <w:rsid w:val="00736891"/>
    <w:rsid w:val="00795460"/>
    <w:rsid w:val="007B146A"/>
    <w:rsid w:val="007D0E78"/>
    <w:rsid w:val="007E0788"/>
    <w:rsid w:val="007E513D"/>
    <w:rsid w:val="007E63F5"/>
    <w:rsid w:val="008079AE"/>
    <w:rsid w:val="00864695"/>
    <w:rsid w:val="00864FB0"/>
    <w:rsid w:val="008C043A"/>
    <w:rsid w:val="008D0E28"/>
    <w:rsid w:val="00907BFD"/>
    <w:rsid w:val="009E022F"/>
    <w:rsid w:val="00A277B0"/>
    <w:rsid w:val="00A406F2"/>
    <w:rsid w:val="00A568B2"/>
    <w:rsid w:val="00A66861"/>
    <w:rsid w:val="00A670F8"/>
    <w:rsid w:val="00A751B8"/>
    <w:rsid w:val="00A92122"/>
    <w:rsid w:val="00AC0830"/>
    <w:rsid w:val="00AD04DC"/>
    <w:rsid w:val="00AE62CD"/>
    <w:rsid w:val="00AE6A17"/>
    <w:rsid w:val="00B02290"/>
    <w:rsid w:val="00B21008"/>
    <w:rsid w:val="00B230E0"/>
    <w:rsid w:val="00B530E5"/>
    <w:rsid w:val="00B738EF"/>
    <w:rsid w:val="00BB6EB8"/>
    <w:rsid w:val="00BE2201"/>
    <w:rsid w:val="00C45B09"/>
    <w:rsid w:val="00C671FF"/>
    <w:rsid w:val="00C91BB7"/>
    <w:rsid w:val="00CC71E5"/>
    <w:rsid w:val="00CD3703"/>
    <w:rsid w:val="00CF0005"/>
    <w:rsid w:val="00D26283"/>
    <w:rsid w:val="00D36E54"/>
    <w:rsid w:val="00D45A86"/>
    <w:rsid w:val="00D67A99"/>
    <w:rsid w:val="00D74E51"/>
    <w:rsid w:val="00D83673"/>
    <w:rsid w:val="00D961D5"/>
    <w:rsid w:val="00DD5AE5"/>
    <w:rsid w:val="00E40496"/>
    <w:rsid w:val="00E51AD9"/>
    <w:rsid w:val="00E80FCC"/>
    <w:rsid w:val="00EC1F3F"/>
    <w:rsid w:val="00ED4F57"/>
    <w:rsid w:val="00EE3020"/>
    <w:rsid w:val="00F06FC1"/>
    <w:rsid w:val="00F36378"/>
    <w:rsid w:val="00F44A3B"/>
    <w:rsid w:val="00F64F69"/>
    <w:rsid w:val="00FD225F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E87275"/>
  <w15:docId w15:val="{91C314C3-5076-4EDF-9CC3-AFE0C14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FD225F"/>
    <w:pPr>
      <w:spacing w:before="180" w:after="120" w:line="240" w:lineRule="auto"/>
      <w:outlineLvl w:val="0"/>
    </w:pPr>
    <w:rPr>
      <w:rFonts w:ascii="Calibri" w:eastAsiaTheme="majorEastAsia" w:hAnsi="Calibri" w:cstheme="majorBidi"/>
      <w:b/>
      <w:bCs/>
      <w:noProof/>
      <w:color w:val="27426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90"/>
  </w:style>
  <w:style w:type="paragraph" w:styleId="Footer">
    <w:name w:val="footer"/>
    <w:basedOn w:val="Normal"/>
    <w:link w:val="FooterChar"/>
    <w:uiPriority w:val="99"/>
    <w:unhideWhenUsed/>
    <w:rsid w:val="00B0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90"/>
  </w:style>
  <w:style w:type="paragraph" w:styleId="BalloonText">
    <w:name w:val="Balloon Text"/>
    <w:basedOn w:val="Normal"/>
    <w:link w:val="BalloonTextChar"/>
    <w:uiPriority w:val="99"/>
    <w:semiHidden/>
    <w:unhideWhenUsed/>
    <w:rsid w:val="00B0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225F"/>
    <w:rPr>
      <w:rFonts w:ascii="Calibri" w:eastAsiaTheme="majorEastAsia" w:hAnsi="Calibri" w:cstheme="majorBidi"/>
      <w:b/>
      <w:bCs/>
      <w:noProof/>
      <w:color w:val="27426F"/>
      <w:sz w:val="36"/>
      <w:szCs w:val="28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FD225F"/>
    <w:pPr>
      <w:spacing w:after="120" w:line="240" w:lineRule="auto"/>
      <w:ind w:left="720"/>
      <w:contextualSpacing/>
    </w:pPr>
    <w:rPr>
      <w:rFonts w:ascii="Calibri" w:eastAsiaTheme="minorEastAsia" w:hAnsi="Calibri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FD225F"/>
    <w:pPr>
      <w:spacing w:before="360" w:after="180" w:line="240" w:lineRule="auto"/>
      <w:contextualSpacing/>
    </w:pPr>
    <w:rPr>
      <w:rFonts w:ascii="Calibri" w:eastAsiaTheme="majorEastAsia" w:hAnsi="Calibri" w:cstheme="majorBidi"/>
      <w:noProof/>
      <w:color w:val="27426F"/>
      <w:spacing w:val="5"/>
      <w:kern w:val="28"/>
      <w:sz w:val="5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25F"/>
    <w:rPr>
      <w:rFonts w:ascii="Calibri" w:eastAsiaTheme="majorEastAsia" w:hAnsi="Calibri" w:cstheme="majorBidi"/>
      <w:noProof/>
      <w:color w:val="27426F"/>
      <w:spacing w:val="5"/>
      <w:kern w:val="28"/>
      <w:sz w:val="58"/>
      <w:szCs w:val="52"/>
    </w:rPr>
  </w:style>
  <w:style w:type="character" w:styleId="Hyperlink">
    <w:name w:val="Hyperlink"/>
    <w:basedOn w:val="DefaultParagraphFont"/>
    <w:uiPriority w:val="99"/>
    <w:unhideWhenUsed/>
    <w:rsid w:val="00FD225F"/>
    <w:rPr>
      <w:b/>
      <w:color w:val="27426F"/>
      <w:u w:val="single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basedOn w:val="DefaultParagraphFont"/>
    <w:link w:val="ListParagraph"/>
    <w:uiPriority w:val="34"/>
    <w:qFormat/>
    <w:locked/>
    <w:rsid w:val="00FD225F"/>
    <w:rPr>
      <w:rFonts w:ascii="Calibri" w:eastAsiaTheme="minorEastAsia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06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F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000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C183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D45A86"/>
    <w:pPr>
      <w:spacing w:after="0" w:line="240" w:lineRule="auto"/>
    </w:pPr>
    <w:rPr>
      <w:rFonts w:ascii="Calibri" w:eastAsiaTheme="minorEastAsia" w:hAnsi="Calibri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A86"/>
    <w:rPr>
      <w:rFonts w:ascii="Calibri" w:eastAsiaTheme="minorEastAsia" w:hAnsi="Calibri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5A8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E51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cation.gov.au/system/files/doc/other/national_school_resourcing_board_ses_review_final_re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FA4A-3C94-4F9D-8D7A-0C73034A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EE1D8865.dotm</Template>
  <TotalTime>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Barnes</dc:creator>
  <cp:lastModifiedBy>PAYNTER,Eleanor</cp:lastModifiedBy>
  <cp:revision>3</cp:revision>
  <cp:lastPrinted>2018-05-03T02:44:00Z</cp:lastPrinted>
  <dcterms:created xsi:type="dcterms:W3CDTF">2018-12-20T05:47:00Z</dcterms:created>
  <dcterms:modified xsi:type="dcterms:W3CDTF">2018-12-20T05:48:00Z</dcterms:modified>
</cp:coreProperties>
</file>